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color w:val="000000"/>
          <w:sz w:val="64"/>
          <w:szCs w:val="64"/>
        </w:rPr>
      </w:pPr>
      <w:r>
        <w:rPr>
          <w:rFonts w:hint="eastAsia" w:ascii="黑体" w:hAnsi="宋体" w:eastAsia="黑体"/>
          <w:color w:val="000000"/>
          <w:sz w:val="64"/>
          <w:szCs w:val="64"/>
        </w:rPr>
        <w:t xml:space="preserve">公开招标文件</w:t>
      </w:r>
      <w:r/>
    </w:p>
    <w:p>
      <w:pPr>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p>
      <w:pPr>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tbl>
      <w:tblPr>
        <w:tblStyle w:val="902"/>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textDirection w:val="lrTb"/>
            <w:noWrap w:val="false"/>
          </w:tcPr>
          <w:p>
            <w:pPr>
              <w:spacing w:line="360" w:lineRule="auto"/>
              <w:rPr>
                <w:rFonts w:ascii="黑体" w:eastAsia="黑体"/>
                <w:color w:val="000000"/>
                <w:sz w:val="36"/>
                <w:szCs w:val="36"/>
              </w:rPr>
            </w:pPr>
            <w:r>
              <w:rPr>
                <w:rFonts w:hint="eastAsia" w:ascii="黑体" w:eastAsia="黑体"/>
                <w:color w:val="000000"/>
                <w:sz w:val="36"/>
                <w:szCs w:val="36"/>
              </w:rPr>
              <w:t xml:space="preserve">项目编号：</w:t>
            </w:r>
            <w:r>
              <w:rPr>
                <w:rFonts w:hint="eastAsia" w:ascii="黑体" w:eastAsia="黑体"/>
                <w:color w:val="000000"/>
                <w:sz w:val="36"/>
                <w:szCs w:val="36"/>
                <w:u w:val="single"/>
                <w:lang w:val="en-US"/>
              </w:rPr>
              <w:t xml:space="preserve">JSZC-320000-HXZC-G2026-0036</w:t>
            </w:r>
            <w:r/>
          </w:p>
          <w:p>
            <w:pPr>
              <w:spacing w:line="360" w:lineRule="auto"/>
              <w:rPr>
                <w:rFonts w:ascii="黑体" w:eastAsia="黑体"/>
                <w:color w:val="000000"/>
                <w:sz w:val="36"/>
                <w:szCs w:val="36"/>
              </w:rPr>
            </w:pPr>
            <w:r>
              <w:rPr>
                <w:rFonts w:hint="eastAsia" w:ascii="黑体" w:eastAsia="黑体"/>
                <w:color w:val="000000"/>
                <w:sz w:val="36"/>
                <w:szCs w:val="36"/>
              </w:rPr>
              <w:t xml:space="preserve">项目名称：</w:t>
            </w:r>
            <w:r>
              <w:rPr>
                <w:rFonts w:hint="eastAsia" w:ascii="黑体" w:eastAsia="黑体"/>
                <w:color w:val="000000"/>
                <w:sz w:val="36"/>
                <w:szCs w:val="36"/>
                <w:u w:val="single"/>
              </w:rPr>
              <w:t xml:space="preserve">南京信息职业技术学院</w:t>
            </w:r>
            <w:r>
              <w:rPr>
                <w:rFonts w:hint="eastAsia" w:ascii="黑体" w:eastAsia="黑体"/>
                <w:color w:val="000000"/>
                <w:sz w:val="36"/>
                <w:szCs w:val="36"/>
                <w:u w:val="single"/>
                <w:lang w:val="en-US"/>
              </w:rPr>
              <w:t xml:space="preserve">标准化泵房建设</w:t>
            </w:r>
            <w:r>
              <w:rPr>
                <w:rFonts w:hint="eastAsia" w:ascii="黑体" w:eastAsia="黑体"/>
                <w:color w:val="000000"/>
                <w:sz w:val="36"/>
                <w:szCs w:val="36"/>
                <w:u w:val="single"/>
              </w:rPr>
              <w:t xml:space="preserve">项目</w:t>
            </w:r>
            <w:r/>
          </w:p>
          <w:p>
            <w:pPr>
              <w:spacing w:line="360" w:lineRule="auto"/>
              <w:rPr>
                <w:rFonts w:ascii="黑体" w:eastAsia="黑体"/>
                <w:color w:val="000000"/>
                <w:sz w:val="36"/>
                <w:szCs w:val="36"/>
              </w:rPr>
            </w:pPr>
            <w:r>
              <w:rPr>
                <w:rFonts w:hint="eastAsia" w:ascii="黑体" w:eastAsia="黑体"/>
                <w:color w:val="000000"/>
                <w:sz w:val="36"/>
                <w:szCs w:val="36"/>
              </w:rPr>
              <w:t xml:space="preserve">采购单位：</w:t>
            </w:r>
            <w:r>
              <w:rPr>
                <w:rFonts w:hint="eastAsia" w:ascii="黑体" w:hAnsi="黑体" w:eastAsia="黑体" w:cs="黑体"/>
                <w:color w:val="000000"/>
                <w:sz w:val="36"/>
                <w:szCs w:val="36"/>
                <w:u w:val="single"/>
              </w:rPr>
              <w:t xml:space="preserve">南京信息职业技术学院</w:t>
            </w:r>
            <w:r/>
          </w:p>
          <w:p>
            <w:pPr>
              <w:spacing w:line="360" w:lineRule="auto"/>
              <w:rPr>
                <w:rFonts w:ascii="黑体" w:eastAsia="黑体"/>
                <w:color w:val="000000"/>
                <w:sz w:val="36"/>
                <w:szCs w:val="36"/>
              </w:rPr>
            </w:pPr>
            <w:r>
              <w:rPr>
                <w:rFonts w:hint="eastAsia" w:ascii="黑体" w:eastAsia="黑体"/>
                <w:color w:val="000000"/>
                <w:sz w:val="36"/>
                <w:szCs w:val="36"/>
              </w:rPr>
              <w:t xml:space="preserve">采购类别：</w:t>
            </w:r>
            <w:r>
              <w:rPr>
                <w:rFonts w:hint="eastAsia" w:ascii="黑体" w:eastAsia="黑体"/>
                <w:color w:val="000000"/>
                <w:sz w:val="36"/>
                <w:szCs w:val="36"/>
                <w:u w:val="single"/>
              </w:rPr>
              <w:t xml:space="preserve">货物类</w:t>
            </w:r>
            <w:r/>
          </w:p>
        </w:tc>
      </w:tr>
    </w:tbl>
    <w:p>
      <w:pPr>
        <w:jc w:val="center"/>
        <w:rPr>
          <w:rFonts w:ascii="黑体" w:hAnsi="宋体" w:eastAsia="黑体"/>
          <w:color w:val="000000"/>
          <w:sz w:val="32"/>
        </w:rPr>
      </w:pPr>
      <w:r>
        <w:rPr>
          <w:rFonts w:ascii="黑体" w:hAnsi="宋体" w:eastAsia="黑体"/>
          <w:color w:val="000000"/>
          <w:sz w:val="32"/>
        </w:rPr>
      </w:r>
      <w:r/>
    </w:p>
    <w:p>
      <w:pPr>
        <w:jc w:val="center"/>
        <w:rPr>
          <w:rFonts w:ascii="黑体" w:hAnsi="宋体" w:eastAsia="黑体"/>
          <w:color w:val="000000"/>
          <w:sz w:val="32"/>
        </w:rPr>
      </w:pPr>
      <w:r>
        <w:rPr>
          <w:rFonts w:ascii="黑体" w:hAnsi="宋体" w:eastAsia="黑体"/>
          <w:color w:val="000000"/>
          <w:sz w:val="32"/>
        </w:rPr>
      </w:r>
      <w:r/>
    </w:p>
    <w:p>
      <w:pPr>
        <w:jc w:val="center"/>
        <w:rPr>
          <w:rFonts w:ascii="黑体" w:hAnsi="宋体" w:eastAsia="黑体"/>
          <w:color w:val="000000"/>
          <w:sz w:val="32"/>
        </w:rPr>
      </w:pPr>
      <w:r>
        <w:rPr>
          <w:rFonts w:ascii="黑体" w:eastAsia="黑体"/>
          <w:color w:val="000000"/>
          <w:sz w:val="100"/>
          <w:szCs w:val="100"/>
        </w:rPr>
        <mc:AlternateContent>
          <mc:Choice Requires="wpg">
            <w:drawing>
              <wp:inline xmlns:wp="http://schemas.openxmlformats.org/drawingml/2006/wordprocessingDrawing" distT="0" distB="0" distL="0" distR="0">
                <wp:extent cx="2400300" cy="25527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400300" cy="2552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9.0pt;height:201.0pt;mso-wrap-distance-left:0.0pt;mso-wrap-distance-top:0.0pt;mso-wrap-distance-right:0.0pt;mso-wrap-distance-bottom:0.0pt;" stroked="f">
                <v:path textboxrect="0,0,0,0"/>
                <v:imagedata r:id="rId19" o:title=""/>
              </v:shape>
            </w:pict>
          </mc:Fallback>
        </mc:AlternateContent>
      </w:r>
      <w:r/>
    </w:p>
    <w:p>
      <w:pPr>
        <w:rPr>
          <w:rFonts w:ascii="黑体" w:hAnsi="宋体" w:eastAsia="黑体"/>
          <w:b/>
          <w:bCs/>
          <w:color w:val="000000"/>
          <w:sz w:val="32"/>
        </w:rPr>
      </w:pPr>
      <w:r>
        <w:rPr>
          <w:rFonts w:ascii="黑体" w:hAnsi="宋体" w:eastAsia="黑体"/>
          <w:b/>
          <w:bCs/>
          <w:color w:val="000000"/>
          <w:sz w:val="32"/>
        </w:rPr>
      </w:r>
      <w:r/>
    </w:p>
    <w:p>
      <w:pPr>
        <w:rPr>
          <w:rFonts w:ascii="黑体" w:hAnsi="宋体" w:eastAsia="黑体"/>
          <w:b/>
          <w:bCs/>
          <w:color w:val="000000"/>
          <w:sz w:val="32"/>
        </w:rPr>
      </w:pPr>
      <w:r>
        <w:rPr>
          <w:rFonts w:ascii="黑体" w:hAnsi="宋体" w:eastAsia="黑体"/>
          <w:b/>
          <w:bCs/>
          <w:color w:val="000000"/>
          <w:sz w:val="32"/>
        </w:rPr>
      </w:r>
      <w:r/>
    </w:p>
    <w:p>
      <w:pPr>
        <w:jc w:val="center"/>
        <w:spacing w:line="360" w:lineRule="auto"/>
        <w:rPr>
          <w:rFonts w:ascii="黑体" w:hAnsi="黑体" w:eastAsia="黑体" w:cs="黑体"/>
          <w:color w:val="000000"/>
          <w:sz w:val="36"/>
          <w:szCs w:val="36"/>
        </w:rPr>
      </w:pPr>
      <w:r>
        <w:rPr>
          <w:rFonts w:hint="eastAsia" w:ascii="黑体" w:hAnsi="黑体" w:eastAsia="黑体" w:cs="黑体"/>
          <w:color w:val="000000"/>
          <w:sz w:val="36"/>
          <w:szCs w:val="36"/>
        </w:rPr>
        <w:t xml:space="preserve">江苏省华厦工程项目管理有限公司</w:t>
      </w:r>
      <w:r/>
    </w:p>
    <w:p>
      <w:pPr>
        <w:jc w:val="center"/>
        <w:spacing w:line="360" w:lineRule="auto"/>
        <w:rPr>
          <w:rFonts w:ascii="宋体" w:hAnsi="宋体"/>
          <w:b/>
          <w:bCs/>
          <w:color w:val="000000"/>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rPr>
        <w:t xml:space="preserve">二○二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rPr>
        <w:t xml:space="preserve">七</w:t>
      </w:r>
      <w:r>
        <w:rPr>
          <w:rFonts w:hint="eastAsia" w:ascii="黑体" w:hAnsi="黑体" w:eastAsia="黑体" w:cs="黑体"/>
          <w:color w:val="000000"/>
          <w:sz w:val="36"/>
          <w:szCs w:val="36"/>
        </w:rPr>
        <w:t xml:space="preserve">月</w:t>
      </w:r>
      <w:r/>
    </w:p>
    <w:p>
      <w:pPr>
        <w:jc w:val="center"/>
        <w:spacing w:before="100" w:beforeAutospacing="1" w:after="100" w:afterAutospacing="1"/>
        <w:rPr>
          <w:rFonts w:ascii="黑体" w:hAnsi="宋体" w:eastAsia="黑体"/>
          <w:bCs/>
          <w:color w:val="000000"/>
          <w:sz w:val="32"/>
          <w:szCs w:val="32"/>
        </w:rPr>
      </w:pPr>
      <w:r>
        <w:rPr>
          <w:rFonts w:hint="eastAsia" w:ascii="黑体" w:hAnsi="宋体" w:eastAsia="黑体"/>
          <w:bCs/>
          <w:color w:val="000000"/>
          <w:sz w:val="32"/>
          <w:szCs w:val="32"/>
        </w:rPr>
        <w:t xml:space="preserve">目  录</w:t>
      </w:r>
      <w:r/>
    </w:p>
    <w:p>
      <w:pPr>
        <w:pStyle w:val="1133"/>
        <w:spacing w:line="360" w:lineRule="auto"/>
        <w:tabs>
          <w:tab w:val="right" w:pos="9394" w:leader="dot"/>
        </w:tabs>
        <w:rPr>
          <w:rFonts w:ascii="宋体" w:hAnsi="宋体" w:eastAsia="宋体"/>
          <w:color w:val="000000"/>
          <w:sz w:val="21"/>
          <w:szCs w:val="21"/>
        </w:rPr>
      </w:pP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TOC \o "1-3" \h \z \u </w:instrText>
      </w:r>
      <w:r>
        <w:rPr>
          <w:rFonts w:hint="eastAsia" w:ascii="宋体" w:hAnsi="宋体" w:eastAsia="宋体"/>
          <w:color w:val="000000"/>
          <w:sz w:val="21"/>
          <w:szCs w:val="21"/>
        </w:rPr>
        <w:fldChar w:fldCharType="separate"/>
      </w:r>
      <w:r>
        <w:fldChar w:fldCharType="begin"/>
      </w:r>
      <w:r>
        <w:instrText xml:space="preserve"> HYPERLINK \l "_Toc24910" </w:instrText>
      </w:r>
      <w:r>
        <w:fldChar w:fldCharType="separate"/>
      </w:r>
      <w:r>
        <w:rPr>
          <w:rFonts w:hint="eastAsia" w:ascii="宋体" w:hAnsi="宋体" w:eastAsia="宋体"/>
          <w:color w:val="000000"/>
          <w:sz w:val="21"/>
          <w:szCs w:val="21"/>
        </w:rPr>
        <w:t xml:space="preserve">第一章  招标公告</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_Toc24910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1</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3"/>
        <w:spacing w:line="360" w:lineRule="auto"/>
        <w:tabs>
          <w:tab w:val="right" w:pos="9394" w:leader="dot"/>
        </w:tabs>
        <w:rPr>
          <w:rFonts w:ascii="宋体" w:hAnsi="宋体" w:eastAsia="宋体"/>
          <w:color w:val="000000"/>
          <w:sz w:val="21"/>
          <w:szCs w:val="21"/>
        </w:rPr>
      </w:pPr>
      <w:r>
        <w:fldChar w:fldCharType="begin"/>
      </w:r>
      <w:r>
        <w:instrText xml:space="preserve"> HYPERLINK \l "_Toc5791" </w:instrText>
      </w:r>
      <w:r>
        <w:fldChar w:fldCharType="separate"/>
      </w:r>
      <w:r>
        <w:rPr>
          <w:rFonts w:hint="eastAsia" w:ascii="宋体" w:hAnsi="宋体" w:eastAsia="宋体"/>
          <w:bCs/>
          <w:color w:val="000000"/>
          <w:sz w:val="21"/>
          <w:szCs w:val="21"/>
        </w:rPr>
        <w:t xml:space="preserve">第二章  供应商须知</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_Toc5791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5</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3"/>
        <w:spacing w:line="360" w:lineRule="auto"/>
        <w:tabs>
          <w:tab w:val="right" w:pos="9394" w:leader="dot"/>
        </w:tabs>
        <w:rPr>
          <w:rFonts w:ascii="宋体" w:hAnsi="宋体" w:eastAsia="宋体"/>
          <w:color w:val="000000"/>
          <w:sz w:val="21"/>
          <w:szCs w:val="21"/>
        </w:rPr>
      </w:pPr>
      <w:r>
        <w:fldChar w:fldCharType="begin"/>
      </w:r>
      <w:r>
        <w:instrText xml:space="preserve"> HYPERLINK \l "_Toc1203" </w:instrText>
      </w:r>
      <w:r>
        <w:fldChar w:fldCharType="separate"/>
      </w:r>
      <w:r>
        <w:rPr>
          <w:rFonts w:hint="eastAsia" w:ascii="宋体" w:hAnsi="宋体" w:eastAsia="宋体"/>
          <w:color w:val="000000"/>
          <w:sz w:val="21"/>
          <w:szCs w:val="21"/>
        </w:rPr>
        <w:t xml:space="preserve">第三章  纪律和职责</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_Toc1203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20</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3"/>
        <w:spacing w:line="360" w:lineRule="auto"/>
        <w:tabs>
          <w:tab w:val="right" w:pos="9394" w:leader="dot"/>
        </w:tabs>
        <w:rPr>
          <w:rFonts w:ascii="宋体" w:hAnsi="宋体" w:eastAsia="宋体"/>
          <w:color w:val="000000"/>
          <w:sz w:val="21"/>
          <w:szCs w:val="21"/>
        </w:rPr>
      </w:pPr>
      <w:r>
        <w:fldChar w:fldCharType="begin"/>
      </w:r>
      <w:r>
        <w:instrText xml:space="preserve"> HYPERLINK \l "_Toc5653" </w:instrText>
      </w:r>
      <w:r>
        <w:fldChar w:fldCharType="separate"/>
      </w:r>
      <w:r>
        <w:rPr>
          <w:rFonts w:hint="eastAsia" w:ascii="宋体" w:hAnsi="宋体" w:eastAsia="宋体"/>
          <w:bCs/>
          <w:color w:val="000000"/>
          <w:sz w:val="21"/>
          <w:szCs w:val="21"/>
        </w:rPr>
        <w:t xml:space="preserve">第四章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评标标准</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_Toc5653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21</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3"/>
        <w:spacing w:line="360" w:lineRule="auto"/>
        <w:tabs>
          <w:tab w:val="right" w:pos="9394" w:leader="dot"/>
        </w:tabs>
        <w:rPr>
          <w:rFonts w:ascii="宋体" w:hAnsi="宋体" w:eastAsia="宋体"/>
          <w:color w:val="000000"/>
          <w:sz w:val="21"/>
          <w:szCs w:val="21"/>
        </w:rPr>
      </w:pPr>
      <w:r>
        <w:fldChar w:fldCharType="begin"/>
      </w:r>
      <w:r>
        <w:instrText xml:space="preserve"> HYPERLINK \l "_Toc32256" </w:instrText>
      </w:r>
      <w:r>
        <w:fldChar w:fldCharType="separate"/>
      </w:r>
      <w:r>
        <w:rPr>
          <w:rFonts w:hint="eastAsia" w:ascii="宋体" w:hAnsi="宋体" w:eastAsia="宋体"/>
          <w:bCs/>
          <w:color w:val="000000"/>
          <w:sz w:val="21"/>
          <w:szCs w:val="21"/>
        </w:rPr>
        <w:t xml:space="preserve">第五章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采购项目需求</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_Toc32256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24</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3"/>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"_Toc9528" </w:instrText>
      </w:r>
      <w:r>
        <w:fldChar w:fldCharType="separate"/>
      </w:r>
      <w:r>
        <w:rPr>
          <w:rFonts w:hint="eastAsia" w:ascii="宋体" w:hAnsi="宋体" w:eastAsia="宋体"/>
          <w:color w:val="000000"/>
          <w:sz w:val="21"/>
          <w:szCs w:val="21"/>
        </w:rPr>
        <w:t xml:space="preserve">第六章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合同主要条款及格式</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6</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2</w:t>
      </w:r>
      <w:r/>
    </w:p>
    <w:p>
      <w:pPr>
        <w:pStyle w:val="1133"/>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"_Toc14619" </w:instrText>
      </w:r>
      <w:r>
        <w:fldChar w:fldCharType="separate"/>
      </w:r>
      <w:r>
        <w:rPr>
          <w:rFonts w:hint="eastAsia" w:ascii="宋体" w:hAnsi="宋体" w:eastAsia="宋体"/>
          <w:color w:val="000000"/>
          <w:sz w:val="21"/>
          <w:szCs w:val="21"/>
        </w:rPr>
        <w:t xml:space="preserve">第七章 附  件</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6</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7</w:t>
      </w:r>
      <w:r/>
    </w:p>
    <w:p>
      <w:pPr>
        <w:pStyle w:val="1133"/>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"_Toc11648" </w:instrText>
      </w:r>
      <w:r>
        <w:fldChar w:fldCharType="separate"/>
      </w:r>
      <w:r>
        <w:rPr>
          <w:rFonts w:hint="eastAsia" w:ascii="宋体" w:hAnsi="宋体" w:eastAsia="宋体"/>
          <w:color w:val="000000"/>
          <w:sz w:val="21"/>
          <w:szCs w:val="21"/>
        </w:rPr>
        <w:t xml:space="preserve">第八章  投标文件格式</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7</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1</w:t>
      </w:r>
      <w:r/>
    </w:p>
    <w:p>
      <w:pPr>
        <w:jc w:val="center"/>
        <w:spacing w:line="360" w:lineRule="auto"/>
        <w:rPr>
          <w:rFonts w:ascii="宋体" w:hAnsi="宋体" w:eastAsia="宋体"/>
          <w:color w:val="000000"/>
          <w:sz w:val="24"/>
          <w:szCs w:val="24"/>
        </w:rPr>
      </w:pPr>
      <w:r>
        <w:rPr>
          <w:rFonts w:hint="eastAsia" w:ascii="宋体" w:hAnsi="宋体" w:eastAsia="宋体"/>
          <w:color w:val="000000"/>
          <w:sz w:val="21"/>
          <w:szCs w:val="21"/>
        </w:rPr>
        <w:fldChar w:fldCharType="end"/>
      </w:r>
      <w:r/>
    </w:p>
    <w:p>
      <w:pPr>
        <w:jc w:val="center"/>
        <w:spacing w:line="360" w:lineRule="auto"/>
        <w:rPr>
          <w:rFonts w:ascii="黑体" w:hAnsi="黑体" w:eastAsia="黑体" w:cs="黑体"/>
          <w:color w:val="000000"/>
          <w:sz w:val="32"/>
          <w:szCs w:val="32"/>
        </w:rPr>
        <w:sectPr>
          <w:footerReference w:type="default" r:id="rId13"/>
          <w:footerReference w:type="first" r:id="rId14"/>
          <w:footnotePr/>
          <w:endnotePr/>
          <w:type w:val="nextPage"/>
          <w:pgSz w:w="11900" w:h="16840" w:orient="portrait"/>
          <w:pgMar w:top="1157" w:right="1253" w:bottom="1157" w:left="1253" w:header="850" w:footer="737" w:gutter="0"/>
          <w:cols w:num="1" w:sep="0" w:space="1701" w:equalWidth="1"/>
          <w:docGrid w:linePitch="360"/>
          <w:titlePg/>
        </w:sectPr>
      </w:pPr>
      <w:r>
        <w:rPr>
          <w:rFonts w:ascii="黑体" w:hAnsi="黑体" w:eastAsia="黑体" w:cs="黑体"/>
          <w:color w:val="000000"/>
          <w:sz w:val="32"/>
          <w:szCs w:val="32"/>
        </w:rPr>
      </w:r>
      <w:r/>
    </w:p>
    <w:p>
      <w:pPr>
        <w:jc w:val="center"/>
        <w:spacing w:line="360" w:lineRule="auto"/>
        <w:rPr>
          <w:rFonts w:ascii="黑体" w:hAnsi="黑体" w:eastAsia="黑体" w:cs="黑体"/>
          <w:color w:val="000000"/>
          <w:sz w:val="32"/>
          <w:szCs w:val="32"/>
        </w:rPr>
        <w:outlineLvl w:val="0"/>
      </w:pPr>
      <w:r/>
      <w:bookmarkStart w:id="0" w:name="_Toc24910"/>
      <w:r>
        <w:rPr>
          <w:rFonts w:hint="eastAsia" w:ascii="黑体" w:hAnsi="黑体" w:eastAsia="黑体" w:cs="黑体"/>
          <w:color w:val="000000"/>
          <w:sz w:val="32"/>
          <w:szCs w:val="32"/>
        </w:rPr>
        <w:t xml:space="preserve">第一章  招标公告</w:t>
      </w:r>
      <w:bookmarkEnd w:id="0"/>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项目概况：</w:t>
      </w:r>
      <w:r/>
    </w:p>
    <w:p>
      <w:pPr>
        <w:pStyle w:val="1108"/>
        <w:ind w:firstLine="422"/>
        <w:spacing w:line="360" w:lineRule="auto"/>
        <w:rPr>
          <w:rFonts w:ascii="宋体" w:hAnsi="宋体" w:cs="宋体"/>
          <w:color w:val="000000"/>
          <w:szCs w:val="21"/>
        </w:rPr>
      </w:pPr>
      <w:r>
        <w:rPr>
          <w:rFonts w:hint="eastAsia" w:ascii="宋体" w:hAnsi="宋体" w:cs="宋体"/>
          <w:b/>
          <w:bCs/>
          <w:color w:val="000000"/>
          <w:szCs w:val="21"/>
          <w:u w:val="single"/>
        </w:rPr>
        <w:t xml:space="preserve">南京信息职业技术学院标准化泵房建设项目</w:t>
      </w:r>
      <w:r>
        <w:rPr>
          <w:rFonts w:hint="eastAsia" w:ascii="宋体" w:hAnsi="宋体" w:cs="宋体"/>
          <w:color w:val="000000"/>
          <w:szCs w:val="21"/>
        </w:rPr>
        <w:t xml:space="preserve">（项目名称）招标项目的潜在供应商应在</w:t>
      </w:r>
      <w:r>
        <w:rPr>
          <w:rFonts w:hint="eastAsia" w:ascii="宋体" w:hAnsi="宋体" w:cs="宋体"/>
          <w:b/>
          <w:bCs/>
          <w:color w:val="000000"/>
          <w:szCs w:val="21"/>
          <w:u w:val="single"/>
        </w:rPr>
        <w:t xml:space="preserve">江苏政府采购网“苏采云”系统</w:t>
      </w:r>
      <w:r>
        <w:rPr>
          <w:rFonts w:hint="eastAsia" w:ascii="宋体" w:hAnsi="宋体" w:cs="宋体"/>
          <w:color w:val="000000"/>
          <w:szCs w:val="21"/>
        </w:rPr>
        <w:t xml:space="preserve">获取招标文件，并于</w:t>
      </w:r>
      <w:r>
        <w:rPr>
          <w:rFonts w:hint="eastAsia" w:ascii="宋体" w:hAnsi="宋体" w:cs="宋体"/>
          <w:b/>
          <w:bCs/>
          <w:color w:val="000000"/>
          <w:szCs w:val="21"/>
          <w:highlight w:val="yellow"/>
          <w:u w:val="single"/>
        </w:rPr>
        <w:t xml:space="preserve">2026年</w:t>
      </w:r>
      <w:r>
        <w:rPr>
          <w:rFonts w:hint="eastAsia" w:ascii="宋体" w:hAnsi="宋体" w:cs="宋体"/>
          <w:b/>
          <w:bCs/>
          <w:color w:val="000000"/>
          <w:szCs w:val="21"/>
          <w:highlight w:val="yellow"/>
          <w:u w:val="single"/>
          <w:lang w:val="en-US" w:eastAsia="zh-CN"/>
        </w:rPr>
        <w:t xml:space="preserve">8</w:t>
      </w:r>
      <w:r>
        <w:rPr>
          <w:rFonts w:hint="eastAsia" w:ascii="宋体" w:hAnsi="宋体" w:cs="宋体"/>
          <w:b/>
          <w:bCs/>
          <w:color w:val="000000"/>
          <w:szCs w:val="21"/>
          <w:highlight w:val="yellow"/>
          <w:u w:val="single"/>
        </w:rPr>
        <w:t xml:space="preserve">月</w:t>
      </w:r>
      <w:r>
        <w:rPr>
          <w:rFonts w:hint="eastAsia" w:ascii="宋体" w:hAnsi="宋体" w:cs="宋体"/>
          <w:b/>
          <w:bCs/>
          <w:color w:val="000000"/>
          <w:szCs w:val="21"/>
          <w:highlight w:val="yellow"/>
          <w:u w:val="single"/>
          <w:lang w:val="en-US" w:eastAsia="zh-CN"/>
        </w:rPr>
        <w:t xml:space="preserve">13</w:t>
      </w:r>
      <w:r>
        <w:rPr>
          <w:rFonts w:hint="eastAsia" w:ascii="宋体" w:hAnsi="宋体" w:cs="宋体"/>
          <w:b/>
          <w:bCs/>
          <w:color w:val="000000"/>
          <w:szCs w:val="21"/>
          <w:highlight w:val="yellow"/>
          <w:u w:val="single"/>
        </w:rPr>
        <w:t xml:space="preserve">日</w:t>
      </w:r>
      <w:r>
        <w:rPr>
          <w:rFonts w:hint="eastAsia" w:ascii="宋体" w:hAnsi="宋体" w:cs="宋体"/>
          <w:b/>
          <w:bCs/>
          <w:color w:val="000000"/>
          <w:szCs w:val="21"/>
          <w:highlight w:val="yellow"/>
          <w:u w:val="single"/>
          <w:lang w:val="en-US" w:eastAsia="zh-CN"/>
        </w:rPr>
        <w:t xml:space="preserve">14</w:t>
      </w:r>
      <w:r>
        <w:rPr>
          <w:rFonts w:hint="eastAsia" w:ascii="宋体" w:hAnsi="宋体" w:cs="宋体"/>
          <w:b/>
          <w:bCs/>
          <w:color w:val="000000"/>
          <w:szCs w:val="21"/>
          <w:highlight w:val="yellow"/>
        </w:rPr>
        <w:t xml:space="preserve">时</w:t>
      </w:r>
      <w:r>
        <w:rPr>
          <w:rFonts w:hint="eastAsia" w:ascii="宋体" w:hAnsi="宋体" w:cs="宋体"/>
          <w:b/>
          <w:bCs/>
          <w:color w:val="000000"/>
          <w:szCs w:val="21"/>
          <w:highlight w:val="yellow"/>
          <w:u w:val="single"/>
          <w:lang w:val="en-US" w:eastAsia="zh-CN"/>
        </w:rPr>
        <w:t xml:space="preserve">00</w:t>
      </w:r>
      <w:r>
        <w:rPr>
          <w:rFonts w:hint="eastAsia" w:ascii="宋体" w:hAnsi="宋体" w:cs="宋体"/>
          <w:b/>
          <w:bCs/>
          <w:color w:val="000000"/>
          <w:szCs w:val="21"/>
          <w:highlight w:val="yellow"/>
        </w:rPr>
        <w:t xml:space="preserve">分</w:t>
      </w:r>
      <w:r>
        <w:rPr>
          <w:rFonts w:hint="eastAsia" w:ascii="宋体" w:hAnsi="宋体" w:cs="宋体"/>
          <w:color w:val="000000"/>
          <w:szCs w:val="21"/>
        </w:rPr>
        <w:t xml:space="preserve">（北京时间）前递交投标文件。</w:t>
      </w:r>
      <w:r/>
    </w:p>
    <w:p>
      <w:pPr>
        <w:ind w:firstLine="422"/>
        <w:spacing w:line="360" w:lineRule="auto"/>
        <w:rPr>
          <w:rFonts w:ascii="宋体" w:hAnsi="宋体" w:eastAsia="宋体"/>
          <w:b/>
          <w:bCs/>
          <w:color w:val="000000"/>
          <w:sz w:val="21"/>
          <w:szCs w:val="21"/>
        </w:rPr>
      </w:pPr>
      <w:r/>
      <w:bookmarkStart w:id="1" w:name="_Toc28359002"/>
      <w:r/>
      <w:bookmarkStart w:id="2" w:name="_Toc35393621"/>
      <w:r/>
      <w:bookmarkStart w:id="3" w:name="_Toc35393790"/>
      <w:r/>
      <w:bookmarkStart w:id="4" w:name="_Toc28359079"/>
      <w:r/>
      <w:bookmarkStart w:id="5" w:name="_Hlk24379207"/>
      <w:r>
        <w:rPr>
          <w:rFonts w:hint="eastAsia" w:ascii="宋体" w:hAnsi="宋体" w:eastAsia="宋体"/>
          <w:b/>
          <w:bCs/>
          <w:color w:val="000000"/>
          <w:sz w:val="21"/>
          <w:szCs w:val="21"/>
        </w:rPr>
        <w:t xml:space="preserve">一、项目基本情况</w:t>
      </w:r>
      <w:bookmarkEnd w:id="1"/>
      <w:r/>
      <w:bookmarkEnd w:id="2"/>
      <w:r/>
      <w:bookmarkEnd w:id="3"/>
      <w:r/>
      <w:bookmarkEnd w:id="4"/>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项目编号：JSZC-320000-HXZC-G2026-0036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1.2</w:t>
      </w:r>
      <w:r>
        <w:rPr>
          <w:rFonts w:hint="eastAsia" w:ascii="宋体" w:hAnsi="宋体" w:eastAsia="宋体"/>
          <w:color w:val="000000"/>
          <w:sz w:val="21"/>
          <w:szCs w:val="21"/>
        </w:rPr>
        <w:t xml:space="preserve">项目名称：南京信息职业技术学院</w:t>
      </w:r>
      <w:r>
        <w:rPr>
          <w:rFonts w:hint="eastAsia" w:ascii="宋体" w:hAnsi="宋体"/>
          <w:b/>
          <w:bCs/>
          <w:color w:val="000000"/>
          <w:szCs w:val="21"/>
          <w:u w:val="single"/>
          <w:lang w:val="en-US"/>
        </w:rPr>
        <w:t xml:space="preserve">标准化泵房建设</w:t>
      </w:r>
      <w:r>
        <w:rPr>
          <w:rFonts w:hint="eastAsia" w:ascii="宋体" w:hAnsi="宋体" w:eastAsia="宋体"/>
          <w:color w:val="000000"/>
          <w:sz w:val="21"/>
          <w:szCs w:val="21"/>
        </w:rPr>
        <w:t xml:space="preserve">项目</w:t>
      </w:r>
      <w:bookmarkEnd w:id="5"/>
      <w:r/>
      <w:r/>
    </w:p>
    <w:p>
      <w:pPr>
        <w:ind w:firstLine="420"/>
        <w:spacing w:line="360" w:lineRule="auto"/>
        <w:rPr>
          <w:rFonts w:ascii="宋体" w:hAnsi="宋体" w:eastAsia="宋体"/>
          <w:color w:val="000000"/>
          <w:sz w:val="21"/>
          <w:szCs w:val="21"/>
          <w:u w:val="single"/>
          <w:lang w:val="en-US"/>
        </w:rPr>
      </w:pPr>
      <w:r>
        <w:rPr>
          <w:rFonts w:hint="eastAsia" w:ascii="宋体" w:hAnsi="宋体" w:eastAsia="宋体"/>
          <w:color w:val="000000"/>
          <w:sz w:val="21"/>
          <w:szCs w:val="21"/>
          <w:lang w:val="en-US"/>
        </w:rPr>
        <w:t xml:space="preserve">1.3</w:t>
      </w:r>
      <w:r>
        <w:rPr>
          <w:rFonts w:hint="eastAsia" w:ascii="宋体" w:hAnsi="宋体" w:eastAsia="宋体"/>
          <w:color w:val="000000"/>
          <w:sz w:val="21"/>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lang w:val="en-US"/>
        </w:rPr>
        <w:t xml:space="preserve">其他未列明行业</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项目预算：</w:t>
      </w:r>
      <w:r>
        <w:rPr>
          <w:rFonts w:hint="eastAsia" w:ascii="宋体" w:hAnsi="宋体" w:eastAsia="宋体"/>
          <w:color w:val="000000"/>
          <w:sz w:val="21"/>
          <w:szCs w:val="21"/>
        </w:rPr>
        <w:t xml:space="preserve">278.05万元</w:t>
      </w:r>
      <w:r>
        <w:rPr>
          <w:rFonts w:hint="eastAsia" w:ascii="宋体" w:hAnsi="宋体" w:eastAsia="宋体"/>
          <w:color w:val="000000"/>
          <w:sz w:val="21"/>
          <w:szCs w:val="21"/>
        </w:rPr>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1.5</w:t>
      </w:r>
      <w:r>
        <w:rPr>
          <w:rFonts w:hint="eastAsia" w:ascii="宋体" w:hAnsi="宋体" w:eastAsia="宋体"/>
          <w:color w:val="000000"/>
          <w:sz w:val="21"/>
          <w:szCs w:val="21"/>
        </w:rPr>
        <w:t xml:space="preserve">最高限价：2730165.15</w:t>
      </w:r>
      <w:r>
        <w:rPr>
          <w:rFonts w:hint="eastAsia" w:ascii="宋体" w:hAnsi="宋体" w:eastAsia="宋体"/>
          <w:color w:val="000000"/>
          <w:sz w:val="21"/>
          <w:szCs w:val="21"/>
          <w:lang w:val="en-US"/>
        </w:rPr>
        <w:t xml:space="preserve">元</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1.6</w:t>
      </w:r>
      <w:r>
        <w:rPr>
          <w:rFonts w:hint="eastAsia" w:ascii="宋体" w:hAnsi="宋体" w:eastAsia="宋体"/>
          <w:color w:val="000000"/>
          <w:sz w:val="21"/>
          <w:szCs w:val="21"/>
        </w:rPr>
        <w:t xml:space="preserve">采购需求：</w:t>
      </w:r>
      <w:r>
        <w:rPr>
          <w:rFonts w:hint="eastAsia" w:ascii="宋体" w:hAnsi="宋体" w:eastAsia="宋体"/>
          <w:color w:val="000000"/>
          <w:sz w:val="21"/>
          <w:szCs w:val="21"/>
          <w:lang w:val="en-US"/>
        </w:rPr>
        <w:t xml:space="preserve">本项目为南京信息职业技术学院生活泵房改造项目采购（具体采购内容清单详见招标文件采购项目需求部分），项目内容包括但不限于产品设备采购、运输、安装、调试、提供备品备件、专业安装工具直至交付使用通过验收、售后服务等。</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w:t>
      </w:r>
      <w:r>
        <w:rPr>
          <w:rFonts w:hint="eastAsia" w:ascii="宋体" w:hAnsi="宋体" w:eastAsia="宋体"/>
          <w:color w:val="000000"/>
          <w:sz w:val="21"/>
          <w:szCs w:val="21"/>
        </w:rPr>
        <w:t xml:space="preserve">合同履行期限：</w:t>
      </w:r>
      <w:r>
        <w:rPr>
          <w:rFonts w:hint="eastAsia" w:ascii="宋体" w:hAnsi="宋体" w:eastAsia="宋体"/>
          <w:color w:val="000000"/>
          <w:sz w:val="21"/>
          <w:szCs w:val="21"/>
          <w:lang w:val="en-US"/>
        </w:rPr>
        <w:t xml:space="preserve">自合同签订之日起45个工作日内完成供货、配套安装及相关调试工作，通过验收，交付使用。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1.8</w:t>
      </w:r>
      <w:r>
        <w:rPr>
          <w:rFonts w:hint="eastAsia" w:ascii="宋体" w:hAnsi="宋体" w:eastAsia="宋体"/>
          <w:color w:val="000000"/>
          <w:sz w:val="21"/>
          <w:szCs w:val="21"/>
        </w:rPr>
        <w:t xml:space="preserve">本项目是否属专门面向中小企业采购项目：否。</w:t>
      </w:r>
      <w:r/>
    </w:p>
    <w:p>
      <w:pPr>
        <w:ind w:firstLine="420"/>
        <w:spacing w:line="360" w:lineRule="auto"/>
        <w:rPr>
          <w:rFonts w:ascii="宋体" w:hAnsi="宋体" w:eastAsia="宋体"/>
          <w:color w:val="000000"/>
          <w:sz w:val="21"/>
          <w:szCs w:val="21"/>
        </w:rPr>
      </w:pPr>
      <w:r/>
      <w:bookmarkStart w:id="6" w:name="_Toc28359080"/>
      <w:r/>
      <w:bookmarkStart w:id="7" w:name="_Toc35393622"/>
      <w:r/>
      <w:bookmarkStart w:id="8" w:name="_Toc28359003"/>
      <w:r/>
      <w:bookmarkStart w:id="9" w:name="_Toc35393791"/>
      <w:r>
        <w:rPr>
          <w:rFonts w:hint="eastAsia" w:ascii="宋体" w:hAnsi="宋体" w:eastAsia="宋体"/>
          <w:color w:val="000000"/>
          <w:sz w:val="21"/>
          <w:szCs w:val="21"/>
          <w:lang w:val="en-US"/>
        </w:rPr>
        <w:t xml:space="preserve">1.9</w:t>
      </w:r>
      <w:r>
        <w:rPr>
          <w:rFonts w:hint="eastAsia" w:ascii="宋体" w:hAnsi="宋体" w:eastAsia="宋体"/>
          <w:color w:val="000000"/>
          <w:sz w:val="21"/>
          <w:szCs w:val="21"/>
        </w:rPr>
        <w:t xml:space="preserve">本项目是否接受联合体投标：否。</w:t>
      </w:r>
      <w:r/>
    </w:p>
    <w:p>
      <w:pPr>
        <w:ind w:firstLine="420"/>
        <w:spacing w:line="360" w:lineRule="auto"/>
        <w:rPr>
          <w:rFonts w:ascii="宋体" w:hAnsi="宋体" w:eastAsia="宋体"/>
          <w:b/>
          <w:bCs/>
          <w:color w:val="000000"/>
          <w:sz w:val="21"/>
          <w:szCs w:val="21"/>
        </w:rPr>
      </w:pPr>
      <w:r>
        <w:rPr>
          <w:rFonts w:hint="eastAsia" w:ascii="宋体" w:hAnsi="宋体" w:eastAsia="宋体"/>
          <w:color w:val="000000"/>
          <w:sz w:val="21"/>
          <w:szCs w:val="21"/>
          <w:lang w:val="en-US"/>
        </w:rPr>
        <w:t xml:space="preserve">1.10</w:t>
      </w:r>
      <w:r>
        <w:rPr>
          <w:rFonts w:hint="eastAsia" w:ascii="宋体" w:hAnsi="宋体" w:eastAsia="宋体"/>
          <w:color w:val="000000"/>
          <w:sz w:val="21"/>
          <w:szCs w:val="21"/>
        </w:rPr>
        <w:t xml:space="preserve">本项目是否接受进口产品：</w:t>
      </w:r>
      <w:r>
        <w:rPr>
          <w:rFonts w:hint="eastAsia" w:ascii="宋体" w:hAnsi="宋体" w:eastAsia="宋体"/>
          <w:color w:val="000000"/>
          <w:sz w:val="21"/>
          <w:szCs w:val="21"/>
          <w:lang w:val="en-US"/>
        </w:rPr>
        <w:t xml:space="preserve">不接受。</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二、供应商的资格要求</w:t>
      </w:r>
      <w:bookmarkEnd w:id="6"/>
      <w:r/>
      <w:bookmarkEnd w:id="7"/>
      <w:r/>
      <w:bookmarkEnd w:id="8"/>
      <w:r/>
      <w:bookmarkEnd w:id="9"/>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2.1</w:t>
      </w:r>
      <w:r>
        <w:rPr>
          <w:rFonts w:hint="eastAsia" w:ascii="宋体" w:hAnsi="宋体" w:eastAsia="宋体"/>
          <w:color w:val="000000"/>
          <w:sz w:val="21"/>
          <w:szCs w:val="21"/>
        </w:rPr>
        <w:t xml:space="preserve">满足《中华人民共和国政府采购法》第二十二条规定，即：</w:t>
      </w:r>
      <w:r/>
    </w:p>
    <w:p>
      <w:pPr>
        <w:ind w:firstLine="420"/>
        <w:spacing w:line="360" w:lineRule="auto"/>
        <w:rPr>
          <w:rFonts w:ascii="宋体" w:hAnsi="宋体" w:eastAsia="宋体"/>
          <w:color w:val="000000"/>
          <w:sz w:val="21"/>
          <w:szCs w:val="21"/>
          <w:lang w:val="en-US"/>
        </w:rPr>
      </w:pPr>
      <w:r/>
      <w:bookmarkStart w:id="10" w:name="_Toc28359004"/>
      <w:r/>
      <w:bookmarkStart w:id="11" w:name="_Toc28359081"/>
      <w:r>
        <w:rPr>
          <w:rFonts w:hint="eastAsia" w:ascii="宋体" w:hAnsi="宋体" w:eastAsia="宋体"/>
          <w:color w:val="000000"/>
          <w:sz w:val="21"/>
          <w:szCs w:val="21"/>
          <w:lang w:val="en-US"/>
        </w:rPr>
        <w:t xml:space="preserve">（1）具有独立承担民事责任的能力（提供法人或者其他组织的营业执照等证明材料，自然人的身份证明）；</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（2）具有良好的商业信誉和健全的财务会计制度（</w:t>
      </w:r>
      <w:r>
        <w:rPr>
          <w:rFonts w:hint="eastAsia" w:ascii="宋体" w:hAnsi="宋体" w:eastAsia="宋体"/>
          <w:sz w:val="21"/>
          <w:szCs w:val="21"/>
          <w:lang w:val="en-US"/>
        </w:rPr>
        <w:t xml:space="preserve">提供2025年度经审计的财务报告或银行出具的资信证明或其他会计报表等，成立不满一个月不需提供</w:t>
      </w:r>
      <w:r>
        <w:rPr>
          <w:rFonts w:hint="eastAsia" w:ascii="宋体" w:hAnsi="宋体" w:eastAsia="宋体"/>
          <w:color w:val="000000"/>
          <w:sz w:val="21"/>
          <w:szCs w:val="21"/>
          <w:lang w:val="en-US"/>
        </w:rPr>
        <w:t xml:space="preserve">）；</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（6）法律、行政法规规定的其他条件：无。</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2.2</w:t>
      </w:r>
      <w:r>
        <w:rPr>
          <w:rFonts w:hint="eastAsia" w:ascii="宋体" w:hAnsi="宋体" w:eastAsia="宋体"/>
          <w:color w:val="000000"/>
          <w:sz w:val="21"/>
          <w:szCs w:val="21"/>
        </w:rPr>
        <w:t xml:space="preserve">落实政府采购政策需满足的资格要求：</w:t>
      </w:r>
      <w:bookmarkStart w:id="72" w:name="_GoBack"/>
      <w:r/>
      <w:bookmarkEnd w:id="72"/>
      <w:r>
        <w:rPr>
          <w:rFonts w:hint="eastAsia" w:ascii="宋体" w:hAnsi="宋体" w:eastAsia="宋体"/>
          <w:color w:val="000000"/>
          <w:sz w:val="21"/>
          <w:szCs w:val="21"/>
        </w:rPr>
        <w:t xml:space="preserve">如属于专门面向中小企业采购的项目，供应商应为中小微企业、监狱企业、残疾人福利性单位，本项目按照采用以下第（4）种方式落实政府采购促进中小企业发展的要求：</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（1）本项目整体专门面向中小企业采购货物。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（2）本项目整体专门面向小微企业采购货物。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（3）本项目通过以下第（ ）种方式预留部分采购份额采购中小企业货物：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①本项目要求供应商以联合体形式参加，企业合同金额应当达到的比例为  /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②本项目要求供应商进行合同分包，企业合同金额应当达到的比例为  /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（4）本项目为非预留份额的采购项目或采购包，执行价格扣除优惠政策，具体详见采购文件评标标准。</w:t>
      </w:r>
      <w:r/>
    </w:p>
    <w:p>
      <w:pPr>
        <w:pStyle w:val="906"/>
        <w:ind w:firstLine="420"/>
        <w:spacing w:line="360" w:lineRule="auto"/>
      </w:pPr>
      <w:r>
        <w:rPr>
          <w:rFonts w:hint="eastAsia" w:ascii="宋体" w:hAnsi="宋体" w:eastAsia="宋体"/>
          <w:color w:val="000000"/>
          <w:sz w:val="21"/>
          <w:szCs w:val="21"/>
          <w:lang w:val="en-US"/>
        </w:rPr>
        <w:t xml:space="preserve">2.3</w:t>
      </w:r>
      <w:r>
        <w:rPr>
          <w:rFonts w:hint="eastAsia" w:ascii="宋体" w:hAnsi="宋体" w:eastAsia="宋体"/>
          <w:color w:val="000000"/>
          <w:sz w:val="21"/>
          <w:szCs w:val="21"/>
        </w:rPr>
        <w:t xml:space="preserve">采购人根据采购项目的特殊要求规定的特定条件：</w:t>
      </w:r>
      <w:r>
        <w:rPr>
          <w:rFonts w:hint="eastAsia" w:ascii="宋体" w:hAnsi="宋体"/>
          <w:color w:val="000000"/>
          <w:szCs w:val="20"/>
        </w:rPr>
        <w:t xml:space="preserve">投标水泵制造商具有省级卫生健康委员会《涉及饮用水卫生安全产品卫生许可批件》</w:t>
      </w:r>
      <w:r>
        <w:rPr>
          <w:rFonts w:hint="eastAsia" w:ascii="宋体" w:hAnsi="宋体" w:eastAsia="宋体"/>
          <w:color w:val="000000"/>
          <w:szCs w:val="20"/>
          <w:lang w:val="en-US"/>
        </w:rPr>
        <w:t xml:space="preserve">且</w:t>
      </w:r>
      <w:r>
        <w:rPr>
          <w:rFonts w:ascii="宋体" w:hAnsi="宋体" w:eastAsia="宋体"/>
          <w:color w:val="000000"/>
          <w:szCs w:val="20"/>
        </w:rPr>
        <w:t xml:space="preserve">供应商</w:t>
      </w:r>
      <w:r>
        <w:rPr>
          <w:rFonts w:hint="eastAsia" w:ascii="宋体" w:hAnsi="宋体"/>
          <w:color w:val="000000"/>
          <w:szCs w:val="20"/>
        </w:rPr>
        <w:t xml:space="preserve">具有机电工程施工总承包三级（含）以上资质或建筑机电安装工程专业承包三级（含）以上资质，并取得安全生产许可证</w:t>
      </w:r>
      <w:r>
        <w:rPr>
          <w:rFonts w:hint="eastAsia" w:ascii="宋体" w:hAnsi="宋体" w:eastAsia="宋体"/>
          <w:color w:val="000000"/>
          <w:szCs w:val="20"/>
        </w:rPr>
        <w:t xml:space="preserve">。</w:t>
      </w:r>
      <w:r/>
    </w:p>
    <w:p>
      <w:pPr>
        <w:ind w:firstLine="420"/>
        <w:spacing w:line="360" w:lineRule="auto"/>
        <w:rPr>
          <w:rFonts w:ascii="宋体" w:hAnsi="宋体" w:eastAsia="宋体"/>
          <w:color w:val="000000"/>
          <w:sz w:val="21"/>
          <w:szCs w:val="21"/>
          <w:lang w:val="en-US"/>
        </w:rPr>
      </w:pPr>
      <w:r/>
      <w:bookmarkStart w:id="12" w:name="_Toc35393792"/>
      <w:r/>
      <w:bookmarkStart w:id="13" w:name="_Toc35393623"/>
      <w:r>
        <w:rPr>
          <w:rFonts w:hint="eastAsia" w:ascii="宋体" w:hAnsi="宋体" w:eastAsia="宋体"/>
          <w:color w:val="000000"/>
          <w:sz w:val="21"/>
          <w:szCs w:val="21"/>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2.5</w:t>
      </w:r>
      <w:r>
        <w:rPr>
          <w:rFonts w:hint="eastAsia" w:ascii="宋体" w:hAnsi="宋体" w:eastAsia="宋体"/>
          <w:color w:val="000000"/>
          <w:sz w:val="21"/>
          <w:szCs w:val="21"/>
        </w:rPr>
        <w:t xml:space="preserve">供应商单位负责人为同一人或者存在直接控股、管理关系的不同供应商，不得参加本项目的采购活动。</w:t>
      </w:r>
      <w:r>
        <w:rPr>
          <w:rFonts w:hint="eastAsia" w:ascii="宋体" w:hAnsi="宋体" w:eastAsia="宋体"/>
          <w:sz w:val="21"/>
          <w:szCs w:val="21"/>
        </w:rPr>
        <w:t xml:space="preserve">（</w:t>
      </w:r>
      <w:r>
        <w:rPr>
          <w:rFonts w:hint="eastAsia" w:ascii="宋体" w:hAnsi="宋体" w:eastAsia="宋体"/>
          <w:sz w:val="21"/>
          <w:szCs w:val="21"/>
          <w:lang w:val="en-US"/>
        </w:rPr>
        <w:t xml:space="preserve">提供相应承诺，格式自拟</w:t>
      </w:r>
      <w:r>
        <w:rPr>
          <w:rFonts w:hint="eastAsia" w:ascii="宋体" w:hAnsi="宋体" w:eastAsia="宋体"/>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2.6</w:t>
      </w:r>
      <w:r>
        <w:rPr>
          <w:rFonts w:hint="eastAsia" w:ascii="宋体" w:hAnsi="宋体" w:eastAsia="宋体"/>
          <w:color w:val="000000"/>
          <w:sz w:val="21"/>
          <w:szCs w:val="21"/>
        </w:rPr>
        <w:t xml:space="preserve">为采购项目提供整体设计、规范编制或者项目管理、监理、检测等服务的供应商，不得再参加该采购项目的其他采购活动。</w:t>
      </w:r>
      <w:r>
        <w:rPr>
          <w:rFonts w:hint="eastAsia" w:ascii="宋体" w:hAnsi="宋体" w:eastAsia="宋体"/>
          <w:sz w:val="21"/>
          <w:szCs w:val="21"/>
        </w:rPr>
        <w:t xml:space="preserve">（</w:t>
      </w:r>
      <w:r>
        <w:rPr>
          <w:rFonts w:hint="eastAsia" w:ascii="宋体" w:hAnsi="宋体" w:eastAsia="宋体"/>
          <w:sz w:val="21"/>
          <w:szCs w:val="21"/>
          <w:lang w:val="en-US"/>
        </w:rPr>
        <w:t xml:space="preserve">提供相应承诺，格式自拟</w:t>
      </w:r>
      <w:r>
        <w:rPr>
          <w:rFonts w:hint="eastAsia" w:ascii="宋体" w:hAnsi="宋体" w:eastAsia="宋体"/>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rPr>
          <w:rFonts w:hint="eastAsia" w:ascii="宋体" w:hAnsi="宋体" w:eastAsia="宋体"/>
          <w:sz w:val="21"/>
          <w:szCs w:val="21"/>
        </w:rPr>
        <w:t xml:space="preserve">（</w:t>
      </w:r>
      <w:r>
        <w:rPr>
          <w:rFonts w:hint="eastAsia" w:ascii="宋体" w:hAnsi="宋体" w:eastAsia="宋体"/>
          <w:sz w:val="21"/>
          <w:szCs w:val="21"/>
          <w:lang w:val="en-US"/>
        </w:rPr>
        <w:t xml:space="preserve">提供查询截图</w:t>
      </w:r>
      <w:r>
        <w:rPr>
          <w:rFonts w:hint="eastAsia" w:ascii="宋体" w:hAnsi="宋体" w:eastAsia="宋体"/>
          <w:sz w:val="21"/>
          <w:szCs w:val="21"/>
        </w:rPr>
        <w:t xml:space="preserve">）</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三、获取</w:t>
      </w:r>
      <w:bookmarkEnd w:id="10"/>
      <w:r/>
      <w:bookmarkEnd w:id="11"/>
      <w:r/>
      <w:bookmarkEnd w:id="12"/>
      <w:r/>
      <w:bookmarkEnd w:id="13"/>
      <w:r>
        <w:rPr>
          <w:rFonts w:hint="eastAsia" w:ascii="宋体" w:hAnsi="宋体" w:eastAsia="宋体"/>
          <w:b/>
          <w:bCs/>
          <w:color w:val="000000"/>
          <w:sz w:val="21"/>
          <w:szCs w:val="21"/>
        </w:rPr>
        <w:t xml:space="preserve">招标文件：</w:t>
      </w:r>
      <w:r/>
    </w:p>
    <w:p>
      <w:pPr>
        <w:ind w:firstLine="420"/>
        <w:spacing w:line="360" w:lineRule="auto"/>
        <w:rPr>
          <w:rFonts w:ascii="宋体" w:hAnsi="宋体" w:eastAsia="宋体"/>
          <w:color w:val="000000"/>
          <w:sz w:val="21"/>
          <w:szCs w:val="21"/>
          <w:lang w:val="en-US"/>
        </w:rPr>
      </w:pPr>
      <w:r/>
      <w:bookmarkStart w:id="14" w:name="_Toc35393793"/>
      <w:r/>
      <w:bookmarkStart w:id="15" w:name="_Toc28359005"/>
      <w:r/>
      <w:bookmarkStart w:id="16" w:name="_Toc35393624"/>
      <w:r/>
      <w:bookmarkStart w:id="17" w:name="_Toc28359082"/>
      <w:r>
        <w:rPr>
          <w:rFonts w:hint="eastAsia" w:ascii="宋体" w:hAnsi="宋体" w:eastAsia="宋体"/>
          <w:color w:val="000000"/>
          <w:sz w:val="21"/>
          <w:szCs w:val="21"/>
          <w:lang w:val="en-US"/>
        </w:rPr>
        <w:t xml:space="preserve">3.1时间：自招标文件公告发布之日起5个工作日。</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3.2地点：江苏省政府采购交易系统（苏采云）。</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3.3方式：网上下载。</w:t>
      </w:r>
      <w:r/>
    </w:p>
    <w:p>
      <w:pPr>
        <w:ind w:firstLine="420"/>
        <w:spacing w:line="360" w:lineRule="auto"/>
        <w:rPr>
          <w:rFonts w:ascii="宋体" w:hAnsi="宋体" w:eastAsia="宋体"/>
          <w:color w:val="000000"/>
          <w:lang w:val="en-US"/>
        </w:rPr>
      </w:pPr>
      <w:r>
        <w:rPr>
          <w:rFonts w:hint="eastAsia" w:ascii="宋体" w:hAnsi="宋体" w:eastAsia="宋体"/>
          <w:color w:val="000000"/>
          <w:sz w:val="21"/>
          <w:szCs w:val="21"/>
          <w:lang w:val="en-US"/>
        </w:rPr>
        <w:t xml:space="preserve">3.4售价：0.00元。</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四、投标</w:t>
      </w:r>
      <w:bookmarkEnd w:id="14"/>
      <w:r/>
      <w:bookmarkEnd w:id="15"/>
      <w:r/>
      <w:bookmarkEnd w:id="16"/>
      <w:r/>
      <w:bookmarkEnd w:id="17"/>
      <w:r>
        <w:rPr>
          <w:rFonts w:hint="eastAsia" w:ascii="宋体" w:hAnsi="宋体" w:eastAsia="宋体"/>
          <w:b/>
          <w:bCs/>
          <w:color w:val="000000"/>
          <w:sz w:val="21"/>
          <w:szCs w:val="21"/>
        </w:rPr>
        <w:t xml:space="preserve">、开标信息：</w:t>
      </w:r>
      <w:r/>
    </w:p>
    <w:p>
      <w:pPr>
        <w:ind w:firstLine="420"/>
        <w:spacing w:line="360" w:lineRule="auto"/>
        <w:rPr>
          <w:rFonts w:ascii="宋体" w:hAnsi="宋体" w:eastAsia="宋体"/>
          <w:color w:val="000000"/>
          <w:sz w:val="21"/>
          <w:szCs w:val="21"/>
          <w:lang w:val="en-US"/>
        </w:rPr>
      </w:pPr>
      <w:r/>
      <w:bookmarkStart w:id="18" w:name="_Toc35393625"/>
      <w:r/>
      <w:bookmarkStart w:id="19" w:name="_Toc28359084"/>
      <w:r/>
      <w:bookmarkStart w:id="20" w:name="_Toc28359007"/>
      <w:r/>
      <w:bookmarkStart w:id="21" w:name="_Toc35393794"/>
      <w:r>
        <w:rPr>
          <w:rFonts w:hint="eastAsia" w:ascii="宋体" w:hAnsi="宋体" w:eastAsia="宋体"/>
          <w:color w:val="000000"/>
          <w:sz w:val="21"/>
          <w:szCs w:val="21"/>
          <w:lang w:val="en-US"/>
        </w:rPr>
        <w:t xml:space="preserve">4.1开标时间：2026年</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lang w:val="en-US"/>
        </w:rPr>
        <w:t xml:space="preserve">月</w:t>
      </w:r>
      <w:r>
        <w:rPr>
          <w:rFonts w:hint="eastAsia" w:ascii="宋体" w:hAnsi="宋体" w:eastAsia="宋体"/>
          <w:color w:val="000000"/>
          <w:sz w:val="21"/>
          <w:szCs w:val="21"/>
          <w:lang w:val="en-US" w:eastAsia="zh-CN"/>
        </w:rPr>
        <w:t xml:space="preserve">13</w:t>
      </w:r>
      <w:r>
        <w:rPr>
          <w:rFonts w:hint="eastAsia" w:ascii="宋体" w:hAnsi="宋体" w:eastAsia="宋体"/>
          <w:color w:val="000000"/>
          <w:sz w:val="21"/>
          <w:szCs w:val="21"/>
          <w:lang w:val="en-US"/>
        </w:rPr>
        <w:t xml:space="preserve">日</w:t>
      </w:r>
      <w:r>
        <w:rPr>
          <w:rFonts w:hint="eastAsia" w:ascii="宋体" w:hAnsi="宋体" w:eastAsia="宋体"/>
          <w:color w:val="000000"/>
          <w:sz w:val="21"/>
          <w:szCs w:val="21"/>
          <w:lang w:val="en-US" w:eastAsia="zh-CN"/>
        </w:rPr>
        <w:t xml:space="preserve">14</w:t>
      </w:r>
      <w:r>
        <w:rPr>
          <w:rFonts w:hint="eastAsia" w:ascii="宋体" w:hAnsi="宋体" w:eastAsia="宋体"/>
          <w:color w:val="000000"/>
          <w:sz w:val="21"/>
          <w:szCs w:val="21"/>
          <w:lang w:val="en-US"/>
        </w:rPr>
        <w:t xml:space="preserve">时</w:t>
      </w:r>
      <w:r>
        <w:rPr>
          <w:rFonts w:hint="eastAsia" w:ascii="宋体" w:hAnsi="宋体" w:eastAsia="宋体"/>
          <w:color w:val="000000"/>
          <w:sz w:val="21"/>
          <w:szCs w:val="21"/>
          <w:lang w:val="en-US" w:eastAsia="zh-CN"/>
        </w:rPr>
        <w:t xml:space="preserve">00</w:t>
      </w:r>
      <w:r>
        <w:rPr>
          <w:rFonts w:hint="eastAsia" w:ascii="宋体" w:hAnsi="宋体" w:eastAsia="宋体"/>
          <w:color w:val="000000"/>
          <w:sz w:val="21"/>
          <w:szCs w:val="21"/>
          <w:lang w:val="en-US"/>
        </w:rPr>
        <w:t xml:space="preserve">分（北京时间）。</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4.2开标地点：“苏采云”政府采购交易系统网上开标大厅。</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五、公告期限</w:t>
      </w:r>
      <w:bookmarkEnd w:id="18"/>
      <w:r/>
      <w:bookmarkEnd w:id="19"/>
      <w:r/>
      <w:bookmarkEnd w:id="20"/>
      <w:r/>
      <w:bookmarkEnd w:id="21"/>
      <w:r>
        <w:rPr>
          <w:rFonts w:hint="eastAsia" w:ascii="宋体" w:hAnsi="宋体" w:eastAsia="宋体"/>
          <w:b/>
          <w:bCs/>
          <w:color w:val="000000"/>
          <w:sz w:val="21"/>
          <w:szCs w:val="21"/>
        </w:rPr>
        <w:t xml:space="preserve">：</w:t>
      </w:r>
      <w:r>
        <w:rPr>
          <w:rFonts w:hint="eastAsia" w:ascii="宋体" w:hAnsi="宋体" w:eastAsia="宋体"/>
          <w:color w:val="000000"/>
          <w:sz w:val="21"/>
          <w:szCs w:val="21"/>
        </w:rPr>
        <w:t xml:space="preserve">自本公告发布之日起5个工作日。</w:t>
      </w:r>
      <w:r/>
    </w:p>
    <w:p>
      <w:pPr>
        <w:ind w:firstLine="422"/>
        <w:spacing w:line="360" w:lineRule="auto"/>
        <w:rPr>
          <w:rFonts w:ascii="宋体" w:hAnsi="宋体" w:eastAsia="宋体"/>
          <w:b/>
          <w:bCs/>
          <w:color w:val="000000"/>
          <w:sz w:val="21"/>
          <w:szCs w:val="21"/>
        </w:rPr>
      </w:pPr>
      <w:r/>
      <w:bookmarkStart w:id="22" w:name="_Toc35393626"/>
      <w:r/>
      <w:bookmarkStart w:id="23" w:name="_Toc35393795"/>
      <w:r>
        <w:rPr>
          <w:rFonts w:hint="eastAsia" w:ascii="宋体" w:hAnsi="宋体" w:eastAsia="宋体"/>
          <w:b/>
          <w:bCs/>
          <w:color w:val="000000"/>
          <w:sz w:val="21"/>
          <w:szCs w:val="21"/>
        </w:rPr>
        <w:t xml:space="preserve">六、其他补充事宜</w:t>
      </w:r>
      <w:bookmarkEnd w:id="22"/>
      <w:r/>
      <w:bookmarkEnd w:id="23"/>
      <w:r>
        <w:rPr>
          <w:rFonts w:hint="eastAsia" w:ascii="宋体" w:hAnsi="宋体" w:eastAsia="宋体"/>
          <w:b/>
          <w:bCs/>
          <w:color w:val="000000"/>
          <w:sz w:val="21"/>
          <w:szCs w:val="21"/>
        </w:rPr>
        <w:t xml:space="preserve">：</w:t>
      </w:r>
      <w:r/>
    </w:p>
    <w:p>
      <w:pPr>
        <w:ind w:firstLine="420"/>
        <w:spacing w:line="360" w:lineRule="auto"/>
        <w:rPr>
          <w:rFonts w:ascii="宋体" w:hAnsi="宋体" w:eastAsia="宋体"/>
          <w:sz w:val="24"/>
          <w:szCs w:val="24"/>
        </w:rPr>
      </w:pPr>
      <w:r/>
      <w:bookmarkStart w:id="24" w:name="_Toc35393627"/>
      <w:r/>
      <w:bookmarkStart w:id="25" w:name="_Toc28359085"/>
      <w:r/>
      <w:bookmarkStart w:id="26" w:name="_Toc28359008"/>
      <w:r/>
      <w:bookmarkStart w:id="27" w:name="_Toc35393796"/>
      <w:r>
        <w:rPr>
          <w:rFonts w:hint="eastAsia" w:ascii="宋体" w:hAnsi="宋体" w:eastAsia="宋体"/>
          <w:sz w:val="24"/>
          <w:szCs w:val="24"/>
          <w:lang w:val="en-US"/>
        </w:rPr>
        <w:t xml:space="preserve">6</w:t>
      </w:r>
      <w:r>
        <w:rPr>
          <w:rFonts w:hint="eastAsia" w:ascii="宋体" w:hAnsi="宋体" w:eastAsia="宋体"/>
          <w:sz w:val="24"/>
          <w:szCs w:val="24"/>
        </w:rPr>
        <w:t xml:space="preserve">.1本项目在江苏政府采购网发布公告。</w:t>
      </w:r>
      <w:r/>
    </w:p>
    <w:p>
      <w:pPr>
        <w:ind w:firstLine="420"/>
        <w:spacing w:line="360" w:lineRule="auto"/>
        <w:rPr>
          <w:rFonts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.2供应商应当从采购代理机构合法获得本项目磋商文件。</w:t>
      </w:r>
      <w:r/>
    </w:p>
    <w:p>
      <w:pPr>
        <w:ind w:firstLine="480"/>
        <w:spacing w:line="360" w:lineRule="auto"/>
        <w:rPr>
          <w:rFonts w:ascii="宋体" w:hAnsi="宋体" w:eastAsia="宋体"/>
          <w:b/>
          <w:bCs/>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.3勘察现场或答疑：</w:t>
      </w:r>
      <w:r>
        <w:rPr>
          <w:rFonts w:hint="eastAsia" w:ascii="宋体" w:hAnsi="宋体" w:eastAsia="宋体"/>
          <w:sz w:val="21"/>
          <w:szCs w:val="21"/>
        </w:rPr>
        <w:t xml:space="preserve">本项目因现场情况复杂，因此需要投标人进行现场勘察。潜在供应商于</w:t>
      </w:r>
      <w:r>
        <w:rPr>
          <w:rFonts w:hint="eastAsia" w:ascii="宋体" w:hAnsi="宋体" w:eastAsia="宋体"/>
          <w:sz w:val="21"/>
          <w:szCs w:val="21"/>
          <w:highlight w:val="yellow"/>
        </w:rPr>
        <w:t xml:space="preserve">202</w:t>
      </w:r>
      <w:r>
        <w:rPr>
          <w:rFonts w:hint="eastAsia" w:ascii="宋体" w:hAnsi="宋体" w:eastAsia="宋体"/>
          <w:sz w:val="21"/>
          <w:szCs w:val="21"/>
          <w:highlight w:val="yellow"/>
          <w:lang w:val="en-US"/>
        </w:rPr>
        <w:t xml:space="preserve">6</w:t>
      </w:r>
      <w:r>
        <w:rPr>
          <w:rFonts w:hint="eastAsia" w:ascii="宋体" w:hAnsi="宋体" w:eastAsia="宋体"/>
          <w:sz w:val="21"/>
          <w:szCs w:val="21"/>
          <w:highlight w:val="yellow"/>
        </w:rPr>
        <w:t xml:space="preserve">年</w:t>
      </w:r>
      <w:r>
        <w:rPr>
          <w:rFonts w:hint="eastAsia" w:ascii="宋体" w:hAnsi="宋体" w:eastAsia="宋体"/>
          <w:sz w:val="21"/>
          <w:szCs w:val="21"/>
          <w:highlight w:val="yellow"/>
          <w:lang w:val="en-US" w:eastAsia="zh-CN"/>
        </w:rPr>
        <w:t xml:space="preserve">7</w:t>
      </w:r>
      <w:r>
        <w:rPr>
          <w:rFonts w:hint="eastAsia" w:ascii="宋体" w:hAnsi="宋体" w:eastAsia="宋体"/>
          <w:sz w:val="21"/>
          <w:szCs w:val="21"/>
          <w:highlight w:val="yellow"/>
        </w:rPr>
        <w:t xml:space="preserve">月</w:t>
      </w:r>
      <w:r>
        <w:rPr>
          <w:rFonts w:hint="eastAsia" w:ascii="宋体" w:hAnsi="宋体" w:eastAsia="宋体"/>
          <w:sz w:val="21"/>
          <w:szCs w:val="21"/>
          <w:highlight w:val="yellow"/>
          <w:lang w:val="en-US" w:eastAsia="zh-CN"/>
        </w:rPr>
        <w:t xml:space="preserve">31</w:t>
      </w:r>
      <w:r>
        <w:rPr>
          <w:rFonts w:hint="eastAsia" w:ascii="宋体" w:hAnsi="宋体" w:eastAsia="宋体"/>
          <w:sz w:val="21"/>
          <w:szCs w:val="21"/>
          <w:highlight w:val="yellow"/>
        </w:rPr>
        <w:t xml:space="preserve">日</w:t>
      </w:r>
      <w:r>
        <w:rPr>
          <w:rFonts w:hint="eastAsia" w:ascii="宋体" w:hAnsi="宋体" w:eastAsia="宋体"/>
          <w:sz w:val="21"/>
          <w:szCs w:val="21"/>
          <w:highlight w:val="yellow"/>
          <w:lang w:val="en-US"/>
        </w:rPr>
        <w:t xml:space="preserve">10</w:t>
      </w:r>
      <w:r>
        <w:rPr>
          <w:rFonts w:hint="eastAsia" w:ascii="宋体" w:hAnsi="宋体" w:eastAsia="宋体"/>
          <w:sz w:val="21"/>
          <w:szCs w:val="21"/>
          <w:highlight w:val="yellow"/>
        </w:rPr>
        <w:t xml:space="preserve">时</w:t>
      </w:r>
      <w:r>
        <w:rPr>
          <w:rFonts w:hint="eastAsia" w:ascii="宋体" w:hAnsi="宋体" w:eastAsia="宋体"/>
          <w:sz w:val="21"/>
          <w:szCs w:val="21"/>
          <w:highlight w:val="yellow"/>
          <w:lang w:val="en-US"/>
        </w:rPr>
        <w:t xml:space="preserve"> 00</w:t>
      </w:r>
      <w:r>
        <w:rPr>
          <w:rFonts w:hint="eastAsia" w:ascii="宋体" w:hAnsi="宋体" w:eastAsia="宋体"/>
          <w:sz w:val="21"/>
          <w:szCs w:val="21"/>
          <w:highlight w:val="yellow"/>
        </w:rPr>
        <w:t xml:space="preserve">分</w:t>
      </w:r>
      <w:r>
        <w:rPr>
          <w:rFonts w:hint="eastAsia" w:ascii="宋体" w:hAnsi="宋体" w:eastAsia="宋体"/>
          <w:sz w:val="21"/>
          <w:szCs w:val="21"/>
        </w:rPr>
        <w:t xml:space="preserve">在南京信息职业技术学院（迟到视同放弃），携带企业法人营业执照、法定代表人身份证或法定代表人委托书、委托代理人身份证，由采购人组织现场踏勘，</w:t>
      </w:r>
      <w:r>
        <w:rPr>
          <w:rFonts w:hint="eastAsia" w:ascii="宋体" w:hAnsi="宋体" w:eastAsia="宋体"/>
          <w:sz w:val="21"/>
          <w:szCs w:val="21"/>
          <w:highlight w:val="yellow"/>
        </w:rPr>
        <w:t xml:space="preserve">联系人：</w:t>
      </w:r>
      <w:r>
        <w:rPr>
          <w:rFonts w:hint="eastAsia" w:ascii="宋体" w:hAnsi="宋体" w:eastAsia="宋体"/>
          <w:sz w:val="21"/>
          <w:szCs w:val="21"/>
          <w:highlight w:val="yellow"/>
          <w:lang w:val="en-US"/>
        </w:rPr>
        <w:t xml:space="preserve">刘老师</w:t>
      </w:r>
      <w:r>
        <w:rPr>
          <w:rFonts w:hint="eastAsia" w:ascii="宋体" w:hAnsi="宋体" w:eastAsia="宋体"/>
          <w:sz w:val="21"/>
          <w:szCs w:val="21"/>
          <w:highlight w:val="yellow"/>
        </w:rPr>
        <w:t xml:space="preserve">，联系电话：</w:t>
      </w:r>
      <w:r>
        <w:rPr>
          <w:rFonts w:hint="eastAsia" w:ascii="宋体" w:hAnsi="宋体" w:eastAsia="宋体"/>
          <w:sz w:val="21"/>
          <w:szCs w:val="21"/>
          <w:highlight w:val="yellow"/>
          <w:lang w:val="en-US"/>
        </w:rPr>
        <w:t xml:space="preserve">15651688699</w:t>
      </w:r>
      <w:r>
        <w:rPr>
          <w:rFonts w:hint="eastAsia" w:ascii="宋体" w:hAnsi="宋体" w:eastAsia="宋体"/>
          <w:sz w:val="21"/>
          <w:szCs w:val="21"/>
          <w:highlight w:val="yellow"/>
        </w:rPr>
        <w:t xml:space="preserve"> </w:t>
      </w:r>
      <w:r>
        <w:rPr>
          <w:rFonts w:hint="eastAsia" w:ascii="宋体" w:hAnsi="宋体" w:eastAsia="宋体"/>
          <w:sz w:val="21"/>
          <w:szCs w:val="21"/>
        </w:rPr>
        <w:t xml:space="preserve">。若潜在供应商因未参与踏勘现场或踏勘现场未提出疑义所导致的偏差，投标人自行承担相应风险。</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 xml:space="preserve">6.4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“苏采云”南京地区客服热线025-83633744、025-83633743。</w:t>
      </w:r>
      <w:r/>
    </w:p>
    <w:p>
      <w:pPr>
        <w:ind w:firstLine="420"/>
        <w:spacing w:line="360" w:lineRule="auto"/>
        <w:rPr>
          <w:rFonts w:ascii="宋体" w:hAnsi="宋体" w:eastAsia="宋体"/>
          <w:b/>
          <w:spacing w:val="8"/>
          <w:sz w:val="24"/>
          <w:szCs w:val="24"/>
          <w:lang w:val="en-US"/>
        </w:rPr>
      </w:pPr>
      <w:r>
        <w:rPr>
          <w:rFonts w:hint="eastAsia" w:ascii="宋体" w:hAnsi="宋体" w:eastAsia="宋体"/>
          <w:sz w:val="24"/>
          <w:szCs w:val="24"/>
          <w:lang w:val="en-US"/>
        </w:rPr>
        <w:t xml:space="preserve">6.5有关本次采购的事项若存在变动或修改，请及时关注“江苏政府采购网”（www.ccgp-jiangsu.gov.cn）更正公告。</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七、对本次招标提出询问，请按以下方式联系</w:t>
      </w:r>
      <w:bookmarkEnd w:id="24"/>
      <w:r/>
      <w:bookmarkEnd w:id="25"/>
      <w:r/>
      <w:bookmarkEnd w:id="26"/>
      <w:r/>
      <w:bookmarkEnd w:id="27"/>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7.1</w:t>
      </w:r>
      <w:r>
        <w:rPr>
          <w:rFonts w:hint="eastAsia" w:ascii="宋体" w:hAnsi="宋体" w:eastAsia="宋体"/>
          <w:color w:val="000000"/>
          <w:sz w:val="21"/>
          <w:szCs w:val="21"/>
        </w:rPr>
        <w:t xml:space="preserve">采购人信息：</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名称：南京信息职业技术学院</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地址：</w:t>
      </w:r>
      <w:r>
        <w:rPr>
          <w:rFonts w:hint="eastAsia" w:ascii="宋体" w:hAnsi="宋体" w:eastAsia="宋体"/>
          <w:sz w:val="21"/>
          <w:szCs w:val="21"/>
        </w:rPr>
        <w:t xml:space="preserve">南京市栖霞区文澜路99号</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韦老师</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联系方式：</w:t>
      </w:r>
      <w:bookmarkStart w:id="28" w:name="_Toc28359086"/>
      <w:r/>
      <w:bookmarkStart w:id="29" w:name="_Toc28359009"/>
      <w:r>
        <w:rPr>
          <w:rFonts w:hint="eastAsia" w:ascii="宋体" w:hAnsi="宋体" w:eastAsia="宋体"/>
          <w:sz w:val="21"/>
          <w:szCs w:val="21"/>
        </w:rPr>
        <w:t xml:space="preserve">13675139298</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7.2</w:t>
      </w:r>
      <w:r>
        <w:rPr>
          <w:rFonts w:hint="eastAsia" w:ascii="宋体" w:hAnsi="宋体" w:eastAsia="宋体"/>
          <w:color w:val="000000"/>
          <w:sz w:val="21"/>
          <w:szCs w:val="21"/>
        </w:rPr>
        <w:t xml:space="preserve">采购代理机构信息</w:t>
      </w:r>
      <w:bookmarkEnd w:id="28"/>
      <w:r/>
      <w:bookmarkEnd w:id="29"/>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联系方式：</w:t>
      </w:r>
      <w:bookmarkStart w:id="30" w:name="_Toc28359087"/>
      <w:r/>
      <w:bookmarkStart w:id="31" w:name="_Toc28359010"/>
      <w:r>
        <w:rPr>
          <w:rFonts w:hint="eastAsia" w:ascii="宋体" w:hAnsi="宋体" w:eastAsia="宋体"/>
          <w:color w:val="000000"/>
          <w:sz w:val="21"/>
          <w:szCs w:val="21"/>
          <w:lang w:val="en-US"/>
        </w:rPr>
        <w:t xml:space="preserve">15793699665</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7.3</w:t>
      </w:r>
      <w:r>
        <w:rPr>
          <w:rFonts w:hint="eastAsia" w:ascii="宋体" w:hAnsi="宋体" w:eastAsia="宋体"/>
          <w:color w:val="000000"/>
          <w:sz w:val="21"/>
          <w:szCs w:val="21"/>
        </w:rPr>
        <w:t xml:space="preserve">项目联系方式</w:t>
      </w:r>
      <w:bookmarkEnd w:id="30"/>
      <w:r/>
      <w:bookmarkEnd w:id="31"/>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项目联系人：</w:t>
      </w:r>
      <w:r>
        <w:rPr>
          <w:rFonts w:hint="eastAsia" w:ascii="宋体" w:hAnsi="宋体" w:eastAsia="宋体"/>
          <w:color w:val="000000"/>
          <w:sz w:val="21"/>
          <w:szCs w:val="21"/>
          <w:lang w:val="en-US"/>
        </w:rPr>
        <w:t xml:space="preserve">王思喻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电话：</w:t>
      </w:r>
      <w:r>
        <w:rPr>
          <w:rFonts w:hint="eastAsia" w:ascii="宋体" w:hAnsi="宋体" w:eastAsia="宋体"/>
          <w:color w:val="000000"/>
          <w:sz w:val="21"/>
          <w:szCs w:val="21"/>
          <w:lang w:val="en-US"/>
        </w:rPr>
        <w:t xml:space="preserve">15793699665</w:t>
      </w:r>
      <w:r/>
    </w:p>
    <w:p>
      <w:pPr>
        <w:jc w:val="center"/>
        <w:spacing w:line="360" w:lineRule="auto"/>
        <w:rPr>
          <w:rFonts w:ascii="黑体" w:hAnsi="黑体" w:eastAsia="黑体" w:cs="黑体"/>
          <w:bCs/>
          <w:color w:val="000000"/>
          <w:sz w:val="32"/>
          <w:szCs w:val="36"/>
        </w:rPr>
        <w:outlineLvl w:val="0"/>
      </w:pPr>
      <w:r>
        <w:rPr>
          <w:rFonts w:ascii="宋体" w:hAnsi="宋体"/>
          <w:color w:val="000000"/>
          <w:szCs w:val="21"/>
        </w:rPr>
        <w:br w:type="page" w:clear="all"/>
      </w:r>
      <w:bookmarkStart w:id="32" w:name="_Toc5791"/>
      <w:r>
        <w:rPr>
          <w:rFonts w:hint="eastAsia" w:ascii="黑体" w:hAnsi="黑体" w:eastAsia="黑体" w:cs="黑体"/>
          <w:bCs/>
          <w:color w:val="000000"/>
          <w:sz w:val="32"/>
          <w:szCs w:val="36"/>
        </w:rPr>
        <w:t xml:space="preserve">第二章  供应商须知</w:t>
      </w:r>
      <w:bookmarkEnd w:id="32"/>
      <w:r/>
      <w:r/>
    </w:p>
    <w:p>
      <w:pPr>
        <w:jc w:val="cente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p>
    <w:tbl>
      <w:tblPr>
        <w:tblStyle w:val="902"/>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2151"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p>
        </w:tc>
        <w:tc>
          <w:tcPr>
            <w:tcW w:w="6960"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采购人</w:t>
            </w:r>
            <w:r/>
          </w:p>
        </w:tc>
        <w:tc>
          <w:tcPr>
            <w:tcW w:w="6960"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名称：南京信息职业技术学院</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地址：</w:t>
            </w:r>
            <w:r>
              <w:rPr>
                <w:rFonts w:hint="eastAsia" w:ascii="宋体" w:hAnsi="宋体" w:eastAsia="宋体"/>
                <w:sz w:val="21"/>
                <w:szCs w:val="21"/>
              </w:rPr>
              <w:t xml:space="preserve">南京市栖霞区文澜路99号</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韦老师</w:t>
            </w:r>
            <w:r/>
          </w:p>
          <w:p>
            <w:pPr>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联系方式：</w:t>
            </w:r>
            <w:r>
              <w:rPr>
                <w:rFonts w:hint="eastAsia" w:ascii="宋体" w:hAnsi="宋体" w:eastAsia="宋体"/>
                <w:sz w:val="21"/>
                <w:szCs w:val="21"/>
              </w:rPr>
              <w:t xml:space="preserve">13675139298</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采购代理机构</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rPr>
                <w:rFonts w:hint="eastAsia" w:ascii="宋体" w:hAnsi="宋体" w:eastAsia="宋体"/>
                <w:color w:val="000000"/>
                <w:sz w:val="21"/>
                <w:szCs w:val="21"/>
              </w:rPr>
              <w:t xml:space="preserve">  </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联系方式：1</w:t>
            </w:r>
            <w:r>
              <w:rPr>
                <w:rFonts w:hint="eastAsia" w:ascii="宋体" w:hAnsi="宋体" w:eastAsia="宋体"/>
                <w:color w:val="000000"/>
                <w:sz w:val="21"/>
                <w:szCs w:val="21"/>
                <w:lang w:val="en-US"/>
              </w:rPr>
              <w:t xml:space="preserve">5793699665</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采购项目名称</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南京信息职业技术学院生活泵房改造项目</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4</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项目实施地点</w:t>
            </w:r>
            <w:r/>
          </w:p>
        </w:tc>
        <w:tc>
          <w:tcPr>
            <w:tcW w:w="6960" w:type="dxa"/>
            <w:vAlign w:val="center"/>
            <w:textDirection w:val="lrTb"/>
            <w:noWrap w:val="false"/>
          </w:tcPr>
          <w:p>
            <w:pPr>
              <w:spacing w:line="360" w:lineRule="auto"/>
              <w:widowControl/>
              <w:rPr>
                <w:rFonts w:ascii="宋体" w:hAnsi="宋体" w:eastAsia="宋体"/>
                <w:b/>
                <w:color w:val="000000"/>
                <w:sz w:val="21"/>
                <w:szCs w:val="21"/>
                <w:lang w:val="en-US"/>
              </w:rPr>
            </w:pPr>
            <w:r>
              <w:rPr>
                <w:rFonts w:hint="eastAsia" w:ascii="宋体" w:hAnsi="宋体" w:eastAsia="宋体"/>
                <w:color w:val="000000"/>
                <w:sz w:val="21"/>
                <w:szCs w:val="21"/>
              </w:rPr>
              <w:t xml:space="preserve">南京市</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资金来源</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6</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评审方法</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综合评分法</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投标有效期</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提交投标文件截止之日起</w:t>
            </w:r>
            <w:r>
              <w:rPr>
                <w:rFonts w:hint="eastAsia" w:ascii="宋体" w:hAnsi="宋体" w:eastAsia="宋体"/>
                <w:color w:val="000000"/>
                <w:sz w:val="21"/>
                <w:szCs w:val="21"/>
                <w:lang w:val="en-US"/>
              </w:rPr>
              <w:t xml:space="preserve">90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90日</w:t>
            </w:r>
            <w:r>
              <w:rPr>
                <w:rFonts w:hint="eastAsia" w:ascii="宋体" w:hAnsi="宋体" w:eastAsia="宋体"/>
                <w:color w:val="000000"/>
                <w:sz w:val="21"/>
                <w:szCs w:val="21"/>
              </w:rPr>
              <w:t xml:space="preserve">）</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供应商企业信用信息</w:t>
            </w:r>
            <w:r/>
          </w:p>
        </w:tc>
        <w:tc>
          <w:tcPr>
            <w:tcW w:w="6960"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）查询人：采购代理机构；</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）查询渠道：“信用中国”网站（www.creditchina.gov.cn）、“中国政府采购网”网站（www.ccgp.gov.cn）；</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）查询时间：开标结束后；</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）查询记录留存方式：由采购代理机构负责将供应商各网站信用记录截图打印保存，并作为本项目档案资料留存；</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）查询结果处理：</w:t>
            </w:r>
            <w:r>
              <w:rPr>
                <w:rFonts w:hint="eastAsia" w:ascii="仿宋" w:hAnsi="仿宋" w:eastAsia="仿宋" w:cs="仿宋"/>
                <w:color w:val="000000"/>
                <w:sz w:val="21"/>
                <w:szCs w:val="21"/>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9</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投标文件拒收情形</w:t>
            </w:r>
            <w:r/>
          </w:p>
        </w:tc>
        <w:tc>
          <w:tcPr>
            <w:tcW w:w="6960" w:type="dxa"/>
            <w:vAlign w:val="center"/>
            <w:textDirection w:val="lrTb"/>
            <w:noWrap w:val="false"/>
          </w:tcPr>
          <w:p>
            <w:pPr>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10</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投标无效情形</w:t>
            </w:r>
            <w:r/>
          </w:p>
        </w:tc>
        <w:tc>
          <w:tcPr>
            <w:tcW w:w="6960" w:type="dxa"/>
            <w:vAlign w:val="center"/>
            <w:textDirection w:val="lrTb"/>
            <w:noWrap w:val="false"/>
          </w:tcPr>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（1）供应商在苏采云系统规定的时间内未成功解密电子投标文件；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）供应商未按照招标文件要求上传电子投标文件；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）投标文件未按照招标文件要求加盖电子公章；</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4</w:t>
            </w:r>
            <w:r>
              <w:rPr>
                <w:rFonts w:hint="eastAsia" w:ascii="仿宋" w:hAnsi="仿宋" w:eastAsia="仿宋" w:cs="仿宋"/>
                <w:color w:val="000000"/>
                <w:sz w:val="21"/>
                <w:szCs w:val="21"/>
              </w:rPr>
              <w:t xml:space="preserve">）投标文件中未逐一说明投标产品名称、品牌、规格型号、产地、技术参数和服务响应，而是直接拷贝招标文件采购项目需求的；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5</w:t>
            </w:r>
            <w:r>
              <w:rPr>
                <w:rFonts w:hint="eastAsia" w:ascii="仿宋" w:hAnsi="仿宋" w:eastAsia="仿宋" w:cs="仿宋"/>
                <w:color w:val="000000"/>
                <w:sz w:val="21"/>
                <w:szCs w:val="21"/>
              </w:rPr>
              <w:t xml:space="preserve">）不同供应商的投标文件由同一单位或者个人编制；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6</w:t>
            </w:r>
            <w:r>
              <w:rPr>
                <w:rFonts w:hint="eastAsia" w:ascii="仿宋" w:hAnsi="仿宋" w:eastAsia="仿宋" w:cs="仿宋"/>
                <w:color w:val="000000"/>
                <w:sz w:val="21"/>
                <w:szCs w:val="21"/>
              </w:rPr>
              <w:t xml:space="preserve">）不同供应商委托同一单位或者个人办理投标事宜；</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7</w:t>
            </w:r>
            <w:r>
              <w:rPr>
                <w:rFonts w:hint="eastAsia" w:ascii="仿宋" w:hAnsi="仿宋" w:eastAsia="仿宋" w:cs="仿宋"/>
                <w:color w:val="000000"/>
                <w:sz w:val="21"/>
                <w:szCs w:val="21"/>
              </w:rPr>
              <w:t xml:space="preserve">）不同供应商的投标文件载明的项目管理成员或者联系人员为同一人；</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8</w:t>
            </w:r>
            <w:r>
              <w:rPr>
                <w:rFonts w:hint="eastAsia" w:ascii="仿宋" w:hAnsi="仿宋" w:eastAsia="仿宋" w:cs="仿宋"/>
                <w:color w:val="000000"/>
                <w:sz w:val="21"/>
                <w:szCs w:val="21"/>
              </w:rPr>
              <w:t xml:space="preserve">）不同供应商的投标文件异常一致或者投标报价呈规律性差异；</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9</w:t>
            </w:r>
            <w:r>
              <w:rPr>
                <w:rFonts w:hint="eastAsia" w:ascii="仿宋" w:hAnsi="仿宋" w:eastAsia="仿宋" w:cs="仿宋"/>
                <w:color w:val="000000"/>
                <w:sz w:val="21"/>
                <w:szCs w:val="21"/>
              </w:rPr>
              <w:t xml:space="preserve">）不同供应商的单位负责人为同一人或者供应商之间存在直接控股、管理关系的；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0</w:t>
            </w:r>
            <w:r>
              <w:rPr>
                <w:rFonts w:hint="eastAsia" w:ascii="仿宋" w:hAnsi="仿宋" w:eastAsia="仿宋" w:cs="仿宋"/>
                <w:color w:val="000000"/>
                <w:sz w:val="21"/>
                <w:szCs w:val="21"/>
              </w:rPr>
              <w:t xml:space="preserve">）报价超过招标文件中规定的预算金额或者最高限价的；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1</w:t>
            </w:r>
            <w:r>
              <w:rPr>
                <w:rFonts w:hint="eastAsia" w:ascii="仿宋" w:hAnsi="仿宋" w:eastAsia="仿宋" w:cs="仿宋"/>
                <w:color w:val="000000"/>
                <w:sz w:val="21"/>
                <w:szCs w:val="21"/>
              </w:rPr>
              <w:t xml:space="preserve">）投标文件含有采购人不能接受的附加条件的；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）投标文件不符合招标文件规定的其他实质性要求的；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11</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废标情形</w:t>
            </w:r>
            <w:r/>
          </w:p>
        </w:tc>
        <w:tc>
          <w:tcPr>
            <w:tcW w:w="6960" w:type="dxa"/>
            <w:vAlign w:val="center"/>
            <w:textDirection w:val="lrTb"/>
            <w:noWrap w:val="false"/>
          </w:tcPr>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（1）符合资格条件的供应商或者对招标文件作实质性响应的供应商不足三家的；</w:t>
            </w:r>
            <w:r/>
          </w:p>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（2）出现影响采购公正的违法、违规行为的；</w:t>
            </w:r>
            <w:r/>
          </w:p>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（3）因重大变故，采购任务取消的；</w:t>
            </w:r>
            <w:r/>
          </w:p>
          <w:p>
            <w:pPr>
              <w:jc w:val="left"/>
              <w:spacing w:line="360" w:lineRule="auto"/>
              <w:rPr>
                <w:rFonts w:ascii="宋体" w:hAnsi="宋体" w:eastAsia="宋体"/>
                <w:color w:val="000000"/>
                <w:sz w:val="21"/>
                <w:szCs w:val="21"/>
              </w:rPr>
            </w:pPr>
            <w:r>
              <w:rPr>
                <w:rFonts w:hint="eastAsia" w:ascii="仿宋" w:hAnsi="仿宋" w:eastAsia="仿宋" w:cs="仿宋"/>
                <w:color w:val="000000"/>
                <w:sz w:val="21"/>
                <w:szCs w:val="21"/>
              </w:rPr>
              <w:t xml:space="preserve">（4）因苏采云系统故障造成开标不成功。</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12</w:t>
            </w:r>
            <w:r/>
          </w:p>
        </w:tc>
        <w:tc>
          <w:tcPr>
            <w:tcW w:w="2151"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相同品牌产品</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投标要求</w:t>
            </w:r>
            <w:r/>
          </w:p>
        </w:tc>
        <w:tc>
          <w:tcPr>
            <w:tcW w:w="6960"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rPr>
              <w:t xml:space="preserve">按照随机抽取的方式</w:t>
            </w:r>
            <w:r>
              <w:rPr>
                <w:rFonts w:hint="eastAsia" w:ascii="宋体" w:hAnsi="宋体" w:eastAsia="宋体"/>
                <w:color w:val="000000"/>
                <w:sz w:val="21"/>
                <w:szCs w:val="21"/>
                <w:lang w:val="en-US"/>
              </w:rPr>
              <w:t xml:space="preserve">确定一个参加评标的供应商，其他投标无效；</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（3）非单一产品采购项目，以提供的核心产品品牌为准，核心产品详见第五章采购项目需求。多家供应商提供的核心产品品牌相同的，按前两款规定处理；</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（4）如有四家</w:t>
            </w:r>
            <w:r>
              <w:rPr>
                <w:rFonts w:hint="eastAsia" w:ascii="宋体" w:hAnsi="宋体" w:eastAsia="宋体"/>
                <w:color w:val="000000"/>
                <w:sz w:val="21"/>
                <w:szCs w:val="21"/>
              </w:rPr>
              <w:t xml:space="preserve">通过资格性审查、符合性审查的不同</w:t>
            </w:r>
            <w:r>
              <w:rPr>
                <w:rFonts w:hint="eastAsia" w:ascii="宋体" w:hAnsi="宋体" w:eastAsia="宋体"/>
                <w:color w:val="000000"/>
                <w:sz w:val="21"/>
                <w:szCs w:val="21"/>
                <w:lang w:val="en-US"/>
              </w:rPr>
              <w:t xml:space="preserve">供应商参与投标，有三家供应商所投产品（核心产品）均为同一品牌的，则实际投标产品品牌仅有两个，故有效供应商仅有两家，即实质性响应招标文件的供应商不足三家，项目废标。</w:t>
            </w:r>
            <w:r/>
          </w:p>
        </w:tc>
      </w:tr>
    </w:tbl>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br w:type="page" w:clear="all"/>
      </w:r>
      <w:r>
        <w:rPr>
          <w:rFonts w:hint="eastAsia" w:ascii="宋体" w:hAnsi="宋体" w:eastAsia="宋体"/>
          <w:b/>
          <w:bCs/>
          <w:color w:val="000000"/>
          <w:sz w:val="21"/>
          <w:szCs w:val="21"/>
        </w:rPr>
        <w:t xml:space="preserve">一、总   则</w:t>
      </w:r>
      <w:r/>
    </w:p>
    <w:p>
      <w:pPr>
        <w:ind w:firstLine="210"/>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1、适用法律</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2、定义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2.1“采购人”是指依法进行政府采购的国家机关、事业单位、团体组织。</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2.2“供应商”是指参加投标竞争，并符合招标文件规定资格条件的法人、其他组织或者自然人。</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2.4“货物”指本招标文件中所述产品。</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2.5“用户或使用单位”是指使用货物的单位。</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3、政策功能</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中小企业政策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3.4</w:t>
      </w:r>
      <w:r>
        <w:rPr>
          <w:rFonts w:hint="eastAsia" w:ascii="宋体" w:hAnsi="宋体" w:eastAsia="宋体"/>
          <w:bCs/>
          <w:color w:val="000000"/>
          <w:sz w:val="21"/>
          <w:szCs w:val="21"/>
        </w:rPr>
        <w:t xml:space="preserve">节能产品政策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    3.5</w:t>
      </w:r>
      <w:r>
        <w:rPr>
          <w:rFonts w:hint="eastAsia" w:ascii="宋体" w:hAnsi="宋体" w:eastAsia="宋体"/>
          <w:bCs/>
          <w:color w:val="000000"/>
          <w:sz w:val="21"/>
          <w:szCs w:val="21"/>
        </w:rPr>
        <w:t xml:space="preserve">环境标志产品政策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3.6信息安全产品政策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（1）信息安全产品是指列入国家质检总局、国家认监委《信息安全产品强制性认证目录》，并获得强制性产品认证证书的产品。</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3.7</w:t>
      </w:r>
      <w:r>
        <w:rPr>
          <w:rFonts w:hint="eastAsia" w:ascii="宋体" w:hAnsi="宋体" w:eastAsia="宋体"/>
          <w:bCs/>
          <w:color w:val="000000"/>
          <w:sz w:val="21"/>
          <w:szCs w:val="21"/>
        </w:rPr>
        <w:t xml:space="preserve">进口产品政策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（2）允许进口产品参加的，满足需求的国内产品可以参加。</w:t>
      </w:r>
      <w:r/>
    </w:p>
    <w:p>
      <w:pPr>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3.8支持本国产品的政策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3.9未按要求提供相关材料的，不享受相关政策。</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4、招标文件的约束力</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4.1供应商一旦</w:t>
      </w:r>
      <w:r>
        <w:rPr>
          <w:rFonts w:hint="eastAsia" w:ascii="宋体" w:hAnsi="宋体" w:eastAsia="宋体"/>
          <w:color w:val="000000"/>
          <w:sz w:val="21"/>
          <w:szCs w:val="21"/>
          <w:lang w:val="en-US"/>
        </w:rPr>
        <w:t xml:space="preserve">下载</w:t>
      </w:r>
      <w:r>
        <w:rPr>
          <w:rFonts w:hint="eastAsia" w:ascii="宋体" w:hAnsi="宋体" w:eastAsia="宋体"/>
          <w:color w:val="000000"/>
          <w:sz w:val="21"/>
          <w:szCs w:val="21"/>
        </w:rPr>
        <w:t xml:space="preserve">了本招标文件并参加投标，即被认为接受了本招标文件中的所有条件和规定。</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4.2</w:t>
      </w:r>
      <w:r>
        <w:rPr>
          <w:rFonts w:hint="eastAsia" w:ascii="宋体" w:hAnsi="宋体" w:eastAsia="宋体"/>
          <w:color w:val="000000"/>
          <w:sz w:val="21"/>
          <w:szCs w:val="21"/>
        </w:rPr>
        <w:t xml:space="preserve">招标文件中要求的产品品牌或型号，是采购人根据项目所要实现的功能推荐的品牌或型号，仅供供应商参考，并不是限制条件。</w:t>
      </w:r>
      <w:r/>
    </w:p>
    <w:p>
      <w:pPr>
        <w:ind w:firstLine="422"/>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二、招标文件构成</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5、招标文件组成</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5.1招标公告</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5.2</w:t>
      </w:r>
      <w:r>
        <w:rPr>
          <w:rFonts w:hint="eastAsia" w:ascii="宋体" w:hAnsi="宋体" w:eastAsia="宋体"/>
          <w:color w:val="000000"/>
          <w:sz w:val="21"/>
          <w:szCs w:val="21"/>
        </w:rPr>
        <w:t xml:space="preserve">供应商须知</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5.3</w:t>
      </w:r>
      <w:r>
        <w:rPr>
          <w:rFonts w:hint="eastAsia" w:ascii="宋体" w:hAnsi="宋体" w:eastAsia="宋体"/>
          <w:color w:val="000000"/>
          <w:sz w:val="21"/>
          <w:szCs w:val="21"/>
        </w:rPr>
        <w:t xml:space="preserve">评标标准</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5.4纪律和职责</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5.5</w:t>
      </w:r>
      <w:r>
        <w:rPr>
          <w:rFonts w:hint="eastAsia" w:ascii="宋体" w:hAnsi="宋体" w:eastAsia="宋体"/>
          <w:color w:val="000000"/>
          <w:sz w:val="21"/>
          <w:szCs w:val="21"/>
        </w:rPr>
        <w:t xml:space="preserve">采购项目需求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5.6</w:t>
      </w:r>
      <w:r>
        <w:rPr>
          <w:rFonts w:hint="eastAsia" w:ascii="宋体" w:hAnsi="宋体" w:eastAsia="宋体"/>
          <w:color w:val="000000"/>
          <w:sz w:val="21"/>
          <w:szCs w:val="21"/>
        </w:rPr>
        <w:t xml:space="preserve">合同主要条款及格式</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5.7</w:t>
      </w:r>
      <w:r>
        <w:rPr>
          <w:rFonts w:hint="eastAsia" w:ascii="宋体" w:hAnsi="宋体" w:eastAsia="宋体"/>
          <w:color w:val="000000"/>
          <w:sz w:val="21"/>
          <w:szCs w:val="21"/>
        </w:rPr>
        <w:t xml:space="preserve">附件</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5.8</w:t>
      </w:r>
      <w:r>
        <w:rPr>
          <w:rFonts w:hint="eastAsia" w:ascii="宋体" w:hAnsi="宋体" w:eastAsia="宋体"/>
          <w:color w:val="000000"/>
          <w:sz w:val="21"/>
          <w:szCs w:val="21"/>
        </w:rPr>
        <w:t xml:space="preserve">投标文件格式</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6、招标文件的澄清或者修改</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6.1采购人或者采购代理机构可以对已发出的招标文件、招标公告进行必要的澄清或者修改，但不得改变采购标的和资格条件。澄清或者修改应当在原公告发布媒体上发布更正公告。更正内容将作为招标文件的组成部分，并对供应商具有约束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6.2供应商应在提交投标文件截止时间前，关注原公告媒体有关本项目的更正公告，根据更正公告内容自行决定是否需要重新制作和提交投标文件，并承担由此产生的相应责任。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6.3采购代理机构有权按照法律法规的要求推迟投标截止日期和开标日期，并在原公告媒体发布更正公告。</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三、投标</w:t>
      </w:r>
      <w:r/>
    </w:p>
    <w:p>
      <w:pPr>
        <w:ind w:firstLine="211"/>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7、投标文件的语言、计量单位、货币</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7.2供应商所使用的计量单位应为国家法定计量单位。</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7.3供应商应用人民币报价，招标文件另有约定的除外。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7.4供应商</w:t>
      </w:r>
      <w:r>
        <w:rPr>
          <w:rFonts w:hint="eastAsia" w:ascii="宋体" w:hAnsi="宋体" w:eastAsia="宋体"/>
          <w:bCs/>
          <w:color w:val="000000"/>
          <w:sz w:val="21"/>
          <w:szCs w:val="21"/>
        </w:rPr>
        <w:t xml:space="preserve">投标产品如果是进口产品的，应提供人民币与外币之间的汇率</w:t>
      </w:r>
      <w:r>
        <w:rPr>
          <w:rFonts w:hint="eastAsia" w:ascii="宋体" w:hAnsi="宋体" w:eastAsia="宋体"/>
          <w:color w:val="000000"/>
          <w:sz w:val="21"/>
          <w:szCs w:val="21"/>
        </w:rPr>
        <w:t xml:space="preserve">。</w:t>
      </w:r>
      <w:r/>
    </w:p>
    <w:p>
      <w:pPr>
        <w:ind w:firstLine="210"/>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8、联合体投标（如本项目接受联合体投标的，联合体各方须满足以下要求）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8.1</w:t>
      </w:r>
      <w:r>
        <w:rPr>
          <w:rFonts w:hint="eastAsia" w:ascii="宋体" w:hAnsi="宋体" w:eastAsia="宋体"/>
          <w:color w:val="000000"/>
          <w:sz w:val="21"/>
          <w:szCs w:val="21"/>
        </w:rPr>
        <w:t xml:space="preserve">两个以上的自然人、法人或者其他组织可以组成一个联合体，以一个供应商的身份共同参加政府采购。</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8.2</w:t>
      </w:r>
      <w:r>
        <w:rPr>
          <w:rFonts w:hint="eastAsia" w:ascii="宋体" w:hAnsi="宋体" w:eastAsia="宋体"/>
          <w:color w:val="000000"/>
          <w:sz w:val="21"/>
          <w:szCs w:val="21"/>
        </w:rPr>
        <w:t xml:space="preserve">联合体中有同类资质的供应商按照联合体分工承担相同工作的，按照资质等级较低的供应商确定资质等级。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8.3</w:t>
      </w:r>
      <w:r>
        <w:rPr>
          <w:rFonts w:hint="eastAsia" w:ascii="宋体" w:hAnsi="宋体" w:eastAsia="宋体"/>
          <w:color w:val="000000"/>
          <w:sz w:val="21"/>
          <w:szCs w:val="21"/>
        </w:rPr>
        <w:t xml:space="preserve">联合体各方之间应当签订联合体协议，明确约定联合体各方承担的工作和相应的责任，并将联合体协议连同投标文件一同提交。</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8.4</w:t>
      </w:r>
      <w:r>
        <w:rPr>
          <w:rFonts w:hint="eastAsia" w:ascii="宋体" w:hAnsi="宋体" w:eastAsia="宋体"/>
          <w:color w:val="000000"/>
          <w:sz w:val="21"/>
          <w:szCs w:val="21"/>
        </w:rPr>
        <w:t xml:space="preserve">以联合体形式参加政府采购活动的，联合体各方不得再单独参加或者与其他供应商另外组成联合体参加同一合同项下的政府采购活动。</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9、投标费用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9.1供应商应承担所有与准备和参加投标有关的费用，无论采购结果如何，采购代理机构和采购人在任何情况下均无义务和责任承担这些费用。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.2本次采购招标代理服务费由中标供应商参照计价格【2002】1980号文件规定的基准费率下浮39.98%计算（不满4000按4000计算）支付给采购代理机构，请供应商予以关注并核算到总报价中。</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9</w:t>
      </w:r>
      <w:r>
        <w:rPr>
          <w:rFonts w:hint="eastAsia" w:ascii="宋体" w:hAnsi="宋体" w:eastAsia="宋体"/>
          <w:color w:val="000000"/>
          <w:sz w:val="21"/>
          <w:szCs w:val="21"/>
        </w:rPr>
        <w:t xml:space="preserve">.3本次采购招标代理服务费由中标供应商在领取中标通知书时结算。</w:t>
      </w:r>
      <w:r/>
    </w:p>
    <w:p>
      <w:pPr>
        <w:spacing w:line="360" w:lineRule="auto"/>
        <w:rPr>
          <w:rFonts w:ascii="宋体" w:hAnsi="宋体" w:eastAsia="宋体"/>
          <w:b/>
          <w:bCs/>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10</w:t>
      </w:r>
      <w:r>
        <w:rPr>
          <w:rFonts w:hint="eastAsia" w:ascii="宋体" w:hAnsi="宋体" w:eastAsia="宋体"/>
          <w:b/>
          <w:bCs/>
          <w:color w:val="000000"/>
          <w:sz w:val="21"/>
          <w:szCs w:val="21"/>
        </w:rPr>
        <w:t xml:space="preserve">、投标文件组成</w:t>
      </w:r>
      <w:r/>
    </w:p>
    <w:p>
      <w:pPr>
        <w:spacing w:line="360" w:lineRule="auto"/>
        <w:widowControl/>
        <w:rPr>
          <w:rFonts w:ascii="宋体" w:hAnsi="宋体" w:eastAsia="宋体"/>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 10.2</w:t>
      </w:r>
      <w:r>
        <w:rPr>
          <w:rFonts w:hint="eastAsia" w:ascii="宋体" w:hAnsi="宋体" w:eastAsia="宋体"/>
          <w:color w:val="000000"/>
          <w:sz w:val="21"/>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10.3投标文件由商务部分、技术部分、价格部分以及其他部分组成。</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10</w:t>
      </w: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如标书制作工具中格式和内容与“江苏政府采购网”发布的招标文件不一致，以“江苏政府采购网”发布的招标文件为准。</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11、投标文件的商务部分</w:t>
      </w:r>
      <w:r/>
    </w:p>
    <w:p>
      <w:pPr>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rPr>
        <w:t xml:space="preserve">（加“※”项不得有缺失或无效）：</w:t>
      </w:r>
      <w:r/>
    </w:p>
    <w:p>
      <w:pPr>
        <w:spacing w:line="360" w:lineRule="auto"/>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（1）※投标函（投标申请及声明）；</w:t>
      </w:r>
      <w:r/>
    </w:p>
    <w:p>
      <w:pPr>
        <w:spacing w:line="360" w:lineRule="auto"/>
        <w:widowControl/>
        <w:rPr>
          <w:rFonts w:ascii="宋体" w:hAnsi="宋体" w:eastAsia="宋体"/>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（2）※法定代表人授权委托书及委托代理人的身份证明文件的复印件；</w:t>
      </w:r>
      <w:r/>
    </w:p>
    <w:p>
      <w:pPr>
        <w:jc w:val="left"/>
        <w:spacing w:line="360" w:lineRule="auto"/>
        <w:widowControl/>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）※“不存在与参加本项目的其他供应商单位负责人为同一人或者存在直接控股、管理关系”的承诺函；</w:t>
      </w:r>
      <w:r/>
    </w:p>
    <w:p>
      <w:pPr>
        <w:spacing w:line="360" w:lineRule="auto"/>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）※第一章招标公告中</w:t>
      </w:r>
      <w:r>
        <w:rPr>
          <w:rFonts w:hint="eastAsia" w:ascii="仿宋" w:hAnsi="仿宋" w:eastAsia="仿宋" w:cs="仿宋"/>
          <w:b/>
          <w:bCs/>
          <w:color w:val="000000"/>
          <w:sz w:val="21"/>
          <w:szCs w:val="21"/>
          <w:lang w:val="en-US"/>
        </w:rPr>
        <w:t xml:space="preserve">2.1</w:t>
      </w:r>
      <w:r>
        <w:rPr>
          <w:rFonts w:hint="eastAsia" w:ascii="仿宋" w:hAnsi="仿宋" w:eastAsia="仿宋" w:cs="仿宋"/>
          <w:b/>
          <w:bCs/>
          <w:color w:val="000000"/>
          <w:sz w:val="21"/>
          <w:szCs w:val="21"/>
        </w:rPr>
        <w:t xml:space="preserve">《中华人民共和国政府采购法》第二十二条规定的资格条件证明文件；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5</w:t>
      </w:r>
      <w:r>
        <w:rPr>
          <w:rFonts w:hint="eastAsia" w:ascii="仿宋" w:hAnsi="仿宋" w:eastAsia="仿宋" w:cs="仿宋"/>
          <w:b/>
          <w:bCs/>
          <w:color w:val="000000"/>
          <w:sz w:val="21"/>
          <w:szCs w:val="21"/>
        </w:rPr>
        <w:t xml:space="preserve">）※第一章招标公告中2</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2落实政府采购政策需满足的资格要求的证明文件；</w:t>
      </w:r>
      <w:r/>
    </w:p>
    <w:p>
      <w:pPr>
        <w:spacing w:line="360" w:lineRule="auto"/>
        <w:rPr>
          <w:rFonts w:ascii="仿宋" w:hAnsi="仿宋" w:eastAsia="仿宋" w:cs="仿宋"/>
          <w:b/>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第一章招标公告中</w:t>
      </w:r>
      <w:r>
        <w:rPr>
          <w:rFonts w:hint="eastAsia" w:ascii="仿宋" w:hAnsi="仿宋" w:eastAsia="仿宋" w:cs="仿宋"/>
          <w:b/>
          <w:color w:val="000000"/>
          <w:sz w:val="21"/>
          <w:szCs w:val="21"/>
          <w:lang w:val="en-US"/>
        </w:rPr>
        <w:t xml:space="preserve">2</w:t>
      </w:r>
      <w:r>
        <w:rPr>
          <w:rFonts w:hint="eastAsia" w:ascii="仿宋" w:hAnsi="仿宋" w:eastAsia="仿宋" w:cs="仿宋"/>
          <w:b/>
          <w:color w:val="000000"/>
          <w:sz w:val="21"/>
          <w:szCs w:val="21"/>
        </w:rPr>
        <w:t xml:space="preserve">.</w:t>
      </w:r>
      <w:r>
        <w:rPr>
          <w:rFonts w:hint="eastAsia" w:ascii="仿宋" w:hAnsi="仿宋" w:eastAsia="仿宋" w:cs="仿宋"/>
          <w:b/>
          <w:color w:val="000000"/>
          <w:sz w:val="21"/>
          <w:szCs w:val="21"/>
          <w:lang w:val="en-US"/>
        </w:rPr>
        <w:t xml:space="preserve">3</w:t>
      </w:r>
      <w:r>
        <w:rPr>
          <w:rFonts w:hint="eastAsia" w:ascii="仿宋" w:hAnsi="仿宋" w:eastAsia="仿宋" w:cs="仿宋"/>
          <w:b/>
          <w:color w:val="000000"/>
          <w:sz w:val="21"/>
          <w:szCs w:val="21"/>
        </w:rPr>
        <w:t xml:space="preserve">采购人根据采购项目的特殊要求规定的特定条件的证明文件；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）供应商认为需要提供的其他资格证明文件和商务资料；</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）《商务条款偏离表》。</w:t>
      </w:r>
      <w:r/>
    </w:p>
    <w:p>
      <w:pPr>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12、投标文件的技术部分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若技术性能无特殊说明，则按国家有关部门最新颁布的标准及规范为准。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提供的货物和服务如与招标文件要求有不符之处，应说明其差别之所在，并在《技术条款偏离表》中逐条予以说明。</w:t>
      </w:r>
      <w:r/>
    </w:p>
    <w:p>
      <w:pPr>
        <w:spacing w:line="360" w:lineRule="auto"/>
        <w:rPr>
          <w:rFonts w:ascii="仿宋" w:hAnsi="仿宋" w:eastAsia="仿宋" w:cs="仿宋"/>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12.4投标文件应按照招标文件要求提供技术资料、文件和有关证明，包括但不限于下列文件</w:t>
      </w:r>
      <w:r>
        <w:rPr>
          <w:rFonts w:hint="eastAsia" w:ascii="仿宋" w:hAnsi="仿宋" w:eastAsia="仿宋" w:cs="仿宋"/>
          <w:b/>
          <w:bCs/>
          <w:color w:val="000000"/>
          <w:sz w:val="21"/>
          <w:szCs w:val="21"/>
        </w:rPr>
        <w:t xml:space="preserve">（加“※”项不得有缺失或无效）：</w:t>
      </w:r>
      <w:r/>
    </w:p>
    <w:p>
      <w:pPr>
        <w:spacing w:line="360" w:lineRule="auto"/>
        <w:widowControl/>
        <w:rPr>
          <w:rFonts w:ascii="仿宋" w:hAnsi="仿宋" w:eastAsia="仿宋" w:cs="仿宋"/>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仿宋" w:hAnsi="仿宋" w:eastAsia="仿宋" w:cs="仿宋"/>
          <w:b/>
          <w:bCs/>
          <w:color w:val="000000"/>
          <w:sz w:val="21"/>
          <w:szCs w:val="21"/>
        </w:rPr>
        <w:t xml:space="preserve">（1）※货物品牌、型号、材质、主要技术（服务）指标和性能、制造商、生产企业名称等详细说明；</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）※《投标项目主要产品一览表》；</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）※《供货一览表》；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）货物安装验收标准；</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）项目实施方案；</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）服务承诺；</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）供应商认为需要提供的其他技术资料等；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）《技术条款偏离表》。</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13、投标文件的价格部分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.1价格部分是对投标货物和服务价格构成的说明，每一项货物及服务仅接受一个价格。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.3供应商的任何错漏、优惠、竞争性报价不得作为减轻责任、减少服务、增加收费、降低质量的理由。</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供应商应按照招标文件规定格式完整、正确填报投标函、开标一览表。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14、投标文件的其他部分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14.1其他部分由供应商根据编制投标文件需要提供的其他相关文件。</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15、投标保证金</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15.1本项目不收取投标保证金。</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16、投标有效期</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16.1自提交投标文件截止之日起</w:t>
      </w:r>
      <w:r>
        <w:rPr>
          <w:rFonts w:hint="eastAsia" w:ascii="宋体" w:hAnsi="宋体" w:eastAsia="宋体"/>
          <w:color w:val="000000"/>
          <w:sz w:val="21"/>
          <w:szCs w:val="21"/>
          <w:lang w:val="en-US"/>
        </w:rPr>
        <w:t xml:space="preserve">90</w:t>
      </w:r>
      <w:r>
        <w:rPr>
          <w:rFonts w:hint="eastAsia" w:ascii="宋体" w:hAnsi="宋体" w:eastAsia="宋体"/>
          <w:color w:val="000000"/>
          <w:sz w:val="21"/>
          <w:szCs w:val="21"/>
        </w:rPr>
        <w:t xml:space="preserve">日。</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17、投标文件</w:t>
      </w:r>
      <w:r>
        <w:rPr>
          <w:rFonts w:hint="eastAsia" w:ascii="宋体" w:hAnsi="宋体" w:eastAsia="宋体"/>
          <w:b/>
          <w:bCs/>
          <w:color w:val="000000"/>
          <w:sz w:val="21"/>
          <w:szCs w:val="21"/>
          <w:lang w:val="en-US"/>
        </w:rPr>
        <w:t xml:space="preserve">的提交</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17.1供应商应当按照《操作手册》规定，在招标公告规定的投标截止时间前制作并上传电子投标文件。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17.2供应商应充分考虑网络环境、网络带宽等因素可能对投标产生的影响，如因供应商自身原因造成的电子投标文件上传不成功的，按照本招标文件第二章第21.2.2.3条规定做无效投标处理。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17.3采购代理机构可以按照规定，通过修改招标文件酌情延长投标截止时间，在此情况下，供应商的所有权利和义务均以延长后新的截止时间为准。</w:t>
      </w:r>
      <w:r/>
    </w:p>
    <w:p>
      <w:pP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    18、投标文件的拒收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18.1</w:t>
      </w:r>
      <w:bookmarkStart w:id="33" w:name="OLE_LINK16"/>
      <w:r>
        <w:rPr>
          <w:rFonts w:hint="eastAsia" w:ascii="宋体" w:hAnsi="宋体" w:eastAsia="宋体"/>
          <w:color w:val="000000"/>
          <w:sz w:val="21"/>
          <w:szCs w:val="21"/>
          <w:lang w:val="en-US"/>
        </w:rPr>
        <w:t xml:space="preserve">采购代理机构拒绝接收投标截止时间后上传的任何投标文件。</w:t>
      </w:r>
      <w:bookmarkEnd w:id="33"/>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19、</w:t>
      </w:r>
      <w:r>
        <w:rPr>
          <w:rFonts w:hint="eastAsia" w:ascii="宋体" w:hAnsi="宋体" w:eastAsia="宋体"/>
          <w:b/>
          <w:bCs/>
          <w:color w:val="000000"/>
          <w:sz w:val="21"/>
          <w:szCs w:val="21"/>
        </w:rPr>
        <w:t xml:space="preserve">投标文件的撤回和修改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.1投标文件的撤回</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.1.1供应商可在投标截止时间前撤回其电子投标文件，具体操作方法见《操作手册》。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.1.2供应商撤回电子投标文件，则认为其不再参与本项目投标活动。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.2投标文件的修改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.2.1供应商可在投标截止时间前对其电子投标文件进行修改，具体操作方法见《操作手册》。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.2.2投标截止时间之后，供应商不得对其电子投标文件作任何修改。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.3在投标截止时间至招标文件中规定的投标有效期满之间的这段时间内，供应商不得撤回其投标。</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w:t>
      </w:r>
      <w:bookmarkStart w:id="34" w:name="OLE_LINK28"/>
      <w:r>
        <w:rPr>
          <w:rFonts w:hint="eastAsia" w:ascii="宋体" w:hAnsi="宋体" w:eastAsia="宋体"/>
          <w:b/>
          <w:bCs/>
          <w:color w:val="000000"/>
          <w:sz w:val="21"/>
          <w:szCs w:val="21"/>
        </w:rPr>
        <w:t xml:space="preserve">开标、评标与定标</w:t>
      </w:r>
      <w:bookmarkEnd w:id="34"/>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0</w:t>
      </w:r>
      <w:r>
        <w:rPr>
          <w:rFonts w:hint="eastAsia" w:ascii="宋体" w:hAnsi="宋体" w:eastAsia="宋体"/>
          <w:b/>
          <w:bCs/>
          <w:color w:val="000000"/>
          <w:sz w:val="21"/>
          <w:szCs w:val="21"/>
        </w:rPr>
        <w:t xml:space="preserve">、开标</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20.1</w:t>
      </w:r>
      <w:r>
        <w:rPr>
          <w:rFonts w:hint="eastAsia" w:ascii="宋体" w:hAnsi="宋体" w:eastAsia="宋体"/>
          <w:color w:val="000000"/>
          <w:sz w:val="21"/>
          <w:szCs w:val="21"/>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20.2</w:t>
      </w:r>
      <w:r>
        <w:rPr>
          <w:rFonts w:hint="eastAsia" w:ascii="宋体" w:hAnsi="宋体" w:eastAsia="宋体"/>
          <w:color w:val="000000"/>
          <w:sz w:val="21"/>
          <w:szCs w:val="21"/>
        </w:rPr>
        <w:t xml:space="preserve">供应商在开标过程中涉及到的投标文件解密、开标结果确认等工作，应按照《操作手册》规定执行。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20.3</w:t>
      </w:r>
      <w:r>
        <w:rPr>
          <w:rFonts w:hint="eastAsia" w:ascii="宋体" w:hAnsi="宋体" w:eastAsia="宋体"/>
          <w:color w:val="000000"/>
          <w:sz w:val="21"/>
          <w:szCs w:val="21"/>
        </w:rPr>
        <w:t xml:space="preserve">供应商如果对开标过程和开标结果有疑义，应当根据《操作手册》规定提出，苏采云系统中《开标一览表》公布后5分钟内未提出的，视同认可开标结果。</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、评标</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.1评标组织</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.1.1评标工作由采购代理机构负责组织，具体评标事务由依法组建的评标委员会负责，并独立履行下列职责：</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）审查、评价投标文件是否符合招标文件的商务、技术等实质性要求；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）要求供应商对投标文件有关事项作出澄清或者说明；</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）对投标文件进行比较和评价；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）确定中标候选人名单，以及根据采购人委托直接确定中标供应商；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）向采购人、采购代理机构或者有关部门报告评标中发现的违法行为。</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.1.2评标委员会由采购人代表及财政部门设立的政府采购评审专家库中随机方式抽取的评审专家组成，独立开展评审工作。</w:t>
      </w:r>
      <w:r/>
    </w:p>
    <w:p>
      <w:pP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.2评标程序</w:t>
      </w:r>
      <w:r/>
    </w:p>
    <w:p>
      <w:pPr>
        <w:ind w:firstLine="421"/>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.2.1投标文件的资格性审查</w:t>
      </w:r>
      <w:r/>
    </w:p>
    <w:p>
      <w:pPr>
        <w:ind w:firstLine="421"/>
        <w:spacing w:line="360" w:lineRule="auto"/>
        <w:widowControl/>
        <w:rPr>
          <w:rFonts w:ascii="宋体" w:hAnsi="宋体" w:eastAsia="宋体"/>
          <w:color w:val="000000"/>
          <w:sz w:val="21"/>
          <w:szCs w:val="21"/>
        </w:rPr>
      </w:pPr>
      <w:r>
        <w:rPr>
          <w:rFonts w:hint="eastAsia" w:ascii="宋体" w:hAnsi="宋体" w:eastAsia="宋体"/>
          <w:bCs/>
          <w:color w:val="000000"/>
          <w:sz w:val="21"/>
          <w:szCs w:val="21"/>
        </w:rPr>
        <w:t xml:space="preserve">2</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.2.1</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开标结束后，由采购人或者采购代理机构根据法律法规和招标文件的规定依法对供应商</w:t>
      </w:r>
      <w:r>
        <w:rPr>
          <w:rFonts w:hint="eastAsia" w:ascii="宋体" w:hAnsi="宋体" w:eastAsia="宋体"/>
          <w:bCs/>
          <w:color w:val="000000"/>
          <w:sz w:val="21"/>
          <w:szCs w:val="21"/>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rPr>
        <w:t xml:space="preserve">。</w:t>
      </w:r>
      <w:r/>
    </w:p>
    <w:p>
      <w:pPr>
        <w:ind w:firstLine="420"/>
        <w:spacing w:line="360" w:lineRule="auto"/>
        <w:widowControl/>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21.2.1.2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widowControl/>
        <w:rPr>
          <w:rFonts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21.2.1.3</w:t>
      </w:r>
      <w:r>
        <w:rPr>
          <w:rFonts w:hint="eastAsia" w:ascii="仿宋" w:hAnsi="仿宋" w:eastAsia="仿宋" w:cs="仿宋"/>
          <w:b/>
          <w:bCs/>
          <w:color w:val="000000"/>
          <w:sz w:val="21"/>
          <w:szCs w:val="21"/>
        </w:rPr>
        <w:t xml:space="preserve">投标文件有下列情况之一的，在资格性审查时按照投标无效处理：</w:t>
      </w:r>
      <w:r/>
    </w:p>
    <w:p>
      <w:pPr>
        <w:spacing w:line="360" w:lineRule="auto"/>
        <w:rPr>
          <w:rFonts w:ascii="仿宋" w:hAnsi="仿宋" w:eastAsia="仿宋" w:cs="仿宋"/>
          <w:b/>
          <w:bCs/>
          <w:color w:val="000000"/>
          <w:sz w:val="21"/>
          <w:szCs w:val="21"/>
          <w:lang w:val="en-US"/>
        </w:rPr>
      </w:pPr>
      <w:r>
        <w:rPr>
          <w:rFonts w:hint="eastAsia" w:ascii="宋体" w:hAnsi="宋体" w:eastAsia="宋体"/>
          <w:color w:val="000000"/>
          <w:sz w:val="21"/>
          <w:szCs w:val="21"/>
          <w:lang w:val="en-US"/>
        </w:rPr>
        <w:t xml:space="preserve">    </w:t>
      </w:r>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11</w:t>
      </w:r>
      <w:r>
        <w:rPr>
          <w:rFonts w:hint="eastAsia" w:ascii="仿宋" w:hAnsi="仿宋" w:eastAsia="仿宋" w:cs="仿宋"/>
          <w:b/>
          <w:bCs/>
          <w:color w:val="000000"/>
          <w:sz w:val="21"/>
          <w:szCs w:val="21"/>
          <w:lang w:val="en-US"/>
        </w:rPr>
        <w:t xml:space="preserve">.1加“※”项要求提供的证明材料缺失或无效的；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21.2.1.4</w:t>
      </w:r>
      <w:r>
        <w:rPr>
          <w:rFonts w:hint="eastAsia" w:ascii="宋体" w:hAnsi="宋体" w:eastAsia="宋体"/>
          <w:color w:val="000000"/>
          <w:sz w:val="21"/>
          <w:szCs w:val="21"/>
        </w:rPr>
        <w:t xml:space="preserve">合格供应商不足3家的，不得评标。</w:t>
      </w:r>
      <w:r/>
    </w:p>
    <w:p>
      <w:pPr>
        <w:ind w:firstLine="421"/>
        <w:spacing w:line="360" w:lineRule="auto"/>
        <w:widowControl/>
        <w:rPr>
          <w:rFonts w:ascii="宋体" w:hAnsi="宋体" w:eastAsia="宋体"/>
          <w:b/>
          <w:color w:val="000000"/>
          <w:sz w:val="21"/>
          <w:szCs w:val="21"/>
        </w:rPr>
      </w:pPr>
      <w:r/>
      <w:bookmarkStart w:id="35" w:name="OLE_LINK13"/>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.2.2</w:t>
      </w:r>
      <w:bookmarkEnd w:id="35"/>
      <w:r>
        <w:rPr>
          <w:rFonts w:hint="eastAsia" w:ascii="宋体" w:hAnsi="宋体" w:eastAsia="宋体"/>
          <w:b/>
          <w:color w:val="000000"/>
          <w:sz w:val="21"/>
          <w:szCs w:val="21"/>
        </w:rPr>
        <w:t xml:space="preserve">投标文件的符合性审查</w:t>
      </w:r>
      <w:r/>
    </w:p>
    <w:p>
      <w:pPr>
        <w:ind w:firstLine="421"/>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21.2.2.1</w:t>
      </w:r>
      <w:r>
        <w:rPr>
          <w:rFonts w:hint="eastAsia" w:ascii="宋体" w:hAnsi="宋体" w:eastAsia="宋体"/>
          <w:color w:val="000000"/>
          <w:sz w:val="21"/>
          <w:szCs w:val="21"/>
        </w:rPr>
        <w:t xml:space="preserve">评标委员会应当对符合资格的供应商的投标文件进行符合性审查，以确定其是否满足招标文件的实质性要求。</w:t>
      </w:r>
      <w:r/>
    </w:p>
    <w:p>
      <w:pPr>
        <w:ind w:firstLine="421"/>
        <w:spacing w:line="360" w:lineRule="auto"/>
        <w:widowControl/>
        <w:rPr>
          <w:rFonts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21.2.2.2</w:t>
      </w:r>
      <w:r>
        <w:rPr>
          <w:rFonts w:hint="eastAsia" w:ascii="仿宋" w:hAnsi="仿宋" w:eastAsia="仿宋" w:cs="仿宋"/>
          <w:b/>
          <w:bCs/>
          <w:color w:val="000000"/>
          <w:sz w:val="21"/>
          <w:szCs w:val="21"/>
        </w:rPr>
        <w:t xml:space="preserve">实质性要求是指：本招标文件第二章供应商须知中</w:t>
      </w:r>
      <w:r>
        <w:rPr>
          <w:rFonts w:hint="eastAsia" w:ascii="仿宋" w:hAnsi="仿宋" w:eastAsia="仿宋" w:cs="仿宋"/>
          <w:b/>
          <w:bCs/>
          <w:color w:val="000000"/>
          <w:sz w:val="21"/>
          <w:szCs w:val="21"/>
          <w:u w:val="single"/>
        </w:rPr>
        <w:t xml:space="preserve">加</w:t>
      </w:r>
      <w:r>
        <w:rPr>
          <w:rFonts w:hint="eastAsia" w:ascii="仿宋" w:hAnsi="仿宋" w:eastAsia="仿宋" w:cs="仿宋"/>
          <w:b/>
          <w:bCs/>
          <w:color w:val="000000"/>
          <w:sz w:val="21"/>
          <w:szCs w:val="21"/>
          <w:u w:val="single"/>
          <w:lang w:val="en-US"/>
        </w:rPr>
        <w:t xml:space="preserve">“※”项要求</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第五章采购项目需求中</w:t>
      </w:r>
      <w:r>
        <w:rPr>
          <w:rFonts w:hint="eastAsia" w:ascii="仿宋" w:hAnsi="仿宋" w:eastAsia="仿宋" w:cs="仿宋"/>
          <w:b/>
          <w:bCs/>
          <w:color w:val="000000"/>
          <w:sz w:val="21"/>
          <w:szCs w:val="21"/>
          <w:u w:val="single"/>
        </w:rPr>
        <w:t xml:space="preserve">加“★”项技术要求以及商务要求</w:t>
      </w:r>
      <w:r>
        <w:rPr>
          <w:rFonts w:hint="eastAsia" w:ascii="仿宋" w:hAnsi="仿宋" w:eastAsia="仿宋" w:cs="仿宋"/>
          <w:b/>
          <w:bCs/>
          <w:color w:val="000000"/>
          <w:sz w:val="21"/>
          <w:szCs w:val="21"/>
        </w:rPr>
        <w:t xml:space="preserve">。</w:t>
      </w:r>
      <w:r/>
    </w:p>
    <w:p>
      <w:pPr>
        <w:ind w:firstLine="422"/>
        <w:spacing w:line="360" w:lineRule="auto"/>
        <w:widowControl/>
        <w:rPr>
          <w:rFonts w:ascii="仿宋" w:hAnsi="仿宋" w:eastAsia="仿宋" w:cs="仿宋"/>
          <w:b/>
          <w:bCs/>
          <w:color w:val="000000"/>
          <w:sz w:val="21"/>
          <w:szCs w:val="21"/>
        </w:rPr>
      </w:pPr>
      <w:r/>
      <w:bookmarkStart w:id="36" w:name="OLE_LINK14"/>
      <w:r>
        <w:rPr>
          <w:rFonts w:hint="eastAsia" w:ascii="仿宋" w:hAnsi="仿宋" w:eastAsia="仿宋" w:cs="仿宋"/>
          <w:b/>
          <w:bCs/>
          <w:color w:val="000000"/>
          <w:sz w:val="21"/>
          <w:szCs w:val="21"/>
          <w:lang w:val="en-US"/>
        </w:rPr>
        <w:t xml:space="preserve">21.2.2.3</w:t>
      </w:r>
      <w:bookmarkEnd w:id="36"/>
      <w:r>
        <w:rPr>
          <w:rFonts w:hint="eastAsia" w:ascii="仿宋" w:hAnsi="仿宋" w:eastAsia="仿宋" w:cs="仿宋"/>
          <w:b/>
          <w:bCs/>
          <w:color w:val="000000"/>
          <w:sz w:val="21"/>
          <w:szCs w:val="21"/>
        </w:rPr>
        <w:t xml:space="preserve">投标文件有下列情况之一的，在符合性审查时按照投标无效处理：</w:t>
      </w:r>
      <w:r/>
    </w:p>
    <w:p>
      <w:pPr>
        <w:spacing w:line="360" w:lineRule="auto"/>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w:t>
      </w:r>
      <w:bookmarkStart w:id="37" w:name="OLE_LINK17"/>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2.4加“※”项要求提供的证明材料缺失或无效的；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在苏采云系统规定的时间内未成功解密电子投标文件；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未按照招标文件要求上传电子投标文件；</w:t>
      </w:r>
      <w:r/>
    </w:p>
    <w:p>
      <w:pPr>
        <w:ind w:firstLine="422"/>
        <w:spacing w:line="360" w:lineRule="auto"/>
        <w:rPr>
          <w:rFonts w:ascii="宋体" w:hAnsi="宋体" w:eastAsia="仿宋"/>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）投标文件未按照招标文件要求加盖电子公章；</w:t>
      </w:r>
      <w:r/>
    </w:p>
    <w:p>
      <w:pPr>
        <w:spacing w:line="360" w:lineRule="auto"/>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（5）投标文件中未逐一说明投标产品名称、品牌、规格型号、产地、技术参数和服务响应，而是直接拷贝招标文件采购项目需求的；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）不同供应商的投标文件由同一单位或者个人编制；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7</w:t>
      </w:r>
      <w:r>
        <w:rPr>
          <w:rFonts w:hint="eastAsia" w:ascii="仿宋" w:hAnsi="仿宋" w:eastAsia="仿宋" w:cs="仿宋"/>
          <w:b/>
          <w:bCs/>
          <w:color w:val="000000"/>
          <w:sz w:val="21"/>
          <w:szCs w:val="21"/>
        </w:rPr>
        <w:t xml:space="preserve">）不同供应商委托同一单位或者个人办理投标事宜；</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8</w:t>
      </w:r>
      <w:r>
        <w:rPr>
          <w:rFonts w:hint="eastAsia" w:ascii="仿宋" w:hAnsi="仿宋" w:eastAsia="仿宋" w:cs="仿宋"/>
          <w:b/>
          <w:bCs/>
          <w:color w:val="000000"/>
          <w:sz w:val="21"/>
          <w:szCs w:val="21"/>
        </w:rPr>
        <w:t xml:space="preserve">）不同供应商的投标文件载明的项目管理成员或者联系人员为同一人；</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9</w:t>
      </w:r>
      <w:r>
        <w:rPr>
          <w:rFonts w:hint="eastAsia" w:ascii="仿宋" w:hAnsi="仿宋" w:eastAsia="仿宋" w:cs="仿宋"/>
          <w:b/>
          <w:bCs/>
          <w:color w:val="000000"/>
          <w:sz w:val="21"/>
          <w:szCs w:val="21"/>
        </w:rPr>
        <w:t xml:space="preserve">）不同供应商的投标文件异常一致或者投标报价呈规律性差异；</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10</w:t>
      </w:r>
      <w:r>
        <w:rPr>
          <w:rFonts w:hint="eastAsia" w:ascii="仿宋" w:hAnsi="仿宋" w:eastAsia="仿宋" w:cs="仿宋"/>
          <w:b/>
          <w:bCs/>
          <w:color w:val="000000"/>
          <w:sz w:val="21"/>
          <w:szCs w:val="21"/>
        </w:rPr>
        <w:t xml:space="preserve">）不同供应商的单位负责人为同一人或者供应商之间存在直接控股、管理关系的；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11</w:t>
      </w:r>
      <w:r>
        <w:rPr>
          <w:rFonts w:hint="eastAsia" w:ascii="仿宋" w:hAnsi="仿宋" w:eastAsia="仿宋" w:cs="仿宋"/>
          <w:b/>
          <w:bCs/>
          <w:color w:val="000000"/>
          <w:sz w:val="21"/>
          <w:szCs w:val="21"/>
        </w:rPr>
        <w:t xml:space="preserve">）报价超过招标文件中规定的预算金额或者最高限价的；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12</w:t>
      </w:r>
      <w:r>
        <w:rPr>
          <w:rFonts w:hint="eastAsia" w:ascii="仿宋" w:hAnsi="仿宋" w:eastAsia="仿宋" w:cs="仿宋"/>
          <w:b/>
          <w:bCs/>
          <w:color w:val="000000"/>
          <w:sz w:val="21"/>
          <w:szCs w:val="21"/>
        </w:rPr>
        <w:t xml:space="preserve">）投标文件含有采购人不能接受的附加条件的；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）属于第一章招标公告中2.6所列情形的；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14</w:t>
      </w:r>
      <w:r>
        <w:rPr>
          <w:rFonts w:hint="eastAsia" w:ascii="仿宋" w:hAnsi="仿宋" w:eastAsia="仿宋" w:cs="仿宋"/>
          <w:b/>
          <w:bCs/>
          <w:color w:val="000000"/>
          <w:sz w:val="21"/>
          <w:szCs w:val="21"/>
        </w:rPr>
        <w:t xml:space="preserve">）投标文件不符合招标文件规定的其他实质性要求的；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15</w:t>
      </w:r>
      <w:r>
        <w:rPr>
          <w:rFonts w:hint="eastAsia" w:ascii="仿宋" w:hAnsi="仿宋" w:eastAsia="仿宋" w:cs="仿宋"/>
          <w:b/>
          <w:bCs/>
          <w:color w:val="000000"/>
          <w:sz w:val="21"/>
          <w:szCs w:val="21"/>
        </w:rPr>
        <w:t xml:space="preserve">）法律、法规和招标文件规定的其他无效情形。</w:t>
      </w:r>
      <w:bookmarkEnd w:id="37"/>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21.2.2.4</w:t>
      </w:r>
      <w:r>
        <w:rPr>
          <w:rFonts w:hint="eastAsia" w:ascii="仿宋" w:hAnsi="仿宋" w:eastAsia="仿宋" w:cs="仿宋"/>
          <w:b/>
          <w:bCs/>
          <w:color w:val="000000"/>
          <w:sz w:val="21"/>
          <w:szCs w:val="21"/>
        </w:rPr>
        <w:t xml:space="preserve">有下列情形之一的予以废标，同时将废标理由通知所有供应商：</w:t>
      </w:r>
      <w:r/>
    </w:p>
    <w:p>
      <w:pPr>
        <w:spacing w:line="360" w:lineRule="auto"/>
        <w:rPr>
          <w:rFonts w:ascii="仿宋" w:hAnsi="仿宋" w:eastAsia="仿宋" w:cs="仿宋"/>
          <w:b/>
          <w:bCs/>
          <w:color w:val="000000"/>
          <w:sz w:val="21"/>
          <w:szCs w:val="21"/>
        </w:rPr>
      </w:pPr>
      <w:r/>
      <w:bookmarkStart w:id="38" w:name="OLE_LINK20"/>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（1）符合资格条件的供应商或者对招标文件作实质性响应的供应商不足三家的；</w:t>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（2）出现影响采购公正的违法、违规行为的；</w:t>
      </w:r>
      <w:r/>
    </w:p>
    <w:p>
      <w:pPr>
        <w:ind w:firstLine="421"/>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（3）因重大变故，采购任务取消的；</w:t>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（4）因苏采云系统故障造成开标不成功。</w:t>
      </w:r>
      <w:bookmarkEnd w:id="38"/>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21.2.3未通过资格审查或符合性审查的供应商，采购代理机构将通过苏采云系统告知其具体原因，评标结束后不再接受有关询问。</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21.2.4如出现投标截止时间后参加的供应商或者对招标文件作出实质性响应的供应商不足三家的情况，按政府采购相关规定执行。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lang w:val="en-US"/>
        </w:rPr>
        <w:t xml:space="preserve">21</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投标文件的进一步评审</w:t>
      </w:r>
      <w:r/>
    </w:p>
    <w:p>
      <w:pPr>
        <w:ind w:firstLine="420"/>
        <w:jc w:val="left"/>
        <w:spacing w:line="360" w:lineRule="auto"/>
        <w:widowControl/>
        <w:rPr>
          <w:rFonts w:ascii="宋体" w:hAnsi="宋体" w:eastAsia="宋体"/>
          <w:color w:val="000000"/>
          <w:sz w:val="21"/>
          <w:szCs w:val="21"/>
        </w:rPr>
      </w:pPr>
      <w:r/>
      <w:bookmarkStart w:id="39" w:name="OLE_LINK21"/>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w:t>
      </w:r>
      <w:bookmarkEnd w:id="39"/>
      <w:r>
        <w:rPr>
          <w:rFonts w:hint="eastAsia" w:ascii="宋体" w:hAnsi="宋体" w:eastAsia="宋体"/>
          <w:color w:val="000000"/>
          <w:sz w:val="21"/>
          <w:szCs w:val="21"/>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（1）《开标一览表》内容与投标文件中相应内容不一致的，以《开标一览表》为准；</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（2）大写金额和小写金额不一致的，以大写金额为准；</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（3）单价金额小数点或者百分比有明显错位的，以《开标一览表》的总价为准，并修改单价；</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（4）总价金额与按单价汇总金额不一致的，以单价金额计算结果为准；</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，调整后的价格对</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具有约束力。如果</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不接受修正后的价格，则其投标将被拒绝。</w:t>
      </w:r>
      <w:r/>
    </w:p>
    <w:p>
      <w:pPr>
        <w:ind w:firstLine="422"/>
        <w:jc w:val="left"/>
        <w:spacing w:line="360" w:lineRule="auto"/>
        <w:widowControl/>
        <w:rPr>
          <w:rFonts w:ascii="仿宋" w:hAnsi="仿宋" w:eastAsia="仿宋" w:cs="仿宋"/>
          <w:b/>
          <w:bCs/>
          <w:color w:val="000000"/>
          <w:sz w:val="21"/>
          <w:szCs w:val="21"/>
          <w:lang w:val="en-US"/>
        </w:rPr>
      </w:pPr>
      <w:r/>
      <w:bookmarkStart w:id="40" w:name="OLE_LINK15"/>
      <w:r>
        <w:rPr>
          <w:rFonts w:hint="eastAsia" w:ascii="仿宋" w:hAnsi="仿宋" w:eastAsia="仿宋" w:cs="仿宋"/>
          <w:b/>
          <w:bCs/>
          <w:color w:val="000000"/>
          <w:sz w:val="21"/>
          <w:szCs w:val="21"/>
          <w:lang w:val="en-US"/>
        </w:rPr>
        <w:t xml:space="preserve">21.2.5.2异常低价处理</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采购评审中出现下列情形之一的，评审委员会应当启动异常低价投标（响应）审查程序：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（2）投标（响应）报价低于通过符合性审查的次低报价供应商投标（响应）报价50%的，即投标（响应）报价&lt;通过符合性审查的次低报价供应商投标（响应）报价×50%；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（3）投标（响应）报价低于采购项目最高限价50%的，即投标（响应）报价&lt;采购项目最高限价×50%（未设定最高限价的采购项目，以采购项目预算金额作为最高限价）；</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（4）评审委员会基于专业判断，认为供应商报价过低，有可能影响产品质量或者不能诚信履约的其他情形。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评审委员会启动异常低价投标（响应）审查后，属于前述第（1）项至第（4）项情形的，将要求相关供应商在评审现场合理的时间内对投标（响应）价格作出解释，提供 项目具体成本测算等与报价合理性相关的书面说明及必要的证明材料，包括但不限于原材料成本、人工成本、制造费用等。其中，属于第 3 项情形，供应商已随投标（响应）文件一并提交相关书面说明及必要的证明材料的，在评审现场可不再重复提交。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0"/>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21.2.5.3</w:t>
      </w:r>
      <w:r>
        <w:rPr>
          <w:rFonts w:hint="eastAsia" w:ascii="宋体" w:hAnsi="宋体" w:eastAsia="宋体"/>
          <w:color w:val="000000"/>
          <w:sz w:val="21"/>
          <w:szCs w:val="21"/>
        </w:rPr>
        <w:t xml:space="preserve">澄清有关问题</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）对于投标文件中含义不明确、同类问题表述不一致或者有明显文字和计算错误的内容，评标委员有权要求</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作出必要的澄清、说明或者补正。</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（2）供应商</w:t>
      </w:r>
      <w:r>
        <w:rPr>
          <w:rFonts w:hint="eastAsia" w:ascii="宋体" w:hAnsi="宋体" w:eastAsia="宋体"/>
          <w:color w:val="000000"/>
          <w:sz w:val="21"/>
          <w:szCs w:val="21"/>
        </w:rPr>
        <w:t xml:space="preserve">的澄清、说明或者补正不得超出投标文件的范围或者改变投标文件的实质性内容。</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）评标委员会并非对每个</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都做澄清要求。</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（5）接到评标委员会澄清、说明和补正要求的，供应商如未按规定作出澄清、说明和补正，其风险由供应商自行承担。</w:t>
      </w:r>
      <w:r/>
    </w:p>
    <w:p>
      <w:pPr>
        <w:ind w:firstLine="422"/>
        <w:jc w:val="left"/>
        <w:spacing w:line="360" w:lineRule="auto"/>
        <w:widowControl/>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21.2.5.4供应商在开、评标全过程中应保持通讯畅通，及时登录苏采云系统查阅、答复相关信息，并安排专人与采购代理机构及评标委员会联系。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21.2.5.5</w:t>
      </w:r>
      <w:r>
        <w:rPr>
          <w:rFonts w:hint="eastAsia" w:ascii="宋体" w:hAnsi="宋体" w:eastAsia="宋体"/>
          <w:color w:val="000000"/>
          <w:sz w:val="21"/>
          <w:szCs w:val="21"/>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21.2.5.6</w:t>
      </w:r>
      <w:r>
        <w:rPr>
          <w:rFonts w:hint="eastAsia" w:ascii="宋体" w:hAnsi="宋体" w:eastAsia="宋体"/>
          <w:color w:val="000000"/>
          <w:sz w:val="21"/>
          <w:szCs w:val="21"/>
        </w:rPr>
        <w:t xml:space="preserve">相同品牌产品投标要求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widowControl/>
        <w:rPr>
          <w:rFonts w:ascii="宋体" w:hAnsi="宋体" w:eastAsia="宋体"/>
          <w:b/>
          <w:bCs/>
          <w:color w:val="000000"/>
          <w:sz w:val="21"/>
          <w:szCs w:val="21"/>
        </w:rPr>
      </w:pPr>
      <w:r>
        <w:rPr>
          <w:rFonts w:hint="eastAsia" w:ascii="宋体" w:hAnsi="宋体" w:eastAsia="宋体"/>
          <w:color w:val="000000"/>
          <w:sz w:val="21"/>
          <w:szCs w:val="21"/>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.3评标方法和标准</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.3.1</w:t>
      </w:r>
      <w:r>
        <w:rPr>
          <w:rFonts w:hint="eastAsia" w:ascii="宋体" w:hAnsi="宋体" w:eastAsia="宋体"/>
          <w:color w:val="000000"/>
          <w:sz w:val="21"/>
          <w:szCs w:val="21"/>
          <w:lang w:val="en-US"/>
        </w:rPr>
        <w:t xml:space="preserve">评标方法分为综合评分法和最低评标价法。本次招标采用的评标方法和标准详见本招标文件第四章。</w:t>
      </w:r>
      <w:r/>
    </w:p>
    <w:p>
      <w:pPr>
        <w:ind w:firstLine="420"/>
        <w:jc w:val="left"/>
        <w:spacing w:line="360" w:lineRule="auto"/>
        <w:widowControl/>
        <w:tabs>
          <w:tab w:val="left" w:pos="3011" w:leader="none"/>
        </w:tabs>
        <w:rPr>
          <w:rFonts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综合评分法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）综合评分法是指投标文件满足招标文件全部实质性要求，且按照评审因素的量化指标评审得分最高的供应商为中标候选人的评标方法。</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采用</w:t>
      </w:r>
      <w:r>
        <w:rPr>
          <w:rFonts w:hint="eastAsia" w:ascii="宋体" w:hAnsi="宋体" w:eastAsia="宋体"/>
          <w:color w:val="000000"/>
          <w:sz w:val="21"/>
          <w:szCs w:val="21"/>
        </w:rPr>
        <w:t xml:space="preserve">综合评分法评标时，评标委员会各成员将独立对每个供应商的投标文件进行评价，并汇总每个供应商的得分。</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（3）评标过程中，不得去掉报价中的最高报价和最低报价。因落实政府采购政策进行价格调整的，以调整后的价格计算评标基准价和投标报价。</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21.3.3</w:t>
      </w:r>
      <w:r>
        <w:rPr>
          <w:rFonts w:hint="eastAsia" w:ascii="宋体" w:hAnsi="宋体" w:eastAsia="宋体"/>
          <w:color w:val="000000"/>
          <w:sz w:val="21"/>
          <w:szCs w:val="21"/>
        </w:rPr>
        <w:t xml:space="preserve">最低评标价法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）最低评标价法是指投标文件满足招标文件全部实质性要求，且投标报价最低的供应商为中标候选人的评标方法。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）采用最低评标价法评标时，除了算术修正和落实政府采购政策需进行的价格扣除外，不对供应商的投标价格进行任何调整。</w:t>
      </w:r>
      <w:r/>
    </w:p>
    <w:p>
      <w:pPr>
        <w:ind w:firstLine="422"/>
        <w:jc w:val="left"/>
        <w:spacing w:line="360" w:lineRule="auto"/>
        <w:widowControl/>
        <w:rPr>
          <w:rFonts w:ascii="宋体" w:hAnsi="宋体" w:eastAsia="宋体"/>
          <w:color w:val="000000"/>
          <w:sz w:val="21"/>
          <w:szCs w:val="21"/>
          <w:lang w:val="en-US"/>
        </w:rPr>
      </w:pPr>
      <w:r>
        <w:rPr>
          <w:rFonts w:hint="eastAsia" w:ascii="宋体" w:hAnsi="宋体" w:eastAsia="宋体"/>
          <w:b/>
          <w:bCs/>
          <w:color w:val="000000"/>
          <w:sz w:val="21"/>
          <w:szCs w:val="21"/>
          <w:lang w:val="en-US"/>
        </w:rPr>
        <w:t xml:space="preserve">22、确定中标供应商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22.1</w:t>
      </w:r>
      <w:r>
        <w:rPr>
          <w:rFonts w:hint="eastAsia" w:ascii="宋体" w:hAnsi="宋体" w:eastAsia="宋体"/>
          <w:color w:val="000000"/>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22.2</w:t>
      </w:r>
      <w:r>
        <w:rPr>
          <w:rFonts w:hint="eastAsia" w:ascii="宋体" w:hAnsi="宋体" w:eastAsia="宋体"/>
          <w:color w:val="000000"/>
          <w:sz w:val="21"/>
          <w:szCs w:val="21"/>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w:t>
      </w:r>
      <w:r>
        <w:rPr>
          <w:rFonts w:hint="eastAsia" w:ascii="宋体" w:hAnsi="宋体" w:eastAsia="宋体"/>
          <w:b/>
          <w:bCs/>
          <w:color w:val="000000"/>
          <w:sz w:val="21"/>
          <w:szCs w:val="21"/>
          <w:lang w:val="en-US"/>
        </w:rPr>
        <w:t xml:space="preserve">3中标候选人确定后，默认</w:t>
      </w:r>
      <w:r>
        <w:rPr>
          <w:rFonts w:hint="eastAsia" w:ascii="宋体" w:hAnsi="宋体" w:eastAsia="宋体"/>
          <w:b/>
          <w:bCs/>
          <w:color w:val="000000"/>
          <w:sz w:val="21"/>
          <w:szCs w:val="21"/>
        </w:rPr>
        <w:t xml:space="preserve">按照以下第（</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）种方式确定中标供应商：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（1）评标委员会直接确定排名第一的中标候选人为中标供应商；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（2）采购人</w:t>
      </w:r>
      <w:r>
        <w:rPr>
          <w:rFonts w:hint="eastAsia" w:ascii="宋体" w:hAnsi="宋体" w:eastAsia="宋体"/>
          <w:color w:val="000000"/>
          <w:sz w:val="21"/>
          <w:szCs w:val="21"/>
          <w:lang w:val="en-US"/>
        </w:rPr>
        <w:t xml:space="preserve">在评标报告确定的中标候选人名单中按顺序确定中标供应商。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如按照第（</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）种方式确定中标供应商的，</w:t>
      </w:r>
      <w:r>
        <w:rPr>
          <w:rFonts w:hint="eastAsia" w:ascii="宋体" w:hAnsi="宋体" w:eastAsia="宋体"/>
          <w:color w:val="000000"/>
          <w:sz w:val="21"/>
          <w:szCs w:val="21"/>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2.4采购代理机构自</w:t>
      </w:r>
      <w:r>
        <w:rPr>
          <w:rFonts w:hint="eastAsia" w:ascii="宋体" w:hAnsi="宋体" w:eastAsia="宋体"/>
          <w:color w:val="000000"/>
          <w:sz w:val="21"/>
          <w:szCs w:val="21"/>
        </w:rPr>
        <w:t xml:space="preserve">中标供应商确定之日起2个工作日内，在财政部门指定的媒体上公告中标结果，中标公告期限为1个工作日，公告的同时向中标供应商发出中标通知书。</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22.5中标通知书对采购人和中标供应商具有同等法律效力。</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22.7采用综合评分法评审的，评审结束后，采购代理机构将告知未中标供应商本人的评审得分与排序，但无义务向其解释未中标的原因。</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2</w:t>
      </w:r>
      <w:r>
        <w:rPr>
          <w:rFonts w:hint="eastAsia" w:ascii="宋体" w:hAnsi="宋体" w:eastAsia="宋体"/>
          <w:b/>
          <w:color w:val="000000"/>
          <w:sz w:val="21"/>
          <w:szCs w:val="21"/>
          <w:lang w:val="en-US"/>
        </w:rPr>
        <w:t xml:space="preserve">3</w:t>
      </w:r>
      <w:r>
        <w:rPr>
          <w:rFonts w:hint="eastAsia" w:ascii="宋体" w:hAnsi="宋体" w:eastAsia="宋体"/>
          <w:b/>
          <w:color w:val="000000"/>
          <w:sz w:val="21"/>
          <w:szCs w:val="21"/>
        </w:rPr>
        <w:t xml:space="preserve">、评标过程的保密性</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.1采购代理机构将采取必要措施，保证评标在严格保密的情况下进行。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23.2</w:t>
      </w:r>
      <w:r>
        <w:rPr>
          <w:rFonts w:hint="eastAsia" w:ascii="宋体" w:hAnsi="宋体" w:eastAsia="宋体"/>
          <w:color w:val="000000"/>
          <w:sz w:val="21"/>
          <w:szCs w:val="21"/>
        </w:rPr>
        <w:t xml:space="preserve">任何单位和个人不得非法干预、影响评标办法的确定，以及评标过程和结果。</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23.3</w:t>
      </w:r>
      <w:r>
        <w:rPr>
          <w:rFonts w:hint="eastAsia" w:ascii="宋体" w:hAnsi="宋体" w:eastAsia="宋体"/>
          <w:color w:val="000000"/>
          <w:sz w:val="21"/>
          <w:szCs w:val="21"/>
        </w:rPr>
        <w:t xml:space="preserve">凡是与审查、澄清、评价和比较投标的有关资料等，均不向供应商及与评标无关的人员透露。</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五、签订合同</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4</w:t>
      </w:r>
      <w:r>
        <w:rPr>
          <w:rFonts w:hint="eastAsia" w:ascii="宋体" w:hAnsi="宋体" w:eastAsia="宋体"/>
          <w:b/>
          <w:bCs/>
          <w:color w:val="000000"/>
          <w:sz w:val="21"/>
          <w:szCs w:val="21"/>
        </w:rPr>
        <w:t xml:space="preserve">、签订合同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24.1</w:t>
      </w:r>
      <w:r>
        <w:rPr>
          <w:rFonts w:hint="eastAsia" w:ascii="宋体" w:hAnsi="宋体" w:eastAsia="宋体"/>
          <w:color w:val="000000"/>
          <w:sz w:val="21"/>
          <w:szCs w:val="21"/>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24.2</w:t>
      </w:r>
      <w:r>
        <w:rPr>
          <w:rFonts w:hint="eastAsia" w:ascii="宋体" w:hAnsi="宋体" w:eastAsia="宋体"/>
          <w:color w:val="000000"/>
          <w:sz w:val="21"/>
          <w:szCs w:val="21"/>
        </w:rPr>
        <w:t xml:space="preserve">采购人不得向中标供应商提出任何不合理的要求作为签订合同的条件，不得与中标供应商私下订立背离合同实质性内容的协议。</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.5采购人与中标供应商应当根据合同的约定依法履行政府采购合同义务。</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六、询问、质疑、投诉和诚实信用</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询问</w:t>
      </w:r>
      <w:r/>
    </w:p>
    <w:p>
      <w:pPr>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rPr>
        <w:t xml:space="preserve">。</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rPr>
        <w:t xml:space="preserve">、质疑</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26.2供应商的质疑行为应符合《政府采购质疑和投诉办法》（财政部令第94号）相关规定，提出质疑的供应商应当是参与项目采购活动的供应商，潜在供应商已依法获取招标文件的，可以对招标文件提出质疑。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26.3供应商应知其权益受到损害之日，是指：</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（1）对招标文件提出质疑的，自获取招标文件或招标文件公告期限届满之日起计算；</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（2）对采购过程提出质疑的，自各采购程序环节结束之日起计算；</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（3）对中标结果提出质疑的，自中标结果公告期限届满之日起计算。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26.4</w:t>
      </w:r>
      <w:r>
        <w:rPr>
          <w:rFonts w:hint="eastAsia" w:ascii="宋体" w:hAnsi="宋体" w:eastAsia="宋体"/>
          <w:color w:val="000000"/>
          <w:sz w:val="21"/>
          <w:szCs w:val="21"/>
        </w:rPr>
        <w:t xml:space="preserve">供应商应在法定质疑期内一次性提出针对同一采购程序环节的质疑。</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供应商提出质疑应当提交质疑函和必要的证明材料。质疑函应当包括下列内容：</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）供应商的姓名或者名称、地址、邮编、联系人及联系电话；</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）质疑项目的名称、编号；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）具体、明确的质疑事项和与质疑事项相关的请求（具体条款）；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）事实依据（具体条款）；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）必要的法律依据（具体条款）；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）提出质疑的日期。</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26.7质疑材料接收信息：</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（1）接收单位：采购代理机构</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（2）联 系 人：王工</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（3）联系电话：</w:t>
      </w: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5793699665</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（4）联系邮箱：2209515114@qq.com</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（5）接收地址：南京市鼓楼区汉中门大街309号港湾中心B座6层</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8采购</w:t>
      </w:r>
      <w:r>
        <w:rPr>
          <w:rFonts w:hint="eastAsia" w:ascii="宋体" w:hAnsi="宋体" w:eastAsia="宋体"/>
          <w:color w:val="000000"/>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27</w:t>
      </w:r>
      <w:r>
        <w:rPr>
          <w:rFonts w:hint="eastAsia" w:ascii="宋体" w:hAnsi="宋体" w:eastAsia="宋体"/>
          <w:b/>
          <w:bCs/>
          <w:color w:val="000000"/>
          <w:sz w:val="21"/>
          <w:szCs w:val="21"/>
        </w:rPr>
        <w:t xml:space="preserve">、投诉</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27.2质疑</w:t>
      </w:r>
      <w:r>
        <w:rPr>
          <w:rFonts w:hint="eastAsia" w:ascii="宋体" w:hAnsi="宋体" w:eastAsia="宋体"/>
          <w:color w:val="000000"/>
          <w:sz w:val="21"/>
          <w:szCs w:val="21"/>
        </w:rPr>
        <w:t xml:space="preserve">供应商的投诉应当有明确的请求和必要的证明材料，其投诉的事项不得超出已质疑事项的范围。</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27.4投诉人在全国范围12个月内3次以上投诉查无实据的，由财政部门列入不良行为记录名单。</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（1）捏造事实；</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（2）提供虚假材料；</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（3）以非法手段取得证明材料。证据来源的合法性存在明显疑问，投诉人无法证明其取得方式合法的，视为以非法手段取得证明材料。</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28</w:t>
      </w:r>
      <w:r>
        <w:rPr>
          <w:rFonts w:hint="eastAsia" w:ascii="宋体" w:hAnsi="宋体" w:eastAsia="宋体"/>
          <w:b/>
          <w:bCs/>
          <w:color w:val="000000"/>
          <w:sz w:val="21"/>
          <w:szCs w:val="21"/>
        </w:rPr>
        <w:t xml:space="preserve">、诚实信用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.1供应商之间不得相互串通投标报价，不得妨碍其他供应商的公平竞争，不得损害采购人和其他供应商的合法权益。</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供应商不得虚假承诺，否则，按照提供虚假材料谋取中标成交处理。</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rPr>
          <w:rFonts w:ascii="黑体" w:hAnsi="宋体" w:eastAsia="黑体"/>
          <w:color w:val="000000"/>
          <w:sz w:val="32"/>
          <w:szCs w:val="32"/>
        </w:rPr>
        <w:outlineLvl w:val="0"/>
      </w:pPr>
      <w:r>
        <w:rPr>
          <w:rFonts w:hint="eastAsia" w:ascii="宋体" w:hAnsi="宋体"/>
          <w:b/>
          <w:color w:val="000000"/>
          <w:sz w:val="32"/>
          <w:szCs w:val="44"/>
        </w:rPr>
        <w:br w:type="page" w:clear="all"/>
      </w:r>
      <w:bookmarkStart w:id="41" w:name="_Toc1203"/>
      <w:r>
        <w:rPr>
          <w:rFonts w:hint="eastAsia" w:ascii="黑体" w:hAnsi="宋体" w:eastAsia="黑体"/>
          <w:color w:val="000000"/>
          <w:sz w:val="32"/>
          <w:szCs w:val="32"/>
        </w:rPr>
        <w:t xml:space="preserve">第三章  纪律和职责</w:t>
      </w:r>
      <w:bookmarkEnd w:id="41"/>
      <w:r/>
      <w:r/>
    </w:p>
    <w:p>
      <w:pPr>
        <w:ind w:firstLine="211"/>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一、采购代理机构负责组织评标工作，并履行下列职责：</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（二）宣布评标纪律。</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（三）公布供应商名单，告知评审专家应当回避的情形。</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（四）组织评标委员会推选评标组长，采购人代表不得担任组长。</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（五）在评标期间采取必要的通讯管理措施，保证评标活动不受外界干扰。</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（六）根据评标委员会的要求介绍政府采购相关政策法规、招标文件。</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（九）评审工作完成后，按照规定向评审专家支付劳务报酬和异地评审差旅费，不得向评审专家以外的其他人员支付评审劳务报酬。</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（十）处理与评标有关的其他事项。</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（十一）采购人可以在评标前说明项目背景和采购需求，说明内容不得含有歧视性、倾向性意见，不得超出招标文件所述范围。</w:t>
      </w:r>
      <w:r/>
    </w:p>
    <w:p>
      <w:pPr>
        <w:ind w:firstLine="211"/>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二、评标委员会及其成员不得有下列行为：</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（一）确定参与评标至评标结束前私自接触供应商。</w:t>
      </w:r>
      <w:r/>
    </w:p>
    <w:p>
      <w:pPr>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（二）接受供应商提出的与投标文件不一致的澄清或者说明，第二章21.2.5.1规定的情形除外。</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（三）违反评标纪律发表倾向性意见或者征询采购人的倾向性意见。</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（四）对需要专业判断的主观评审因素协商评分。</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（五）在评标过程中擅离职守，影响评标程序正常进行的。</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（六）记录、复制或者带走任何评标资料。</w:t>
      </w:r>
      <w:r/>
    </w:p>
    <w:p>
      <w:pPr>
        <w:ind w:firstLine="21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（七）其他不遵守评标纪律的行为。</w:t>
      </w:r>
      <w:r/>
    </w:p>
    <w:p>
      <w:pPr>
        <w:ind w:firstLine="240"/>
        <w:jc w:val="center"/>
        <w:spacing w:line="360" w:lineRule="auto"/>
        <w:rPr>
          <w:rFonts w:ascii="黑体" w:hAnsi="黑体" w:eastAsia="黑体" w:cs="黑体"/>
          <w:bCs/>
          <w:color w:val="000000"/>
          <w:sz w:val="32"/>
          <w:szCs w:val="44"/>
        </w:rPr>
        <w:outlineLvl w:val="0"/>
      </w:pPr>
      <w:r>
        <w:rPr>
          <w:rFonts w:hint="eastAsia" w:ascii="宋体" w:hAnsi="宋体" w:eastAsia="宋体"/>
          <w:color w:val="000000"/>
          <w:sz w:val="24"/>
          <w:szCs w:val="24"/>
        </w:rPr>
        <w:br w:type="page" w:clear="all"/>
      </w:r>
      <w:bookmarkStart w:id="42" w:name="_Toc5653"/>
      <w:r>
        <w:rPr>
          <w:rFonts w:hint="eastAsia" w:ascii="黑体" w:hAnsi="黑体" w:eastAsia="黑体" w:cs="黑体"/>
          <w:bCs/>
          <w:color w:val="000000"/>
          <w:sz w:val="32"/>
          <w:szCs w:val="44"/>
        </w:rPr>
        <w:t xml:space="preserve">第四章 </w:t>
      </w:r>
      <w:r>
        <w:rPr>
          <w:rFonts w:hint="eastAsia" w:ascii="黑体" w:hAnsi="黑体" w:eastAsia="黑体" w:cs="黑体"/>
          <w:bCs/>
          <w:color w:val="000000"/>
          <w:sz w:val="32"/>
          <w:szCs w:val="44"/>
          <w:lang w:val="en-US"/>
        </w:rPr>
        <w:t xml:space="preserve"> </w:t>
      </w:r>
      <w:r>
        <w:rPr>
          <w:rFonts w:hint="eastAsia" w:ascii="黑体" w:hAnsi="黑体" w:eastAsia="黑体" w:cs="黑体"/>
          <w:bCs/>
          <w:color w:val="000000"/>
          <w:sz w:val="32"/>
          <w:szCs w:val="44"/>
        </w:rPr>
        <w:t xml:space="preserve">评标标准</w:t>
      </w:r>
      <w:bookmarkEnd w:id="42"/>
      <w:r/>
      <w:r/>
    </w:p>
    <w:p>
      <w:pPr>
        <w:ind w:firstLine="422"/>
        <w:spacing w:line="360" w:lineRule="auto"/>
        <w:rPr>
          <w:rFonts w:ascii="宋体" w:hAnsi="宋体" w:eastAsia="宋体"/>
          <w:bCs/>
          <w:color w:val="000000"/>
          <w:sz w:val="21"/>
          <w:szCs w:val="21"/>
        </w:rPr>
      </w:pPr>
      <w:r>
        <w:rPr>
          <w:rFonts w:hint="eastAsia" w:ascii="宋体" w:hAnsi="宋体" w:eastAsia="宋体"/>
          <w:b/>
          <w:color w:val="000000"/>
          <w:sz w:val="21"/>
          <w:szCs w:val="21"/>
          <w:lang w:val="en-US"/>
        </w:rPr>
        <w:t xml:space="preserve">一、评标方法：</w:t>
      </w:r>
      <w:r>
        <w:rPr>
          <w:rFonts w:hint="eastAsia" w:ascii="宋体" w:hAnsi="宋体" w:eastAsia="宋体"/>
          <w:bCs/>
          <w:color w:val="000000"/>
          <w:sz w:val="21"/>
          <w:szCs w:val="21"/>
          <w:lang w:val="en-US"/>
        </w:rPr>
        <w:t xml:space="preserve">本项目评标方法采用</w:t>
      </w:r>
      <w:r>
        <w:rPr>
          <w:rFonts w:hint="eastAsia" w:ascii="宋体" w:hAnsi="宋体" w:eastAsia="宋体"/>
          <w:b/>
          <w:color w:val="000000"/>
          <w:sz w:val="21"/>
          <w:szCs w:val="21"/>
          <w:u w:val="single"/>
          <w:lang w:val="en-US"/>
        </w:rPr>
        <w:t xml:space="preserve">综合评分法</w:t>
      </w:r>
      <w:r>
        <w:rPr>
          <w:rFonts w:hint="eastAsia" w:ascii="宋体" w:hAnsi="宋体" w:eastAsia="宋体"/>
          <w:bCs/>
          <w:color w:val="000000"/>
          <w:sz w:val="21"/>
          <w:szCs w:val="21"/>
          <w:lang w:val="en-US"/>
        </w:rPr>
        <w:t xml:space="preserve">，</w:t>
      </w:r>
      <w:r>
        <w:rPr>
          <w:rFonts w:hint="eastAsia" w:ascii="宋体" w:hAnsi="宋体" w:eastAsia="宋体"/>
          <w:color w:val="000000"/>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二、评标标准</w:t>
      </w:r>
      <w:r>
        <w:rPr>
          <w:rFonts w:hint="eastAsia" w:ascii="宋体" w:hAnsi="宋体" w:eastAsia="宋体"/>
          <w:b/>
          <w:color w:val="000000"/>
          <w:sz w:val="21"/>
          <w:szCs w:val="21"/>
        </w:rPr>
        <w:t xml:space="preserve">：</w:t>
      </w:r>
      <w:r/>
    </w:p>
    <w:tbl>
      <w:tblPr>
        <w:tblStyle w:val="902"/>
        <w:tblW w:w="9938" w:type="dxa"/>
        <w:tblInd w:w="98" w:type="dxa"/>
        <w:tblLayout w:type="fixed"/>
        <w:tblCellMar>
          <w:left w:w="108" w:type="dxa"/>
          <w:top w:w="0" w:type="dxa"/>
          <w:right w:w="108" w:type="dxa"/>
          <w:bottom w:w="0" w:type="dxa"/>
        </w:tblCellMar>
        <w:tblLook w:val="04A0" w:firstRow="1" w:lastRow="0" w:firstColumn="1" w:lastColumn="0" w:noHBand="0" w:noVBand="1"/>
      </w:tblPr>
      <w:tblGrid>
        <w:gridCol w:w="1132"/>
        <w:gridCol w:w="1167"/>
        <w:gridCol w:w="1051"/>
        <w:gridCol w:w="6588"/>
      </w:tblGrid>
      <w:tr>
        <w:trPr>
          <w:trHeight w:val="223"/>
        </w:trPr>
        <w:tc>
          <w:tcPr>
            <w:tcBorders>
              <w:top w:val="single" w:color="000000" w:sz="4" w:space="0"/>
              <w:left w:val="single" w:color="000000" w:sz="4" w:space="0"/>
              <w:bottom w:val="single" w:color="auto" w:sz="4" w:space="0"/>
              <w:right w:val="single" w:color="000000" w:sz="4" w:space="0"/>
            </w:tcBorders>
            <w:tcW w:w="1132" w:type="dxa"/>
            <w:vAlign w:val="center"/>
            <w:textDirection w:val="lrTb"/>
            <w:noWrap/>
          </w:tcPr>
          <w:p>
            <w:pPr>
              <w:jc w:val="center"/>
              <w:widowControl/>
              <w:rPr>
                <w:rFonts w:ascii="宋体" w:hAnsi="宋体" w:eastAsia="宋体"/>
                <w:b/>
                <w:bCs/>
                <w:color w:val="000000"/>
                <w:szCs w:val="21"/>
              </w:rPr>
            </w:pPr>
            <w:r>
              <w:rPr>
                <w:rFonts w:hint="eastAsia" w:ascii="宋体" w:hAnsi="宋体" w:eastAsia="宋体"/>
                <w:b/>
                <w:bCs/>
                <w:color w:val="000000"/>
                <w:szCs w:val="21"/>
                <w:lang w:bidi="ar"/>
              </w:rPr>
              <w:t xml:space="preserve">评审项目</w:t>
            </w:r>
            <w:r/>
          </w:p>
        </w:tc>
        <w:tc>
          <w:tcPr>
            <w:tcBorders>
              <w:top w:val="single" w:color="000000" w:sz="4" w:space="0"/>
              <w:left w:val="single" w:color="000000" w:sz="4" w:space="0"/>
              <w:bottom w:val="single" w:color="auto" w:sz="4" w:space="0"/>
              <w:right w:val="single" w:color="000000" w:sz="4" w:space="0"/>
            </w:tcBorders>
            <w:tcW w:w="1167" w:type="dxa"/>
            <w:vAlign w:val="center"/>
            <w:textDirection w:val="lrTb"/>
            <w:noWrap/>
          </w:tcPr>
          <w:p>
            <w:pPr>
              <w:jc w:val="center"/>
              <w:widowControl/>
              <w:rPr>
                <w:rFonts w:ascii="宋体" w:hAnsi="宋体" w:eastAsia="宋体"/>
                <w:b/>
                <w:bCs/>
                <w:color w:val="000000"/>
                <w:szCs w:val="21"/>
              </w:rPr>
            </w:pPr>
            <w:r>
              <w:rPr>
                <w:rFonts w:hint="eastAsia" w:ascii="宋体" w:hAnsi="宋体" w:eastAsia="宋体"/>
                <w:b/>
                <w:bCs/>
                <w:color w:val="000000"/>
                <w:szCs w:val="21"/>
                <w:lang w:bidi="ar"/>
              </w:rPr>
              <w:t xml:space="preserve">评审子项</w:t>
            </w:r>
            <w:r/>
          </w:p>
        </w:tc>
        <w:tc>
          <w:tcPr>
            <w:tcBorders>
              <w:top w:val="single" w:color="000000" w:sz="4" w:space="0"/>
              <w:left w:val="single" w:color="000000" w:sz="4" w:space="0"/>
              <w:bottom w:val="single" w:color="auto" w:sz="4" w:space="0"/>
              <w:right w:val="single" w:color="000000" w:sz="4" w:space="0"/>
            </w:tcBorders>
            <w:tcW w:w="1051" w:type="dxa"/>
            <w:vAlign w:val="center"/>
            <w:textDirection w:val="lrTb"/>
            <w:noWrap/>
          </w:tcPr>
          <w:p>
            <w:pPr>
              <w:jc w:val="center"/>
              <w:widowControl/>
              <w:rPr>
                <w:rFonts w:ascii="宋体" w:hAnsi="宋体" w:eastAsia="宋体"/>
                <w:b/>
                <w:bCs/>
                <w:color w:val="000000"/>
                <w:szCs w:val="21"/>
              </w:rPr>
            </w:pPr>
            <w:r>
              <w:rPr>
                <w:rFonts w:hint="eastAsia" w:ascii="宋体" w:hAnsi="宋体" w:eastAsia="宋体"/>
                <w:b/>
                <w:bCs/>
                <w:color w:val="000000"/>
                <w:szCs w:val="21"/>
                <w:lang w:bidi="ar"/>
              </w:rPr>
              <w:t xml:space="preserve">分值</w:t>
            </w:r>
            <w:r/>
          </w:p>
        </w:tc>
        <w:tc>
          <w:tcPr>
            <w:tcBorders>
              <w:top w:val="single" w:color="000000" w:sz="4" w:space="0"/>
              <w:left w:val="single" w:color="000000" w:sz="4" w:space="0"/>
              <w:bottom w:val="single" w:color="auto" w:sz="4" w:space="0"/>
              <w:right w:val="single" w:color="000000" w:sz="4" w:space="0"/>
            </w:tcBorders>
            <w:tcW w:w="6588" w:type="dxa"/>
            <w:vAlign w:val="center"/>
            <w:textDirection w:val="lrTb"/>
            <w:noWrap/>
          </w:tcPr>
          <w:p>
            <w:pPr>
              <w:jc w:val="center"/>
              <w:widowControl/>
              <w:rPr>
                <w:rFonts w:ascii="宋体" w:hAnsi="宋体" w:eastAsia="宋体"/>
                <w:b/>
                <w:bCs/>
                <w:color w:val="000000"/>
                <w:szCs w:val="21"/>
              </w:rPr>
            </w:pPr>
            <w:r>
              <w:rPr>
                <w:rFonts w:hint="eastAsia" w:ascii="宋体" w:hAnsi="宋体" w:eastAsia="宋体"/>
                <w:b/>
                <w:bCs/>
                <w:color w:val="000000"/>
                <w:szCs w:val="21"/>
                <w:lang w:bidi="ar"/>
              </w:rPr>
              <w:t xml:space="preserve">评分标准</w:t>
            </w:r>
            <w:r/>
          </w:p>
        </w:tc>
      </w:tr>
      <w:tr>
        <w:trPr>
          <w:trHeight w:val="616"/>
        </w:trPr>
        <w:tc>
          <w:tcPr>
            <w:tcBorders>
              <w:top w:val="single" w:color="auto" w:sz="4" w:space="0"/>
              <w:left w:val="single" w:color="auto" w:sz="4" w:space="0"/>
              <w:bottom w:val="single" w:color="000000" w:sz="4" w:space="0"/>
              <w:right w:val="single" w:color="000000" w:sz="4" w:space="0"/>
            </w:tcBorders>
            <w:tcW w:w="1132"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lang w:bidi="ar"/>
              </w:rPr>
              <w:t xml:space="preserve">投标报价</w:t>
            </w:r>
            <w:r>
              <w:rPr>
                <w:rStyle w:val="1480"/>
                <w:rFonts w:hint="eastAsia" w:ascii="宋体" w:hAnsi="宋体" w:eastAsia="宋体"/>
                <w:b w:val="0"/>
                <w:bCs w:val="0"/>
                <w:sz w:val="21"/>
                <w:szCs w:val="21"/>
                <w:lang w:bidi="ar"/>
              </w:rPr>
              <w:br/>
            </w:r>
            <w:r>
              <w:rPr>
                <w:rStyle w:val="1468"/>
                <w:lang w:bidi="ar"/>
              </w:rPr>
              <w:t xml:space="preserve">（</w:t>
            </w:r>
            <w:r>
              <w:rPr>
                <w:rStyle w:val="1468"/>
                <w:rFonts w:eastAsia="宋体"/>
                <w:lang w:bidi="ar"/>
              </w:rPr>
              <w:t xml:space="preserve">3</w:t>
            </w:r>
            <w:r>
              <w:rPr>
                <w:rStyle w:val="1468"/>
                <w:lang w:bidi="ar"/>
              </w:rPr>
              <w:t xml:space="preserve">0分）</w:t>
            </w:r>
            <w:r/>
          </w:p>
        </w:tc>
        <w:tc>
          <w:tcPr>
            <w:tcBorders>
              <w:top w:val="single" w:color="auto"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lang w:bidi="ar"/>
              </w:rPr>
              <w:t xml:space="preserve">报价得分</w:t>
            </w:r>
            <w:r/>
          </w:p>
        </w:tc>
        <w:tc>
          <w:tcPr>
            <w:tcBorders>
              <w:top w:val="single" w:color="auto" w:sz="4" w:space="0"/>
              <w:left w:val="single" w:color="000000" w:sz="4" w:space="0"/>
              <w:bottom w:val="single" w:color="000000" w:sz="4" w:space="0"/>
              <w:right w:val="single" w:color="000000" w:sz="4" w:space="0"/>
            </w:tcBorders>
            <w:tcW w:w="1051" w:type="dxa"/>
            <w:vAlign w:val="center"/>
            <w:textDirection w:val="lrTb"/>
            <w:noWrap w:val="false"/>
          </w:tcPr>
          <w:p>
            <w:pPr>
              <w:jc w:val="center"/>
              <w:widowControl/>
              <w:rPr>
                <w:rFonts w:ascii="宋体" w:hAnsi="宋体" w:eastAsia="宋体"/>
                <w:color w:val="000000"/>
                <w:szCs w:val="21"/>
              </w:rPr>
            </w:pPr>
            <w:r>
              <w:rPr>
                <w:rFonts w:ascii="宋体" w:hAnsi="宋体" w:eastAsia="宋体"/>
                <w:color w:val="000000"/>
                <w:szCs w:val="21"/>
                <w:lang w:bidi="ar"/>
              </w:rPr>
              <w:t xml:space="preserve">3</w:t>
            </w:r>
            <w:r>
              <w:rPr>
                <w:rFonts w:hint="eastAsia" w:ascii="宋体" w:hAnsi="宋体" w:eastAsia="宋体"/>
                <w:color w:val="000000"/>
                <w:szCs w:val="21"/>
                <w:lang w:bidi="ar"/>
              </w:rPr>
              <w:t xml:space="preserve">0</w:t>
            </w:r>
            <w:r/>
          </w:p>
        </w:tc>
        <w:tc>
          <w:tcPr>
            <w:tcBorders>
              <w:top w:val="single" w:color="auto" w:sz="4" w:space="0"/>
              <w:left w:val="single" w:color="000000" w:sz="4" w:space="0"/>
              <w:bottom w:val="single" w:color="000000" w:sz="4" w:space="0"/>
              <w:right w:val="single" w:color="auto" w:sz="4" w:space="0"/>
            </w:tcBorders>
            <w:tcW w:w="6588" w:type="dxa"/>
            <w:vAlign w:val="center"/>
            <w:textDirection w:val="lrTb"/>
            <w:noWrap w:val="false"/>
          </w:tcPr>
          <w:p>
            <w:pPr>
              <w:rPr>
                <w:rFonts w:ascii="宋体" w:hAnsi="宋体" w:eastAsia="宋体"/>
                <w:szCs w:val="21"/>
              </w:rPr>
            </w:pPr>
            <w:r>
              <w:rPr>
                <w:rFonts w:hint="eastAsia" w:ascii="宋体" w:hAnsi="宋体" w:eastAsia="宋体"/>
                <w:szCs w:val="21"/>
              </w:rPr>
              <w:t xml:space="preserve">采用低价优先法计算，即满足招标文件要求且投标价格最低的投标报价为评标基准价，其价格分为满分。其他投标投标人的价格分统一按照下列公式计算：</w:t>
            </w:r>
            <w:r/>
          </w:p>
          <w:p>
            <w:pPr>
              <w:jc w:val="left"/>
              <w:widowControl/>
              <w:rPr>
                <w:rFonts w:ascii="宋体" w:hAnsi="宋体" w:eastAsia="宋体"/>
                <w:color w:val="000000"/>
                <w:szCs w:val="21"/>
              </w:rPr>
            </w:pPr>
            <w:r>
              <w:rPr>
                <w:rFonts w:hint="eastAsia" w:ascii="宋体" w:hAnsi="宋体" w:eastAsia="宋体"/>
                <w:szCs w:val="21"/>
              </w:rPr>
              <w:t xml:space="preserve">价格分=(评标基准价÷投标报价)×</w:t>
            </w:r>
            <w:r>
              <w:rPr>
                <w:rFonts w:ascii="宋体" w:hAnsi="宋体" w:eastAsia="宋体"/>
                <w:szCs w:val="21"/>
                <w:lang w:val="en-US"/>
              </w:rPr>
              <w:t xml:space="preserve">3</w:t>
            </w:r>
            <w:r>
              <w:rPr>
                <w:rFonts w:hint="eastAsia" w:ascii="宋体" w:hAnsi="宋体" w:eastAsia="宋体"/>
                <w:szCs w:val="21"/>
              </w:rPr>
              <w:t xml:space="preserve">0（小数点保留两位）</w:t>
            </w:r>
            <w:r/>
          </w:p>
        </w:tc>
      </w:tr>
      <w:tr>
        <w:trPr>
          <w:trHeight w:val="769"/>
        </w:trPr>
        <w:tc>
          <w:tcPr>
            <w:tcBorders>
              <w:top w:val="single" w:color="000000" w:sz="4" w:space="0"/>
              <w:left w:val="single" w:color="auto" w:sz="4" w:space="0"/>
              <w:right w:val="single" w:color="000000" w:sz="4" w:space="0"/>
            </w:tcBorders>
            <w:tcW w:w="1132" w:type="dxa"/>
            <w:vAlign w:val="center"/>
            <w:vMerge w:val="restart"/>
            <w:textDirection w:val="lrTb"/>
            <w:noWrap w:val="false"/>
          </w:tcPr>
          <w:p>
            <w:pPr>
              <w:jc w:val="center"/>
              <w:rPr>
                <w:rFonts w:ascii="宋体" w:hAnsi="宋体" w:eastAsia="宋体"/>
                <w:color w:val="000000"/>
                <w:szCs w:val="21"/>
                <w:lang w:val="en-US" w:bidi="ar"/>
              </w:rPr>
            </w:pPr>
            <w:r>
              <w:rPr>
                <w:rFonts w:hint="eastAsia" w:ascii="宋体" w:hAnsi="宋体" w:eastAsia="宋体"/>
                <w:color w:val="000000"/>
                <w:szCs w:val="21"/>
                <w:lang w:val="en-US" w:bidi="ar"/>
              </w:rPr>
              <w:t xml:space="preserve">技术部分（</w:t>
            </w:r>
            <w:r>
              <w:rPr>
                <w:rFonts w:ascii="宋体" w:hAnsi="宋体" w:eastAsia="宋体"/>
                <w:color w:val="000000"/>
                <w:szCs w:val="21"/>
                <w:lang w:val="en-US" w:bidi="ar"/>
              </w:rPr>
              <w:t xml:space="preserve">56</w:t>
            </w:r>
            <w:r>
              <w:rPr>
                <w:rFonts w:hint="eastAsia" w:ascii="宋体" w:hAnsi="宋体" w:eastAsia="宋体"/>
                <w:color w:val="000000"/>
                <w:szCs w:val="21"/>
                <w:lang w:val="en-US" w:bidi="ar"/>
              </w:rPr>
              <w:t xml:space="preserve">分）</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产品质量及技术要求</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 w:val="21"/>
                <w:szCs w:val="21"/>
              </w:rPr>
            </w:pPr>
            <w:r>
              <w:rPr>
                <w:rFonts w:ascii="宋体" w:hAnsi="宋体" w:eastAsia="宋体"/>
                <w:color w:val="000000"/>
                <w:sz w:val="21"/>
                <w:szCs w:val="21"/>
              </w:rPr>
              <w:t xml:space="preserve">18</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color w:val="000000"/>
                <w:sz w:val="21"/>
                <w:szCs w:val="21"/>
              </w:rPr>
            </w:pPr>
            <w:r>
              <w:rPr>
                <w:rFonts w:ascii="宋体" w:hAnsi="宋体" w:eastAsia="宋体"/>
                <w:color w:val="000000"/>
                <w:sz w:val="21"/>
                <w:szCs w:val="21"/>
              </w:rPr>
              <w:t xml:space="preserve">根据投标人对第</w:t>
            </w:r>
            <w:r>
              <w:rPr>
                <w:rFonts w:hint="eastAsia" w:ascii="宋体" w:hAnsi="宋体" w:eastAsia="宋体"/>
                <w:color w:val="000000"/>
                <w:sz w:val="21"/>
                <w:szCs w:val="21"/>
              </w:rPr>
              <w:t xml:space="preserve">五</w:t>
            </w:r>
            <w:r>
              <w:rPr>
                <w:rFonts w:ascii="宋体" w:hAnsi="宋体" w:eastAsia="宋体"/>
                <w:color w:val="000000"/>
                <w:sz w:val="21"/>
                <w:szCs w:val="21"/>
              </w:rPr>
              <w:t xml:space="preserve">章采购项目</w:t>
            </w:r>
            <w:r>
              <w:rPr>
                <w:rFonts w:hint="eastAsia" w:ascii="宋体" w:hAnsi="宋体" w:eastAsia="宋体"/>
                <w:color w:val="000000"/>
                <w:sz w:val="21"/>
                <w:szCs w:val="21"/>
              </w:rPr>
              <w:t xml:space="preserve">需求中</w:t>
            </w:r>
            <w:r>
              <w:rPr>
                <w:rFonts w:ascii="宋体" w:hAnsi="宋体" w:eastAsia="宋体"/>
                <w:color w:val="000000"/>
                <w:sz w:val="21"/>
                <w:szCs w:val="21"/>
              </w:rPr>
              <w:t xml:space="preserve">的技术参数要求的响应情况进行评分，投标人需在技术指标偏离表中对技术参数要求条款逐项回复；打★号指标为实质性要求，如有负偏离将作为无效投标处理；打</w:t>
            </w:r>
            <w:bookmarkStart w:id="43" w:name="_Hlk235473349"/>
            <w:r>
              <w:rPr>
                <w:rFonts w:ascii="宋体" w:hAnsi="宋体" w:eastAsia="宋体"/>
                <w:color w:val="000000"/>
                <w:sz w:val="21"/>
                <w:szCs w:val="21"/>
              </w:rPr>
              <w:t xml:space="preserve">▲</w:t>
            </w:r>
            <w:bookmarkEnd w:id="43"/>
            <w:r>
              <w:rPr>
                <w:rFonts w:ascii="宋体" w:hAnsi="宋体" w:eastAsia="宋体"/>
                <w:color w:val="000000"/>
                <w:sz w:val="21"/>
                <w:szCs w:val="21"/>
              </w:rPr>
              <w:t xml:space="preserve">指标为重要参数，有一项负偏离扣2分；其余指标，有一项负偏离扣1分，扣完为止。</w:t>
            </w:r>
            <w:r/>
          </w:p>
          <w:p>
            <w:pPr>
              <w:spacing w:line="276" w:lineRule="auto"/>
              <w:rPr>
                <w:rFonts w:ascii="宋体" w:hAnsi="宋体" w:eastAsia="宋体"/>
                <w:color w:val="000000"/>
                <w:sz w:val="21"/>
                <w:szCs w:val="21"/>
              </w:rPr>
            </w:pPr>
            <w:r>
              <w:rPr>
                <w:rFonts w:ascii="宋体" w:hAnsi="宋体" w:eastAsia="宋体"/>
                <w:color w:val="000000"/>
                <w:sz w:val="21"/>
                <w:szCs w:val="21"/>
              </w:rPr>
              <w:t xml:space="preserve">（投标人需在技术指标偏离表中对技术参数要求条款逐项响应，采购需求中要求提供证明材料的，以证明材料为准；采购需求中未要求提供证明材料的，以《技术条款偏离表》为准。）</w:t>
            </w:r>
            <w:r/>
          </w:p>
        </w:tc>
      </w:tr>
      <w:tr>
        <w:trPr>
          <w:trHeight w:val="769"/>
        </w:trPr>
        <w:tc>
          <w:tcPr>
            <w:tcBorders>
              <w:left w:val="single" w:color="auto" w:sz="4" w:space="0"/>
              <w:right w:val="single" w:color="000000" w:sz="4" w:space="0"/>
            </w:tcBorders>
            <w:tcW w:w="1132" w:type="dxa"/>
            <w:vAlign w:val="center"/>
            <w:vMerge w:val="continue"/>
            <w:textDirection w:val="lrTb"/>
            <w:noWrap w:val="false"/>
          </w:tcPr>
          <w:p>
            <w:pPr>
              <w:jc w:val="center"/>
              <w:widowControl/>
              <w:rPr>
                <w:rFonts w:ascii="宋体" w:hAnsi="宋体" w:eastAsia="宋体"/>
                <w:color w:val="000000"/>
                <w:szCs w:val="21"/>
                <w:lang w:val="en-US" w:bidi="ar"/>
              </w:rPr>
            </w:pPr>
            <w:r>
              <w:rPr>
                <w:rFonts w:ascii="宋体" w:hAnsi="宋体" w:eastAsia="宋体"/>
                <w:color w:val="000000"/>
                <w:szCs w:val="21"/>
                <w:lang w:val="en-US" w:bidi="ar"/>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lang w:bidi="ar"/>
              </w:rPr>
            </w:pPr>
            <w:r>
              <w:rPr>
                <w:rFonts w:ascii="宋体" w:hAnsi="宋体" w:eastAsia="宋体"/>
                <w:color w:val="000000"/>
                <w:sz w:val="21"/>
                <w:szCs w:val="21"/>
              </w:rPr>
              <w:t xml:space="preserve">项目总体概述</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Cs w:val="21"/>
                <w:lang w:bidi="ar"/>
              </w:rPr>
            </w:pPr>
            <w:r>
              <w:rPr>
                <w:rFonts w:ascii="宋体" w:hAnsi="宋体" w:eastAsia="宋体"/>
                <w:color w:val="000000"/>
                <w:sz w:val="21"/>
                <w:szCs w:val="21"/>
              </w:rPr>
              <w:t xml:space="preserve">8</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szCs w:val="21"/>
              </w:rPr>
            </w:pPr>
            <w:r>
              <w:rPr>
                <w:rFonts w:ascii="宋体" w:hAnsi="宋体" w:eastAsia="宋体"/>
                <w:color w:val="000000"/>
                <w:sz w:val="21"/>
                <w:szCs w:val="21"/>
              </w:rPr>
              <w:t xml:space="preserve">总体概述：项目</w:t>
            </w:r>
            <w:r>
              <w:rPr>
                <w:rFonts w:hint="eastAsia" w:ascii="宋体" w:hAnsi="宋体" w:eastAsia="宋体"/>
                <w:color w:val="000000"/>
                <w:sz w:val="21"/>
                <w:szCs w:val="21"/>
                <w:lang w:val="en-US"/>
              </w:rPr>
              <w:t xml:space="preserve">安装调试</w:t>
            </w:r>
            <w:r>
              <w:rPr>
                <w:rFonts w:ascii="宋体" w:hAnsi="宋体" w:eastAsia="宋体"/>
                <w:color w:val="000000"/>
                <w:sz w:val="21"/>
                <w:szCs w:val="21"/>
              </w:rPr>
              <w:t xml:space="preserve">方案总体设想、方案针对性（提供施工效果图，包含但不限于：一、泵房室外效果；二、泵房室内效果（改造后的房间尺寸、各类设备位置、门窗及通道布置）；总体实施方案科学合理、完整全面、切合实际、可行性强</w:t>
            </w:r>
            <w:r>
              <w:rPr>
                <w:rFonts w:hint="eastAsia" w:ascii="宋体" w:hAnsi="宋体" w:eastAsia="宋体"/>
                <w:color w:val="000000"/>
                <w:sz w:val="21"/>
                <w:szCs w:val="21"/>
              </w:rPr>
              <w:t xml:space="preserve">，</w:t>
            </w:r>
            <w:r>
              <w:rPr>
                <w:rFonts w:ascii="宋体" w:hAnsi="宋体" w:eastAsia="宋体"/>
                <w:color w:val="000000"/>
                <w:sz w:val="21"/>
                <w:szCs w:val="21"/>
              </w:rPr>
              <w:t xml:space="preserve">得8分</w:t>
            </w:r>
            <w:r>
              <w:rPr>
                <w:rFonts w:hint="eastAsia" w:ascii="宋体" w:hAnsi="宋体" w:eastAsia="宋体"/>
                <w:color w:val="000000"/>
                <w:sz w:val="21"/>
                <w:szCs w:val="21"/>
              </w:rPr>
              <w:t xml:space="preserve">；</w:t>
            </w:r>
            <w:r>
              <w:rPr>
                <w:rFonts w:ascii="宋体" w:hAnsi="宋体" w:eastAsia="宋体"/>
                <w:color w:val="000000"/>
                <w:sz w:val="21"/>
                <w:szCs w:val="21"/>
              </w:rPr>
              <w:t xml:space="preserve">总体方案欠科学合理，得5分，总体方案基本科学合理，得3分，总体方案不科学合理，得1分。未提供不得分。</w:t>
            </w:r>
            <w:r/>
          </w:p>
        </w:tc>
      </w:tr>
      <w:tr>
        <w:trPr>
          <w:trHeight w:val="769"/>
        </w:trPr>
        <w:tc>
          <w:tcPr>
            <w:tcBorders>
              <w:left w:val="single" w:color="auto" w:sz="4" w:space="0"/>
              <w:right w:val="single" w:color="000000" w:sz="4" w:space="0"/>
            </w:tcBorders>
            <w:tcW w:w="1132" w:type="dxa"/>
            <w:vAlign w:val="center"/>
            <w:vMerge w:val="continue"/>
            <w:textDirection w:val="lrTb"/>
            <w:noWrap w:val="false"/>
          </w:tcPr>
          <w:p>
            <w:pPr>
              <w:jc w:val="center"/>
              <w:widowControl/>
              <w:rPr>
                <w:rFonts w:ascii="宋体" w:hAnsi="宋体" w:eastAsia="宋体"/>
                <w:color w:val="000000"/>
                <w:szCs w:val="21"/>
                <w:lang w:val="en-US" w:bidi="ar"/>
              </w:rPr>
            </w:pPr>
            <w:r>
              <w:rPr>
                <w:rFonts w:ascii="宋体" w:hAnsi="宋体" w:eastAsia="宋体"/>
                <w:color w:val="000000"/>
                <w:szCs w:val="21"/>
                <w:lang w:val="en-US" w:bidi="ar"/>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lang w:bidi="ar"/>
              </w:rPr>
            </w:pPr>
            <w:r>
              <w:rPr>
                <w:rFonts w:hint="eastAsia" w:ascii="宋体" w:hAnsi="宋体" w:eastAsia="宋体"/>
                <w:color w:val="000000"/>
                <w:sz w:val="21"/>
                <w:szCs w:val="21"/>
                <w:lang w:val="en-US"/>
              </w:rPr>
              <w:t xml:space="preserve">安装调试</w:t>
            </w:r>
            <w:r>
              <w:rPr>
                <w:rFonts w:ascii="宋体" w:hAnsi="宋体" w:eastAsia="宋体"/>
                <w:color w:val="000000"/>
                <w:sz w:val="21"/>
                <w:szCs w:val="21"/>
              </w:rPr>
              <w:t xml:space="preserve">现场布置</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Cs w:val="21"/>
                <w:lang w:bidi="ar"/>
              </w:rPr>
            </w:pPr>
            <w:r>
              <w:rPr>
                <w:rFonts w:ascii="宋体" w:hAnsi="宋体" w:eastAsia="宋体"/>
                <w:color w:val="000000"/>
                <w:sz w:val="21"/>
                <w:szCs w:val="21"/>
              </w:rPr>
              <w:t xml:space="preserve">8</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szCs w:val="21"/>
              </w:rPr>
            </w:pPr>
            <w:r>
              <w:rPr>
                <w:rFonts w:hint="eastAsia" w:ascii="宋体" w:hAnsi="宋体" w:eastAsia="宋体"/>
                <w:color w:val="000000"/>
                <w:sz w:val="21"/>
                <w:szCs w:val="21"/>
                <w:lang w:val="en-US"/>
              </w:rPr>
              <w:t xml:space="preserve">项目安装调试</w:t>
            </w:r>
            <w:r>
              <w:rPr>
                <w:rFonts w:ascii="宋体" w:hAnsi="宋体" w:eastAsia="宋体"/>
                <w:color w:val="000000"/>
                <w:sz w:val="21"/>
                <w:szCs w:val="21"/>
              </w:rPr>
              <w:t xml:space="preserve">现场平面布置和临时设施；布置方案科学合理</w:t>
            </w:r>
            <w:r>
              <w:rPr>
                <w:rFonts w:hint="eastAsia" w:ascii="宋体" w:hAnsi="宋体" w:eastAsia="宋体"/>
                <w:color w:val="000000"/>
                <w:sz w:val="21"/>
                <w:szCs w:val="21"/>
              </w:rPr>
              <w:t xml:space="preserve">、</w:t>
            </w:r>
            <w:r>
              <w:rPr>
                <w:rFonts w:ascii="宋体" w:hAnsi="宋体" w:eastAsia="宋体"/>
                <w:color w:val="000000"/>
                <w:sz w:val="21"/>
                <w:szCs w:val="21"/>
              </w:rPr>
              <w:t xml:space="preserve">详实</w:t>
            </w:r>
            <w:r>
              <w:rPr>
                <w:rFonts w:hint="eastAsia" w:ascii="宋体" w:hAnsi="宋体" w:eastAsia="宋体"/>
                <w:color w:val="000000"/>
                <w:sz w:val="21"/>
                <w:szCs w:val="21"/>
              </w:rPr>
              <w:t xml:space="preserve">，</w:t>
            </w:r>
            <w:r>
              <w:rPr>
                <w:rFonts w:ascii="宋体" w:hAnsi="宋体" w:eastAsia="宋体"/>
                <w:color w:val="000000"/>
                <w:sz w:val="21"/>
                <w:szCs w:val="21"/>
              </w:rPr>
              <w:t xml:space="preserve">安装调试流程各环节描述</w:t>
            </w:r>
            <w:r>
              <w:rPr>
                <w:rFonts w:hint="eastAsia" w:ascii="宋体" w:hAnsi="宋体" w:eastAsia="宋体"/>
                <w:color w:val="000000"/>
                <w:sz w:val="21"/>
                <w:szCs w:val="21"/>
              </w:rPr>
              <w:t xml:space="preserve">清晰</w:t>
            </w:r>
            <w:r>
              <w:rPr>
                <w:rFonts w:ascii="宋体" w:hAnsi="宋体" w:eastAsia="宋体"/>
                <w:color w:val="000000"/>
                <w:sz w:val="21"/>
                <w:szCs w:val="21"/>
              </w:rPr>
              <w:t xml:space="preserve">完整</w:t>
            </w:r>
            <w:r>
              <w:rPr>
                <w:rFonts w:hint="eastAsia" w:ascii="宋体" w:hAnsi="宋体" w:eastAsia="宋体"/>
                <w:color w:val="000000"/>
                <w:sz w:val="21"/>
                <w:szCs w:val="21"/>
              </w:rPr>
              <w:t xml:space="preserve">，改造期间临时供水方案可靠，</w:t>
            </w:r>
            <w:r>
              <w:rPr>
                <w:rFonts w:ascii="宋体" w:hAnsi="宋体" w:eastAsia="宋体"/>
                <w:color w:val="000000"/>
                <w:sz w:val="21"/>
                <w:szCs w:val="21"/>
              </w:rPr>
              <w:t xml:space="preserve">得8分</w:t>
            </w:r>
            <w:r>
              <w:rPr>
                <w:rFonts w:hint="eastAsia" w:ascii="宋体" w:hAnsi="宋体" w:eastAsia="宋体"/>
                <w:color w:val="000000"/>
                <w:sz w:val="21"/>
                <w:szCs w:val="21"/>
              </w:rPr>
              <w:t xml:space="preserve">；</w:t>
            </w:r>
            <w:r>
              <w:rPr>
                <w:rFonts w:ascii="宋体" w:hAnsi="宋体" w:eastAsia="宋体"/>
                <w:color w:val="000000"/>
                <w:sz w:val="21"/>
                <w:szCs w:val="21"/>
              </w:rPr>
              <w:t xml:space="preserve">布置方案欠科学合理，安装调试流程各环节</w:t>
            </w:r>
            <w:r>
              <w:rPr>
                <w:rFonts w:hint="eastAsia" w:ascii="宋体" w:hAnsi="宋体" w:eastAsia="宋体"/>
                <w:color w:val="000000"/>
                <w:sz w:val="21"/>
                <w:szCs w:val="21"/>
              </w:rPr>
              <w:t xml:space="preserve">描述欠完整，改造期间临时供水方案欠合理，</w:t>
            </w:r>
            <w:r>
              <w:rPr>
                <w:rFonts w:ascii="宋体" w:hAnsi="宋体" w:eastAsia="宋体"/>
                <w:color w:val="000000"/>
                <w:sz w:val="21"/>
                <w:szCs w:val="21"/>
              </w:rPr>
              <w:t xml:space="preserve">得5分</w:t>
            </w:r>
            <w:r>
              <w:rPr>
                <w:rFonts w:hint="eastAsia" w:ascii="宋体" w:hAnsi="宋体" w:eastAsia="宋体"/>
                <w:color w:val="000000"/>
                <w:sz w:val="21"/>
                <w:szCs w:val="21"/>
              </w:rPr>
              <w:t xml:space="preserve">；</w:t>
            </w:r>
            <w:r>
              <w:rPr>
                <w:rFonts w:ascii="宋体" w:hAnsi="宋体" w:eastAsia="宋体"/>
                <w:color w:val="000000"/>
                <w:sz w:val="21"/>
                <w:szCs w:val="21"/>
              </w:rPr>
              <w:t xml:space="preserve">布置方案基本科学合理，安装调试流程各环节</w:t>
            </w:r>
            <w:r>
              <w:rPr>
                <w:rFonts w:hint="eastAsia" w:ascii="宋体" w:hAnsi="宋体" w:eastAsia="宋体"/>
                <w:color w:val="000000"/>
                <w:sz w:val="21"/>
                <w:szCs w:val="21"/>
              </w:rPr>
              <w:t xml:space="preserve">描述基本完整，改造期间临时供水方案基本合理，</w:t>
            </w:r>
            <w:r>
              <w:rPr>
                <w:rFonts w:ascii="宋体" w:hAnsi="宋体" w:eastAsia="宋体"/>
                <w:color w:val="000000"/>
                <w:sz w:val="21"/>
                <w:szCs w:val="21"/>
              </w:rPr>
              <w:t xml:space="preserve">得3分</w:t>
            </w:r>
            <w:r>
              <w:rPr>
                <w:rFonts w:hint="eastAsia" w:ascii="宋体" w:hAnsi="宋体" w:eastAsia="宋体"/>
                <w:color w:val="000000"/>
                <w:sz w:val="21"/>
                <w:szCs w:val="21"/>
              </w:rPr>
              <w:t xml:space="preserve">；</w:t>
            </w:r>
            <w:r>
              <w:rPr>
                <w:rFonts w:ascii="宋体" w:hAnsi="宋体" w:eastAsia="宋体"/>
                <w:color w:val="000000"/>
                <w:sz w:val="21"/>
                <w:szCs w:val="21"/>
              </w:rPr>
              <w:t xml:space="preserve">布置方案不科学合理，安装调试流程各环节</w:t>
            </w:r>
            <w:r>
              <w:rPr>
                <w:rFonts w:hint="eastAsia" w:ascii="宋体" w:hAnsi="宋体" w:eastAsia="宋体"/>
                <w:color w:val="000000"/>
                <w:sz w:val="21"/>
                <w:szCs w:val="21"/>
              </w:rPr>
              <w:t xml:space="preserve">描述不完整，改造期间临时供水方案不合理，</w:t>
            </w:r>
            <w:r>
              <w:rPr>
                <w:rFonts w:ascii="宋体" w:hAnsi="宋体" w:eastAsia="宋体"/>
                <w:color w:val="000000"/>
                <w:sz w:val="21"/>
                <w:szCs w:val="21"/>
              </w:rPr>
              <w:t xml:space="preserve">得1分。未提供不得分。</w:t>
            </w:r>
            <w:r/>
          </w:p>
        </w:tc>
      </w:tr>
      <w:tr>
        <w:trPr>
          <w:trHeight w:val="769"/>
        </w:trPr>
        <w:tc>
          <w:tcPr>
            <w:tcBorders>
              <w:left w:val="single" w:color="auto" w:sz="4" w:space="0"/>
              <w:right w:val="single" w:color="000000" w:sz="4" w:space="0"/>
            </w:tcBorders>
            <w:tcW w:w="1132" w:type="dxa"/>
            <w:vAlign w:val="center"/>
            <w:vMerge w:val="continue"/>
            <w:textDirection w:val="lrTb"/>
            <w:noWrap w:val="false"/>
          </w:tcPr>
          <w:p>
            <w:pPr>
              <w:jc w:val="center"/>
              <w:widowControl/>
              <w:rPr>
                <w:rFonts w:ascii="宋体" w:hAnsi="宋体" w:eastAsia="宋体"/>
                <w:color w:val="000000"/>
                <w:szCs w:val="21"/>
                <w:lang w:val="en-US" w:bidi="ar"/>
              </w:rPr>
            </w:pPr>
            <w:r>
              <w:rPr>
                <w:rFonts w:ascii="宋体" w:hAnsi="宋体" w:eastAsia="宋体"/>
                <w:color w:val="000000"/>
                <w:szCs w:val="21"/>
                <w:lang w:val="en-US" w:bidi="ar"/>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lang w:bidi="ar"/>
              </w:rPr>
            </w:pPr>
            <w:r>
              <w:rPr>
                <w:rFonts w:hint="eastAsia" w:ascii="宋体" w:hAnsi="宋体" w:eastAsia="宋体"/>
                <w:color w:val="000000"/>
                <w:sz w:val="21"/>
                <w:szCs w:val="21"/>
                <w:lang w:val="en-US"/>
              </w:rPr>
              <w:t xml:space="preserve">安装调试</w:t>
            </w:r>
            <w:r>
              <w:rPr>
                <w:rFonts w:ascii="宋体" w:hAnsi="宋体" w:eastAsia="宋体"/>
                <w:color w:val="000000"/>
                <w:sz w:val="21"/>
                <w:szCs w:val="21"/>
              </w:rPr>
              <w:t xml:space="preserve">进度保证</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Cs w:val="21"/>
                <w:lang w:bidi="ar"/>
              </w:rPr>
            </w:pPr>
            <w:r>
              <w:rPr>
                <w:rFonts w:ascii="宋体" w:hAnsi="宋体" w:eastAsia="宋体"/>
                <w:color w:val="000000"/>
                <w:sz w:val="21"/>
                <w:szCs w:val="21"/>
              </w:rPr>
              <w:t xml:space="preserve">8</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szCs w:val="21"/>
              </w:rPr>
            </w:pPr>
            <w:r>
              <w:rPr>
                <w:rFonts w:hint="eastAsia" w:ascii="宋体" w:hAnsi="宋体" w:eastAsia="宋体"/>
                <w:color w:val="000000"/>
                <w:sz w:val="21"/>
                <w:szCs w:val="21"/>
                <w:lang w:val="en-US"/>
              </w:rPr>
              <w:t xml:space="preserve">项目安装调试</w:t>
            </w:r>
            <w:r>
              <w:rPr>
                <w:rFonts w:ascii="宋体" w:hAnsi="宋体" w:eastAsia="宋体"/>
                <w:color w:val="000000"/>
                <w:sz w:val="21"/>
                <w:szCs w:val="21"/>
              </w:rPr>
              <w:t xml:space="preserve">进度计划和各阶段进度的保证措施；措施科学合理，得8分</w:t>
            </w:r>
            <w:r>
              <w:rPr>
                <w:rFonts w:hint="eastAsia" w:ascii="宋体" w:hAnsi="宋体" w:eastAsia="宋体"/>
                <w:color w:val="000000"/>
                <w:sz w:val="21"/>
                <w:szCs w:val="21"/>
              </w:rPr>
              <w:t xml:space="preserve">；</w:t>
            </w:r>
            <w:r>
              <w:rPr>
                <w:rFonts w:ascii="宋体" w:hAnsi="宋体" w:eastAsia="宋体"/>
                <w:color w:val="000000"/>
                <w:sz w:val="21"/>
                <w:szCs w:val="21"/>
              </w:rPr>
              <w:t xml:space="preserve">措施欠科学合理，得5分</w:t>
            </w:r>
            <w:r>
              <w:rPr>
                <w:rFonts w:hint="eastAsia" w:ascii="宋体" w:hAnsi="宋体" w:eastAsia="宋体"/>
                <w:color w:val="000000"/>
                <w:sz w:val="21"/>
                <w:szCs w:val="21"/>
              </w:rPr>
              <w:t xml:space="preserve">；</w:t>
            </w:r>
            <w:r>
              <w:rPr>
                <w:rFonts w:ascii="宋体" w:hAnsi="宋体" w:eastAsia="宋体"/>
                <w:color w:val="000000"/>
                <w:sz w:val="21"/>
                <w:szCs w:val="21"/>
              </w:rPr>
              <w:t xml:space="preserve">措施基本科学合理，得3分</w:t>
            </w:r>
            <w:r>
              <w:rPr>
                <w:rFonts w:hint="eastAsia" w:ascii="宋体" w:hAnsi="宋体" w:eastAsia="宋体"/>
                <w:color w:val="000000"/>
                <w:sz w:val="21"/>
                <w:szCs w:val="21"/>
              </w:rPr>
              <w:t xml:space="preserve">；</w:t>
            </w:r>
            <w:r>
              <w:rPr>
                <w:rFonts w:ascii="宋体" w:hAnsi="宋体" w:eastAsia="宋体"/>
                <w:color w:val="000000"/>
                <w:sz w:val="21"/>
                <w:szCs w:val="21"/>
              </w:rPr>
              <w:t xml:space="preserve">措施不科学合理，得1分。未提供不得分。</w:t>
            </w:r>
            <w:r/>
          </w:p>
        </w:tc>
      </w:tr>
      <w:tr>
        <w:trPr>
          <w:trHeight w:val="769"/>
        </w:trPr>
        <w:tc>
          <w:tcPr>
            <w:tcBorders>
              <w:left w:val="single" w:color="auto" w:sz="4" w:space="0"/>
              <w:right w:val="single" w:color="000000" w:sz="4" w:space="0"/>
            </w:tcBorders>
            <w:tcW w:w="1132" w:type="dxa"/>
            <w:vAlign w:val="center"/>
            <w:vMerge w:val="continue"/>
            <w:textDirection w:val="lrTb"/>
            <w:noWrap w:val="false"/>
          </w:tcPr>
          <w:p>
            <w:pPr>
              <w:jc w:val="center"/>
              <w:widowControl/>
              <w:rPr>
                <w:rFonts w:ascii="宋体" w:hAnsi="宋体" w:eastAsia="宋体"/>
                <w:color w:val="000000"/>
                <w:szCs w:val="21"/>
                <w:lang w:val="en-US" w:bidi="ar"/>
              </w:rPr>
            </w:pPr>
            <w:r>
              <w:rPr>
                <w:rFonts w:ascii="宋体" w:hAnsi="宋体" w:eastAsia="宋体"/>
                <w:color w:val="000000"/>
                <w:szCs w:val="21"/>
                <w:lang w:val="en-US" w:bidi="ar"/>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lang w:bidi="ar"/>
              </w:rPr>
            </w:pPr>
            <w:r>
              <w:rPr>
                <w:rFonts w:hint="eastAsia" w:ascii="宋体" w:hAnsi="宋体" w:eastAsia="宋体"/>
                <w:color w:val="000000"/>
                <w:sz w:val="21"/>
                <w:szCs w:val="21"/>
                <w:lang w:val="en-US"/>
              </w:rPr>
              <w:t xml:space="preserve">安装调试</w:t>
            </w:r>
            <w:r>
              <w:rPr>
                <w:rFonts w:ascii="宋体" w:hAnsi="宋体" w:eastAsia="宋体"/>
                <w:color w:val="000000"/>
                <w:sz w:val="21"/>
                <w:szCs w:val="21"/>
              </w:rPr>
              <w:t xml:space="preserve">工艺</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Cs w:val="21"/>
                <w:lang w:bidi="ar"/>
              </w:rPr>
            </w:pPr>
            <w:r>
              <w:rPr>
                <w:rFonts w:ascii="宋体" w:hAnsi="宋体" w:eastAsia="宋体"/>
                <w:color w:val="000000"/>
                <w:sz w:val="21"/>
                <w:szCs w:val="21"/>
              </w:rPr>
              <w:t xml:space="preserve">8</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szCs w:val="21"/>
              </w:rPr>
            </w:pPr>
            <w:r>
              <w:rPr>
                <w:rFonts w:ascii="宋体" w:hAnsi="宋体" w:eastAsia="宋体"/>
                <w:color w:val="000000"/>
                <w:sz w:val="21"/>
                <w:szCs w:val="21"/>
              </w:rPr>
              <w:t xml:space="preserve">关键</w:t>
            </w:r>
            <w:r>
              <w:rPr>
                <w:rFonts w:hint="eastAsia" w:ascii="宋体" w:hAnsi="宋体" w:eastAsia="宋体"/>
                <w:color w:val="000000"/>
                <w:sz w:val="21"/>
                <w:szCs w:val="21"/>
                <w:lang w:val="en-US"/>
              </w:rPr>
              <w:t xml:space="preserve">安装调试</w:t>
            </w:r>
            <w:r>
              <w:rPr>
                <w:rFonts w:ascii="宋体" w:hAnsi="宋体" w:eastAsia="宋体"/>
                <w:color w:val="000000"/>
                <w:sz w:val="21"/>
                <w:szCs w:val="21"/>
              </w:rPr>
              <w:t xml:space="preserve">技术、工艺及工程项目实施的重点、难点和解决方案；方案科学合理，得8分</w:t>
            </w:r>
            <w:r>
              <w:rPr>
                <w:rFonts w:hint="eastAsia" w:ascii="宋体" w:hAnsi="宋体" w:eastAsia="宋体"/>
                <w:color w:val="000000"/>
                <w:sz w:val="21"/>
                <w:szCs w:val="21"/>
              </w:rPr>
              <w:t xml:space="preserve">；</w:t>
            </w:r>
            <w:r>
              <w:rPr>
                <w:rFonts w:ascii="宋体" w:hAnsi="宋体" w:eastAsia="宋体"/>
                <w:color w:val="000000"/>
                <w:sz w:val="21"/>
                <w:szCs w:val="21"/>
              </w:rPr>
              <w:t xml:space="preserve">方案欠科学合理，得5分</w:t>
            </w:r>
            <w:r>
              <w:rPr>
                <w:rFonts w:hint="eastAsia" w:ascii="宋体" w:hAnsi="宋体" w:eastAsia="宋体"/>
                <w:color w:val="000000"/>
                <w:sz w:val="21"/>
                <w:szCs w:val="21"/>
              </w:rPr>
              <w:t xml:space="preserve">；</w:t>
            </w:r>
            <w:r>
              <w:rPr>
                <w:rFonts w:ascii="宋体" w:hAnsi="宋体" w:eastAsia="宋体"/>
                <w:color w:val="000000"/>
                <w:sz w:val="21"/>
                <w:szCs w:val="21"/>
              </w:rPr>
              <w:t xml:space="preserve">方案基本科学合理，得3分</w:t>
            </w:r>
            <w:r>
              <w:rPr>
                <w:rFonts w:hint="eastAsia" w:ascii="宋体" w:hAnsi="宋体" w:eastAsia="宋体"/>
                <w:color w:val="000000"/>
                <w:sz w:val="21"/>
                <w:szCs w:val="21"/>
              </w:rPr>
              <w:t xml:space="preserve">；</w:t>
            </w:r>
            <w:r>
              <w:rPr>
                <w:rFonts w:ascii="宋体" w:hAnsi="宋体" w:eastAsia="宋体"/>
                <w:color w:val="000000"/>
                <w:sz w:val="21"/>
                <w:szCs w:val="21"/>
              </w:rPr>
              <w:t xml:space="preserve">方案不科学合理，得1分。未提供不得分。</w:t>
            </w:r>
            <w:r/>
          </w:p>
        </w:tc>
      </w:tr>
      <w:tr>
        <w:trPr>
          <w:trHeight w:val="769"/>
        </w:trPr>
        <w:tc>
          <w:tcPr>
            <w:tcBorders>
              <w:left w:val="single" w:color="auto" w:sz="4" w:space="0"/>
              <w:bottom w:val="single" w:color="000000" w:sz="4" w:space="0"/>
              <w:right w:val="single" w:color="000000" w:sz="4" w:space="0"/>
            </w:tcBorders>
            <w:tcW w:w="1132" w:type="dxa"/>
            <w:vAlign w:val="center"/>
            <w:vMerge w:val="continue"/>
            <w:textDirection w:val="lrTb"/>
            <w:noWrap w:val="false"/>
          </w:tcPr>
          <w:p>
            <w:pPr>
              <w:jc w:val="center"/>
              <w:widowControl/>
              <w:rPr>
                <w:rFonts w:ascii="宋体" w:hAnsi="宋体" w:eastAsia="宋体"/>
                <w:color w:val="000000"/>
                <w:szCs w:val="21"/>
                <w:lang w:val="en-US" w:bidi="ar"/>
              </w:rPr>
            </w:pPr>
            <w:r>
              <w:rPr>
                <w:rFonts w:ascii="宋体" w:hAnsi="宋体" w:eastAsia="宋体"/>
                <w:color w:val="000000"/>
                <w:szCs w:val="21"/>
                <w:lang w:val="en-US" w:bidi="ar"/>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Cs w:val="21"/>
                <w:lang w:bidi="ar"/>
              </w:rPr>
            </w:pPr>
            <w:r>
              <w:rPr>
                <w:rFonts w:ascii="宋体" w:hAnsi="宋体" w:eastAsia="宋体"/>
                <w:color w:val="000000"/>
                <w:sz w:val="21"/>
                <w:szCs w:val="21"/>
              </w:rPr>
              <w:t xml:space="preserve">应急突发</w:t>
            </w:r>
            <w:r>
              <w:rPr>
                <w:rFonts w:hint="eastAsia" w:ascii="宋体" w:hAnsi="宋体" w:eastAsia="宋体"/>
                <w:color w:val="000000"/>
                <w:sz w:val="21"/>
                <w:szCs w:val="21"/>
              </w:rPr>
              <w:t xml:space="preserve">方案</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spacing w:line="276" w:lineRule="auto"/>
              <w:rPr>
                <w:rFonts w:ascii="宋体" w:hAnsi="宋体" w:eastAsia="宋体"/>
                <w:color w:val="000000"/>
                <w:szCs w:val="21"/>
                <w:lang w:bidi="ar"/>
              </w:rPr>
            </w:pPr>
            <w:r>
              <w:rPr>
                <w:rFonts w:ascii="宋体" w:hAnsi="宋体" w:eastAsia="宋体"/>
                <w:color w:val="000000"/>
                <w:sz w:val="21"/>
                <w:szCs w:val="21"/>
                <w:lang w:val="en-US"/>
              </w:rPr>
              <w:t xml:space="preserve">6</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spacing w:line="276" w:lineRule="auto"/>
              <w:rPr>
                <w:rFonts w:ascii="宋体" w:hAnsi="宋体" w:eastAsia="宋体"/>
                <w:szCs w:val="21"/>
              </w:rPr>
            </w:pPr>
            <w:r>
              <w:rPr>
                <w:rFonts w:ascii="宋体" w:hAnsi="宋体" w:eastAsia="宋体"/>
                <w:color w:val="000000"/>
                <w:sz w:val="21"/>
                <w:szCs w:val="21"/>
              </w:rPr>
              <w:t xml:space="preserve">在应急突发状况下及售后服务过程中，应急突发方案、拟投入的售后服务人员、售后服务的能力；方案科学合理，得</w:t>
            </w:r>
            <w:r>
              <w:rPr>
                <w:rFonts w:ascii="宋体" w:hAnsi="宋体" w:eastAsia="宋体"/>
                <w:color w:val="000000"/>
                <w:sz w:val="21"/>
                <w:szCs w:val="21"/>
                <w:lang w:val="en-US"/>
              </w:rPr>
              <w:t xml:space="preserve">6</w:t>
            </w:r>
            <w:r>
              <w:rPr>
                <w:rFonts w:ascii="宋体" w:hAnsi="宋体" w:eastAsia="宋体"/>
                <w:color w:val="000000"/>
                <w:sz w:val="21"/>
                <w:szCs w:val="21"/>
              </w:rPr>
              <w:t xml:space="preserve">分，方案欠科学合理，得</w:t>
            </w:r>
            <w:r>
              <w:rPr>
                <w:rFonts w:hint="eastAsia" w:ascii="宋体" w:hAnsi="宋体" w:eastAsia="宋体"/>
                <w:color w:val="000000"/>
                <w:sz w:val="21"/>
                <w:szCs w:val="21"/>
                <w:lang w:val="en-US"/>
              </w:rPr>
              <w:t xml:space="preserve">3</w:t>
            </w:r>
            <w:r>
              <w:rPr>
                <w:rFonts w:ascii="宋体" w:hAnsi="宋体" w:eastAsia="宋体"/>
                <w:color w:val="000000"/>
                <w:sz w:val="21"/>
                <w:szCs w:val="21"/>
              </w:rPr>
              <w:t xml:space="preserve">分，方案基本科学合理，得</w:t>
            </w:r>
            <w:r>
              <w:rPr>
                <w:rFonts w:hint="eastAsia" w:ascii="宋体" w:hAnsi="宋体" w:eastAsia="宋体"/>
                <w:color w:val="000000"/>
                <w:sz w:val="21"/>
                <w:szCs w:val="21"/>
                <w:lang w:val="en-US"/>
              </w:rPr>
              <w:t xml:space="preserve">1</w:t>
            </w:r>
            <w:r>
              <w:rPr>
                <w:rFonts w:ascii="宋体" w:hAnsi="宋体" w:eastAsia="宋体"/>
                <w:color w:val="000000"/>
                <w:sz w:val="21"/>
                <w:szCs w:val="21"/>
              </w:rPr>
              <w:t xml:space="preserve">分。未提供不得分。</w:t>
            </w:r>
            <w:r/>
          </w:p>
        </w:tc>
      </w:tr>
      <w:tr>
        <w:trPr>
          <w:trHeight w:val="769"/>
        </w:trPr>
        <w:tc>
          <w:tcPr>
            <w:tcBorders>
              <w:top w:val="single" w:color="000000" w:sz="4" w:space="0"/>
              <w:left w:val="single" w:color="auto" w:sz="4" w:space="0"/>
              <w:bottom w:val="single" w:color="000000" w:sz="4" w:space="0"/>
              <w:right w:val="single" w:color="000000" w:sz="4" w:space="0"/>
            </w:tcBorders>
            <w:tcW w:w="1132" w:type="dxa"/>
            <w:vAlign w:val="center"/>
            <w:vMerge w:val="restart"/>
            <w:textDirection w:val="lrTb"/>
            <w:noWrap w:val="false"/>
          </w:tcPr>
          <w:p>
            <w:pPr>
              <w:jc w:val="center"/>
              <w:widowControl/>
              <w:rPr>
                <w:rFonts w:ascii="宋体" w:hAnsi="宋体" w:eastAsia="宋体"/>
                <w:color w:val="000000"/>
                <w:szCs w:val="21"/>
              </w:rPr>
            </w:pPr>
            <w:r>
              <w:rPr>
                <w:rFonts w:hint="eastAsia" w:ascii="宋体" w:hAnsi="宋体" w:eastAsia="宋体"/>
                <w:color w:val="000000"/>
                <w:szCs w:val="21"/>
                <w:lang w:bidi="ar"/>
              </w:rPr>
              <w:t xml:space="preserve">商务部分</w:t>
            </w:r>
            <w:r>
              <w:rPr>
                <w:rStyle w:val="1480"/>
                <w:rFonts w:hint="eastAsia" w:ascii="宋体" w:hAnsi="宋体" w:eastAsia="宋体"/>
                <w:b w:val="0"/>
                <w:bCs w:val="0"/>
                <w:sz w:val="21"/>
                <w:szCs w:val="21"/>
                <w:lang w:bidi="ar"/>
              </w:rPr>
              <w:br/>
            </w:r>
            <w:r>
              <w:rPr>
                <w:rStyle w:val="1468"/>
                <w:lang w:bidi="ar"/>
              </w:rPr>
              <w:t xml:space="preserve">（</w:t>
            </w:r>
            <w:r>
              <w:rPr>
                <w:rStyle w:val="1480"/>
                <w:rFonts w:hint="eastAsia" w:ascii="宋体" w:hAnsi="宋体" w:eastAsia="宋体"/>
                <w:b w:val="0"/>
                <w:bCs w:val="0"/>
                <w:sz w:val="21"/>
                <w:szCs w:val="21"/>
                <w:lang w:bidi="ar"/>
              </w:rPr>
              <w:t xml:space="preserve">1</w:t>
            </w:r>
            <w:r>
              <w:rPr>
                <w:rStyle w:val="1480"/>
                <w:rFonts w:ascii="宋体" w:hAnsi="宋体" w:eastAsia="宋体"/>
                <w:b w:val="0"/>
                <w:bCs w:val="0"/>
                <w:sz w:val="21"/>
                <w:szCs w:val="21"/>
                <w:lang w:bidi="ar"/>
              </w:rPr>
              <w:t xml:space="preserve">4</w:t>
            </w:r>
            <w:r>
              <w:rPr>
                <w:rStyle w:val="1468"/>
                <w:lang w:bidi="ar"/>
              </w:rPr>
              <w:t xml:space="preserve">分）</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类似业绩</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widowControl/>
              <w:rPr>
                <w:rFonts w:ascii="宋体" w:hAnsi="宋体" w:eastAsia="宋体"/>
                <w:color w:val="000000"/>
                <w:sz w:val="21"/>
                <w:szCs w:val="21"/>
              </w:rPr>
            </w:pPr>
            <w:r>
              <w:rPr>
                <w:rFonts w:ascii="宋体" w:hAnsi="宋体" w:eastAsia="宋体"/>
                <w:color w:val="000000"/>
                <w:sz w:val="21"/>
                <w:szCs w:val="21"/>
              </w:rPr>
              <w:t xml:space="preserve">6</w:t>
            </w:r>
            <w:r/>
          </w:p>
        </w:tc>
        <w:tc>
          <w:tcPr>
            <w:tcBorders>
              <w:top w:val="single" w:color="000000" w:sz="4" w:space="0"/>
              <w:left w:val="single" w:color="000000" w:sz="4" w:space="0"/>
              <w:bottom w:val="single" w:color="000000" w:sz="4" w:space="0"/>
              <w:right w:val="single" w:color="auto" w:sz="4" w:space="0"/>
            </w:tcBorders>
            <w:tcW w:w="6588" w:type="dxa"/>
            <w:vAlign w:val="center"/>
            <w:textDirection w:val="lrTb"/>
            <w:noWrap w:val="false"/>
          </w:tcPr>
          <w:p>
            <w:pPr>
              <w:rPr>
                <w:rFonts w:ascii="宋体" w:hAnsi="宋体" w:eastAsia="宋体"/>
                <w:color w:val="000000"/>
                <w:sz w:val="21"/>
                <w:szCs w:val="21"/>
              </w:rPr>
            </w:pPr>
            <w:r>
              <w:rPr>
                <w:rFonts w:hint="eastAsia" w:ascii="宋体" w:hAnsi="宋体" w:eastAsia="宋体"/>
                <w:color w:val="000000"/>
                <w:sz w:val="21"/>
                <w:szCs w:val="21"/>
              </w:rPr>
              <w:t xml:space="preserve">供应商提供近三年（指递交响应文件截止时间往前推3年以来承担过类似水泵房设备供货及配套安装业绩的，每提供一份得3分，最高得</w:t>
            </w:r>
            <w:r>
              <w:rPr>
                <w:rFonts w:ascii="宋体" w:hAnsi="宋体" w:eastAsia="宋体"/>
                <w:color w:val="000000"/>
                <w:sz w:val="21"/>
                <w:szCs w:val="21"/>
              </w:rPr>
              <w:t xml:space="preserve">6</w:t>
            </w:r>
            <w:r>
              <w:rPr>
                <w:rFonts w:hint="eastAsia" w:ascii="宋体" w:hAnsi="宋体" w:eastAsia="宋体"/>
                <w:color w:val="000000"/>
                <w:sz w:val="21"/>
                <w:szCs w:val="21"/>
              </w:rPr>
              <w:t xml:space="preserve">分。</w:t>
            </w:r>
            <w:r/>
          </w:p>
          <w:p>
            <w:pPr>
              <w:jc w:val="left"/>
              <w:widowControl/>
              <w:rPr>
                <w:rFonts w:ascii="宋体" w:hAnsi="宋体" w:eastAsia="宋体"/>
                <w:color w:val="000000"/>
                <w:sz w:val="21"/>
                <w:szCs w:val="21"/>
              </w:rPr>
            </w:pPr>
            <w:r>
              <w:rPr>
                <w:rFonts w:hint="eastAsia" w:ascii="宋体" w:hAnsi="宋体" w:eastAsia="宋体"/>
                <w:color w:val="000000"/>
                <w:sz w:val="21"/>
                <w:szCs w:val="21"/>
              </w:rPr>
              <w:t xml:space="preserve">注：须提供相关合同关键页扫描件（含合同封面、合同金额、服务内容及签字盖章页等)。</w:t>
            </w:r>
            <w:r/>
          </w:p>
        </w:tc>
      </w:tr>
      <w:tr>
        <w:trPr>
          <w:trHeight w:val="1019"/>
        </w:trPr>
        <w:tc>
          <w:tcPr>
            <w:tcBorders>
              <w:top w:val="single" w:color="000000" w:sz="4" w:space="0"/>
              <w:left w:val="single" w:color="auto" w:sz="4" w:space="0"/>
              <w:bottom w:val="single" w:color="auto" w:sz="4" w:space="0"/>
              <w:right w:val="single" w:color="000000" w:sz="4" w:space="0"/>
            </w:tcBorders>
            <w:tcW w:w="1132" w:type="dxa"/>
            <w:vAlign w:val="center"/>
            <w:vMerge w:val="continue"/>
            <w:textDirection w:val="lrTb"/>
            <w:noWrap w:val="false"/>
          </w:tcPr>
          <w:p>
            <w:pPr>
              <w:jc w:val="center"/>
              <w:rPr>
                <w:rFonts w:ascii="宋体" w:hAnsi="宋体" w:eastAsia="宋体"/>
                <w:b/>
                <w:bCs/>
                <w:color w:val="000000"/>
                <w:szCs w:val="21"/>
              </w:rPr>
            </w:pPr>
            <w:r>
              <w:rPr>
                <w:rFonts w:ascii="宋体" w:hAnsi="宋体" w:eastAsia="宋体"/>
                <w:b/>
                <w:bCs/>
                <w:color w:val="000000"/>
                <w:szCs w:val="21"/>
              </w:rPr>
            </w:r>
            <w:r/>
          </w:p>
        </w:tc>
        <w:tc>
          <w:tcPr>
            <w:tcBorders>
              <w:top w:val="single" w:color="000000" w:sz="4" w:space="0"/>
              <w:left w:val="single" w:color="000000" w:sz="4" w:space="0"/>
              <w:bottom w:val="single" w:color="auto" w:sz="4" w:space="0"/>
              <w:right w:val="single" w:color="000000" w:sz="4" w:space="0"/>
            </w:tcBorders>
            <w:tcW w:w="1167" w:type="dxa"/>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质保期</w:t>
            </w:r>
            <w:r/>
          </w:p>
        </w:tc>
        <w:tc>
          <w:tcPr>
            <w:tcBorders>
              <w:top w:val="single" w:color="000000" w:sz="4" w:space="0"/>
              <w:left w:val="single" w:color="000000" w:sz="4" w:space="0"/>
              <w:bottom w:val="single" w:color="auto" w:sz="4" w:space="0"/>
              <w:right w:val="single" w:color="000000" w:sz="4" w:space="0"/>
            </w:tcBorders>
            <w:tcW w:w="1051" w:type="dxa"/>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5</w:t>
            </w:r>
            <w:r/>
          </w:p>
        </w:tc>
        <w:tc>
          <w:tcPr>
            <w:tcBorders>
              <w:top w:val="single" w:color="000000" w:sz="4" w:space="0"/>
              <w:left w:val="single" w:color="000000" w:sz="4" w:space="0"/>
              <w:bottom w:val="single" w:color="auto" w:sz="4" w:space="0"/>
              <w:right w:val="single" w:color="auto" w:sz="4" w:space="0"/>
            </w:tcBorders>
            <w:tcW w:w="6588" w:type="dxa"/>
            <w:vAlign w:val="center"/>
            <w:textDirection w:val="lrTb"/>
            <w:noWrap w:val="false"/>
          </w:tcPr>
          <w:p>
            <w:pPr>
              <w:rPr>
                <w:rFonts w:ascii="宋体" w:hAnsi="宋体" w:eastAsia="宋体"/>
                <w:color w:val="000000"/>
                <w:sz w:val="21"/>
                <w:szCs w:val="21"/>
              </w:rPr>
            </w:pPr>
            <w:r>
              <w:rPr>
                <w:rFonts w:ascii="宋体" w:hAnsi="宋体" w:eastAsia="宋体"/>
                <w:color w:val="000000"/>
                <w:sz w:val="21"/>
                <w:szCs w:val="21"/>
              </w:rPr>
              <w:t xml:space="preserve">在满足本项目</w:t>
            </w:r>
            <w:r>
              <w:rPr>
                <w:rFonts w:hint="eastAsia" w:ascii="宋体" w:hAnsi="宋体" w:eastAsia="宋体"/>
                <w:color w:val="000000"/>
                <w:sz w:val="21"/>
                <w:szCs w:val="21"/>
              </w:rPr>
              <w:t xml:space="preserve">核心供水泵设备</w:t>
            </w:r>
            <w:r>
              <w:rPr>
                <w:rFonts w:ascii="宋体" w:hAnsi="宋体" w:eastAsia="宋体"/>
                <w:color w:val="000000"/>
                <w:sz w:val="21"/>
                <w:szCs w:val="21"/>
              </w:rPr>
              <w:t xml:space="preserve">最低质保期3年的基础上，投标人承诺延长质保期的，承诺</w:t>
            </w:r>
            <w:r>
              <w:rPr>
                <w:rFonts w:hint="eastAsia" w:ascii="宋体" w:hAnsi="宋体" w:eastAsia="宋体"/>
                <w:color w:val="000000"/>
                <w:sz w:val="21"/>
                <w:szCs w:val="21"/>
              </w:rPr>
              <w:t xml:space="preserve">供水泵</w:t>
            </w:r>
            <w:r>
              <w:rPr>
                <w:rFonts w:ascii="宋体" w:hAnsi="宋体" w:eastAsia="宋体"/>
                <w:color w:val="000000"/>
                <w:sz w:val="21"/>
                <w:szCs w:val="21"/>
              </w:rPr>
              <w:t xml:space="preserve">质保期</w:t>
            </w:r>
            <w:r>
              <w:rPr>
                <w:rFonts w:hint="eastAsia" w:ascii="宋体" w:hAnsi="宋体" w:eastAsia="宋体"/>
                <w:color w:val="000000"/>
                <w:sz w:val="21"/>
                <w:szCs w:val="21"/>
              </w:rPr>
              <w:t xml:space="preserve">达5年的</w:t>
            </w:r>
            <w:r>
              <w:rPr>
                <w:rFonts w:ascii="宋体" w:hAnsi="宋体" w:eastAsia="宋体"/>
                <w:color w:val="000000"/>
                <w:sz w:val="21"/>
                <w:szCs w:val="21"/>
              </w:rPr>
              <w:t xml:space="preserve">，</w:t>
            </w:r>
            <w:r>
              <w:rPr>
                <w:rFonts w:hint="eastAsia" w:ascii="宋体" w:hAnsi="宋体" w:eastAsia="宋体"/>
                <w:color w:val="000000"/>
                <w:sz w:val="21"/>
                <w:szCs w:val="21"/>
              </w:rPr>
              <w:t xml:space="preserve">得1分；</w:t>
            </w:r>
            <w:r>
              <w:rPr>
                <w:rFonts w:ascii="宋体" w:hAnsi="宋体" w:eastAsia="宋体"/>
                <w:color w:val="000000"/>
                <w:sz w:val="21"/>
                <w:szCs w:val="21"/>
              </w:rPr>
              <w:t xml:space="preserve">承诺质保期</w:t>
            </w:r>
            <w:r>
              <w:rPr>
                <w:rFonts w:hint="eastAsia" w:ascii="宋体" w:hAnsi="宋体" w:eastAsia="宋体"/>
                <w:color w:val="000000"/>
                <w:sz w:val="21"/>
                <w:szCs w:val="21"/>
              </w:rPr>
              <w:t xml:space="preserve">达</w:t>
            </w:r>
            <w:r>
              <w:rPr>
                <w:rFonts w:ascii="宋体" w:hAnsi="宋体" w:eastAsia="宋体"/>
                <w:color w:val="000000"/>
                <w:sz w:val="21"/>
                <w:szCs w:val="21"/>
              </w:rPr>
              <w:t xml:space="preserve">7</w:t>
            </w:r>
            <w:r>
              <w:rPr>
                <w:rFonts w:hint="eastAsia" w:ascii="宋体" w:hAnsi="宋体" w:eastAsia="宋体"/>
                <w:color w:val="000000"/>
                <w:sz w:val="21"/>
                <w:szCs w:val="21"/>
              </w:rPr>
              <w:t xml:space="preserve">年的</w:t>
            </w:r>
            <w:r>
              <w:rPr>
                <w:rFonts w:ascii="宋体" w:hAnsi="宋体" w:eastAsia="宋体"/>
                <w:color w:val="000000"/>
                <w:sz w:val="21"/>
                <w:szCs w:val="21"/>
              </w:rPr>
              <w:t xml:space="preserve">，</w:t>
            </w:r>
            <w:r>
              <w:rPr>
                <w:rFonts w:hint="eastAsia" w:ascii="宋体" w:hAnsi="宋体" w:eastAsia="宋体"/>
                <w:color w:val="000000"/>
                <w:sz w:val="21"/>
                <w:szCs w:val="21"/>
              </w:rPr>
              <w:t xml:space="preserve">得</w:t>
            </w:r>
            <w:r>
              <w:rPr>
                <w:rFonts w:ascii="宋体" w:hAnsi="宋体" w:eastAsia="宋体"/>
                <w:color w:val="000000"/>
                <w:sz w:val="21"/>
                <w:szCs w:val="21"/>
              </w:rPr>
              <w:t xml:space="preserve">3</w:t>
            </w:r>
            <w:r>
              <w:rPr>
                <w:rFonts w:hint="eastAsia" w:ascii="宋体" w:hAnsi="宋体" w:eastAsia="宋体"/>
                <w:color w:val="000000"/>
                <w:sz w:val="21"/>
                <w:szCs w:val="21"/>
              </w:rPr>
              <w:t xml:space="preserve">分；</w:t>
            </w:r>
            <w:r>
              <w:rPr>
                <w:rFonts w:ascii="宋体" w:hAnsi="宋体" w:eastAsia="宋体"/>
                <w:color w:val="000000"/>
                <w:sz w:val="21"/>
                <w:szCs w:val="21"/>
              </w:rPr>
              <w:t xml:space="preserve">承诺质保期</w:t>
            </w:r>
            <w:r>
              <w:rPr>
                <w:rFonts w:hint="eastAsia" w:ascii="宋体" w:hAnsi="宋体" w:eastAsia="宋体"/>
                <w:color w:val="000000"/>
                <w:sz w:val="21"/>
                <w:szCs w:val="21"/>
              </w:rPr>
              <w:t xml:space="preserve">达</w:t>
            </w:r>
            <w:r>
              <w:rPr>
                <w:rFonts w:ascii="宋体" w:hAnsi="宋体" w:eastAsia="宋体"/>
                <w:color w:val="000000"/>
                <w:sz w:val="21"/>
                <w:szCs w:val="21"/>
              </w:rPr>
              <w:t xml:space="preserve">10</w:t>
            </w:r>
            <w:r>
              <w:rPr>
                <w:rFonts w:hint="eastAsia" w:ascii="宋体" w:hAnsi="宋体" w:eastAsia="宋体"/>
                <w:color w:val="000000"/>
                <w:sz w:val="21"/>
                <w:szCs w:val="21"/>
              </w:rPr>
              <w:t xml:space="preserve">年的</w:t>
            </w:r>
            <w:r>
              <w:rPr>
                <w:rFonts w:ascii="宋体" w:hAnsi="宋体" w:eastAsia="宋体"/>
                <w:color w:val="000000"/>
                <w:sz w:val="21"/>
                <w:szCs w:val="21"/>
              </w:rPr>
              <w:t xml:space="preserve">，</w:t>
            </w:r>
            <w:r>
              <w:rPr>
                <w:rFonts w:hint="eastAsia" w:ascii="宋体" w:hAnsi="宋体" w:eastAsia="宋体"/>
                <w:color w:val="000000"/>
                <w:sz w:val="21"/>
                <w:szCs w:val="21"/>
              </w:rPr>
              <w:t xml:space="preserve">得</w:t>
            </w:r>
            <w:r>
              <w:rPr>
                <w:rFonts w:ascii="宋体" w:hAnsi="宋体" w:eastAsia="宋体"/>
                <w:color w:val="000000"/>
                <w:sz w:val="21"/>
                <w:szCs w:val="21"/>
              </w:rPr>
              <w:t xml:space="preserve">5</w:t>
            </w:r>
            <w:r>
              <w:rPr>
                <w:rFonts w:hint="eastAsia" w:ascii="宋体" w:hAnsi="宋体" w:eastAsia="宋体"/>
                <w:color w:val="000000"/>
                <w:sz w:val="21"/>
                <w:szCs w:val="21"/>
              </w:rPr>
              <w:t xml:space="preserve">分；</w:t>
            </w:r>
            <w:r>
              <w:rPr>
                <w:rFonts w:ascii="宋体" w:hAnsi="宋体" w:eastAsia="宋体"/>
                <w:color w:val="000000"/>
                <w:sz w:val="21"/>
                <w:szCs w:val="21"/>
              </w:rPr>
              <w:t xml:space="preserve">本项最多得5分（即质保期达到10年）。（提供承诺书加盖投标人公章，承诺书格式自拟，未提供不得分。）</w:t>
            </w:r>
            <w:r/>
          </w:p>
        </w:tc>
      </w:tr>
      <w:tr>
        <w:trPr>
          <w:trHeight w:val="1019"/>
        </w:trPr>
        <w:tc>
          <w:tcPr>
            <w:tcBorders>
              <w:top w:val="single" w:color="000000" w:sz="4" w:space="0"/>
              <w:left w:val="single" w:color="auto" w:sz="4" w:space="0"/>
              <w:bottom w:val="single" w:color="auto" w:sz="4" w:space="0"/>
              <w:right w:val="single" w:color="000000" w:sz="4" w:space="0"/>
            </w:tcBorders>
            <w:tcW w:w="1132" w:type="dxa"/>
            <w:vAlign w:val="center"/>
            <w:vMerge w:val="continue"/>
            <w:textDirection w:val="lrTb"/>
            <w:noWrap w:val="false"/>
          </w:tcPr>
          <w:p>
            <w:pPr>
              <w:jc w:val="center"/>
              <w:rPr>
                <w:rFonts w:ascii="宋体" w:hAnsi="宋体" w:eastAsia="宋体"/>
                <w:b/>
                <w:bCs/>
                <w:color w:val="000000"/>
                <w:szCs w:val="21"/>
              </w:rPr>
            </w:pPr>
            <w:r>
              <w:rPr>
                <w:rFonts w:ascii="宋体" w:hAnsi="宋体" w:eastAsia="宋体"/>
                <w:b/>
                <w:bCs/>
                <w:color w:val="000000"/>
                <w:szCs w:val="21"/>
              </w:rPr>
            </w:r>
            <w:r/>
          </w:p>
        </w:tc>
        <w:tc>
          <w:tcPr>
            <w:tcBorders>
              <w:top w:val="single" w:color="000000" w:sz="4" w:space="0"/>
              <w:left w:val="single" w:color="000000" w:sz="4" w:space="0"/>
              <w:bottom w:val="single" w:color="auto" w:sz="4" w:space="0"/>
              <w:right w:val="single" w:color="000000" w:sz="4" w:space="0"/>
            </w:tcBorders>
            <w:tcW w:w="1167" w:type="dxa"/>
            <w:vAlign w:val="center"/>
            <w:textDirection w:val="lrTb"/>
            <w:noWrap w:val="false"/>
          </w:tcPr>
          <w:p>
            <w:pPr>
              <w:jc w:val="center"/>
              <w:widowControl/>
              <w:rPr>
                <w:rFonts w:ascii="宋体" w:hAnsi="宋体" w:eastAsia="宋体"/>
                <w:color w:val="000000"/>
                <w:sz w:val="21"/>
                <w:szCs w:val="21"/>
              </w:rPr>
            </w:pPr>
            <w:r>
              <w:rPr>
                <w:rFonts w:hint="eastAsia" w:ascii="宋体" w:hAnsi="宋体" w:eastAsia="宋体"/>
                <w:color w:val="000000"/>
                <w:sz w:val="21"/>
                <w:szCs w:val="21"/>
              </w:rPr>
              <w:t xml:space="preserve">综合实力</w:t>
            </w:r>
            <w:r/>
          </w:p>
        </w:tc>
        <w:tc>
          <w:tcPr>
            <w:tcBorders>
              <w:top w:val="single" w:color="000000" w:sz="4" w:space="0"/>
              <w:left w:val="single" w:color="000000" w:sz="4" w:space="0"/>
              <w:bottom w:val="single" w:color="auto" w:sz="4" w:space="0"/>
              <w:right w:val="single" w:color="000000" w:sz="4" w:space="0"/>
            </w:tcBorders>
            <w:tcW w:w="1051" w:type="dxa"/>
            <w:vAlign w:val="center"/>
            <w:textDirection w:val="lrTb"/>
            <w:noWrap w:val="false"/>
          </w:tcPr>
          <w:p>
            <w:pPr>
              <w:jc w:val="center"/>
              <w:widowControl/>
              <w:rPr>
                <w:rFonts w:ascii="宋体" w:hAnsi="宋体" w:eastAsia="宋体"/>
                <w:color w:val="000000"/>
                <w:sz w:val="21"/>
                <w:szCs w:val="21"/>
              </w:rPr>
            </w:pPr>
            <w:r>
              <w:rPr>
                <w:rFonts w:ascii="宋体" w:hAnsi="宋体" w:eastAsia="宋体"/>
                <w:color w:val="000000"/>
                <w:sz w:val="21"/>
                <w:szCs w:val="21"/>
              </w:rPr>
              <w:t xml:space="preserve">3</w:t>
            </w:r>
            <w:r/>
          </w:p>
        </w:tc>
        <w:tc>
          <w:tcPr>
            <w:tcBorders>
              <w:top w:val="single" w:color="000000" w:sz="4" w:space="0"/>
              <w:left w:val="single" w:color="000000" w:sz="4" w:space="0"/>
              <w:bottom w:val="single" w:color="auto" w:sz="4" w:space="0"/>
              <w:right w:val="single" w:color="auto" w:sz="4" w:space="0"/>
            </w:tcBorders>
            <w:tcW w:w="6588" w:type="dxa"/>
            <w:vAlign w:val="center"/>
            <w:textDirection w:val="lrTb"/>
            <w:noWrap w:val="false"/>
          </w:tcPr>
          <w:p>
            <w:pPr>
              <w:rPr>
                <w:rFonts w:ascii="宋体" w:hAnsi="宋体" w:eastAsia="宋体"/>
                <w:color w:val="000000"/>
                <w:sz w:val="21"/>
                <w:szCs w:val="21"/>
              </w:rPr>
            </w:pPr>
            <w:r>
              <w:rPr>
                <w:rFonts w:hint="eastAsia" w:ascii="宋体" w:hAnsi="宋体" w:eastAsia="宋体"/>
                <w:color w:val="000000"/>
                <w:sz w:val="21"/>
                <w:szCs w:val="21"/>
              </w:rPr>
              <w:t xml:space="preserve">投标人具有质量管理体系认证证书、环境管理体系认证证书、职业健康安全管理体系认证证书，每有一张证书得</w:t>
            </w:r>
            <w:r>
              <w:rPr>
                <w:rFonts w:ascii="宋体" w:hAnsi="宋体" w:eastAsia="宋体"/>
                <w:color w:val="000000"/>
                <w:sz w:val="21"/>
                <w:szCs w:val="21"/>
              </w:rPr>
              <w:t xml:space="preserve">1</w:t>
            </w:r>
            <w:r>
              <w:rPr>
                <w:rFonts w:hint="eastAsia" w:ascii="宋体" w:hAnsi="宋体" w:eastAsia="宋体"/>
                <w:color w:val="000000"/>
                <w:sz w:val="21"/>
                <w:szCs w:val="21"/>
              </w:rPr>
              <w:t xml:space="preserve">分，共</w:t>
            </w:r>
            <w:r>
              <w:rPr>
                <w:rFonts w:ascii="宋体" w:hAnsi="宋体" w:eastAsia="宋体"/>
                <w:color w:val="000000"/>
                <w:sz w:val="21"/>
                <w:szCs w:val="21"/>
              </w:rPr>
              <w:t xml:space="preserve">3</w:t>
            </w:r>
            <w:r>
              <w:rPr>
                <w:rFonts w:hint="eastAsia" w:ascii="宋体" w:hAnsi="宋体" w:eastAsia="宋体"/>
                <w:color w:val="000000"/>
                <w:sz w:val="21"/>
                <w:szCs w:val="21"/>
              </w:rPr>
              <w:t xml:space="preserve">分。 须同时提供以上证书复印件及全国认证认可信息公共服务平台（http://cx.cnca.cn）查询结果截图，已失效、撤销或暂停的对应证书项不得分。</w:t>
            </w:r>
            <w:r/>
          </w:p>
        </w:tc>
      </w:tr>
    </w:tbl>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  备注：</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1、根据财库〔2026〕2号文件《关于推动解决政府采购异常低价问题的通知》的要求：评审委员会对于异常低价投标(响应)将启动审查程序：</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（3）投标（响应）报价低于采购项目最高限价50%的，即投标（响应）报价&lt;采购项目最高限价×50%；</w:t>
      </w:r>
      <w:r/>
    </w:p>
    <w:p>
      <w:pP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（4）评审委员会基于专业判断，认为供应商报价过低，有可能影响产品质量或者不能诚信履约的其他情形。</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2、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3、小微企业的价格扣除</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（1）对于非专门面向中小企业的采购项目，给予小微企业报价10%的价格扣除，用扣除后的价格参与评审。</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（2）小微企业参加政府采购活动的，应当出具《中小企业声明函》（格式详见招标文件附件），否则</w:t>
      </w:r>
      <w:r>
        <w:rPr>
          <w:rFonts w:hint="eastAsia" w:ascii="宋体" w:hAnsi="宋体" w:eastAsia="宋体"/>
          <w:bCs/>
          <w:sz w:val="21"/>
          <w:szCs w:val="21"/>
          <w:lang w:val="en-US"/>
        </w:rPr>
        <w:t xml:space="preserve">不享受小微企业价格评审优惠政策。</w:t>
      </w:r>
      <w:r/>
    </w:p>
    <w:p>
      <w:pPr>
        <w:ind w:firstLine="421"/>
        <w:spacing w:line="360" w:lineRule="auto"/>
        <w:rPr>
          <w:rFonts w:ascii="宋体" w:hAnsi="宋体" w:eastAsia="宋体"/>
          <w:b/>
          <w:sz w:val="21"/>
          <w:szCs w:val="21"/>
          <w:lang w:val="en-US"/>
        </w:rPr>
      </w:pPr>
      <w:r>
        <w:rPr>
          <w:rFonts w:hint="eastAsia" w:ascii="宋体" w:hAnsi="宋体" w:eastAsia="宋体"/>
          <w:b/>
          <w:sz w:val="21"/>
          <w:szCs w:val="21"/>
          <w:lang w:val="en-US"/>
        </w:rPr>
        <w:t xml:space="preserve">4、监狱和戒毒企业的价格扣除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残疾人福利性单位的价格扣除</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监狱企业、残疾人福利性单位属于小微企业的，不重复享受政策。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7、除本章另有说明外，所有认证、证明和业绩均以清晰有效的证明文件的复印件为依据。</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8、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根据各投标人最终得分由高到低进行排名，得分相同的，按投标报价由低到高顺序排列。得分且投标报价相同的，按施工组织设计方案优劣顺序排列。</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9、评审小组不保证有效报价最低的供应商中标。</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10、</w:t>
      </w:r>
      <w:r>
        <w:rPr>
          <w:rFonts w:hint="eastAsia" w:ascii="宋体" w:hAnsi="宋体" w:eastAsia="宋体"/>
          <w:sz w:val="21"/>
          <w:szCs w:val="21"/>
        </w:rPr>
        <w:t xml:space="preserve">项目所属行业：</w:t>
      </w:r>
      <w:r>
        <w:rPr>
          <w:rFonts w:hint="eastAsia" w:ascii="宋体" w:hAnsi="宋体" w:eastAsia="宋体"/>
          <w:sz w:val="21"/>
          <w:szCs w:val="21"/>
          <w:u w:val="single"/>
          <w:lang w:val="en-US"/>
        </w:rPr>
        <w:t xml:space="preserve">其他未列明行业</w:t>
      </w:r>
      <w:r>
        <w:rPr>
          <w:rFonts w:hint="eastAsia" w:ascii="宋体" w:hAnsi="宋体" w:eastAsia="宋体"/>
          <w:sz w:val="21"/>
          <w:szCs w:val="21"/>
          <w:lang w:val="en-US"/>
        </w:rPr>
        <w:t xml:space="preserve">。</w:t>
      </w:r>
      <w:r/>
    </w:p>
    <w:p>
      <w:pPr>
        <w:spacing w:line="360" w:lineRule="auto"/>
        <w:rPr>
          <w:rFonts w:ascii="宋体" w:hAnsi="宋体" w:eastAsia="宋体"/>
          <w:sz w:val="21"/>
          <w:szCs w:val="21"/>
          <w:lang w:val="en-US"/>
        </w:rPr>
      </w:pPr>
      <w:r>
        <w:rPr>
          <w:rFonts w:ascii="宋体" w:hAnsi="宋体" w:eastAsia="宋体"/>
          <w:sz w:val="21"/>
          <w:szCs w:val="21"/>
          <w:lang w:val="en-US"/>
        </w:rPr>
      </w:r>
      <w:r/>
    </w:p>
    <w:p>
      <w:pPr>
        <w:ind w:firstLine="420"/>
        <w:spacing w:line="360" w:lineRule="auto"/>
        <w:rPr>
          <w:rFonts w:ascii="宋体" w:hAnsi="宋体" w:eastAsia="宋体"/>
          <w:sz w:val="21"/>
          <w:szCs w:val="21"/>
          <w:lang w:val="en-US"/>
        </w:rPr>
      </w:pPr>
      <w:r>
        <w:rPr>
          <w:rFonts w:ascii="宋体" w:hAnsi="宋体" w:eastAsia="宋体"/>
          <w:sz w:val="21"/>
          <w:szCs w:val="21"/>
          <w:lang w:val="en-US"/>
        </w:rPr>
      </w:r>
      <w:r/>
    </w:p>
    <w:p>
      <w:pPr>
        <w:jc w:val="center"/>
        <w:spacing w:line="360" w:lineRule="auto"/>
        <w:tabs>
          <w:tab w:val="left" w:pos="321" w:leader="none"/>
        </w:tabs>
        <w:rPr>
          <w:rFonts w:ascii="宋体" w:hAnsi="宋体" w:eastAsia="宋体"/>
          <w:color w:val="000000"/>
          <w:sz w:val="21"/>
          <w:szCs w:val="21"/>
        </w:rPr>
        <w:outlineLvl w:val="0"/>
      </w:pPr>
      <w:r>
        <w:rPr>
          <w:rFonts w:ascii="宋体" w:hAnsi="宋体"/>
          <w:b/>
          <w:color w:val="000000"/>
          <w:szCs w:val="21"/>
        </w:rPr>
        <w:br w:type="page" w:clear="all"/>
      </w:r>
      <w:bookmarkStart w:id="44" w:name="_Toc32256"/>
      <w:r>
        <w:rPr>
          <w:rFonts w:hint="eastAsia" w:ascii="黑体" w:hAnsi="黑体" w:eastAsia="黑体" w:cs="黑体"/>
          <w:bCs/>
          <w:color w:val="000000"/>
          <w:sz w:val="32"/>
          <w:szCs w:val="32"/>
        </w:rPr>
        <w:t xml:space="preserve">第五章 </w:t>
      </w:r>
      <w:r>
        <w:rPr>
          <w:rFonts w:hint="eastAsia" w:ascii="黑体" w:hAnsi="黑体" w:eastAsia="黑体" w:cs="黑体"/>
          <w:bCs/>
          <w:color w:val="000000"/>
          <w:sz w:val="32"/>
          <w:szCs w:val="32"/>
          <w:lang w:val="en-US"/>
        </w:rPr>
        <w:t xml:space="preserve"> </w:t>
      </w:r>
      <w:r>
        <w:rPr>
          <w:rFonts w:hint="eastAsia" w:ascii="黑体" w:hAnsi="黑体" w:eastAsia="黑体" w:cs="黑体"/>
          <w:bCs/>
          <w:color w:val="000000"/>
          <w:sz w:val="32"/>
          <w:szCs w:val="32"/>
        </w:rPr>
        <w:t xml:space="preserve">采购项目需求</w:t>
      </w:r>
      <w:bookmarkEnd w:id="44"/>
      <w:r/>
      <w:r/>
    </w:p>
    <w:p>
      <w:pPr>
        <w:pStyle w:val="907"/>
        <w:ind w:firstLine="480"/>
        <w:spacing w:line="500" w:lineRule="exact"/>
        <w:rPr>
          <w:rFonts w:ascii="Times New Roman" w:hAnsi="Times New Roman" w:eastAsia="宋体"/>
          <w:sz w:val="24"/>
          <w:szCs w:val="24"/>
          <w:highlight w:val="none"/>
          <w:shd w:val="clear" w:color="auto" w:fill="ffffff"/>
          <w:lang w:val="en-US"/>
        </w:rPr>
      </w:pPr>
      <w:r>
        <w:rPr>
          <w:rFonts w:hint="eastAsia" w:ascii="Times New Roman" w:hAnsi="Times New Roman" w:eastAsia="宋体"/>
          <w:sz w:val="24"/>
          <w:szCs w:val="24"/>
          <w:highlight w:val="none"/>
          <w:shd w:val="clear" w:color="auto" w:fill="ffffff"/>
        </w:rPr>
        <w:t xml:space="preserve">本项目为南京信息职业技术学院</w:t>
      </w:r>
      <w:r>
        <w:rPr>
          <w:rFonts w:hint="eastAsia" w:ascii="Times New Roman" w:hAnsi="Times New Roman" w:eastAsia="宋体"/>
          <w:sz w:val="24"/>
          <w:szCs w:val="24"/>
          <w:highlight w:val="none"/>
          <w:shd w:val="clear" w:color="auto" w:fill="ffffff"/>
          <w:lang w:val="en-US"/>
        </w:rPr>
        <w:t xml:space="preserve">标准化泵房建设项目。</w:t>
      </w:r>
      <w:r>
        <w:rPr>
          <w:rFonts w:hint="eastAsia" w:ascii="Times New Roman" w:hAnsi="Times New Roman" w:eastAsia="宋体"/>
          <w:sz w:val="24"/>
          <w:szCs w:val="24"/>
          <w:highlight w:val="none"/>
          <w:shd w:val="clear" w:color="auto" w:fill="ffffff"/>
        </w:rPr>
        <w:t xml:space="preserve">目前</w:t>
      </w:r>
      <w:r>
        <w:rPr>
          <w:rFonts w:hint="eastAsia" w:ascii="Times New Roman" w:hAnsi="Times New Roman" w:eastAsia="宋体"/>
          <w:sz w:val="24"/>
          <w:szCs w:val="24"/>
          <w:highlight w:val="none"/>
          <w:shd w:val="clear" w:color="auto" w:fill="ffffff"/>
          <w:lang w:val="en-US"/>
        </w:rPr>
        <w:t xml:space="preserve">学校中心泵房</w:t>
      </w:r>
      <w:r>
        <w:rPr>
          <w:rFonts w:hint="eastAsia" w:ascii="Times New Roman" w:hAnsi="Times New Roman" w:eastAsia="宋体"/>
          <w:sz w:val="24"/>
          <w:szCs w:val="24"/>
          <w:highlight w:val="none"/>
          <w:shd w:val="clear" w:color="auto" w:fill="ffffff"/>
        </w:rPr>
        <w:t xml:space="preserve">存在设备老化、能耗高、智能化不足等问题，需进行系统性升级改造，以满足校园供水安全、节能环保及智慧化管理需求。</w:t>
      </w:r>
      <w:r/>
    </w:p>
    <w:p>
      <w:pPr>
        <w:ind w:firstLine="480"/>
        <w:spacing w:before="80" w:after="80" w:line="360" w:lineRule="auto"/>
        <w:rPr>
          <w:rFonts w:ascii="Times New Roman" w:hAnsi="Times New Roman" w:eastAsia="宋体"/>
          <w:sz w:val="24"/>
          <w:szCs w:val="24"/>
          <w:highlight w:val="none"/>
          <w:shd w:val="clear" w:color="auto" w:fill="ffffff"/>
          <w:lang w:val="en-US"/>
        </w:rPr>
      </w:pPr>
      <w:r>
        <w:rPr>
          <w:rFonts w:hint="eastAsia" w:ascii="Times New Roman" w:hAnsi="Times New Roman" w:eastAsia="宋体"/>
          <w:sz w:val="24"/>
          <w:szCs w:val="24"/>
          <w:highlight w:val="none"/>
          <w:shd w:val="clear" w:color="auto" w:fill="ffffff"/>
        </w:rPr>
        <w:t xml:space="preserve">南京信息职业技术学院</w:t>
      </w:r>
      <w:r>
        <w:rPr>
          <w:rFonts w:hint="eastAsia" w:ascii="Times New Roman" w:hAnsi="Times New Roman" w:eastAsia="宋体"/>
          <w:sz w:val="24"/>
          <w:szCs w:val="24"/>
          <w:highlight w:val="none"/>
          <w:shd w:val="clear" w:color="auto" w:fill="ffffff"/>
          <w:lang w:val="en-US"/>
        </w:rPr>
        <w:t xml:space="preserve">中心</w:t>
      </w:r>
      <w:r>
        <w:rPr>
          <w:rFonts w:hint="eastAsia" w:ascii="Times New Roman" w:hAnsi="Times New Roman" w:eastAsia="宋体"/>
          <w:sz w:val="24"/>
          <w:szCs w:val="24"/>
          <w:highlight w:val="none"/>
          <w:shd w:val="clear" w:color="auto" w:fill="ffffff"/>
        </w:rPr>
        <w:t xml:space="preserve">泵房用于提升和稳定供水压力，确保校园内建筑、宿舍楼、教学楼等区域的正常用水需求。本次</w:t>
      </w:r>
      <w:r>
        <w:rPr>
          <w:rFonts w:hint="eastAsia" w:ascii="Times New Roman" w:hAnsi="Times New Roman" w:eastAsia="宋体"/>
          <w:sz w:val="24"/>
          <w:szCs w:val="24"/>
          <w:highlight w:val="none"/>
          <w:shd w:val="clear" w:color="auto" w:fill="ffffff"/>
          <w:lang w:val="en-US"/>
        </w:rPr>
        <w:t xml:space="preserve">升级改造</w:t>
      </w:r>
      <w:r>
        <w:rPr>
          <w:rFonts w:hint="eastAsia" w:ascii="Times New Roman" w:hAnsi="Times New Roman" w:eastAsia="宋体"/>
          <w:sz w:val="24"/>
          <w:szCs w:val="24"/>
          <w:highlight w:val="none"/>
          <w:shd w:val="clear" w:color="auto" w:fill="ffffff"/>
        </w:rPr>
        <w:t xml:space="preserve">以"安全、智慧、节能、规范"为核心目标，通过底层设备升级、系统信息化建设和泵房环境标准化整治，</w:t>
      </w:r>
      <w:r>
        <w:rPr>
          <w:rFonts w:hint="eastAsia" w:ascii="Times New Roman" w:hAnsi="Times New Roman" w:eastAsia="宋体"/>
          <w:sz w:val="24"/>
          <w:szCs w:val="24"/>
          <w:highlight w:val="none"/>
          <w:shd w:val="clear" w:color="auto" w:fill="ffffff"/>
          <w:lang w:val="en-US"/>
        </w:rPr>
        <w:t xml:space="preserve">第一要</w:t>
      </w:r>
      <w:r>
        <w:rPr>
          <w:rFonts w:hint="eastAsia" w:ascii="Times New Roman" w:hAnsi="Times New Roman" w:eastAsia="宋体"/>
          <w:sz w:val="24"/>
          <w:szCs w:val="24"/>
          <w:highlight w:val="none"/>
          <w:shd w:val="clear" w:color="auto" w:fill="ffffff"/>
        </w:rPr>
        <w:t xml:space="preserve">实现消除现有设备老化风险，建立完善的安防体系，保障15000名师生的饮水安全，</w:t>
      </w:r>
      <w:r>
        <w:rPr>
          <w:rFonts w:hint="eastAsia" w:ascii="Times New Roman" w:hAnsi="Times New Roman" w:eastAsia="宋体"/>
          <w:sz w:val="24"/>
          <w:szCs w:val="24"/>
          <w:highlight w:val="none"/>
          <w:shd w:val="clear" w:color="auto" w:fill="ffffff"/>
          <w:lang w:val="en-US"/>
        </w:rPr>
        <w:t xml:space="preserve">第二达到</w:t>
      </w:r>
      <w:r>
        <w:rPr>
          <w:rFonts w:hint="eastAsia" w:ascii="Times New Roman" w:hAnsi="Times New Roman" w:eastAsia="宋体"/>
          <w:sz w:val="24"/>
          <w:szCs w:val="24"/>
          <w:highlight w:val="none"/>
          <w:shd w:val="clear" w:color="auto" w:fill="ffffff"/>
        </w:rPr>
        <w:t xml:space="preserve">国家及江苏省现行标准规范要求；</w:t>
      </w:r>
      <w:r>
        <w:rPr>
          <w:rFonts w:hint="eastAsia" w:ascii="Times New Roman" w:hAnsi="Times New Roman" w:eastAsia="宋体"/>
          <w:sz w:val="24"/>
          <w:szCs w:val="24"/>
          <w:highlight w:val="none"/>
          <w:shd w:val="clear" w:color="auto" w:fill="ffffff"/>
          <w:lang w:val="en-US"/>
        </w:rPr>
        <w:t xml:space="preserve">第三，</w:t>
      </w:r>
      <w:r>
        <w:rPr>
          <w:rFonts w:hint="eastAsia" w:ascii="Times New Roman" w:hAnsi="Times New Roman" w:eastAsia="宋体"/>
          <w:sz w:val="24"/>
          <w:szCs w:val="24"/>
          <w:highlight w:val="none"/>
          <w:shd w:val="clear" w:color="auto" w:fill="ffffff"/>
        </w:rPr>
        <w:t xml:space="preserve">实现泵房无人值守，通过平台实时远程管控，运维响应效率提升80%以上；</w:t>
      </w:r>
      <w:r>
        <w:rPr>
          <w:rFonts w:hint="eastAsia" w:ascii="Times New Roman" w:hAnsi="Times New Roman" w:eastAsia="宋体"/>
          <w:sz w:val="24"/>
          <w:szCs w:val="24"/>
          <w:highlight w:val="none"/>
          <w:shd w:val="clear" w:color="auto" w:fill="ffffff"/>
          <w:lang w:val="en-US"/>
        </w:rPr>
        <w:t xml:space="preserve">第四，</w:t>
      </w:r>
      <w:r>
        <w:rPr>
          <w:rFonts w:hint="eastAsia" w:ascii="Times New Roman" w:hAnsi="Times New Roman" w:eastAsia="宋体"/>
          <w:sz w:val="24"/>
          <w:szCs w:val="24"/>
          <w:highlight w:val="none"/>
          <w:shd w:val="clear" w:color="auto" w:fill="ffffff"/>
        </w:rPr>
        <w:t xml:space="preserve">综合节能率达30%以上</w:t>
      </w:r>
      <w:r>
        <w:rPr>
          <w:rFonts w:hint="eastAsia" w:ascii="Times New Roman" w:hAnsi="Times New Roman" w:eastAsia="宋体"/>
          <w:sz w:val="24"/>
          <w:szCs w:val="24"/>
          <w:highlight w:val="none"/>
          <w:shd w:val="clear" w:color="auto" w:fill="ffffff"/>
          <w:lang w:val="en-US"/>
        </w:rPr>
        <w:t xml:space="preserve">等建设目标。</w:t>
      </w:r>
      <w:r/>
    </w:p>
    <w:p>
      <w:pPr>
        <w:ind w:firstLine="480"/>
        <w:spacing w:before="80" w:after="80" w:line="360" w:lineRule="auto"/>
        <w:rPr>
          <w:rFonts w:ascii="Times New Roman" w:hAnsi="Times New Roman" w:eastAsia="宋体"/>
          <w:sz w:val="24"/>
          <w:szCs w:val="24"/>
          <w:shd w:val="clear" w:color="auto" w:fill="ffffff"/>
          <w:lang w:val="en-US"/>
        </w:rPr>
      </w:pPr>
      <w:r>
        <w:rPr>
          <w:rFonts w:hint="eastAsia" w:ascii="Times New Roman" w:hAnsi="Times New Roman" w:eastAsia="宋体"/>
          <w:sz w:val="24"/>
          <w:szCs w:val="24"/>
          <w:highlight w:val="none"/>
          <w:shd w:val="clear" w:color="auto" w:fill="ffffff"/>
          <w:lang w:val="en-US"/>
        </w:rPr>
        <w:t xml:space="preserve">项目内容</w:t>
      </w:r>
      <w:r>
        <w:rPr>
          <w:rFonts w:hint="eastAsia" w:ascii="Times New Roman" w:hAnsi="Times New Roman" w:eastAsia="宋体"/>
          <w:sz w:val="24"/>
          <w:szCs w:val="24"/>
          <w:highlight w:val="none"/>
          <w:shd w:val="clear" w:color="auto" w:fill="ffffff"/>
        </w:rPr>
        <w:t xml:space="preserve">包括不限于：负责设计范围内所有材料、设备的采购</w:t>
      </w:r>
      <w:r>
        <w:rPr>
          <w:rFonts w:hint="eastAsia" w:ascii="Times New Roman" w:hAnsi="Times New Roman" w:eastAsia="宋体"/>
          <w:sz w:val="24"/>
          <w:szCs w:val="24"/>
          <w:shd w:val="clear" w:color="auto" w:fill="ffffff"/>
        </w:rPr>
        <w:t xml:space="preserve">，提供完整的质量证明文件（CCC认证、检测报告等）；</w:t>
      </w:r>
      <w:r>
        <w:rPr>
          <w:rFonts w:hint="eastAsia" w:ascii="Times New Roman" w:hAnsi="Times New Roman" w:eastAsia="宋体"/>
          <w:sz w:val="24"/>
          <w:szCs w:val="24"/>
          <w:shd w:val="clear" w:color="auto" w:fill="ffffff"/>
          <w:lang w:val="en-US"/>
        </w:rPr>
        <w:t xml:space="preserve">设备配套</w:t>
      </w:r>
      <w:r>
        <w:rPr>
          <w:rFonts w:hint="eastAsia" w:ascii="Times New Roman" w:hAnsi="Times New Roman" w:eastAsia="宋体"/>
          <w:sz w:val="24"/>
          <w:szCs w:val="24"/>
          <w:shd w:val="clear" w:color="auto" w:fill="ffffff"/>
        </w:rPr>
        <w:t xml:space="preserve">安装工作：严格按经采购人审批确认的施工图纸及相关要求实施；调试工作：调试完成，符合设计要求，满足运营要求。</w:t>
      </w:r>
      <w:r>
        <w:rPr>
          <w:rFonts w:hint="eastAsia" w:ascii="Times New Roman" w:hAnsi="Times New Roman" w:eastAsia="宋体"/>
          <w:sz w:val="24"/>
          <w:szCs w:val="24"/>
          <w:shd w:val="clear" w:color="auto" w:fill="ffffff"/>
          <w:lang w:val="en-US"/>
        </w:rPr>
        <w:t xml:space="preserve">所有安装、调试、装修装饰、平台系统等均需配合核心水泵系统设备改造，交付完整的货物系统。</w:t>
      </w:r>
      <w:r/>
    </w:p>
    <w:p>
      <w:pPr>
        <w:ind w:firstLine="424"/>
        <w:spacing w:line="500" w:lineRule="exact"/>
        <w:rPr>
          <w:spacing w:val="-4"/>
          <w:sz w:val="24"/>
          <w:lang w:bidi="zh-CN"/>
        </w:rPr>
      </w:pPr>
      <w:r>
        <w:rPr>
          <w:rFonts w:hint="eastAsia"/>
          <w:spacing w:val="-4"/>
          <w:sz w:val="24"/>
          <w:lang w:bidi="zh-CN"/>
        </w:rPr>
        <w:t xml:space="preserve">1.项目名称：南京信息职业技术学院</w:t>
      </w:r>
      <w:r>
        <w:rPr>
          <w:rFonts w:hint="eastAsia"/>
          <w:spacing w:val="-4"/>
          <w:sz w:val="24"/>
          <w:lang w:val="en-US" w:bidi="zh-CN"/>
        </w:rPr>
        <w:t xml:space="preserve">标准化泵房建设</w:t>
      </w:r>
      <w:r>
        <w:rPr>
          <w:rFonts w:hint="eastAsia"/>
          <w:spacing w:val="-4"/>
          <w:sz w:val="24"/>
          <w:lang w:bidi="zh-CN"/>
        </w:rPr>
        <w:t xml:space="preserve">项目</w:t>
      </w:r>
      <w:r/>
    </w:p>
    <w:p>
      <w:pPr>
        <w:ind w:firstLine="424"/>
        <w:spacing w:line="500" w:lineRule="exact"/>
        <w:rPr>
          <w:spacing w:val="-4"/>
          <w:sz w:val="24"/>
          <w:lang w:bidi="zh-CN"/>
        </w:rPr>
      </w:pPr>
      <w:r>
        <w:rPr>
          <w:rFonts w:hint="eastAsia"/>
          <w:spacing w:val="-4"/>
          <w:sz w:val="24"/>
          <w:lang w:bidi="zh-CN"/>
        </w:rPr>
        <w:t xml:space="preserve">2.实施范围：南京信息职业技术学院供水泵房</w:t>
      </w:r>
      <w:r/>
    </w:p>
    <w:p>
      <w:pPr>
        <w:ind w:firstLine="424"/>
        <w:spacing w:line="500" w:lineRule="exact"/>
        <w:rPr>
          <w:spacing w:val="-4"/>
          <w:sz w:val="24"/>
          <w:lang w:bidi="zh-CN"/>
        </w:rPr>
      </w:pPr>
      <w:r>
        <w:rPr>
          <w:rFonts w:hint="eastAsia"/>
          <w:spacing w:val="-4"/>
          <w:sz w:val="24"/>
          <w:lang w:val="en-US" w:bidi="zh-CN"/>
        </w:rPr>
        <w:t xml:space="preserve">3</w:t>
      </w:r>
      <w:r>
        <w:rPr>
          <w:rFonts w:hint="eastAsia"/>
          <w:spacing w:val="-4"/>
          <w:sz w:val="24"/>
          <w:lang w:bidi="zh-CN"/>
        </w:rPr>
        <w:t xml:space="preserve">.</w:t>
      </w:r>
      <w:r>
        <w:rPr>
          <w:rFonts w:hint="eastAsia"/>
          <w:spacing w:val="-4"/>
          <w:sz w:val="24"/>
          <w:lang w:val="en-US" w:bidi="zh-CN"/>
        </w:rPr>
        <w:t xml:space="preserve">供货及配套安装时间</w:t>
      </w:r>
      <w:r>
        <w:rPr>
          <w:rFonts w:hint="eastAsia"/>
          <w:spacing w:val="-4"/>
          <w:sz w:val="24"/>
          <w:lang w:bidi="zh-CN"/>
        </w:rPr>
        <w:t xml:space="preserve">：</w:t>
      </w:r>
      <w:r>
        <w:rPr>
          <w:rFonts w:hint="eastAsia"/>
          <w:spacing w:val="-4"/>
          <w:sz w:val="24"/>
          <w:lang w:val="en-US" w:bidi="zh-CN"/>
        </w:rPr>
        <w:t xml:space="preserve">自合同签订之日起</w:t>
      </w:r>
      <w:r>
        <w:rPr>
          <w:b/>
          <w:spacing w:val="-4"/>
          <w:sz w:val="24"/>
          <w:lang w:bidi="zh-CN"/>
        </w:rPr>
        <w:t xml:space="preserve">45天</w:t>
      </w:r>
      <w:r>
        <w:rPr>
          <w:rFonts w:hint="eastAsia"/>
          <w:spacing w:val="-4"/>
          <w:sz w:val="24"/>
          <w:lang w:bidi="zh-CN"/>
        </w:rPr>
        <w:t xml:space="preserve">。</w:t>
      </w:r>
      <w:r/>
    </w:p>
    <w:p>
      <w:pPr>
        <w:ind w:firstLine="424"/>
        <w:spacing w:line="500" w:lineRule="exact"/>
        <w:rPr>
          <w:spacing w:val="-4"/>
          <w:sz w:val="24"/>
          <w:lang w:bidi="zh-CN"/>
        </w:rPr>
      </w:pPr>
      <w:r>
        <w:rPr>
          <w:rFonts w:hint="eastAsia"/>
          <w:spacing w:val="-4"/>
          <w:sz w:val="24"/>
          <w:lang w:val="en-US" w:bidi="zh-CN"/>
        </w:rPr>
        <w:t xml:space="preserve">4</w:t>
      </w:r>
      <w:r>
        <w:rPr>
          <w:rFonts w:hint="eastAsia"/>
          <w:spacing w:val="-4"/>
          <w:sz w:val="24"/>
          <w:lang w:bidi="zh-CN"/>
        </w:rPr>
        <w:t xml:space="preserve">.质量标准：合格；</w:t>
      </w:r>
      <w:r>
        <w:rPr>
          <w:rFonts w:hint="eastAsia"/>
          <w:spacing w:val="-4"/>
          <w:sz w:val="24"/>
          <w:lang w:val="en-US" w:bidi="zh-CN"/>
        </w:rPr>
        <w:t xml:space="preserve">项目</w:t>
      </w:r>
      <w:r>
        <w:rPr>
          <w:rFonts w:hint="eastAsia"/>
          <w:spacing w:val="-4"/>
          <w:sz w:val="24"/>
          <w:lang w:bidi="zh-CN"/>
        </w:rPr>
        <w:t xml:space="preserve">整体验收主依据：GB50242、GB17051、GB50093 自动化仪表工程施工及质量验收规范；弱电综合布线配套参照GB/T50312-2016执行；同步执行72小时无故障连续运行测试，水质通过卫生监督部门检测符合 GB5749-2022。</w:t>
      </w:r>
      <w:r/>
    </w:p>
    <w:p>
      <w:pPr>
        <w:ind w:firstLine="425"/>
        <w:spacing w:line="500" w:lineRule="exact"/>
        <w:rPr>
          <w:b/>
          <w:bCs/>
          <w:spacing w:val="-4"/>
          <w:sz w:val="24"/>
          <w:lang w:bidi="zh-CN"/>
        </w:rPr>
      </w:pPr>
      <w:r>
        <w:rPr>
          <w:b/>
          <w:bCs/>
          <w:spacing w:val="-4"/>
          <w:sz w:val="24"/>
          <w:lang w:val="en-US" w:bidi="zh-CN"/>
        </w:rPr>
        <w:t xml:space="preserve">5</w:t>
      </w:r>
      <w:r>
        <w:rPr>
          <w:b/>
          <w:bCs/>
          <w:spacing w:val="-4"/>
          <w:sz w:val="24"/>
          <w:lang w:bidi="zh-CN"/>
        </w:rPr>
        <w:t xml:space="preserve">.中标人统一设计、采购、安装临时供水系统，保障</w:t>
      </w:r>
      <w:r>
        <w:rPr>
          <w:b/>
          <w:bCs/>
          <w:spacing w:val="-4"/>
          <w:sz w:val="24"/>
          <w:lang w:val="en-US" w:bidi="zh-CN"/>
        </w:rPr>
        <w:t xml:space="preserve">设备安装</w:t>
      </w:r>
      <w:r>
        <w:rPr>
          <w:b/>
          <w:bCs/>
          <w:spacing w:val="-4"/>
          <w:sz w:val="24"/>
          <w:lang w:bidi="zh-CN"/>
        </w:rPr>
        <w:t xml:space="preserve">施工期间全校全天候不间断供水，全部费用包干；校方配合提供市政接驳点位，协调校内用水调度；若因校方管网原有故障造成停水，免除中标人责任。</w:t>
      </w:r>
      <w:r/>
    </w:p>
    <w:p>
      <w:pPr>
        <w:spacing w:line="500" w:lineRule="exact"/>
        <w:rPr>
          <w:b/>
          <w:spacing w:val="-4"/>
          <w:sz w:val="24"/>
          <w:lang w:bidi="zh-CN"/>
        </w:rPr>
        <w:outlineLvl w:val="0"/>
      </w:pPr>
      <w:r>
        <w:rPr>
          <w:rFonts w:hint="eastAsia"/>
          <w:b/>
          <w:spacing w:val="-4"/>
          <w:sz w:val="24"/>
          <w:lang w:bidi="zh-CN"/>
        </w:rPr>
        <w:t xml:space="preserve">二、项目内容及</w:t>
      </w:r>
      <w:r>
        <w:rPr>
          <w:rFonts w:hint="eastAsia"/>
          <w:b/>
          <w:spacing w:val="-4"/>
          <w:sz w:val="24"/>
          <w:lang w:val="en-US" w:bidi="zh-CN"/>
        </w:rPr>
        <w:t xml:space="preserve">改造</w:t>
      </w:r>
      <w:r>
        <w:rPr>
          <w:rFonts w:hint="eastAsia"/>
          <w:b/>
          <w:spacing w:val="-4"/>
          <w:sz w:val="24"/>
          <w:lang w:bidi="zh-CN"/>
        </w:rPr>
        <w:t xml:space="preserve">要求</w:t>
      </w:r>
      <w:r/>
    </w:p>
    <w:p>
      <w:pPr>
        <w:ind w:firstLine="464"/>
        <w:spacing w:line="500" w:lineRule="exact"/>
        <w:rPr>
          <w:b/>
          <w:bCs/>
          <w:spacing w:val="-4"/>
          <w:sz w:val="24"/>
          <w:lang w:bidi="zh-CN"/>
        </w:rPr>
      </w:pPr>
      <w:r>
        <w:rPr>
          <w:rFonts w:hint="eastAsia"/>
          <w:b/>
          <w:bCs/>
          <w:spacing w:val="-4"/>
          <w:sz w:val="24"/>
          <w:lang w:bidi="zh-CN"/>
        </w:rPr>
        <w:t xml:space="preserve">（一）</w:t>
      </w:r>
      <w:r>
        <w:rPr>
          <w:b/>
          <w:bCs/>
          <w:spacing w:val="-4"/>
          <w:sz w:val="24"/>
          <w:lang w:bidi="zh-CN"/>
        </w:rPr>
        <w:t xml:space="preserve">供水系统改造</w:t>
      </w:r>
      <w:r/>
    </w:p>
    <w:p>
      <w:pPr>
        <w:ind w:firstLine="464"/>
        <w:spacing w:line="500" w:lineRule="exact"/>
        <w:rPr>
          <w:b/>
          <w:bCs/>
          <w:spacing w:val="-4"/>
          <w:sz w:val="24"/>
          <w:lang w:bidi="zh-CN"/>
        </w:rPr>
      </w:pPr>
      <w:r>
        <w:rPr>
          <w:rFonts w:hint="eastAsia"/>
          <w:b/>
          <w:bCs/>
          <w:spacing w:val="-4"/>
          <w:sz w:val="24"/>
          <w:lang w:bidi="zh-CN"/>
        </w:rPr>
        <w:t xml:space="preserve">★1、水泵配置（能效等级不低于GB18613-2020《电动机能效限定值及能效等级》规定的2级能效要求）</w:t>
      </w:r>
      <w:r/>
    </w:p>
    <w:p>
      <w:pPr>
        <w:ind w:firstLine="464"/>
        <w:spacing w:line="500" w:lineRule="exact"/>
        <w:rPr>
          <w:spacing w:val="-4"/>
          <w:sz w:val="24"/>
          <w:lang w:bidi="zh-CN"/>
        </w:rPr>
      </w:pPr>
      <w:r>
        <w:rPr>
          <w:rFonts w:hint="eastAsia"/>
          <w:spacing w:val="-4"/>
          <w:sz w:val="24"/>
          <w:lang w:bidi="zh-CN"/>
        </w:rPr>
        <w:t xml:space="preserve">单台泵参数：Q≥170m3/h，H≥40m，合计配3台泵；</w:t>
      </w:r>
      <w:r/>
    </w:p>
    <w:p>
      <w:pPr>
        <w:ind w:firstLine="464"/>
        <w:spacing w:line="500" w:lineRule="exact"/>
        <w:rPr>
          <w:b/>
          <w:bCs/>
          <w:spacing w:val="-4"/>
          <w:sz w:val="24"/>
          <w:lang w:bidi="zh-CN"/>
        </w:rPr>
      </w:pPr>
      <w:r>
        <w:rPr>
          <w:rFonts w:hint="eastAsia"/>
          <w:b/>
          <w:bCs/>
          <w:spacing w:val="-4"/>
          <w:sz w:val="24"/>
          <w:lang w:bidi="zh-CN"/>
        </w:rPr>
        <w:t xml:space="preserve">★2、变频控制系统</w:t>
      </w:r>
      <w:r/>
    </w:p>
    <w:p>
      <w:pPr>
        <w:ind w:firstLine="464"/>
        <w:spacing w:line="500" w:lineRule="exact"/>
        <w:rPr>
          <w:spacing w:val="-4"/>
          <w:sz w:val="24"/>
          <w:lang w:bidi="zh-CN"/>
        </w:rPr>
      </w:pPr>
      <w:r>
        <w:rPr>
          <w:rFonts w:hint="eastAsia"/>
          <w:spacing w:val="-4"/>
          <w:sz w:val="24"/>
          <w:lang w:bidi="zh-CN"/>
        </w:rPr>
        <w:t xml:space="preserve">1）PLC+物联网模块（支持手机APP监控），带有远程监测（流量、压力、水质实时数据），漏损报警，能耗管理；2）（一泵一变频控制）实现恒压供水，具备休眠唤醒功能。</w:t>
      </w:r>
      <w:r/>
    </w:p>
    <w:p>
      <w:pPr>
        <w:ind w:firstLine="464"/>
        <w:spacing w:line="500" w:lineRule="exact"/>
        <w:rPr>
          <w:b/>
          <w:bCs/>
          <w:spacing w:val="-4"/>
          <w:sz w:val="24"/>
          <w:lang w:bidi="zh-CN"/>
        </w:rPr>
      </w:pPr>
      <w:r>
        <w:rPr>
          <w:rFonts w:hint="eastAsia"/>
          <w:b/>
          <w:bCs/>
          <w:spacing w:val="-4"/>
          <w:sz w:val="24"/>
          <w:lang w:bidi="zh-CN"/>
        </w:rPr>
        <w:t xml:space="preserve">3、管路系统</w:t>
      </w:r>
      <w:r/>
    </w:p>
    <w:p>
      <w:pPr>
        <w:ind w:firstLine="464"/>
        <w:spacing w:line="500" w:lineRule="exact"/>
        <w:rPr>
          <w:spacing w:val="-4"/>
          <w:sz w:val="24"/>
          <w:lang w:bidi="zh-CN"/>
        </w:rPr>
      </w:pPr>
      <w:r>
        <w:rPr>
          <w:rFonts w:hint="eastAsia"/>
          <w:spacing w:val="-4"/>
          <w:sz w:val="24"/>
          <w:lang w:bidi="zh-CN"/>
        </w:rPr>
        <w:t xml:space="preserve">1）明露主管道采用304不锈钢管；2）设置止回阀、Y型过滤器等保护装置；3）主管道管路范围主要指</w:t>
      </w:r>
      <w:r>
        <w:rPr>
          <w:rFonts w:hint="eastAsia"/>
          <w:spacing w:val="-4"/>
          <w:sz w:val="24"/>
          <w:lang w:val="en-US" w:bidi="zh-CN"/>
        </w:rPr>
        <w:t xml:space="preserve">泵房</w:t>
      </w:r>
      <w:r>
        <w:rPr>
          <w:rFonts w:hint="eastAsia"/>
          <w:spacing w:val="-4"/>
          <w:sz w:val="24"/>
          <w:lang w:bidi="zh-CN"/>
        </w:rPr>
        <w:t xml:space="preserve">内进水管道和出水管道。</w:t>
      </w:r>
      <w:r/>
    </w:p>
    <w:p>
      <w:pPr>
        <w:ind w:firstLine="464"/>
        <w:spacing w:line="500" w:lineRule="exact"/>
        <w:rPr>
          <w:b/>
          <w:bCs/>
          <w:spacing w:val="-4"/>
          <w:sz w:val="24"/>
          <w:lang w:bidi="zh-CN"/>
        </w:rPr>
      </w:pPr>
      <w:r>
        <w:rPr>
          <w:rFonts w:hint="eastAsia"/>
          <w:b/>
          <w:bCs/>
          <w:spacing w:val="-4"/>
          <w:sz w:val="24"/>
          <w:lang w:bidi="zh-CN"/>
        </w:rPr>
        <w:t xml:space="preserve">（二）电气与自控系统</w:t>
      </w:r>
      <w:r/>
    </w:p>
    <w:p>
      <w:pPr>
        <w:ind w:firstLine="464"/>
        <w:spacing w:line="500" w:lineRule="exact"/>
        <w:rPr>
          <w:b/>
          <w:bCs/>
          <w:spacing w:val="-4"/>
          <w:sz w:val="24"/>
          <w:lang w:bidi="zh-CN"/>
        </w:rPr>
      </w:pPr>
      <w:r>
        <w:rPr>
          <w:rFonts w:hint="eastAsia"/>
          <w:b/>
          <w:bCs/>
          <w:spacing w:val="-4"/>
          <w:sz w:val="24"/>
          <w:lang w:bidi="zh-CN"/>
        </w:rPr>
        <w:t xml:space="preserve">1、配电系统改造</w:t>
      </w:r>
      <w:r/>
    </w:p>
    <w:p>
      <w:pPr>
        <w:ind w:firstLine="464"/>
        <w:spacing w:line="500" w:lineRule="exact"/>
        <w:rPr>
          <w:b/>
          <w:bCs/>
          <w:spacing w:val="-4"/>
          <w:sz w:val="24"/>
          <w:lang w:bidi="zh-CN"/>
        </w:rPr>
      </w:pPr>
      <w:r>
        <w:rPr>
          <w:rFonts w:hint="eastAsia"/>
          <w:spacing w:val="-4"/>
          <w:sz w:val="24"/>
          <w:lang w:bidi="zh-CN"/>
        </w:rPr>
        <w:t xml:space="preserve">1）现状配电柜换新（包括开关及元器件等）；</w:t>
      </w:r>
      <w:r/>
    </w:p>
    <w:p>
      <w:pPr>
        <w:ind w:firstLine="464"/>
        <w:spacing w:line="500" w:lineRule="exact"/>
        <w:rPr>
          <w:b/>
          <w:bCs/>
          <w:spacing w:val="-4"/>
          <w:sz w:val="24"/>
          <w:lang w:bidi="zh-CN"/>
        </w:rPr>
      </w:pPr>
      <w:r>
        <w:rPr>
          <w:rFonts w:hint="eastAsia"/>
          <w:b/>
          <w:bCs/>
          <w:spacing w:val="-4"/>
          <w:sz w:val="24"/>
          <w:lang w:bidi="zh-CN"/>
        </w:rPr>
        <w:t xml:space="preserve">2、自动化控制系统</w:t>
      </w:r>
      <w:r/>
    </w:p>
    <w:p>
      <w:pPr>
        <w:ind w:firstLine="464"/>
        <w:spacing w:line="500" w:lineRule="exact"/>
        <w:rPr>
          <w:spacing w:val="-4"/>
          <w:sz w:val="24"/>
          <w:lang w:bidi="zh-CN"/>
        </w:rPr>
      </w:pPr>
      <w:r>
        <w:rPr>
          <w:rFonts w:hint="eastAsia"/>
          <w:spacing w:val="-4"/>
          <w:sz w:val="24"/>
          <w:lang w:bidi="zh-CN"/>
        </w:rPr>
        <w:t xml:space="preserve">1）PLC需支持IEC 61131-3编程标准，配置数字量/模拟量输入输出模块；2.编程实现功能：水泵自动轮换、故障自动切换、压力自动调节、水位自动控制等。</w:t>
      </w:r>
      <w:r/>
    </w:p>
    <w:p>
      <w:pPr>
        <w:ind w:firstLine="464"/>
        <w:spacing w:line="500" w:lineRule="exact"/>
        <w:rPr>
          <w:spacing w:val="-4"/>
          <w:sz w:val="24"/>
          <w:lang w:bidi="zh-CN"/>
        </w:rPr>
      </w:pPr>
      <w:r>
        <w:rPr>
          <w:rFonts w:hint="eastAsia"/>
          <w:spacing w:val="-4"/>
          <w:sz w:val="24"/>
          <w:lang w:bidi="zh-CN"/>
        </w:rPr>
        <w:t xml:space="preserve">整套自控平台、物联网系统提供标准MQTT/OPC UA对接协议，免费开放API接口（即系统接口免费开放，新系统可直接对接原系统），兼容学校现有智慧校园平台，免费完成数据对接调试，费用含在总价内。整体要求需按照学校软件系统公共技术需求执行。</w:t>
      </w:r>
      <w:r/>
    </w:p>
    <w:p>
      <w:pPr>
        <w:ind w:firstLine="464"/>
        <w:spacing w:line="500" w:lineRule="exact"/>
        <w:rPr>
          <w:b/>
          <w:bCs/>
          <w:spacing w:val="-4"/>
          <w:sz w:val="24"/>
          <w:lang w:bidi="zh-CN"/>
        </w:rPr>
      </w:pPr>
      <w:r>
        <w:rPr>
          <w:rFonts w:hint="eastAsia"/>
          <w:b/>
          <w:bCs/>
          <w:spacing w:val="-4"/>
          <w:sz w:val="24"/>
          <w:lang w:bidi="zh-CN"/>
        </w:rPr>
        <w:t xml:space="preserve">3、传感器网络</w:t>
      </w:r>
      <w:r/>
    </w:p>
    <w:p>
      <w:pPr>
        <w:ind w:firstLine="464"/>
        <w:spacing w:line="500" w:lineRule="exact"/>
        <w:rPr>
          <w:spacing w:val="-4"/>
          <w:sz w:val="24"/>
          <w:lang w:bidi="zh-CN"/>
        </w:rPr>
      </w:pPr>
      <w:r>
        <w:rPr>
          <w:rFonts w:hint="eastAsia"/>
          <w:spacing w:val="-4"/>
          <w:sz w:val="24"/>
          <w:lang w:bidi="zh-CN"/>
        </w:rPr>
        <w:t xml:space="preserve">1）具备功能：压力传感器、液位传感器、流量计、泵房出水水质（余氯、浊度）监测。</w:t>
      </w:r>
      <w:r/>
    </w:p>
    <w:p>
      <w:pPr>
        <w:ind w:firstLine="464"/>
        <w:spacing w:line="500" w:lineRule="exact"/>
        <w:rPr>
          <w:b/>
          <w:bCs/>
          <w:spacing w:val="-4"/>
          <w:sz w:val="24"/>
          <w:lang w:bidi="zh-CN"/>
        </w:rPr>
      </w:pPr>
      <w:r>
        <w:rPr>
          <w:rFonts w:hint="eastAsia"/>
          <w:b/>
          <w:bCs/>
          <w:spacing w:val="-4"/>
          <w:sz w:val="24"/>
          <w:lang w:bidi="zh-CN"/>
        </w:rPr>
        <w:t xml:space="preserve">4、人机界面</w:t>
      </w:r>
      <w:r/>
    </w:p>
    <w:p>
      <w:pPr>
        <w:ind w:firstLine="464"/>
        <w:spacing w:line="500" w:lineRule="exact"/>
        <w:rPr>
          <w:spacing w:val="-4"/>
          <w:sz w:val="24"/>
          <w:lang w:bidi="zh-CN"/>
        </w:rPr>
      </w:pPr>
      <w:r>
        <w:rPr>
          <w:rFonts w:hint="eastAsia"/>
          <w:spacing w:val="-4"/>
          <w:sz w:val="24"/>
          <w:lang w:bidi="zh-CN"/>
        </w:rPr>
        <w:t xml:space="preserve">1）设置彩色触摸屏，显示系统运行状态；2）设置操作权限管理，防止误操作。</w:t>
      </w:r>
      <w:r/>
    </w:p>
    <w:p>
      <w:pPr>
        <w:ind w:firstLine="464"/>
        <w:spacing w:line="500" w:lineRule="exact"/>
        <w:rPr>
          <w:b/>
          <w:bCs/>
          <w:spacing w:val="-4"/>
          <w:sz w:val="24"/>
          <w:lang w:bidi="zh-CN"/>
        </w:rPr>
      </w:pPr>
      <w:r>
        <w:rPr>
          <w:rFonts w:hint="eastAsia"/>
          <w:b/>
          <w:bCs/>
          <w:spacing w:val="-4"/>
          <w:sz w:val="24"/>
          <w:lang w:bidi="zh-CN"/>
        </w:rPr>
        <w:t xml:space="preserve">（三）远程监控</w:t>
      </w:r>
      <w:r/>
    </w:p>
    <w:p>
      <w:pPr>
        <w:ind w:firstLine="464"/>
        <w:spacing w:line="500" w:lineRule="exact"/>
        <w:rPr>
          <w:b/>
          <w:bCs/>
          <w:spacing w:val="-4"/>
          <w:sz w:val="24"/>
          <w:lang w:bidi="zh-CN"/>
        </w:rPr>
      </w:pPr>
      <w:r>
        <w:rPr>
          <w:rFonts w:hint="eastAsia"/>
          <w:b/>
          <w:bCs/>
          <w:spacing w:val="-4"/>
          <w:sz w:val="24"/>
          <w:lang w:bidi="zh-CN"/>
        </w:rPr>
        <w:t xml:space="preserve">1、监控中心硬件</w:t>
      </w:r>
      <w:r/>
    </w:p>
    <w:p>
      <w:pPr>
        <w:ind w:firstLine="464"/>
        <w:spacing w:line="500" w:lineRule="exact"/>
        <w:rPr>
          <w:spacing w:val="-4"/>
          <w:sz w:val="24"/>
          <w:lang w:bidi="zh-CN"/>
        </w:rPr>
      </w:pPr>
      <w:r>
        <w:rPr>
          <w:rFonts w:hint="eastAsia"/>
          <w:spacing w:val="-4"/>
          <w:sz w:val="24"/>
          <w:lang w:bidi="zh-CN"/>
        </w:rPr>
        <w:t xml:space="preserve">1）机柜网关等；2）屏幕显示系统；3）网络通信设备。</w:t>
      </w:r>
      <w:r/>
    </w:p>
    <w:p>
      <w:pPr>
        <w:ind w:firstLine="464"/>
        <w:spacing w:line="500" w:lineRule="exact"/>
        <w:rPr>
          <w:b/>
          <w:bCs/>
          <w:spacing w:val="-4"/>
          <w:sz w:val="24"/>
          <w:lang w:bidi="zh-CN"/>
        </w:rPr>
      </w:pPr>
      <w:r>
        <w:rPr>
          <w:rFonts w:hint="eastAsia"/>
          <w:b/>
          <w:bCs/>
          <w:spacing w:val="-4"/>
          <w:sz w:val="24"/>
          <w:lang w:bidi="zh-CN"/>
        </w:rPr>
        <w:t xml:space="preserve">2、软件系统</w:t>
      </w:r>
      <w:r/>
    </w:p>
    <w:p>
      <w:pPr>
        <w:ind w:firstLine="464"/>
        <w:spacing w:line="500" w:lineRule="exact"/>
        <w:rPr>
          <w:spacing w:val="-4"/>
          <w:sz w:val="24"/>
          <w:lang w:bidi="zh-CN"/>
        </w:rPr>
      </w:pPr>
      <w:r>
        <w:rPr>
          <w:rFonts w:hint="eastAsia"/>
          <w:spacing w:val="-4"/>
          <w:sz w:val="24"/>
          <w:lang w:bidi="zh-CN"/>
        </w:rPr>
        <w:t xml:space="preserve">1）实时数据监测；2）历史数据存储与查询；3）报警记录与管理；4）报表自动生成；5）远程控制功能。</w:t>
      </w:r>
      <w:r/>
    </w:p>
    <w:p>
      <w:pPr>
        <w:ind w:firstLine="464"/>
        <w:spacing w:line="500" w:lineRule="exact"/>
        <w:rPr>
          <w:b/>
          <w:bCs/>
          <w:spacing w:val="-4"/>
          <w:sz w:val="24"/>
          <w:lang w:bidi="zh-CN"/>
        </w:rPr>
      </w:pPr>
      <w:r>
        <w:rPr>
          <w:rFonts w:hint="eastAsia"/>
          <w:b/>
          <w:bCs/>
          <w:spacing w:val="-4"/>
          <w:sz w:val="24"/>
          <w:lang w:bidi="zh-CN"/>
        </w:rPr>
        <w:t xml:space="preserve">3、通讯网络</w:t>
      </w:r>
      <w:r/>
    </w:p>
    <w:p>
      <w:pPr>
        <w:ind w:firstLine="464"/>
        <w:spacing w:line="500" w:lineRule="exact"/>
        <w:rPr>
          <w:spacing w:val="-4"/>
          <w:sz w:val="24"/>
          <w:lang w:bidi="zh-CN"/>
        </w:rPr>
      </w:pPr>
      <w:r>
        <w:rPr>
          <w:rFonts w:hint="eastAsia"/>
          <w:spacing w:val="-4"/>
          <w:sz w:val="24"/>
          <w:lang w:bidi="zh-CN"/>
        </w:rPr>
        <w:t xml:space="preserve">1）采用有线网络为主；2）配置工业级路由器，确保通信稳定；3）数据加密传输，保障系统安全。</w:t>
      </w:r>
      <w:r/>
    </w:p>
    <w:p>
      <w:pPr>
        <w:ind w:firstLine="464"/>
        <w:spacing w:line="500" w:lineRule="exact"/>
        <w:rPr>
          <w:b/>
          <w:bCs/>
          <w:spacing w:val="-4"/>
          <w:sz w:val="24"/>
          <w:lang w:bidi="zh-CN"/>
        </w:rPr>
      </w:pPr>
      <w:r>
        <w:rPr>
          <w:rFonts w:hint="eastAsia"/>
          <w:b/>
          <w:bCs/>
          <w:spacing w:val="-4"/>
          <w:sz w:val="24"/>
          <w:lang w:bidi="zh-CN"/>
        </w:rPr>
        <w:t xml:space="preserve">4、安防系统</w:t>
      </w:r>
      <w:r/>
    </w:p>
    <w:p>
      <w:pPr>
        <w:ind w:firstLine="464"/>
        <w:spacing w:line="500" w:lineRule="exact"/>
        <w:rPr>
          <w:spacing w:val="-4"/>
          <w:sz w:val="24"/>
          <w:lang w:bidi="zh-CN"/>
        </w:rPr>
      </w:pPr>
      <w:r>
        <w:rPr>
          <w:rFonts w:hint="eastAsia"/>
          <w:spacing w:val="-4"/>
          <w:sz w:val="24"/>
          <w:lang w:bidi="zh-CN"/>
        </w:rPr>
        <w:t xml:space="preserve">1）视频监控；2）门禁系统（密码锁）；3）入侵系统；4）环境监测（水浸）；5）远程监控系统需符合网络安全等级保护。</w:t>
      </w:r>
      <w:r/>
    </w:p>
    <w:p>
      <w:pPr>
        <w:ind w:firstLine="464"/>
        <w:spacing w:line="500" w:lineRule="exact"/>
        <w:rPr>
          <w:b/>
          <w:bCs/>
          <w:spacing w:val="-4"/>
          <w:sz w:val="24"/>
          <w:lang w:bidi="zh-CN"/>
        </w:rPr>
      </w:pPr>
      <w:r>
        <w:rPr>
          <w:rFonts w:hint="eastAsia"/>
          <w:b/>
          <w:bCs/>
          <w:spacing w:val="-4"/>
          <w:sz w:val="24"/>
          <w:lang w:bidi="zh-CN"/>
        </w:rPr>
        <w:t xml:space="preserve">（四）</w:t>
      </w:r>
      <w:r>
        <w:rPr>
          <w:rFonts w:hint="eastAsia"/>
          <w:b/>
          <w:bCs/>
          <w:spacing w:val="-4"/>
          <w:sz w:val="24"/>
          <w:lang w:val="en-US" w:bidi="zh-CN"/>
        </w:rPr>
        <w:t xml:space="preserve">配套</w:t>
      </w:r>
      <w:r>
        <w:rPr>
          <w:rFonts w:hint="eastAsia"/>
          <w:b/>
          <w:bCs/>
          <w:spacing w:val="-4"/>
          <w:sz w:val="24"/>
          <w:lang w:bidi="zh-CN"/>
        </w:rPr>
        <w:t xml:space="preserve">内部装饰</w:t>
      </w:r>
      <w:r/>
    </w:p>
    <w:p>
      <w:pPr>
        <w:ind w:firstLine="464"/>
        <w:spacing w:line="500" w:lineRule="exact"/>
        <w:rPr>
          <w:b/>
          <w:bCs/>
          <w:spacing w:val="-4"/>
          <w:sz w:val="24"/>
          <w:lang w:bidi="zh-CN"/>
        </w:rPr>
      </w:pPr>
      <w:r>
        <w:rPr>
          <w:rFonts w:hint="eastAsia"/>
          <w:b/>
          <w:bCs/>
          <w:spacing w:val="-4"/>
          <w:sz w:val="24"/>
          <w:lang w:bidi="zh-CN"/>
        </w:rPr>
        <w:t xml:space="preserve">1、墙体、地面</w:t>
      </w:r>
      <w:r/>
    </w:p>
    <w:p>
      <w:pPr>
        <w:ind w:firstLine="464"/>
        <w:spacing w:line="500" w:lineRule="exact"/>
        <w:rPr>
          <w:spacing w:val="-4"/>
          <w:sz w:val="24"/>
          <w:lang w:bidi="zh-CN"/>
        </w:rPr>
      </w:pPr>
      <w:r>
        <w:rPr>
          <w:rFonts w:hint="eastAsia"/>
          <w:spacing w:val="-4"/>
          <w:sz w:val="24"/>
          <w:lang w:bidi="zh-CN"/>
        </w:rPr>
        <w:t xml:space="preserve">1）墙面应选用符合环保要求、易清洁的材料铺砌或涂覆，内墙采用瓷砖贴面，地下设备间地砖满贴，内墙墙砖高度自室内地坪起，贴至与钢结构连廊扶手持平，如采用隔音板应自瓷砖贴面以上安装；</w:t>
      </w:r>
      <w:r>
        <w:rPr>
          <w:spacing w:val="-4"/>
          <w:sz w:val="24"/>
          <w:lang w:bidi="zh-CN"/>
        </w:rPr>
        <w:t xml:space="preserve">地下泵房的防水等级不应低于二级；地上控制间墙地砖满贴。</w:t>
      </w:r>
      <w:r/>
    </w:p>
    <w:p>
      <w:pPr>
        <w:ind w:firstLine="464"/>
        <w:spacing w:line="500" w:lineRule="exact"/>
        <w:rPr>
          <w:spacing w:val="-4"/>
          <w:sz w:val="24"/>
          <w:lang w:bidi="zh-CN"/>
        </w:rPr>
      </w:pPr>
      <w:r>
        <w:rPr>
          <w:rFonts w:hint="eastAsia"/>
          <w:spacing w:val="-4"/>
          <w:sz w:val="24"/>
          <w:lang w:bidi="zh-CN"/>
        </w:rPr>
        <w:t xml:space="preserve">2）地面应符合《建筑地面设计规范》GB 50037及 《建筑地面工程施工质量验收规范》GB 50209的规定。</w:t>
      </w:r>
      <w:r/>
    </w:p>
    <w:p>
      <w:pPr>
        <w:ind w:firstLine="464"/>
        <w:spacing w:line="500" w:lineRule="exact"/>
        <w:rPr>
          <w:b/>
          <w:bCs/>
          <w:spacing w:val="-4"/>
          <w:sz w:val="24"/>
          <w:lang w:bidi="zh-CN"/>
        </w:rPr>
      </w:pPr>
      <w:r>
        <w:rPr>
          <w:rFonts w:hint="eastAsia"/>
          <w:b/>
          <w:bCs/>
          <w:spacing w:val="-4"/>
          <w:sz w:val="24"/>
          <w:lang w:bidi="zh-CN"/>
        </w:rPr>
        <w:t xml:space="preserve">2、门窗、通风、照明</w:t>
      </w:r>
      <w:r/>
    </w:p>
    <w:p>
      <w:pPr>
        <w:ind w:firstLine="464"/>
        <w:spacing w:line="500" w:lineRule="exact"/>
        <w:rPr>
          <w:spacing w:val="-4"/>
          <w:sz w:val="24"/>
          <w:lang w:bidi="zh-CN"/>
        </w:rPr>
      </w:pPr>
      <w:r>
        <w:rPr>
          <w:rFonts w:hint="eastAsia"/>
          <w:spacing w:val="-4"/>
          <w:sz w:val="24"/>
          <w:lang w:bidi="zh-CN"/>
        </w:rPr>
        <w:t xml:space="preserve">1）泵房出入口应从公共通道直接进入，宜采用双扇外开门,尺寸应满足搬运最大设备的需要，泵房门应满足防火防盗要求；</w:t>
      </w:r>
      <w:r/>
    </w:p>
    <w:p>
      <w:pPr>
        <w:ind w:firstLine="464"/>
        <w:spacing w:line="500" w:lineRule="exact"/>
        <w:rPr>
          <w:spacing w:val="-4"/>
          <w:sz w:val="24"/>
          <w:lang w:bidi="zh-CN"/>
        </w:rPr>
      </w:pPr>
      <w:r>
        <w:rPr>
          <w:rFonts w:hint="eastAsia"/>
          <w:spacing w:val="-4"/>
          <w:sz w:val="24"/>
          <w:lang w:bidi="zh-CN"/>
        </w:rPr>
        <w:t xml:space="preserve">2）泵房外门窗抗风压性能分级不宜低于国家标准《建筑幕墙、门窗通用技术条件》GB/T 31433的4级，气密性能分级不宜低于6级，水密性能分级不宜低于3级；</w:t>
      </w:r>
      <w:r/>
    </w:p>
    <w:p>
      <w:pPr>
        <w:ind w:firstLine="464"/>
        <w:spacing w:line="500" w:lineRule="exact"/>
        <w:rPr>
          <w:spacing w:val="-4"/>
          <w:sz w:val="24"/>
          <w:lang w:bidi="zh-CN"/>
        </w:rPr>
      </w:pPr>
      <w:r>
        <w:rPr>
          <w:rFonts w:hint="eastAsia"/>
          <w:spacing w:val="-4"/>
          <w:sz w:val="24"/>
          <w:lang w:bidi="zh-CN"/>
        </w:rPr>
        <w:t xml:space="preserve">3）泵房门窗孔洞应设置防止蝇，鼠等进入的措施；</w:t>
      </w:r>
      <w:r/>
    </w:p>
    <w:p>
      <w:pPr>
        <w:ind w:firstLine="464"/>
        <w:spacing w:line="500" w:lineRule="exact"/>
        <w:rPr>
          <w:spacing w:val="-4"/>
          <w:sz w:val="24"/>
          <w:lang w:bidi="zh-CN"/>
        </w:rPr>
      </w:pPr>
      <w:r>
        <w:rPr>
          <w:rFonts w:hint="eastAsia"/>
          <w:spacing w:val="-4"/>
          <w:sz w:val="24"/>
          <w:lang w:bidi="zh-CN"/>
        </w:rPr>
        <w:t xml:space="preserve">4）泵房应设置通风装置，保证房间内通风良好；</w:t>
      </w:r>
      <w:r/>
    </w:p>
    <w:p>
      <w:pPr>
        <w:ind w:firstLine="464"/>
        <w:spacing w:line="500" w:lineRule="exact"/>
        <w:rPr>
          <w:spacing w:val="-4"/>
          <w:sz w:val="24"/>
          <w:lang w:bidi="zh-CN"/>
        </w:rPr>
      </w:pPr>
      <w:r>
        <w:rPr>
          <w:rFonts w:hint="eastAsia"/>
          <w:spacing w:val="-4"/>
          <w:sz w:val="24"/>
          <w:lang w:bidi="zh-CN"/>
        </w:rPr>
        <w:t xml:space="preserve">5）泵房窗户及通风孔应设防护格栅；</w:t>
      </w:r>
      <w:r/>
    </w:p>
    <w:p>
      <w:pPr>
        <w:ind w:firstLine="464"/>
        <w:spacing w:line="500" w:lineRule="exact"/>
        <w:rPr>
          <w:spacing w:val="-4"/>
          <w:sz w:val="24"/>
          <w:lang w:bidi="zh-CN"/>
        </w:rPr>
      </w:pPr>
      <w:r>
        <w:rPr>
          <w:rFonts w:hint="eastAsia"/>
          <w:spacing w:val="-4"/>
          <w:sz w:val="24"/>
          <w:lang w:bidi="zh-CN"/>
        </w:rPr>
        <w:t xml:space="preserve">6）泵房内部照明系统应符合现行国家标准《建筑照明设计标准》GB 50034的规定。</w:t>
      </w:r>
      <w:r/>
    </w:p>
    <w:p>
      <w:pPr>
        <w:ind w:firstLine="464"/>
        <w:spacing w:line="500" w:lineRule="exact"/>
        <w:rPr>
          <w:b/>
          <w:bCs/>
          <w:spacing w:val="-4"/>
          <w:sz w:val="24"/>
          <w:lang w:bidi="zh-CN"/>
        </w:rPr>
      </w:pPr>
      <w:r>
        <w:rPr>
          <w:rFonts w:hint="eastAsia"/>
          <w:b/>
          <w:bCs/>
          <w:spacing w:val="-4"/>
          <w:sz w:val="24"/>
          <w:lang w:bidi="zh-CN"/>
        </w:rPr>
        <w:t xml:space="preserve">3、室内装饰应满足《二次供水设施卫生规范》GB 17051相关规定。装饰效果需在设计方案中体现</w:t>
      </w:r>
      <w:r/>
    </w:p>
    <w:p>
      <w:pPr>
        <w:ind w:firstLine="464"/>
        <w:spacing w:line="500" w:lineRule="exact"/>
        <w:rPr>
          <w:b/>
          <w:bCs/>
          <w:spacing w:val="-4"/>
          <w:sz w:val="24"/>
          <w:lang w:bidi="zh-CN"/>
        </w:rPr>
      </w:pPr>
      <w:r>
        <w:rPr>
          <w:rFonts w:hint="eastAsia"/>
          <w:b/>
          <w:bCs/>
          <w:spacing w:val="-4"/>
          <w:sz w:val="24"/>
          <w:lang w:bidi="zh-CN"/>
        </w:rPr>
        <w:t xml:space="preserve">（五）节能与环保措施</w:t>
      </w:r>
      <w:r/>
    </w:p>
    <w:p>
      <w:pPr>
        <w:ind w:firstLine="464"/>
        <w:spacing w:line="500" w:lineRule="exact"/>
        <w:rPr>
          <w:b/>
          <w:bCs/>
          <w:spacing w:val="-4"/>
          <w:sz w:val="24"/>
          <w:lang w:bidi="zh-CN"/>
        </w:rPr>
      </w:pPr>
      <w:r>
        <w:rPr>
          <w:rFonts w:hint="eastAsia"/>
          <w:b/>
          <w:bCs/>
          <w:spacing w:val="-4"/>
          <w:sz w:val="24"/>
          <w:lang w:bidi="zh-CN"/>
        </w:rPr>
        <w:t xml:space="preserve">1、节能设计</w:t>
      </w:r>
      <w:r/>
    </w:p>
    <w:p>
      <w:pPr>
        <w:ind w:firstLine="464"/>
        <w:spacing w:line="500" w:lineRule="exact"/>
        <w:rPr>
          <w:spacing w:val="-4"/>
          <w:sz w:val="24"/>
          <w:lang w:bidi="zh-CN"/>
        </w:rPr>
      </w:pPr>
      <w:r>
        <w:rPr>
          <w:rFonts w:hint="eastAsia"/>
          <w:spacing w:val="-4"/>
          <w:sz w:val="24"/>
          <w:lang w:bidi="zh-CN"/>
        </w:rPr>
        <w:t xml:space="preserve">1）采用高效节能水泵，效率≥85%；</w:t>
      </w:r>
      <w:r/>
    </w:p>
    <w:p>
      <w:pPr>
        <w:ind w:firstLine="464"/>
        <w:spacing w:line="500" w:lineRule="exact"/>
        <w:rPr>
          <w:spacing w:val="-4"/>
          <w:sz w:val="24"/>
          <w:lang w:bidi="zh-CN"/>
        </w:rPr>
      </w:pPr>
      <w:r>
        <w:rPr>
          <w:rFonts w:hint="eastAsia"/>
          <w:spacing w:val="-4"/>
          <w:sz w:val="24"/>
          <w:lang w:bidi="zh-CN"/>
        </w:rPr>
        <w:t xml:space="preserve">2）合理的管路设计，减少水力损失；</w:t>
      </w:r>
      <w:r/>
    </w:p>
    <w:p>
      <w:pPr>
        <w:ind w:firstLine="464"/>
        <w:spacing w:line="500" w:lineRule="exact"/>
        <w:rPr>
          <w:spacing w:val="-4"/>
          <w:sz w:val="24"/>
          <w:lang w:bidi="zh-CN"/>
        </w:rPr>
      </w:pPr>
      <w:r>
        <w:rPr>
          <w:rFonts w:hint="eastAsia"/>
          <w:spacing w:val="-4"/>
          <w:sz w:val="24"/>
          <w:lang w:bidi="zh-CN"/>
        </w:rPr>
        <w:t xml:space="preserve">3）智能休眠功能，降低空载损耗。</w:t>
      </w:r>
      <w:r/>
    </w:p>
    <w:p>
      <w:pPr>
        <w:ind w:firstLine="464"/>
        <w:spacing w:line="500" w:lineRule="exact"/>
        <w:rPr>
          <w:b/>
          <w:bCs/>
          <w:spacing w:val="-4"/>
          <w:sz w:val="24"/>
          <w:lang w:bidi="zh-CN"/>
        </w:rPr>
      </w:pPr>
      <w:r>
        <w:rPr>
          <w:rFonts w:hint="eastAsia"/>
          <w:b/>
          <w:bCs/>
          <w:spacing w:val="-4"/>
          <w:sz w:val="24"/>
          <w:lang w:bidi="zh-CN"/>
        </w:rPr>
        <w:t xml:space="preserve">2、环保措施</w:t>
      </w:r>
      <w:r/>
    </w:p>
    <w:p>
      <w:pPr>
        <w:ind w:firstLine="464"/>
        <w:spacing w:line="500" w:lineRule="exact"/>
        <w:rPr>
          <w:spacing w:val="-4"/>
          <w:sz w:val="24"/>
          <w:lang w:bidi="zh-CN"/>
        </w:rPr>
      </w:pPr>
      <w:r>
        <w:rPr>
          <w:rFonts w:hint="eastAsia"/>
          <w:spacing w:val="-4"/>
          <w:sz w:val="24"/>
          <w:lang w:bidi="zh-CN"/>
        </w:rPr>
        <w:t xml:space="preserve">1）选用环保材料，304不锈钢材料应符合《GB/T 3280-2015》标准，且可回收利用率≥95%；2）噪声标准应根据《声环境质量标准》（GB 3096-2008），泵房、设备白天噪声控制≤55dB(A) 夜间控制在≤45dB(A)；3）设置防漏报警系统，防止水资源浪费；4）规范施工废弃物处理。</w:t>
      </w:r>
      <w:r/>
    </w:p>
    <w:p>
      <w:pPr>
        <w:ind w:firstLine="464"/>
        <w:spacing w:line="500" w:lineRule="exact"/>
        <w:rPr>
          <w:b/>
          <w:spacing w:val="-4"/>
          <w:sz w:val="24"/>
          <w:lang w:bidi="zh-CN"/>
        </w:rPr>
      </w:pPr>
      <w:r>
        <w:rPr>
          <w:rFonts w:hint="eastAsia"/>
          <w:b/>
          <w:spacing w:val="-4"/>
          <w:sz w:val="24"/>
          <w:lang w:bidi="zh-CN"/>
        </w:rPr>
        <w:t xml:space="preserve">3.</w:t>
      </w:r>
      <w:r>
        <w:rPr>
          <w:rFonts w:hint="eastAsia"/>
          <w:b/>
          <w:spacing w:val="-4"/>
          <w:sz w:val="24"/>
          <w:lang w:val="en-US" w:bidi="zh-CN"/>
        </w:rPr>
        <w:t xml:space="preserve">整体</w:t>
      </w:r>
      <w:r>
        <w:rPr>
          <w:rFonts w:hint="eastAsia"/>
          <w:b/>
          <w:spacing w:val="-4"/>
          <w:sz w:val="24"/>
          <w:lang w:bidi="zh-CN"/>
        </w:rPr>
        <w:t xml:space="preserve">项目要求</w:t>
      </w:r>
      <w:r/>
    </w:p>
    <w:p>
      <w:pPr>
        <w:ind w:firstLine="464"/>
        <w:spacing w:line="500" w:lineRule="exact"/>
        <w:rPr>
          <w:spacing w:val="-4"/>
          <w:sz w:val="24"/>
          <w:highlight w:val="yellow"/>
          <w:lang w:bidi="zh-CN"/>
        </w:rPr>
      </w:pPr>
      <w:r>
        <w:rPr>
          <w:rFonts w:hint="eastAsia"/>
          <w:spacing w:val="-4"/>
          <w:sz w:val="24"/>
          <w:lang w:bidi="zh-CN"/>
        </w:rPr>
        <w:t xml:space="preserve">3.1 质保期：水泵、电机、配电柜、PLC、不锈钢管路、钢结构主体设备，及水质传感器、滤芯、密封件、除湿机滤网等易损件整体质保≥3年；软件免费升级及维护不低于5年。</w:t>
      </w:r>
      <w:r/>
    </w:p>
    <w:p>
      <w:pPr>
        <w:ind w:firstLine="464"/>
        <w:spacing w:line="500" w:lineRule="exact"/>
        <w:rPr>
          <w:spacing w:val="-4"/>
          <w:sz w:val="24"/>
          <w:highlight w:val="yellow"/>
          <w:lang w:bidi="zh-CN"/>
        </w:rPr>
      </w:pPr>
      <w:r>
        <w:rPr>
          <w:rFonts w:hint="eastAsia"/>
          <w:spacing w:val="-4"/>
          <w:sz w:val="24"/>
          <w:lang w:bidi="zh-CN"/>
        </w:rPr>
        <w:t xml:space="preserve">3.2 服务承诺：远程可排查解决故障1小时内线上处置；现场硬件故障市区 4小时到达现场，8小时内排除重大供水故障。</w:t>
      </w:r>
      <w:r/>
    </w:p>
    <w:p>
      <w:pPr>
        <w:ind w:firstLine="464"/>
        <w:spacing w:line="500" w:lineRule="exact"/>
        <w:rPr>
          <w:spacing w:val="-4"/>
          <w:sz w:val="24"/>
          <w:lang w:bidi="zh-CN"/>
        </w:rPr>
      </w:pPr>
      <w:r>
        <w:rPr>
          <w:rFonts w:hint="eastAsia"/>
          <w:spacing w:val="-4"/>
          <w:sz w:val="24"/>
          <w:lang w:bidi="zh-CN"/>
        </w:rPr>
        <w:t xml:space="preserve">3.3服务标准：不低于国家规范及行业标准。</w:t>
      </w:r>
      <w:r/>
    </w:p>
    <w:p>
      <w:pPr>
        <w:ind w:firstLine="464"/>
        <w:spacing w:line="500" w:lineRule="exact"/>
        <w:rPr>
          <w:spacing w:val="-4"/>
          <w:sz w:val="24"/>
          <w:lang w:bidi="zh-CN"/>
        </w:rPr>
      </w:pPr>
      <w:r>
        <w:rPr>
          <w:rFonts w:hint="eastAsia"/>
          <w:spacing w:val="-4"/>
          <w:sz w:val="24"/>
          <w:lang w:bidi="zh-CN"/>
        </w:rPr>
        <w:t xml:space="preserve">3.4验收标准：验收需依据《GB/T 50312-2016》（综合布线工程验收规范）等具体标准，并包含72小时连续运行测试。</w:t>
      </w:r>
      <w:r/>
    </w:p>
    <w:p>
      <w:pPr>
        <w:ind w:firstLine="464"/>
        <w:spacing w:line="500" w:lineRule="exact"/>
        <w:rPr>
          <w:spacing w:val="-4"/>
          <w:sz w:val="24"/>
          <w:lang w:bidi="zh-CN"/>
        </w:rPr>
      </w:pPr>
      <w:r>
        <w:rPr>
          <w:rFonts w:hint="eastAsia"/>
          <w:spacing w:val="-4"/>
          <w:sz w:val="24"/>
          <w:lang w:bidi="zh-CN"/>
        </w:rPr>
        <w:t xml:space="preserve">3.5培训服务：提供不少于 3 次免费运维培训（含智慧水务平台操作），场地、交通等与培训相关的费用均由成交供应商承担。</w:t>
      </w:r>
      <w:r/>
    </w:p>
    <w:p>
      <w:pPr>
        <w:ind w:firstLine="464"/>
        <w:spacing w:line="500" w:lineRule="exact"/>
        <w:rPr>
          <w:b/>
          <w:spacing w:val="-4"/>
          <w:sz w:val="24"/>
          <w:lang w:bidi="zh-CN"/>
        </w:rPr>
      </w:pPr>
      <w:r>
        <w:rPr>
          <w:rFonts w:hint="eastAsia"/>
          <w:b/>
          <w:spacing w:val="-4"/>
          <w:sz w:val="24"/>
          <w:lang w:bidi="zh-CN"/>
        </w:rPr>
        <w:t xml:space="preserve">3.</w:t>
      </w:r>
      <w:r>
        <w:rPr>
          <w:b/>
          <w:spacing w:val="-4"/>
          <w:sz w:val="24"/>
          <w:lang w:bidi="zh-CN"/>
        </w:rPr>
        <w:t xml:space="preserve">6</w:t>
      </w:r>
      <w:r>
        <w:rPr>
          <w:rFonts w:hint="eastAsia"/>
          <w:b/>
          <w:spacing w:val="-4"/>
          <w:sz w:val="24"/>
          <w:lang w:val="en-US" w:bidi="zh-CN"/>
        </w:rPr>
        <w:t xml:space="preserve">设备配套安装实施</w:t>
      </w:r>
      <w:r>
        <w:rPr>
          <w:b/>
          <w:spacing w:val="-4"/>
          <w:sz w:val="24"/>
          <w:lang w:bidi="zh-CN"/>
        </w:rPr>
        <w:t xml:space="preserve">期间，中标人自行考虑临时供水，保障全校用水正常。</w:t>
      </w:r>
      <w:r>
        <w:rPr>
          <w:rFonts w:hint="eastAsia"/>
          <w:b/>
          <w:spacing w:val="-4"/>
          <w:sz w:val="24"/>
          <w:lang w:bidi="zh-CN"/>
        </w:rPr>
        <w:t xml:space="preserve">供应商</w:t>
      </w:r>
      <w:r>
        <w:rPr>
          <w:b/>
          <w:spacing w:val="-4"/>
          <w:sz w:val="24"/>
          <w:lang w:bidi="zh-CN"/>
        </w:rPr>
        <w:t xml:space="preserve">在</w:t>
      </w:r>
      <w:r>
        <w:rPr>
          <w:rFonts w:hint="eastAsia"/>
          <w:b/>
          <w:spacing w:val="-4"/>
          <w:sz w:val="24"/>
          <w:lang w:bidi="zh-CN"/>
        </w:rPr>
        <w:t xml:space="preserve">投标</w:t>
      </w:r>
      <w:r>
        <w:rPr>
          <w:b/>
          <w:spacing w:val="-4"/>
          <w:sz w:val="24"/>
          <w:lang w:bidi="zh-CN"/>
        </w:rPr>
        <w:t xml:space="preserve">报价中综合考虑相关费用，甲方不再另行支付。</w:t>
      </w:r>
      <w:r/>
    </w:p>
    <w:p>
      <w:pPr>
        <w:spacing w:line="500" w:lineRule="exact"/>
        <w:rPr>
          <w:b/>
          <w:spacing w:val="-4"/>
          <w:sz w:val="24"/>
          <w:lang w:bidi="zh-CN"/>
        </w:rPr>
        <w:outlineLvl w:val="0"/>
      </w:pPr>
      <w:r>
        <w:rPr>
          <w:rFonts w:hint="eastAsia"/>
          <w:b/>
          <w:spacing w:val="-4"/>
          <w:sz w:val="24"/>
          <w:lang w:bidi="zh-CN"/>
        </w:rPr>
        <w:t xml:space="preserve">三、报价要求</w:t>
      </w:r>
      <w:r/>
    </w:p>
    <w:p>
      <w:pPr>
        <w:ind w:firstLine="464"/>
        <w:spacing w:line="500" w:lineRule="exact"/>
        <w:rPr>
          <w:rFonts w:eastAsia="宋体"/>
          <w:b/>
          <w:sz w:val="24"/>
        </w:rPr>
      </w:pPr>
      <w:r>
        <w:rPr>
          <w:rFonts w:hint="eastAsia"/>
          <w:spacing w:val="-4"/>
          <w:sz w:val="24"/>
          <w:lang w:bidi="zh-CN"/>
        </w:rPr>
        <w:t xml:space="preserve">1.报价形式：</w:t>
      </w:r>
      <w:r>
        <w:rPr>
          <w:rFonts w:hint="eastAsia"/>
          <w:b/>
          <w:bCs/>
          <w:spacing w:val="-4"/>
          <w:sz w:val="24"/>
          <w:lang w:bidi="zh-CN"/>
        </w:rPr>
        <w:t xml:space="preserve">固定</w:t>
      </w:r>
      <w:r>
        <w:rPr>
          <w:rFonts w:hint="eastAsia"/>
          <w:b/>
          <w:bCs/>
          <w:spacing w:val="-4"/>
          <w:sz w:val="24"/>
          <w:lang w:val="en-US" w:bidi="zh-CN"/>
        </w:rPr>
        <w:t xml:space="preserve">总</w:t>
      </w:r>
      <w:r>
        <w:rPr>
          <w:rFonts w:hint="eastAsia"/>
          <w:b/>
          <w:bCs/>
          <w:spacing w:val="-4"/>
          <w:sz w:val="24"/>
          <w:lang w:bidi="zh-CN"/>
        </w:rPr>
        <w:t xml:space="preserve">价</w:t>
      </w:r>
      <w:r>
        <w:rPr>
          <w:rFonts w:hint="eastAsia"/>
          <w:spacing w:val="-4"/>
          <w:sz w:val="24"/>
          <w:lang w:bidi="zh-CN"/>
        </w:rPr>
        <w:t xml:space="preserve">；</w:t>
      </w:r>
      <w:r>
        <w:rPr>
          <w:rFonts w:hint="eastAsia"/>
          <w:b/>
          <w:sz w:val="24"/>
        </w:rPr>
        <w:t xml:space="preserve">本项目采用</w:t>
      </w:r>
      <w:r>
        <w:rPr>
          <w:rFonts w:hint="eastAsia"/>
          <w:b/>
          <w:sz w:val="24"/>
          <w:lang w:val="en-US"/>
        </w:rPr>
        <w:t xml:space="preserve">项目</w:t>
      </w:r>
      <w:r>
        <w:rPr>
          <w:rFonts w:hint="eastAsia"/>
          <w:b/>
          <w:sz w:val="24"/>
        </w:rPr>
        <w:t xml:space="preserve">总承包模式</w:t>
      </w:r>
      <w:r>
        <w:rPr>
          <w:rFonts w:hint="eastAsia" w:eastAsia="宋体"/>
          <w:b/>
          <w:sz w:val="24"/>
        </w:rPr>
        <w:t xml:space="preserve">。</w:t>
      </w:r>
      <w:r/>
    </w:p>
    <w:p>
      <w:pPr>
        <w:ind w:firstLine="480"/>
        <w:spacing w:line="500" w:lineRule="exact"/>
        <w:rPr>
          <w:color w:val="ff0000"/>
          <w:sz w:val="24"/>
        </w:rPr>
      </w:pPr>
      <w:r>
        <w:rPr>
          <w:rFonts w:hint="eastAsia"/>
          <w:b/>
          <w:sz w:val="24"/>
        </w:rPr>
        <w:t xml:space="preserve">具体包括采购工作：包括不限于，负责</w:t>
      </w:r>
      <w:r>
        <w:rPr>
          <w:rFonts w:hint="eastAsia"/>
          <w:b/>
          <w:sz w:val="24"/>
          <w:lang w:val="en-US"/>
        </w:rPr>
        <w:t xml:space="preserve">改造</w:t>
      </w:r>
      <w:r>
        <w:rPr>
          <w:rFonts w:hint="eastAsia"/>
          <w:b/>
          <w:sz w:val="24"/>
        </w:rPr>
        <w:t xml:space="preserve">范围内所有材料、设备的采购，提供完整的质量证明文件（CCC认证、检测报告等）。</w:t>
      </w:r>
      <w:r>
        <w:rPr>
          <w:rFonts w:hint="eastAsia"/>
          <w:b/>
          <w:sz w:val="24"/>
          <w:lang w:val="en-US"/>
        </w:rPr>
        <w:t xml:space="preserve">配套安装改造内容</w:t>
      </w:r>
      <w:r>
        <w:rPr>
          <w:rFonts w:hint="eastAsia"/>
          <w:b/>
          <w:sz w:val="24"/>
        </w:rPr>
        <w:t xml:space="preserve">工作严格按经采购人审批确认的</w:t>
      </w:r>
      <w:r>
        <w:rPr>
          <w:rFonts w:hint="eastAsia"/>
          <w:b/>
          <w:sz w:val="24"/>
          <w:lang w:val="en-US"/>
        </w:rPr>
        <w:t xml:space="preserve">设计</w:t>
      </w:r>
      <w:r>
        <w:rPr>
          <w:rFonts w:hint="eastAsia"/>
          <w:b/>
          <w:sz w:val="24"/>
        </w:rPr>
        <w:t xml:space="preserve">图纸及相关要求实施。</w:t>
      </w:r>
      <w:r/>
    </w:p>
    <w:p>
      <w:pPr>
        <w:ind w:firstLine="464"/>
        <w:spacing w:line="500" w:lineRule="exact"/>
        <w:rPr>
          <w:spacing w:val="-4"/>
          <w:sz w:val="24"/>
          <w:lang w:bidi="zh-CN"/>
        </w:rPr>
      </w:pPr>
      <w:r>
        <w:rPr>
          <w:rFonts w:hint="eastAsia"/>
          <w:spacing w:val="-4"/>
          <w:sz w:val="24"/>
          <w:lang w:bidi="zh-CN"/>
        </w:rPr>
        <w:t xml:space="preserve">2.计税方法:根据企业性质，由供应商自行考虑，结算后付款需开具增值税专用项目发票。</w:t>
      </w:r>
      <w:r/>
    </w:p>
    <w:p>
      <w:pPr>
        <w:ind w:firstLine="464"/>
        <w:spacing w:line="500" w:lineRule="exact"/>
        <w:rPr>
          <w:b/>
          <w:spacing w:val="-4"/>
          <w:sz w:val="24"/>
          <w:lang w:val="en-US" w:bidi="zh-CN"/>
        </w:rPr>
      </w:pPr>
      <w:r>
        <w:rPr>
          <w:rFonts w:hint="eastAsia"/>
          <w:spacing w:val="-4"/>
          <w:sz w:val="24"/>
          <w:lang w:bidi="zh-CN"/>
        </w:rPr>
        <w:t xml:space="preserve">3.</w:t>
      </w:r>
      <w:r>
        <w:rPr>
          <w:rFonts w:hint="eastAsia"/>
          <w:b/>
          <w:spacing w:val="-4"/>
          <w:sz w:val="24"/>
          <w:lang w:bidi="zh-CN"/>
        </w:rPr>
        <w:t xml:space="preserve">本项目工期</w:t>
      </w:r>
      <w:r>
        <w:rPr>
          <w:rFonts w:hint="eastAsia"/>
          <w:b/>
          <w:spacing w:val="-4"/>
          <w:sz w:val="24"/>
          <w:lang w:val="en-US" w:bidi="zh-CN"/>
        </w:rPr>
        <w:t xml:space="preserve">适中</w:t>
      </w:r>
      <w:r>
        <w:rPr>
          <w:rFonts w:hint="eastAsia"/>
          <w:b/>
          <w:spacing w:val="-4"/>
          <w:sz w:val="24"/>
          <w:lang w:bidi="zh-CN"/>
        </w:rPr>
        <w:t xml:space="preserve">，供应商需在报价中考虑人工、材料等的涨跌风险，结算时不做相关调整。</w:t>
      </w:r>
      <w:r>
        <w:rPr>
          <w:rFonts w:hint="eastAsia"/>
          <w:b/>
          <w:spacing w:val="-4"/>
          <w:sz w:val="24"/>
          <w:lang w:val="en-US" w:bidi="zh-CN"/>
        </w:rPr>
        <w:t xml:space="preserve">严格执行甲方设备改造安装时间节点要求。</w:t>
      </w:r>
      <w:r/>
    </w:p>
    <w:p>
      <w:pPr>
        <w:ind w:firstLine="464"/>
        <w:spacing w:line="500" w:lineRule="exact"/>
        <w:rPr>
          <w:spacing w:val="-4"/>
          <w:sz w:val="24"/>
          <w:lang w:bidi="zh-CN"/>
        </w:rPr>
      </w:pPr>
      <w:r>
        <w:rPr>
          <w:rFonts w:hint="eastAsia"/>
          <w:spacing w:val="-4"/>
          <w:sz w:val="24"/>
          <w:lang w:bidi="zh-CN"/>
        </w:rPr>
        <w:t xml:space="preserve">4.供应商</w:t>
      </w:r>
      <w:r>
        <w:rPr>
          <w:spacing w:val="-4"/>
          <w:sz w:val="24"/>
          <w:lang w:bidi="zh-CN"/>
        </w:rPr>
        <w:t xml:space="preserve">应充分考虑材料的运输安排，结算时不得另行考虑材料转运费等</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5.</w:t>
      </w:r>
      <w:r>
        <w:rPr>
          <w:spacing w:val="-4"/>
          <w:sz w:val="24"/>
          <w:lang w:bidi="zh-CN"/>
        </w:rPr>
        <w:t xml:space="preserve">本</w:t>
      </w:r>
      <w:r>
        <w:rPr>
          <w:rFonts w:hint="eastAsia"/>
          <w:spacing w:val="-4"/>
          <w:sz w:val="24"/>
          <w:lang w:val="en-US" w:bidi="zh-CN"/>
        </w:rPr>
        <w:t xml:space="preserve">项目</w:t>
      </w:r>
      <w:r>
        <w:rPr>
          <w:spacing w:val="-4"/>
          <w:sz w:val="24"/>
          <w:lang w:bidi="zh-CN"/>
        </w:rPr>
        <w:t xml:space="preserve">施工脚手方案</w:t>
      </w:r>
      <w:r>
        <w:rPr>
          <w:rFonts w:hint="eastAsia"/>
          <w:spacing w:val="-4"/>
          <w:sz w:val="24"/>
          <w:lang w:bidi="zh-CN"/>
        </w:rPr>
        <w:t xml:space="preserve">供应商</w:t>
      </w:r>
      <w:r>
        <w:rPr>
          <w:spacing w:val="-4"/>
          <w:sz w:val="24"/>
          <w:lang w:bidi="zh-CN"/>
        </w:rPr>
        <w:t xml:space="preserve">自行考虑，在</w:t>
      </w:r>
      <w:r>
        <w:rPr>
          <w:rFonts w:hint="eastAsia"/>
          <w:spacing w:val="-4"/>
          <w:sz w:val="24"/>
          <w:lang w:bidi="zh-CN"/>
        </w:rPr>
        <w:t xml:space="preserve">报价</w:t>
      </w:r>
      <w:r>
        <w:rPr>
          <w:spacing w:val="-4"/>
          <w:sz w:val="24"/>
          <w:lang w:bidi="zh-CN"/>
        </w:rPr>
        <w:t xml:space="preserve">中考虑</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6.</w:t>
      </w:r>
      <w:r>
        <w:rPr>
          <w:spacing w:val="-4"/>
          <w:sz w:val="24"/>
          <w:lang w:bidi="zh-CN"/>
        </w:rPr>
        <w:t xml:space="preserve">本</w:t>
      </w:r>
      <w:r>
        <w:rPr>
          <w:rFonts w:hint="eastAsia"/>
          <w:spacing w:val="-4"/>
          <w:sz w:val="24"/>
          <w:lang w:bidi="zh-CN"/>
        </w:rPr>
        <w:t xml:space="preserve">项目</w:t>
      </w:r>
      <w:r>
        <w:rPr>
          <w:spacing w:val="-4"/>
          <w:sz w:val="24"/>
          <w:lang w:bidi="zh-CN"/>
        </w:rPr>
        <w:t xml:space="preserve">目标工期以</w:t>
      </w:r>
      <w:r>
        <w:rPr>
          <w:rFonts w:hint="eastAsia"/>
          <w:spacing w:val="-4"/>
          <w:sz w:val="24"/>
          <w:lang w:bidi="zh-CN"/>
        </w:rPr>
        <w:t xml:space="preserve">招标</w:t>
      </w:r>
      <w:r>
        <w:rPr>
          <w:spacing w:val="-4"/>
          <w:sz w:val="24"/>
          <w:lang w:bidi="zh-CN"/>
        </w:rPr>
        <w:t xml:space="preserve">文件为准，请</w:t>
      </w:r>
      <w:r>
        <w:rPr>
          <w:rFonts w:hint="eastAsia"/>
          <w:spacing w:val="-4"/>
          <w:sz w:val="24"/>
          <w:lang w:bidi="zh-CN"/>
        </w:rPr>
        <w:t xml:space="preserve">供应商</w:t>
      </w:r>
      <w:r>
        <w:rPr>
          <w:spacing w:val="-4"/>
          <w:sz w:val="24"/>
          <w:lang w:bidi="zh-CN"/>
        </w:rPr>
        <w:t xml:space="preserve">在</w:t>
      </w:r>
      <w:r>
        <w:rPr>
          <w:rFonts w:hint="eastAsia"/>
          <w:spacing w:val="-4"/>
          <w:sz w:val="24"/>
          <w:lang w:bidi="zh-CN"/>
        </w:rPr>
        <w:t xml:space="preserve">投标</w:t>
      </w:r>
      <w:r>
        <w:rPr>
          <w:spacing w:val="-4"/>
          <w:sz w:val="24"/>
          <w:lang w:bidi="zh-CN"/>
        </w:rPr>
        <w:t xml:space="preserve">报价中综合考虑相关费用，结算时包干使用，</w:t>
      </w:r>
      <w:r>
        <w:rPr>
          <w:rFonts w:hint="eastAsia"/>
          <w:spacing w:val="-4"/>
          <w:sz w:val="24"/>
          <w:lang w:val="en-US" w:bidi="zh-CN"/>
        </w:rPr>
        <w:t xml:space="preserve">项目实施期间按照甲方要求，保证工期内完成改造内容，</w:t>
      </w:r>
      <w:r>
        <w:rPr>
          <w:spacing w:val="-4"/>
          <w:sz w:val="24"/>
          <w:lang w:bidi="zh-CN"/>
        </w:rPr>
        <w:t xml:space="preserve">采购人不再签证赶工费用</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7.</w:t>
      </w:r>
      <w:r>
        <w:rPr>
          <w:spacing w:val="-4"/>
          <w:sz w:val="24"/>
          <w:lang w:bidi="zh-CN"/>
        </w:rPr>
        <w:t xml:space="preserve">项目影像资料拍摄整理费用（满足档案馆档案归档要求），已含在</w:t>
      </w:r>
      <w:r>
        <w:rPr>
          <w:rFonts w:hint="eastAsia"/>
          <w:spacing w:val="-4"/>
          <w:sz w:val="24"/>
          <w:lang w:bidi="zh-CN"/>
        </w:rPr>
        <w:t xml:space="preserve">招标</w:t>
      </w:r>
      <w:r>
        <w:rPr>
          <w:spacing w:val="-4"/>
          <w:sz w:val="24"/>
          <w:lang w:bidi="zh-CN"/>
        </w:rPr>
        <w:t xml:space="preserve">报价措施费中，施工过程中不再</w:t>
      </w:r>
      <w:r>
        <w:rPr>
          <w:rFonts w:hint="eastAsia"/>
          <w:spacing w:val="-4"/>
          <w:sz w:val="24"/>
          <w:lang w:val="en-US" w:bidi="zh-CN"/>
        </w:rPr>
        <w:t xml:space="preserve">变更</w:t>
      </w:r>
      <w:r>
        <w:rPr>
          <w:spacing w:val="-4"/>
          <w:sz w:val="24"/>
          <w:lang w:bidi="zh-CN"/>
        </w:rPr>
        <w:t xml:space="preserve">，结算时不再增加任何相关费用</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8.所有拆除物</w:t>
      </w:r>
      <w:r>
        <w:rPr>
          <w:spacing w:val="-4"/>
          <w:sz w:val="24"/>
          <w:lang w:bidi="zh-CN"/>
        </w:rPr>
        <w:t xml:space="preserve">外运垃圾渣土费等由</w:t>
      </w:r>
      <w:r>
        <w:rPr>
          <w:rFonts w:hint="eastAsia"/>
          <w:spacing w:val="-4"/>
          <w:sz w:val="24"/>
          <w:lang w:bidi="zh-CN"/>
        </w:rPr>
        <w:t xml:space="preserve">供应商</w:t>
      </w:r>
      <w:r>
        <w:rPr>
          <w:spacing w:val="-4"/>
          <w:sz w:val="24"/>
          <w:lang w:bidi="zh-CN"/>
        </w:rPr>
        <w:t xml:space="preserve">负责，在</w:t>
      </w:r>
      <w:r>
        <w:rPr>
          <w:rFonts w:hint="eastAsia"/>
          <w:spacing w:val="-4"/>
          <w:sz w:val="24"/>
          <w:lang w:bidi="zh-CN"/>
        </w:rPr>
        <w:t xml:space="preserve">投标</w:t>
      </w:r>
      <w:r>
        <w:rPr>
          <w:spacing w:val="-4"/>
          <w:sz w:val="24"/>
          <w:lang w:bidi="zh-CN"/>
        </w:rPr>
        <w:t xml:space="preserve">报价中综合考虑</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9.</w:t>
      </w:r>
      <w:r>
        <w:rPr>
          <w:spacing w:val="-4"/>
          <w:sz w:val="24"/>
          <w:lang w:bidi="zh-CN"/>
        </w:rPr>
        <w:t xml:space="preserve">拆除期内，</w:t>
      </w:r>
      <w:r>
        <w:rPr>
          <w:rFonts w:hint="eastAsia"/>
          <w:spacing w:val="-4"/>
          <w:sz w:val="24"/>
          <w:lang w:bidi="zh-CN"/>
        </w:rPr>
        <w:t xml:space="preserve">供应商</w:t>
      </w:r>
      <w:r>
        <w:rPr>
          <w:spacing w:val="-4"/>
          <w:sz w:val="24"/>
          <w:lang w:bidi="zh-CN"/>
        </w:rPr>
        <w:t xml:space="preserve">需确保自身人员及设备设施的安全，并对自身原因导致的安全负全部责任</w:t>
      </w:r>
      <w:r>
        <w:rPr>
          <w:rFonts w:hint="eastAsia"/>
          <w:spacing w:val="-4"/>
          <w:sz w:val="24"/>
          <w:lang w:bidi="zh-CN"/>
        </w:rPr>
        <w:t xml:space="preserve">。</w:t>
      </w:r>
      <w:r/>
    </w:p>
    <w:p>
      <w:pPr>
        <w:ind w:firstLine="464"/>
        <w:spacing w:line="500" w:lineRule="exact"/>
        <w:rPr>
          <w:spacing w:val="-4"/>
          <w:sz w:val="24"/>
          <w:lang w:bidi="zh-CN"/>
        </w:rPr>
      </w:pPr>
      <w:r>
        <w:rPr>
          <w:rFonts w:hint="eastAsia"/>
          <w:spacing w:val="-4"/>
          <w:sz w:val="24"/>
          <w:lang w:bidi="zh-CN"/>
        </w:rPr>
        <w:t xml:space="preserve">10.</w:t>
      </w:r>
      <w:r>
        <w:rPr>
          <w:rFonts w:hint="eastAsia"/>
          <w:spacing w:val="-4"/>
          <w:sz w:val="24"/>
          <w:lang w:val="en-US" w:bidi="zh-CN"/>
        </w:rPr>
        <w:t xml:space="preserve">项目实施</w:t>
      </w:r>
      <w:r>
        <w:rPr>
          <w:spacing w:val="-4"/>
          <w:sz w:val="24"/>
          <w:lang w:bidi="zh-CN"/>
        </w:rPr>
        <w:t xml:space="preserve">完成后</w:t>
      </w:r>
      <w:r>
        <w:rPr>
          <w:rFonts w:hint="eastAsia"/>
          <w:spacing w:val="-4"/>
          <w:sz w:val="24"/>
          <w:lang w:bidi="zh-CN"/>
        </w:rPr>
        <w:t xml:space="preserve">需进行场地清理并进行</w:t>
      </w:r>
      <w:r>
        <w:rPr>
          <w:spacing w:val="-4"/>
          <w:sz w:val="24"/>
          <w:lang w:bidi="zh-CN"/>
        </w:rPr>
        <w:t xml:space="preserve">周边恢复</w:t>
      </w:r>
      <w:r>
        <w:rPr>
          <w:rFonts w:hint="eastAsia"/>
          <w:spacing w:val="-4"/>
          <w:sz w:val="24"/>
          <w:lang w:bidi="zh-CN"/>
        </w:rPr>
        <w:t xml:space="preserve">成</w:t>
      </w:r>
      <w:r>
        <w:rPr>
          <w:spacing w:val="-4"/>
          <w:sz w:val="24"/>
          <w:lang w:bidi="zh-CN"/>
        </w:rPr>
        <w:t xml:space="preserve">现状原状</w:t>
      </w:r>
      <w:r>
        <w:rPr>
          <w:rFonts w:hint="eastAsia"/>
          <w:spacing w:val="-4"/>
          <w:sz w:val="24"/>
          <w:lang w:bidi="zh-CN"/>
        </w:rPr>
        <w:t xml:space="preserve">（如绿化带等的恢复），费用在投标报价中综合考虑。</w:t>
      </w:r>
      <w:r/>
    </w:p>
    <w:p>
      <w:pPr>
        <w:ind w:firstLine="464"/>
        <w:spacing w:line="500" w:lineRule="exact"/>
        <w:rPr>
          <w:spacing w:val="-4"/>
          <w:sz w:val="24"/>
          <w:lang w:bidi="zh-CN"/>
        </w:rPr>
      </w:pPr>
      <w:r>
        <w:rPr>
          <w:rFonts w:hint="eastAsia"/>
          <w:spacing w:val="-4"/>
          <w:sz w:val="24"/>
          <w:lang w:bidi="zh-CN"/>
        </w:rPr>
        <w:t xml:space="preserve">11.成交后拆除过程中需注意保护周边设备设施等，如有损坏需承担相关费用。</w:t>
      </w:r>
      <w:r/>
    </w:p>
    <w:p>
      <w:pPr>
        <w:ind w:firstLine="464"/>
        <w:spacing w:line="500" w:lineRule="exact"/>
        <w:rPr>
          <w:spacing w:val="-4"/>
          <w:sz w:val="24"/>
          <w:lang w:bidi="zh-CN"/>
        </w:rPr>
      </w:pPr>
      <w:r>
        <w:rPr>
          <w:rFonts w:hint="eastAsia"/>
          <w:spacing w:val="-4"/>
          <w:sz w:val="24"/>
          <w:lang w:bidi="zh-CN"/>
        </w:rPr>
        <w:t xml:space="preserve">12.成交后成交单位需向业主提交安全承诺书。</w:t>
      </w:r>
      <w:r/>
    </w:p>
    <w:p>
      <w:pPr>
        <w:spacing w:line="500" w:lineRule="exact"/>
        <w:rPr>
          <w:b/>
          <w:spacing w:val="-4"/>
          <w:sz w:val="24"/>
          <w:lang w:bidi="zh-CN"/>
        </w:rPr>
        <w:outlineLvl w:val="0"/>
      </w:pPr>
      <w:r>
        <w:rPr>
          <w:rFonts w:hint="eastAsia"/>
          <w:b/>
          <w:spacing w:val="-4"/>
          <w:sz w:val="24"/>
          <w:lang w:bidi="zh-CN"/>
        </w:rPr>
        <w:t xml:space="preserve">四、付款方式</w:t>
      </w:r>
      <w:r/>
    </w:p>
    <w:p>
      <w:pPr>
        <w:ind w:firstLine="464"/>
        <w:spacing w:line="500" w:lineRule="exact"/>
        <w:rPr>
          <w:b/>
          <w:bCs/>
          <w:i/>
          <w:iCs/>
          <w:spacing w:val="-4"/>
          <w:sz w:val="24"/>
          <w:u w:val="single"/>
          <w:lang w:bidi="zh-CN"/>
        </w:rPr>
      </w:pPr>
      <w:r>
        <w:rPr>
          <w:rFonts w:hint="eastAsia"/>
          <w:spacing w:val="-4"/>
          <w:sz w:val="24"/>
          <w:lang w:bidi="zh-CN"/>
        </w:rPr>
        <w:t xml:space="preserve">结算方式：</w:t>
      </w:r>
      <w:r>
        <w:rPr>
          <w:b/>
          <w:bCs/>
          <w:i/>
          <w:iCs/>
          <w:spacing w:val="-4"/>
          <w:sz w:val="24"/>
          <w:u w:val="single"/>
          <w:lang w:bidi="zh-CN"/>
        </w:rPr>
        <w:t xml:space="preserve">本项目采用固定</w:t>
      </w:r>
      <w:r>
        <w:rPr>
          <w:b/>
          <w:bCs/>
          <w:i/>
          <w:iCs/>
          <w:spacing w:val="-4"/>
          <w:sz w:val="24"/>
          <w:u w:val="single"/>
          <w:lang w:val="en-US" w:bidi="zh-CN"/>
        </w:rPr>
        <w:t xml:space="preserve">总</w:t>
      </w:r>
      <w:r>
        <w:rPr>
          <w:b/>
          <w:bCs/>
          <w:i/>
          <w:iCs/>
          <w:spacing w:val="-4"/>
          <w:sz w:val="24"/>
          <w:u w:val="single"/>
          <w:lang w:bidi="zh-CN"/>
        </w:rPr>
        <w:t xml:space="preserve">价方式；</w:t>
      </w:r>
      <w:r/>
    </w:p>
    <w:p>
      <w:pPr>
        <w:ind w:firstLine="464"/>
        <w:spacing w:line="500" w:lineRule="exact"/>
        <w:rPr>
          <w:spacing w:val="-4"/>
          <w:sz w:val="24"/>
          <w:highlight w:val="red"/>
          <w:lang w:bidi="zh-CN"/>
        </w:rPr>
      </w:pPr>
      <w:r>
        <w:rPr>
          <w:rFonts w:hint="eastAsia"/>
          <w:spacing w:val="-4"/>
          <w:sz w:val="24"/>
          <w:lang w:bidi="zh-CN"/>
        </w:rPr>
        <w:t xml:space="preserve">付款方式：合同签订后支付合同总价的3</w:t>
      </w:r>
      <w:r>
        <w:rPr>
          <w:spacing w:val="-4"/>
          <w:sz w:val="24"/>
          <w:lang w:bidi="zh-CN"/>
        </w:rPr>
        <w:t xml:space="preserve">0%；主材进场验收合格后，支付至合同总价的</w:t>
      </w:r>
      <w:r>
        <w:rPr>
          <w:rFonts w:hint="eastAsia"/>
          <w:spacing w:val="-4"/>
          <w:sz w:val="24"/>
          <w:lang w:bidi="zh-CN"/>
        </w:rPr>
        <w:t xml:space="preserve">7</w:t>
      </w:r>
      <w:r>
        <w:rPr>
          <w:spacing w:val="-4"/>
          <w:sz w:val="24"/>
          <w:lang w:bidi="zh-CN"/>
        </w:rPr>
        <w:t xml:space="preserve">0%；项目</w:t>
      </w:r>
      <w:r>
        <w:rPr>
          <w:rFonts w:hint="eastAsia"/>
          <w:spacing w:val="-4"/>
          <w:sz w:val="24"/>
          <w:lang w:val="en-US" w:bidi="zh-CN"/>
        </w:rPr>
        <w:t xml:space="preserve">改造</w:t>
      </w:r>
      <w:r>
        <w:rPr>
          <w:spacing w:val="-4"/>
          <w:sz w:val="24"/>
          <w:lang w:bidi="zh-CN"/>
        </w:rPr>
        <w:t xml:space="preserve">完毕，试运行正常且验收合格后，支付至合同总价</w:t>
      </w:r>
      <w:r>
        <w:rPr>
          <w:rFonts w:hint="eastAsia"/>
          <w:spacing w:val="-4"/>
          <w:sz w:val="24"/>
          <w:lang w:bidi="zh-CN"/>
        </w:rPr>
        <w:t xml:space="preserve">1</w:t>
      </w:r>
      <w:r>
        <w:rPr>
          <w:spacing w:val="-4"/>
          <w:sz w:val="24"/>
          <w:lang w:bidi="zh-CN"/>
        </w:rPr>
        <w:t xml:space="preserve">00%。</w:t>
      </w:r>
      <w:r/>
    </w:p>
    <w:p>
      <w:pPr>
        <w:ind w:firstLine="464"/>
        <w:spacing w:line="500" w:lineRule="exact"/>
        <w:rPr>
          <w:spacing w:val="-4"/>
          <w:sz w:val="24"/>
          <w:lang w:bidi="zh-CN"/>
        </w:rPr>
      </w:pPr>
      <w:r>
        <w:rPr>
          <w:rFonts w:hint="eastAsia"/>
          <w:spacing w:val="-4"/>
          <w:sz w:val="24"/>
          <w:lang w:bidi="zh-CN"/>
        </w:rPr>
        <w:t xml:space="preserve">上述款项的支付，须以供应商提供合法票据为前提结算金额进行结算。</w:t>
      </w:r>
      <w:r/>
    </w:p>
    <w:p>
      <w:pPr>
        <w:spacing w:line="500" w:lineRule="exact"/>
        <w:rPr>
          <w:b/>
          <w:spacing w:val="-4"/>
          <w:sz w:val="24"/>
          <w:lang w:bidi="zh-CN"/>
        </w:rPr>
        <w:outlineLvl w:val="0"/>
      </w:pPr>
      <w:r>
        <w:rPr>
          <w:rFonts w:hint="eastAsia"/>
          <w:b/>
          <w:spacing w:val="-4"/>
          <w:sz w:val="24"/>
          <w:lang w:bidi="zh-CN"/>
        </w:rPr>
        <w:t xml:space="preserve">五、其他要求</w:t>
      </w:r>
      <w:r/>
    </w:p>
    <w:p>
      <w:pPr>
        <w:ind w:firstLine="464"/>
        <w:spacing w:line="500" w:lineRule="exact"/>
        <w:rPr>
          <w:spacing w:val="-4"/>
          <w:sz w:val="24"/>
          <w:lang w:bidi="zh-CN"/>
        </w:rPr>
      </w:pPr>
      <w:r>
        <w:rPr>
          <w:rFonts w:hint="eastAsia"/>
          <w:spacing w:val="-4"/>
          <w:sz w:val="24"/>
          <w:lang w:bidi="zh-CN"/>
        </w:rPr>
        <w:t xml:space="preserve">响应文件中需提供下列内容并满足相应要求：</w:t>
      </w:r>
      <w:r/>
    </w:p>
    <w:p>
      <w:pPr>
        <w:ind w:firstLine="464"/>
        <w:spacing w:line="500" w:lineRule="exact"/>
        <w:rPr>
          <w:spacing w:val="-4"/>
          <w:sz w:val="24"/>
          <w:lang w:bidi="zh-CN"/>
        </w:rPr>
      </w:pPr>
      <w:r>
        <w:rPr>
          <w:rFonts w:hint="eastAsia"/>
          <w:spacing w:val="-4"/>
          <w:sz w:val="24"/>
          <w:lang w:bidi="zh-CN"/>
        </w:rPr>
        <w:t xml:space="preserve">1.设计方案；2.</w:t>
      </w:r>
      <w:r>
        <w:rPr>
          <w:rFonts w:hint="eastAsia"/>
          <w:spacing w:val="-4"/>
          <w:sz w:val="24"/>
          <w:lang w:val="en-US" w:bidi="zh-CN"/>
        </w:rPr>
        <w:t xml:space="preserve">项目实施</w:t>
      </w:r>
      <w:r>
        <w:rPr>
          <w:rFonts w:hint="eastAsia"/>
          <w:spacing w:val="-4"/>
          <w:sz w:val="24"/>
          <w:lang w:bidi="zh-CN"/>
        </w:rPr>
        <w:t xml:space="preserve">方案；3.报价书；4.品牌表</w:t>
      </w:r>
      <w:r/>
    </w:p>
    <w:p>
      <w:pPr>
        <w:spacing w:line="500" w:lineRule="exact"/>
        <w:rPr>
          <w:b/>
          <w:spacing w:val="-4"/>
          <w:sz w:val="24"/>
          <w:lang w:bidi="zh-CN"/>
        </w:rPr>
        <w:outlineLvl w:val="0"/>
      </w:pPr>
      <w:r>
        <w:rPr>
          <w:b/>
          <w:spacing w:val="-4"/>
          <w:sz w:val="24"/>
          <w:lang w:bidi="zh-CN"/>
        </w:rPr>
        <w:t xml:space="preserve">六、详细技术参数</w:t>
      </w:r>
      <w:r/>
    </w:p>
    <w:p>
      <w:pPr>
        <w:pStyle w:val="907"/>
        <w:spacing w:line="500" w:lineRule="exact"/>
        <w:rPr>
          <w:rFonts w:ascii="Times New Roman" w:hAnsi="Times New Roman" w:eastAsia="宋体"/>
          <w:b/>
          <w:spacing w:val="-4"/>
          <w:sz w:val="24"/>
          <w:szCs w:val="24"/>
          <w:lang w:bidi="zh-CN"/>
        </w:rPr>
      </w:pPr>
      <w:r>
        <w:rPr>
          <w:rFonts w:hint="eastAsia" w:ascii="Times New Roman" w:hAnsi="Times New Roman" w:eastAsia="宋体"/>
          <w:b/>
          <w:spacing w:val="-4"/>
          <w:sz w:val="24"/>
          <w:szCs w:val="24"/>
          <w:lang w:bidi="zh-CN"/>
        </w:rPr>
        <w:t xml:space="preserve">详</w:t>
      </w:r>
      <w:r>
        <w:rPr>
          <w:rFonts w:ascii="Times New Roman" w:hAnsi="Times New Roman" w:eastAsia="宋体"/>
          <w:b/>
          <w:spacing w:val="-4"/>
          <w:sz w:val="24"/>
          <w:szCs w:val="24"/>
          <w:lang w:bidi="zh-CN"/>
        </w:rPr>
        <w:t xml:space="preserve">见附件</w:t>
      </w:r>
      <w:r/>
    </w:p>
    <w:p>
      <w:pPr>
        <w:pStyle w:val="907"/>
        <w:spacing w:line="500" w:lineRule="exact"/>
        <w:rPr>
          <w:rFonts w:ascii="Times New Roman" w:hAnsi="Times New Roman" w:eastAsia="宋体"/>
          <w:b/>
          <w:spacing w:val="-4"/>
          <w:sz w:val="24"/>
          <w:szCs w:val="24"/>
          <w:lang w:bidi="zh-CN"/>
        </w:rPr>
      </w:pPr>
      <w:r>
        <w:rPr>
          <w:rFonts w:ascii="Times New Roman" w:hAnsi="Times New Roman" w:eastAsia="宋体"/>
          <w:b/>
          <w:spacing w:val="-4"/>
          <w:sz w:val="24"/>
          <w:szCs w:val="24"/>
          <w:lang w:bidi="zh-CN"/>
        </w:rPr>
      </w:r>
      <w:r/>
    </w:p>
    <w:p>
      <w:pPr>
        <w:pStyle w:val="907"/>
        <w:spacing w:line="500" w:lineRule="exact"/>
        <w:tabs>
          <w:tab w:val="left" w:pos="567" w:leader="none"/>
        </w:tabs>
        <w:rPr>
          <w:rFonts w:ascii="Times New Roman" w:hAnsi="Times New Roman" w:eastAsia="宋体"/>
          <w:b/>
          <w:bCs/>
          <w:spacing w:val="-4"/>
          <w:sz w:val="24"/>
          <w:szCs w:val="24"/>
          <w:lang w:bidi="zh-CN"/>
        </w:rPr>
        <w:outlineLvl w:val="1"/>
      </w:pPr>
      <w:r>
        <w:rPr>
          <w:rFonts w:ascii="Times New Roman" w:hAnsi="Times New Roman" w:eastAsia="宋体"/>
          <w:b/>
          <w:bCs/>
          <w:spacing w:val="-4"/>
          <w:sz w:val="24"/>
          <w:szCs w:val="24"/>
          <w:lang w:bidi="zh-CN"/>
        </w:rPr>
        <w:br w:type="page" w:clear="all"/>
      </w:r>
      <w:r>
        <w:rPr>
          <w:rFonts w:ascii="Times New Roman" w:hAnsi="Times New Roman" w:eastAsia="宋体"/>
          <w:b/>
          <w:bCs/>
          <w:spacing w:val="-4"/>
          <w:sz w:val="24"/>
          <w:szCs w:val="24"/>
          <w:lang w:bidi="zh-CN"/>
        </w:rPr>
        <w:t xml:space="preserve">附件：</w:t>
      </w:r>
      <w:r/>
    </w:p>
    <w:p>
      <w:pPr>
        <w:pStyle w:val="907"/>
        <w:spacing w:line="500" w:lineRule="exact"/>
        <w:tabs>
          <w:tab w:val="left" w:pos="567" w:leader="none"/>
        </w:tabs>
        <w:rPr>
          <w:rFonts w:ascii="Times New Roman" w:hAnsi="Times New Roman" w:eastAsia="宋体"/>
          <w:b/>
          <w:bCs/>
          <w:spacing w:val="-4"/>
          <w:sz w:val="24"/>
          <w:szCs w:val="24"/>
          <w:lang w:bidi="zh-CN"/>
        </w:rPr>
        <w:outlineLvl w:val="0"/>
      </w:pPr>
      <w:r>
        <w:rPr>
          <w:rFonts w:hint="eastAsia" w:ascii="Times New Roman" w:hAnsi="Times New Roman" w:eastAsia="宋体"/>
          <w:b/>
          <w:bCs/>
          <w:spacing w:val="-4"/>
          <w:sz w:val="24"/>
          <w:szCs w:val="24"/>
          <w:lang w:bidi="zh-CN"/>
        </w:rPr>
        <w:t xml:space="preserve">1、水泵电机技术参数要求</w:t>
      </w:r>
      <w:r/>
    </w:p>
    <w:p>
      <w:pPr>
        <w:pStyle w:val="907"/>
        <w:spacing w:line="500" w:lineRule="exact"/>
        <w:tabs>
          <w:tab w:val="left" w:pos="567" w:leader="none"/>
        </w:tabs>
        <w:rPr>
          <w:rFonts w:ascii="Times New Roman" w:hAnsi="Times New Roman" w:eastAsia="宋体"/>
          <w:b/>
          <w:bCs/>
          <w:spacing w:val="-4"/>
          <w:sz w:val="24"/>
          <w:szCs w:val="24"/>
          <w:lang w:bidi="zh-CN"/>
        </w:rPr>
        <w:outlineLvl w:val="1"/>
      </w:pPr>
      <w:r>
        <w:rPr>
          <w:rFonts w:hint="eastAsia" w:ascii="Times New Roman" w:hAnsi="Times New Roman" w:eastAsia="宋体"/>
          <w:b/>
          <w:bCs/>
          <w:spacing w:val="-4"/>
          <w:sz w:val="24"/>
          <w:szCs w:val="24"/>
          <w:lang w:bidi="zh-CN"/>
        </w:rPr>
        <w:t xml:space="preserve">1.1</w:t>
      </w:r>
      <w:r>
        <w:rPr>
          <w:rFonts w:hint="eastAsia" w:ascii="Times New Roman" w:hAnsi="Times New Roman" w:eastAsia="宋体"/>
          <w:b/>
          <w:bCs/>
          <w:spacing w:val="2"/>
          <w:sz w:val="24"/>
          <w:szCs w:val="24"/>
        </w:rPr>
        <w:t xml:space="preserve">水泵设备技术参数及要求</w:t>
      </w:r>
      <w:r/>
    </w:p>
    <w:p>
      <w:pPr>
        <w:ind w:firstLine="480"/>
        <w:spacing w:line="500" w:lineRule="exact"/>
        <w:widowControl/>
        <w:rPr>
          <w:rFonts w:ascii="宋体" w:hAnsi="宋体" w:cs="Arial"/>
          <w:sz w:val="24"/>
        </w:rPr>
      </w:pPr>
      <w:r>
        <w:rPr>
          <w:rFonts w:ascii="宋体" w:hAnsi="宋体" w:cs="Arial"/>
          <w:sz w:val="24"/>
        </w:rPr>
        <w:t xml:space="preserve">参考标准</w:t>
      </w:r>
      <w:r/>
    </w:p>
    <w:p>
      <w:pPr>
        <w:ind w:firstLine="480"/>
        <w:spacing w:line="500" w:lineRule="exact"/>
        <w:widowControl/>
        <w:rPr>
          <w:rFonts w:ascii="宋体" w:hAnsi="宋体" w:cs="Arial"/>
          <w:sz w:val="24"/>
        </w:rPr>
      </w:pPr>
      <w:r>
        <w:rPr>
          <w:rFonts w:ascii="宋体" w:hAnsi="宋体" w:cs="Arial"/>
          <w:sz w:val="24"/>
        </w:rPr>
        <w:t xml:space="preserve">设备必须遵守下列标准的最新版本或同等ISO/EN/DIN标准的要求：</w:t>
      </w:r>
      <w:r/>
    </w:p>
    <w:tbl>
      <w:tblPr>
        <w:tblStyle w:val="902"/>
        <w:tblW w:w="8504" w:type="dxa"/>
        <w:jc w:val="center"/>
        <w:tblLayout w:type="fixed"/>
        <w:tblCellMar>
          <w:left w:w="108" w:type="dxa"/>
          <w:top w:w="0" w:type="dxa"/>
          <w:right w:w="108" w:type="dxa"/>
          <w:bottom w:w="0" w:type="dxa"/>
        </w:tblCellMar>
        <w:tblLook w:val="04A0" w:firstRow="1" w:lastRow="0" w:firstColumn="1" w:lastColumn="0" w:noHBand="0" w:noVBand="1"/>
      </w:tblPr>
      <w:tblGrid>
        <w:gridCol w:w="2820"/>
        <w:gridCol w:w="5684"/>
      </w:tblGrid>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GB/T5656</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离心泵技术条件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GB/T7021</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离心泵名词术语</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w:t>
            </w:r>
            <w:r>
              <w:rPr>
                <w:rFonts w:hint="eastAsia" w:ascii="宋体" w:hAnsi="宋体" w:cs="Arial"/>
                <w:sz w:val="24"/>
              </w:rPr>
              <w:t xml:space="preserve">T</w:t>
            </w:r>
            <w:r>
              <w:rPr>
                <w:rFonts w:ascii="宋体" w:hAnsi="宋体" w:cs="Arial"/>
                <w:sz w:val="24"/>
              </w:rPr>
              <w:t xml:space="preserve">3216</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hint="eastAsia" w:ascii="Arial" w:hAnsi="Arial" w:cs="Arial"/>
                <w:sz w:val="24"/>
              </w:rPr>
              <w:t xml:space="preserve">回转动力泵水力性能验收试验1级2级3级</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GB/T3214</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水泵流量的测定方法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hint="eastAsia" w:ascii="宋体" w:hAnsi="宋体" w:cs="Arial"/>
                <w:sz w:val="24"/>
              </w:rPr>
              <w:t xml:space="preserve">G</w:t>
            </w:r>
            <w:r>
              <w:rPr>
                <w:rFonts w:ascii="宋体" w:hAnsi="宋体" w:cs="Arial"/>
                <w:sz w:val="24"/>
              </w:rPr>
              <w:t xml:space="preserve">B/T29531</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泵的振动测量与评价方法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hint="eastAsia" w:ascii="宋体" w:hAnsi="宋体" w:cs="Arial"/>
                <w:sz w:val="24"/>
              </w:rPr>
              <w:t xml:space="preserve">G</w:t>
            </w:r>
            <w:r>
              <w:rPr>
                <w:rFonts w:ascii="宋体" w:hAnsi="宋体" w:cs="Arial"/>
                <w:sz w:val="24"/>
              </w:rPr>
              <w:t xml:space="preserve">B/T29529</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泵的噪声测量与评价方法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GB/T2555-2556</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一般用途法兰</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hint="eastAsia" w:ascii="宋体" w:hAnsi="宋体" w:cs="Arial"/>
                <w:sz w:val="24"/>
              </w:rPr>
              <w:t xml:space="preserve">DINEN</w:t>
            </w:r>
            <w:r>
              <w:rPr>
                <w:rFonts w:ascii="宋体" w:hAnsi="宋体" w:cs="Arial"/>
                <w:sz w:val="24"/>
              </w:rPr>
              <w:t xml:space="preserve">1092-2</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hint="eastAsia" w:ascii="Arial" w:hAnsi="Arial" w:cs="Arial"/>
                <w:sz w:val="24"/>
              </w:rPr>
              <w:t xml:space="preserve">法兰及连接</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GB/T145</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中心孔</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GB/T9239</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刚性转子平衡品质许用不平衡的确定</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GB/T1184</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形状和位置公差、未注公差规则</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GB/T1220</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不锈钢棒</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GB/T2100</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不锈耐酸钢铸件技术条件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GB/T3077</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合金结构钢技术条件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GB/T9439</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灰铸铁件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hint="eastAsia" w:ascii="宋体" w:hAnsi="宋体" w:cs="Arial"/>
                <w:sz w:val="24"/>
              </w:rPr>
              <w:t xml:space="preserve">JB/T</w:t>
            </w:r>
            <w:r>
              <w:rPr>
                <w:rFonts w:ascii="宋体" w:hAnsi="宋体" w:cs="Arial"/>
                <w:sz w:val="24"/>
              </w:rPr>
              <w:t xml:space="preserve">4297</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hint="eastAsia" w:ascii="Arial" w:hAnsi="Arial" w:cs="Arial"/>
                <w:sz w:val="24"/>
              </w:rPr>
              <w:t xml:space="preserve">泵产品涂漆技术条件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GB/T13384</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机电产品包装通用技术条件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GB/T755</w:t>
            </w:r>
            <w:r/>
          </w:p>
        </w:tc>
        <w:tc>
          <w:tcPr>
            <w:tcW w:w="5647" w:type="dxa"/>
            <w:vAlign w:val="center"/>
            <w:textDirection w:val="lrTb"/>
            <w:noWrap w:val="false"/>
          </w:tcPr>
          <w:p>
            <w:pPr>
              <w:ind w:firstLine="480"/>
              <w:spacing w:line="400" w:lineRule="exact"/>
              <w:widowControl/>
              <w:tabs>
                <w:tab w:val="left" w:pos="7560" w:leader="none"/>
              </w:tabs>
              <w:rPr>
                <w:rFonts w:ascii="Arial" w:hAnsi="Arial" w:cs="Arial"/>
                <w:sz w:val="24"/>
              </w:rPr>
            </w:pPr>
            <w:r>
              <w:rPr>
                <w:rFonts w:ascii="Arial" w:hAnsi="Arial" w:cs="Arial"/>
                <w:sz w:val="24"/>
              </w:rPr>
              <w:t xml:space="preserve">旋转电机基本技术要求</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GB/T997</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电机结构及安装型式代号</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GB/T1993</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旋转电机冷却方法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GB/T4942</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电机外壳保护等级</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GB/T1032</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三相异步电动机试验方法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GB/T10069.3</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旋转电动机噪声测量方法及限制、噪声限值</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GB/T10068.2</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旋转电动机振动测量方法及限制、振动限值</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GB/T4831</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电动机产品型号编制方法</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GB/T4826</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电动机的功率等级</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GB/T13957</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大型三相异步电动机和基本系列技术条件</w:t>
            </w:r>
            <w:r/>
          </w:p>
        </w:tc>
      </w:tr>
      <w:tr>
        <w:trPr>
          <w:jc w:val="center"/>
          <w:trHeight w:val="567"/>
        </w:trPr>
        <w:tc>
          <w:tcPr>
            <w:tcW w:w="2801"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IEC</w:t>
            </w:r>
            <w:r/>
          </w:p>
        </w:tc>
        <w:tc>
          <w:tcPr>
            <w:tcW w:w="5647" w:type="dxa"/>
            <w:vAlign w:val="center"/>
            <w:textDirection w:val="lrTb"/>
            <w:noWrap w:val="false"/>
          </w:tcPr>
          <w:p>
            <w:pPr>
              <w:ind w:firstLine="480"/>
              <w:spacing w:line="400" w:lineRule="exact"/>
              <w:widowControl/>
              <w:tabs>
                <w:tab w:val="left" w:pos="7560" w:leader="none"/>
              </w:tabs>
              <w:rPr>
                <w:rFonts w:ascii="宋体" w:hAnsi="宋体" w:cs="Arial"/>
                <w:sz w:val="24"/>
              </w:rPr>
            </w:pPr>
            <w:r>
              <w:rPr>
                <w:rFonts w:ascii="宋体" w:hAnsi="宋体" w:cs="Arial"/>
                <w:sz w:val="24"/>
              </w:rPr>
              <w:t xml:space="preserve">国际电工委员会标准</w:t>
            </w:r>
            <w:r/>
          </w:p>
        </w:tc>
      </w:tr>
    </w:tbl>
    <w:p>
      <w:pPr>
        <w:jc w:val="left"/>
        <w:spacing w:line="500" w:lineRule="exact"/>
        <w:widowControl/>
        <w:rPr>
          <w:bCs/>
          <w:strike/>
          <w:color w:val="ff0000"/>
          <w:sz w:val="24"/>
        </w:rPr>
        <w:outlineLvl w:val="2"/>
      </w:pPr>
      <w:r>
        <w:rPr>
          <w:rFonts w:hint="eastAsia"/>
          <w:bCs/>
          <w:sz w:val="24"/>
        </w:rPr>
        <w:t xml:space="preserve">1.1.1基</w:t>
      </w:r>
      <w:bookmarkStart w:id="45" w:name="OLE_LINK1"/>
      <w:r/>
      <w:bookmarkStart w:id="46" w:name="OLE_LINK2"/>
      <w:r>
        <w:rPr>
          <w:rFonts w:hint="eastAsia"/>
          <w:bCs/>
          <w:sz w:val="24"/>
        </w:rPr>
        <w:t xml:space="preserve">本参数</w:t>
      </w:r>
      <w:r/>
    </w:p>
    <w:p>
      <w:pPr>
        <w:pStyle w:val="925"/>
        <w:ind w:firstLine="480"/>
        <w:spacing w:before="0" w:beforeAutospacing="0" w:after="0" w:afterAutospacing="0" w:line="500" w:lineRule="exact"/>
        <w:rPr>
          <w:rFonts w:ascii="Times New Roman" w:hAnsi="Times New Roman"/>
          <w:b/>
        </w:rPr>
      </w:pPr>
      <w:r>
        <w:rPr>
          <w:rFonts w:hint="eastAsia" w:ascii="Times New Roman" w:hAnsi="Times New Roman"/>
          <w:b/>
        </w:rPr>
        <w:t xml:space="preserve">水泵推荐使用格兰富、赛莱默、凯士比等同档次品牌，投标人可选用"优于或相当于"以上品牌的产品。</w:t>
      </w:r>
      <w:r/>
    </w:p>
    <w:p>
      <w:pPr>
        <w:pStyle w:val="925"/>
        <w:ind w:firstLine="480"/>
        <w:spacing w:before="0" w:beforeAutospacing="0" w:after="0" w:afterAutospacing="0" w:line="500" w:lineRule="exact"/>
        <w:rPr>
          <w:rFonts w:ascii="Times New Roman" w:hAnsi="Times New Roman"/>
          <w:b/>
        </w:rPr>
      </w:pPr>
      <w:r>
        <w:rPr>
          <w:rFonts w:hint="eastAsia"/>
          <w:b/>
        </w:rPr>
        <w:t xml:space="preserve">★</w:t>
      </w:r>
      <w:r>
        <w:rPr>
          <w:rFonts w:hint="eastAsia" w:ascii="Times New Roman" w:hAnsi="Times New Roman"/>
          <w:b/>
        </w:rPr>
        <w:t xml:space="preserve">水泵参数：</w:t>
      </w:r>
      <w:r>
        <w:rPr>
          <w:rFonts w:hint="eastAsia" w:ascii="Times New Roman" w:hAnsi="Times New Roman"/>
          <w:b/>
          <w:spacing w:val="-4"/>
          <w:lang w:bidi="zh-CN"/>
        </w:rPr>
        <w:t xml:space="preserve">Q≥170m3/h，H≥40m，合计配3台泵；</w:t>
      </w:r>
      <w:r/>
    </w:p>
    <w:p>
      <w:pPr>
        <w:ind w:firstLine="480"/>
        <w:jc w:val="left"/>
        <w:spacing w:line="500" w:lineRule="exact"/>
        <w:widowControl/>
        <w:rPr>
          <w:spacing w:val="2"/>
          <w:sz w:val="24"/>
        </w:rPr>
      </w:pPr>
      <w:r>
        <w:rPr>
          <w:rFonts w:hint="eastAsia"/>
          <w:b/>
          <w:sz w:val="24"/>
        </w:rPr>
        <w:t xml:space="preserve">★</w:t>
      </w:r>
      <w:r>
        <w:rPr>
          <w:rFonts w:hint="eastAsia"/>
          <w:spacing w:val="2"/>
          <w:sz w:val="24"/>
        </w:rPr>
        <w:t xml:space="preserve">水泵噪声应符合GB/T29529-2013规定的A级标准。</w:t>
      </w:r>
      <w:r/>
    </w:p>
    <w:p>
      <w:pPr>
        <w:ind w:firstLine="480"/>
        <w:jc w:val="left"/>
        <w:spacing w:line="500" w:lineRule="exact"/>
        <w:widowControl/>
        <w:rPr>
          <w:spacing w:val="2"/>
          <w:sz w:val="24"/>
        </w:rPr>
      </w:pPr>
      <w:r>
        <w:rPr>
          <w:rFonts w:hint="eastAsia"/>
          <w:b/>
          <w:sz w:val="24"/>
        </w:rPr>
        <w:t xml:space="preserve">★</w:t>
      </w:r>
      <w:r>
        <w:rPr>
          <w:rFonts w:hint="eastAsia"/>
          <w:spacing w:val="2"/>
          <w:sz w:val="24"/>
        </w:rPr>
        <w:t xml:space="preserve">水泵振动应符合GB/T29531-2013规定的A级标准。</w:t>
      </w:r>
      <w:r/>
    </w:p>
    <w:p>
      <w:pPr>
        <w:ind w:firstLine="480"/>
        <w:jc w:val="left"/>
        <w:spacing w:line="500" w:lineRule="exact"/>
        <w:widowControl/>
        <w:rPr>
          <w:bCs/>
          <w:sz w:val="24"/>
        </w:rPr>
      </w:pPr>
      <w:r>
        <w:rPr>
          <w:rFonts w:hint="eastAsia"/>
          <w:b/>
          <w:sz w:val="24"/>
        </w:rPr>
        <w:t xml:space="preserve">★</w:t>
      </w:r>
      <w:r>
        <w:rPr>
          <w:rFonts w:hint="eastAsia"/>
          <w:bCs/>
          <w:sz w:val="24"/>
        </w:rPr>
        <w:t xml:space="preserve">水泵效率符合GB19762-2007标准的效率要求，不低于85%。</w:t>
      </w:r>
      <w:r/>
    </w:p>
    <w:p>
      <w:pPr>
        <w:pStyle w:val="925"/>
        <w:ind w:firstLine="480"/>
        <w:spacing w:before="0" w:beforeAutospacing="0" w:after="0" w:afterAutospacing="0" w:line="500" w:lineRule="exact"/>
        <w:rPr>
          <w:rFonts w:ascii="Times New Roman" w:hAnsi="Times New Roman"/>
          <w:bCs/>
        </w:rPr>
      </w:pPr>
      <w:r>
        <w:rPr>
          <w:szCs w:val="21"/>
        </w:rPr>
        <w:t xml:space="preserve">运行模式：</w:t>
      </w:r>
      <w:r>
        <w:rPr>
          <w:rFonts w:hint="eastAsia" w:ascii="Times New Roman" w:hAnsi="Times New Roman"/>
          <w:bCs/>
        </w:rPr>
        <w:t xml:space="preserve">3台水泵互为备用，定期自动轮换，故障自动投入备用泵；具备供水冗余保障措施，满足教学、宿舍不间断用水。</w:t>
      </w:r>
      <w:r/>
    </w:p>
    <w:p>
      <w:pPr>
        <w:pStyle w:val="925"/>
        <w:ind w:firstLine="420"/>
        <w:spacing w:before="0" w:beforeAutospacing="0" w:after="0" w:afterAutospacing="0" w:line="500" w:lineRule="exact"/>
        <w:rPr>
          <w:rFonts w:ascii="Times New Roman" w:hAnsi="Times New Roman"/>
          <w:bCs/>
        </w:rPr>
      </w:pPr>
      <w:r>
        <w:rPr>
          <w:rFonts w:eastAsia="宋体"/>
          <w:sz w:val="21"/>
          <w:szCs w:val="21"/>
        </w:rPr>
        <w:t xml:space="preserve">▲</w:t>
      </w:r>
      <w:r>
        <w:rPr>
          <w:rFonts w:hint="eastAsia" w:ascii="Times New Roman" w:hAnsi="Times New Roman"/>
          <w:bCs/>
        </w:rPr>
        <w:t xml:space="preserve">品牌水泵（含配套电机），电机能耗等级须符合GB18613-2020中二级或以上能效要求；</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密封环：水泵应设有可更换的密封环，材料须为锡磷青铜或同等级材料，耐磨性好，抗腐蚀。</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水泵密封：采用耐磨机械密封，达到密封性、自润滑性、耐磨性的最佳匹配，使水泵寿命长、无渗漏、磨阻小。</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轴承：采用进口原装SKF或FAG轴承，轴承的使用寿命不得低于8万小时。轴承均用免维护轴承，保证轴承工作时最高温度不超过70℃或轴承温升不超过35℃。</w:t>
      </w:r>
      <w:bookmarkEnd w:id="45"/>
      <w:r/>
      <w:bookmarkEnd w:id="46"/>
      <w:r/>
      <w:r/>
    </w:p>
    <w:p>
      <w:pPr>
        <w:jc w:val="left"/>
        <w:spacing w:line="500" w:lineRule="exact"/>
        <w:widowControl/>
        <w:rPr>
          <w:bCs/>
          <w:sz w:val="24"/>
        </w:rPr>
        <w:outlineLvl w:val="2"/>
      </w:pPr>
      <w:r>
        <w:rPr>
          <w:rFonts w:hint="eastAsia"/>
          <w:bCs/>
          <w:sz w:val="24"/>
        </w:rPr>
        <w:t xml:space="preserve">1.1.2铸件表面处理工艺</w:t>
      </w:r>
      <w:r/>
    </w:p>
    <w:p>
      <w:pPr>
        <w:pStyle w:val="925"/>
        <w:ind w:firstLine="420"/>
        <w:spacing w:before="0" w:beforeAutospacing="0" w:after="0" w:afterAutospacing="0" w:line="500" w:lineRule="exact"/>
        <w:rPr>
          <w:rFonts w:ascii="Times New Roman" w:hAnsi="Times New Roman"/>
          <w:bCs/>
        </w:rPr>
      </w:pPr>
      <w:r>
        <w:rPr>
          <w:rFonts w:eastAsia="宋体"/>
          <w:sz w:val="21"/>
          <w:szCs w:val="21"/>
        </w:rPr>
        <w:t xml:space="preserve">▲</w:t>
      </w:r>
      <w:r>
        <w:rPr>
          <w:rFonts w:hint="eastAsia" w:ascii="Times New Roman" w:hAnsi="Times New Roman"/>
          <w:bCs/>
        </w:rPr>
        <w:t xml:space="preserve">铸造件表面做特殊电覆处理后再进行电泳工艺处理，盐雾试验达到10级（须提供第三方盐雾实验报告），20年铸造件不会出现锈蚀现象。</w:t>
      </w:r>
      <w:r/>
    </w:p>
    <w:p>
      <w:pPr>
        <w:jc w:val="left"/>
        <w:spacing w:line="500" w:lineRule="exact"/>
        <w:widowControl/>
        <w:rPr>
          <w:bCs/>
          <w:sz w:val="24"/>
        </w:rPr>
        <w:outlineLvl w:val="2"/>
      </w:pPr>
      <w:r>
        <w:rPr>
          <w:rFonts w:hint="eastAsia"/>
          <w:bCs/>
          <w:sz w:val="24"/>
        </w:rPr>
        <w:t xml:space="preserve">1.1.3泵体内部处理工艺</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蜗壳内部进行特殊的电覆处理后，以提高水泵水力性能和防腐性能</w:t>
      </w:r>
      <w:r/>
    </w:p>
    <w:p>
      <w:pPr>
        <w:jc w:val="left"/>
        <w:spacing w:line="500" w:lineRule="exact"/>
        <w:widowControl/>
        <w:rPr>
          <w:bCs/>
          <w:sz w:val="24"/>
        </w:rPr>
        <w:outlineLvl w:val="2"/>
      </w:pPr>
      <w:r>
        <w:rPr>
          <w:rFonts w:hint="eastAsia"/>
          <w:bCs/>
          <w:sz w:val="24"/>
        </w:rPr>
        <w:t xml:space="preserve">1.1.4密封环材质</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采用锡磷青铜材质，通环结构，耐磨，抗腐蚀，以减少回流，提高水力效率。</w:t>
      </w:r>
      <w:r/>
    </w:p>
    <w:p>
      <w:pPr>
        <w:jc w:val="left"/>
        <w:spacing w:line="500" w:lineRule="exact"/>
        <w:widowControl/>
        <w:rPr>
          <w:bCs/>
          <w:sz w:val="24"/>
        </w:rPr>
        <w:outlineLvl w:val="2"/>
      </w:pPr>
      <w:r>
        <w:rPr>
          <w:rFonts w:hint="eastAsia"/>
          <w:bCs/>
          <w:sz w:val="24"/>
        </w:rPr>
        <w:t xml:space="preserve">1.1.5机械密封</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采用原装进口德国博格曼碳化钨、碳化硅机械密封以减少设备内漏和外漏，减少摩擦损失，提高设备的容积效率及机械效率。</w:t>
      </w:r>
      <w:r/>
    </w:p>
    <w:p>
      <w:pPr>
        <w:jc w:val="left"/>
        <w:spacing w:line="500" w:lineRule="exact"/>
        <w:widowControl/>
        <w:rPr>
          <w:bCs/>
          <w:sz w:val="24"/>
        </w:rPr>
        <w:outlineLvl w:val="2"/>
      </w:pPr>
      <w:r>
        <w:rPr>
          <w:rFonts w:hint="eastAsia"/>
          <w:bCs/>
          <w:sz w:val="24"/>
        </w:rPr>
        <w:t xml:space="preserve">1.1.6轴承</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水泵轴承采用SKF轴承、FAG或NSK轴承。内置油脂润滑，免维护。两端轴承分别安装测温元件，采用PT100热电阻，以便随时监控轴承运行温度。</w:t>
      </w:r>
      <w:r/>
    </w:p>
    <w:p>
      <w:pPr>
        <w:jc w:val="left"/>
        <w:spacing w:line="500" w:lineRule="exact"/>
        <w:widowControl/>
        <w:rPr>
          <w:bCs/>
          <w:sz w:val="24"/>
        </w:rPr>
        <w:outlineLvl w:val="2"/>
      </w:pPr>
      <w:r>
        <w:rPr>
          <w:rFonts w:hint="eastAsia"/>
          <w:bCs/>
          <w:sz w:val="24"/>
        </w:rPr>
        <w:t xml:space="preserve">1.1.7轴套</w:t>
      </w:r>
      <w:r/>
    </w:p>
    <w:p>
      <w:pPr>
        <w:ind w:firstLine="480"/>
        <w:jc w:val="left"/>
        <w:spacing w:line="500" w:lineRule="exact"/>
        <w:widowControl/>
        <w:rPr>
          <w:bCs/>
          <w:sz w:val="24"/>
        </w:rPr>
      </w:pPr>
      <w:r>
        <w:rPr>
          <w:rFonts w:hint="eastAsia"/>
          <w:bCs/>
          <w:sz w:val="24"/>
        </w:rPr>
        <w:t xml:space="preserve">采用不锈钢材质。</w:t>
      </w:r>
      <w:r/>
    </w:p>
    <w:p>
      <w:pPr>
        <w:jc w:val="left"/>
        <w:spacing w:line="500" w:lineRule="exact"/>
        <w:widowControl/>
        <w:rPr>
          <w:bCs/>
          <w:sz w:val="24"/>
        </w:rPr>
        <w:outlineLvl w:val="2"/>
      </w:pPr>
      <w:r>
        <w:rPr>
          <w:rFonts w:hint="eastAsia"/>
          <w:bCs/>
          <w:sz w:val="24"/>
        </w:rPr>
        <w:t xml:space="preserve">1.1.8叶轮</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（1）叶轮采用S30408不锈钢材料精铸工艺，表面经数控加工，以保证表面粗糙度在Ra25之内。</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（2）采用CFD流体软件进行设计仿真，优化流道，以保证叶轮具有良好的抗汽蚀性能及抗磨性。</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（3）叶轮加工完毕后，进行动平衡实验，精度不低于GB9239中的G2.5级，以保证水泵运行平稳可靠，降低水泵噪音，延长使用寿命。</w:t>
      </w:r>
      <w:r/>
    </w:p>
    <w:p>
      <w:pPr>
        <w:jc w:val="left"/>
        <w:spacing w:line="500" w:lineRule="exact"/>
        <w:widowControl/>
        <w:rPr>
          <w:bCs/>
          <w:sz w:val="24"/>
        </w:rPr>
        <w:outlineLvl w:val="2"/>
      </w:pPr>
      <w:r>
        <w:rPr>
          <w:rFonts w:hint="eastAsia"/>
          <w:bCs/>
          <w:sz w:val="24"/>
        </w:rPr>
        <w:t xml:space="preserve">1.1.9泵轴</w:t>
      </w:r>
      <w:r/>
    </w:p>
    <w:p>
      <w:pPr>
        <w:pStyle w:val="906"/>
        <w:ind w:firstLine="480"/>
        <w:spacing w:line="500" w:lineRule="exact"/>
        <w:widowControl/>
        <w:rPr>
          <w:rFonts w:ascii="Times New Roman" w:hAnsi="Times New Roman"/>
          <w:bCs/>
          <w:sz w:val="24"/>
          <w:szCs w:val="24"/>
        </w:rPr>
      </w:pPr>
      <w:r>
        <w:rPr>
          <w:rFonts w:hint="eastAsia" w:ascii="Times New Roman" w:hAnsi="Times New Roman"/>
          <w:bCs/>
          <w:sz w:val="24"/>
          <w:szCs w:val="24"/>
        </w:rPr>
        <w:t xml:space="preserve">（1）泵轴采用</w:t>
      </w:r>
      <w:r>
        <w:rPr>
          <w:rFonts w:hint="eastAsia" w:ascii="Times New Roman" w:hAnsi="Times New Roman"/>
          <w:sz w:val="24"/>
          <w:szCs w:val="24"/>
        </w:rPr>
        <w:t xml:space="preserve">40Cr</w:t>
      </w:r>
      <w:r>
        <w:rPr>
          <w:rFonts w:hint="eastAsia" w:ascii="Times New Roman" w:hAnsi="Times New Roman"/>
          <w:bCs/>
          <w:sz w:val="24"/>
          <w:szCs w:val="24"/>
        </w:rPr>
        <w:t xml:space="preserve">材质，粗加工后，进行调质处理，最后进行精加工，以确保强度和精度，同心度精度达到0.02mm。</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（2）主轴应满足在最大1.3倍额定转速范围内运转，不发生有害变形。</w:t>
      </w:r>
      <w:r/>
    </w:p>
    <w:p>
      <w:pPr>
        <w:jc w:val="left"/>
        <w:spacing w:line="500" w:lineRule="exact"/>
        <w:widowControl/>
        <w:rPr>
          <w:bCs/>
          <w:sz w:val="24"/>
        </w:rPr>
        <w:outlineLvl w:val="2"/>
      </w:pPr>
      <w:r>
        <w:rPr>
          <w:rFonts w:hint="eastAsia"/>
          <w:bCs/>
          <w:sz w:val="24"/>
        </w:rPr>
        <w:t xml:space="preserve">1.1.10泵体、泵盖</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采用覆膜砂或树脂砂造型，提高铸件表面的光洁度，减小内表面过流部分阻力大的问题，提高运行效率。泵盖上部设有排气用的管螺孔，进出水口法兰上有安装压力表的管螺孔，泵体下部有放水的管螺孔。</w:t>
      </w:r>
      <w:r/>
    </w:p>
    <w:p>
      <w:pPr>
        <w:jc w:val="left"/>
        <w:spacing w:line="500" w:lineRule="exact"/>
        <w:widowControl/>
        <w:rPr>
          <w:bCs/>
          <w:sz w:val="24"/>
        </w:rPr>
        <w:outlineLvl w:val="2"/>
      </w:pPr>
      <w:r>
        <w:rPr>
          <w:rFonts w:hint="eastAsia"/>
          <w:bCs/>
          <w:sz w:val="24"/>
        </w:rPr>
        <w:t xml:space="preserve">1.1.11水泵配套紧固件</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水泵所有配套连接紧固件螺栓、螺母及弹平垫均采用不锈钢材质，美观且不易锈蚀。</w:t>
      </w:r>
      <w:r/>
    </w:p>
    <w:p>
      <w:pPr>
        <w:jc w:val="left"/>
        <w:spacing w:line="500" w:lineRule="exact"/>
        <w:widowControl/>
        <w:rPr>
          <w:bCs/>
          <w:sz w:val="24"/>
        </w:rPr>
        <w:outlineLvl w:val="2"/>
      </w:pPr>
      <w:r>
        <w:rPr>
          <w:rFonts w:hint="eastAsia"/>
          <w:bCs/>
          <w:sz w:val="24"/>
        </w:rPr>
        <w:t xml:space="preserve">1.1.12水泵底座</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采用高强度钢制底座，以方便安装、调试，保证电机、水泵的同轴度，确保传动效率。底座上表面采用经过数控精加工，以确保泵体与电机的安装精度，减少振动。</w:t>
      </w:r>
      <w:r/>
    </w:p>
    <w:p>
      <w:pPr>
        <w:jc w:val="left"/>
        <w:spacing w:line="500" w:lineRule="exact"/>
        <w:widowControl/>
        <w:rPr>
          <w:bCs/>
          <w:sz w:val="24"/>
        </w:rPr>
        <w:outlineLvl w:val="2"/>
      </w:pPr>
      <w:r>
        <w:rPr>
          <w:rFonts w:hint="eastAsia"/>
          <w:bCs/>
          <w:sz w:val="24"/>
        </w:rPr>
        <w:t xml:space="preserve">1.1.13无故障运行时间大于10000小时。</w:t>
      </w:r>
      <w:r/>
    </w:p>
    <w:p>
      <w:pPr>
        <w:jc w:val="left"/>
        <w:spacing w:line="500" w:lineRule="exact"/>
        <w:widowControl/>
        <w:rPr>
          <w:bCs/>
          <w:sz w:val="24"/>
          <w:highlight w:val="yellow"/>
        </w:rPr>
        <w:outlineLvl w:val="2"/>
      </w:pPr>
      <w:r>
        <w:rPr>
          <w:rFonts w:hint="eastAsia"/>
          <w:bCs/>
          <w:sz w:val="24"/>
          <w:highlight w:val="yellow"/>
        </w:rPr>
        <w:t xml:space="preserve">1.1.1</w:t>
      </w:r>
      <w:r>
        <w:rPr>
          <w:rFonts w:hint="eastAsia" w:eastAsia="宋体"/>
          <w:bCs/>
          <w:sz w:val="24"/>
          <w:highlight w:val="yellow"/>
          <w:lang w:val="en-US" w:eastAsia="zh-CN"/>
        </w:rPr>
        <w:t xml:space="preserve">4</w:t>
      </w:r>
      <w:r>
        <w:rPr>
          <w:rFonts w:ascii="宋体" w:hAnsi="宋体" w:eastAsia="宋体"/>
          <w:color w:val="000000"/>
          <w:sz w:val="21"/>
          <w:szCs w:val="21"/>
          <w:highlight w:val="yellow"/>
        </w:rPr>
        <w:t xml:space="preserve">▲</w:t>
      </w:r>
      <w:r>
        <w:rPr>
          <w:rFonts w:hint="eastAsia"/>
          <w:bCs/>
          <w:sz w:val="24"/>
          <w:highlight w:val="yellow"/>
        </w:rPr>
        <w:t xml:space="preserve">水泵主要部件材料</w:t>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泵壳</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bookmarkStart w:id="47" w:name="_Hlk182321655"/>
      <w:r>
        <w:rPr>
          <w:rFonts w:hint="eastAsia" w:ascii="Times New Roman" w:hAnsi="Times New Roman"/>
          <w:bCs/>
          <w:highlight w:val="yellow"/>
        </w:rPr>
        <w:t xml:space="preserve">HT250材质（同等或或性能优于HT250材质）</w:t>
      </w:r>
      <w:bookmarkEnd w:id="47"/>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叶轮</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bookmarkStart w:id="48" w:name="_Hlk182321664"/>
      <w:r>
        <w:rPr>
          <w:rFonts w:hint="eastAsia" w:ascii="Times New Roman" w:hAnsi="Times New Roman"/>
          <w:bCs/>
          <w:highlight w:val="yellow"/>
        </w:rPr>
        <w:t xml:space="preserve">304不锈钢材质</w:t>
      </w:r>
      <w:bookmarkEnd w:id="48"/>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轴</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 xml:space="preserve">   不锈钢12Cr13材质</w:t>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轴套</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bookmarkStart w:id="49" w:name="_Hlk182321689"/>
      <w:r>
        <w:rPr>
          <w:rFonts w:hint="eastAsia" w:ascii="Times New Roman" w:hAnsi="Times New Roman"/>
          <w:bCs/>
          <w:highlight w:val="yellow"/>
        </w:rPr>
        <w:t xml:space="preserve">不锈钢06Cr19Ni10</w:t>
      </w:r>
      <w:bookmarkEnd w:id="49"/>
      <w:r>
        <w:rPr>
          <w:rFonts w:hint="eastAsia" w:ascii="Times New Roman" w:hAnsi="Times New Roman"/>
          <w:bCs/>
          <w:highlight w:val="yellow"/>
        </w:rPr>
        <w:t xml:space="preserve">材质</w:t>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密封</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 xml:space="preserve">机械密封</w:t>
      </w:r>
      <w:r/>
    </w:p>
    <w:p>
      <w:pPr>
        <w:pStyle w:val="925"/>
        <w:ind w:firstLine="480"/>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耐磨环</w:t>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ab/>
      </w:r>
      <w:r>
        <w:rPr>
          <w:rFonts w:hint="eastAsia" w:ascii="Times New Roman" w:hAnsi="Times New Roman"/>
          <w:bCs/>
          <w:highlight w:val="yellow"/>
        </w:rPr>
        <w:t xml:space="preserve">   锡磷青铜材质</w:t>
      </w:r>
      <w:r/>
    </w:p>
    <w:p>
      <w:pPr>
        <w:pStyle w:val="907"/>
        <w:spacing w:line="500" w:lineRule="exact"/>
        <w:tabs>
          <w:tab w:val="left" w:pos="567" w:leader="none"/>
        </w:tabs>
        <w:rPr>
          <w:rFonts w:ascii="Times New Roman" w:hAnsi="Times New Roman" w:eastAsia="宋体"/>
          <w:b/>
          <w:bCs/>
          <w:spacing w:val="-4"/>
          <w:sz w:val="24"/>
          <w:szCs w:val="24"/>
          <w:lang w:bidi="zh-CN"/>
        </w:rPr>
        <w:outlineLvl w:val="1"/>
      </w:pPr>
      <w:r>
        <w:rPr>
          <w:rFonts w:hint="eastAsia" w:ascii="Times New Roman" w:hAnsi="Times New Roman" w:eastAsia="宋体"/>
          <w:bCs/>
          <w:sz w:val="24"/>
          <w:szCs w:val="24"/>
        </w:rPr>
        <w:br w:type="page" w:clear="all"/>
      </w:r>
      <w:r>
        <w:rPr>
          <w:rFonts w:hint="eastAsia" w:ascii="Times New Roman" w:hAnsi="Times New Roman" w:eastAsia="宋体"/>
          <w:b/>
          <w:bCs/>
          <w:spacing w:val="-4"/>
          <w:sz w:val="24"/>
          <w:szCs w:val="24"/>
          <w:lang w:bidi="zh-CN"/>
        </w:rPr>
        <w:t xml:space="preserve">1.2水泵配套电机技术要求</w:t>
      </w:r>
      <w:r/>
    </w:p>
    <w:p>
      <w:pPr>
        <w:pStyle w:val="925"/>
        <w:spacing w:before="0" w:beforeAutospacing="0" w:after="0" w:afterAutospacing="0" w:line="500" w:lineRule="exact"/>
        <w:rPr>
          <w:rFonts w:ascii="Times New Roman" w:hAnsi="Times New Roman"/>
          <w:bCs/>
          <w:highlight w:val="yellow"/>
        </w:rPr>
      </w:pPr>
      <w:r>
        <w:rPr>
          <w:rFonts w:hint="eastAsia" w:ascii="Times New Roman" w:hAnsi="Times New Roman"/>
          <w:bCs/>
          <w:highlight w:val="yellow"/>
        </w:rPr>
        <w:t xml:space="preserve">1.2.1一般电气要求</w:t>
      </w:r>
      <w:r>
        <w:rPr>
          <w:rFonts w:hint="eastAsia" w:ascii="Times New Roman" w:hAnsi="Times New Roman" w:eastAsia="宋体"/>
          <w:bCs/>
          <w:highlight w:val="yellow"/>
          <w:lang w:eastAsia="zh-CN"/>
        </w:rPr>
        <w:t xml:space="preserve">：</w:t>
      </w:r>
      <w:r>
        <w:rPr>
          <w:rFonts w:hint="eastAsia" w:ascii="Times New Roman" w:hAnsi="Times New Roman"/>
          <w:bCs/>
          <w:highlight w:val="yellow"/>
        </w:rPr>
        <w:t xml:space="preserve">电机能耗等级须符合 GB18613-2020中二级能效要求；</w:t>
      </w:r>
      <w:r/>
    </w:p>
    <w:p>
      <w:pPr>
        <w:jc w:val="left"/>
        <w:spacing w:line="500" w:lineRule="exact"/>
        <w:widowControl/>
        <w:rPr>
          <w:bCs/>
          <w:sz w:val="24"/>
        </w:rPr>
        <w:outlineLvl w:val="2"/>
      </w:pPr>
      <w:r>
        <w:rPr>
          <w:rFonts w:hint="eastAsia"/>
          <w:sz w:val="24"/>
          <w:lang w:bidi="ar"/>
        </w:rPr>
        <w:t xml:space="preserve">1.2.2电源电压：</w:t>
      </w:r>
      <w:r>
        <w:rPr>
          <w:rFonts w:hint="eastAsia"/>
          <w:bCs/>
          <w:sz w:val="24"/>
        </w:rPr>
        <w:t xml:space="preserve">采用380V</w:t>
      </w:r>
      <w:r/>
    </w:p>
    <w:p>
      <w:pPr>
        <w:jc w:val="left"/>
        <w:spacing w:line="500" w:lineRule="exact"/>
        <w:widowControl/>
        <w:rPr>
          <w:bCs/>
          <w:sz w:val="24"/>
        </w:rPr>
        <w:outlineLvl w:val="2"/>
      </w:pPr>
      <w:r>
        <w:rPr>
          <w:rFonts w:hint="eastAsia"/>
          <w:sz w:val="24"/>
          <w:highlight w:val="yellow"/>
          <w:lang w:bidi="ar"/>
        </w:rPr>
        <w:t xml:space="preserve">1.2.3</w:t>
      </w:r>
      <w:r>
        <w:rPr>
          <w:rFonts w:ascii="宋体" w:hAnsi="宋体" w:eastAsia="宋体"/>
          <w:color w:val="000000"/>
          <w:sz w:val="21"/>
          <w:szCs w:val="21"/>
          <w:highlight w:val="yellow"/>
        </w:rPr>
        <w:t xml:space="preserve">▲</w:t>
      </w:r>
      <w:r>
        <w:rPr>
          <w:rFonts w:hint="eastAsia"/>
          <w:sz w:val="24"/>
          <w:highlight w:val="yellow"/>
          <w:lang w:bidi="ar"/>
        </w:rPr>
        <w:t xml:space="preserve">效率：</w:t>
      </w:r>
      <w:r>
        <w:rPr>
          <w:rFonts w:hint="eastAsia"/>
          <w:bCs/>
          <w:sz w:val="24"/>
          <w:highlight w:val="yellow"/>
        </w:rPr>
        <w:t xml:space="preserve">η≥9</w:t>
      </w:r>
      <w:r>
        <w:rPr>
          <w:bCs/>
          <w:sz w:val="24"/>
          <w:highlight w:val="yellow"/>
        </w:rPr>
        <w:t xml:space="preserve">4.5</w:t>
      </w:r>
      <w:r>
        <w:rPr>
          <w:rFonts w:hint="eastAsia"/>
          <w:bCs/>
          <w:sz w:val="24"/>
          <w:highlight w:val="yellow"/>
        </w:rPr>
        <w:t xml:space="preserve">%</w:t>
      </w:r>
      <w:r/>
    </w:p>
    <w:p>
      <w:pPr>
        <w:jc w:val="left"/>
        <w:spacing w:line="500" w:lineRule="exact"/>
        <w:widowControl/>
        <w:rPr>
          <w:bCs/>
          <w:sz w:val="24"/>
        </w:rPr>
        <w:outlineLvl w:val="2"/>
      </w:pPr>
      <w:r>
        <w:rPr>
          <w:rFonts w:hint="eastAsia"/>
          <w:bCs/>
          <w:sz w:val="24"/>
          <w:highlight w:val="yellow"/>
        </w:rPr>
        <w:t xml:space="preserve">1.2.4</w:t>
      </w:r>
      <w:r>
        <w:rPr>
          <w:rFonts w:ascii="宋体" w:hAnsi="宋体" w:eastAsia="宋体"/>
          <w:color w:val="000000"/>
          <w:sz w:val="21"/>
          <w:szCs w:val="21"/>
          <w:highlight w:val="yellow"/>
        </w:rPr>
        <w:t xml:space="preserve">▲</w:t>
      </w:r>
      <w:r>
        <w:rPr>
          <w:rFonts w:hint="eastAsia"/>
          <w:bCs/>
          <w:sz w:val="24"/>
          <w:highlight w:val="yellow"/>
        </w:rPr>
        <w:t xml:space="preserve">电机为全封闭风冷或水冷结构，外壳防护等级不低于IP54</w:t>
      </w:r>
      <w:r/>
    </w:p>
    <w:p>
      <w:pPr>
        <w:jc w:val="left"/>
        <w:spacing w:line="500" w:lineRule="exact"/>
        <w:widowControl/>
        <w:rPr>
          <w:bCs/>
          <w:sz w:val="24"/>
        </w:rPr>
        <w:outlineLvl w:val="2"/>
      </w:pPr>
      <w:r>
        <w:rPr>
          <w:rFonts w:hint="eastAsia"/>
          <w:sz w:val="24"/>
          <w:lang w:bidi="ar"/>
        </w:rPr>
        <w:t xml:space="preserve">1.2.5</w:t>
      </w:r>
      <w:r>
        <w:rPr>
          <w:rFonts w:hint="eastAsia"/>
          <w:bCs/>
          <w:sz w:val="24"/>
        </w:rPr>
        <w:t xml:space="preserve">电机定转子绝缘涂层及电机内部绝缘材料均采用H级绝缘，绕组耐温200℃</w:t>
      </w:r>
      <w:r/>
    </w:p>
    <w:p>
      <w:pPr>
        <w:jc w:val="left"/>
        <w:spacing w:line="500" w:lineRule="exact"/>
        <w:widowControl/>
        <w:rPr>
          <w:sz w:val="24"/>
          <w:lang w:bidi="ar"/>
        </w:rPr>
        <w:outlineLvl w:val="2"/>
      </w:pPr>
      <w:r>
        <w:rPr>
          <w:rFonts w:hint="eastAsia"/>
          <w:sz w:val="24"/>
          <w:lang w:bidi="ar"/>
        </w:rPr>
        <w:t xml:space="preserve">1.2.6定子机座</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a）采用优质的耐腐蚀防护和表层喷漆，保护电机在内免受气候影响。</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b）电动机所有部件采用防腐工艺处理，满足“三防”要求。</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c）电动机采用绝缘结构预防轴电流。</w:t>
      </w:r>
      <w:r/>
    </w:p>
    <w:p>
      <w:pPr>
        <w:jc w:val="left"/>
        <w:spacing w:line="500" w:lineRule="exact"/>
        <w:widowControl/>
        <w:rPr>
          <w:sz w:val="24"/>
          <w:lang w:bidi="ar"/>
        </w:rPr>
        <w:outlineLvl w:val="2"/>
      </w:pPr>
      <w:r>
        <w:rPr>
          <w:rFonts w:hint="eastAsia"/>
          <w:sz w:val="24"/>
          <w:lang w:bidi="ar"/>
        </w:rPr>
        <w:t xml:space="preserve">1.2.7定子铁芯</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a）定子叠层铁芯应采用低损耗、双面绝缘、无时效、高导磁系数、机械性能优良的优质冷轧薄50W350硅钢片叠装成整圆，绝缘材料绝缘等级采用H级绝缘，耐温200℃，采用高硬度冲片模具，端板及齿压板一体化设计、一次性加工，保证叠压系数的技术要求，确保端部无翘齿、整齐度高。定子绕组用槽楔固定在铁芯槽内，定子接线盒的尺寸应能承受电缆头的重量及容纳铜芯电缆的安装。接线为密封结构。</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b）定子铁芯内的通风沟布置应使气流通畅平稳，让铁芯充分冷却，风摩阻损耗最小。通风槽钢能承受安装和运行所施加的压力而不产生有害变形。</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c）定子和转子组装完成后，定子内圆半径和转子外圆半径的最大或最小值分别与其平均半径之差不大于设计空气间隙的±4%。</w:t>
      </w:r>
      <w:r/>
    </w:p>
    <w:p>
      <w:pPr>
        <w:jc w:val="left"/>
        <w:spacing w:line="500" w:lineRule="exact"/>
        <w:widowControl/>
        <w:rPr>
          <w:sz w:val="24"/>
          <w:lang w:bidi="ar"/>
        </w:rPr>
        <w:outlineLvl w:val="2"/>
      </w:pPr>
      <w:r>
        <w:rPr>
          <w:rFonts w:hint="eastAsia"/>
          <w:sz w:val="24"/>
          <w:lang w:bidi="ar"/>
        </w:rPr>
        <w:t xml:space="preserve">1.2.8定子绕组</w:t>
      </w:r>
      <w:r/>
    </w:p>
    <w:p>
      <w:pPr>
        <w:pStyle w:val="925"/>
        <w:numPr>
          <w:ilvl w:val="0"/>
          <w:numId w:val="5"/>
        </w:numPr>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定子绕组应采用成型绕组，真空浸渍处理（VPI）。浸漆流程应为全自动化、全过程的真空度、压力、温度监控。所有电动机的使用寿命在现场规定的工作制下，不小于30年。</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b）定子绕组的绝缘应符合IEC-34规定的F级绝缘。</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c）成形的线棒应保证导体周边绝缘厚度均匀，并是严密的、无气隙、具有一定弹性、均匀圆滑无明显棱角和尖角的整体，并具有良好的电气性能、机械性能、抗老化、耐潮湿性能和具有不燃或难燃特性。</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d）定子绕组应具有互换性。</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e）线圈的端部和连接线均应牢靠地支撑和固定，以防止电动机在可能遭受严重的作用力时产生变形和振动。</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f）绕组应具有良好的防电晕和耐腐蚀能力。</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g）所有的接头和连接应采用银铜焊或冷压工艺。接头绝缘（或并头套）与线棒主绝缘的搭接长度应符合有关规定要求。</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h）定子绕组在实际冷态下，最大与最小两相间的直流电阻差值，在校正由于引线长度不同引起的误差后，应不超过最小值的1%。</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i）定子绕组应在相角和电压相序上沿整个定子圆周完全对称并均匀分布，在绕组布置上要考虑到使气隙磁场中谐波分量最小。</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j）电机定子绕组的耐压试验和匝间耐压试验按JB/T7118、GB/T22715要求进行。</w:t>
      </w:r>
      <w:r/>
    </w:p>
    <w:p>
      <w:pPr>
        <w:jc w:val="left"/>
        <w:spacing w:line="500" w:lineRule="exact"/>
        <w:widowControl/>
        <w:rPr>
          <w:sz w:val="24"/>
          <w:lang w:bidi="ar"/>
        </w:rPr>
        <w:outlineLvl w:val="2"/>
      </w:pPr>
      <w:r>
        <w:rPr>
          <w:rFonts w:hint="eastAsia"/>
          <w:sz w:val="24"/>
          <w:lang w:bidi="ar"/>
        </w:rPr>
        <w:t xml:space="preserve">1.2.9电机转子</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a）电机转子采用50WW350的无取向冷轧硅钢片，绝缘材料绝缘等级不低于H级绝缘，耐温不低于200℃；</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b）电机转子的校平衡品质等级达到G1.0标准。</w:t>
      </w:r>
      <w:r/>
    </w:p>
    <w:p>
      <w:pPr>
        <w:jc w:val="left"/>
        <w:spacing w:line="500" w:lineRule="exact"/>
        <w:widowControl/>
        <w:rPr>
          <w:sz w:val="24"/>
          <w:lang w:bidi="ar"/>
        </w:rPr>
        <w:outlineLvl w:val="2"/>
      </w:pPr>
      <w:r>
        <w:rPr>
          <w:rFonts w:hint="eastAsia"/>
          <w:sz w:val="24"/>
          <w:lang w:bidi="ar"/>
        </w:rPr>
        <w:t xml:space="preserve">1.2.10电机轴</w:t>
      </w:r>
      <w:r/>
    </w:p>
    <w:p>
      <w:pPr>
        <w:pStyle w:val="906"/>
        <w:ind w:firstLine="480"/>
        <w:spacing w:line="500" w:lineRule="exact"/>
        <w:widowControl/>
        <w:rPr>
          <w:rFonts w:ascii="Times New Roman" w:hAnsi="Times New Roman"/>
          <w:bCs/>
          <w:sz w:val="24"/>
          <w:szCs w:val="24"/>
        </w:rPr>
      </w:pPr>
      <w:r>
        <w:rPr>
          <w:rFonts w:hint="eastAsia" w:ascii="Times New Roman" w:hAnsi="Times New Roman"/>
          <w:bCs/>
          <w:sz w:val="24"/>
          <w:szCs w:val="24"/>
        </w:rPr>
        <w:t xml:space="preserve">a）电动机轴采用优质</w:t>
      </w:r>
      <w:r>
        <w:rPr>
          <w:rFonts w:hint="eastAsia" w:ascii="Times New Roman" w:hAnsi="Times New Roman"/>
          <w:sz w:val="24"/>
          <w:szCs w:val="24"/>
        </w:rPr>
        <w:t xml:space="preserve">40Cr</w:t>
      </w:r>
      <w:r>
        <w:rPr>
          <w:rFonts w:hint="eastAsia" w:ascii="Times New Roman" w:hAnsi="Times New Roman"/>
          <w:bCs/>
          <w:sz w:val="24"/>
          <w:szCs w:val="24"/>
        </w:rPr>
        <w:t xml:space="preserve">钢锻造而成应有足够的刚度和强度，使在瞬态转速运行的条件下，其变形、振动和安全系数均在规定的范围内。</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b）轴应采用优质钢，并应进行热处理，热处理后任意截面的机械性能应保持均匀。</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c）主轴应在制造厂按GB/T6402进行无损探伤检验，不应有裂纹和影响使用性能的缺陷。</w:t>
      </w:r>
      <w:r/>
    </w:p>
    <w:p>
      <w:pPr>
        <w:pStyle w:val="925"/>
        <w:ind w:firstLine="480"/>
        <w:spacing w:before="0" w:beforeAutospacing="0" w:after="0" w:afterAutospacing="0" w:line="500" w:lineRule="exact"/>
        <w:rPr>
          <w:rFonts w:ascii="Times New Roman" w:hAnsi="Times New Roman"/>
          <w:bCs/>
        </w:rPr>
      </w:pPr>
      <w:r>
        <w:rPr>
          <w:rFonts w:hint="eastAsia" w:ascii="Times New Roman" w:hAnsi="Times New Roman"/>
          <w:bCs/>
        </w:rPr>
        <w:t xml:space="preserve">d）主轴应有足够的强度和刚度以承担正常和非正常运行情况下作用于轴上的各种转矩和力，并使应力、挠度均在允许范围之内，以保证机组的安全和正常运行，且长期停机情况下，满足不盘车的要求。与水泵轴联接的法兰尺寸及相应轴径应与水泵供货厂家商定，其应符合有关规定。</w:t>
      </w:r>
      <w:r/>
    </w:p>
    <w:p>
      <w:pPr>
        <w:jc w:val="left"/>
        <w:spacing w:line="500" w:lineRule="exact"/>
        <w:widowControl/>
        <w:rPr>
          <w:bCs/>
          <w:sz w:val="24"/>
        </w:rPr>
        <w:outlineLvl w:val="2"/>
      </w:pPr>
      <w:r>
        <w:rPr>
          <w:rFonts w:hint="eastAsia"/>
          <w:bCs/>
          <w:sz w:val="24"/>
        </w:rPr>
        <w:t xml:space="preserve">1.2.11采用原装SKF或FAG轴承，轴承的使用寿命不得低于8万小时。轴承均用免维护轴承，保证轴承工作时最高温度不超过70℃或轴承温升不超过35℃。</w:t>
      </w:r>
      <w:r/>
    </w:p>
    <w:p>
      <w:pPr>
        <w:pStyle w:val="907"/>
        <w:spacing w:line="500" w:lineRule="exact"/>
        <w:tabs>
          <w:tab w:val="left" w:pos="567" w:leader="none"/>
        </w:tabs>
        <w:rPr>
          <w:rFonts w:ascii="Times New Roman" w:hAnsi="Times New Roman" w:eastAsia="宋体"/>
          <w:b/>
          <w:bCs/>
          <w:spacing w:val="-4"/>
          <w:sz w:val="24"/>
          <w:szCs w:val="24"/>
          <w:lang w:bidi="zh-CN"/>
        </w:rPr>
        <w:outlineLvl w:val="1"/>
      </w:pPr>
      <w:r>
        <w:rPr>
          <w:rFonts w:hint="eastAsia" w:ascii="Times New Roman" w:hAnsi="Times New Roman" w:eastAsia="宋体"/>
          <w:bCs/>
          <w:sz w:val="24"/>
          <w:szCs w:val="24"/>
        </w:rPr>
        <w:br w:type="page" w:clear="all"/>
      </w:r>
      <w:r>
        <w:rPr>
          <w:rFonts w:hint="eastAsia" w:ascii="Times New Roman" w:hAnsi="Times New Roman" w:eastAsia="宋体"/>
          <w:b/>
          <w:bCs/>
          <w:spacing w:val="-4"/>
          <w:sz w:val="24"/>
          <w:szCs w:val="24"/>
          <w:lang w:bidi="zh-CN"/>
        </w:rPr>
        <w:t xml:space="preserve">1.3智能控制技术要求</w:t>
      </w:r>
      <w:r/>
    </w:p>
    <w:p>
      <w:pPr>
        <w:jc w:val="left"/>
        <w:spacing w:line="500" w:lineRule="exact"/>
        <w:widowControl/>
        <w:rPr>
          <w:spacing w:val="2"/>
          <w:sz w:val="24"/>
          <w:highlight w:val="none"/>
        </w:rPr>
        <w:outlineLvl w:val="2"/>
      </w:pPr>
      <w:r>
        <w:rPr>
          <w:rFonts w:hint="eastAsia"/>
          <w:sz w:val="24"/>
          <w:lang w:bidi="ar"/>
        </w:rPr>
        <w:t xml:space="preserve">1.3.1</w:t>
      </w:r>
      <w:r>
        <w:rPr>
          <w:rFonts w:hint="eastAsia"/>
          <w:spacing w:val="2"/>
          <w:sz w:val="24"/>
        </w:rPr>
        <w:t xml:space="preserve">智能控制系统</w:t>
      </w:r>
      <w:r/>
    </w:p>
    <w:p>
      <w:pPr>
        <w:pStyle w:val="925"/>
        <w:ind w:firstLine="488"/>
        <w:spacing w:before="0" w:beforeAutospacing="0" w:after="0" w:afterAutospacing="0" w:line="500" w:lineRule="exact"/>
        <w:rPr>
          <w:rFonts w:ascii="Times New Roman" w:hAnsi="Times New Roman"/>
          <w:b/>
          <w:color w:val="auto"/>
          <w:spacing w:val="2"/>
        </w:rPr>
      </w:pPr>
      <w:r>
        <w:rPr>
          <w:rFonts w:hint="eastAsia" w:ascii="Times New Roman" w:hAnsi="Times New Roman"/>
          <w:b/>
          <w:color w:val="auto"/>
          <w:spacing w:val="2"/>
          <w:highlight w:val="none"/>
        </w:rPr>
        <w:t xml:space="preserve">要求具备智能变频控制系统。</w:t>
      </w:r>
      <w:r>
        <w:rPr>
          <w:rFonts w:ascii="Times New Roman" w:hAnsi="Times New Roman"/>
          <w:b/>
          <w:color w:val="auto"/>
          <w:spacing w:val="2"/>
          <w:highlight w:val="none"/>
        </w:rPr>
        <w:t xml:space="preserve">变频控制系统要求如下：</w:t>
      </w:r>
      <w:r>
        <w:rPr>
          <w:rFonts w:ascii="Segoe UI" w:hAnsi="Segoe UI" w:cs="Segoe UI"/>
          <w:color w:val="0f1115"/>
          <w:sz w:val="21"/>
          <w:highlight w:val="yellow"/>
        </w:rPr>
        <w:br/>
      </w:r>
      <w:r>
        <w:rPr>
          <w:rFonts w:hint="eastAsia" w:ascii="Times New Roman" w:hAnsi="Times New Roman"/>
          <w:spacing w:val="2"/>
          <w:highlight w:val="none"/>
        </w:rPr>
        <w:t xml:space="preserve">（1）</w:t>
      </w:r>
      <w:r>
        <w:rPr>
          <w:rFonts w:hint="eastAsia" w:ascii="Times New Roman" w:hAnsi="Times New Roman"/>
          <w:bCs/>
          <w:highlight w:val="none"/>
        </w:rPr>
        <w:t xml:space="preserve">★</w:t>
      </w:r>
      <w:r>
        <w:rPr>
          <w:rFonts w:ascii="Times New Roman" w:hAnsi="Times New Roman"/>
          <w:color w:val="auto"/>
          <w:spacing w:val="2"/>
          <w:highlight w:val="none"/>
        </w:rPr>
        <w:t xml:space="preserve">系统采用“一对一”全变频控制方式，即每台水泵均独立配置一台水泵专用变频器。</w:t>
      </w:r>
      <w:r>
        <w:rPr>
          <w:rFonts w:ascii="Times New Roman" w:hAnsi="Times New Roman"/>
          <w:color w:val="auto"/>
          <w:spacing w:val="2"/>
          <w:highlight w:val="none"/>
        </w:rPr>
        <w:br/>
      </w:r>
      <w:r>
        <w:rPr>
          <w:rFonts w:hint="eastAsia" w:ascii="Times New Roman" w:hAnsi="Times New Roman"/>
          <w:spacing w:val="2"/>
          <w:highlight w:val="none"/>
        </w:rPr>
        <w:t xml:space="preserve">（2）</w:t>
      </w:r>
      <w:r>
        <w:rPr>
          <w:rFonts w:ascii="Times New Roman" w:hAnsi="Times New Roman"/>
          <w:color w:val="auto"/>
          <w:spacing w:val="2"/>
          <w:highlight w:val="none"/>
        </w:rPr>
        <w:t xml:space="preserve">变频器须为水泵专用型，具备PID调节功能，能根据管网压力自动调节水泵转速。</w:t>
      </w:r>
      <w:r>
        <w:rPr>
          <w:rFonts w:ascii="Times New Roman" w:hAnsi="Times New Roman"/>
          <w:color w:val="auto"/>
          <w:spacing w:val="2"/>
          <w:highlight w:val="none"/>
        </w:rPr>
        <w:br/>
      </w:r>
      <w:r>
        <w:rPr>
          <w:rFonts w:hint="eastAsia" w:ascii="Times New Roman" w:hAnsi="Times New Roman"/>
          <w:spacing w:val="2"/>
          <w:highlight w:val="none"/>
        </w:rPr>
        <w:t xml:space="preserve">（3）</w:t>
      </w:r>
      <w:r>
        <w:rPr>
          <w:rFonts w:ascii="Times New Roman" w:hAnsi="Times New Roman"/>
          <w:color w:val="auto"/>
          <w:spacing w:val="2"/>
          <w:highlight w:val="none"/>
        </w:rPr>
        <w:t xml:space="preserve">变频器应具备RS485通讯接口，支持MODBUS通讯协议，能够与控制中心实时交换数据。</w:t>
      </w:r>
      <w:r>
        <w:rPr>
          <w:rFonts w:ascii="Times New Roman" w:hAnsi="Times New Roman"/>
          <w:color w:val="auto"/>
          <w:spacing w:val="2"/>
          <w:highlight w:val="none"/>
        </w:rPr>
        <w:br/>
      </w:r>
      <w:r>
        <w:rPr>
          <w:rFonts w:hint="eastAsia" w:ascii="Times New Roman" w:hAnsi="Times New Roman"/>
          <w:spacing w:val="2"/>
          <w:highlight w:val="none"/>
        </w:rPr>
        <w:t xml:space="preserve">（4）</w:t>
      </w:r>
      <w:r>
        <w:rPr>
          <w:rFonts w:ascii="Times New Roman" w:hAnsi="Times New Roman"/>
          <w:color w:val="auto"/>
          <w:spacing w:val="2"/>
          <w:highlight w:val="none"/>
        </w:rPr>
        <w:t xml:space="preserve"> 变频器应具备过电压、过电流、欠电压、缺相、变频器过载、过热、电机过载等保护功能。</w:t>
      </w:r>
      <w:r>
        <w:rPr>
          <w:rFonts w:ascii="Times New Roman" w:hAnsi="Times New Roman"/>
          <w:color w:val="auto"/>
          <w:spacing w:val="2"/>
          <w:highlight w:val="none"/>
        </w:rPr>
        <w:br/>
      </w:r>
      <w:r>
        <w:rPr>
          <w:rFonts w:hint="eastAsia" w:ascii="Times New Roman" w:hAnsi="Times New Roman"/>
          <w:spacing w:val="2"/>
          <w:highlight w:val="none"/>
        </w:rPr>
        <w:t xml:space="preserve">（5）</w:t>
      </w:r>
      <w:r>
        <w:rPr>
          <w:rFonts w:ascii="Times New Roman" w:hAnsi="Times New Roman"/>
          <w:color w:val="auto"/>
          <w:spacing w:val="2"/>
          <w:highlight w:val="none"/>
        </w:rPr>
        <w:t xml:space="preserve"> 变频器品牌建议：参考国际或国内一线品牌（如ABB、西门子、施耐德或同档次品牌）</w:t>
      </w:r>
      <w:r/>
    </w:p>
    <w:p>
      <w:pPr>
        <w:jc w:val="left"/>
        <w:spacing w:line="500" w:lineRule="exact"/>
        <w:widowControl/>
        <w:rPr>
          <w:sz w:val="24"/>
          <w:lang w:bidi="ar"/>
        </w:rPr>
        <w:outlineLvl w:val="2"/>
      </w:pPr>
      <w:r>
        <w:rPr>
          <w:rFonts w:hint="eastAsia"/>
          <w:sz w:val="24"/>
          <w:lang w:bidi="ar"/>
        </w:rPr>
        <w:t xml:space="preserve">1.3.2功能显示</w:t>
      </w:r>
      <w:r/>
    </w:p>
    <w:p>
      <w:pPr>
        <w:pStyle w:val="925"/>
        <w:ind w:firstLine="420"/>
        <w:spacing w:before="0" w:beforeAutospacing="0" w:after="0" w:afterAutospacing="0" w:line="500" w:lineRule="exact"/>
        <w:rPr>
          <w:rFonts w:ascii="Times New Roman" w:hAnsi="Times New Roman"/>
          <w:spacing w:val="2"/>
        </w:rPr>
      </w:pPr>
      <w:r>
        <w:rPr>
          <w:rFonts w:eastAsia="宋体"/>
          <w:sz w:val="21"/>
          <w:szCs w:val="21"/>
        </w:rPr>
        <w:t xml:space="preserve">▲</w:t>
      </w:r>
      <w:r>
        <w:rPr>
          <w:rFonts w:hint="eastAsia" w:ascii="Times New Roman" w:hAnsi="Times New Roman"/>
          <w:spacing w:val="2"/>
        </w:rPr>
        <w:t xml:space="preserve">集成智能控制系统需有如下功能显示：</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（1）电流显示功能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（2）电压显示功能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（3）频率显示功能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（4）功率显示功能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（5）功率因数显示功能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（6）瞬时流量显示功能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（7）累计流量显示功能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（8）出水压力显示功能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（9）电机转速显示功能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（10）电机温度显示功能</w:t>
      </w:r>
      <w:r/>
    </w:p>
    <w:p>
      <w:pPr>
        <w:pStyle w:val="925"/>
        <w:ind w:firstLine="488"/>
        <w:spacing w:before="0" w:beforeAutospacing="0" w:after="0" w:afterAutospacing="0" w:line="500" w:lineRule="exact"/>
        <w:rPr>
          <w:rFonts w:ascii="Times New Roman" w:hAnsi="Times New Roman"/>
          <w:spacing w:val="2"/>
        </w:rPr>
      </w:pPr>
      <w:r>
        <w:rPr>
          <w:rFonts w:hint="eastAsia" w:ascii="Times New Roman" w:hAnsi="Times New Roman"/>
          <w:spacing w:val="2"/>
        </w:rPr>
        <w:t xml:space="preserve">（11）总用电量显示功能</w:t>
      </w:r>
      <w:r/>
    </w:p>
    <w:p>
      <w:pPr>
        <w:jc w:val="left"/>
        <w:spacing w:line="500" w:lineRule="exact"/>
        <w:widowControl/>
        <w:rPr>
          <w:sz w:val="24"/>
          <w:lang w:bidi="ar"/>
        </w:rPr>
        <w:outlineLvl w:val="2"/>
      </w:pPr>
      <w:r>
        <w:rPr>
          <w:rFonts w:hint="eastAsia"/>
          <w:sz w:val="24"/>
          <w:lang w:bidi="ar"/>
        </w:rPr>
        <w:t xml:space="preserve">1.3.3恒压、变压功能</w:t>
      </w:r>
      <w:r/>
    </w:p>
    <w:p>
      <w:pPr>
        <w:ind w:firstLine="420"/>
        <w:jc w:val="left"/>
        <w:spacing w:line="500" w:lineRule="exact"/>
        <w:widowControl/>
        <w:rPr>
          <w:spacing w:val="2"/>
          <w:sz w:val="24"/>
        </w:rPr>
      </w:pPr>
      <w:r>
        <w:rPr>
          <w:rFonts w:ascii="宋体" w:hAnsi="宋体" w:eastAsia="宋体"/>
          <w:color w:val="000000"/>
          <w:sz w:val="21"/>
          <w:szCs w:val="21"/>
        </w:rPr>
        <w:t xml:space="preserve">▲</w:t>
      </w:r>
      <w:r>
        <w:rPr>
          <w:rFonts w:hint="eastAsia"/>
          <w:spacing w:val="2"/>
          <w:sz w:val="24"/>
        </w:rPr>
        <w:t xml:space="preserve">水泵应具有自动恒压控制功能，保证供水的稳定性；应具有变压功能，根据实时采集的用水工况调节设定压力，使双驱泵节能运行。水泵恒压供水时，压力控制误差不应超出±0.01MPa。</w:t>
      </w:r>
      <w:r/>
    </w:p>
    <w:p>
      <w:pPr>
        <w:jc w:val="left"/>
        <w:spacing w:line="500" w:lineRule="exact"/>
        <w:widowControl/>
        <w:rPr>
          <w:sz w:val="24"/>
          <w:lang w:bidi="ar"/>
        </w:rPr>
        <w:outlineLvl w:val="2"/>
      </w:pPr>
      <w:r>
        <w:rPr>
          <w:rFonts w:hint="eastAsia"/>
          <w:sz w:val="24"/>
          <w:lang w:bidi="ar"/>
        </w:rPr>
        <w:t xml:space="preserve">1.3.4压力检测、反馈、控制系统</w:t>
      </w:r>
      <w:r/>
    </w:p>
    <w:p>
      <w:pPr>
        <w:ind w:firstLine="488"/>
        <w:jc w:val="left"/>
        <w:spacing w:line="500" w:lineRule="exact"/>
        <w:widowControl/>
        <w:rPr>
          <w:sz w:val="24"/>
        </w:rPr>
      </w:pPr>
      <w:r>
        <w:rPr>
          <w:rFonts w:hint="eastAsia"/>
          <w:spacing w:val="2"/>
          <w:sz w:val="24"/>
        </w:rPr>
        <w:t xml:space="preserve">变速泵进、出水口设置高灵敏度压力变送器，将压力信号传递到PLC控制模块，通过相关机械阻尼机构及PID调节消除变速泵进、出水口压力波动偏大的不良影响。</w:t>
      </w:r>
      <w:r/>
    </w:p>
    <w:p>
      <w:pPr>
        <w:jc w:val="left"/>
        <w:spacing w:line="500" w:lineRule="exact"/>
        <w:widowControl/>
        <w:rPr>
          <w:sz w:val="24"/>
          <w:lang w:bidi="ar"/>
        </w:rPr>
        <w:outlineLvl w:val="2"/>
      </w:pPr>
      <w:r>
        <w:rPr>
          <w:rFonts w:hint="eastAsia"/>
          <w:sz w:val="24"/>
          <w:lang w:bidi="ar"/>
        </w:rPr>
        <w:t xml:space="preserve">1.3.5数据历史可追溯</w:t>
      </w:r>
      <w:r/>
    </w:p>
    <w:p>
      <w:pPr>
        <w:ind w:firstLine="488"/>
        <w:jc w:val="left"/>
        <w:spacing w:line="500" w:lineRule="exact"/>
        <w:widowControl/>
        <w:rPr>
          <w:sz w:val="24"/>
        </w:rPr>
      </w:pPr>
      <w:r>
        <w:rPr>
          <w:rFonts w:hint="eastAsia"/>
          <w:spacing w:val="2"/>
          <w:sz w:val="24"/>
        </w:rPr>
        <w:t xml:space="preserve">配备网络终端控制器实时传输数据，采集记录每台泵的运行状态进行实时监控。历史数据永久存档，任意年月日，任意时间段的供水量、用电量等数据均可准确查询。</w:t>
      </w:r>
      <w:r/>
    </w:p>
    <w:p>
      <w:pPr>
        <w:jc w:val="left"/>
        <w:spacing w:line="500" w:lineRule="exact"/>
        <w:widowControl/>
        <w:rPr>
          <w:sz w:val="24"/>
          <w:lang w:bidi="ar"/>
        </w:rPr>
        <w:outlineLvl w:val="2"/>
      </w:pPr>
      <w:r>
        <w:rPr>
          <w:rFonts w:hint="eastAsia"/>
          <w:sz w:val="24"/>
          <w:lang w:bidi="ar"/>
        </w:rPr>
        <w:t xml:space="preserve">1.3.6保护系统</w:t>
      </w:r>
      <w:r/>
    </w:p>
    <w:p>
      <w:pPr>
        <w:ind w:firstLine="488"/>
        <w:jc w:val="left"/>
        <w:spacing w:line="500" w:lineRule="exact"/>
        <w:widowControl/>
        <w:rPr>
          <w:sz w:val="24"/>
        </w:rPr>
      </w:pPr>
      <w:r>
        <w:rPr>
          <w:rFonts w:hint="eastAsia"/>
          <w:spacing w:val="2"/>
          <w:sz w:val="24"/>
        </w:rPr>
        <w:t xml:space="preserve">对电源缺相、欠压、过压、过热、堵转、短路、欠流、过载、三相不平衡等故障，都能及时做出判断并实施保护，保证变速泵安全运行。</w:t>
      </w:r>
      <w:r/>
    </w:p>
    <w:p>
      <w:pPr>
        <w:jc w:val="left"/>
        <w:spacing w:line="500" w:lineRule="exact"/>
        <w:widowControl/>
        <w:rPr>
          <w:sz w:val="24"/>
          <w:lang w:bidi="ar"/>
        </w:rPr>
        <w:outlineLvl w:val="2"/>
      </w:pPr>
      <w:r>
        <w:rPr>
          <w:rFonts w:hint="eastAsia"/>
          <w:sz w:val="24"/>
          <w:lang w:bidi="ar"/>
        </w:rPr>
        <w:t xml:space="preserve">1.3.7人机交互系统</w:t>
      </w:r>
      <w:r/>
    </w:p>
    <w:p>
      <w:pPr>
        <w:ind w:firstLine="488"/>
        <w:jc w:val="left"/>
        <w:spacing w:line="500" w:lineRule="exact"/>
        <w:widowControl/>
        <w:rPr>
          <w:sz w:val="24"/>
        </w:rPr>
      </w:pPr>
      <w:r>
        <w:rPr>
          <w:rFonts w:hint="eastAsia"/>
          <w:spacing w:val="2"/>
          <w:sz w:val="24"/>
        </w:rPr>
        <w:t xml:space="preserve">操作界面简单直观，易学易操作。配备高清显示屏，随时查看设备各项运行参数。</w:t>
      </w:r>
      <w:r/>
    </w:p>
    <w:p>
      <w:pPr>
        <w:jc w:val="left"/>
        <w:spacing w:line="500" w:lineRule="exact"/>
        <w:widowControl/>
        <w:rPr>
          <w:sz w:val="24"/>
          <w:lang w:bidi="ar"/>
        </w:rPr>
        <w:outlineLvl w:val="2"/>
      </w:pPr>
      <w:r>
        <w:rPr>
          <w:rFonts w:hint="eastAsia"/>
          <w:sz w:val="24"/>
          <w:lang w:bidi="ar"/>
        </w:rPr>
        <w:t xml:space="preserve">1.3.8无水自动停机，有水自动开机功能</w:t>
      </w:r>
      <w:r/>
    </w:p>
    <w:p>
      <w:pPr>
        <w:ind w:firstLine="488"/>
        <w:jc w:val="left"/>
        <w:spacing w:line="500" w:lineRule="exact"/>
        <w:widowControl/>
        <w:rPr>
          <w:sz w:val="24"/>
        </w:rPr>
      </w:pPr>
      <w:r>
        <w:rPr>
          <w:rFonts w:hint="eastAsia"/>
          <w:spacing w:val="2"/>
          <w:sz w:val="24"/>
        </w:rPr>
        <w:t xml:space="preserve">在市政管网压力低于允许压力时应自动停机，并具有报警功能，水压恢复后应自动转入正常供水状态。</w:t>
      </w:r>
      <w:r/>
    </w:p>
    <w:p>
      <w:pPr>
        <w:jc w:val="left"/>
        <w:spacing w:line="500" w:lineRule="exact"/>
        <w:widowControl/>
        <w:rPr>
          <w:sz w:val="24"/>
          <w:lang w:bidi="ar"/>
        </w:rPr>
        <w:outlineLvl w:val="2"/>
      </w:pPr>
      <w:r>
        <w:rPr>
          <w:rFonts w:hint="eastAsia"/>
          <w:sz w:val="24"/>
          <w:lang w:bidi="ar"/>
        </w:rPr>
        <w:t xml:space="preserve">1.3.9恒压、变压功能</w:t>
      </w:r>
      <w:r/>
    </w:p>
    <w:p>
      <w:pPr>
        <w:ind w:firstLine="488"/>
        <w:jc w:val="left"/>
        <w:spacing w:line="500" w:lineRule="exact"/>
        <w:widowControl/>
        <w:rPr>
          <w:sz w:val="24"/>
        </w:rPr>
      </w:pPr>
      <w:r>
        <w:rPr>
          <w:rFonts w:hint="eastAsia"/>
          <w:spacing w:val="2"/>
          <w:sz w:val="24"/>
        </w:rPr>
        <w:t xml:space="preserve">设备应具有自动恒压控制功能，保证供水的稳定性；应具有变压功能，根据实时采集项目的用水工况调节设定压力，使变速泵节能运行。</w:t>
      </w:r>
      <w:r/>
    </w:p>
    <w:p>
      <w:pPr>
        <w:jc w:val="left"/>
        <w:spacing w:line="500" w:lineRule="exact"/>
        <w:widowControl/>
        <w:rPr>
          <w:sz w:val="24"/>
          <w:lang w:bidi="ar"/>
        </w:rPr>
        <w:outlineLvl w:val="2"/>
      </w:pPr>
      <w:r>
        <w:rPr>
          <w:rFonts w:hint="eastAsia"/>
          <w:sz w:val="24"/>
          <w:lang w:bidi="ar"/>
        </w:rPr>
        <w:t xml:space="preserve">1.3.10连续运行功能</w:t>
      </w:r>
      <w:r/>
    </w:p>
    <w:p>
      <w:pPr>
        <w:ind w:firstLine="488"/>
        <w:jc w:val="left"/>
        <w:spacing w:line="500" w:lineRule="exact"/>
        <w:widowControl/>
        <w:rPr>
          <w:sz w:val="24"/>
        </w:rPr>
      </w:pPr>
      <w:r>
        <w:rPr>
          <w:rFonts w:hint="eastAsia"/>
          <w:spacing w:val="2"/>
          <w:sz w:val="24"/>
        </w:rPr>
        <w:t xml:space="preserve">设备在工频额定工况下，连续运转不少于2h后，不应出现运转异常的现象。</w:t>
      </w:r>
      <w:r/>
    </w:p>
    <w:p>
      <w:pPr>
        <w:jc w:val="left"/>
        <w:spacing w:line="500" w:lineRule="exact"/>
        <w:widowControl/>
        <w:rPr>
          <w:sz w:val="24"/>
          <w:lang w:bidi="ar"/>
        </w:rPr>
        <w:outlineLvl w:val="2"/>
      </w:pPr>
      <w:r>
        <w:rPr>
          <w:rFonts w:hint="eastAsia"/>
          <w:sz w:val="24"/>
          <w:lang w:bidi="ar"/>
        </w:rPr>
        <w:t xml:space="preserve">1.3.11起停控制功能</w:t>
      </w:r>
      <w:r/>
    </w:p>
    <w:p>
      <w:pPr>
        <w:ind w:firstLine="488"/>
        <w:jc w:val="left"/>
        <w:spacing w:line="500" w:lineRule="exact"/>
        <w:widowControl/>
        <w:rPr>
          <w:sz w:val="24"/>
        </w:rPr>
      </w:pPr>
      <w:r>
        <w:rPr>
          <w:rFonts w:hint="eastAsia"/>
          <w:spacing w:val="2"/>
          <w:sz w:val="24"/>
        </w:rPr>
        <w:t xml:space="preserve">应具备自动启动、停止功能，即变速泵因报警或电源停电而停机，恢复后应自动启动。</w:t>
      </w:r>
      <w:r/>
    </w:p>
    <w:p>
      <w:pPr>
        <w:jc w:val="left"/>
        <w:spacing w:line="500" w:lineRule="exact"/>
        <w:widowControl/>
        <w:rPr>
          <w:sz w:val="24"/>
          <w:lang w:bidi="ar"/>
        </w:rPr>
        <w:outlineLvl w:val="2"/>
      </w:pPr>
      <w:r>
        <w:rPr>
          <w:rFonts w:hint="eastAsia"/>
          <w:sz w:val="24"/>
          <w:lang w:bidi="ar"/>
        </w:rPr>
        <w:t xml:space="preserve">1.3.12自动保护功能</w:t>
      </w:r>
      <w:r/>
    </w:p>
    <w:p>
      <w:pPr>
        <w:ind w:firstLine="488"/>
        <w:jc w:val="left"/>
        <w:spacing w:line="500" w:lineRule="exact"/>
        <w:widowControl/>
        <w:rPr>
          <w:sz w:val="24"/>
        </w:rPr>
      </w:pPr>
      <w:r>
        <w:rPr>
          <w:rFonts w:hint="eastAsia"/>
          <w:spacing w:val="2"/>
          <w:sz w:val="24"/>
        </w:rPr>
        <w:t xml:space="preserve">变速泵应具备自动保护功能，运行过程中出现电源过压、欠压、缺相、过流等故障时应自动停止运行并报警，对可恢复的故障应能自动或手动消除，恢复正常运行。</w:t>
      </w:r>
      <w:r/>
    </w:p>
    <w:p>
      <w:pPr>
        <w:jc w:val="left"/>
        <w:spacing w:line="500" w:lineRule="exact"/>
        <w:widowControl/>
        <w:rPr>
          <w:sz w:val="24"/>
          <w:lang w:bidi="ar"/>
        </w:rPr>
        <w:outlineLvl w:val="2"/>
      </w:pPr>
      <w:r>
        <w:rPr>
          <w:rFonts w:hint="eastAsia"/>
          <w:sz w:val="24"/>
          <w:lang w:bidi="ar"/>
        </w:rPr>
        <w:t xml:space="preserve">1.3.13超压保护功能</w:t>
      </w:r>
      <w:r/>
    </w:p>
    <w:p>
      <w:pPr>
        <w:ind w:firstLine="488"/>
        <w:jc w:val="left"/>
        <w:spacing w:line="500" w:lineRule="exact"/>
        <w:widowControl/>
        <w:rPr>
          <w:b/>
          <w:bCs/>
          <w:sz w:val="24"/>
        </w:rPr>
      </w:pPr>
      <w:r>
        <w:rPr>
          <w:rFonts w:hint="eastAsia"/>
          <w:spacing w:val="2"/>
          <w:sz w:val="24"/>
        </w:rPr>
        <w:t xml:space="preserve">设备应具有超压保护功能，运行过程中出现出水口压力超高时应自动停止运行并报警，超压消除后应自动恢复正常运行。</w:t>
      </w:r>
      <w:r>
        <w:rPr>
          <w:rFonts w:hint="eastAsia"/>
          <w:spacing w:val="-4"/>
          <w:sz w:val="24"/>
          <w:lang w:bidi="zh-CN"/>
        </w:rPr>
        <w:br w:type="page" w:clear="all"/>
      </w:r>
      <w:r>
        <w:rPr>
          <w:rFonts w:hint="eastAsia"/>
          <w:b/>
          <w:bCs/>
          <w:spacing w:val="-4"/>
          <w:sz w:val="24"/>
          <w:lang w:bidi="zh-CN"/>
        </w:rPr>
        <w:t xml:space="preserve">2、</w:t>
      </w:r>
      <w:r>
        <w:rPr>
          <w:b/>
          <w:bCs/>
          <w:spacing w:val="-4"/>
          <w:sz w:val="24"/>
          <w:lang w:bidi="zh-CN"/>
        </w:rPr>
        <w:t xml:space="preserve">安防与环境</w:t>
      </w:r>
      <w:r>
        <w:rPr>
          <w:rFonts w:hint="eastAsia"/>
          <w:b/>
          <w:bCs/>
          <w:spacing w:val="-4"/>
          <w:sz w:val="24"/>
          <w:lang w:bidi="zh-CN"/>
        </w:rPr>
        <w:t xml:space="preserve">技术</w:t>
      </w:r>
      <w:r>
        <w:rPr>
          <w:b/>
          <w:bCs/>
          <w:spacing w:val="-4"/>
          <w:sz w:val="24"/>
          <w:lang w:bidi="zh-CN"/>
        </w:rPr>
        <w:t xml:space="preserve">要求</w:t>
      </w:r>
      <w:r/>
    </w:p>
    <w:p>
      <w:pPr>
        <w:pStyle w:val="893"/>
        <w:spacing w:before="0" w:after="0" w:line="500" w:lineRule="exact"/>
        <w:tabs>
          <w:tab w:val="left" w:pos="0" w:leader="none"/>
          <w:tab w:val="left" w:pos="420" w:leader="none"/>
        </w:tabs>
        <w:rPr>
          <w:rFonts w:ascii="Times New Roman" w:hAnsi="Times New Roman" w:eastAsia="宋体"/>
          <w:szCs w:val="24"/>
        </w:rPr>
      </w:pPr>
      <w:r>
        <w:rPr>
          <w:rFonts w:ascii="Times New Roman" w:hAnsi="Times New Roman" w:eastAsia="宋体"/>
          <w:szCs w:val="24"/>
        </w:rPr>
        <w:t xml:space="preserve">红外高清网络摄像机（球机）</w:t>
      </w:r>
      <w:r>
        <w:rPr>
          <w:rFonts w:ascii="Times New Roman" w:hAnsi="Times New Roman" w:eastAsia="宋体"/>
          <w:szCs w:val="24"/>
        </w:rPr>
        <w:tab/>
      </w:r>
      <w:r/>
    </w:p>
    <w:p>
      <w:pPr>
        <w:ind w:firstLine="480"/>
        <w:spacing w:line="500" w:lineRule="exact"/>
        <w:rPr>
          <w:b/>
          <w:bCs/>
          <w:sz w:val="24"/>
        </w:rPr>
      </w:pPr>
      <w:r>
        <w:rPr>
          <w:sz w:val="24"/>
        </w:rPr>
        <w:t xml:space="preserve">球机可通过调整云台覆盖大部分关键部位，至少能覆盖控制柜、电源柜、供水机组、地面等，安装时需注意安装位置选择。建设要求如下：</w:t>
      </w:r>
      <w:r/>
    </w:p>
    <w:p>
      <w:pPr>
        <w:ind w:firstLine="480"/>
        <w:spacing w:line="500" w:lineRule="exact"/>
        <w:rPr>
          <w:sz w:val="24"/>
        </w:rPr>
      </w:pPr>
      <w:r>
        <w:rPr>
          <w:rFonts w:hint="eastAsia"/>
          <w:sz w:val="24"/>
        </w:rPr>
        <w:t xml:space="preserve">大于等于</w:t>
      </w:r>
      <w:r>
        <w:rPr>
          <w:sz w:val="24"/>
        </w:rPr>
        <w:t xml:space="preserve">200万像素4寸23倍星光轻智能网络高清球机；</w:t>
      </w:r>
      <w:r/>
    </w:p>
    <w:p>
      <w:pPr>
        <w:ind w:firstLine="480"/>
        <w:spacing w:line="500" w:lineRule="exact"/>
        <w:rPr>
          <w:sz w:val="24"/>
        </w:rPr>
      </w:pPr>
      <w:r>
        <w:rPr>
          <w:sz w:val="24"/>
        </w:rPr>
        <w:t xml:space="preserve">防雷、防浪涌、防突波，防护等级</w:t>
      </w:r>
      <w:r>
        <w:rPr>
          <w:rFonts w:hint="eastAsia"/>
          <w:sz w:val="24"/>
        </w:rPr>
        <w:t xml:space="preserve">大于等于</w:t>
      </w:r>
      <w:r>
        <w:rPr>
          <w:sz w:val="24"/>
        </w:rPr>
        <w:t xml:space="preserve">IP66；</w:t>
      </w:r>
      <w:r/>
    </w:p>
    <w:p>
      <w:pPr>
        <w:ind w:firstLine="480"/>
        <w:spacing w:line="500" w:lineRule="exact"/>
        <w:rPr>
          <w:sz w:val="24"/>
        </w:rPr>
      </w:pPr>
      <w:r>
        <w:rPr>
          <w:sz w:val="24"/>
        </w:rPr>
        <w:t xml:space="preserve">软件集成的开放式API，ISAPI，SDK，第三方管理平台接入，ONVIF协议、GB/T28181协议、Ehome</w:t>
      </w:r>
      <w:r>
        <w:rPr>
          <w:rFonts w:hint="eastAsia"/>
          <w:sz w:val="24"/>
        </w:rPr>
        <w:t xml:space="preserve">等</w:t>
      </w:r>
      <w:r>
        <w:rPr>
          <w:sz w:val="24"/>
        </w:rPr>
        <w:t xml:space="preserve">协议接入，支持视图库，支持萤石接入，ISUP，开放型网络视频接口；</w:t>
      </w:r>
      <w:r/>
    </w:p>
    <w:p>
      <w:pPr>
        <w:ind w:firstLine="480"/>
        <w:spacing w:line="500" w:lineRule="exact"/>
        <w:rPr>
          <w:sz w:val="24"/>
        </w:rPr>
      </w:pPr>
      <w:r>
        <w:rPr>
          <w:rFonts w:hint="eastAsia"/>
          <w:sz w:val="24"/>
        </w:rPr>
        <w:t xml:space="preserve">可实现人物移动监测远程提醒；</w:t>
      </w:r>
      <w:r/>
    </w:p>
    <w:p>
      <w:pPr>
        <w:ind w:firstLine="480"/>
        <w:spacing w:line="500" w:lineRule="exact"/>
        <w:rPr>
          <w:sz w:val="24"/>
        </w:rPr>
      </w:pPr>
      <w:r>
        <w:rPr>
          <w:rFonts w:hint="eastAsia"/>
          <w:sz w:val="24"/>
        </w:rPr>
        <w:t xml:space="preserve">支持远程对讲喊话功能；</w:t>
      </w:r>
      <w:r/>
    </w:p>
    <w:p>
      <w:pPr>
        <w:ind w:firstLine="480"/>
        <w:spacing w:line="500" w:lineRule="exact"/>
        <w:rPr>
          <w:sz w:val="24"/>
        </w:rPr>
      </w:pPr>
      <w:r>
        <w:rPr>
          <w:sz w:val="24"/>
        </w:rPr>
        <w:t xml:space="preserve">支持最大256G的MicroSD卡存储；</w:t>
      </w:r>
      <w:r/>
    </w:p>
    <w:p>
      <w:pPr>
        <w:ind w:firstLine="480"/>
        <w:spacing w:line="500" w:lineRule="exact"/>
        <w:rPr>
          <w:sz w:val="24"/>
        </w:rPr>
      </w:pPr>
      <w:r>
        <w:rPr>
          <w:sz w:val="24"/>
        </w:rPr>
        <w:t xml:space="preserve">支持区域入侵侦测，越界侦测，进入区域侦测和离开区域侦测等智能侦测；</w:t>
      </w:r>
      <w:r/>
    </w:p>
    <w:p>
      <w:pPr>
        <w:ind w:firstLine="480"/>
        <w:spacing w:line="500" w:lineRule="exact"/>
        <w:rPr>
          <w:sz w:val="24"/>
        </w:rPr>
      </w:pPr>
      <w:r>
        <w:rPr>
          <w:sz w:val="24"/>
        </w:rPr>
        <w:t xml:space="preserve">需配备安装用支架。</w:t>
      </w:r>
      <w:r/>
    </w:p>
    <w:p>
      <w:pPr>
        <w:ind w:firstLine="480"/>
        <w:spacing w:line="500" w:lineRule="exact"/>
        <w:rPr>
          <w:sz w:val="24"/>
        </w:rPr>
      </w:pPr>
      <w:r>
        <w:rPr>
          <w:rFonts w:hint="eastAsia"/>
          <w:sz w:val="24"/>
        </w:rPr>
        <w:t xml:space="preserve">推荐品牌：海康威视、大华</w:t>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0" w:name="_Toc17627"/>
      <w:r>
        <w:rPr>
          <w:rFonts w:hint="eastAsia" w:ascii="Times New Roman" w:hAnsi="Times New Roman" w:eastAsia="宋体"/>
          <w:szCs w:val="24"/>
        </w:rPr>
        <w:t xml:space="preserve">2.2红外高清网络摄像机（枪机）</w:t>
      </w:r>
      <w:bookmarkEnd w:id="50"/>
      <w:r>
        <w:rPr>
          <w:rFonts w:hint="eastAsia" w:ascii="Times New Roman" w:hAnsi="Times New Roman" w:eastAsia="宋体"/>
          <w:szCs w:val="24"/>
        </w:rPr>
        <w:tab/>
      </w:r>
      <w:r/>
    </w:p>
    <w:p>
      <w:pPr>
        <w:ind w:firstLine="480"/>
        <w:spacing w:line="500" w:lineRule="exact"/>
        <w:rPr>
          <w:sz w:val="24"/>
        </w:rPr>
      </w:pPr>
      <w:r>
        <w:rPr>
          <w:sz w:val="24"/>
        </w:rPr>
        <w:t xml:space="preserve">需至少包含一个对门的枪机，支持移动侦测报警。建设要求如下：</w:t>
      </w:r>
      <w:r>
        <w:rPr>
          <w:sz w:val="24"/>
        </w:rPr>
        <w:tab/>
      </w:r>
      <w:r/>
    </w:p>
    <w:p>
      <w:pPr>
        <w:ind w:firstLine="480"/>
        <w:spacing w:line="500" w:lineRule="exact"/>
        <w:rPr>
          <w:sz w:val="24"/>
        </w:rPr>
      </w:pPr>
      <w:r>
        <w:rPr>
          <w:rFonts w:hint="eastAsia"/>
          <w:sz w:val="24"/>
        </w:rPr>
        <w:t xml:space="preserve">大于等于</w:t>
      </w:r>
      <w:r>
        <w:rPr>
          <w:sz w:val="24"/>
        </w:rPr>
        <w:t xml:space="preserve">200万像素筒型网络摄像机；</w:t>
      </w:r>
      <w:r/>
    </w:p>
    <w:p>
      <w:pPr>
        <w:ind w:firstLine="480"/>
        <w:spacing w:line="500" w:lineRule="exact"/>
        <w:rPr>
          <w:sz w:val="24"/>
        </w:rPr>
      </w:pPr>
      <w:r>
        <w:rPr>
          <w:sz w:val="24"/>
        </w:rPr>
        <w:t xml:space="preserve">支持防雷、防浪涌、防静电，防护等级</w:t>
      </w:r>
      <w:r>
        <w:rPr>
          <w:rFonts w:hint="eastAsia"/>
          <w:sz w:val="24"/>
        </w:rPr>
        <w:t xml:space="preserve">大于等于</w:t>
      </w:r>
      <w:r>
        <w:rPr>
          <w:sz w:val="24"/>
        </w:rPr>
        <w:t xml:space="preserve">IP6</w:t>
      </w:r>
      <w:r>
        <w:rPr>
          <w:rFonts w:hint="eastAsia"/>
          <w:sz w:val="24"/>
        </w:rPr>
        <w:t xml:space="preserve">6</w:t>
      </w:r>
      <w:r>
        <w:rPr>
          <w:sz w:val="24"/>
        </w:rPr>
        <w:t xml:space="preserve">；</w:t>
      </w:r>
      <w:r/>
    </w:p>
    <w:p>
      <w:pPr>
        <w:ind w:firstLine="480"/>
        <w:spacing w:line="500" w:lineRule="exact"/>
        <w:rPr>
          <w:sz w:val="24"/>
        </w:rPr>
      </w:pPr>
      <w:r>
        <w:rPr>
          <w:sz w:val="24"/>
        </w:rPr>
        <w:t xml:space="preserve">支持ONVIF(profileS/profileG)、ISAPI、GB/T28181和Ehome协议接入；</w:t>
      </w:r>
      <w:r/>
    </w:p>
    <w:p>
      <w:pPr>
        <w:ind w:firstLine="480"/>
        <w:spacing w:line="500" w:lineRule="exact"/>
        <w:rPr>
          <w:sz w:val="24"/>
        </w:rPr>
      </w:pPr>
      <w:r>
        <w:rPr>
          <w:sz w:val="24"/>
        </w:rPr>
        <w:t xml:space="preserve">内置RJ45网口，内置SD卡插槽（最大128G）；</w:t>
      </w:r>
      <w:r/>
    </w:p>
    <w:p>
      <w:pPr>
        <w:ind w:firstLine="480"/>
        <w:spacing w:line="500" w:lineRule="exact"/>
        <w:rPr>
          <w:sz w:val="24"/>
        </w:rPr>
      </w:pPr>
      <w:r>
        <w:rPr>
          <w:rFonts w:hint="eastAsia"/>
          <w:sz w:val="24"/>
        </w:rPr>
        <w:t xml:space="preserve">可实现人物移动监测远程提醒；</w:t>
      </w:r>
      <w:r/>
    </w:p>
    <w:p>
      <w:pPr>
        <w:ind w:firstLine="480"/>
        <w:spacing w:line="500" w:lineRule="exact"/>
        <w:rPr>
          <w:sz w:val="24"/>
        </w:rPr>
      </w:pPr>
      <w:r>
        <w:rPr>
          <w:rFonts w:hint="eastAsia"/>
          <w:sz w:val="24"/>
        </w:rPr>
        <w:t xml:space="preserve">支持远程对讲喊话功能；</w:t>
      </w:r>
      <w:r/>
    </w:p>
    <w:p>
      <w:pPr>
        <w:ind w:firstLine="480"/>
        <w:spacing w:line="500" w:lineRule="exact"/>
        <w:rPr>
          <w:sz w:val="24"/>
        </w:rPr>
      </w:pPr>
      <w:r>
        <w:rPr>
          <w:sz w:val="24"/>
        </w:rPr>
        <w:t xml:space="preserve">支持双码流（H.265/H.264）；</w:t>
      </w:r>
      <w:r/>
    </w:p>
    <w:p>
      <w:pPr>
        <w:ind w:firstLine="480"/>
        <w:spacing w:line="500" w:lineRule="exact"/>
        <w:rPr>
          <w:sz w:val="24"/>
        </w:rPr>
      </w:pPr>
      <w:r>
        <w:rPr>
          <w:sz w:val="24"/>
        </w:rPr>
        <w:t xml:space="preserve">最大视距50米；</w:t>
      </w:r>
      <w:r/>
    </w:p>
    <w:p>
      <w:pPr>
        <w:ind w:firstLine="480"/>
        <w:spacing w:line="500" w:lineRule="exact"/>
        <w:rPr>
          <w:sz w:val="24"/>
        </w:rPr>
      </w:pPr>
      <w:r>
        <w:rPr>
          <w:sz w:val="24"/>
        </w:rPr>
        <w:t xml:space="preserve">需配备安装用支架；</w:t>
      </w:r>
      <w:r/>
    </w:p>
    <w:p>
      <w:pPr>
        <w:ind w:firstLine="480"/>
        <w:spacing w:line="500" w:lineRule="exact"/>
        <w:rPr>
          <w:sz w:val="24"/>
        </w:rPr>
      </w:pPr>
      <w:r>
        <w:rPr>
          <w:rFonts w:hint="eastAsia"/>
          <w:sz w:val="24"/>
        </w:rPr>
        <w:t xml:space="preserve">推荐品牌：海康威视、大华、宇视等，可选用"优于或相当于"以上品牌的产品。</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2.3人脸门禁一体机</w:t>
      </w:r>
      <w:r>
        <w:rPr>
          <w:rFonts w:hint="eastAsia" w:ascii="Times New Roman" w:hAnsi="Times New Roman" w:eastAsia="宋体"/>
          <w:szCs w:val="24"/>
        </w:rPr>
        <w:tab/>
      </w:r>
      <w:r/>
    </w:p>
    <w:p>
      <w:pPr>
        <w:ind w:firstLine="480"/>
        <w:spacing w:line="500" w:lineRule="exact"/>
        <w:rPr>
          <w:sz w:val="24"/>
        </w:rPr>
      </w:pPr>
      <w:r>
        <w:rPr>
          <w:rFonts w:hint="eastAsia"/>
          <w:sz w:val="24"/>
        </w:rPr>
        <w:t xml:space="preserve">人脸门禁一体机参数要求如下</w:t>
      </w:r>
      <w:r>
        <w:rPr>
          <w:sz w:val="24"/>
        </w:rPr>
        <w:t xml:space="preserve">，建设要求如下：</w:t>
      </w:r>
      <w:r/>
    </w:p>
    <w:p>
      <w:pPr>
        <w:ind w:firstLine="480"/>
        <w:spacing w:line="500" w:lineRule="exact"/>
        <w:rPr>
          <w:sz w:val="24"/>
        </w:rPr>
      </w:pPr>
      <w:r>
        <w:rPr>
          <w:rFonts w:hint="eastAsia"/>
          <w:sz w:val="24"/>
        </w:rPr>
        <w:t xml:space="preserve">操作系统：嵌入式Linux操作系统；</w:t>
      </w:r>
      <w:r/>
    </w:p>
    <w:p>
      <w:pPr>
        <w:ind w:firstLine="480"/>
        <w:spacing w:line="500" w:lineRule="exact"/>
        <w:rPr>
          <w:sz w:val="24"/>
        </w:rPr>
      </w:pPr>
      <w:r>
        <w:rPr>
          <w:rFonts w:hint="eastAsia"/>
          <w:sz w:val="24"/>
        </w:rPr>
        <w:t xml:space="preserve">屏幕参数：7英寸LCD触摸显示屏，屏幕比例9:16，屏幕分辨率600*1024；</w:t>
      </w:r>
      <w:r/>
    </w:p>
    <w:p>
      <w:pPr>
        <w:ind w:firstLine="480"/>
        <w:spacing w:line="500" w:lineRule="exact"/>
        <w:rPr>
          <w:sz w:val="24"/>
        </w:rPr>
      </w:pPr>
      <w:r>
        <w:rPr>
          <w:rFonts w:hint="eastAsia"/>
          <w:sz w:val="24"/>
        </w:rPr>
        <w:t xml:space="preserve">摄像头参数：采用宽动态200万双目摄像头；</w:t>
      </w:r>
      <w:r/>
    </w:p>
    <w:p>
      <w:pPr>
        <w:ind w:firstLine="480"/>
        <w:spacing w:line="500" w:lineRule="exact"/>
        <w:rPr>
          <w:sz w:val="24"/>
        </w:rPr>
      </w:pPr>
      <w:r>
        <w:rPr>
          <w:rFonts w:hint="eastAsia"/>
          <w:sz w:val="24"/>
        </w:rPr>
        <w:t xml:space="preserve">支持人脸、刷卡（Mifare卡/IC卡、手机NFC卡、CPU卡序列号/内容、身份证卡序列号）、密码认证方式；可外接身份证、指纹、二维码功能模块；</w:t>
      </w:r>
      <w:r/>
    </w:p>
    <w:p>
      <w:pPr>
        <w:ind w:firstLine="480"/>
        <w:spacing w:line="500" w:lineRule="exact"/>
        <w:rPr>
          <w:sz w:val="24"/>
        </w:rPr>
      </w:pPr>
      <w:r>
        <w:rPr>
          <w:rFonts w:hint="eastAsia"/>
          <w:sz w:val="24"/>
        </w:rPr>
        <w:t xml:space="preserve">人脸识别采用深度学习算法，支持照片、视频防假；1:N人脸识别速度≤0.2s，人脸验证准确率≥99%；</w:t>
      </w:r>
      <w:r/>
    </w:p>
    <w:p>
      <w:pPr>
        <w:ind w:firstLine="480"/>
        <w:spacing w:line="500" w:lineRule="exact"/>
        <w:rPr>
          <w:sz w:val="24"/>
        </w:rPr>
      </w:pPr>
      <w:r>
        <w:rPr>
          <w:rFonts w:hint="eastAsia"/>
          <w:sz w:val="24"/>
        </w:rPr>
        <w:t xml:space="preserve">存储容量支持大于等于6000人脸库、6000张卡，5万条事件记录；</w:t>
      </w:r>
      <w:r/>
    </w:p>
    <w:p>
      <w:pPr>
        <w:ind w:firstLine="480"/>
        <w:spacing w:line="500" w:lineRule="exact"/>
        <w:rPr>
          <w:sz w:val="24"/>
        </w:rPr>
      </w:pPr>
      <w:r>
        <w:rPr>
          <w:rFonts w:hint="eastAsia"/>
          <w:sz w:val="24"/>
        </w:rPr>
        <w:t xml:space="preserve">硬件接口支持LAN*1、RS485*1、Wiegand*1(支持双向)、USB*1、电锁*1、门磁*1、报警输入*2、报警输出*1、开门按钮*1；</w:t>
      </w:r>
      <w:r/>
    </w:p>
    <w:p>
      <w:pPr>
        <w:ind w:firstLine="480"/>
        <w:spacing w:line="500" w:lineRule="exact"/>
        <w:rPr>
          <w:sz w:val="24"/>
        </w:rPr>
      </w:pPr>
      <w:r>
        <w:rPr>
          <w:rFonts w:hint="eastAsia"/>
          <w:sz w:val="24"/>
        </w:rPr>
        <w:t xml:space="preserve">通信方式及网络协议支持有线网络；</w:t>
      </w:r>
      <w:r/>
    </w:p>
    <w:p>
      <w:pPr>
        <w:ind w:firstLine="480"/>
        <w:spacing w:line="500" w:lineRule="exact"/>
        <w:rPr>
          <w:sz w:val="24"/>
        </w:rPr>
      </w:pPr>
      <w:r>
        <w:rPr>
          <w:rFonts w:hint="eastAsia"/>
          <w:sz w:val="24"/>
        </w:rPr>
        <w:t xml:space="preserve">防护等级≥IP65；</w:t>
      </w:r>
      <w:r/>
    </w:p>
    <w:p>
      <w:pPr>
        <w:ind w:firstLine="480"/>
        <w:spacing w:line="500" w:lineRule="exact"/>
        <w:rPr>
          <w:sz w:val="24"/>
        </w:rPr>
      </w:pPr>
      <w:r>
        <w:rPr>
          <w:rFonts w:hint="eastAsia"/>
          <w:sz w:val="24"/>
        </w:rPr>
        <w:t xml:space="preserve">工作电压：DC12V/2A；</w:t>
      </w:r>
      <w:r/>
    </w:p>
    <w:p>
      <w:pPr>
        <w:ind w:firstLine="480"/>
        <w:spacing w:line="500" w:lineRule="exact"/>
        <w:rPr>
          <w:sz w:val="24"/>
        </w:rPr>
      </w:pPr>
      <w:r/>
      <w:bookmarkStart w:id="51" w:name="_Toc16367"/>
      <w:r/>
      <w:bookmarkStart w:id="52" w:name="_Toc11808"/>
      <w:r>
        <w:rPr>
          <w:rFonts w:hint="eastAsia"/>
          <w:sz w:val="24"/>
        </w:rPr>
        <w:t xml:space="preserve">推荐品牌：海康威视、大华、宇视等，可选用"优于或相当于"以上品牌的产品。</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2.4电磁锁/电插锁及支架</w:t>
      </w:r>
      <w:bookmarkEnd w:id="51"/>
      <w:r>
        <w:rPr>
          <w:rFonts w:hint="eastAsia" w:ascii="Times New Roman" w:hAnsi="Times New Roman" w:eastAsia="宋体"/>
          <w:szCs w:val="24"/>
        </w:rPr>
        <w:tab/>
      </w:r>
      <w:r/>
    </w:p>
    <w:p>
      <w:pPr>
        <w:ind w:firstLine="480"/>
        <w:spacing w:line="500" w:lineRule="exact"/>
        <w:rPr>
          <w:sz w:val="24"/>
        </w:rPr>
      </w:pPr>
      <w:r>
        <w:rPr>
          <w:sz w:val="24"/>
        </w:rPr>
        <w:t xml:space="preserve">电磁锁/电插锁与门禁面板联合实现进门功能，建设时选择其中一个即可。</w:t>
      </w:r>
      <w:r/>
    </w:p>
    <w:p>
      <w:pPr>
        <w:ind w:firstLine="480"/>
        <w:spacing w:line="500" w:lineRule="exact"/>
        <w:rPr>
          <w:sz w:val="24"/>
        </w:rPr>
      </w:pPr>
      <w:r>
        <w:rPr>
          <w:sz w:val="24"/>
        </w:rPr>
        <w:t xml:space="preserve">电磁锁建设要求如下：</w:t>
      </w:r>
      <w:r/>
    </w:p>
    <w:p>
      <w:pPr>
        <w:ind w:firstLine="480"/>
        <w:spacing w:line="500" w:lineRule="exact"/>
        <w:rPr>
          <w:sz w:val="24"/>
        </w:rPr>
      </w:pPr>
      <w:r>
        <w:rPr>
          <w:sz w:val="24"/>
        </w:rPr>
        <w:t xml:space="preserve">单门磁力锁；</w:t>
      </w:r>
      <w:r/>
    </w:p>
    <w:p>
      <w:pPr>
        <w:ind w:firstLine="480"/>
        <w:spacing w:line="500" w:lineRule="exact"/>
        <w:rPr>
          <w:sz w:val="24"/>
        </w:rPr>
      </w:pPr>
      <w:r>
        <w:rPr>
          <w:sz w:val="24"/>
        </w:rPr>
        <w:t xml:space="preserve">最大拉力500kg；</w:t>
      </w:r>
      <w:r/>
    </w:p>
    <w:p>
      <w:pPr>
        <w:ind w:firstLine="480"/>
        <w:spacing w:line="500" w:lineRule="exact"/>
        <w:rPr>
          <w:sz w:val="24"/>
        </w:rPr>
      </w:pPr>
      <w:r>
        <w:rPr>
          <w:sz w:val="24"/>
        </w:rPr>
        <w:t xml:space="preserve">输入电压DC12V或DC24V；</w:t>
      </w:r>
      <w:r/>
    </w:p>
    <w:p>
      <w:pPr>
        <w:ind w:firstLine="480"/>
        <w:spacing w:line="500" w:lineRule="exact"/>
        <w:rPr>
          <w:sz w:val="24"/>
        </w:rPr>
      </w:pPr>
      <w:r>
        <w:rPr>
          <w:sz w:val="24"/>
        </w:rPr>
        <w:t xml:space="preserve">工作电流12V/420mA24V/210mA。</w:t>
      </w:r>
      <w:r/>
    </w:p>
    <w:p>
      <w:pPr>
        <w:ind w:firstLine="480"/>
        <w:spacing w:line="500" w:lineRule="exact"/>
        <w:rPr>
          <w:sz w:val="24"/>
        </w:rPr>
      </w:pPr>
      <w:r>
        <w:rPr>
          <w:sz w:val="24"/>
        </w:rPr>
        <w:t xml:space="preserve">电插锁建设要求如下：</w:t>
      </w:r>
      <w:r/>
    </w:p>
    <w:p>
      <w:pPr>
        <w:ind w:firstLine="480"/>
        <w:spacing w:line="500" w:lineRule="exact"/>
        <w:rPr>
          <w:sz w:val="24"/>
        </w:rPr>
      </w:pPr>
      <w:r>
        <w:rPr>
          <w:sz w:val="24"/>
        </w:rPr>
        <w:t xml:space="preserve">50万次通电上锁耐用度；</w:t>
      </w:r>
      <w:r/>
    </w:p>
    <w:p>
      <w:pPr>
        <w:ind w:firstLine="480"/>
        <w:spacing w:line="500" w:lineRule="exact"/>
        <w:rPr>
          <w:sz w:val="24"/>
        </w:rPr>
      </w:pPr>
      <w:r>
        <w:rPr>
          <w:sz w:val="24"/>
        </w:rPr>
        <w:t xml:space="preserve">高强度铝合金锁体，不绣钢锁舌；</w:t>
      </w:r>
      <w:r/>
    </w:p>
    <w:p>
      <w:pPr>
        <w:ind w:firstLine="480"/>
        <w:spacing w:line="500" w:lineRule="exact"/>
        <w:rPr>
          <w:sz w:val="24"/>
        </w:rPr>
      </w:pPr>
      <w:r>
        <w:rPr>
          <w:sz w:val="24"/>
        </w:rPr>
        <w:t xml:space="preserve">延时设置：0/3/6/9秒可调；</w:t>
      </w:r>
      <w:r/>
    </w:p>
    <w:p>
      <w:pPr>
        <w:ind w:firstLine="480"/>
        <w:spacing w:line="500" w:lineRule="exact"/>
        <w:rPr>
          <w:sz w:val="24"/>
        </w:rPr>
      </w:pPr>
      <w:r>
        <w:rPr>
          <w:sz w:val="24"/>
        </w:rPr>
        <w:t xml:space="preserve">锁芯强度不锈钢抛光处理，承受2000kg压力；</w:t>
      </w:r>
      <w:r/>
    </w:p>
    <w:p>
      <w:pPr>
        <w:ind w:firstLine="480"/>
        <w:spacing w:line="500" w:lineRule="exact"/>
        <w:rPr>
          <w:sz w:val="24"/>
        </w:rPr>
      </w:pPr>
      <w:r>
        <w:rPr>
          <w:sz w:val="24"/>
        </w:rPr>
        <w:t xml:space="preserve">输入电压12VDC+10%范围；</w:t>
      </w:r>
      <w:r/>
    </w:p>
    <w:p>
      <w:pPr>
        <w:ind w:firstLine="480"/>
        <w:spacing w:line="500" w:lineRule="exact"/>
        <w:rPr>
          <w:sz w:val="24"/>
        </w:rPr>
      </w:pPr>
      <w:r>
        <w:rPr>
          <w:sz w:val="24"/>
        </w:rPr>
        <w:t xml:space="preserve">工作电流1200mA(启动瞬间)200mA(完全上锁)；</w:t>
      </w:r>
      <w:r/>
    </w:p>
    <w:p>
      <w:pPr>
        <w:ind w:firstLine="480"/>
        <w:spacing w:line="500" w:lineRule="exact"/>
        <w:rPr>
          <w:sz w:val="24"/>
        </w:rPr>
      </w:pPr>
      <w:r>
        <w:rPr>
          <w:rFonts w:hint="eastAsia"/>
          <w:sz w:val="24"/>
        </w:rPr>
        <w:t xml:space="preserve">根据泵房门类型选择合适的产品，支持</w:t>
      </w:r>
      <w:r>
        <w:rPr>
          <w:sz w:val="24"/>
        </w:rPr>
        <w:t xml:space="preserve">门型</w:t>
      </w:r>
      <w:r>
        <w:rPr>
          <w:rFonts w:hint="eastAsia"/>
          <w:sz w:val="24"/>
        </w:rPr>
        <w:t xml:space="preserve">应包含</w:t>
      </w:r>
      <w:r>
        <w:rPr>
          <w:sz w:val="24"/>
        </w:rPr>
        <w:t xml:space="preserve">木门、玻璃门、金属门、防火门</w:t>
      </w:r>
      <w:r>
        <w:rPr>
          <w:rFonts w:hint="eastAsia"/>
          <w:sz w:val="24"/>
        </w:rPr>
        <w:t xml:space="preserve">等</w:t>
      </w:r>
      <w:r>
        <w:rPr>
          <w:sz w:val="24"/>
        </w:rPr>
        <w:t xml:space="preserve">；</w:t>
      </w:r>
      <w:r/>
    </w:p>
    <w:p>
      <w:pPr>
        <w:ind w:firstLine="480"/>
        <w:spacing w:line="500" w:lineRule="exact"/>
        <w:rPr>
          <w:sz w:val="24"/>
        </w:rPr>
      </w:pPr>
      <w:r>
        <w:rPr>
          <w:sz w:val="24"/>
        </w:rPr>
        <w:t xml:space="preserve">使用环境温度-10～+55℃(14-131F)；</w:t>
      </w:r>
      <w:r/>
    </w:p>
    <w:p>
      <w:pPr>
        <w:ind w:firstLine="480"/>
        <w:spacing w:line="500" w:lineRule="exact"/>
        <w:rPr>
          <w:sz w:val="24"/>
        </w:rPr>
      </w:pPr>
      <w:r>
        <w:rPr>
          <w:sz w:val="24"/>
        </w:rPr>
        <w:t xml:space="preserve">使用环境湿度0~95%(相对湿度)。</w:t>
      </w:r>
      <w:bookmarkEnd w:id="52"/>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3" w:name="_Toc31752"/>
      <w:r>
        <w:rPr>
          <w:rFonts w:hint="eastAsia" w:ascii="Times New Roman" w:hAnsi="Times New Roman" w:eastAsia="宋体"/>
          <w:szCs w:val="24"/>
        </w:rPr>
        <w:t xml:space="preserve">2.5烟雾报警器</w:t>
      </w:r>
      <w:bookmarkEnd w:id="53"/>
      <w:r>
        <w:rPr>
          <w:rFonts w:hint="eastAsia" w:ascii="Times New Roman" w:hAnsi="Times New Roman" w:eastAsia="宋体"/>
          <w:szCs w:val="24"/>
        </w:rPr>
        <w:tab/>
      </w:r>
      <w:r/>
    </w:p>
    <w:p>
      <w:pPr>
        <w:ind w:firstLine="480"/>
        <w:spacing w:line="500" w:lineRule="exact"/>
        <w:rPr>
          <w:sz w:val="24"/>
        </w:rPr>
      </w:pPr>
      <w:r>
        <w:rPr>
          <w:sz w:val="24"/>
        </w:rPr>
        <w:t xml:space="preserve">对泵房的烟雾进行探测，支持烟感报警</w:t>
      </w:r>
      <w:r>
        <w:rPr>
          <w:rFonts w:hint="eastAsia"/>
          <w:sz w:val="24"/>
        </w:rPr>
        <w:t xml:space="preserve">器外接声光报警设备</w:t>
      </w:r>
      <w:r>
        <w:rPr>
          <w:sz w:val="24"/>
        </w:rPr>
        <w:t xml:space="preserve">，</w:t>
      </w:r>
      <w:r/>
    </w:p>
    <w:p>
      <w:pPr>
        <w:ind w:firstLine="480"/>
        <w:spacing w:line="500" w:lineRule="exact"/>
        <w:rPr>
          <w:sz w:val="24"/>
        </w:rPr>
      </w:pPr>
      <w:r>
        <w:rPr>
          <w:sz w:val="24"/>
        </w:rPr>
        <w:t xml:space="preserve">建设要求为：</w:t>
      </w:r>
      <w:r/>
    </w:p>
    <w:p>
      <w:pPr>
        <w:ind w:firstLine="480"/>
        <w:spacing w:line="500" w:lineRule="exact"/>
        <w:rPr>
          <w:sz w:val="24"/>
        </w:rPr>
      </w:pPr>
      <w:r>
        <w:rPr>
          <w:sz w:val="24"/>
        </w:rPr>
        <w:t xml:space="preserve">电源：</w:t>
      </w:r>
      <w:r>
        <w:rPr>
          <w:rFonts w:hint="eastAsia"/>
          <w:sz w:val="24"/>
        </w:rPr>
        <w:t xml:space="preserve">AV220V</w:t>
      </w:r>
      <w:r>
        <w:rPr>
          <w:sz w:val="24"/>
        </w:rPr>
        <w:t xml:space="preserve">；</w:t>
      </w:r>
      <w:r/>
    </w:p>
    <w:p>
      <w:pPr>
        <w:ind w:firstLine="480"/>
        <w:spacing w:line="500" w:lineRule="exact"/>
        <w:rPr>
          <w:sz w:val="24"/>
        </w:rPr>
      </w:pPr>
      <w:r>
        <w:rPr>
          <w:sz w:val="24"/>
        </w:rPr>
        <w:t xml:space="preserve">工作温度：-10℃～50℃；</w:t>
      </w:r>
      <w:r/>
    </w:p>
    <w:p>
      <w:pPr>
        <w:ind w:firstLine="480"/>
        <w:spacing w:line="500" w:lineRule="exact"/>
        <w:rPr>
          <w:sz w:val="24"/>
        </w:rPr>
      </w:pPr>
      <w:r>
        <w:rPr>
          <w:sz w:val="24"/>
        </w:rPr>
        <w:t xml:space="preserve">报警输出：</w:t>
      </w:r>
      <w:r>
        <w:rPr>
          <w:rFonts w:hint="eastAsia"/>
          <w:sz w:val="24"/>
        </w:rPr>
        <w:t xml:space="preserve">声光输出</w:t>
      </w:r>
      <w:r>
        <w:rPr>
          <w:sz w:val="24"/>
        </w:rPr>
        <w:t xml:space="preserve">；</w:t>
      </w:r>
      <w:r/>
    </w:p>
    <w:p>
      <w:pPr>
        <w:ind w:firstLine="480"/>
        <w:spacing w:line="500" w:lineRule="exact"/>
        <w:rPr>
          <w:sz w:val="24"/>
        </w:rPr>
      </w:pPr>
      <w:r>
        <w:rPr>
          <w:rFonts w:hint="eastAsia"/>
          <w:sz w:val="24"/>
        </w:rPr>
        <w:t xml:space="preserve">备用电源</w:t>
      </w:r>
      <w:r>
        <w:rPr>
          <w:sz w:val="24"/>
        </w:rPr>
        <w:t xml:space="preserve">：</w:t>
      </w:r>
      <w:r>
        <w:rPr>
          <w:rFonts w:hint="eastAsia"/>
          <w:sz w:val="24"/>
        </w:rPr>
        <w:t xml:space="preserve">内置备用电源断电后可续航30-6.0分钟。</w:t>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4" w:name="_Toc18401"/>
      <w:r>
        <w:rPr>
          <w:rFonts w:hint="eastAsia" w:ascii="Times New Roman" w:hAnsi="Times New Roman" w:eastAsia="宋体"/>
          <w:szCs w:val="24"/>
        </w:rPr>
        <w:t xml:space="preserve">2.6水浸变送器</w:t>
      </w:r>
      <w:bookmarkEnd w:id="54"/>
      <w:r>
        <w:rPr>
          <w:rFonts w:hint="eastAsia" w:ascii="Times New Roman" w:hAnsi="Times New Roman" w:eastAsia="宋体"/>
          <w:szCs w:val="24"/>
        </w:rPr>
        <w:tab/>
      </w:r>
      <w:r/>
    </w:p>
    <w:p>
      <w:pPr>
        <w:ind w:firstLine="480"/>
        <w:spacing w:line="500" w:lineRule="exact"/>
        <w:rPr>
          <w:sz w:val="24"/>
        </w:rPr>
      </w:pPr>
      <w:r>
        <w:rPr>
          <w:sz w:val="24"/>
        </w:rPr>
        <w:t xml:space="preserve">对泵房的是否产生水淹进行探测，支持水淹报警联动控制逻辑及向平台上传水淹报警，建设要求为：</w:t>
      </w:r>
      <w:r/>
    </w:p>
    <w:p>
      <w:pPr>
        <w:ind w:firstLine="480"/>
        <w:spacing w:line="500" w:lineRule="exact"/>
        <w:rPr>
          <w:sz w:val="24"/>
        </w:rPr>
      </w:pPr>
      <w:r>
        <w:rPr>
          <w:sz w:val="24"/>
        </w:rPr>
        <w:t xml:space="preserve">工作湿度：20%RH~100%RH；</w:t>
      </w:r>
      <w:r/>
    </w:p>
    <w:p>
      <w:pPr>
        <w:ind w:firstLine="480"/>
        <w:spacing w:line="500" w:lineRule="exact"/>
        <w:rPr>
          <w:sz w:val="24"/>
        </w:rPr>
      </w:pPr>
      <w:r>
        <w:rPr>
          <w:sz w:val="24"/>
        </w:rPr>
        <w:t xml:space="preserve">工作温度：0~50℃；</w:t>
      </w:r>
      <w:r/>
    </w:p>
    <w:p>
      <w:pPr>
        <w:ind w:firstLine="480"/>
        <w:spacing w:line="500" w:lineRule="exact"/>
        <w:rPr>
          <w:sz w:val="24"/>
        </w:rPr>
      </w:pPr>
      <w:r>
        <w:rPr>
          <w:sz w:val="24"/>
        </w:rPr>
        <w:t xml:space="preserve">供电电压：24VDC；</w:t>
      </w:r>
      <w:r/>
    </w:p>
    <w:p>
      <w:pPr>
        <w:ind w:firstLine="480"/>
        <w:spacing w:line="500" w:lineRule="exact"/>
        <w:rPr>
          <w:sz w:val="24"/>
        </w:rPr>
      </w:pPr>
      <w:r>
        <w:rPr>
          <w:rFonts w:hint="eastAsia"/>
          <w:sz w:val="24"/>
        </w:rPr>
        <w:t xml:space="preserve">每</w:t>
      </w:r>
      <w:r>
        <w:rPr>
          <w:sz w:val="24"/>
        </w:rPr>
        <w:t xml:space="preserve">个泵房配备</w:t>
      </w:r>
      <w:r>
        <w:rPr>
          <w:rFonts w:hint="eastAsia"/>
          <w:sz w:val="24"/>
        </w:rPr>
        <w:t xml:space="preserve">1</w:t>
      </w:r>
      <w:r>
        <w:rPr>
          <w:sz w:val="24"/>
        </w:rPr>
        <w:t xml:space="preserve">个水浸变送器，任意2个水淹信号同时触发时上报水淹报警。</w:t>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5" w:name="_Toc9685"/>
      <w:r>
        <w:rPr>
          <w:rFonts w:hint="eastAsia" w:ascii="Times New Roman" w:hAnsi="Times New Roman" w:eastAsia="宋体"/>
          <w:szCs w:val="24"/>
        </w:rPr>
        <w:t xml:space="preserve">2.7投入式液位计</w:t>
      </w:r>
      <w:bookmarkEnd w:id="55"/>
      <w:r/>
      <w:r/>
    </w:p>
    <w:p>
      <w:pPr>
        <w:ind w:firstLine="480"/>
        <w:spacing w:line="500" w:lineRule="exact"/>
        <w:rPr>
          <w:sz w:val="24"/>
        </w:rPr>
      </w:pPr>
      <w:r>
        <w:rPr>
          <w:sz w:val="24"/>
        </w:rPr>
        <w:t xml:space="preserve">投入式液位计可对水箱液位进行监测。建设要求如下：</w:t>
      </w:r>
      <w:r/>
    </w:p>
    <w:p>
      <w:pPr>
        <w:ind w:firstLine="480"/>
        <w:spacing w:line="500" w:lineRule="exact"/>
        <w:rPr>
          <w:sz w:val="24"/>
        </w:rPr>
      </w:pPr>
      <w:r>
        <w:rPr>
          <w:sz w:val="24"/>
        </w:rPr>
        <w:t xml:space="preserve">4-20mA电流信号输出；</w:t>
      </w:r>
      <w:r/>
    </w:p>
    <w:p>
      <w:pPr>
        <w:ind w:firstLine="480"/>
        <w:spacing w:line="500" w:lineRule="exact"/>
        <w:rPr>
          <w:sz w:val="24"/>
        </w:rPr>
      </w:pPr>
      <w:r>
        <w:rPr>
          <w:sz w:val="24"/>
        </w:rPr>
        <w:t xml:space="preserve">量程0-10m；</w:t>
      </w:r>
      <w:r/>
    </w:p>
    <w:p>
      <w:pPr>
        <w:ind w:firstLine="480"/>
        <w:spacing w:line="500" w:lineRule="exact"/>
        <w:rPr>
          <w:sz w:val="24"/>
        </w:rPr>
      </w:pPr>
      <w:r>
        <w:rPr>
          <w:sz w:val="24"/>
        </w:rPr>
        <w:t xml:space="preserve">线长15m。</w:t>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6" w:name="_Toc30823"/>
      <w:r>
        <w:rPr>
          <w:rFonts w:hint="eastAsia" w:ascii="Times New Roman" w:hAnsi="Times New Roman" w:eastAsia="宋体"/>
          <w:szCs w:val="24"/>
        </w:rPr>
        <w:t xml:space="preserve">2.8除湿机</w:t>
      </w:r>
      <w:bookmarkEnd w:id="56"/>
      <w:r/>
      <w:r/>
    </w:p>
    <w:p>
      <w:pPr>
        <w:ind w:firstLine="480"/>
        <w:spacing w:line="500" w:lineRule="exact"/>
        <w:rPr>
          <w:sz w:val="24"/>
        </w:rPr>
      </w:pPr>
      <w:r>
        <w:rPr>
          <w:sz w:val="24"/>
        </w:rPr>
        <w:t xml:space="preserve">当监测到泵房湿度过高，可启动除湿机进行除湿，建设要求为：</w:t>
      </w:r>
      <w:r/>
    </w:p>
    <w:p>
      <w:pPr>
        <w:ind w:firstLine="480"/>
        <w:spacing w:line="500" w:lineRule="exact"/>
        <w:rPr>
          <w:sz w:val="24"/>
        </w:rPr>
      </w:pPr>
      <w:r>
        <w:rPr>
          <w:sz w:val="24"/>
        </w:rPr>
        <w:t xml:space="preserve">全自动控制</w:t>
      </w:r>
      <w:r>
        <w:rPr>
          <w:rFonts w:hint="eastAsia"/>
          <w:sz w:val="24"/>
        </w:rPr>
        <w:t xml:space="preserve">运行</w:t>
      </w:r>
      <w:r>
        <w:rPr>
          <w:sz w:val="24"/>
        </w:rPr>
        <w:t xml:space="preserve">；</w:t>
      </w:r>
      <w:r/>
    </w:p>
    <w:p>
      <w:pPr>
        <w:ind w:firstLine="480"/>
        <w:spacing w:line="500" w:lineRule="exact"/>
        <w:rPr>
          <w:sz w:val="24"/>
        </w:rPr>
      </w:pPr>
      <w:r>
        <w:rPr>
          <w:rFonts w:hint="eastAsia"/>
          <w:sz w:val="24"/>
        </w:rPr>
        <w:t xml:space="preserve">带</w:t>
      </w:r>
      <w:r>
        <w:rPr>
          <w:sz w:val="24"/>
        </w:rPr>
        <w:t xml:space="preserve">环境温、湿度显示，</w:t>
      </w:r>
      <w:r>
        <w:rPr>
          <w:rFonts w:hint="eastAsia"/>
          <w:sz w:val="24"/>
        </w:rPr>
        <w:t xml:space="preserve">可实现手机APP远程互联操作，</w:t>
      </w:r>
      <w:r>
        <w:rPr>
          <w:sz w:val="24"/>
        </w:rPr>
        <w:t xml:space="preserve">运行状态</w:t>
      </w:r>
      <w:r>
        <w:rPr>
          <w:rFonts w:hint="eastAsia"/>
          <w:sz w:val="24"/>
        </w:rPr>
        <w:t xml:space="preserve">可</w:t>
      </w:r>
      <w:r>
        <w:rPr>
          <w:sz w:val="24"/>
        </w:rPr>
        <w:t xml:space="preserve">实时监控；</w:t>
      </w:r>
      <w:r/>
    </w:p>
    <w:p>
      <w:pPr>
        <w:ind w:firstLine="480"/>
        <w:spacing w:line="500" w:lineRule="exact"/>
        <w:rPr>
          <w:sz w:val="24"/>
        </w:rPr>
      </w:pPr>
      <w:r>
        <w:rPr>
          <w:sz w:val="24"/>
        </w:rPr>
        <w:t xml:space="preserve">湿度1%RH可调功能，湿度设定范围</w:t>
      </w:r>
      <w:r>
        <w:rPr>
          <w:rFonts w:hint="eastAsia"/>
          <w:sz w:val="24"/>
        </w:rPr>
        <w:t xml:space="preserve">支持</w:t>
      </w:r>
      <w:r>
        <w:rPr>
          <w:sz w:val="24"/>
        </w:rPr>
        <w:t xml:space="preserve">10%-98%RH</w:t>
      </w:r>
      <w:r>
        <w:rPr>
          <w:rFonts w:hint="eastAsia"/>
          <w:sz w:val="24"/>
        </w:rPr>
        <w:t xml:space="preserve">可调</w:t>
      </w:r>
      <w:r>
        <w:rPr>
          <w:sz w:val="24"/>
        </w:rPr>
        <w:t xml:space="preserve">；</w:t>
      </w:r>
      <w:r/>
    </w:p>
    <w:p>
      <w:pPr>
        <w:ind w:firstLine="480"/>
        <w:spacing w:line="500" w:lineRule="exact"/>
        <w:rPr>
          <w:sz w:val="24"/>
        </w:rPr>
      </w:pPr>
      <w:r>
        <w:rPr>
          <w:rFonts w:hint="eastAsia"/>
          <w:sz w:val="24"/>
        </w:rPr>
        <w:t xml:space="preserve">可以支持</w:t>
      </w:r>
      <w:r>
        <w:rPr>
          <w:sz w:val="24"/>
        </w:rPr>
        <w:t xml:space="preserve">1-24小时定时关机功能；</w:t>
      </w:r>
      <w:r/>
    </w:p>
    <w:p>
      <w:pPr>
        <w:ind w:firstLine="480"/>
        <w:spacing w:line="500" w:lineRule="exact"/>
        <w:rPr>
          <w:sz w:val="24"/>
        </w:rPr>
      </w:pPr>
      <w:r>
        <w:rPr>
          <w:rFonts w:hint="eastAsia"/>
          <w:sz w:val="24"/>
        </w:rPr>
        <w:t xml:space="preserve">具有</w:t>
      </w:r>
      <w:r>
        <w:rPr>
          <w:sz w:val="24"/>
        </w:rPr>
        <w:t xml:space="preserve">高效自动化霜系统，</w:t>
      </w:r>
      <w:r>
        <w:rPr>
          <w:rFonts w:hint="eastAsia"/>
          <w:sz w:val="24"/>
        </w:rPr>
        <w:t xml:space="preserve">适应低温环境</w:t>
      </w:r>
      <w:r>
        <w:rPr>
          <w:sz w:val="24"/>
        </w:rPr>
        <w:t xml:space="preserve">；</w:t>
      </w:r>
      <w:r/>
    </w:p>
    <w:p>
      <w:pPr>
        <w:ind w:firstLine="480"/>
        <w:spacing w:line="500" w:lineRule="exact"/>
        <w:rPr>
          <w:sz w:val="24"/>
        </w:rPr>
      </w:pPr>
      <w:r>
        <w:rPr>
          <w:rFonts w:hint="eastAsia"/>
          <w:sz w:val="24"/>
        </w:rPr>
        <w:t xml:space="preserve">具备</w:t>
      </w:r>
      <w:r>
        <w:rPr>
          <w:sz w:val="24"/>
        </w:rPr>
        <w:t xml:space="preserve">系统故障自动诊断功能，可快速诊断机组运行故障；</w:t>
      </w:r>
      <w:r/>
    </w:p>
    <w:p>
      <w:pPr>
        <w:ind w:firstLine="480"/>
        <w:spacing w:line="500" w:lineRule="exact"/>
        <w:rPr>
          <w:sz w:val="24"/>
        </w:rPr>
      </w:pPr>
      <w:r>
        <w:rPr>
          <w:sz w:val="24"/>
        </w:rPr>
        <w:t xml:space="preserve">可连</w:t>
      </w:r>
      <w:r>
        <w:rPr>
          <w:rFonts w:hint="eastAsia"/>
          <w:sz w:val="24"/>
        </w:rPr>
        <w:t xml:space="preserve">接</w:t>
      </w:r>
      <w:r>
        <w:rPr>
          <w:sz w:val="24"/>
        </w:rPr>
        <w:t xml:space="preserve">软管实现连续排水功能；</w:t>
      </w:r>
      <w:r/>
    </w:p>
    <w:p>
      <w:pPr>
        <w:ind w:firstLine="480"/>
        <w:spacing w:line="500" w:lineRule="exact"/>
        <w:rPr>
          <w:sz w:val="24"/>
        </w:rPr>
      </w:pPr>
      <w:r>
        <w:rPr>
          <w:sz w:val="24"/>
        </w:rPr>
        <w:t xml:space="preserve">底部</w:t>
      </w:r>
      <w:r>
        <w:rPr>
          <w:rFonts w:hint="eastAsia"/>
          <w:sz w:val="24"/>
        </w:rPr>
        <w:t xml:space="preserve">要求配</w:t>
      </w:r>
      <w:r>
        <w:rPr>
          <w:sz w:val="24"/>
        </w:rPr>
        <w:t xml:space="preserve">有万向轮，可自由移动</w:t>
      </w:r>
      <w:r>
        <w:rPr>
          <w:rFonts w:hint="eastAsia"/>
          <w:sz w:val="24"/>
        </w:rPr>
        <w:t xml:space="preserve">位置</w:t>
      </w:r>
      <w:r>
        <w:rPr>
          <w:sz w:val="24"/>
        </w:rPr>
        <w:t xml:space="preserve">；</w:t>
      </w:r>
      <w:r/>
    </w:p>
    <w:p>
      <w:pPr>
        <w:ind w:firstLine="480"/>
        <w:spacing w:line="500" w:lineRule="exact"/>
        <w:rPr>
          <w:sz w:val="24"/>
        </w:rPr>
      </w:pPr>
      <w:r>
        <w:rPr>
          <w:rFonts w:hint="eastAsia"/>
          <w:sz w:val="24"/>
        </w:rPr>
        <w:t xml:space="preserve">要求</w:t>
      </w:r>
      <w:r>
        <w:rPr>
          <w:sz w:val="24"/>
        </w:rPr>
        <w:t xml:space="preserve">采用高品质离心风机，风力强、气流均匀、噪音低。</w:t>
      </w:r>
      <w:r/>
    </w:p>
    <w:p>
      <w:pPr>
        <w:pStyle w:val="892"/>
        <w:jc w:val="left"/>
        <w:spacing w:line="500" w:lineRule="exact"/>
        <w:tabs>
          <w:tab w:val="left" w:pos="0" w:leader="none"/>
        </w:tabs>
        <w:rPr>
          <w:rFonts w:ascii="Times New Roman" w:eastAsia="宋体"/>
          <w:b/>
          <w:bCs/>
          <w:sz w:val="24"/>
          <w:szCs w:val="24"/>
        </w:rPr>
      </w:pPr>
      <w:r/>
      <w:bookmarkStart w:id="57" w:name="_Toc18665"/>
      <w:r>
        <w:rPr>
          <w:rFonts w:hint="eastAsia" w:ascii="Times New Roman" w:eastAsia="宋体"/>
          <w:b/>
          <w:bCs/>
          <w:sz w:val="24"/>
          <w:szCs w:val="24"/>
        </w:rPr>
        <w:t xml:space="preserve">3、</w:t>
      </w:r>
      <w:r>
        <w:rPr>
          <w:rFonts w:ascii="Times New Roman" w:eastAsia="宋体"/>
          <w:b/>
          <w:bCs/>
          <w:sz w:val="24"/>
          <w:szCs w:val="24"/>
        </w:rPr>
        <w:t xml:space="preserve">能效管理</w:t>
      </w:r>
      <w:r>
        <w:rPr>
          <w:rFonts w:hint="eastAsia" w:ascii="Times New Roman" w:eastAsia="宋体"/>
          <w:b/>
          <w:bCs/>
          <w:sz w:val="24"/>
          <w:szCs w:val="24"/>
        </w:rPr>
        <w:t xml:space="preserve">技术</w:t>
      </w:r>
      <w:r>
        <w:rPr>
          <w:rFonts w:ascii="Times New Roman" w:eastAsia="宋体"/>
          <w:b/>
          <w:bCs/>
          <w:sz w:val="24"/>
          <w:szCs w:val="24"/>
        </w:rPr>
        <w:t xml:space="preserve">要求</w:t>
      </w:r>
      <w:bookmarkEnd w:id="57"/>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8" w:name="_Toc16158"/>
      <w:r>
        <w:rPr>
          <w:rFonts w:hint="eastAsia" w:ascii="Times New Roman" w:hAnsi="Times New Roman" w:eastAsia="宋体"/>
          <w:szCs w:val="24"/>
        </w:rPr>
        <w:t xml:space="preserve">3.1电磁</w:t>
      </w:r>
      <w:r>
        <w:rPr>
          <w:rFonts w:ascii="Times New Roman" w:hAnsi="Times New Roman" w:eastAsia="宋体"/>
          <w:szCs w:val="24"/>
        </w:rPr>
        <w:t xml:space="preserve">流量计</w:t>
      </w:r>
      <w:bookmarkEnd w:id="58"/>
      <w:r/>
      <w:r/>
    </w:p>
    <w:p>
      <w:pPr>
        <w:ind w:firstLine="480"/>
        <w:spacing w:line="500" w:lineRule="exact"/>
        <w:rPr>
          <w:sz w:val="24"/>
        </w:rPr>
      </w:pPr>
      <w:r>
        <w:rPr>
          <w:rFonts w:hint="eastAsia"/>
          <w:sz w:val="24"/>
        </w:rPr>
        <w:t xml:space="preserve">电磁</w:t>
      </w:r>
      <w:r>
        <w:rPr>
          <w:sz w:val="24"/>
        </w:rPr>
        <w:t xml:space="preserve">流量计可用于监测泵房或设备的供水量。</w:t>
      </w:r>
      <w:r/>
    </w:p>
    <w:p>
      <w:pPr>
        <w:ind w:firstLine="480"/>
        <w:spacing w:line="500" w:lineRule="exact"/>
        <w:rPr>
          <w:sz w:val="24"/>
        </w:rPr>
      </w:pPr>
      <w:r>
        <w:rPr>
          <w:sz w:val="24"/>
        </w:rPr>
        <w:t xml:space="preserve">支持RS485通讯，需根据出水管路口径大小进行选型。</w:t>
      </w:r>
      <w:r/>
    </w:p>
    <w:p>
      <w:pPr>
        <w:pStyle w:val="893"/>
        <w:spacing w:before="0" w:after="0" w:line="500" w:lineRule="exact"/>
        <w:tabs>
          <w:tab w:val="left" w:pos="0" w:leader="none"/>
          <w:tab w:val="left" w:pos="420" w:leader="none"/>
        </w:tabs>
        <w:rPr>
          <w:rFonts w:ascii="Times New Roman" w:hAnsi="Times New Roman" w:eastAsia="宋体"/>
          <w:szCs w:val="24"/>
        </w:rPr>
      </w:pPr>
      <w:r/>
      <w:bookmarkStart w:id="59" w:name="_Toc30545"/>
      <w:r>
        <w:rPr>
          <w:rFonts w:hint="eastAsia" w:ascii="Times New Roman" w:hAnsi="Times New Roman" w:eastAsia="宋体"/>
          <w:szCs w:val="24"/>
        </w:rPr>
        <w:t xml:space="preserve">3.2电能表</w:t>
      </w:r>
      <w:bookmarkEnd w:id="59"/>
      <w:r>
        <w:rPr>
          <w:rFonts w:hint="eastAsia" w:ascii="Times New Roman" w:hAnsi="Times New Roman" w:eastAsia="宋体"/>
          <w:szCs w:val="24"/>
        </w:rPr>
        <w:tab/>
      </w:r>
      <w:r/>
    </w:p>
    <w:p>
      <w:pPr>
        <w:ind w:firstLine="480"/>
        <w:spacing w:line="500" w:lineRule="exact"/>
        <w:rPr>
          <w:sz w:val="24"/>
        </w:rPr>
      </w:pPr>
      <w:r>
        <w:rPr>
          <w:sz w:val="24"/>
        </w:rPr>
        <w:t xml:space="preserve">电能表可用于监测泵房或设备的耗电量，建设要求如下：</w:t>
      </w:r>
      <w:r/>
    </w:p>
    <w:p>
      <w:pPr>
        <w:ind w:firstLine="480"/>
        <w:spacing w:line="500" w:lineRule="exact"/>
        <w:rPr>
          <w:sz w:val="24"/>
        </w:rPr>
      </w:pPr>
      <w:r>
        <w:rPr>
          <w:sz w:val="24"/>
        </w:rPr>
        <w:t xml:space="preserve">支持三相交流输入；</w:t>
      </w:r>
      <w:r/>
    </w:p>
    <w:p>
      <w:pPr>
        <w:ind w:firstLine="480"/>
        <w:spacing w:line="500" w:lineRule="exact"/>
        <w:rPr>
          <w:sz w:val="24"/>
        </w:rPr>
      </w:pPr>
      <w:r>
        <w:rPr>
          <w:sz w:val="24"/>
        </w:rPr>
        <w:t xml:space="preserve">输入频率：工频45-60Hz；</w:t>
      </w:r>
      <w:r/>
    </w:p>
    <w:p>
      <w:pPr>
        <w:ind w:firstLine="480"/>
        <w:spacing w:line="500" w:lineRule="exact"/>
        <w:rPr>
          <w:sz w:val="24"/>
        </w:rPr>
      </w:pPr>
      <w:r>
        <w:rPr>
          <w:sz w:val="24"/>
        </w:rPr>
        <w:t xml:space="preserve">数据更新周期：0.05S-1S；</w:t>
      </w:r>
      <w:r/>
    </w:p>
    <w:p>
      <w:pPr>
        <w:ind w:firstLine="480"/>
        <w:spacing w:line="500" w:lineRule="exact"/>
        <w:rPr>
          <w:sz w:val="24"/>
        </w:rPr>
      </w:pPr>
      <w:r>
        <w:rPr>
          <w:sz w:val="24"/>
        </w:rPr>
        <w:t xml:space="preserve">接口：支持1路RS485接口，支持ModbusRTU协议；</w:t>
      </w:r>
      <w:r/>
    </w:p>
    <w:p>
      <w:pPr>
        <w:ind w:firstLine="480"/>
        <w:spacing w:line="500" w:lineRule="exact"/>
        <w:rPr>
          <w:sz w:val="24"/>
        </w:rPr>
      </w:pPr>
      <w:r>
        <w:rPr>
          <w:sz w:val="24"/>
        </w:rPr>
        <w:t xml:space="preserve">测量精度：电压/电流+0.2%FS，电量+0.5%FS；</w:t>
      </w:r>
      <w:r/>
    </w:p>
    <w:p>
      <w:pPr>
        <w:ind w:firstLine="480"/>
        <w:spacing w:line="500" w:lineRule="exact"/>
        <w:rPr>
          <w:sz w:val="24"/>
        </w:rPr>
      </w:pPr>
      <w:r>
        <w:rPr>
          <w:sz w:val="24"/>
        </w:rPr>
        <w:t xml:space="preserve">每套电能表需配3个电流互感器。</w:t>
      </w:r>
      <w:r/>
    </w:p>
    <w:p>
      <w:pPr>
        <w:pStyle w:val="892"/>
        <w:jc w:val="left"/>
        <w:spacing w:line="500" w:lineRule="exact"/>
        <w:tabs>
          <w:tab w:val="left" w:pos="0" w:leader="none"/>
        </w:tabs>
        <w:rPr>
          <w:rFonts w:ascii="Times New Roman" w:eastAsia="宋体"/>
          <w:b/>
          <w:bCs/>
          <w:sz w:val="24"/>
          <w:szCs w:val="24"/>
        </w:rPr>
      </w:pPr>
      <w:r/>
      <w:bookmarkStart w:id="60" w:name="_Toc3045"/>
      <w:r>
        <w:rPr>
          <w:rFonts w:hint="eastAsia" w:ascii="Times New Roman" w:eastAsia="宋体"/>
          <w:b/>
          <w:bCs/>
          <w:sz w:val="24"/>
          <w:szCs w:val="24"/>
        </w:rPr>
        <w:t xml:space="preserve">4、水质管理技术要求</w:t>
      </w:r>
      <w:bookmarkEnd w:id="60"/>
      <w:r/>
      <w:r/>
    </w:p>
    <w:p>
      <w:pPr>
        <w:pStyle w:val="893"/>
        <w:spacing w:before="0" w:after="0" w:line="500" w:lineRule="exact"/>
        <w:tabs>
          <w:tab w:val="left" w:pos="0" w:leader="none"/>
          <w:tab w:val="left" w:pos="420" w:leader="none"/>
        </w:tabs>
        <w:rPr>
          <w:rFonts w:ascii="Times New Roman" w:hAnsi="Times New Roman" w:eastAsia="宋体"/>
          <w:szCs w:val="24"/>
        </w:rPr>
      </w:pPr>
      <w:r/>
      <w:bookmarkStart w:id="61" w:name="_Toc21836"/>
      <w:r>
        <w:rPr>
          <w:rFonts w:hint="eastAsia" w:ascii="Times New Roman" w:hAnsi="Times New Roman" w:eastAsia="宋体"/>
          <w:szCs w:val="24"/>
        </w:rPr>
        <w:t xml:space="preserve">4.1</w:t>
      </w:r>
      <w:r>
        <w:rPr>
          <w:rFonts w:ascii="宋体" w:hAnsi="宋体" w:eastAsia="宋体"/>
          <w:color w:val="000000"/>
          <w:sz w:val="21"/>
          <w:szCs w:val="21"/>
        </w:rPr>
        <w:t xml:space="preserve">▲</w:t>
      </w:r>
      <w:r>
        <w:rPr>
          <w:rFonts w:ascii="Times New Roman" w:hAnsi="Times New Roman" w:eastAsia="宋体"/>
          <w:szCs w:val="24"/>
        </w:rPr>
        <w:t xml:space="preserve">多参数水质检测仪</w:t>
      </w:r>
      <w:bookmarkEnd w:id="61"/>
      <w:r/>
      <w:r/>
    </w:p>
    <w:p>
      <w:pPr>
        <w:ind w:firstLine="480"/>
        <w:spacing w:line="500" w:lineRule="exact"/>
        <w:rPr>
          <w:sz w:val="24"/>
        </w:rPr>
      </w:pPr>
      <w:r>
        <w:rPr>
          <w:sz w:val="24"/>
        </w:rPr>
        <w:t xml:space="preserve">多参数水质检测仪需支持余氯、浊度、PH的检测，建设要求如下：</w:t>
      </w:r>
      <w:r/>
    </w:p>
    <w:p>
      <w:pPr>
        <w:ind w:firstLine="480"/>
        <w:spacing w:line="500" w:lineRule="exact"/>
        <w:rPr>
          <w:sz w:val="24"/>
        </w:rPr>
      </w:pPr>
      <w:r>
        <w:rPr>
          <w:sz w:val="24"/>
        </w:rPr>
        <w:t xml:space="preserve">测量配置：</w:t>
      </w:r>
      <w:r/>
    </w:p>
    <w:p>
      <w:pPr>
        <w:ind w:firstLine="480"/>
        <w:spacing w:line="500" w:lineRule="exact"/>
        <w:rPr>
          <w:sz w:val="24"/>
        </w:rPr>
      </w:pPr>
      <w:r>
        <w:rPr>
          <w:sz w:val="24"/>
        </w:rPr>
        <w:t xml:space="preserve">余氯：0-2.00mg/L分辨率：0.01mg/L精度：+2%FS；</w:t>
      </w:r>
      <w:r/>
    </w:p>
    <w:p>
      <w:pPr>
        <w:ind w:firstLine="480"/>
        <w:spacing w:line="500" w:lineRule="exact"/>
        <w:rPr>
          <w:sz w:val="24"/>
        </w:rPr>
      </w:pPr>
      <w:r>
        <w:rPr>
          <w:sz w:val="24"/>
        </w:rPr>
        <w:t xml:space="preserve">浊度：0-5NTU分辨率：0.01NTU精度：+3%FS；</w:t>
      </w:r>
      <w:r/>
    </w:p>
    <w:p>
      <w:pPr>
        <w:ind w:firstLine="480"/>
        <w:spacing w:line="500" w:lineRule="exact"/>
        <w:rPr>
          <w:sz w:val="24"/>
        </w:rPr>
      </w:pPr>
      <w:r>
        <w:rPr>
          <w:sz w:val="24"/>
        </w:rPr>
        <w:t xml:space="preserve">PH：0-14.00分辨率：0.01精度：+1%FS；</w:t>
      </w:r>
      <w:r/>
    </w:p>
    <w:p>
      <w:pPr>
        <w:ind w:firstLine="480"/>
        <w:spacing w:line="500" w:lineRule="exact"/>
        <w:rPr>
          <w:sz w:val="24"/>
        </w:rPr>
      </w:pPr>
      <w:r>
        <w:rPr>
          <w:sz w:val="24"/>
        </w:rPr>
        <w:t xml:space="preserve">支持RS485通讯（Modbus协议）</w:t>
      </w:r>
      <w:r>
        <w:rPr>
          <w:rFonts w:hint="eastAsia"/>
          <w:sz w:val="24"/>
        </w:rPr>
        <w:t xml:space="preserve">。</w:t>
      </w:r>
      <w:r/>
    </w:p>
    <w:p>
      <w:pPr>
        <w:pStyle w:val="892"/>
        <w:jc w:val="left"/>
        <w:spacing w:line="500" w:lineRule="exact"/>
        <w:tabs>
          <w:tab w:val="left" w:pos="0" w:leader="none"/>
        </w:tabs>
        <w:rPr>
          <w:rFonts w:ascii="Times New Roman" w:eastAsia="宋体"/>
          <w:b/>
          <w:bCs/>
          <w:sz w:val="24"/>
          <w:szCs w:val="24"/>
        </w:rPr>
      </w:pPr>
      <w:r>
        <w:rPr>
          <w:rFonts w:hint="eastAsia" w:ascii="Times New Roman" w:eastAsia="宋体"/>
          <w:b/>
          <w:bCs/>
          <w:sz w:val="24"/>
          <w:szCs w:val="24"/>
        </w:rPr>
        <w:t xml:space="preserve">5、二次供水管理系统建设要求</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5.1泵房管理</w:t>
      </w:r>
      <w:r/>
    </w:p>
    <w:p>
      <w:pPr>
        <w:pStyle w:val="894"/>
        <w:ind w:left="400"/>
        <w:spacing w:before="0" w:after="0" w:line="500" w:lineRule="exact"/>
        <w:tabs>
          <w:tab w:val="left" w:pos="0" w:leader="none"/>
        </w:tabs>
        <w:rPr>
          <w:sz w:val="24"/>
          <w:szCs w:val="24"/>
        </w:rPr>
      </w:pPr>
      <w:r>
        <w:rPr>
          <w:rFonts w:hint="eastAsia"/>
          <w:sz w:val="24"/>
          <w:szCs w:val="24"/>
        </w:rPr>
        <w:t xml:space="preserve">5.1.1泵房监控</w:t>
      </w:r>
      <w:r/>
    </w:p>
    <w:p>
      <w:pPr>
        <w:ind w:firstLine="480"/>
        <w:spacing w:line="500" w:lineRule="exact"/>
        <w:rPr>
          <w:sz w:val="24"/>
        </w:rPr>
      </w:pPr>
      <w:r>
        <w:rPr>
          <w:rFonts w:hint="eastAsia"/>
          <w:sz w:val="24"/>
        </w:rPr>
        <w:t xml:space="preserve">二次供水管理部门和运维部门可了解泵房运行及接管情况，查看详细数据。通过地图实现逐级查看和分析，实现泵房简单有效管理。系统支持地图总览、泵房详情、远程下控功能。</w:t>
      </w:r>
      <w:r/>
    </w:p>
    <w:p>
      <w:pPr>
        <w:ind w:firstLine="482"/>
        <w:spacing w:line="500" w:lineRule="exact"/>
        <w:rPr>
          <w:sz w:val="24"/>
        </w:rPr>
      </w:pPr>
      <w:r>
        <w:rPr>
          <w:rFonts w:hint="eastAsia"/>
          <w:b/>
          <w:bCs/>
          <w:sz w:val="24"/>
        </w:rPr>
        <w:t xml:space="preserve">地图总览:</w:t>
      </w:r>
      <w:r>
        <w:rPr>
          <w:rFonts w:hint="eastAsia"/>
          <w:sz w:val="24"/>
        </w:rPr>
        <w:t xml:space="preserve">监控二次供水业务，包括泵房设施、运维等。展示泵房关键数据。</w:t>
      </w:r>
      <w:r/>
    </w:p>
    <w:p>
      <w:pPr>
        <w:ind w:firstLine="482"/>
        <w:spacing w:line="500" w:lineRule="exact"/>
        <w:rPr>
          <w:sz w:val="24"/>
        </w:rPr>
      </w:pPr>
      <w:r>
        <w:rPr>
          <w:rFonts w:hint="eastAsia"/>
          <w:b/>
          <w:bCs/>
          <w:sz w:val="24"/>
        </w:rPr>
        <w:t xml:space="preserve">泵房详情:</w:t>
      </w:r>
      <w:r>
        <w:rPr>
          <w:rFonts w:hint="eastAsia"/>
          <w:sz w:val="24"/>
        </w:rPr>
        <w:t xml:space="preserve">查看泵房详情，包括实时和历史数据、安防、报警、运维信息。直观显示运行状态。</w:t>
      </w:r>
      <w:r/>
    </w:p>
    <w:p>
      <w:pPr>
        <w:ind w:firstLine="482"/>
        <w:spacing w:line="500" w:lineRule="exact"/>
        <w:rPr>
          <w:sz w:val="24"/>
        </w:rPr>
      </w:pPr>
      <w:r>
        <w:rPr>
          <w:rFonts w:hint="eastAsia"/>
          <w:b/>
          <w:bCs/>
          <w:sz w:val="24"/>
        </w:rPr>
        <w:t xml:space="preserve">远程下控:</w:t>
      </w:r>
      <w:r>
        <w:rPr>
          <w:rFonts w:hint="eastAsia"/>
          <w:sz w:val="24"/>
        </w:rPr>
        <w:t xml:space="preserve">远程控制门禁、设备、阀门等，需权限验证。记录操作信息，确保可追溯。</w:t>
      </w:r>
      <w:r/>
    </w:p>
    <w:p>
      <w:pPr>
        <w:pStyle w:val="894"/>
        <w:ind w:left="400"/>
        <w:spacing w:before="0" w:after="0" w:line="500" w:lineRule="exact"/>
        <w:tabs>
          <w:tab w:val="left" w:pos="0" w:leader="none"/>
        </w:tabs>
        <w:rPr>
          <w:sz w:val="24"/>
          <w:szCs w:val="24"/>
        </w:rPr>
      </w:pPr>
      <w:r>
        <w:rPr>
          <w:rFonts w:hint="eastAsia"/>
          <w:sz w:val="24"/>
          <w:szCs w:val="24"/>
        </w:rPr>
        <w:t xml:space="preserve">5.1.2安防管理</w:t>
      </w:r>
      <w:r/>
    </w:p>
    <w:p>
      <w:pPr>
        <w:ind w:firstLine="480"/>
        <w:spacing w:line="500" w:lineRule="exact"/>
        <w:rPr>
          <w:sz w:val="24"/>
        </w:rPr>
      </w:pPr>
      <w:r>
        <w:rPr>
          <w:rFonts w:hint="eastAsia"/>
          <w:sz w:val="24"/>
        </w:rPr>
        <w:t xml:space="preserve">工作人员可查看、回放视频，控制云台和门禁。系统支持联动门禁、摄像头等（需泵房硬件具备），进行非法闯入监测并主动报警（需泵房硬件具备）。同时，系统可集成第三方，泵房监控视频可嵌入第三方Web应用。系统支持视频监控、门禁管理、入侵报警和统一管理。</w:t>
      </w:r>
      <w:r/>
    </w:p>
    <w:p>
      <w:pPr>
        <w:ind w:firstLine="482"/>
        <w:spacing w:line="500" w:lineRule="exact"/>
        <w:rPr>
          <w:sz w:val="24"/>
        </w:rPr>
      </w:pPr>
      <w:r>
        <w:rPr>
          <w:rFonts w:hint="eastAsia"/>
          <w:b/>
          <w:bCs/>
          <w:sz w:val="24"/>
        </w:rPr>
        <w:t xml:space="preserve">视频监控:</w:t>
      </w:r>
      <w:r>
        <w:rPr>
          <w:rFonts w:hint="eastAsia"/>
          <w:sz w:val="24"/>
        </w:rPr>
        <w:t xml:space="preserve">实时查看泵房摄像机，支持截图、录制、播放控制。可轮流切换预设摄像机显示。核查历史视频数据，回放控制。联动入侵探测系统，记录报警信号。</w:t>
      </w:r>
      <w:r/>
    </w:p>
    <w:p>
      <w:pPr>
        <w:ind w:firstLine="482"/>
        <w:spacing w:line="500" w:lineRule="exact"/>
        <w:rPr>
          <w:sz w:val="24"/>
        </w:rPr>
      </w:pPr>
      <w:r>
        <w:rPr>
          <w:rFonts w:hint="eastAsia"/>
          <w:b/>
          <w:bCs/>
          <w:sz w:val="24"/>
        </w:rPr>
        <w:t xml:space="preserve">门禁管理:</w:t>
      </w:r>
      <w:r>
        <w:rPr>
          <w:rFonts w:hint="eastAsia"/>
          <w:sz w:val="24"/>
        </w:rPr>
        <w:t xml:space="preserve">多种开门授权方式，门禁记录可追溯。与视频监视、红外报警系统联动。泵房出入人员管理、权限分配、远程操作。门禁视频联动，与红外报警设备联动。</w:t>
      </w:r>
      <w:r/>
    </w:p>
    <w:p>
      <w:pPr>
        <w:ind w:firstLine="482"/>
        <w:spacing w:line="500" w:lineRule="exact"/>
        <w:rPr>
          <w:sz w:val="24"/>
        </w:rPr>
      </w:pPr>
      <w:r>
        <w:rPr>
          <w:rFonts w:hint="eastAsia"/>
          <w:b/>
          <w:bCs/>
          <w:sz w:val="24"/>
        </w:rPr>
        <w:t xml:space="preserve">统一安防管理:</w:t>
      </w:r>
      <w:r>
        <w:rPr>
          <w:rFonts w:hint="eastAsia"/>
          <w:sz w:val="24"/>
        </w:rPr>
        <w:t xml:space="preserve">视频和门禁在二次供水管理系统中统一查看。</w:t>
      </w:r>
      <w:r/>
    </w:p>
    <w:p>
      <w:pPr>
        <w:ind w:firstLine="482"/>
        <w:spacing w:line="500" w:lineRule="exact"/>
        <w:rPr>
          <w:sz w:val="24"/>
        </w:rPr>
      </w:pPr>
      <w:r>
        <w:rPr>
          <w:rFonts w:hint="eastAsia"/>
          <w:b/>
          <w:bCs/>
          <w:sz w:val="24"/>
        </w:rPr>
        <w:t xml:space="preserve">入侵报警:</w:t>
      </w:r>
      <w:r>
        <w:rPr>
          <w:rFonts w:hint="eastAsia"/>
          <w:sz w:val="24"/>
        </w:rPr>
        <w:t xml:space="preserve">门禁、红外入侵、摄像头、灯光联动。正常开门时，灯光亮起，摄像头拍摄留存。非法入侵时，触发报警信号，推送报警和实时视频弹窗。支持对讲功能。</w:t>
      </w:r>
      <w:r/>
    </w:p>
    <w:p>
      <w:pPr>
        <w:pStyle w:val="894"/>
        <w:ind w:left="400"/>
        <w:spacing w:before="0" w:after="0" w:line="500" w:lineRule="exact"/>
        <w:tabs>
          <w:tab w:val="left" w:pos="0" w:leader="none"/>
        </w:tabs>
        <w:rPr>
          <w:sz w:val="24"/>
          <w:szCs w:val="24"/>
        </w:rPr>
      </w:pPr>
      <w:r>
        <w:rPr>
          <w:rFonts w:hint="eastAsia"/>
          <w:sz w:val="24"/>
          <w:szCs w:val="24"/>
        </w:rPr>
        <w:t xml:space="preserve">5.1.3异常诊断处理</w:t>
      </w:r>
      <w:r/>
    </w:p>
    <w:p>
      <w:pPr>
        <w:ind w:firstLine="480"/>
        <w:spacing w:line="500" w:lineRule="exact"/>
        <w:rPr>
          <w:sz w:val="24"/>
        </w:rPr>
      </w:pPr>
      <w:r>
        <w:rPr>
          <w:rFonts w:hint="eastAsia"/>
          <w:sz w:val="24"/>
        </w:rPr>
        <w:t xml:space="preserve">为了智能化、精准化报警，系统具备异常自动诊断功能。结合专家库和智能配置，实时分析数据，快速诊断异常，辅助解决问题，提升处理速度和供水服务水平。系统支持异常数据源、诊断配置、规则库、报警推送及处理功能。</w:t>
      </w:r>
      <w:r/>
    </w:p>
    <w:p>
      <w:pPr>
        <w:ind w:firstLine="482"/>
        <w:spacing w:line="500" w:lineRule="exact"/>
        <w:rPr>
          <w:sz w:val="24"/>
        </w:rPr>
      </w:pPr>
      <w:r>
        <w:rPr>
          <w:rFonts w:hint="eastAsia"/>
          <w:b/>
          <w:bCs/>
          <w:sz w:val="24"/>
        </w:rPr>
        <w:t xml:space="preserve">异常数据源:</w:t>
      </w:r>
      <w:r>
        <w:rPr>
          <w:rFonts w:hint="eastAsia"/>
          <w:sz w:val="24"/>
        </w:rPr>
        <w:t xml:space="preserve">系统支持物联网和业务数据源类型的报警规则配置。同时，支持业务数据源配置，包括名称、类型、IP、端口、数据类型和单位等。</w:t>
      </w:r>
      <w:r/>
    </w:p>
    <w:p>
      <w:pPr>
        <w:ind w:firstLine="482"/>
        <w:spacing w:line="500" w:lineRule="exact"/>
        <w:rPr>
          <w:sz w:val="24"/>
        </w:rPr>
      </w:pPr>
      <w:r>
        <w:rPr>
          <w:rFonts w:hint="eastAsia"/>
          <w:b/>
          <w:bCs/>
          <w:sz w:val="24"/>
        </w:rPr>
        <w:t xml:space="preserve">异常诊断灵活配置:</w:t>
      </w:r>
      <w:r>
        <w:rPr>
          <w:rFonts w:hint="eastAsia"/>
          <w:sz w:val="24"/>
        </w:rPr>
        <w:t xml:space="preserve">为了方便配置异常诊断规则，系统设置灵活的报警规则配置能力，支持可视化、拖拽式配置。系统支持多种报警判断方式，如上下限值、开关量等。同时，系统支持报警降噪，设置异常数据过滤策略，推送真实报警。具体方式包括直接报警、连续报警、持续报警等。</w:t>
      </w:r>
      <w:r/>
    </w:p>
    <w:p>
      <w:pPr>
        <w:ind w:firstLine="482"/>
        <w:spacing w:line="500" w:lineRule="exact"/>
        <w:rPr>
          <w:sz w:val="24"/>
        </w:rPr>
      </w:pPr>
      <w:r>
        <w:rPr>
          <w:rFonts w:hint="eastAsia"/>
          <w:b/>
          <w:bCs/>
          <w:sz w:val="24"/>
        </w:rPr>
        <w:t xml:space="preserve">异常规则库:</w:t>
      </w:r>
      <w:r>
        <w:rPr>
          <w:rFonts w:hint="eastAsia"/>
          <w:sz w:val="24"/>
        </w:rPr>
        <w:t xml:space="preserve">系统需配备至少10类、100条规则的异常诊断规则库，包括流量、安防、水泵等。支持在报警详情界面查看并编辑报警规则，便于工作人员修改和新增规则，优化异常规则库。</w:t>
      </w:r>
      <w:r/>
    </w:p>
    <w:p>
      <w:pPr>
        <w:ind w:firstLine="482"/>
        <w:spacing w:line="500" w:lineRule="exact"/>
        <w:rPr>
          <w:sz w:val="24"/>
        </w:rPr>
      </w:pPr>
      <w:r>
        <w:rPr>
          <w:rFonts w:hint="eastAsia"/>
          <w:b/>
          <w:bCs/>
          <w:sz w:val="24"/>
        </w:rPr>
        <w:t xml:space="preserve">异常报警推送:</w:t>
      </w:r>
      <w:r>
        <w:rPr>
          <w:rFonts w:hint="eastAsia"/>
          <w:sz w:val="24"/>
        </w:rPr>
        <w:t xml:space="preserve">异常触发自动匹配报警规则诊断并推送。支持视频弹窗、语音播报、声光电等多种渠道。报警分级，优先级高者先推送。灵活设置查看权限，包括级别、管理范围、报警级别、类型等。</w:t>
      </w:r>
      <w:r/>
    </w:p>
    <w:p>
      <w:pPr>
        <w:ind w:firstLine="482"/>
        <w:spacing w:line="500" w:lineRule="exact"/>
        <w:rPr>
          <w:sz w:val="24"/>
        </w:rPr>
      </w:pPr>
      <w:r>
        <w:rPr>
          <w:rFonts w:hint="eastAsia"/>
          <w:b/>
          <w:bCs/>
          <w:sz w:val="24"/>
        </w:rPr>
        <w:t xml:space="preserve">报警处理:</w:t>
      </w:r>
      <w:r>
        <w:rPr>
          <w:rFonts w:hint="eastAsia"/>
          <w:sz w:val="24"/>
        </w:rPr>
        <w:t xml:space="preserve">工作人员可查看、编辑报警信息、规则及运维知识，进行数据分析，确认处理并派单。报警信息需含泵房、名称、级别、时间、值、详情、视频等。数据分析支持曲线查看，支持多时段数据查看及对比。</w:t>
      </w:r>
      <w:r/>
    </w:p>
    <w:p>
      <w:pPr>
        <w:pStyle w:val="894"/>
        <w:ind w:left="400"/>
        <w:spacing w:before="0" w:after="0" w:line="500" w:lineRule="exact"/>
        <w:tabs>
          <w:tab w:val="left" w:pos="0" w:leader="none"/>
        </w:tabs>
        <w:rPr>
          <w:sz w:val="24"/>
          <w:szCs w:val="24"/>
        </w:rPr>
      </w:pPr>
      <w:r>
        <w:rPr>
          <w:rFonts w:hint="eastAsia"/>
          <w:sz w:val="24"/>
          <w:szCs w:val="24"/>
        </w:rPr>
        <w:t xml:space="preserve">5.1.4快速检索</w:t>
      </w:r>
      <w:r/>
    </w:p>
    <w:p>
      <w:pPr>
        <w:ind w:firstLine="480"/>
        <w:spacing w:line="500" w:lineRule="exact"/>
        <w:rPr>
          <w:sz w:val="24"/>
        </w:rPr>
      </w:pPr>
      <w:r>
        <w:rPr>
          <w:rFonts w:hint="eastAsia"/>
          <w:sz w:val="24"/>
        </w:rPr>
        <w:t xml:space="preserve">系统通过检索快速找到并查看泵房的详情页面。点击检索框下方的分类标签可以直接查看相应数据的汇总页面。标签支持自定义配置。</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5.2运维管理</w:t>
      </w:r>
      <w:r/>
    </w:p>
    <w:p>
      <w:pPr>
        <w:pStyle w:val="894"/>
        <w:spacing w:before="0" w:after="0" w:line="500" w:lineRule="exact"/>
        <w:tabs>
          <w:tab w:val="left" w:pos="0" w:leader="none"/>
        </w:tabs>
        <w:rPr>
          <w:sz w:val="24"/>
          <w:szCs w:val="24"/>
        </w:rPr>
      </w:pPr>
      <w:r>
        <w:rPr>
          <w:rFonts w:hint="eastAsia"/>
          <w:sz w:val="24"/>
          <w:szCs w:val="24"/>
        </w:rPr>
        <w:t xml:space="preserve">5.2.1计划管理</w:t>
      </w:r>
      <w:r/>
    </w:p>
    <w:p>
      <w:pPr>
        <w:ind w:firstLine="480"/>
        <w:spacing w:line="500" w:lineRule="exact"/>
        <w:rPr>
          <w:sz w:val="24"/>
        </w:rPr>
      </w:pPr>
      <w:r>
        <w:rPr>
          <w:rFonts w:hint="eastAsia"/>
          <w:sz w:val="24"/>
        </w:rPr>
        <w:t xml:space="preserve">系统支持周期性工作计划制定和管理。可支持填写信息，选择负责人、组织及泵房，设置工单日期，关联知识，系统生成工单派发。周期性工作包括巡检计划管理、保养计划、水箱清洗计划。</w:t>
      </w:r>
      <w:r/>
    </w:p>
    <w:p>
      <w:pPr>
        <w:pStyle w:val="894"/>
        <w:spacing w:before="0" w:after="0" w:line="500" w:lineRule="exact"/>
        <w:tabs>
          <w:tab w:val="left" w:pos="0" w:leader="none"/>
        </w:tabs>
        <w:rPr>
          <w:sz w:val="24"/>
          <w:szCs w:val="24"/>
        </w:rPr>
      </w:pPr>
      <w:r>
        <w:rPr>
          <w:rFonts w:hint="eastAsia"/>
          <w:sz w:val="24"/>
          <w:szCs w:val="24"/>
        </w:rPr>
        <w:t xml:space="preserve">5.2.2工单服务</w:t>
      </w:r>
      <w:r/>
    </w:p>
    <w:p>
      <w:pPr>
        <w:ind w:left="38" w:right="181" w:firstLine="464"/>
        <w:spacing w:line="500" w:lineRule="exact"/>
        <w:rPr>
          <w:sz w:val="24"/>
        </w:rPr>
      </w:pPr>
      <w:r>
        <w:rPr>
          <w:rFonts w:hint="eastAsia"/>
          <w:spacing w:val="-8"/>
          <w:sz w:val="24"/>
        </w:rPr>
        <w:t xml:space="preserve">系统支持多种工单业务类型、工单任务查看、工单闭环管理考核等功能，辅助运维</w:t>
      </w:r>
      <w:r>
        <w:rPr>
          <w:rFonts w:hint="eastAsia"/>
          <w:spacing w:val="-7"/>
          <w:sz w:val="24"/>
        </w:rPr>
        <w:t xml:space="preserve">人员处理运维任务。工单业务类型包括设备维修工单、</w:t>
      </w:r>
      <w:r>
        <w:rPr>
          <w:rFonts w:hint="eastAsia"/>
          <w:spacing w:val="-8"/>
          <w:sz w:val="24"/>
        </w:rPr>
        <w:t xml:space="preserve">巡检工单、泵房保养工单、水箱清洗工单4大类工单流程，也可通过工单自定</w:t>
      </w:r>
      <w:r>
        <w:rPr>
          <w:rFonts w:hint="eastAsia"/>
          <w:spacing w:val="-9"/>
          <w:sz w:val="24"/>
        </w:rPr>
        <w:t xml:space="preserve">义配置修改工单流程实现其他工单类型。</w:t>
      </w:r>
      <w:r/>
    </w:p>
    <w:p>
      <w:pPr>
        <w:pStyle w:val="894"/>
        <w:spacing w:before="0" w:after="0" w:line="500" w:lineRule="exact"/>
        <w:tabs>
          <w:tab w:val="left" w:pos="0" w:leader="none"/>
        </w:tabs>
        <w:rPr>
          <w:sz w:val="24"/>
          <w:szCs w:val="24"/>
        </w:rPr>
      </w:pPr>
      <w:r>
        <w:rPr>
          <w:rFonts w:hint="eastAsia"/>
          <w:sz w:val="24"/>
          <w:szCs w:val="24"/>
        </w:rPr>
        <w:t xml:space="preserve">5.2.3线上巡检</w:t>
      </w:r>
      <w:r/>
    </w:p>
    <w:p>
      <w:pPr>
        <w:ind w:left="40" w:right="201" w:firstLine="478"/>
        <w:spacing w:line="500" w:lineRule="exact"/>
        <w:rPr>
          <w:sz w:val="24"/>
        </w:rPr>
      </w:pPr>
      <w:r>
        <w:rPr>
          <w:rFonts w:hint="eastAsia"/>
          <w:spacing w:val="-1"/>
          <w:sz w:val="24"/>
        </w:rPr>
        <w:t xml:space="preserve">系统支持运维人员通过系统进行线上巡检，针对接管大量泵房后的周期</w:t>
      </w:r>
      <w:r>
        <w:rPr>
          <w:rFonts w:hint="eastAsia"/>
          <w:spacing w:val="-2"/>
          <w:sz w:val="24"/>
        </w:rPr>
        <w:t xml:space="preserve">性巡检任</w:t>
      </w:r>
      <w:r>
        <w:rPr>
          <w:rFonts w:hint="eastAsia"/>
          <w:spacing w:val="-7"/>
          <w:sz w:val="24"/>
        </w:rPr>
        <w:t xml:space="preserve">务，提高日常巡检效率节省人力成本。支持巡检配置、巡检计划管理、巡检任务、巡检过程、巡检记录及派单以及巡检报告</w:t>
      </w:r>
      <w:r>
        <w:rPr>
          <w:rFonts w:hint="eastAsia"/>
          <w:spacing w:val="-5"/>
          <w:sz w:val="24"/>
        </w:rPr>
        <w:t xml:space="preserve">等。</w:t>
      </w:r>
      <w:r/>
    </w:p>
    <w:p>
      <w:pPr>
        <w:ind w:firstLine="482"/>
        <w:spacing w:line="500" w:lineRule="exact"/>
        <w:rPr>
          <w:sz w:val="24"/>
        </w:rPr>
      </w:pPr>
      <w:r>
        <w:rPr>
          <w:rFonts w:hint="eastAsia"/>
          <w:b/>
          <w:bCs/>
          <w:sz w:val="24"/>
        </w:rPr>
        <w:t xml:space="preserve">巡检配置</w:t>
      </w:r>
      <w:r>
        <w:rPr>
          <w:rFonts w:hint="eastAsia"/>
          <w:sz w:val="24"/>
        </w:rPr>
        <w:t xml:space="preserve">：系统支持配置巡检内容，如泵房模板、步骤、巡检项等。</w:t>
      </w:r>
      <w:r/>
    </w:p>
    <w:p>
      <w:pPr>
        <w:ind w:firstLine="482"/>
        <w:spacing w:line="500" w:lineRule="exact"/>
        <w:rPr>
          <w:sz w:val="24"/>
        </w:rPr>
      </w:pPr>
      <w:r>
        <w:rPr>
          <w:rFonts w:hint="eastAsia"/>
          <w:b/>
          <w:bCs/>
          <w:sz w:val="24"/>
        </w:rPr>
        <w:t xml:space="preserve">巡检计划管理</w:t>
      </w:r>
      <w:r>
        <w:rPr>
          <w:rFonts w:hint="eastAsia"/>
          <w:sz w:val="24"/>
        </w:rPr>
        <w:t xml:space="preserve">：系统支持制定临时及周期性巡检计划，自动生成任务并派发至负责人。</w:t>
      </w:r>
      <w:r/>
    </w:p>
    <w:p>
      <w:pPr>
        <w:ind w:firstLine="482"/>
        <w:spacing w:line="500" w:lineRule="exact"/>
        <w:rPr>
          <w:sz w:val="24"/>
        </w:rPr>
      </w:pPr>
      <w:r>
        <w:rPr>
          <w:rFonts w:hint="eastAsia"/>
          <w:b/>
          <w:bCs/>
          <w:sz w:val="24"/>
        </w:rPr>
        <w:t xml:space="preserve">巡检任务</w:t>
      </w:r>
      <w:r>
        <w:rPr>
          <w:rFonts w:hint="eastAsia"/>
          <w:sz w:val="24"/>
        </w:rPr>
        <w:t xml:space="preserve">:系统展示巡检任务，支持多种巡检启动方式。</w:t>
      </w:r>
      <w:r/>
    </w:p>
    <w:p>
      <w:pPr>
        <w:ind w:firstLine="482"/>
        <w:spacing w:line="500" w:lineRule="exact"/>
        <w:rPr>
          <w:sz w:val="24"/>
        </w:rPr>
      </w:pPr>
      <w:r>
        <w:rPr>
          <w:rFonts w:hint="eastAsia"/>
          <w:b/>
          <w:bCs/>
          <w:sz w:val="24"/>
        </w:rPr>
        <w:t xml:space="preserve">巡检过程</w:t>
      </w:r>
      <w:r>
        <w:rPr>
          <w:rFonts w:hint="eastAsia"/>
          <w:sz w:val="24"/>
        </w:rPr>
        <w:t xml:space="preserve">:支持实时数据和视频判断，结果分正常、异常，异常可截图描述。需按步骤顺序巡检，支持时间限制。巡检完成自动跳转并生成报告，可派发工单并追踪处理情况。</w:t>
      </w:r>
      <w:r/>
    </w:p>
    <w:p>
      <w:pPr>
        <w:ind w:firstLine="482"/>
        <w:spacing w:line="500" w:lineRule="exact"/>
        <w:rPr>
          <w:sz w:val="24"/>
        </w:rPr>
      </w:pPr>
      <w:r>
        <w:rPr>
          <w:rFonts w:hint="eastAsia"/>
          <w:b/>
          <w:bCs/>
          <w:sz w:val="24"/>
        </w:rPr>
        <w:t xml:space="preserve">巡检记录及派单</w:t>
      </w:r>
      <w:r>
        <w:rPr>
          <w:rFonts w:hint="eastAsia"/>
          <w:sz w:val="24"/>
        </w:rPr>
        <w:t xml:space="preserve">:系统记录巡检泵房，可查看完成日期、结果、报告等。异常可查看内容并派发工单。支持导出巡检记录。</w:t>
      </w:r>
      <w:r/>
    </w:p>
    <w:p>
      <w:pPr>
        <w:ind w:firstLine="482"/>
        <w:spacing w:line="500" w:lineRule="exact"/>
        <w:rPr>
          <w:sz w:val="24"/>
        </w:rPr>
      </w:pPr>
      <w:r>
        <w:rPr>
          <w:rFonts w:hint="eastAsia"/>
          <w:b/>
          <w:bCs/>
          <w:sz w:val="24"/>
        </w:rPr>
        <w:t xml:space="preserve">巡检报告</w:t>
      </w:r>
      <w:r>
        <w:rPr>
          <w:rFonts w:hint="eastAsia"/>
          <w:sz w:val="24"/>
        </w:rPr>
        <w:t xml:space="preserve">:系统自动生成巡检报告，可查看或下载。</w:t>
      </w:r>
      <w:r/>
    </w:p>
    <w:p>
      <w:pPr>
        <w:pStyle w:val="894"/>
        <w:spacing w:before="0" w:after="0" w:line="500" w:lineRule="exact"/>
        <w:tabs>
          <w:tab w:val="left" w:pos="0" w:leader="none"/>
        </w:tabs>
        <w:rPr>
          <w:sz w:val="24"/>
          <w:szCs w:val="24"/>
        </w:rPr>
      </w:pPr>
      <w:r>
        <w:rPr>
          <w:rFonts w:hint="eastAsia"/>
          <w:sz w:val="24"/>
          <w:szCs w:val="24"/>
        </w:rPr>
        <w:t xml:space="preserve">5.2.4水箱水龄分析</w:t>
      </w:r>
      <w:r/>
    </w:p>
    <w:p>
      <w:pPr>
        <w:ind w:firstLine="480"/>
        <w:spacing w:line="500" w:lineRule="exact"/>
        <w:rPr>
          <w:sz w:val="24"/>
        </w:rPr>
      </w:pPr>
      <w:r>
        <w:rPr>
          <w:rFonts w:hint="eastAsia"/>
          <w:sz w:val="24"/>
        </w:rPr>
        <w:t xml:space="preserve">系统支持水箱水龄分析，展示基础信息、清洗记录和液位波动，计算水龄和补水周期。</w:t>
      </w:r>
      <w:r/>
    </w:p>
    <w:p>
      <w:pPr>
        <w:ind w:firstLine="480"/>
        <w:spacing w:line="500" w:lineRule="exact"/>
        <w:rPr>
          <w:sz w:val="24"/>
        </w:rPr>
      </w:pPr>
      <w:r>
        <w:rPr>
          <w:rFonts w:hint="eastAsia"/>
          <w:sz w:val="24"/>
        </w:rPr>
        <w:t xml:space="preserve">液位波动分析：展示波动情况，支持补水周期和水龄计算，辅助改善水质；</w:t>
      </w:r>
      <w:r/>
    </w:p>
    <w:p>
      <w:pPr>
        <w:ind w:firstLine="480"/>
        <w:spacing w:line="500" w:lineRule="exact"/>
        <w:rPr>
          <w:sz w:val="24"/>
        </w:rPr>
      </w:pPr>
      <w:r>
        <w:rPr>
          <w:rFonts w:hint="eastAsia"/>
          <w:sz w:val="24"/>
        </w:rPr>
        <w:t xml:space="preserve">用水规律分析：用水规律和高峰期，结合液位波动图查看蓄水逻辑；</w:t>
      </w:r>
      <w:r/>
    </w:p>
    <w:p>
      <w:pPr>
        <w:ind w:firstLine="480"/>
        <w:spacing w:line="500" w:lineRule="exact"/>
        <w:rPr>
          <w:sz w:val="24"/>
        </w:rPr>
      </w:pPr>
      <w:r>
        <w:rPr>
          <w:rFonts w:hint="eastAsia"/>
          <w:sz w:val="24"/>
        </w:rPr>
        <w:t xml:space="preserve">水箱清洗记录：可查看水箱清洗管理情况；</w:t>
      </w:r>
      <w:r/>
    </w:p>
    <w:p>
      <w:pPr>
        <w:pStyle w:val="894"/>
        <w:spacing w:before="0" w:after="0" w:line="500" w:lineRule="exact"/>
        <w:tabs>
          <w:tab w:val="left" w:pos="0" w:leader="none"/>
        </w:tabs>
        <w:rPr>
          <w:sz w:val="24"/>
          <w:szCs w:val="24"/>
        </w:rPr>
      </w:pPr>
      <w:r>
        <w:rPr>
          <w:rFonts w:hint="eastAsia"/>
          <w:sz w:val="24"/>
          <w:szCs w:val="24"/>
        </w:rPr>
        <w:t xml:space="preserve">5.2.5解决方案知识库管理</w:t>
      </w:r>
      <w:r/>
    </w:p>
    <w:p>
      <w:pPr>
        <w:ind w:firstLine="480"/>
        <w:spacing w:line="500" w:lineRule="exact"/>
        <w:rPr>
          <w:sz w:val="24"/>
        </w:rPr>
      </w:pPr>
      <w:r>
        <w:rPr>
          <w:rFonts w:hint="eastAsia"/>
          <w:sz w:val="24"/>
        </w:rPr>
        <w:t xml:space="preserve">系统支持运维解决方案知识库管理，为运维人员提供指导。知识库包括报警、水箱清洗、巡检、保养4大类，至少100条知识，支持灵活配置，如文字、表格等。系统支持知识库修改、完善。</w:t>
      </w:r>
      <w:r/>
    </w:p>
    <w:p>
      <w:pPr>
        <w:pStyle w:val="894"/>
        <w:spacing w:before="0" w:after="0" w:line="500" w:lineRule="exact"/>
        <w:tabs>
          <w:tab w:val="left" w:pos="0" w:leader="none"/>
        </w:tabs>
        <w:rPr>
          <w:sz w:val="24"/>
          <w:szCs w:val="24"/>
        </w:rPr>
      </w:pPr>
      <w:r>
        <w:rPr>
          <w:rFonts w:hint="eastAsia"/>
          <w:sz w:val="24"/>
          <w:szCs w:val="24"/>
        </w:rPr>
        <w:t xml:space="preserve">5.2.6报表中心</w:t>
      </w:r>
      <w:r/>
    </w:p>
    <w:p>
      <w:pPr>
        <w:ind w:left="41" w:right="23" w:firstLine="464"/>
        <w:spacing w:line="500" w:lineRule="exact"/>
        <w:rPr>
          <w:spacing w:val="-8"/>
          <w:sz w:val="24"/>
        </w:rPr>
      </w:pPr>
      <w:r>
        <w:rPr>
          <w:rFonts w:hint="eastAsia"/>
          <w:spacing w:val="-8"/>
          <w:sz w:val="24"/>
        </w:rPr>
        <w:t xml:space="preserve">在日常</w:t>
      </w:r>
      <w:r>
        <w:rPr>
          <w:rFonts w:hint="eastAsia"/>
          <w:spacing w:val="-8"/>
          <w:sz w:val="24"/>
        </w:rPr>
        <w:t xml:space="preserve">工作中，通过整合和统计各类数据，生成专业的分析报表，以提升工作效率和辅助日常工作。报表中心提供多种报表，包括资产、压力、水电量、能效、水质和水龄报表。资产报表汇总显示相关资产信息，支持查看详细信息并进行编辑和导出。压力报表展示设备压力数据，并支持时间间隔自定义、数据分析和报表导出。水电量报表统计供水量和用电量数据，提供数据分析和报表导出功能。能效报表展示吨水电耗和配水电耗数据，支持数据分析和报表导出。水质报表统计水质数据，支持时间间隔自定义和报表导出。水龄报表统计水箱水龄数据，支持时间间隔自定义和报表导出。</w:t>
      </w:r>
      <w:r/>
    </w:p>
    <w:p>
      <w:pPr>
        <w:pStyle w:val="894"/>
        <w:spacing w:before="0" w:after="0" w:line="500" w:lineRule="exact"/>
        <w:tabs>
          <w:tab w:val="left" w:pos="0" w:leader="none"/>
        </w:tabs>
        <w:rPr>
          <w:sz w:val="24"/>
          <w:szCs w:val="24"/>
        </w:rPr>
      </w:pPr>
      <w:r>
        <w:rPr>
          <w:rFonts w:hint="eastAsia"/>
          <w:sz w:val="24"/>
          <w:szCs w:val="24"/>
        </w:rPr>
        <w:t xml:space="preserve">5.2.7压力分析</w:t>
      </w:r>
      <w:r/>
    </w:p>
    <w:p>
      <w:pPr>
        <w:ind w:left="38" w:right="25" w:firstLine="464"/>
        <w:spacing w:line="500" w:lineRule="exact"/>
        <w:rPr>
          <w:spacing w:val="-8"/>
          <w:sz w:val="24"/>
        </w:rPr>
      </w:pPr>
      <w:r>
        <w:rPr>
          <w:rFonts w:hint="eastAsia"/>
          <w:spacing w:val="-8"/>
          <w:sz w:val="24"/>
        </w:rPr>
        <w:t xml:space="preserve">系统提供压力分析功能，涵盖热力分析、排名和压力波动等。通过报表查看详细数据。实时和历史数据帮助了解压力范围，并实现异常报警。</w:t>
      </w:r>
      <w:r/>
    </w:p>
    <w:p>
      <w:pPr>
        <w:pStyle w:val="894"/>
        <w:spacing w:before="0" w:after="0" w:line="500" w:lineRule="exact"/>
        <w:tabs>
          <w:tab w:val="left" w:pos="0" w:leader="none"/>
        </w:tabs>
        <w:rPr>
          <w:sz w:val="24"/>
          <w:szCs w:val="24"/>
        </w:rPr>
      </w:pPr>
      <w:r>
        <w:rPr>
          <w:rFonts w:hint="eastAsia"/>
          <w:sz w:val="24"/>
          <w:szCs w:val="24"/>
        </w:rPr>
        <w:t xml:space="preserve">5.2.8工单分析</w:t>
      </w:r>
      <w:r/>
    </w:p>
    <w:p>
      <w:pPr>
        <w:ind w:left="38" w:right="25" w:firstLine="464"/>
        <w:spacing w:line="500" w:lineRule="exact"/>
        <w:rPr>
          <w:spacing w:val="-8"/>
          <w:sz w:val="24"/>
        </w:rPr>
      </w:pPr>
      <w:r>
        <w:rPr>
          <w:rFonts w:hint="eastAsia"/>
          <w:spacing w:val="-8"/>
          <w:sz w:val="24"/>
        </w:rPr>
        <w:t xml:space="preserve">系统需支持通过图表分析工单，提供多维度统计，帮助管理人员快速评估工单处理绩效。需支持根据权限显示工单总数及不同状态的数据，并统计各类工单的平均处理时长。系统还需支持查看线上巡检数量，以及泵房工单绩效，包括总数、状态和时效性。需支持监控组织泵房运维进度，显示计划与完成情况，并提供工单处理状态图。系统需支持对个人运维绩效进行排名，支持按类型分类查看。</w:t>
      </w:r>
      <w:r/>
    </w:p>
    <w:p>
      <w:pPr>
        <w:pStyle w:val="894"/>
        <w:spacing w:before="0" w:after="0" w:line="500" w:lineRule="exact"/>
        <w:tabs>
          <w:tab w:val="left" w:pos="0" w:leader="none"/>
        </w:tabs>
        <w:rPr>
          <w:sz w:val="24"/>
          <w:szCs w:val="24"/>
        </w:rPr>
      </w:pPr>
      <w:r>
        <w:rPr>
          <w:rFonts w:hint="eastAsia"/>
          <w:sz w:val="24"/>
          <w:szCs w:val="24"/>
        </w:rPr>
        <w:t xml:space="preserve">5.2.9报警分析</w:t>
      </w:r>
      <w:r/>
    </w:p>
    <w:p>
      <w:pPr>
        <w:ind w:left="38" w:right="25" w:firstLine="464"/>
        <w:spacing w:line="500" w:lineRule="exact"/>
        <w:rPr>
          <w:spacing w:val="-8"/>
          <w:sz w:val="24"/>
        </w:rPr>
      </w:pPr>
      <w:r>
        <w:rPr>
          <w:rFonts w:hint="eastAsia"/>
          <w:spacing w:val="-8"/>
          <w:sz w:val="24"/>
        </w:rPr>
        <w:t xml:space="preserve">系统需支持提供报警信息的详细列表展示，涵盖泵房、设备、内容、处理状态等，便于追踪故障处理进度，实现报警流程的全面监管。记录并统计报警数据，包括总数、活动报警、已结束报警等，并允许直接处理活动报警和查看工单进度。通过图表分析报警，包括数量、等级、区域分布、分类，并展示趋势。根据组织和泵房进行报警排名，分析报警占比，识别多发报警对象以便排查。支持按厂家、设备类型对比报警数据。查看报警工单处理情况，帮助工作人员分析问题，减少设备故障，提升服务水平。</w:t>
      </w:r>
      <w:r/>
    </w:p>
    <w:p>
      <w:pPr>
        <w:pStyle w:val="894"/>
        <w:spacing w:before="0" w:after="0" w:line="500" w:lineRule="exact"/>
        <w:tabs>
          <w:tab w:val="left" w:pos="0" w:leader="none"/>
        </w:tabs>
        <w:rPr>
          <w:sz w:val="24"/>
          <w:szCs w:val="24"/>
        </w:rPr>
      </w:pPr>
      <w:r>
        <w:rPr>
          <w:rFonts w:hint="eastAsia"/>
          <w:sz w:val="24"/>
          <w:szCs w:val="24"/>
        </w:rPr>
        <w:t xml:space="preserve">5.2.10能耗分析</w:t>
      </w:r>
      <w:r/>
    </w:p>
    <w:p>
      <w:pPr>
        <w:ind w:left="38" w:right="25" w:firstLine="464"/>
        <w:spacing w:line="500" w:lineRule="exact"/>
        <w:rPr>
          <w:strike/>
          <w:color w:val="ff0000"/>
          <w:spacing w:val="-8"/>
          <w:sz w:val="24"/>
        </w:rPr>
      </w:pPr>
      <w:r>
        <w:rPr>
          <w:rFonts w:hint="eastAsia"/>
          <w:spacing w:val="-8"/>
          <w:sz w:val="24"/>
        </w:rPr>
        <w:t xml:space="preserve">系统需支持提供泵房水电量数据，包括实时数据、历史趋势和吨水电耗等，支持多维度能耗和能效分析。需支持实时监测水电量异常，历史统计分析异常日期，吨水耗电量分析帮助发现能耗异常泵房。</w:t>
      </w:r>
      <w:r/>
    </w:p>
    <w:p>
      <w:pPr>
        <w:pStyle w:val="894"/>
        <w:spacing w:before="0" w:after="0" w:line="500" w:lineRule="exact"/>
        <w:tabs>
          <w:tab w:val="left" w:pos="0" w:leader="none"/>
        </w:tabs>
        <w:rPr>
          <w:sz w:val="24"/>
          <w:szCs w:val="24"/>
        </w:rPr>
      </w:pPr>
      <w:r>
        <w:rPr>
          <w:rFonts w:hint="eastAsia"/>
          <w:sz w:val="24"/>
          <w:szCs w:val="24"/>
        </w:rPr>
        <w:t xml:space="preserve">5.2.11生命周期预估</w:t>
      </w:r>
      <w:r/>
    </w:p>
    <w:p>
      <w:pPr>
        <w:ind w:left="57" w:right="64" w:firstLine="480"/>
        <w:spacing w:line="500" w:lineRule="exact"/>
        <w:rPr>
          <w:strike/>
          <w:color w:val="ff0000"/>
          <w:sz w:val="24"/>
        </w:rPr>
      </w:pPr>
      <w:r>
        <w:rPr>
          <w:rFonts w:hint="eastAsia"/>
          <w:sz w:val="24"/>
        </w:rPr>
        <w:t xml:space="preserve">系统</w:t>
      </w:r>
      <w:r>
        <w:rPr>
          <w:rFonts w:hint="eastAsia"/>
          <w:spacing w:val="-8"/>
          <w:sz w:val="24"/>
        </w:rPr>
        <w:t xml:space="preserve">需支持</w:t>
      </w:r>
      <w:r>
        <w:rPr>
          <w:rFonts w:hint="eastAsia"/>
          <w:sz w:val="24"/>
        </w:rPr>
        <w:t xml:space="preserve">管理设备和关键零部件的生命周期数据，包括采购、安装、启用、质保等关键阶段日期，运维记录，配件台账和相关文档。它整合使用寿命统计，结合使用年限和运维记录，对配件寿命进行建模和预估，预测潜在问题。</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5.3配置管理</w:t>
      </w:r>
      <w:r/>
    </w:p>
    <w:p>
      <w:pPr>
        <w:pStyle w:val="894"/>
        <w:spacing w:before="0" w:after="0" w:line="500" w:lineRule="exact"/>
        <w:tabs>
          <w:tab w:val="left" w:pos="0" w:leader="none"/>
        </w:tabs>
        <w:rPr>
          <w:sz w:val="24"/>
          <w:szCs w:val="24"/>
        </w:rPr>
      </w:pPr>
      <w:r>
        <w:rPr>
          <w:rFonts w:hint="eastAsia"/>
          <w:sz w:val="24"/>
          <w:szCs w:val="24"/>
        </w:rPr>
        <w:t xml:space="preserve">5.3.1报警配置</w:t>
      </w:r>
      <w:r/>
    </w:p>
    <w:p>
      <w:pPr>
        <w:ind w:firstLine="480"/>
        <w:spacing w:line="500" w:lineRule="exact"/>
        <w:rPr>
          <w:sz w:val="24"/>
        </w:rPr>
      </w:pPr>
      <w:r>
        <w:rPr>
          <w:rFonts w:hint="eastAsia"/>
          <w:sz w:val="24"/>
        </w:rPr>
        <w:t xml:space="preserve">系统需支持泵房异常报警配置，提供实时数据运算和多维度分析，实现快速、自动、精准的智能化故障诊断。它允许用户灵活配置故障诊断规则，快速实施诊断经验。系统需包含报警配置和规则引擎模块，前者支持多种报警判断方式，如上下限值、开关量报警等，后者允许自定义复杂的报警规则。系统还需支持配置报警通知方式和相关知识。</w:t>
      </w:r>
      <w:r/>
    </w:p>
    <w:p>
      <w:pPr>
        <w:pStyle w:val="894"/>
        <w:spacing w:before="0" w:after="0" w:line="500" w:lineRule="exact"/>
        <w:tabs>
          <w:tab w:val="left" w:pos="0" w:leader="none"/>
        </w:tabs>
        <w:rPr>
          <w:sz w:val="24"/>
          <w:szCs w:val="24"/>
        </w:rPr>
      </w:pPr>
      <w:r>
        <w:rPr>
          <w:rFonts w:hint="eastAsia"/>
          <w:sz w:val="24"/>
          <w:szCs w:val="24"/>
        </w:rPr>
        <w:t xml:space="preserve">5.3.2工单配置</w:t>
      </w:r>
      <w:r/>
    </w:p>
    <w:p>
      <w:pPr>
        <w:ind w:firstLine="480"/>
        <w:spacing w:line="500" w:lineRule="exact"/>
        <w:rPr>
          <w:sz w:val="24"/>
        </w:rPr>
      </w:pPr>
      <w:r>
        <w:rPr>
          <w:rFonts w:hint="eastAsia"/>
          <w:sz w:val="24"/>
        </w:rPr>
        <w:t xml:space="preserve">系统需支持自定义泵房运维工单流程、节点和表单，以适应特定需求。提供丰富的表单配置选项，包括行业特定组件，满足二次供水运维需求。工单流程管理需新增、修改、删除和可视化设计流程，每个节点可配置业务表单。表单管理需支持新增、修改、删除和设计表单。工单模版管理需允许查询、修改、删除和新增模版，提供统一的工单表单样式和内容模板库，便于快速应用至工单业务场景。</w:t>
      </w:r>
      <w:r/>
    </w:p>
    <w:p>
      <w:pPr>
        <w:pStyle w:val="894"/>
        <w:spacing w:before="0" w:after="0" w:line="500" w:lineRule="exact"/>
        <w:tabs>
          <w:tab w:val="left" w:pos="0" w:leader="none"/>
        </w:tabs>
        <w:rPr>
          <w:sz w:val="24"/>
          <w:szCs w:val="24"/>
        </w:rPr>
      </w:pPr>
      <w:r>
        <w:rPr>
          <w:rFonts w:hint="eastAsia"/>
          <w:sz w:val="24"/>
          <w:szCs w:val="24"/>
        </w:rPr>
        <w:t xml:space="preserve">5.3.3业务配置</w:t>
      </w:r>
      <w:r/>
    </w:p>
    <w:p>
      <w:pPr>
        <w:ind w:firstLine="480"/>
        <w:spacing w:line="500" w:lineRule="exact"/>
        <w:rPr>
          <w:sz w:val="24"/>
        </w:rPr>
      </w:pPr>
      <w:r>
        <w:rPr>
          <w:rFonts w:hint="eastAsia"/>
          <w:sz w:val="24"/>
        </w:rPr>
        <w:t xml:space="preserve">系统应支持具备业务配置功能，方便系统管理人员对不同业务场景使用功能进行配置，并支持系统相关日志管理。</w:t>
      </w:r>
      <w:r/>
    </w:p>
    <w:p>
      <w:pPr>
        <w:pStyle w:val="894"/>
        <w:spacing w:before="0" w:after="0" w:line="500" w:lineRule="exact"/>
        <w:tabs>
          <w:tab w:val="left" w:pos="0" w:leader="none"/>
        </w:tabs>
        <w:rPr>
          <w:sz w:val="24"/>
          <w:szCs w:val="24"/>
        </w:rPr>
      </w:pPr>
      <w:r>
        <w:rPr>
          <w:rFonts w:hint="eastAsia"/>
          <w:sz w:val="24"/>
          <w:szCs w:val="24"/>
        </w:rPr>
        <w:t xml:space="preserve">5.3.4系统配置</w:t>
      </w:r>
      <w:r/>
    </w:p>
    <w:p>
      <w:pPr>
        <w:ind w:firstLine="480"/>
        <w:spacing w:line="500" w:lineRule="exact"/>
        <w:rPr>
          <w:sz w:val="24"/>
        </w:rPr>
      </w:pPr>
      <w:r>
        <w:rPr>
          <w:rFonts w:hint="eastAsia"/>
          <w:sz w:val="24"/>
        </w:rPr>
        <w:t xml:space="preserve">系统支持集中配置功能，方便系统管理人员将一个全新泵房进行一站式录入并管理泵房相关的所有信息，包括小区、泵房、设备、水箱、泵房分区等。需支持对系统直采数据的监测量进行分组、配置。支持对系统非直采数据，如能耗数据进行监测量配置，并支持对异常能耗数据进行清洗修正。</w:t>
      </w:r>
      <w:r/>
    </w:p>
    <w:p>
      <w:pPr>
        <w:ind w:firstLine="480"/>
        <w:spacing w:line="500" w:lineRule="exact"/>
        <w:rPr>
          <w:sz w:val="24"/>
        </w:rPr>
      </w:pPr>
      <w:r>
        <w:rPr>
          <w:rFonts w:hint="eastAsia"/>
          <w:sz w:val="24"/>
        </w:rPr>
        <w:t xml:space="preserve">支持泵房设备根据变频水箱、无负压等供水模式进行细化分类，并按照不同的供水模式提供针对性的业务数据展示和管理模块。</w:t>
      </w:r>
      <w:r/>
    </w:p>
    <w:p>
      <w:pPr>
        <w:pStyle w:val="894"/>
        <w:spacing w:before="0" w:after="0" w:line="500" w:lineRule="exact"/>
        <w:tabs>
          <w:tab w:val="left" w:pos="0" w:leader="none"/>
        </w:tabs>
        <w:rPr>
          <w:sz w:val="24"/>
          <w:szCs w:val="24"/>
        </w:rPr>
      </w:pPr>
      <w:r>
        <w:rPr>
          <w:rFonts w:hint="eastAsia"/>
          <w:sz w:val="24"/>
          <w:szCs w:val="24"/>
        </w:rPr>
        <w:t xml:space="preserve">5.3.5用户中心</w:t>
      </w:r>
      <w:r/>
    </w:p>
    <w:p>
      <w:pPr>
        <w:ind w:firstLine="480"/>
        <w:spacing w:line="500" w:lineRule="exact"/>
        <w:rPr>
          <w:strike/>
          <w:color w:val="ff0000"/>
          <w:sz w:val="24"/>
        </w:rPr>
      </w:pPr>
      <w:r>
        <w:rPr>
          <w:rFonts w:hint="eastAsia"/>
          <w:sz w:val="24"/>
        </w:rPr>
        <w:t xml:space="preserve">管理人员可自定义多级组织、角色和用户数据，设置分级权限。组织和角色管理分别对应部门及员工等岗位。</w:t>
      </w:r>
      <w:r/>
    </w:p>
    <w:p>
      <w:pPr>
        <w:pStyle w:val="893"/>
        <w:spacing w:before="0" w:after="0" w:line="500" w:lineRule="exact"/>
        <w:tabs>
          <w:tab w:val="left" w:pos="0" w:leader="none"/>
          <w:tab w:val="left" w:pos="420" w:leader="none"/>
        </w:tabs>
        <w:rPr>
          <w:rFonts w:ascii="Times New Roman" w:hAnsi="Times New Roman" w:eastAsia="宋体"/>
          <w:szCs w:val="24"/>
        </w:rPr>
      </w:pPr>
      <w:r>
        <w:rPr>
          <w:rFonts w:hint="eastAsia" w:ascii="Times New Roman" w:hAnsi="Times New Roman" w:eastAsia="宋体"/>
          <w:szCs w:val="24"/>
        </w:rPr>
        <w:t xml:space="preserve">5.4移动应用</w:t>
      </w:r>
      <w:r/>
    </w:p>
    <w:p>
      <w:pPr>
        <w:ind w:firstLine="480"/>
        <w:spacing w:line="500" w:lineRule="exact"/>
        <w:rPr>
          <w:sz w:val="24"/>
        </w:rPr>
      </w:pPr>
      <w:r>
        <w:rPr>
          <w:rFonts w:hint="eastAsia"/>
          <w:sz w:val="24"/>
        </w:rPr>
        <w:t xml:space="preserve">移动端APP同时支持Android、IOS 双系统，支持手机、平板远程监测、报警推送、权限分级远程操作并通过第三方接口集成数据，可以更加方便地和其他各个异构应用系统进行跨系统的数据交换，支持同第三方的移动协同系统、H5页面等进行集成。</w:t>
      </w:r>
      <w:r/>
    </w:p>
    <w:p>
      <w:pPr>
        <w:ind w:firstLine="480"/>
        <w:spacing w:line="500" w:lineRule="exact"/>
        <w:rPr>
          <w:sz w:val="24"/>
        </w:rPr>
      </w:pPr>
      <w:r>
        <w:rPr>
          <w:rFonts w:hint="eastAsia"/>
          <w:sz w:val="24"/>
        </w:rPr>
        <w:t xml:space="preserve">移动端支持管理人员、运维人员等不同角色，按照分别关注的内容进行监控和管理。</w:t>
      </w:r>
      <w:r/>
    </w:p>
    <w:p>
      <w:pPr>
        <w:pStyle w:val="894"/>
        <w:spacing w:before="0" w:after="0" w:line="500" w:lineRule="exact"/>
        <w:tabs>
          <w:tab w:val="left" w:pos="0" w:leader="none"/>
        </w:tabs>
        <w:rPr>
          <w:sz w:val="24"/>
          <w:szCs w:val="24"/>
        </w:rPr>
      </w:pPr>
      <w:r>
        <w:rPr>
          <w:rFonts w:hint="eastAsia"/>
          <w:sz w:val="24"/>
          <w:szCs w:val="24"/>
        </w:rPr>
        <w:t xml:space="preserve">5.4.1设备管理</w:t>
      </w:r>
      <w:r/>
    </w:p>
    <w:p>
      <w:pPr>
        <w:ind w:left="47" w:right="201" w:firstLine="464"/>
        <w:spacing w:line="500" w:lineRule="exact"/>
        <w:rPr>
          <w:sz w:val="24"/>
        </w:rPr>
      </w:pPr>
      <w:r>
        <w:rPr>
          <w:rFonts w:hint="eastAsia"/>
          <w:spacing w:val="-8"/>
          <w:sz w:val="24"/>
        </w:rPr>
        <w:t xml:space="preserve">移动端满足管理人员及运维人员的设备管理，支持管理人员进行概况总览、运维人</w:t>
      </w:r>
      <w:r>
        <w:rPr>
          <w:rFonts w:hint="eastAsia"/>
          <w:spacing w:val="-6"/>
          <w:sz w:val="24"/>
        </w:rPr>
        <w:t xml:space="preserve">员进行详情查看。包括</w:t>
      </w:r>
      <w:r>
        <w:rPr>
          <w:rFonts w:hint="eastAsia"/>
          <w:spacing w:val="-8"/>
          <w:sz w:val="24"/>
        </w:rPr>
        <w:t xml:space="preserve">设备</w:t>
      </w:r>
      <w:r>
        <w:rPr>
          <w:rFonts w:hint="eastAsia"/>
          <w:spacing w:val="-6"/>
          <w:sz w:val="24"/>
        </w:rPr>
        <w:t xml:space="preserve">监控、安防管理、异常诊断。</w:t>
      </w:r>
      <w:r/>
    </w:p>
    <w:p>
      <w:pPr>
        <w:ind w:firstLine="482"/>
        <w:spacing w:line="500" w:lineRule="exact"/>
        <w:rPr>
          <w:b/>
          <w:bCs/>
          <w:sz w:val="24"/>
        </w:rPr>
      </w:pPr>
      <w:r>
        <w:rPr>
          <w:rFonts w:hint="eastAsia"/>
          <w:b/>
          <w:bCs/>
          <w:sz w:val="24"/>
        </w:rPr>
        <w:t xml:space="preserve">（1）</w:t>
      </w:r>
      <w:r>
        <w:rPr>
          <w:rFonts w:hint="eastAsia"/>
          <w:b/>
          <w:spacing w:val="-8"/>
          <w:sz w:val="24"/>
        </w:rPr>
        <w:t xml:space="preserve">设备</w:t>
      </w:r>
      <w:r>
        <w:rPr>
          <w:rFonts w:hint="eastAsia"/>
          <w:b/>
          <w:bCs/>
          <w:sz w:val="24"/>
        </w:rPr>
        <w:t xml:space="preserve">监控</w:t>
      </w:r>
      <w:r/>
    </w:p>
    <w:p>
      <w:pPr>
        <w:ind w:firstLine="480"/>
        <w:spacing w:line="500" w:lineRule="exact"/>
        <w:rPr>
          <w:sz w:val="24"/>
        </w:rPr>
      </w:pPr>
      <w:r>
        <w:rPr>
          <w:rFonts w:hint="eastAsia"/>
          <w:spacing w:val="-8"/>
          <w:sz w:val="24"/>
        </w:rPr>
        <w:t xml:space="preserve">设备</w:t>
      </w:r>
      <w:r>
        <w:rPr>
          <w:rFonts w:hint="eastAsia"/>
          <w:sz w:val="24"/>
        </w:rPr>
        <w:t xml:space="preserve">概况：支持显示</w:t>
      </w:r>
      <w:r>
        <w:rPr>
          <w:rFonts w:hint="eastAsia"/>
          <w:spacing w:val="-8"/>
          <w:sz w:val="24"/>
        </w:rPr>
        <w:t xml:space="preserve">设备</w:t>
      </w:r>
      <w:r>
        <w:rPr>
          <w:rFonts w:hint="eastAsia"/>
          <w:sz w:val="24"/>
        </w:rPr>
        <w:t xml:space="preserve">总数、设备在线情况。</w:t>
      </w:r>
      <w:r/>
    </w:p>
    <w:p>
      <w:pPr>
        <w:ind w:firstLine="480"/>
        <w:spacing w:line="500" w:lineRule="exact"/>
        <w:rPr>
          <w:sz w:val="24"/>
        </w:rPr>
      </w:pPr>
      <w:r>
        <w:rPr>
          <w:rFonts w:hint="eastAsia"/>
          <w:sz w:val="24"/>
        </w:rPr>
        <w:t xml:space="preserve">地图总览：让管理人员能查看</w:t>
      </w:r>
      <w:r>
        <w:rPr>
          <w:rFonts w:hint="eastAsia"/>
          <w:spacing w:val="-8"/>
          <w:sz w:val="24"/>
        </w:rPr>
        <w:t xml:space="preserve">设备</w:t>
      </w:r>
      <w:r>
        <w:rPr>
          <w:rFonts w:hint="eastAsia"/>
          <w:sz w:val="24"/>
        </w:rPr>
        <w:t xml:space="preserve">位置，筛选特定区域，快速定位</w:t>
      </w:r>
      <w:r>
        <w:rPr>
          <w:rFonts w:hint="eastAsia"/>
          <w:spacing w:val="-8"/>
          <w:sz w:val="24"/>
        </w:rPr>
        <w:t xml:space="preserve">设备</w:t>
      </w:r>
      <w:r>
        <w:rPr>
          <w:rFonts w:hint="eastAsia"/>
          <w:sz w:val="24"/>
        </w:rPr>
        <w:t xml:space="preserve">。</w:t>
      </w:r>
      <w:r/>
    </w:p>
    <w:p>
      <w:pPr>
        <w:ind w:firstLine="480"/>
        <w:spacing w:line="500" w:lineRule="exact"/>
        <w:rPr>
          <w:sz w:val="24"/>
        </w:rPr>
      </w:pPr>
      <w:r>
        <w:rPr>
          <w:rFonts w:hint="eastAsia"/>
          <w:sz w:val="24"/>
        </w:rPr>
        <w:t xml:space="preserve">泵房详情：支持通过列表视图展示泵房运行状态，深入查看单个泵房的环境、安防、能耗、报警和档案信息，以便全面掌握泵房状态并快速分析数据。</w:t>
      </w:r>
      <w:r/>
    </w:p>
    <w:p>
      <w:pPr>
        <w:ind w:firstLine="482"/>
        <w:spacing w:line="500" w:lineRule="exact"/>
        <w:rPr>
          <w:b/>
          <w:bCs/>
          <w:sz w:val="24"/>
        </w:rPr>
      </w:pPr>
      <w:r>
        <w:rPr>
          <w:rFonts w:hint="eastAsia"/>
          <w:b/>
          <w:bCs/>
          <w:sz w:val="24"/>
        </w:rPr>
        <w:t xml:space="preserve">（2）安防管理</w:t>
      </w:r>
      <w:r/>
    </w:p>
    <w:p>
      <w:pPr>
        <w:ind w:firstLine="482"/>
        <w:spacing w:line="500" w:lineRule="exact"/>
        <w:rPr>
          <w:sz w:val="24"/>
        </w:rPr>
      </w:pPr>
      <w:r>
        <w:rPr>
          <w:rFonts w:hint="eastAsia"/>
          <w:b/>
          <w:bCs/>
          <w:sz w:val="24"/>
        </w:rPr>
        <w:t xml:space="preserve">安防：</w:t>
      </w:r>
      <w:r>
        <w:rPr>
          <w:rFonts w:hint="eastAsia"/>
          <w:sz w:val="24"/>
        </w:rPr>
        <w:t xml:space="preserve">系统提供在设备详情页查看泵房视频及门禁状态等信息。</w:t>
      </w:r>
      <w:r/>
    </w:p>
    <w:p>
      <w:pPr>
        <w:ind w:firstLine="482"/>
        <w:spacing w:line="500" w:lineRule="exact"/>
        <w:rPr>
          <w:sz w:val="24"/>
        </w:rPr>
      </w:pPr>
      <w:r>
        <w:rPr>
          <w:rFonts w:hint="eastAsia"/>
          <w:b/>
          <w:bCs/>
          <w:sz w:val="24"/>
        </w:rPr>
        <w:t xml:space="preserve">泵房视频：</w:t>
      </w:r>
      <w:r>
        <w:rPr>
          <w:rFonts w:hint="eastAsia"/>
          <w:sz w:val="24"/>
        </w:rPr>
        <w:t xml:space="preserve">PC端、移动端均可查看泵房监控视频直播，支持多型号设备接入。</w:t>
      </w:r>
      <w:r/>
    </w:p>
    <w:p>
      <w:pPr>
        <w:ind w:firstLine="482"/>
        <w:spacing w:line="500" w:lineRule="exact"/>
        <w:rPr>
          <w:sz w:val="24"/>
        </w:rPr>
      </w:pPr>
      <w:r>
        <w:rPr>
          <w:rFonts w:hint="eastAsia"/>
          <w:b/>
          <w:bCs/>
          <w:sz w:val="24"/>
        </w:rPr>
        <w:t xml:space="preserve">门禁管理：</w:t>
      </w:r>
      <w:r>
        <w:rPr>
          <w:rFonts w:hint="eastAsia"/>
          <w:sz w:val="24"/>
        </w:rPr>
        <w:t xml:space="preserve">PC端、移动端查看并控制门禁，支持多种设备，实现门禁操作、状态监控和远程控制。</w:t>
      </w:r>
      <w:r/>
    </w:p>
    <w:p>
      <w:pPr>
        <w:ind w:firstLine="482"/>
        <w:spacing w:line="500" w:lineRule="exact"/>
        <w:rPr>
          <w:b/>
          <w:bCs/>
          <w:sz w:val="24"/>
        </w:rPr>
      </w:pPr>
      <w:r>
        <w:rPr>
          <w:rFonts w:hint="eastAsia"/>
          <w:b/>
          <w:bCs/>
          <w:sz w:val="24"/>
        </w:rPr>
        <w:t xml:space="preserve">（3）异常诊断</w:t>
      </w:r>
      <w:r/>
    </w:p>
    <w:p>
      <w:pPr>
        <w:ind w:firstLine="480"/>
        <w:spacing w:line="500" w:lineRule="exact"/>
        <w:rPr>
          <w:sz w:val="24"/>
        </w:rPr>
      </w:pPr>
      <w:r>
        <w:rPr>
          <w:rFonts w:hint="eastAsia"/>
          <w:sz w:val="24"/>
        </w:rPr>
        <w:t xml:space="preserve">系统支持运维人员在移动端接收报警信息、查看报警详情、辅助指导运维人员进行报警处理。</w:t>
      </w:r>
      <w:r/>
    </w:p>
    <w:p>
      <w:pPr>
        <w:ind w:firstLine="482"/>
        <w:spacing w:line="500" w:lineRule="exact"/>
        <w:rPr>
          <w:strike/>
          <w:sz w:val="24"/>
        </w:rPr>
      </w:pPr>
      <w:r>
        <w:rPr>
          <w:rFonts w:hint="eastAsia"/>
          <w:b/>
          <w:bCs/>
          <w:sz w:val="24"/>
        </w:rPr>
        <w:t xml:space="preserve">报警接收：</w:t>
      </w:r>
      <w:r>
        <w:rPr>
          <w:rFonts w:hint="eastAsia"/>
          <w:sz w:val="24"/>
        </w:rPr>
        <w:t xml:space="preserve">异常发生时，系统自动诊断报警并通过A</w:t>
      </w:r>
      <w:r>
        <w:rPr>
          <w:sz w:val="24"/>
        </w:rPr>
        <w:t xml:space="preserve">PP</w:t>
      </w:r>
      <w:r>
        <w:rPr>
          <w:rFonts w:hint="eastAsia"/>
          <w:sz w:val="24"/>
        </w:rPr>
        <w:t xml:space="preserve">/短信（需购买短信套餐）/平台推送等方式通知运维人员。运维人员可查看设备名称、报警信息、报警等级、报警发生或解除时间等</w:t>
      </w:r>
      <w:r>
        <w:rPr>
          <w:rFonts w:hint="eastAsia"/>
          <w:strike/>
          <w:sz w:val="24"/>
        </w:rPr>
        <w:t xml:space="preserve">信</w:t>
      </w:r>
      <w:r>
        <w:rPr>
          <w:rFonts w:hint="eastAsia"/>
          <w:sz w:val="24"/>
        </w:rPr>
        <w:t xml:space="preserve">息，方便确认及后续处理报警。</w:t>
      </w:r>
      <w:r/>
    </w:p>
    <w:p>
      <w:pPr>
        <w:ind w:firstLine="482"/>
        <w:spacing w:line="500" w:lineRule="exact"/>
        <w:rPr>
          <w:sz w:val="24"/>
        </w:rPr>
      </w:pPr>
      <w:r>
        <w:rPr>
          <w:rFonts w:hint="eastAsia"/>
          <w:b/>
          <w:bCs/>
          <w:sz w:val="24"/>
        </w:rPr>
        <w:t xml:space="preserve">报警处理：</w:t>
      </w:r>
      <w:r>
        <w:rPr>
          <w:rFonts w:hint="eastAsia"/>
          <w:sz w:val="24"/>
        </w:rPr>
        <w:t xml:space="preserve">接收报警后，人员可查看详细信息，如泵房名称、级别、时间、值、详情、地址、历史数据曲线和相关知识，以指导处理。支持直接派单，实现报警全流程监管，确保及时处理，保障供水稳定和安全。</w:t>
      </w:r>
      <w:r/>
    </w:p>
    <w:p>
      <w:pPr>
        <w:pStyle w:val="894"/>
        <w:spacing w:before="0" w:after="0" w:line="500" w:lineRule="exact"/>
        <w:tabs>
          <w:tab w:val="left" w:pos="0" w:leader="none"/>
        </w:tabs>
        <w:rPr>
          <w:sz w:val="24"/>
          <w:szCs w:val="24"/>
        </w:rPr>
      </w:pPr>
      <w:r>
        <w:rPr>
          <w:rFonts w:hint="eastAsia"/>
          <w:sz w:val="24"/>
          <w:szCs w:val="24"/>
        </w:rPr>
        <w:t xml:space="preserve">5.4.2运维管理</w:t>
      </w:r>
      <w:r/>
    </w:p>
    <w:p>
      <w:pPr>
        <w:ind w:firstLine="482"/>
        <w:spacing w:line="500" w:lineRule="exact"/>
        <w:rPr>
          <w:b/>
          <w:bCs/>
          <w:sz w:val="24"/>
        </w:rPr>
      </w:pPr>
      <w:r>
        <w:rPr>
          <w:rFonts w:hint="eastAsia"/>
          <w:b/>
          <w:bCs/>
          <w:sz w:val="24"/>
        </w:rPr>
        <w:t xml:space="preserve">（1）工单管理</w:t>
      </w:r>
      <w:r/>
    </w:p>
    <w:p>
      <w:pPr>
        <w:ind w:firstLine="482"/>
        <w:spacing w:line="500" w:lineRule="exact"/>
        <w:rPr>
          <w:sz w:val="24"/>
        </w:rPr>
      </w:pPr>
      <w:r>
        <w:rPr>
          <w:rFonts w:hint="eastAsia"/>
          <w:b/>
          <w:bCs/>
          <w:sz w:val="24"/>
        </w:rPr>
        <w:t xml:space="preserve">创建工单：</w:t>
      </w:r>
      <w:r>
        <w:rPr>
          <w:rFonts w:hint="eastAsia"/>
          <w:sz w:val="24"/>
        </w:rPr>
        <w:t xml:space="preserve">移动端快速生成维修、巡检等工单，使用模板关联设备和运维知识。</w:t>
      </w:r>
      <w:r/>
    </w:p>
    <w:p>
      <w:pPr>
        <w:ind w:firstLine="482"/>
        <w:spacing w:line="500" w:lineRule="exact"/>
        <w:rPr>
          <w:sz w:val="24"/>
        </w:rPr>
      </w:pPr>
      <w:r>
        <w:rPr>
          <w:rFonts w:hint="eastAsia"/>
          <w:b/>
          <w:bCs/>
          <w:sz w:val="24"/>
        </w:rPr>
        <w:t xml:space="preserve">工单处理：</w:t>
      </w:r>
      <w:r>
        <w:rPr>
          <w:rFonts w:hint="eastAsia"/>
          <w:sz w:val="24"/>
        </w:rPr>
        <w:t xml:space="preserve">查看工单详情，执行处理操作，包括退回、延期等。</w:t>
      </w:r>
      <w:r/>
    </w:p>
    <w:p>
      <w:pPr>
        <w:ind w:firstLine="482"/>
        <w:spacing w:line="500" w:lineRule="exact"/>
        <w:rPr>
          <w:b/>
          <w:bCs/>
          <w:sz w:val="24"/>
        </w:rPr>
      </w:pPr>
      <w:r>
        <w:rPr>
          <w:rFonts w:hint="eastAsia"/>
          <w:b/>
          <w:bCs/>
          <w:sz w:val="24"/>
        </w:rPr>
        <w:t xml:space="preserve">（2）解决方案知识库管理</w:t>
      </w:r>
      <w:r/>
    </w:p>
    <w:p>
      <w:pPr>
        <w:ind w:firstLine="480"/>
        <w:spacing w:line="500" w:lineRule="exact"/>
        <w:rPr>
          <w:sz w:val="24"/>
        </w:rPr>
      </w:pPr>
      <w:r>
        <w:rPr>
          <w:rFonts w:hint="eastAsia"/>
          <w:sz w:val="24"/>
        </w:rPr>
        <w:t xml:space="preserve">工单可关联运维知识，指导运维人员规范操作。</w:t>
      </w:r>
      <w:r/>
    </w:p>
    <w:p>
      <w:pPr>
        <w:ind w:firstLine="480"/>
        <w:spacing w:line="500" w:lineRule="exact"/>
        <w:rPr>
          <w:sz w:val="24"/>
        </w:rPr>
      </w:pPr>
      <w:r>
        <w:rPr>
          <w:rFonts w:hint="eastAsia"/>
          <w:sz w:val="24"/>
        </w:rPr>
        <w:t xml:space="preserve">管理人员可在PC端知识库管理功能中进行查看、修订、管理，促进知识内容优化。</w:t>
      </w:r>
      <w:r/>
    </w:p>
    <w:p>
      <w:pPr>
        <w:pStyle w:val="894"/>
        <w:spacing w:before="0" w:after="0" w:line="500" w:lineRule="exact"/>
        <w:tabs>
          <w:tab w:val="left" w:pos="0" w:leader="none"/>
        </w:tabs>
        <w:rPr>
          <w:sz w:val="24"/>
          <w:szCs w:val="24"/>
        </w:rPr>
      </w:pPr>
      <w:r>
        <w:rPr>
          <w:rFonts w:hint="eastAsia"/>
          <w:sz w:val="24"/>
          <w:szCs w:val="24"/>
        </w:rPr>
        <w:t xml:space="preserve">5.4.3便捷功能</w:t>
      </w:r>
      <w:r/>
    </w:p>
    <w:p>
      <w:pPr>
        <w:ind w:firstLine="482"/>
        <w:spacing w:line="500" w:lineRule="exact"/>
        <w:rPr>
          <w:b/>
          <w:bCs/>
          <w:sz w:val="24"/>
        </w:rPr>
      </w:pPr>
      <w:r>
        <w:rPr>
          <w:rFonts w:hint="eastAsia"/>
          <w:b/>
          <w:bCs/>
          <w:sz w:val="24"/>
        </w:rPr>
        <w:t xml:space="preserve">（1）扫码查询信息</w:t>
      </w:r>
      <w:r/>
    </w:p>
    <w:p>
      <w:pPr>
        <w:ind w:firstLine="480"/>
        <w:spacing w:line="500" w:lineRule="exact"/>
        <w:rPr>
          <w:sz w:val="24"/>
        </w:rPr>
      </w:pPr>
      <w:r>
        <w:rPr>
          <w:rFonts w:hint="eastAsia"/>
          <w:sz w:val="24"/>
        </w:rPr>
        <w:t xml:space="preserve">系统支持运维人员通过扫描泵房、设备专属二维码，显示该泵房详细信息及运行情况，帮助外业人员在巡检、维修过程中快速熟悉泵房、设备情况。</w:t>
      </w:r>
      <w:r/>
    </w:p>
    <w:p>
      <w:pPr>
        <w:ind w:firstLine="482"/>
        <w:spacing w:line="500" w:lineRule="exact"/>
        <w:rPr>
          <w:b/>
          <w:bCs/>
          <w:sz w:val="24"/>
        </w:rPr>
      </w:pPr>
      <w:r>
        <w:rPr>
          <w:rFonts w:hint="eastAsia"/>
          <w:b/>
          <w:bCs/>
          <w:sz w:val="24"/>
        </w:rPr>
        <w:t xml:space="preserve">（2）泵房地址指引</w:t>
      </w:r>
      <w:r/>
    </w:p>
    <w:p>
      <w:pPr>
        <w:ind w:firstLine="480"/>
        <w:spacing w:line="500" w:lineRule="exact"/>
        <w:rPr>
          <w:sz w:val="24"/>
        </w:rPr>
      </w:pPr>
      <w:r>
        <w:rPr>
          <w:rFonts w:hint="eastAsia"/>
          <w:sz w:val="24"/>
        </w:rPr>
        <w:t xml:space="preserve">系统支持小区内泵房地址指引。可在移动端进行图文并茂式的维护泵房位置，对于老旧或较大的小区能够精准引导工作人员快速找到泵房。</w:t>
      </w:r>
      <w:r/>
    </w:p>
    <w:p>
      <w:pPr>
        <w:ind w:firstLine="482"/>
        <w:spacing w:line="500" w:lineRule="exact"/>
        <w:rPr>
          <w:b/>
          <w:bCs/>
          <w:sz w:val="24"/>
        </w:rPr>
      </w:pPr>
      <w:r>
        <w:rPr>
          <w:rFonts w:hint="eastAsia"/>
          <w:b/>
          <w:bCs/>
          <w:sz w:val="24"/>
        </w:rPr>
        <w:t xml:space="preserve">（3）泵房问题上报</w:t>
      </w:r>
      <w:r/>
    </w:p>
    <w:p>
      <w:pPr>
        <w:ind w:firstLine="480"/>
        <w:spacing w:line="500" w:lineRule="exact"/>
        <w:rPr>
          <w:sz w:val="24"/>
        </w:rPr>
      </w:pPr>
      <w:r>
        <w:rPr>
          <w:rFonts w:hint="eastAsia"/>
          <w:sz w:val="24"/>
        </w:rPr>
        <w:t xml:space="preserve">系统支持运维人员现场报告突发问题，并附带详细描述和图片。提供问题搜索功能以查看处理状态。问题上报可通过工单详情或首页快速入口进行。在上报问题时，系统能自动识别泵房地址，简化填写流程。提交后，问题可在列表中查看，并支持派发工单处理。系统PC端支持对上报问题进行详细查看、派单处理和分析，以帮助汇总管理。</w:t>
      </w:r>
      <w:r/>
    </w:p>
    <w:p>
      <w:pPr>
        <w:pStyle w:val="892"/>
        <w:spacing w:line="500" w:lineRule="exact"/>
        <w:rPr>
          <w:rFonts w:ascii="Times New Roman" w:eastAsia="宋体"/>
          <w:b/>
          <w:bCs/>
          <w:sz w:val="24"/>
          <w:szCs w:val="24"/>
        </w:rPr>
      </w:pPr>
      <w:r>
        <w:rPr>
          <w:rFonts w:hint="eastAsia" w:ascii="Times New Roman" w:eastAsia="宋体"/>
          <w:b/>
          <w:bCs/>
          <w:sz w:val="24"/>
          <w:szCs w:val="24"/>
        </w:rPr>
        <w:t xml:space="preserve">6、泵房整体</w:t>
      </w:r>
      <w:r>
        <w:rPr>
          <w:rFonts w:hint="eastAsia" w:ascii="Times New Roman" w:eastAsia="宋体"/>
          <w:b/>
          <w:bCs/>
          <w:sz w:val="24"/>
          <w:szCs w:val="24"/>
          <w:lang w:val="en-US"/>
        </w:rPr>
        <w:t xml:space="preserve">配套</w:t>
      </w:r>
      <w:r>
        <w:rPr>
          <w:rFonts w:hint="eastAsia" w:ascii="Times New Roman" w:eastAsia="宋体"/>
          <w:b/>
          <w:bCs/>
          <w:sz w:val="24"/>
          <w:szCs w:val="24"/>
        </w:rPr>
        <w:t xml:space="preserve">改造要求</w:t>
      </w:r>
      <w:r/>
    </w:p>
    <w:p>
      <w:pPr>
        <w:jc w:val="left"/>
        <w:spacing w:line="500" w:lineRule="exact"/>
        <w:rPr>
          <w:b/>
          <w:bCs/>
          <w:spacing w:val="-4"/>
          <w:sz w:val="24"/>
          <w:lang w:bidi="zh-CN"/>
        </w:rPr>
        <w:outlineLvl w:val="1"/>
      </w:pPr>
      <w:r>
        <w:rPr>
          <w:rFonts w:hint="eastAsia"/>
          <w:b/>
          <w:bCs/>
          <w:spacing w:val="-4"/>
          <w:sz w:val="24"/>
          <w:lang w:bidi="zh-CN"/>
        </w:rPr>
        <w:t xml:space="preserve">6.1拆除</w:t>
      </w:r>
      <w:r>
        <w:rPr>
          <w:rFonts w:hint="eastAsia"/>
          <w:b/>
          <w:bCs/>
          <w:spacing w:val="-4"/>
          <w:sz w:val="24"/>
          <w:lang w:val="en-US" w:bidi="zh-CN"/>
        </w:rPr>
        <w:t xml:space="preserve">部分</w:t>
      </w:r>
      <w:r/>
    </w:p>
    <w:p>
      <w:pPr>
        <w:ind w:firstLine="464"/>
        <w:jc w:val="left"/>
        <w:spacing w:line="500" w:lineRule="exact"/>
        <w:rPr>
          <w:spacing w:val="-4"/>
          <w:sz w:val="24"/>
          <w:lang w:bidi="zh-CN"/>
        </w:rPr>
      </w:pPr>
      <w:r>
        <w:rPr>
          <w:rFonts w:hint="eastAsia"/>
          <w:spacing w:val="-4"/>
          <w:sz w:val="24"/>
          <w:lang w:bidi="zh-CN"/>
        </w:rPr>
        <w:t xml:space="preserve">拆除室内原有管网、水泵组、控制电箱、门窗等，可二次利用的设备进行保护性拆除。</w:t>
      </w:r>
      <w:r/>
    </w:p>
    <w:p>
      <w:pPr>
        <w:jc w:val="left"/>
        <w:spacing w:line="500" w:lineRule="exact"/>
        <w:rPr>
          <w:b/>
          <w:bCs/>
          <w:spacing w:val="-4"/>
          <w:sz w:val="24"/>
          <w:lang w:bidi="zh-CN"/>
        </w:rPr>
        <w:outlineLvl w:val="1"/>
      </w:pPr>
      <w:r>
        <w:rPr>
          <w:rFonts w:hint="eastAsia"/>
          <w:b/>
          <w:bCs/>
          <w:spacing w:val="-4"/>
          <w:sz w:val="24"/>
          <w:lang w:bidi="zh-CN"/>
        </w:rPr>
        <w:t xml:space="preserve">6.2土建</w:t>
      </w:r>
      <w:r>
        <w:rPr>
          <w:rFonts w:hint="eastAsia"/>
          <w:b/>
          <w:bCs/>
          <w:spacing w:val="-4"/>
          <w:sz w:val="24"/>
          <w:lang w:val="en-US" w:bidi="zh-CN"/>
        </w:rPr>
        <w:t xml:space="preserve">部分</w:t>
      </w:r>
      <w:r/>
    </w:p>
    <w:p>
      <w:pPr>
        <w:ind w:firstLine="464"/>
        <w:jc w:val="left"/>
        <w:spacing w:line="500" w:lineRule="exact"/>
        <w:rPr>
          <w:spacing w:val="-4"/>
          <w:sz w:val="24"/>
          <w:lang w:bidi="zh-CN"/>
        </w:rPr>
      </w:pPr>
      <w:r>
        <w:rPr>
          <w:rFonts w:hint="eastAsia"/>
          <w:spacing w:val="-4"/>
          <w:sz w:val="24"/>
          <w:lang w:bidi="zh-CN"/>
        </w:rPr>
        <w:t xml:space="preserve">（1）参照图集052S502/136新建钢筋混凝土水表井一座。</w:t>
      </w:r>
      <w:r/>
    </w:p>
    <w:p>
      <w:pPr>
        <w:ind w:firstLine="464"/>
        <w:jc w:val="left"/>
        <w:spacing w:line="500" w:lineRule="exact"/>
        <w:rPr>
          <w:spacing w:val="-4"/>
          <w:sz w:val="24"/>
          <w:lang w:bidi="zh-CN"/>
        </w:rPr>
      </w:pPr>
      <w:r>
        <w:rPr>
          <w:rFonts w:hint="eastAsia"/>
          <w:spacing w:val="-4"/>
          <w:sz w:val="24"/>
          <w:lang w:bidi="zh-CN"/>
        </w:rPr>
        <w:t xml:space="preserve">（2）室外管沟开挖，管网施工完毕后，管沟进行分层回填压实避免后期沉降。</w:t>
      </w:r>
      <w:r/>
    </w:p>
    <w:p>
      <w:pPr>
        <w:ind w:firstLine="464"/>
        <w:jc w:val="left"/>
        <w:spacing w:line="500" w:lineRule="exact"/>
        <w:rPr>
          <w:spacing w:val="-4"/>
          <w:sz w:val="24"/>
          <w:lang w:bidi="zh-CN"/>
        </w:rPr>
      </w:pPr>
      <w:r>
        <w:rPr>
          <w:rFonts w:hint="eastAsia"/>
          <w:spacing w:val="-4"/>
          <w:sz w:val="24"/>
          <w:lang w:bidi="zh-CN"/>
        </w:rPr>
        <w:t xml:space="preserve">（3）原门口石板路拆除后地面混凝土找平，采用花岗岩石板重新铺贴。</w:t>
      </w:r>
      <w:r/>
    </w:p>
    <w:p>
      <w:pPr>
        <w:ind w:firstLine="464"/>
        <w:jc w:val="left"/>
        <w:spacing w:line="500" w:lineRule="exact"/>
        <w:rPr>
          <w:spacing w:val="-4"/>
          <w:sz w:val="24"/>
          <w:lang w:bidi="zh-CN"/>
        </w:rPr>
      </w:pPr>
      <w:r>
        <w:rPr>
          <w:rFonts w:hint="eastAsia"/>
          <w:spacing w:val="-4"/>
          <w:sz w:val="24"/>
          <w:lang w:bidi="zh-CN"/>
        </w:rPr>
        <w:t xml:space="preserve">（4）混凝土：室外散水坡采用C25混凝土浇筑恢复便面抹光处理，室内设备基础，采用C25素混凝土浇筑一次性成型，过程中保证振捣密实养护到位。</w:t>
      </w:r>
      <w:r/>
    </w:p>
    <w:p>
      <w:pPr>
        <w:jc w:val="left"/>
        <w:spacing w:line="500" w:lineRule="exact"/>
        <w:rPr>
          <w:b/>
          <w:bCs/>
          <w:spacing w:val="-4"/>
          <w:sz w:val="24"/>
          <w:lang w:val="en-US" w:bidi="zh-CN"/>
        </w:rPr>
        <w:outlineLvl w:val="1"/>
      </w:pPr>
      <w:r>
        <w:rPr>
          <w:rFonts w:hint="eastAsia"/>
          <w:b/>
          <w:bCs/>
          <w:spacing w:val="-4"/>
          <w:sz w:val="24"/>
          <w:lang w:bidi="zh-CN"/>
        </w:rPr>
        <w:t xml:space="preserve">6.3</w:t>
      </w:r>
      <w:r>
        <w:rPr>
          <w:rFonts w:hint="eastAsia"/>
          <w:b/>
          <w:bCs/>
          <w:spacing w:val="-4"/>
          <w:sz w:val="24"/>
          <w:lang w:val="en-US" w:bidi="zh-CN"/>
        </w:rPr>
        <w:t xml:space="preserve">配套</w:t>
      </w:r>
      <w:r>
        <w:rPr>
          <w:rFonts w:hint="eastAsia"/>
          <w:b/>
          <w:bCs/>
          <w:spacing w:val="-4"/>
          <w:sz w:val="24"/>
          <w:lang w:bidi="zh-CN"/>
        </w:rPr>
        <w:t xml:space="preserve">装饰</w:t>
      </w:r>
      <w:r>
        <w:rPr>
          <w:rFonts w:hint="eastAsia"/>
          <w:b/>
          <w:bCs/>
          <w:spacing w:val="-4"/>
          <w:sz w:val="24"/>
          <w:lang w:val="en-US" w:bidi="zh-CN"/>
        </w:rPr>
        <w:t xml:space="preserve">部分</w:t>
      </w:r>
      <w:r/>
    </w:p>
    <w:p>
      <w:pPr>
        <w:ind w:firstLine="464"/>
        <w:jc w:val="left"/>
        <w:spacing w:line="500" w:lineRule="exact"/>
        <w:rPr>
          <w:spacing w:val="-4"/>
          <w:sz w:val="24"/>
          <w:lang w:bidi="zh-CN"/>
        </w:rPr>
      </w:pPr>
      <w:r>
        <w:rPr>
          <w:rFonts w:hint="eastAsia"/>
          <w:spacing w:val="-4"/>
          <w:sz w:val="24"/>
          <w:lang w:bidi="zh-CN"/>
        </w:rPr>
        <w:t xml:space="preserve">（1）吊顶采用600*600铝合金集成吊顶，顶面灯具均采用600*600LED平板灯嵌入式安装。</w:t>
      </w:r>
      <w:r/>
    </w:p>
    <w:p>
      <w:pPr>
        <w:ind w:firstLine="464"/>
        <w:jc w:val="left"/>
        <w:spacing w:line="500" w:lineRule="exact"/>
        <w:rPr>
          <w:spacing w:val="-4"/>
          <w:sz w:val="24"/>
          <w:lang w:bidi="zh-CN"/>
        </w:rPr>
      </w:pPr>
      <w:r>
        <w:rPr>
          <w:rFonts w:hint="eastAsia"/>
          <w:spacing w:val="-4"/>
          <w:sz w:val="24"/>
          <w:lang w:bidi="zh-CN"/>
        </w:rPr>
        <w:t xml:space="preserve">（2）墙面出新，室内墙面进行局部找补，涂刷底涂后刷环保净味乳胶漆两遍。室外墙面基层清理局部找补，刷底涂后再涂刷两遍外墙专业乳胶漆，并做好局部分色处理。</w:t>
      </w:r>
      <w:r/>
    </w:p>
    <w:p>
      <w:pPr>
        <w:ind w:firstLine="464"/>
        <w:spacing w:line="500" w:lineRule="exact"/>
        <w:rPr>
          <w:spacing w:val="-4"/>
          <w:sz w:val="24"/>
          <w:lang w:bidi="zh-CN"/>
        </w:rPr>
      </w:pPr>
      <w:r>
        <w:rPr>
          <w:rFonts w:hint="eastAsia"/>
          <w:spacing w:val="-4"/>
          <w:sz w:val="24"/>
          <w:lang w:bidi="zh-CN"/>
        </w:rPr>
        <w:t xml:space="preserve">（3）墙地面：原墙面打磨刨除装饰层，涂刷界面剂采用墙面专用瓷砖胶进行墙砖粘贴施工，原地面清理涂刷界面剂并采用干硬性水泥砂浆铺贴地砖。墙面应选用符合环保要求、易清洁的材料铺砌或涂覆，内墙采用瓷砖贴面，地下设备间地砖满贴，内墙墙砖高度自室内地坪起，贴至与钢结构连廊扶手持平，如采用隔音板应自瓷砖贴面以上安装；</w:t>
      </w:r>
      <w:r>
        <w:rPr>
          <w:spacing w:val="-4"/>
          <w:sz w:val="24"/>
          <w:lang w:bidi="zh-CN"/>
        </w:rPr>
        <w:t xml:space="preserve">地下泵房的防水等级不应低于二级；地上控制间墙地砖满贴</w:t>
      </w:r>
      <w:r>
        <w:rPr>
          <w:rFonts w:hint="eastAsia"/>
          <w:spacing w:val="-4"/>
          <w:sz w:val="24"/>
          <w:lang w:bidi="zh-CN"/>
        </w:rPr>
        <w:t xml:space="preserve">；</w:t>
      </w:r>
      <w:r>
        <w:rPr>
          <w:spacing w:val="-4"/>
          <w:sz w:val="24"/>
          <w:lang w:bidi="zh-CN"/>
        </w:rPr>
        <w:t xml:space="preserve">防水等级不低于二级</w:t>
      </w:r>
      <w:r>
        <w:rPr>
          <w:rFonts w:hint="eastAsia"/>
          <w:spacing w:val="-4"/>
          <w:sz w:val="24"/>
          <w:lang w:bidi="zh-CN"/>
        </w:rPr>
        <w:t xml:space="preserve">。</w:t>
      </w:r>
      <w:r/>
    </w:p>
    <w:p>
      <w:pPr>
        <w:ind w:firstLine="464"/>
        <w:jc w:val="left"/>
        <w:spacing w:line="500" w:lineRule="exact"/>
        <w:rPr>
          <w:spacing w:val="-4"/>
          <w:sz w:val="24"/>
          <w:lang w:bidi="zh-CN"/>
        </w:rPr>
      </w:pPr>
      <w:r>
        <w:rPr>
          <w:rFonts w:hint="eastAsia"/>
          <w:spacing w:val="-4"/>
          <w:sz w:val="24"/>
          <w:lang w:bidi="zh-CN"/>
        </w:rPr>
        <w:t xml:space="preserve">（4）防水：屋面防水在施工前进行人工清理，清除空鼓起砂部位，清理屋面杂草杂物。屋面局部采用水泥砂浆找补平整。新做非固化加SBS防水后并进行闭水实验，方口完工验收。</w:t>
      </w:r>
      <w:r/>
    </w:p>
    <w:p>
      <w:pPr>
        <w:ind w:firstLine="464"/>
        <w:jc w:val="left"/>
        <w:spacing w:line="500" w:lineRule="exact"/>
        <w:rPr>
          <w:spacing w:val="-4"/>
          <w:sz w:val="24"/>
          <w:lang w:bidi="zh-CN"/>
        </w:rPr>
      </w:pPr>
      <w:r>
        <w:rPr>
          <w:rFonts w:hint="eastAsia"/>
          <w:spacing w:val="-4"/>
          <w:sz w:val="24"/>
          <w:lang w:bidi="zh-CN"/>
        </w:rPr>
        <w:t xml:space="preserve">（5）门窗：拆除原旧门窗，更换全新铝合金推拉窗，及钢质防盗门。门窗更换固定采用膨胀螺栓进行机械固定，洞口采用水泥砂浆及细石混凝土灌浆处理，保证牢固，</w:t>
      </w:r>
      <w:r/>
    </w:p>
    <w:p>
      <w:pPr>
        <w:jc w:val="left"/>
        <w:spacing w:line="500" w:lineRule="exact"/>
        <w:rPr>
          <w:b/>
          <w:bCs/>
          <w:spacing w:val="-4"/>
          <w:sz w:val="24"/>
          <w:lang w:bidi="zh-CN"/>
        </w:rPr>
        <w:outlineLvl w:val="1"/>
      </w:pPr>
      <w:r>
        <w:rPr>
          <w:rFonts w:hint="eastAsia"/>
          <w:b/>
          <w:bCs/>
          <w:spacing w:val="-4"/>
          <w:sz w:val="24"/>
          <w:lang w:bidi="zh-CN"/>
        </w:rPr>
        <w:t xml:space="preserve">6.4</w:t>
      </w:r>
      <w:r>
        <w:rPr>
          <w:rFonts w:hint="eastAsia"/>
          <w:b/>
          <w:bCs/>
          <w:spacing w:val="-4"/>
          <w:sz w:val="24"/>
          <w:lang w:val="en-US" w:bidi="zh-CN"/>
        </w:rPr>
        <w:t xml:space="preserve">室内配套</w:t>
      </w:r>
      <w:r>
        <w:rPr>
          <w:rFonts w:hint="eastAsia"/>
          <w:b/>
          <w:bCs/>
          <w:spacing w:val="-4"/>
          <w:sz w:val="24"/>
          <w:lang w:bidi="zh-CN"/>
        </w:rPr>
        <w:t xml:space="preserve">钢结构平台</w:t>
      </w:r>
      <w:r/>
    </w:p>
    <w:p>
      <w:pPr>
        <w:ind w:firstLine="464"/>
        <w:jc w:val="left"/>
        <w:spacing w:line="500" w:lineRule="exact"/>
        <w:rPr>
          <w:spacing w:val="-4"/>
          <w:sz w:val="24"/>
          <w:lang w:bidi="zh-CN"/>
        </w:rPr>
      </w:pPr>
      <w:r>
        <w:rPr>
          <w:rFonts w:hint="eastAsia"/>
          <w:spacing w:val="-4"/>
          <w:sz w:val="24"/>
          <w:lang w:bidi="zh-CN"/>
        </w:rPr>
        <w:t xml:space="preserve">（1）钢结构平台制作，原钢结构平台设计受力均为地下室底板部位，并在墙上增加化学锚栓拉结点加强稳定性。</w:t>
      </w:r>
      <w:r/>
    </w:p>
    <w:p>
      <w:pPr>
        <w:ind w:firstLine="464"/>
        <w:jc w:val="left"/>
        <w:spacing w:line="500" w:lineRule="exact"/>
        <w:rPr>
          <w:spacing w:val="-4"/>
          <w:sz w:val="24"/>
          <w:lang w:bidi="zh-CN"/>
        </w:rPr>
      </w:pPr>
      <w:r>
        <w:rPr>
          <w:rFonts w:hint="eastAsia"/>
          <w:spacing w:val="-4"/>
          <w:sz w:val="24"/>
          <w:lang w:bidi="zh-CN"/>
        </w:rPr>
        <w:t xml:space="preserve">（2）钢结构刷漆，焊接</w:t>
      </w:r>
      <w:r>
        <w:rPr>
          <w:rFonts w:hint="eastAsia"/>
          <w:spacing w:val="-4"/>
          <w:sz w:val="24"/>
          <w:lang w:val="en-US" w:bidi="zh-CN"/>
        </w:rPr>
        <w:t xml:space="preserve">完成后</w:t>
      </w:r>
      <w:r>
        <w:rPr>
          <w:rFonts w:hint="eastAsia"/>
          <w:spacing w:val="-4"/>
          <w:sz w:val="24"/>
          <w:lang w:bidi="zh-CN"/>
        </w:rPr>
        <w:t xml:space="preserve">对焊点及型材进行打磨和除锈处理，处理完毕后喷涂两遍环氧富锌底漆，再喷涂两遍氟碳面漆。</w:t>
      </w:r>
      <w:r/>
    </w:p>
    <w:p>
      <w:pPr>
        <w:jc w:val="left"/>
        <w:spacing w:line="500" w:lineRule="exact"/>
        <w:rPr>
          <w:b/>
          <w:bCs/>
          <w:spacing w:val="-4"/>
          <w:sz w:val="24"/>
          <w:lang w:val="en-US" w:bidi="zh-CN"/>
        </w:rPr>
        <w:outlineLvl w:val="1"/>
      </w:pPr>
      <w:r>
        <w:rPr>
          <w:rFonts w:hint="eastAsia"/>
          <w:b/>
          <w:bCs/>
          <w:spacing w:val="-4"/>
          <w:sz w:val="24"/>
          <w:lang w:bidi="zh-CN"/>
        </w:rPr>
        <w:t xml:space="preserve">6.5</w:t>
      </w:r>
      <w:r>
        <w:rPr>
          <w:rFonts w:hint="eastAsia"/>
          <w:b/>
          <w:bCs/>
          <w:spacing w:val="-4"/>
          <w:sz w:val="24"/>
          <w:lang w:val="en-US" w:bidi="zh-CN"/>
        </w:rPr>
        <w:t xml:space="preserve">设备</w:t>
      </w:r>
      <w:r>
        <w:rPr>
          <w:rFonts w:hint="eastAsia"/>
          <w:b/>
          <w:bCs/>
          <w:spacing w:val="-4"/>
          <w:sz w:val="24"/>
          <w:lang w:bidi="zh-CN"/>
        </w:rPr>
        <w:t xml:space="preserve">安装</w:t>
      </w:r>
      <w:r>
        <w:rPr>
          <w:rFonts w:hint="eastAsia"/>
          <w:b/>
          <w:bCs/>
          <w:spacing w:val="-4"/>
          <w:sz w:val="24"/>
          <w:lang w:val="en-US" w:bidi="zh-CN"/>
        </w:rPr>
        <w:t xml:space="preserve">部分</w:t>
      </w:r>
      <w:r/>
    </w:p>
    <w:p>
      <w:pPr>
        <w:ind w:firstLine="464"/>
        <w:jc w:val="left"/>
        <w:spacing w:line="500" w:lineRule="exact"/>
        <w:rPr>
          <w:spacing w:val="-4"/>
          <w:sz w:val="24"/>
          <w:lang w:bidi="zh-CN"/>
        </w:rPr>
      </w:pPr>
      <w:r>
        <w:rPr>
          <w:rFonts w:hint="eastAsia"/>
          <w:spacing w:val="-4"/>
          <w:sz w:val="24"/>
          <w:lang w:bidi="zh-CN"/>
        </w:rPr>
        <w:t xml:space="preserve">（1）水泵改造，现状所有水泵进行改造换新，改造后水泵能效等级不低于GB18613-2020《电动机能效限定值及能效等级》规定的2级能效要求。</w:t>
      </w:r>
      <w:r/>
    </w:p>
    <w:p>
      <w:pPr>
        <w:ind w:firstLine="464"/>
        <w:jc w:val="left"/>
        <w:spacing w:line="500" w:lineRule="exact"/>
        <w:rPr>
          <w:spacing w:val="-4"/>
          <w:sz w:val="24"/>
          <w:lang w:bidi="zh-CN"/>
        </w:rPr>
      </w:pPr>
      <w:r>
        <w:rPr>
          <w:rFonts w:hint="eastAsia"/>
          <w:spacing w:val="-4"/>
          <w:sz w:val="24"/>
          <w:lang w:bidi="zh-CN"/>
        </w:rPr>
        <w:t xml:space="preserve">（2）管线安装，所有室内管线均为暗敷，管线内穿线符合规范要求。设备配线均应设计接地线和接地排。墙面插座、照明、空调等均应在墙面原回路电箱接出，并按要求留设漏电保护开关。</w:t>
      </w:r>
      <w:r/>
    </w:p>
    <w:p>
      <w:pPr>
        <w:ind w:firstLine="464"/>
        <w:jc w:val="left"/>
        <w:spacing w:line="500" w:lineRule="exact"/>
        <w:rPr>
          <w:spacing w:val="-4"/>
          <w:sz w:val="24"/>
          <w:lang w:bidi="zh-CN"/>
        </w:rPr>
      </w:pPr>
      <w:r>
        <w:rPr>
          <w:rFonts w:hint="eastAsia"/>
          <w:spacing w:val="-4"/>
          <w:sz w:val="24"/>
          <w:lang w:bidi="zh-CN"/>
        </w:rPr>
        <w:t xml:space="preserve">（3）管网安装，管网施工时保证所有管网横平竖直，管网支架支撑牢固做工精致，管网使用</w:t>
      </w:r>
      <w:r>
        <w:rPr>
          <w:rFonts w:hint="eastAsia"/>
          <w:spacing w:val="-4"/>
          <w:sz w:val="24"/>
          <w:lang w:val="en-US" w:bidi="zh-CN"/>
        </w:rPr>
        <w:t xml:space="preserve">食品级</w:t>
      </w:r>
      <w:r>
        <w:rPr>
          <w:rFonts w:hint="eastAsia"/>
          <w:spacing w:val="-4"/>
          <w:sz w:val="24"/>
          <w:lang w:bidi="zh-CN"/>
        </w:rPr>
        <w:t xml:space="preserve">304不锈钢抛光管道施工，连接方式均采用焊接工艺，焊接完成后需对焊点进行打磨抛光处理，保证整个管网的统一度。</w:t>
      </w:r>
      <w:r/>
    </w:p>
    <w:p>
      <w:pPr>
        <w:jc w:val="left"/>
        <w:spacing w:line="500" w:lineRule="exact"/>
        <w:rPr>
          <w:spacing w:val="-4"/>
          <w:sz w:val="24"/>
          <w:lang w:bidi="zh-CN"/>
        </w:rPr>
      </w:pPr>
      <w:r>
        <w:rPr>
          <w:spacing w:val="-4"/>
          <w:sz w:val="24"/>
          <w:lang w:bidi="zh-CN"/>
        </w:rPr>
        <w:t xml:space="preserve">5</w:t>
      </w:r>
      <w:r>
        <w:rPr>
          <w:rFonts w:hint="eastAsia"/>
          <w:spacing w:val="-4"/>
          <w:sz w:val="24"/>
          <w:lang w:bidi="zh-CN"/>
        </w:rPr>
        <w:t xml:space="preserve">.6</w:t>
      </w:r>
      <w:r>
        <w:rPr>
          <w:rFonts w:hint="eastAsia"/>
          <w:spacing w:val="-4"/>
          <w:sz w:val="24"/>
          <w:lang w:val="en-US" w:bidi="zh-CN"/>
        </w:rPr>
        <w:t xml:space="preserve">配套</w:t>
      </w:r>
      <w:r>
        <w:rPr>
          <w:rFonts w:hint="eastAsia"/>
          <w:spacing w:val="-4"/>
          <w:sz w:val="24"/>
          <w:lang w:bidi="zh-CN"/>
        </w:rPr>
        <w:t xml:space="preserve">绿化：</w:t>
      </w:r>
      <w:r>
        <w:rPr>
          <w:rFonts w:hint="eastAsia"/>
          <w:spacing w:val="-4"/>
          <w:sz w:val="24"/>
          <w:lang w:val="en-US" w:bidi="zh-CN"/>
        </w:rPr>
        <w:t xml:space="preserve">须按甲方要求，</w:t>
      </w:r>
      <w:r>
        <w:rPr>
          <w:rFonts w:hint="eastAsia"/>
          <w:spacing w:val="-4"/>
          <w:sz w:val="24"/>
          <w:lang w:bidi="zh-CN"/>
        </w:rPr>
        <w:t xml:space="preserve">项目</w:t>
      </w:r>
      <w:r>
        <w:rPr>
          <w:rFonts w:hint="eastAsia"/>
          <w:spacing w:val="-4"/>
          <w:sz w:val="24"/>
          <w:lang w:val="en-US" w:bidi="zh-CN"/>
        </w:rPr>
        <w:t xml:space="preserve">实施</w:t>
      </w:r>
      <w:r>
        <w:rPr>
          <w:rFonts w:hint="eastAsia"/>
          <w:spacing w:val="-4"/>
          <w:sz w:val="24"/>
          <w:lang w:bidi="zh-CN"/>
        </w:rPr>
        <w:t xml:space="preserve">区域内进行破坏后的恢复。</w:t>
      </w:r>
      <w:r/>
    </w:p>
    <w:p>
      <w:pPr>
        <w:pStyle w:val="892"/>
        <w:spacing w:line="500" w:lineRule="exact"/>
        <w:rPr>
          <w:rFonts w:ascii="Times New Roman" w:eastAsia="宋体"/>
          <w:b/>
          <w:bCs/>
          <w:sz w:val="24"/>
          <w:szCs w:val="24"/>
        </w:rPr>
      </w:pPr>
      <w:r>
        <w:rPr>
          <w:rFonts w:hint="eastAsia" w:ascii="Times New Roman" w:eastAsia="宋体"/>
          <w:b/>
          <w:bCs/>
          <w:sz w:val="24"/>
          <w:szCs w:val="24"/>
        </w:rPr>
        <w:t xml:space="preserve">7、泵房管路及配件</w:t>
      </w:r>
      <w:r/>
    </w:p>
    <w:p>
      <w:pPr>
        <w:jc w:val="left"/>
        <w:spacing w:line="500" w:lineRule="exact"/>
        <w:rPr>
          <w:b/>
          <w:bCs/>
          <w:spacing w:val="-4"/>
          <w:sz w:val="24"/>
          <w:lang w:bidi="zh-CN"/>
        </w:rPr>
        <w:outlineLvl w:val="1"/>
      </w:pPr>
      <w:r>
        <w:rPr>
          <w:rFonts w:hint="eastAsia"/>
          <w:b/>
          <w:bCs/>
          <w:spacing w:val="-4"/>
          <w:sz w:val="24"/>
          <w:lang w:bidi="zh-CN"/>
        </w:rPr>
        <w:t xml:space="preserve">7.1总体要求</w:t>
      </w:r>
      <w:r/>
    </w:p>
    <w:p>
      <w:pPr>
        <w:ind w:firstLine="464"/>
        <w:jc w:val="left"/>
        <w:spacing w:line="500" w:lineRule="exact"/>
        <w:rPr>
          <w:spacing w:val="-4"/>
          <w:sz w:val="24"/>
          <w:lang w:bidi="zh-CN"/>
        </w:rPr>
      </w:pPr>
      <w:r>
        <w:rPr>
          <w:rFonts w:hint="eastAsia"/>
          <w:spacing w:val="-4"/>
          <w:sz w:val="24"/>
          <w:lang w:bidi="zh-CN"/>
        </w:rPr>
        <w:t xml:space="preserve">设备的管道系统(以下称为管道系统)应符合本标准和GB50242《建筑给排水及采暖工程施工质量验收规范》的规定。</w:t>
      </w:r>
      <w:r/>
    </w:p>
    <w:p>
      <w:pPr>
        <w:ind w:firstLine="420"/>
        <w:jc w:val="left"/>
        <w:spacing w:line="500" w:lineRule="exact"/>
        <w:rPr>
          <w:spacing w:val="-4"/>
          <w:sz w:val="24"/>
          <w:lang w:bidi="zh-CN"/>
        </w:rPr>
      </w:pPr>
      <w:r>
        <w:rPr>
          <w:rFonts w:ascii="宋体" w:hAnsi="宋体" w:eastAsia="宋体"/>
          <w:color w:val="000000"/>
          <w:sz w:val="21"/>
          <w:szCs w:val="21"/>
        </w:rPr>
        <w:t xml:space="preserve">▲</w:t>
      </w:r>
      <w:r>
        <w:rPr>
          <w:rFonts w:hint="eastAsia"/>
          <w:spacing w:val="-4"/>
          <w:sz w:val="24"/>
          <w:lang w:bidi="zh-CN"/>
        </w:rPr>
        <w:t xml:space="preserve">管道、管件和法兰应采用食品级不锈钢材质。</w:t>
      </w:r>
      <w:r/>
    </w:p>
    <w:p>
      <w:pPr>
        <w:ind w:firstLine="464"/>
        <w:jc w:val="left"/>
        <w:spacing w:line="500" w:lineRule="exact"/>
        <w:rPr>
          <w:spacing w:val="-4"/>
          <w:sz w:val="24"/>
          <w:lang w:bidi="zh-CN"/>
        </w:rPr>
      </w:pPr>
      <w:r>
        <w:rPr>
          <w:rFonts w:hint="eastAsia"/>
          <w:spacing w:val="-4"/>
          <w:sz w:val="24"/>
          <w:lang w:bidi="zh-CN"/>
        </w:rPr>
        <w:t xml:space="preserve">连接法兰及法兰盖应不低于管道设计压力。</w:t>
      </w:r>
      <w:r/>
    </w:p>
    <w:p>
      <w:pPr>
        <w:ind w:firstLine="464"/>
        <w:jc w:val="left"/>
        <w:spacing w:line="500" w:lineRule="exact"/>
        <w:rPr>
          <w:spacing w:val="-4"/>
          <w:sz w:val="24"/>
          <w:lang w:bidi="zh-CN"/>
        </w:rPr>
      </w:pPr>
      <w:r>
        <w:rPr>
          <w:rFonts w:hint="eastAsia"/>
          <w:spacing w:val="-4"/>
          <w:sz w:val="24"/>
          <w:lang w:bidi="zh-CN"/>
        </w:rPr>
        <w:t xml:space="preserve">蝶阀应符合GB/T12238《通用阀门法兰和对夹连接蝶阀》的规定，其它类型的阀门应符合各自相关标准的规定。</w:t>
      </w:r>
      <w:r/>
    </w:p>
    <w:p>
      <w:pPr>
        <w:ind w:firstLine="464"/>
        <w:jc w:val="left"/>
        <w:spacing w:line="500" w:lineRule="exact"/>
        <w:rPr>
          <w:spacing w:val="-4"/>
          <w:sz w:val="24"/>
          <w:lang w:bidi="zh-CN"/>
        </w:rPr>
      </w:pPr>
      <w:r>
        <w:rPr>
          <w:rFonts w:hint="eastAsia"/>
          <w:spacing w:val="-4"/>
          <w:sz w:val="24"/>
          <w:lang w:bidi="zh-CN"/>
        </w:rPr>
        <w:t xml:space="preserve">系统进水口前应设置过滤器，其滤网、阀体及所有过流零件的材质均应使用符合安全卫生的要求。</w:t>
      </w:r>
      <w:r/>
    </w:p>
    <w:p>
      <w:pPr>
        <w:jc w:val="left"/>
        <w:spacing w:line="500" w:lineRule="exact"/>
        <w:rPr>
          <w:b/>
          <w:bCs/>
          <w:spacing w:val="-4"/>
          <w:sz w:val="24"/>
          <w:lang w:bidi="zh-CN"/>
        </w:rPr>
        <w:outlineLvl w:val="1"/>
      </w:pPr>
      <w:r>
        <w:rPr>
          <w:rFonts w:hint="eastAsia"/>
          <w:b/>
          <w:bCs/>
          <w:spacing w:val="-4"/>
          <w:sz w:val="24"/>
          <w:lang w:bidi="zh-CN"/>
        </w:rPr>
        <w:t xml:space="preserve">7.2</w:t>
      </w:r>
      <w:r>
        <w:rPr>
          <w:rFonts w:ascii="宋体" w:hAnsi="宋体" w:eastAsia="宋体"/>
          <w:color w:val="000000"/>
          <w:sz w:val="21"/>
          <w:szCs w:val="21"/>
        </w:rPr>
        <w:t xml:space="preserve">▲</w:t>
      </w:r>
      <w:r>
        <w:rPr>
          <w:rFonts w:hint="eastAsia"/>
          <w:b/>
          <w:bCs/>
          <w:spacing w:val="-4"/>
          <w:sz w:val="24"/>
          <w:lang w:bidi="zh-CN"/>
        </w:rPr>
        <w:t xml:space="preserve">阀门等配件配置</w:t>
      </w:r>
      <w:r/>
    </w:p>
    <w:p>
      <w:pPr>
        <w:ind w:firstLine="464"/>
        <w:jc w:val="left"/>
        <w:spacing w:line="500" w:lineRule="exact"/>
        <w:rPr>
          <w:spacing w:val="-4"/>
          <w:sz w:val="24"/>
          <w:lang w:bidi="zh-CN"/>
        </w:rPr>
      </w:pPr>
      <w:r>
        <w:rPr>
          <w:rFonts w:hint="eastAsia"/>
          <w:spacing w:val="-4"/>
          <w:sz w:val="24"/>
          <w:lang w:bidi="zh-CN"/>
        </w:rPr>
        <w:t xml:space="preserve">水泵进水总管至水泵进水口段应配置：蝶阀、橡胶软连接、偏心异径管;水泵出水口至出水总管段应配置：异径管、橡胶软连接、止回阀、蝶阀。出水总管上应安装压力变送器压力表，紫外线消毒装置；下部应配置液位开关及排水阀门。</w:t>
      </w:r>
      <w:r/>
    </w:p>
    <w:p>
      <w:pPr>
        <w:jc w:val="left"/>
        <w:spacing w:line="500" w:lineRule="exact"/>
        <w:rPr>
          <w:b/>
          <w:bCs/>
          <w:spacing w:val="-4"/>
          <w:sz w:val="24"/>
          <w:lang w:bidi="zh-CN"/>
        </w:rPr>
        <w:outlineLvl w:val="1"/>
      </w:pPr>
      <w:r>
        <w:rPr>
          <w:rFonts w:hint="eastAsia"/>
          <w:b/>
          <w:bCs/>
          <w:spacing w:val="-4"/>
          <w:sz w:val="24"/>
          <w:lang w:bidi="zh-CN"/>
        </w:rPr>
        <w:t xml:space="preserve">7.3阀门等配件配置材料</w:t>
      </w:r>
      <w:r/>
    </w:p>
    <w:p>
      <w:pPr>
        <w:ind w:firstLine="464"/>
        <w:jc w:val="left"/>
        <w:spacing w:line="500" w:lineRule="exact"/>
        <w:rPr>
          <w:spacing w:val="-4"/>
          <w:sz w:val="24"/>
          <w:lang w:bidi="zh-CN"/>
        </w:rPr>
      </w:pPr>
      <w:r>
        <w:rPr>
          <w:rFonts w:hint="eastAsia"/>
          <w:spacing w:val="-4"/>
          <w:sz w:val="24"/>
          <w:lang w:bidi="zh-CN"/>
        </w:rPr>
        <w:t xml:space="preserve">管道、阀门及其他过流部件应采用食品级304（06Cr19Ni10）或质量更高的不锈钢材质，且应符合国家《生活饮用水卫生监督管理办法》。管路配用的阀门等配件均应采用标准件。</w:t>
      </w:r>
      <w:r/>
    </w:p>
    <w:p>
      <w:pPr>
        <w:jc w:val="left"/>
        <w:spacing w:line="500" w:lineRule="exact"/>
        <w:rPr>
          <w:b/>
          <w:bCs/>
          <w:spacing w:val="-4"/>
          <w:sz w:val="24"/>
          <w:lang w:bidi="zh-CN"/>
        </w:rPr>
        <w:outlineLvl w:val="1"/>
      </w:pPr>
      <w:r>
        <w:rPr>
          <w:rFonts w:hint="eastAsia"/>
          <w:b/>
          <w:bCs/>
          <w:spacing w:val="-4"/>
          <w:sz w:val="24"/>
          <w:lang w:bidi="zh-CN"/>
        </w:rPr>
        <w:t xml:space="preserve">7.4管路连接</w:t>
      </w:r>
      <w:r/>
    </w:p>
    <w:p>
      <w:pPr>
        <w:ind w:firstLine="464"/>
        <w:jc w:val="left"/>
        <w:spacing w:line="500" w:lineRule="exact"/>
        <w:rPr>
          <w:spacing w:val="-4"/>
          <w:sz w:val="24"/>
          <w:lang w:bidi="zh-CN"/>
        </w:rPr>
      </w:pPr>
      <w:r>
        <w:rPr>
          <w:rFonts w:hint="eastAsia"/>
          <w:spacing w:val="-4"/>
          <w:sz w:val="24"/>
          <w:lang w:bidi="zh-CN"/>
        </w:rPr>
        <w:t xml:space="preserve">管道与设备、阀门的连接方式采用法兰连接，法兰尺寸应GB/T9113系列或HG/T20592系列标准。</w:t>
      </w:r>
      <w:r/>
    </w:p>
    <w:p>
      <w:pPr>
        <w:jc w:val="left"/>
        <w:spacing w:line="500" w:lineRule="exact"/>
        <w:rPr>
          <w:b/>
          <w:bCs/>
          <w:spacing w:val="-4"/>
          <w:sz w:val="24"/>
          <w:lang w:bidi="zh-CN"/>
        </w:rPr>
        <w:outlineLvl w:val="1"/>
      </w:pPr>
      <w:r>
        <w:rPr>
          <w:rFonts w:hint="eastAsia"/>
          <w:b/>
          <w:bCs/>
          <w:spacing w:val="-4"/>
          <w:sz w:val="24"/>
          <w:lang w:bidi="zh-CN"/>
        </w:rPr>
        <w:t xml:space="preserve">7.5阀门连接长度、性能、材质、标志要求：</w:t>
      </w:r>
      <w:r/>
    </w:p>
    <w:p>
      <w:pPr>
        <w:ind w:firstLine="464"/>
        <w:jc w:val="left"/>
        <w:spacing w:line="500" w:lineRule="exact"/>
        <w:rPr>
          <w:spacing w:val="-4"/>
          <w:sz w:val="24"/>
          <w:lang w:bidi="zh-CN"/>
        </w:rPr>
      </w:pPr>
      <w:r>
        <w:rPr>
          <w:rFonts w:hint="eastAsia"/>
          <w:spacing w:val="-4"/>
          <w:sz w:val="24"/>
          <w:lang w:bidi="zh-CN"/>
        </w:rPr>
        <w:t xml:space="preserve">①阀门的结构长度符合GB/T12221—2005《金属阀门的结构长度》标准。</w:t>
      </w:r>
      <w:r/>
    </w:p>
    <w:p>
      <w:pPr>
        <w:ind w:firstLine="464"/>
        <w:jc w:val="left"/>
        <w:spacing w:line="500" w:lineRule="exact"/>
        <w:rPr>
          <w:spacing w:val="-4"/>
          <w:sz w:val="24"/>
          <w:lang w:bidi="zh-CN"/>
        </w:rPr>
      </w:pPr>
      <w:r>
        <w:rPr>
          <w:rFonts w:hint="eastAsia"/>
          <w:spacing w:val="-4"/>
          <w:sz w:val="24"/>
          <w:lang w:bidi="zh-CN"/>
        </w:rPr>
        <w:t xml:space="preserve">②壳体壁厚：阀门壳体的最小壁厚符合《阀门壳体最小壁厚要求规范》GB26640-2011的规定。壳体内外须应光洁、无气孔、无沙眼、无疏松等现象（经酸洗钝化处理）。</w:t>
      </w:r>
      <w:r/>
    </w:p>
    <w:p>
      <w:pPr>
        <w:ind w:firstLine="464"/>
        <w:jc w:val="left"/>
        <w:spacing w:line="500" w:lineRule="exact"/>
        <w:rPr>
          <w:spacing w:val="-4"/>
          <w:sz w:val="24"/>
          <w:lang w:bidi="zh-CN"/>
        </w:rPr>
      </w:pPr>
      <w:r>
        <w:rPr>
          <w:rFonts w:hint="eastAsia"/>
          <w:spacing w:val="-4"/>
          <w:sz w:val="24"/>
          <w:lang w:bidi="zh-CN"/>
        </w:rPr>
        <w:t xml:space="preserve">③阀门的强度试验和密封试验的检验结果须符合《工业阀门压力试验》GB/T13927-2008。④阀门的非金属密封材料：阀体与阀盖的密封垫片、阀杆填料等密封件须采用无毒的材料（如四氟乙烯、橡胶等），符合国家饮用水标准。阀门供货商应提供所使用的材料品种、牌号及材质证明。</w:t>
      </w:r>
      <w:r/>
    </w:p>
    <w:p>
      <w:pPr>
        <w:ind w:firstLine="464"/>
        <w:jc w:val="left"/>
        <w:spacing w:line="500" w:lineRule="exact"/>
        <w:rPr>
          <w:spacing w:val="-4"/>
          <w:sz w:val="24"/>
          <w:lang w:bidi="zh-CN"/>
        </w:rPr>
      </w:pPr>
      <w:r>
        <w:rPr>
          <w:rFonts w:hint="eastAsia"/>
          <w:spacing w:val="-4"/>
          <w:sz w:val="24"/>
          <w:lang w:bidi="zh-CN"/>
        </w:rPr>
        <w:t xml:space="preserve">⑤阀门的铭牌标志内容应符合现行国家标准《通用阀门标志》GB/T12220的规定，应有：制造企业名称、产品型号、公称压力、公称尺寸、阀体材质、制造批号等内容；</w:t>
      </w:r>
      <w:r/>
    </w:p>
    <w:p>
      <w:pPr>
        <w:jc w:val="left"/>
        <w:spacing w:line="500" w:lineRule="exact"/>
        <w:rPr>
          <w:b/>
          <w:bCs/>
          <w:spacing w:val="-4"/>
          <w:sz w:val="24"/>
          <w:lang w:bidi="zh-CN"/>
        </w:rPr>
        <w:outlineLvl w:val="1"/>
      </w:pPr>
      <w:r>
        <w:rPr>
          <w:rFonts w:hint="eastAsia"/>
          <w:b/>
          <w:bCs/>
          <w:spacing w:val="-4"/>
          <w:sz w:val="24"/>
          <w:lang w:bidi="zh-CN"/>
        </w:rPr>
        <w:t xml:space="preserve">7.</w:t>
      </w:r>
      <w:r>
        <w:rPr>
          <w:b/>
          <w:bCs/>
          <w:spacing w:val="-4"/>
          <w:sz w:val="24"/>
          <w:lang w:bidi="zh-CN"/>
        </w:rPr>
        <w:t xml:space="preserve">6</w:t>
      </w:r>
      <w:r>
        <w:rPr>
          <w:rFonts w:hint="eastAsia"/>
          <w:b/>
          <w:bCs/>
          <w:spacing w:val="-4"/>
          <w:sz w:val="24"/>
          <w:lang w:bidi="zh-CN"/>
        </w:rPr>
        <w:t xml:space="preserve">阀门结构要求：</w:t>
      </w:r>
      <w:r/>
    </w:p>
    <w:p>
      <w:pPr>
        <w:ind w:firstLine="464"/>
        <w:jc w:val="left"/>
        <w:spacing w:line="500" w:lineRule="exact"/>
        <w:rPr>
          <w:spacing w:val="-4"/>
          <w:sz w:val="24"/>
          <w:lang w:bidi="zh-CN"/>
        </w:rPr>
      </w:pPr>
      <w:r>
        <w:rPr>
          <w:rFonts w:hint="eastAsia"/>
          <w:spacing w:val="-4"/>
          <w:sz w:val="24"/>
          <w:lang w:bidi="zh-CN"/>
        </w:rPr>
        <w:t xml:space="preserve">①闸阀的结构和阀杆直径按GB/T12234—2007《石油、天然气工业用螺栓连接阀盖的钢制闸阀》标准的规定；流道各处直径不得小于GB/T12234—2007的要求。</w:t>
      </w:r>
      <w:r/>
    </w:p>
    <w:p>
      <w:pPr>
        <w:ind w:firstLine="464"/>
        <w:jc w:val="left"/>
        <w:spacing w:line="500" w:lineRule="exact"/>
        <w:rPr>
          <w:spacing w:val="-4"/>
          <w:sz w:val="24"/>
          <w:lang w:bidi="zh-CN"/>
        </w:rPr>
      </w:pPr>
      <w:r>
        <w:rPr>
          <w:rFonts w:hint="eastAsia"/>
          <w:spacing w:val="-4"/>
          <w:sz w:val="24"/>
          <w:lang w:bidi="zh-CN"/>
        </w:rPr>
        <w:t xml:space="preserve">②球阀的结构按GB/T12237-2007《石油、石化及相关工业用的钢制球阀》标准的规定；流道各处直径不得小于GB/T12237—2007的要求。</w:t>
      </w:r>
      <w:r/>
    </w:p>
    <w:p>
      <w:pPr>
        <w:ind w:firstLine="464"/>
        <w:jc w:val="left"/>
        <w:spacing w:line="500" w:lineRule="exact"/>
        <w:rPr>
          <w:spacing w:val="-4"/>
          <w:sz w:val="24"/>
          <w:lang w:bidi="zh-CN"/>
        </w:rPr>
      </w:pPr>
      <w:r>
        <w:rPr>
          <w:rFonts w:hint="eastAsia"/>
          <w:spacing w:val="-4"/>
          <w:sz w:val="24"/>
          <w:lang w:bidi="zh-CN"/>
        </w:rPr>
        <w:t xml:space="preserve">③蝶阀的结构按GB/T12238—2008《法兰和对夹连接弹性密封蝶阀》标准的规定。</w:t>
      </w:r>
      <w:r/>
    </w:p>
    <w:p>
      <w:pPr>
        <w:ind w:firstLine="464"/>
        <w:jc w:val="left"/>
        <w:spacing w:line="500" w:lineRule="exact"/>
        <w:rPr>
          <w:spacing w:val="-4"/>
          <w:sz w:val="24"/>
          <w:lang w:bidi="zh-CN"/>
        </w:rPr>
      </w:pPr>
      <w:r>
        <w:rPr>
          <w:rFonts w:hint="eastAsia"/>
          <w:spacing w:val="-4"/>
          <w:sz w:val="24"/>
          <w:lang w:bidi="zh-CN"/>
        </w:rPr>
        <w:t xml:space="preserve">④止回阀的结构按GB/T12235-2007《石油、石化及相关工业用钢制截止阀和升降式止回阀》；流道最小面积应不小于阀门连接端的面积。</w:t>
      </w:r>
      <w:r/>
    </w:p>
    <w:p>
      <w:pPr>
        <w:ind w:firstLine="464"/>
        <w:jc w:val="left"/>
        <w:spacing w:line="500" w:lineRule="exact"/>
        <w:rPr>
          <w:spacing w:val="-4"/>
          <w:sz w:val="24"/>
          <w:lang w:bidi="zh-CN"/>
        </w:rPr>
      </w:pPr>
      <w:r>
        <w:rPr>
          <w:rFonts w:hint="eastAsia"/>
          <w:spacing w:val="-4"/>
          <w:sz w:val="24"/>
          <w:lang w:bidi="zh-CN"/>
        </w:rPr>
        <w:t xml:space="preserve">阀门其它未特殊说明部分，必须符合《钢制阀门一般要求》GB／T122242005或更高标准。</w:t>
      </w:r>
      <w:r/>
    </w:p>
    <w:p>
      <w:pPr>
        <w:jc w:val="left"/>
        <w:spacing w:line="500" w:lineRule="exact"/>
        <w:rPr>
          <w:b/>
          <w:bCs/>
          <w:spacing w:val="-4"/>
          <w:sz w:val="24"/>
          <w:lang w:bidi="zh-CN"/>
        </w:rPr>
        <w:outlineLvl w:val="1"/>
      </w:pPr>
      <w:r>
        <w:rPr>
          <w:rFonts w:hint="eastAsia"/>
          <w:b/>
          <w:bCs/>
          <w:spacing w:val="-4"/>
          <w:sz w:val="24"/>
          <w:lang w:bidi="zh-CN"/>
        </w:rPr>
        <w:t xml:space="preserve">7.7配套的不锈钢总成及管件技术要求：</w:t>
      </w:r>
      <w:r/>
    </w:p>
    <w:p>
      <w:pPr>
        <w:ind w:firstLine="464"/>
        <w:jc w:val="left"/>
        <w:spacing w:line="500" w:lineRule="exact"/>
        <w:rPr>
          <w:spacing w:val="-4"/>
          <w:sz w:val="24"/>
          <w:highlight w:val="yellow"/>
          <w:lang w:bidi="zh-CN"/>
        </w:rPr>
      </w:pPr>
      <w:r>
        <w:rPr>
          <w:rFonts w:hint="eastAsia"/>
          <w:spacing w:val="-4"/>
          <w:sz w:val="24"/>
          <w:lang w:bidi="zh-CN"/>
        </w:rPr>
        <w:t xml:space="preserve">①所投产品卫生标准须符合《生活饮用水卫生标准》GB 5749-2022、《生活饮用水输配水设备、防护材料及水处理材料卫生安全评价》GB/T 17219-2025的规定。</w:t>
      </w:r>
      <w:r/>
    </w:p>
    <w:p>
      <w:pPr>
        <w:ind w:firstLine="464"/>
        <w:jc w:val="left"/>
        <w:spacing w:line="500" w:lineRule="exact"/>
        <w:rPr>
          <w:spacing w:val="-4"/>
          <w:sz w:val="24"/>
          <w:lang w:bidi="zh-CN"/>
        </w:rPr>
      </w:pPr>
      <w:r>
        <w:rPr>
          <w:rFonts w:hint="eastAsia"/>
          <w:spacing w:val="-4"/>
          <w:sz w:val="24"/>
          <w:lang w:bidi="zh-CN"/>
        </w:rPr>
        <w:t xml:space="preserve">②不锈钢板材为食品级304（06Cr19Ni10）或以上等级材料。</w:t>
      </w:r>
      <w:r/>
    </w:p>
    <w:p>
      <w:pPr>
        <w:ind w:firstLine="464"/>
        <w:jc w:val="left"/>
        <w:spacing w:line="500" w:lineRule="exact"/>
        <w:rPr>
          <w:spacing w:val="-4"/>
          <w:sz w:val="24"/>
          <w:lang w:bidi="zh-CN"/>
        </w:rPr>
      </w:pPr>
      <w:r>
        <w:rPr>
          <w:rFonts w:hint="eastAsia"/>
          <w:spacing w:val="-4"/>
          <w:sz w:val="24"/>
          <w:lang w:bidi="zh-CN"/>
        </w:rPr>
        <w:t xml:space="preserve">③不锈钢管件类型、代号、参数、结构型式与尺寸、标志等符合GB/T19228-2011或GB/T33926-2017的规定。</w:t>
      </w:r>
      <w:r/>
    </w:p>
    <w:p>
      <w:pPr>
        <w:jc w:val="center"/>
        <w:spacing w:line="360" w:lineRule="auto"/>
        <w:widowControl/>
        <w:rPr>
          <w:rFonts w:ascii="黑体" w:hAnsi="黑体" w:eastAsia="黑体" w:cs="黑体"/>
          <w:color w:val="000000"/>
          <w:sz w:val="32"/>
          <w:szCs w:val="32"/>
        </w:rPr>
        <w:outlineLvl w:val="0"/>
      </w:pPr>
      <w:r>
        <w:rPr>
          <w:rFonts w:hint="eastAsia" w:ascii="宋体" w:hAnsi="宋体"/>
          <w:b/>
          <w:bCs/>
          <w:color w:val="000000"/>
          <w:sz w:val="32"/>
          <w:szCs w:val="32"/>
        </w:rPr>
        <w:br w:type="page" w:clear="all"/>
      </w:r>
      <w:bookmarkStart w:id="62" w:name="_Toc9528"/>
      <w:r>
        <w:rPr>
          <w:rFonts w:hint="eastAsia" w:ascii="黑体" w:hAnsi="黑体" w:eastAsia="黑体" w:cs="黑体"/>
          <w:color w:val="000000"/>
          <w:sz w:val="32"/>
          <w:szCs w:val="32"/>
        </w:rPr>
        <w:t xml:space="preserve">第六章 </w:t>
      </w:r>
      <w:r>
        <w:rPr>
          <w:rFonts w:hint="eastAsia" w:ascii="黑体" w:hAnsi="黑体" w:eastAsia="黑体" w:cs="黑体"/>
          <w:color w:val="000000"/>
          <w:sz w:val="32"/>
          <w:szCs w:val="32"/>
          <w:lang w:val="en-US"/>
        </w:rPr>
        <w:t xml:space="preserve"> </w:t>
      </w:r>
      <w:r>
        <w:rPr>
          <w:rFonts w:hint="eastAsia" w:ascii="黑体" w:hAnsi="黑体" w:eastAsia="黑体" w:cs="黑体"/>
          <w:color w:val="000000"/>
          <w:sz w:val="32"/>
          <w:szCs w:val="32"/>
        </w:rPr>
        <w:t xml:space="preserve">合同主要条款及格式</w:t>
      </w:r>
      <w:bookmarkEnd w:id="62"/>
      <w:r/>
      <w:r/>
    </w:p>
    <w:p>
      <w:pPr>
        <w:spacing w:line="360" w:lineRule="auto"/>
        <w:widowControl/>
        <w:rPr>
          <w:rFonts w:ascii="宋体" w:hAnsi="宋体"/>
          <w:b/>
          <w:bCs/>
          <w:color w:val="000000"/>
          <w:sz w:val="36"/>
          <w:szCs w:val="36"/>
        </w:rPr>
      </w:pPr>
      <w:r>
        <w:rPr>
          <w:rFonts w:ascii="宋体" w:hAnsi="宋体"/>
          <w:b/>
          <w:bCs/>
          <w:color w:val="000000"/>
          <w:sz w:val="36"/>
          <w:szCs w:val="36"/>
        </w:rPr>
      </w:r>
      <w:r/>
    </w:p>
    <w:p>
      <w:pPr>
        <w:spacing w:line="360" w:lineRule="auto"/>
        <w:widowControl/>
        <w:rPr>
          <w:rFonts w:ascii="宋体" w:hAnsi="宋体"/>
          <w:color w:val="000000"/>
          <w:szCs w:val="21"/>
        </w:rPr>
      </w:pPr>
      <w:r>
        <w:rPr>
          <w:rFonts w:ascii="宋体" w:hAnsi="宋体"/>
          <w:color w:val="000000"/>
          <w:szCs w:val="21"/>
        </w:rPr>
      </w:r>
      <w:r/>
    </w:p>
    <w:p>
      <w:pPr>
        <w:jc w:val="center"/>
        <w:spacing w:line="360" w:lineRule="auto"/>
        <w:widowControl/>
        <w:rPr>
          <w:rFonts w:ascii="宋体" w:hAnsi="宋体" w:eastAsia="宋体"/>
          <w:b/>
          <w:bCs/>
          <w:color w:val="000000"/>
          <w:sz w:val="32"/>
          <w:szCs w:val="32"/>
        </w:rPr>
      </w:pPr>
      <w:r>
        <w:rPr>
          <w:rFonts w:hint="eastAsia" w:ascii="宋体" w:hAnsi="宋体" w:eastAsia="宋体"/>
          <w:b/>
          <w:bCs/>
          <w:color w:val="000000"/>
          <w:sz w:val="32"/>
          <w:szCs w:val="32"/>
          <w:lang w:val="en-US"/>
        </w:rPr>
        <w:t xml:space="preserve">江苏省</w:t>
      </w:r>
      <w:r>
        <w:rPr>
          <w:rFonts w:hint="eastAsia" w:ascii="宋体" w:hAnsi="宋体" w:eastAsia="宋体"/>
          <w:b/>
          <w:bCs/>
          <w:color w:val="000000"/>
          <w:sz w:val="32"/>
          <w:szCs w:val="32"/>
        </w:rPr>
        <w:t xml:space="preserve">政府采购合同</w:t>
      </w:r>
      <w:r/>
    </w:p>
    <w:p>
      <w:pPr>
        <w:spacing w:line="360" w:lineRule="auto"/>
        <w:widowControl/>
        <w:rPr>
          <w:rFonts w:ascii="宋体" w:hAnsi="宋体"/>
          <w:b/>
          <w:bCs/>
          <w:color w:val="000000"/>
          <w:sz w:val="36"/>
          <w:szCs w:val="36"/>
        </w:rPr>
      </w:pPr>
      <w:r>
        <w:rPr>
          <w:rFonts w:ascii="宋体" w:hAnsi="宋体"/>
          <w:b/>
          <w:bCs/>
          <w:color w:val="000000"/>
          <w:sz w:val="36"/>
          <w:szCs w:val="36"/>
        </w:rPr>
      </w:r>
      <w:r/>
    </w:p>
    <w:p>
      <w:pPr>
        <w:ind w:firstLine="315"/>
        <w:spacing w:line="360" w:lineRule="auto"/>
        <w:widowControl/>
        <w:rPr>
          <w:rFonts w:ascii="宋体" w:hAnsi="宋体"/>
          <w:color w:val="000000"/>
          <w:szCs w:val="21"/>
        </w:rPr>
      </w:pPr>
      <w:r>
        <w:rPr>
          <w:rFonts w:ascii="宋体" w:hAnsi="宋体"/>
          <w:color w:val="000000"/>
          <w:szCs w:val="21"/>
        </w:rPr>
      </w:r>
      <w:r/>
    </w:p>
    <w:p>
      <w:pPr>
        <w:ind w:firstLine="315"/>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采</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购</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人 ：</w:t>
      </w:r>
      <w:r>
        <w:rPr>
          <w:rFonts w:hint="eastAsia" w:ascii="宋体" w:hAnsi="宋体" w:eastAsia="宋体"/>
          <w:b/>
          <w:bCs/>
          <w:color w:val="000000"/>
          <w:sz w:val="30"/>
          <w:szCs w:val="30"/>
          <w:u w:val="single"/>
        </w:rPr>
        <w:t xml:space="preserve">          </w:t>
      </w:r>
      <w:r/>
    </w:p>
    <w:p>
      <w:pPr>
        <w:ind w:firstLine="1916"/>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供</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应</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商 ：</w:t>
      </w:r>
      <w:r>
        <w:rPr>
          <w:rFonts w:hint="eastAsia" w:ascii="宋体" w:hAnsi="宋体" w:eastAsia="宋体"/>
          <w:b/>
          <w:bCs/>
          <w:color w:val="000000"/>
          <w:sz w:val="30"/>
          <w:szCs w:val="30"/>
          <w:u w:val="single"/>
        </w:rPr>
        <w:t xml:space="preserve">          </w:t>
      </w:r>
      <w:r/>
    </w:p>
    <w:p>
      <w:pPr>
        <w:ind w:firstLine="1916"/>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p>
    <w:p>
      <w:pPr>
        <w:spacing w:line="360" w:lineRule="auto"/>
        <w:widowControl/>
        <w:rPr>
          <w:rFonts w:ascii="宋体" w:hAnsi="宋体"/>
          <w:color w:val="000000"/>
          <w:sz w:val="30"/>
          <w:szCs w:val="30"/>
        </w:rPr>
      </w:pPr>
      <w:r>
        <w:rPr>
          <w:rFonts w:hint="eastAsia" w:ascii="宋体" w:hAnsi="宋体"/>
          <w:color w:val="000000"/>
          <w:sz w:val="30"/>
          <w:szCs w:val="30"/>
        </w:rPr>
        <w:t xml:space="preserve">      </w:t>
      </w:r>
      <w:r/>
    </w:p>
    <w:p>
      <w:pPr>
        <w:jc w:val="center"/>
        <w:rPr>
          <w:rFonts w:ascii="宋体" w:hAnsi="宋体" w:eastAsia="宋体"/>
          <w:b/>
          <w:bCs/>
          <w:color w:val="000000"/>
          <w:sz w:val="32"/>
          <w:szCs w:val="32"/>
        </w:rPr>
      </w:pPr>
      <w:r>
        <w:rPr>
          <w:rFonts w:ascii="宋体" w:hAnsi="宋体" w:eastAsia="宋体"/>
          <w:b/>
          <w:bCs/>
          <w:color w:val="000000"/>
          <w:sz w:val="32"/>
          <w:szCs w:val="32"/>
        </w:rPr>
      </w:r>
      <w:r/>
    </w:p>
    <w:p>
      <w:pPr>
        <w:pStyle w:val="1283"/>
        <w:ind w:firstLine="678"/>
        <w:rPr>
          <w:rFonts w:ascii="宋体" w:hAnsi="宋体" w:eastAsia="宋体"/>
          <w:b/>
          <w:bCs/>
          <w:color w:val="000000"/>
          <w:sz w:val="32"/>
          <w:szCs w:val="32"/>
        </w:rPr>
      </w:pPr>
      <w:r>
        <w:rPr>
          <w:rFonts w:ascii="宋体" w:hAnsi="宋体" w:eastAsia="宋体"/>
          <w:b/>
          <w:bCs/>
          <w:color w:val="000000"/>
          <w:sz w:val="32"/>
          <w:szCs w:val="32"/>
        </w:rPr>
      </w:r>
      <w:r/>
    </w:p>
    <w:p>
      <w:pPr>
        <w:pStyle w:val="1283"/>
        <w:ind w:firstLine="678"/>
        <w:rPr>
          <w:rFonts w:ascii="宋体" w:hAnsi="宋体" w:eastAsia="宋体"/>
          <w:b/>
          <w:bCs/>
          <w:color w:val="000000"/>
          <w:sz w:val="32"/>
          <w:szCs w:val="32"/>
        </w:rPr>
      </w:pPr>
      <w:r>
        <w:rPr>
          <w:rFonts w:ascii="宋体" w:hAnsi="宋体" w:eastAsia="宋体"/>
          <w:b/>
          <w:bCs/>
          <w:color w:val="000000"/>
          <w:sz w:val="32"/>
          <w:szCs w:val="32"/>
        </w:rPr>
      </w:r>
      <w:r/>
    </w:p>
    <w:p>
      <w:pPr>
        <w:jc w:val="center"/>
        <w:rPr>
          <w:rFonts w:ascii="宋体" w:hAnsi="宋体" w:eastAsia="宋体"/>
          <w:b/>
          <w:bCs/>
          <w:color w:val="000000"/>
          <w:sz w:val="32"/>
          <w:szCs w:val="32"/>
        </w:rPr>
      </w:pPr>
      <w:r>
        <w:rPr>
          <w:rFonts w:hint="eastAsia" w:ascii="宋体" w:hAnsi="宋体" w:eastAsia="宋体"/>
          <w:b/>
          <w:bCs/>
          <w:color w:val="000000"/>
          <w:sz w:val="32"/>
          <w:szCs w:val="32"/>
        </w:rPr>
        <w:t xml:space="preserve">南京市市场监督管理局</w:t>
      </w:r>
      <w:r/>
    </w:p>
    <w:p>
      <w:pPr>
        <w:jc w:val="center"/>
        <w:rPr>
          <w:rFonts w:ascii="宋体" w:hAnsi="宋体" w:eastAsia="宋体"/>
          <w:b/>
          <w:bCs/>
          <w:color w:val="000000"/>
          <w:sz w:val="32"/>
          <w:szCs w:val="32"/>
        </w:rPr>
      </w:pPr>
      <w:r>
        <w:rPr>
          <w:rFonts w:ascii="宋体" w:hAnsi="宋体" w:eastAsia="宋体"/>
          <w:b/>
          <w:bCs/>
          <w:color w:val="000000"/>
          <w:sz w:val="32"/>
          <w:szCs w:val="32"/>
        </w:rPr>
      </w:r>
      <w:r/>
    </w:p>
    <w:p>
      <w:pPr>
        <w:jc w:val="center"/>
        <w:rPr>
          <w:rFonts w:ascii="宋体" w:hAnsi="宋体" w:eastAsia="宋体"/>
          <w:b/>
          <w:bCs/>
          <w:color w:val="000000"/>
          <w:sz w:val="32"/>
          <w:szCs w:val="32"/>
        </w:rPr>
      </w:pPr>
      <w:r>
        <w:rPr>
          <w:rFonts w:hint="eastAsia" w:ascii="宋体" w:hAnsi="宋体" w:eastAsia="宋体"/>
          <w:b/>
          <w:bCs/>
          <w:color w:val="000000"/>
          <w:sz w:val="32"/>
          <w:szCs w:val="32"/>
        </w:rPr>
        <w:t xml:space="preserve">南京市财政局  监制</w:t>
      </w:r>
      <w:r/>
    </w:p>
    <w:p>
      <w:pPr>
        <w:spacing w:line="360" w:lineRule="auto"/>
        <w:widowControl/>
        <w:rPr>
          <w:rFonts w:ascii="宋体" w:hAnsi="宋体" w:eastAsia="宋体"/>
          <w:b/>
          <w:bCs/>
          <w:color w:val="000000"/>
          <w:sz w:val="32"/>
          <w:szCs w:val="32"/>
        </w:rPr>
      </w:pPr>
      <w:r>
        <w:rPr>
          <w:rFonts w:ascii="宋体" w:hAnsi="宋体" w:eastAsia="宋体"/>
          <w:b/>
          <w:bCs/>
          <w:color w:val="000000"/>
          <w:sz w:val="32"/>
          <w:szCs w:val="32"/>
        </w:rPr>
      </w:r>
      <w:r/>
    </w:p>
    <w:p>
      <w:pPr>
        <w:jc w:val="center"/>
        <w:spacing w:line="360" w:lineRule="auto"/>
        <w:widowControl/>
        <w:rPr>
          <w:rFonts w:ascii="宋体" w:hAnsi="宋体" w:eastAsia="宋体"/>
          <w:b/>
          <w:bCs/>
          <w:color w:val="000000"/>
          <w:sz w:val="32"/>
          <w:szCs w:val="32"/>
        </w:rPr>
      </w:pPr>
      <w:r>
        <w:rPr>
          <w:rFonts w:ascii="宋体" w:hAnsi="宋体" w:eastAsia="宋体"/>
          <w:b/>
          <w:bCs/>
          <w:color w:val="000000"/>
          <w:sz w:val="32"/>
          <w:szCs w:val="32"/>
        </w:rPr>
      </w:r>
      <w:r/>
    </w:p>
    <w:p>
      <w:pPr>
        <w:jc w:val="center"/>
        <w:spacing w:line="360" w:lineRule="auto"/>
        <w:widowControl/>
        <w:rPr>
          <w:rFonts w:ascii="宋体" w:hAnsi="宋体"/>
          <w:color w:val="000000"/>
          <w:sz w:val="30"/>
          <w:szCs w:val="30"/>
        </w:rPr>
      </w:pPr>
      <w:r>
        <w:rPr>
          <w:rFonts w:hint="eastAsia" w:ascii="宋体" w:hAnsi="宋体" w:eastAsia="宋体"/>
          <w:b/>
          <w:bCs/>
          <w:color w:val="000000"/>
          <w:sz w:val="32"/>
          <w:szCs w:val="32"/>
        </w:rPr>
        <w:t xml:space="preserve">（本项目最终签订的合同由合同双方协商后确定）</w:t>
      </w:r>
      <w:r/>
    </w:p>
    <w:p>
      <w:pPr>
        <w:spacing w:line="360" w:lineRule="auto"/>
        <w:rPr>
          <w:rFonts w:ascii="宋体" w:hAnsi="宋体" w:eastAsia="宋体"/>
          <w:bCs/>
          <w:color w:val="000000"/>
          <w:sz w:val="21"/>
          <w:szCs w:val="21"/>
        </w:rPr>
      </w:pPr>
      <w:r>
        <w:rPr>
          <w:rFonts w:hint="eastAsia" w:ascii="宋体" w:hAnsi="宋体"/>
          <w:b/>
          <w:bCs/>
          <w:color w:val="000000"/>
          <w:sz w:val="30"/>
          <w:szCs w:val="30"/>
        </w:rPr>
        <w:br w:type="page" w:clear="all"/>
      </w:r>
      <w:r>
        <w:rPr>
          <w:rFonts w:hint="eastAsia" w:ascii="宋体" w:hAnsi="宋体" w:eastAsia="宋体"/>
          <w:color w:val="000000"/>
          <w:sz w:val="21"/>
          <w:szCs w:val="21"/>
        </w:rPr>
        <w:t xml:space="preserve">合同编号：</w:t>
      </w:r>
      <w:r>
        <w:rPr>
          <w:rFonts w:hint="eastAsia" w:ascii="宋体" w:hAnsi="宋体" w:eastAsia="宋体"/>
          <w:bCs/>
          <w:color w:val="000000"/>
          <w:sz w:val="21"/>
          <w:szCs w:val="21"/>
        </w:rPr>
        <w:t xml:space="preserve"> </w:t>
      </w:r>
      <w:r/>
    </w:p>
    <w:tbl>
      <w:tblPr>
        <w:tblStyle w:val="90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p>
        </w:tc>
      </w:tr>
    </w:tbl>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根据《中华人民共和国政府采购法》《中华人民共和国民法典》等法律法规的规定，甲乙双方按照采购代理机构的招标结果签订本合同。</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第一条 合同标的</w:t>
      </w:r>
      <w:r>
        <w:rPr>
          <w:rFonts w:hint="eastAsia" w:ascii="宋体" w:hAnsi="宋体" w:eastAsia="宋体"/>
          <w:color w:val="000000"/>
          <w:sz w:val="21"/>
          <w:szCs w:val="21"/>
        </w:rPr>
        <w:t xml:space="preserve">  </w:t>
      </w:r>
      <w:r/>
    </w:p>
    <w:p>
      <w:pPr>
        <w:ind w:firstLine="420"/>
        <w:spacing w:line="360" w:lineRule="auto"/>
        <w:rPr>
          <w:rFonts w:ascii="宋体" w:hAnsi="宋体" w:eastAsia="宋体"/>
          <w:color w:val="000000"/>
          <w:sz w:val="21"/>
          <w:szCs w:val="21"/>
          <w:u w:val="single"/>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乙方根据甲方需求提供下列货物：</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货物名称、规格及数量详见乙方投标文件。</w:t>
      </w:r>
      <w:r/>
    </w:p>
    <w:p>
      <w:pPr>
        <w:ind w:firstLine="420"/>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第二条 合同总价款</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本合同项下货物总价款为___________（大写）人民币，分项价款在乙方“投标文件价格部分”中有明确规定。</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bCs/>
          <w:color w:val="000000"/>
          <w:sz w:val="21"/>
          <w:szCs w:val="21"/>
        </w:rPr>
        <w:t xml:space="preserve">，以</w:t>
      </w:r>
      <w:r>
        <w:rPr>
          <w:rFonts w:hint="eastAsia" w:ascii="宋体" w:hAnsi="宋体" w:eastAsia="宋体"/>
          <w:color w:val="000000"/>
          <w:sz w:val="21"/>
          <w:szCs w:val="21"/>
        </w:rPr>
        <w:t xml:space="preserve">及乙方认为需要的其他费用等。</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本合同总价款还包含乙方应当提供的伴随服务/售后服务费用。</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本合同执行期间合同总价款不变。</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第三条 组成本合同的有关文件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下列关于</w:t>
      </w:r>
      <w:r>
        <w:rPr>
          <w:rFonts w:hint="eastAsia" w:ascii="宋体" w:hAnsi="宋体" w:eastAsia="宋体"/>
          <w:bCs/>
          <w:color w:val="000000"/>
          <w:sz w:val="21"/>
          <w:szCs w:val="21"/>
          <w:u w:val="single"/>
        </w:rPr>
        <w:t xml:space="preserve"> </w:t>
      </w:r>
      <w:r>
        <w:rPr>
          <w:rFonts w:hint="eastAsia" w:ascii="宋体" w:hAnsi="宋体" w:eastAsia="宋体"/>
          <w:color w:val="000000"/>
          <w:sz w:val="21"/>
          <w:szCs w:val="21"/>
        </w:rPr>
        <w:t xml:space="preserve">号标的招投标文件或与本次采购活动方式相适应的文件及有关附件是本合同不可分割的组成部分，与本合同具有同等法律效力，这些文件包括但不限于：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1、招标文件；</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乙方提供的投标文件；</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3、供货一览表；</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4、交货一览表；</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投标承诺/服务承诺；</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中标通知书；</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甲乙双方商定的其他文件等。</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第四条 权利保证</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第五条 质量保证</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第六条 包装要求</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2、每一包装单元内应附详细的装箱单和质量合格凭证。</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第七条 交货和验收</w:t>
      </w:r>
      <w:r/>
    </w:p>
    <w:p>
      <w:pPr>
        <w:ind w:firstLine="420"/>
        <w:jc w:val="left"/>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1、乙方应当在</w:t>
      </w:r>
      <w:r>
        <w:rPr>
          <w:rFonts w:hint="eastAsia" w:ascii="宋体" w:hAnsi="宋体" w:eastAsia="宋体"/>
          <w:bCs/>
          <w:color w:val="000000"/>
          <w:sz w:val="21"/>
          <w:szCs w:val="21"/>
        </w:rPr>
        <w:t xml:space="preserve">合同签订后</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u w:val="single"/>
          <w:lang w:val="en-US"/>
        </w:rPr>
        <w:t xml:space="preserve"> </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rPr>
        <w:t xml:space="preserve">天内</w:t>
      </w:r>
      <w:r>
        <w:rPr>
          <w:rFonts w:hint="eastAsia" w:ascii="宋体" w:hAnsi="宋体" w:eastAsia="宋体"/>
          <w:color w:val="000000"/>
          <w:sz w:val="21"/>
          <w:szCs w:val="21"/>
        </w:rPr>
        <w:t xml:space="preserve">将货物安装调试完毕交付甲方正常使用，地点由甲方指定。招标文件另有约定的，从其约定。</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3、货物的到货验收包括：型号、规格、数量、外观质量、及货物包装是否完好。</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5、货物和调试验收标准：按行业通行标准、厂方出厂标准和乙方投标文件的承诺（不低于国家相关标准）。</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第八条 伴随服务／售后服务</w:t>
      </w:r>
      <w:r/>
    </w:p>
    <w:p>
      <w:pPr>
        <w:ind w:firstLine="420"/>
        <w:jc w:val="left"/>
        <w:spacing w:line="360" w:lineRule="auto"/>
        <w:tabs>
          <w:tab w:val="left" w:pos="1620" w:leader="none"/>
        </w:tabs>
        <w:rPr>
          <w:rFonts w:ascii="宋体" w:hAnsi="宋体" w:eastAsia="宋体"/>
          <w:color w:val="000000"/>
          <w:sz w:val="21"/>
          <w:szCs w:val="21"/>
        </w:rPr>
      </w:pPr>
      <w:r>
        <w:rPr>
          <w:rFonts w:hint="eastAsia" w:ascii="宋体" w:hAnsi="宋体" w:eastAsia="宋体"/>
          <w:color w:val="000000"/>
          <w:sz w:val="21"/>
          <w:szCs w:val="21"/>
        </w:rPr>
        <w:t xml:space="preserve">1、乙方应按照国家有关法律法规规章和“三包”规定以及招投标文件所规定的“服务承诺”提供服务。</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2、除前款规定外，乙方还应提供下列服务：</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（1）货物的现场安装、调试和/或启动监督；</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（2）就货物的安装、启动、运行及维护等对甲方人员进行免费培训。</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3、若招标文件中不包含有关伴随服务或售后服务的承诺，双方作如下约定：</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3.2所购货物按乙方投标承诺提供免费维护和质量保证，保修费用计入总价。</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3.4货物故障报修的响应时间按乙方投标承诺执行。</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3.5若货物故障在检修8工作小时后仍无法排除，乙方应在48小时内免费提供不低于故障货物规格型号档次的备用货物供甲方使用，直至故障货物修复。</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3.6所有货物保修服务方式均为乙方上门保修，即由乙方派员到货物使用现场维修，由此产生的一切费用均由乙方承担。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3.7保修期后的货物维护由双方协商再定。</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第九条 履约保证金</w:t>
      </w:r>
      <w:r/>
    </w:p>
    <w:p>
      <w:pPr>
        <w:ind w:firstLine="420"/>
        <w:jc w:val="left"/>
        <w:spacing w:line="360" w:lineRule="auto"/>
        <w:rPr>
          <w:rFonts w:ascii="宋体" w:hAnsi="宋体" w:eastAsia="宋体"/>
          <w:i/>
          <w:iCs/>
          <w:color w:val="000000"/>
          <w:sz w:val="21"/>
          <w:szCs w:val="21"/>
        </w:rPr>
      </w:pPr>
      <w:r>
        <w:rPr>
          <w:rFonts w:hint="eastAsia" w:ascii="宋体" w:hAnsi="宋体" w:eastAsia="宋体"/>
          <w:color w:val="000000"/>
          <w:sz w:val="21"/>
          <w:szCs w:val="21"/>
          <w:lang w:val="en-US"/>
        </w:rPr>
        <w:t xml:space="preserve">无</w:t>
      </w:r>
      <w:r>
        <w:rPr>
          <w:rFonts w:hint="eastAsia" w:ascii="宋体" w:hAnsi="宋体" w:eastAsia="宋体"/>
          <w:color w:val="000000"/>
          <w:sz w:val="21"/>
          <w:szCs w:val="21"/>
        </w:rPr>
        <w:t xml:space="preserve">。</w:t>
      </w:r>
      <w:r/>
    </w:p>
    <w:p>
      <w:pPr>
        <w:ind w:firstLine="422"/>
        <w:jc w:val="left"/>
        <w:spacing w:line="360" w:lineRule="auto"/>
        <w:rPr>
          <w:rFonts w:ascii="宋体" w:hAnsi="宋体" w:eastAsia="宋体"/>
          <w:b/>
          <w:bCs/>
          <w:i/>
          <w:iCs/>
          <w:color w:val="000000"/>
          <w:sz w:val="21"/>
          <w:szCs w:val="21"/>
        </w:rPr>
      </w:pPr>
      <w:r>
        <w:rPr>
          <w:rFonts w:hint="eastAsia" w:ascii="宋体" w:hAnsi="宋体" w:eastAsia="宋体"/>
          <w:b/>
          <w:bCs/>
          <w:color w:val="000000"/>
          <w:sz w:val="21"/>
          <w:szCs w:val="21"/>
        </w:rPr>
        <w:t xml:space="preserve">第十条 合同款支付</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1、本合同项下所有款项均以人民币支付。</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2、本合同项下的采购资金由甲方自行支付，乙方向甲方开具发票。</w:t>
      </w:r>
      <w:r/>
    </w:p>
    <w:p>
      <w:pPr>
        <w:ind w:firstLine="420"/>
        <w:jc w:val="left"/>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3、付款条件：详见招标文件。</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第十一条 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甲方无正当理由拒收货物、拒付货物款的，由甲方向乙方偿付合同总价的5%违约金。</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甲方未按合同规定的期限向乙方支付货款的，每逾期1天甲方向乙方偿付欠款总额的5‰滞纳金，但累计滞纳金总额不超过欠款总额的5%。</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如乙方不能交付货物、完成安装调试的，乙方应向甲方支付合同总价5%的违约金。</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、乙方未按本合同的规定和“服务承诺”提供伴随服务/售后服务的，应按合同总价款的5%向甲方承担违约责任。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、乙方在承担上述4-</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乙方投标属虚假承诺，或经权威部门监测提供的货物不能满足招标文件要求，或是由于乙方的过错造成合同无法继续履行的，乙方应向甲方支付不少于合同总价30%赔偿金。</w:t>
      </w:r>
      <w:r/>
    </w:p>
    <w:p>
      <w:pPr>
        <w:ind w:firstLine="422"/>
        <w:jc w:val="left"/>
        <w:spacing w:line="360" w:lineRule="auto"/>
        <w:widowControl/>
        <w:rPr>
          <w:rFonts w:ascii="宋体" w:hAnsi="宋体" w:eastAsia="宋体"/>
          <w:b/>
          <w:bCs/>
          <w:color w:val="000000"/>
          <w:sz w:val="21"/>
          <w:szCs w:val="21"/>
          <w:lang w:val="en-US"/>
        </w:rPr>
      </w:pPr>
      <w:r>
        <w:rPr>
          <w:rFonts w:hint="eastAsia" w:ascii="宋体" w:hAnsi="宋体" w:eastAsia="宋体"/>
          <w:b/>
          <w:bCs/>
          <w:color w:val="000000"/>
          <w:sz w:val="21"/>
          <w:szCs w:val="21"/>
        </w:rPr>
        <w:t xml:space="preserve">第十二条</w:t>
      </w:r>
      <w:r>
        <w:rPr>
          <w:rFonts w:hint="eastAsia" w:ascii="宋体" w:hAnsi="宋体" w:eastAsia="宋体"/>
          <w:b/>
          <w:bCs/>
          <w:color w:val="000000"/>
          <w:sz w:val="21"/>
          <w:szCs w:val="21"/>
          <w:lang w:val="en-US"/>
        </w:rPr>
        <w:t xml:space="preserve"> 项目履约验收</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1、甲方有权对乙方项目实施执行过程及完成结果进行履约验收；</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2、甲方可以邀请参加本项目的其他供应商或者第三方机构参与验收，乙方应积极配合并响应；</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3、参与验收的供应商或者第三方机构的意见作为验收书的参考资料一并存档。</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第十三条 合同的变更和终止</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第十四条 合同的转让</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乙方不得擅自部分或全部转让其应履行的合同义务。</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第十五条 争议的解决</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（1）向甲方所在地有管辖权的人民法院提起诉讼；</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（2）向南京仲裁委员会按其仲裁规则申请仲裁。</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如没有约定，默认采取第2种方式解决争议。</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3、在仲裁期间，本合同应继续履行。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第十六条 诚实信用 </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乙方应诚实信用，严格按照招标文件要求和投标承诺履行合同，不向甲方进行商业贿赂或者提供不正当利益。</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第十七条 合同生效及其他</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1、本合同自签订之日起生效。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2、本合同一式伍份，甲乙双方各执贰份，壹份交采购代理机构存档备案。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3、本合同应按照中华人民共和国的现行法律进行解释。</w:t>
      </w:r>
      <w:r/>
    </w:p>
    <w:p>
      <w:pPr>
        <w:jc w:val="center"/>
        <w:spacing w:line="360" w:lineRule="auto"/>
        <w:rPr>
          <w:rFonts w:ascii="宋体" w:hAnsi="宋体" w:eastAsia="宋体"/>
          <w:color w:val="000000"/>
          <w:sz w:val="21"/>
          <w:szCs w:val="21"/>
        </w:rPr>
        <w:outlineLvl w:val="0"/>
      </w:pPr>
      <w:r>
        <w:rPr>
          <w:rFonts w:ascii="宋体" w:hAnsi="宋体" w:eastAsia="宋体"/>
          <w:color w:val="000000"/>
          <w:sz w:val="21"/>
          <w:szCs w:val="21"/>
        </w:rPr>
      </w:r>
      <w:r/>
    </w:p>
    <w:tbl>
      <w:tblPr>
        <w:tblStyle w:val="90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center"/>
        <w:spacing w:line="420" w:lineRule="auto"/>
        <w:rPr>
          <w:rFonts w:ascii="宋体" w:hAnsi="宋体" w:eastAsia="宋体"/>
          <w:b/>
          <w:color w:val="000000"/>
          <w:sz w:val="32"/>
          <w:szCs w:val="32"/>
        </w:rPr>
        <w:outlineLvl w:val="0"/>
      </w:pPr>
      <w:r>
        <w:rPr>
          <w:rFonts w:hint="eastAsia" w:ascii="宋体" w:hAnsi="宋体"/>
          <w:color w:val="000000"/>
          <w:sz w:val="28"/>
          <w:szCs w:val="28"/>
        </w:rPr>
        <w:br w:type="page" w:clear="all"/>
      </w:r>
      <w:bookmarkStart w:id="63" w:name="_Toc14619"/>
      <w:r>
        <w:rPr>
          <w:rFonts w:hint="eastAsia" w:ascii="黑体" w:hAnsi="黑体" w:eastAsia="黑体" w:cs="黑体"/>
          <w:color w:val="000000"/>
          <w:sz w:val="32"/>
          <w:szCs w:val="32"/>
        </w:rPr>
        <w:t xml:space="preserve">第七章 附  件</w:t>
      </w:r>
      <w:bookmarkEnd w:id="63"/>
      <w:r/>
      <w:r/>
    </w:p>
    <w:p>
      <w:pPr>
        <w:spacing w:line="420" w:lineRule="auto"/>
        <w:rPr>
          <w:rFonts w:ascii="宋体" w:hAnsi="宋体" w:eastAsia="宋体"/>
          <w:b/>
          <w:color w:val="000000"/>
          <w:sz w:val="21"/>
          <w:szCs w:val="21"/>
        </w:rPr>
      </w:pPr>
      <w:r>
        <w:rPr>
          <w:rFonts w:hint="eastAsia" w:ascii="宋体" w:hAnsi="宋体" w:eastAsia="宋体"/>
          <w:b/>
          <w:color w:val="000000"/>
          <w:sz w:val="21"/>
          <w:szCs w:val="21"/>
        </w:rPr>
        <w:t xml:space="preserve">附件一、中小企业声明函格式</w:t>
      </w:r>
      <w:r/>
    </w:p>
    <w:p>
      <w:pPr>
        <w:jc w:val="center"/>
        <w:spacing w:line="420" w:lineRule="auto"/>
        <w:rPr>
          <w:rFonts w:ascii="宋体" w:hAnsi="宋体" w:eastAsia="宋体"/>
          <w:color w:val="000000"/>
          <w:sz w:val="21"/>
          <w:szCs w:val="21"/>
        </w:rPr>
      </w:pPr>
      <w:r>
        <w:rPr>
          <w:rFonts w:ascii="宋体" w:hAnsi="宋体" w:eastAsia="宋体"/>
          <w:color w:val="000000"/>
          <w:sz w:val="21"/>
          <w:szCs w:val="21"/>
        </w:rPr>
      </w:r>
      <w:r/>
    </w:p>
    <w:p>
      <w:pPr>
        <w:jc w:val="center"/>
        <w:spacing w:line="420" w:lineRule="auto"/>
        <w:rPr>
          <w:rFonts w:ascii="宋体" w:hAnsi="宋体" w:eastAsia="宋体"/>
          <w:b/>
          <w:color w:val="000000"/>
          <w:sz w:val="21"/>
          <w:szCs w:val="21"/>
        </w:rPr>
      </w:pPr>
      <w:r>
        <w:rPr>
          <w:rFonts w:hint="eastAsia" w:ascii="宋体" w:hAnsi="宋体" w:eastAsia="宋体"/>
          <w:b/>
          <w:color w:val="000000"/>
          <w:sz w:val="21"/>
          <w:szCs w:val="21"/>
        </w:rPr>
        <w:t xml:space="preserve">中小企业声明函（货物）</w:t>
      </w:r>
      <w:r/>
    </w:p>
    <w:p>
      <w:pPr>
        <w:ind w:firstLine="420"/>
        <w:jc w:val="left"/>
        <w:spacing w:line="420" w:lineRule="auto"/>
        <w:rPr>
          <w:rFonts w:ascii="宋体" w:hAnsi="宋体" w:eastAsia="宋体"/>
          <w:color w:val="000000"/>
          <w:sz w:val="21"/>
          <w:szCs w:val="21"/>
        </w:rPr>
      </w:pPr>
      <w:r>
        <w:rPr>
          <w:rFonts w:ascii="宋体" w:hAnsi="宋体" w:eastAsia="宋体"/>
          <w:color w:val="000000"/>
          <w:sz w:val="21"/>
          <w:szCs w:val="21"/>
        </w:rPr>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（单位名称）</w:t>
      </w:r>
      <w:r>
        <w:rPr>
          <w:rFonts w:hint="eastAsia" w:ascii="宋体" w:hAnsi="宋体" w:eastAsia="宋体"/>
          <w:color w:val="000000"/>
          <w:sz w:val="21"/>
          <w:szCs w:val="21"/>
        </w:rPr>
        <w:t xml:space="preserve">的</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（项目名称）</w:t>
      </w:r>
      <w:r>
        <w:rPr>
          <w:rFonts w:hint="eastAsia" w:ascii="宋体"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w:t>
      </w: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以上企业，不属于大企业的分支机构，不存在控股股东为大企业的情形，也不存在与大企业的负责人为同一人的情形。</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本企业对上述声明内容的真实性负责。如有虚假，将依法承担相应责任。</w:t>
      </w:r>
      <w:r/>
    </w:p>
    <w:p>
      <w:pPr>
        <w:ind w:right="640"/>
        <w:jc w:val="center"/>
        <w:spacing w:line="420" w:lineRule="auto"/>
        <w:rPr>
          <w:rFonts w:ascii="宋体" w:hAnsi="宋体" w:eastAsia="宋体"/>
          <w:color w:val="000000"/>
          <w:sz w:val="21"/>
          <w:szCs w:val="21"/>
        </w:rPr>
      </w:pPr>
      <w:r>
        <w:rPr>
          <w:rFonts w:hint="eastAsia" w:ascii="宋体" w:hAnsi="宋体" w:eastAsia="宋体"/>
          <w:color w:val="000000"/>
          <w:sz w:val="21"/>
          <w:szCs w:val="21"/>
        </w:rPr>
        <w:t xml:space="preserve">                    企业名称（盖章）：</w:t>
      </w:r>
      <w:r/>
    </w:p>
    <w:p>
      <w:pPr>
        <w:ind w:right="640"/>
        <w:jc w:val="center"/>
        <w:spacing w:line="420" w:lineRule="auto"/>
        <w:rPr>
          <w:rFonts w:ascii="宋体" w:hAnsi="宋体" w:eastAsia="宋体"/>
          <w:b/>
          <w:bCs/>
          <w:color w:val="000000"/>
          <w:sz w:val="21"/>
          <w:szCs w:val="21"/>
          <w:vertAlign w:val="superscript"/>
        </w:rPr>
      </w:pPr>
      <w:r>
        <w:rPr>
          <w:rFonts w:hint="eastAsia" w:ascii="宋体" w:hAnsi="宋体" w:eastAsia="宋体"/>
          <w:color w:val="000000"/>
          <w:sz w:val="21"/>
          <w:szCs w:val="21"/>
        </w:rPr>
        <w:t xml:space="preserve">        日期：</w:t>
      </w:r>
      <w:r/>
    </w:p>
    <w:p>
      <w:pPr>
        <w:ind w:firstLine="422"/>
        <w:jc w:val="left"/>
        <w:spacing w:line="420" w:lineRule="auto"/>
        <w:rPr>
          <w:rFonts w:ascii="宋体" w:hAnsi="宋体" w:eastAsia="宋体"/>
          <w:color w:val="000000"/>
          <w:sz w:val="21"/>
          <w:szCs w:val="21"/>
          <w:lang w:val="en-US"/>
        </w:rPr>
      </w:pP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备注：</w:t>
      </w:r>
      <w:r/>
    </w:p>
    <w:p>
      <w:pPr>
        <w:ind w:firstLine="422"/>
        <w:jc w:val="left"/>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如供应商所投货物的制造商均为中小企业的，须由 </w:t>
      </w:r>
      <w:r>
        <w:rPr>
          <w:rFonts w:hint="eastAsia" w:ascii="宋体" w:hAnsi="宋体" w:eastAsia="宋体"/>
          <w:b/>
          <w:bCs/>
          <w:i/>
          <w:iCs/>
          <w:color w:val="000000"/>
          <w:sz w:val="24"/>
          <w:szCs w:val="24"/>
          <w:u w:val="single"/>
          <w:lang w:val="en-US"/>
        </w:rPr>
        <w:t xml:space="preserve">供应商</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在投标文件中提供加盖 </w:t>
      </w:r>
      <w:r>
        <w:rPr>
          <w:rFonts w:hint="eastAsia" w:ascii="宋体" w:hAnsi="宋体" w:eastAsia="宋体"/>
          <w:b/>
          <w:bCs/>
          <w:i/>
          <w:iCs/>
          <w:color w:val="000000"/>
          <w:sz w:val="24"/>
          <w:szCs w:val="24"/>
          <w:u w:val="single"/>
          <w:lang w:val="en-US"/>
        </w:rPr>
        <w:t xml:space="preserve">本单位公章</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的</w:t>
      </w:r>
      <w:r>
        <w:rPr>
          <w:rFonts w:hint="eastAsia" w:ascii="宋体" w:hAnsi="宋体" w:eastAsia="宋体"/>
          <w:b/>
          <w:color w:val="000000"/>
          <w:sz w:val="21"/>
          <w:szCs w:val="21"/>
        </w:rPr>
        <w:t xml:space="preserve">声明</w:t>
      </w:r>
      <w:r>
        <w:rPr>
          <w:rFonts w:hint="eastAsia" w:ascii="宋体" w:hAnsi="宋体" w:eastAsia="宋体"/>
          <w:b/>
          <w:bCs/>
          <w:color w:val="000000"/>
          <w:sz w:val="21"/>
          <w:szCs w:val="21"/>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rPr>
          <w:rFonts w:ascii="宋体" w:hAnsi="宋体" w:eastAsia="宋体"/>
          <w:b/>
          <w:bCs/>
          <w:color w:val="000000"/>
          <w:sz w:val="21"/>
          <w:szCs w:val="21"/>
        </w:rPr>
      </w:pPr>
      <w:r>
        <w:rPr>
          <w:rFonts w:hint="eastAsia" w:ascii="宋体" w:hAnsi="宋体" w:eastAsia="宋体"/>
          <w:color w:val="000000"/>
          <w:sz w:val="24"/>
          <w:szCs w:val="24"/>
        </w:rPr>
        <w:br w:type="page" w:clear="all"/>
      </w:r>
      <w:r>
        <w:rPr>
          <w:rFonts w:hint="eastAsia" w:ascii="宋体" w:hAnsi="宋体" w:eastAsia="宋体"/>
          <w:b/>
          <w:bCs/>
          <w:color w:val="000000"/>
          <w:sz w:val="21"/>
          <w:szCs w:val="21"/>
        </w:rPr>
        <w:t xml:space="preserve">附件二、残疾人福利性单位声明函格式（如供应商为残疾人福利性单位须提供此函）</w:t>
      </w:r>
      <w:r/>
    </w:p>
    <w:p>
      <w:pPr>
        <w:jc w:val="cente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rPr>
          <w:rFonts w:ascii="宋体" w:hAnsi="宋体" w:eastAsia="宋体"/>
          <w:color w:val="000000"/>
          <w:sz w:val="21"/>
          <w:szCs w:val="21"/>
        </w:rPr>
      </w:pPr>
      <w:r>
        <w:rPr>
          <w:rFonts w:hint="eastAsia" w:ascii="宋体" w:hAnsi="宋体" w:eastAsia="宋体"/>
          <w:b/>
          <w:bCs/>
          <w:color w:val="000000"/>
          <w:sz w:val="21"/>
          <w:szCs w:val="21"/>
        </w:rPr>
        <w:t xml:space="preserve">残疾人福利性单位声明函</w:t>
      </w:r>
      <w:r/>
    </w:p>
    <w:p>
      <w:pPr>
        <w:ind w:firstLine="420"/>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本单位对上述声明的真实性负责。如有虚假，将依法承担相应责任。</w:t>
      </w:r>
      <w:r/>
    </w:p>
    <w:p>
      <w:pPr>
        <w:ind w:firstLine="420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p>
      <w:pPr>
        <w:ind w:firstLine="420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日　　　　　　期：</w:t>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color w:val="000000"/>
          <w:sz w:val="21"/>
          <w:szCs w:val="21"/>
        </w:rPr>
        <w:t xml:space="preserve">附件三、</w:t>
      </w:r>
      <w:r>
        <w:rPr>
          <w:rFonts w:hint="eastAsia" w:ascii="宋体" w:hAnsi="宋体" w:eastAsia="宋体"/>
          <w:b/>
          <w:bCs/>
          <w:color w:val="000000"/>
          <w:sz w:val="21"/>
          <w:szCs w:val="21"/>
        </w:rPr>
        <w:t xml:space="preserve">属于监狱企业的证明文件（如供应商为监狱企业须提供相关证明文件）</w:t>
      </w:r>
      <w:r/>
    </w:p>
    <w:p>
      <w:pPr>
        <w:spacing w:line="420" w:lineRule="auto"/>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提供由省级以上监狱管理局、戒毒管理局(含新疆生产建设兵团)出具的属于监狱企业的证明文件。</w:t>
      </w:r>
      <w:r/>
    </w:p>
    <w:p>
      <w:pP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附件四、节能产品认证文件（如有须提供）</w:t>
      </w:r>
      <w:r/>
    </w:p>
    <w:p>
      <w:pPr>
        <w:ind w:firstLine="422"/>
        <w:spacing w:line="420" w:lineRule="auto"/>
        <w:rPr>
          <w:rFonts w:ascii="宋体" w:hAnsi="宋体" w:eastAsia="宋体"/>
          <w:b/>
          <w:bCs/>
          <w:color w:val="000000"/>
          <w:sz w:val="21"/>
          <w:szCs w:val="21"/>
        </w:rPr>
      </w:pPr>
      <w:r>
        <w:rPr>
          <w:rFonts w:ascii="宋体" w:hAnsi="宋体" w:eastAsia="宋体"/>
          <w:b/>
          <w:bCs/>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以供应商提供经国家确定的认证机构出具的、处于有效期之内的节能产品认证证书复印件为准。</w:t>
      </w:r>
      <w:r/>
    </w:p>
    <w:p>
      <w:pP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附件五、环境标志产品认证文件（如有须提供）</w:t>
      </w:r>
      <w:r/>
    </w:p>
    <w:p>
      <w:pPr>
        <w:ind w:firstLine="422"/>
        <w:spacing w:line="420" w:lineRule="auto"/>
        <w:rPr>
          <w:rFonts w:ascii="宋体" w:hAnsi="宋体" w:eastAsia="宋体"/>
          <w:b/>
          <w:bCs/>
          <w:color w:val="000000"/>
          <w:sz w:val="21"/>
          <w:szCs w:val="21"/>
        </w:rPr>
      </w:pPr>
      <w:r>
        <w:rPr>
          <w:rFonts w:ascii="宋体" w:hAnsi="宋体" w:eastAsia="宋体"/>
          <w:b/>
          <w:bCs/>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以供应商提供经国家确定的认证机构出具的、处于有效期之内的环境标志产品认证证书复印件为准。</w:t>
      </w:r>
      <w:r/>
    </w:p>
    <w:p>
      <w:pPr>
        <w:spacing w:line="420" w:lineRule="auto"/>
        <w:rPr>
          <w:rFonts w:ascii="宋体" w:hAnsi="宋体" w:eastAsia="宋体"/>
          <w:b/>
          <w:bCs/>
          <w:color w:val="000000"/>
          <w:sz w:val="21"/>
          <w:szCs w:val="21"/>
          <w:lang w:val="zh-TW"/>
        </w:rPr>
      </w:pPr>
      <w:r>
        <w:rPr>
          <w:rFonts w:hint="eastAsia" w:ascii="宋体" w:hAnsi="宋体" w:eastAsia="宋体"/>
          <w:color w:val="000000"/>
          <w:sz w:val="24"/>
          <w:szCs w:val="24"/>
        </w:rPr>
        <w:br w:type="page" w:clear="all"/>
      </w:r>
      <w:bookmarkStart w:id="64" w:name="_Toc21684"/>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六</w:t>
      </w:r>
      <w:r>
        <w:rPr>
          <w:rFonts w:hint="eastAsia" w:ascii="宋体" w:hAnsi="宋体" w:eastAsia="宋体"/>
          <w:b/>
          <w:bCs/>
          <w:color w:val="000000"/>
          <w:sz w:val="21"/>
          <w:szCs w:val="21"/>
          <w:lang w:val="zh-TW"/>
        </w:rPr>
        <w:t xml:space="preserve">、政府采购实施本国产品标准及相关政策（如适用） </w:t>
      </w:r>
      <w:r/>
    </w:p>
    <w:p>
      <w:pPr>
        <w:jc w:val="center"/>
        <w:spacing w:line="420" w:lineRule="auto"/>
        <w:rPr>
          <w:rFonts w:ascii="黑体" w:hAnsi="黑体" w:eastAsia="黑体" w:cs="黑体"/>
          <w:b/>
          <w:bCs/>
          <w:color w:val="000000"/>
          <w:sz w:val="24"/>
          <w:szCs w:val="24"/>
          <w:lang w:val="zh-TW"/>
        </w:rPr>
      </w:pPr>
      <w:r>
        <w:rPr>
          <w:rFonts w:hint="eastAsia" w:ascii="宋体" w:hAnsi="宋体" w:eastAsia="宋体"/>
          <w:b/>
          <w:bCs/>
          <w:color w:val="000000"/>
          <w:sz w:val="21"/>
          <w:szCs w:val="21"/>
          <w:lang w:val="zh-TW"/>
        </w:rPr>
        <w:t xml:space="preserve">符合本国产品标准的声明函（如适用）</w:t>
      </w:r>
      <w:bookmarkEnd w:id="64"/>
      <w:r/>
      <w:r/>
    </w:p>
    <w:p>
      <w:pPr>
        <w:jc w:val="center"/>
        <w:keepLines/>
        <w:keepNext/>
        <w:spacing w:line="360" w:lineRule="auto"/>
        <w:rPr>
          <w:rFonts w:ascii="Times New Roman" w:eastAsia="仿宋"/>
          <w:b/>
          <w:color w:val="000000"/>
          <w:sz w:val="24"/>
        </w:rPr>
      </w:pPr>
      <w:r/>
      <w:bookmarkStart w:id="65" w:name="_Toc6335"/>
      <w:r/>
      <w:r/>
    </w:p>
    <w:p>
      <w:pPr>
        <w:jc w:val="center"/>
        <w:keepLines/>
        <w:keepNext/>
        <w:spacing w:line="360" w:lineRule="auto"/>
        <w:rPr>
          <w:rFonts w:ascii="宋体" w:hAnsi="宋体" w:eastAsia="宋体"/>
          <w:b/>
          <w:color w:val="000000"/>
          <w:sz w:val="24"/>
        </w:rPr>
      </w:pPr>
      <w:r>
        <w:rPr>
          <w:rFonts w:hint="eastAsia" w:ascii="宋体" w:hAnsi="宋体" w:eastAsia="宋体"/>
          <w:b/>
          <w:color w:val="000000"/>
          <w:sz w:val="24"/>
        </w:rPr>
        <w:t xml:space="preserve">关于符合本国产品标准的声明函</w:t>
      </w:r>
      <w:bookmarkEnd w:id="65"/>
      <w:r/>
      <w:r/>
    </w:p>
    <w:p>
      <w:pPr>
        <w:pStyle w:val="1150"/>
        <w:ind w:firstLine="420"/>
        <w:spacing w:before="0" w:beforeAutospacing="0" w:after="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0"/>
        <w:ind w:firstLine="420"/>
        <w:spacing w:before="30" w:beforeAutospacing="0" w:after="30" w:afterAutospacing="0" w:line="360" w:lineRule="auto"/>
        <w:rPr>
          <w:rFonts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4746625</wp:posOffset>
                </wp:positionH>
                <wp:positionV relativeFrom="paragraph">
                  <wp:posOffset>57150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73.8pt;mso-position-horizontal:absolute;mso-position-vertical-relative:text;margin-top:4.5pt;mso-position-vertical:absolute;width:45.4pt;height:7.2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5449570</wp:posOffset>
                </wp:positionH>
                <wp:positionV relativeFrom="paragraph">
                  <wp:posOffset>272415</wp:posOffset>
                </wp:positionV>
                <wp:extent cx="771525" cy="9715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429.1pt;mso-position-horizontal:absolute;mso-position-vertical-relative:text;margin-top:21.4pt;mso-position-vertical:absolute;width:60.8pt;height:7.6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1024890</wp:posOffset>
                </wp:positionH>
                <wp:positionV relativeFrom="paragraph">
                  <wp:posOffset>543560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80.7pt;mso-position-horizontal:absolute;mso-position-vertical-relative:text;margin-top:42.8pt;mso-position-vertical:absolute;width:44.5pt;height:10.3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2698115</wp:posOffset>
                </wp:positionH>
                <wp:positionV relativeFrom="paragraph">
                  <wp:posOffset>274320</wp:posOffset>
                </wp:positionV>
                <wp:extent cx="739140" cy="1346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2.4pt;mso-position-horizontal:absolute;mso-position-vertical-relative:text;margin-top:21.6pt;mso-position-vertical:absolute;width:58.2pt;height:10.6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3702050</wp:posOffset>
                </wp:positionH>
                <wp:positionV relativeFrom="paragraph">
                  <wp:posOffset>334010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91.5pt;mso-position-horizontal:absolute;mso-position-vertical-relative:text;margin-top:26.3pt;mso-position-vertical:absolute;width:47.5pt;height:8.0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162"/>
          <w:rFonts w:hint="eastAsia" w:ascii="宋体" w:hAnsi="宋体" w:eastAsia="宋体" w:cs="宋体"/>
          <w:i w:val="0"/>
          <w:color w:val="000000"/>
          <w:sz w:val="21"/>
          <w:szCs w:val="21"/>
          <w:u w:val="single"/>
          <w:shd w:val="clear" w:color="auto" w:fill="ffffff"/>
        </w:rPr>
        <w:t xml:space="preserve">（产品名称1）</w:t>
      </w:r>
      <w:r>
        <w:rPr>
          <w:rStyle w:val="1162"/>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162"/>
          <w:rFonts w:hint="eastAsia" w:ascii="宋体" w:hAnsi="宋体" w:eastAsia="宋体" w:cs="宋体"/>
          <w:i w:val="0"/>
          <w:color w:val="000000"/>
          <w:sz w:val="21"/>
          <w:szCs w:val="21"/>
          <w:u w:val="single"/>
          <w:shd w:val="clear" w:color="auto" w:fill="ffffff"/>
        </w:rPr>
        <w:t xml:space="preserve">（厂名）</w:t>
      </w:r>
      <w:r>
        <w:rPr>
          <w:rStyle w:val="1162"/>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162"/>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162"/>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162"/>
          <w:rFonts w:hint="eastAsia" w:ascii="宋体" w:hAnsi="宋体" w:eastAsia="宋体" w:cs="宋体"/>
          <w:i w:val="0"/>
          <w:color w:val="000000"/>
          <w:sz w:val="21"/>
          <w:szCs w:val="21"/>
          <w:u w:val="single"/>
          <w:shd w:val="clear" w:color="auto" w:fill="ffffff"/>
        </w:rPr>
        <w:t xml:space="preserve">（规定比例）</w:t>
      </w:r>
      <w:r>
        <w:rPr>
          <w:rStyle w:val="1162"/>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16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2"/>
          <w:rFonts w:hint="eastAsia" w:ascii="宋体" w:hAnsi="宋体" w:eastAsia="宋体" w:cs="宋体"/>
          <w:i w:val="0"/>
          <w:color w:val="000000"/>
          <w:sz w:val="21"/>
          <w:szCs w:val="21"/>
          <w:u w:val="single"/>
          <w:shd w:val="clear" w:color="auto" w:fill="ffffff"/>
        </w:rPr>
        <w:t xml:space="preserve">（关键组件）</w:t>
      </w:r>
      <w:r>
        <w:rPr>
          <w:rStyle w:val="1162"/>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16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2"/>
          <w:rFonts w:hint="eastAsia" w:ascii="宋体" w:hAnsi="宋体" w:eastAsia="宋体" w:cs="宋体"/>
          <w:i w:val="0"/>
          <w:color w:val="000000"/>
          <w:sz w:val="21"/>
          <w:szCs w:val="21"/>
          <w:u w:val="single"/>
          <w:shd w:val="clear" w:color="auto" w:fill="ffffff"/>
        </w:rPr>
        <w:t xml:space="preserve">（关键工序）</w:t>
      </w:r>
      <w:r>
        <w:rPr>
          <w:rStyle w:val="1162"/>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1150"/>
        <w:ind w:firstLine="420"/>
        <w:spacing w:before="30" w:beforeAutospacing="0" w:after="30" w:afterAutospacing="0" w:line="360" w:lineRule="auto"/>
        <w:rPr>
          <w:rFonts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464185</wp:posOffset>
                </wp:positionH>
                <wp:positionV relativeFrom="paragraph">
                  <wp:posOffset>542925</wp:posOffset>
                </wp:positionV>
                <wp:extent cx="587375" cy="1136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pt;mso-position-horizontal:absolute;mso-position-vertical-relative:text;margin-top:42.8pt;mso-position-vertical:absolute;width:46.2pt;height:8.9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5527675</wp:posOffset>
                </wp:positionH>
                <wp:positionV relativeFrom="paragraph">
                  <wp:posOffset>257175</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435.2pt;mso-position-horizontal:absolute;mso-position-vertical-relative:text;margin-top:20.2pt;mso-position-vertical:absolute;width:33.4pt;height:8.8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59264;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5926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16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162"/>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162"/>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16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162"/>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162"/>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162"/>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162"/>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2"/>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1150"/>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p>
    <w:p>
      <w:pPr>
        <w:pStyle w:val="1150"/>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1150"/>
        <w:spacing w:before="30" w:beforeAutospacing="0" w:after="30" w:afterAutospacing="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150"/>
        <w:ind w:right="480" w:firstLine="3255"/>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p>
    <w:p>
      <w:pPr>
        <w:pStyle w:val="1150"/>
        <w:jc w:val="center"/>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p>
    <w:p>
      <w:pPr>
        <w:pStyle w:val="115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p>
    <w:p>
      <w:pPr>
        <w:pStyle w:val="115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p>
    <w:p>
      <w:pPr>
        <w:pStyle w:val="115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115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115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115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115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p>
    <w:p>
      <w:pPr>
        <w:pStyle w:val="115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p>
    <w:p>
      <w:pPr>
        <w:pStyle w:val="115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8.中标、成交供应商提供的《声明函》或有关证明文件将随中标、成交结果同时公告。</w:t>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1080"/>
        <w:spacing w:before="0" w:after="0"/>
        <w:rPr>
          <w:rFonts w:cs="宋体"/>
          <w:b w:val="0"/>
          <w:color w:val="000000"/>
          <w:sz w:val="28"/>
          <w:szCs w:val="28"/>
          <w:lang w:val="zh-TW"/>
        </w:rPr>
        <w:sectPr>
          <w:footerReference w:type="default" r:id="rId15"/>
          <w:footerReference w:type="first" r:id="rId16"/>
          <w:footnotePr/>
          <w:endnotePr/>
          <w:type w:val="nextPage"/>
          <w:pgSz w:w="11900" w:h="16840" w:orient="portrait"/>
          <w:pgMar w:top="1157" w:right="1253" w:bottom="1157" w:left="1253" w:header="850" w:footer="737" w:gutter="0"/>
          <w:pgNumType w:start="1"/>
          <w:cols w:num="1" w:sep="0" w:space="1701" w:equalWidth="1"/>
          <w:docGrid w:linePitch="360"/>
          <w:titlePg/>
        </w:sectPr>
      </w:pPr>
      <w:r>
        <w:rPr>
          <w:rFonts w:cs="宋体"/>
          <w:b w:val="0"/>
          <w:color w:val="000000"/>
          <w:sz w:val="28"/>
          <w:szCs w:val="28"/>
          <w:lang w:val="zh-TW"/>
        </w:rPr>
      </w:r>
      <w:r/>
    </w:p>
    <w:p>
      <w:pPr>
        <w:rPr>
          <w:color w:val="000000"/>
          <w:lang w:val="zh-TW"/>
        </w:rPr>
      </w:pPr>
      <w:r>
        <w:rPr>
          <w:color w:val="000000"/>
          <w:lang w:val="zh-TW"/>
        </w:rPr>
      </w:r>
      <w:r/>
    </w:p>
    <w:p>
      <w:pPr>
        <w:spacing w:line="420" w:lineRule="auto"/>
        <w:rPr>
          <w:rFonts w:ascii="宋体" w:hAnsi="宋体" w:eastAsia="宋体"/>
          <w:b/>
          <w:bCs/>
          <w:color w:val="000000"/>
          <w:sz w:val="21"/>
          <w:szCs w:val="21"/>
          <w:lang w:val="zh-TW"/>
        </w:rPr>
      </w:pPr>
      <w:r/>
      <w:bookmarkStart w:id="66" w:name="_Toc20443"/>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七</w:t>
      </w:r>
      <w:r>
        <w:rPr>
          <w:rFonts w:hint="eastAsia" w:ascii="宋体" w:hAnsi="宋体" w:eastAsia="宋体"/>
          <w:b/>
          <w:bCs/>
          <w:color w:val="000000"/>
          <w:sz w:val="21"/>
          <w:szCs w:val="21"/>
          <w:lang w:val="zh-TW"/>
        </w:rPr>
        <w:t xml:space="preserve">、成本比例声明函（如适用）</w:t>
      </w:r>
      <w:bookmarkEnd w:id="66"/>
      <w:r>
        <w:rPr>
          <w:rFonts w:hint="eastAsia" w:ascii="宋体" w:hAnsi="宋体" w:eastAsia="宋体"/>
          <w:b/>
          <w:bCs/>
          <w:color w:val="000000"/>
          <w:sz w:val="21"/>
          <w:szCs w:val="21"/>
          <w:lang w:val="zh-TW"/>
        </w:rPr>
        <w:t xml:space="preserve"> </w:t>
      </w:r>
      <w:r/>
    </w:p>
    <w:p>
      <w:pPr>
        <w:jc w:val="left"/>
        <w:spacing w:line="360" w:lineRule="auto"/>
        <w:rPr>
          <w:rFonts w:ascii="宋体" w:hAnsi="宋体" w:eastAsia="宋体"/>
          <w:color w:val="000000"/>
          <w:sz w:val="21"/>
          <w:szCs w:val="21"/>
        </w:rPr>
      </w:pPr>
      <w:r>
        <w:rPr>
          <w:rFonts w:ascii="宋体" w:hAnsi="宋体" w:eastAsia="宋体"/>
          <w:color w:val="000000"/>
          <w:sz w:val="21"/>
          <w:szCs w:val="21"/>
        </w:rPr>
        <w:t xml:space="preserve">（适用于采购项目或者采购包中含有多种产品时，不提供或者提供声明的比例达不到要求时，不享受价格扣除） </w:t>
      </w:r>
      <w:r/>
    </w:p>
    <w:p>
      <w:pPr>
        <w:jc w:val="center"/>
        <w:spacing w:line="360" w:lineRule="auto"/>
        <w:rPr>
          <w:rFonts w:ascii="宋体" w:hAnsi="宋体" w:eastAsia="宋体"/>
          <w:color w:val="000000"/>
          <w:sz w:val="24"/>
          <w:szCs w:val="24"/>
        </w:rPr>
      </w:pPr>
      <w:r>
        <w:rPr>
          <w:rFonts w:ascii="宋体" w:hAnsi="宋体" w:eastAsia="宋体"/>
          <w:b/>
          <w:bCs/>
          <w:color w:val="000000"/>
          <w:sz w:val="24"/>
          <w:szCs w:val="24"/>
        </w:rPr>
        <w:t xml:space="preserve">成本比例声明函</w:t>
      </w:r>
      <w:r/>
    </w:p>
    <w:p>
      <w:pPr>
        <w:ind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jc w:val="left"/>
        <w:spacing w:line="360" w:lineRule="auto"/>
        <w:widowControl/>
        <w:rPr>
          <w:rFonts w:ascii="宋体" w:hAnsi="宋体" w:eastAsia="宋体"/>
          <w:color w:val="000000"/>
          <w:sz w:val="21"/>
          <w:szCs w:val="21"/>
        </w:rPr>
      </w:pPr>
      <w:r>
        <w:rPr>
          <w:rFonts w:ascii="宋体" w:hAnsi="宋体" w:eastAsia="宋体"/>
          <w:color w:val="000000"/>
          <w:sz w:val="21"/>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olor w:val="000000"/>
          <w:sz w:val="21"/>
          <w:szCs w:val="21"/>
          <w:u w:val="single"/>
          <w:lang w:val="en-US"/>
        </w:rPr>
        <w:t xml:space="preserve">       </w:t>
      </w:r>
      <w:r>
        <w:rPr>
          <w:rFonts w:ascii="宋体" w:hAnsi="宋体" w:eastAsia="宋体"/>
          <w:color w:val="000000"/>
          <w:sz w:val="21"/>
          <w:szCs w:val="21"/>
        </w:rPr>
        <w:t xml:space="preserve">（填写具体百分比）。 </w:t>
      </w:r>
      <w:r/>
    </w:p>
    <w:p>
      <w:pPr>
        <w:ind w:firstLine="420"/>
        <w:jc w:val="left"/>
        <w:spacing w:line="360" w:lineRule="auto"/>
        <w:widowControl/>
        <w:rPr>
          <w:rFonts w:ascii="宋体" w:hAnsi="宋体" w:eastAsia="宋体"/>
          <w:color w:val="000000"/>
          <w:sz w:val="21"/>
          <w:szCs w:val="21"/>
        </w:rPr>
      </w:pPr>
      <w:r>
        <w:rPr>
          <w:rFonts w:ascii="宋体" w:hAnsi="宋体" w:eastAsia="宋体"/>
          <w:color w:val="000000"/>
          <w:sz w:val="21"/>
          <w:szCs w:val="21"/>
        </w:rPr>
        <w:t xml:space="preserve">本公司（单位）对上述声明内容的真实性负责。如有虚假，愿承担相应法律责任。 </w:t>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公司（单位）名称（盖章）：</w:t>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日期： 年 月 日</w:t>
      </w:r>
      <w:r/>
    </w:p>
    <w:p>
      <w:pPr>
        <w:ind w:left="562"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ind w:left="562"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1113"/>
        <w:ind w:firstLine="420"/>
        <w:jc w:val="left"/>
        <w:spacing w:before="229" w:line="360" w:lineRule="auto"/>
        <w:rPr>
          <w:color w:val="000000"/>
          <w:sz w:val="21"/>
          <w:szCs w:val="21"/>
          <w:lang w:val="zh-TW"/>
        </w:rPr>
      </w:pPr>
      <w:r>
        <w:rPr>
          <w:rFonts w:ascii="宋体" w:hAnsi="宋体"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pPr>
        <w:jc w:val="center"/>
        <w:spacing w:line="360" w:lineRule="auto"/>
        <w:rPr>
          <w:rFonts w:ascii="黑体" w:hAnsi="黑体" w:eastAsia="黑体" w:cs="黑体"/>
          <w:color w:val="000000"/>
          <w:sz w:val="32"/>
          <w:szCs w:val="32"/>
        </w:rPr>
      </w:pPr>
      <w:r>
        <w:rPr>
          <w:rFonts w:ascii="黑体" w:hAnsi="黑体" w:eastAsia="黑体" w:cs="黑体"/>
          <w:color w:val="000000"/>
          <w:sz w:val="32"/>
          <w:szCs w:val="32"/>
        </w:rPr>
      </w:r>
      <w:r/>
    </w:p>
    <w:p>
      <w:pPr>
        <w:spacing w:line="360" w:lineRule="auto"/>
        <w:rPr>
          <w:color w:val="000000"/>
        </w:rPr>
      </w:pPr>
      <w:r>
        <w:rPr>
          <w:color w:val="000000"/>
        </w:rPr>
      </w:r>
      <w:r/>
    </w:p>
    <w:p>
      <w:pPr>
        <w:spacing w:line="360" w:lineRule="auto"/>
        <w:rPr>
          <w:color w:val="000000"/>
        </w:rPr>
      </w:pPr>
      <w:r>
        <w:rPr>
          <w:color w:val="000000"/>
        </w:rPr>
      </w:r>
      <w:r/>
    </w:p>
    <w:p>
      <w:pPr>
        <w:jc w:val="center"/>
        <w:spacing w:line="360" w:lineRule="auto"/>
        <w:rPr>
          <w:rFonts w:ascii="黑体" w:hAnsi="黑体" w:eastAsia="黑体" w:cs="黑体"/>
          <w:color w:val="000000"/>
          <w:sz w:val="32"/>
          <w:szCs w:val="32"/>
          <w:lang w:val="zh-TW"/>
        </w:rPr>
      </w:pPr>
      <w:r>
        <w:rPr>
          <w:rFonts w:ascii="黑体" w:hAnsi="黑体" w:eastAsia="黑体" w:cs="黑体"/>
          <w:color w:val="000000"/>
          <w:sz w:val="32"/>
          <w:szCs w:val="32"/>
          <w:lang w:val="zh-TW"/>
        </w:rPr>
      </w:r>
      <w:r/>
    </w:p>
    <w:p>
      <w:pPr>
        <w:spacing w:line="460" w:lineRule="exact"/>
        <w:rPr>
          <w:b/>
          <w:bCs/>
          <w:color w:val="000000"/>
        </w:rPr>
      </w:pPr>
      <w:r>
        <w:rPr>
          <w:b/>
          <w:bCs/>
          <w:color w:val="000000"/>
        </w:rPr>
      </w:r>
      <w:r/>
    </w:p>
    <w:p>
      <w:pPr>
        <w:spacing w:line="360" w:lineRule="auto"/>
        <w:rPr>
          <w:b/>
          <w:bCs/>
          <w:color w:val="000000"/>
        </w:rPr>
      </w:pPr>
      <w:r>
        <w:rPr>
          <w:b/>
          <w:bCs/>
          <w:color w:val="000000"/>
        </w:rPr>
      </w:r>
      <w:r/>
    </w:p>
    <w:p>
      <w:pPr>
        <w:pStyle w:val="1479"/>
        <w:ind w:firstLine="0"/>
      </w:pPr>
      <w:r/>
      <w:r/>
    </w:p>
    <w:p>
      <w:pPr>
        <w:jc w:val="center"/>
        <w:spacing w:line="360" w:lineRule="auto"/>
        <w:rPr>
          <w:rFonts w:ascii="宋体" w:hAnsi="宋体" w:eastAsia="宋体"/>
          <w:color w:val="000000"/>
          <w:sz w:val="24"/>
          <w:szCs w:val="24"/>
        </w:rPr>
      </w:pPr>
      <w:r>
        <w:rPr>
          <w:rFonts w:ascii="宋体" w:hAnsi="宋体" w:eastAsia="宋体"/>
          <w:color w:val="000000"/>
          <w:sz w:val="24"/>
          <w:szCs w:val="24"/>
        </w:rPr>
      </w:r>
      <w:r/>
    </w:p>
    <w:p>
      <w:pPr>
        <w:jc w:val="center"/>
        <w:spacing w:line="360" w:lineRule="auto"/>
        <w:rPr>
          <w:rFonts w:ascii="宋体" w:hAnsi="宋体" w:eastAsia="宋体"/>
          <w:color w:val="000000"/>
          <w:sz w:val="24"/>
          <w:szCs w:val="24"/>
        </w:rPr>
      </w:pPr>
      <w:r>
        <w:rPr>
          <w:rFonts w:ascii="宋体" w:hAnsi="宋体" w:eastAsia="宋体"/>
          <w:color w:val="000000"/>
          <w:sz w:val="24"/>
          <w:szCs w:val="24"/>
        </w:rPr>
      </w:r>
      <w:r/>
    </w:p>
    <w:p>
      <w:pPr>
        <w:jc w:val="center"/>
        <w:spacing w:line="360" w:lineRule="auto"/>
        <w:rPr>
          <w:rFonts w:ascii="黑体" w:hAnsi="宋体" w:eastAsia="黑体"/>
          <w:color w:val="000000"/>
          <w:sz w:val="32"/>
          <w:szCs w:val="32"/>
        </w:rPr>
        <w:outlineLvl w:val="0"/>
      </w:pPr>
      <w:r>
        <w:rPr>
          <w:rFonts w:hint="eastAsia" w:ascii="宋体" w:hAnsi="宋体" w:eastAsia="宋体"/>
          <w:color w:val="000000"/>
          <w:sz w:val="24"/>
          <w:szCs w:val="24"/>
        </w:rPr>
        <w:br w:type="page" w:clear="all"/>
      </w:r>
      <w:bookmarkStart w:id="67" w:name="_Toc11648"/>
      <w:r>
        <w:rPr>
          <w:rFonts w:hint="eastAsia" w:ascii="黑体" w:hAnsi="宋体" w:eastAsia="黑体"/>
          <w:color w:val="000000"/>
          <w:sz w:val="32"/>
          <w:szCs w:val="32"/>
        </w:rPr>
        <w:t xml:space="preserve">第八章  投标文件格式</w:t>
      </w:r>
      <w:bookmarkEnd w:id="67"/>
      <w:r/>
      <w:r/>
    </w:p>
    <w:p>
      <w:pPr>
        <w:jc w:val="center"/>
        <w:rPr>
          <w:rFonts w:ascii="宋体" w:hAnsi="宋体" w:eastAsia="宋体"/>
          <w:b/>
          <w:color w:val="000000"/>
          <w:sz w:val="21"/>
          <w:szCs w:val="21"/>
        </w:rPr>
      </w:pPr>
      <w:r>
        <w:rPr>
          <w:rFonts w:hint="eastAsia" w:ascii="宋体" w:hAnsi="宋体" w:eastAsia="宋体"/>
          <w:b/>
          <w:color w:val="000000"/>
          <w:sz w:val="21"/>
          <w:szCs w:val="21"/>
        </w:rPr>
        <w:t xml:space="preserve">评分索引表（可按需调整）</w:t>
      </w:r>
      <w:r/>
    </w:p>
    <w:tbl>
      <w:tblPr>
        <w:tblStyle w:val="902"/>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81"/>
              <w:jc w:val="center"/>
              <w:spacing w:before="120" w:after="120" w:line="265" w:lineRule="atLeast"/>
              <w:rPr>
                <w:rFonts w:ascii="宋体" w:hAnsi="宋体" w:eastAsia="宋体"/>
                <w:b/>
                <w:bCs/>
                <w:color w:val="000000"/>
                <w:sz w:val="21"/>
                <w:szCs w:val="21"/>
                <w:lang w:eastAsia="zh-CN"/>
              </w:rPr>
            </w:pPr>
            <w:r>
              <w:rPr>
                <w:rFonts w:hint="eastAsia" w:ascii="宋体" w:hAnsi="宋体" w:eastAsia="宋体"/>
                <w:b/>
                <w:color w:val="000000"/>
                <w:sz w:val="21"/>
                <w:szCs w:val="21"/>
                <w:lang w:eastAsia="zh-CN"/>
              </w:rPr>
              <w:t xml:space="preserve">评分项目</w:t>
            </w:r>
            <w:r/>
          </w:p>
        </w:tc>
        <w:tc>
          <w:tcPr>
            <w:tcW w:w="3570" w:type="dxa"/>
            <w:vAlign w:val="center"/>
            <w:textDirection w:val="lrTb"/>
            <w:noWrap w:val="false"/>
          </w:tcPr>
          <w:p>
            <w:pPr>
              <w:jc w:val="center"/>
              <w:rPr>
                <w:rFonts w:ascii="宋体" w:hAnsi="宋体" w:eastAsia="宋体"/>
                <w:b/>
                <w:color w:val="000000"/>
                <w:sz w:val="21"/>
                <w:szCs w:val="21"/>
              </w:rPr>
            </w:pPr>
            <w:r>
              <w:rPr>
                <w:rFonts w:hint="eastAsia" w:ascii="宋体" w:hAnsi="宋体" w:eastAsia="宋体"/>
                <w:b/>
                <w:color w:val="000000"/>
                <w:sz w:val="21"/>
                <w:szCs w:val="21"/>
                <w:lang w:bidi="en-US"/>
              </w:rPr>
              <w:t xml:space="preserve">在投标文件中的页码位置</w:t>
            </w:r>
            <w:r/>
          </w:p>
        </w:tc>
      </w:tr>
      <w:tr>
        <w:trPr>
          <w:trHeight w:val="446"/>
        </w:trPr>
        <w:tc>
          <w:tcPr>
            <w:tcW w:w="5670" w:type="dxa"/>
            <w:vAlign w:val="center"/>
            <w:textDirection w:val="lrTb"/>
            <w:noWrap w:val="false"/>
          </w:tcPr>
          <w:p>
            <w:pPr>
              <w:pStyle w:val="1281"/>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c>
          <w:tcPr>
            <w:tcW w:w="3570" w:type="dxa"/>
            <w:vAlign w:val="center"/>
            <w:textDirection w:val="lrTb"/>
            <w:noWrap w:val="false"/>
          </w:tcPr>
          <w:p>
            <w:pPr>
              <w:jc w:val="center"/>
              <w:rPr>
                <w:rFonts w:ascii="宋体" w:hAnsi="宋体" w:eastAsia="宋体"/>
                <w:b/>
                <w:color w:val="000000"/>
                <w:sz w:val="24"/>
                <w:szCs w:val="24"/>
                <w:lang w:bidi="en-US"/>
              </w:rPr>
            </w:pPr>
            <w:r>
              <w:rPr>
                <w:rFonts w:ascii="宋体" w:hAnsi="宋体" w:eastAsia="宋体"/>
                <w:b/>
                <w:color w:val="000000"/>
                <w:sz w:val="24"/>
                <w:szCs w:val="24"/>
                <w:lang w:bidi="en-US"/>
              </w:rPr>
            </w:r>
            <w:r/>
          </w:p>
        </w:tc>
      </w:tr>
      <w:tr>
        <w:trPr>
          <w:trHeight w:val="300"/>
        </w:trPr>
        <w:tc>
          <w:tcPr>
            <w:gridSpan w:val="2"/>
            <w:tcW w:w="924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32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89"/>
        </w:trPr>
        <w:tc>
          <w:tcPr>
            <w:gridSpan w:val="2"/>
            <w:tcW w:w="924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60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16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78"/>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69"/>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gridSpan w:val="2"/>
            <w:tcW w:w="9240" w:type="dxa"/>
            <w:vAlign w:val="center"/>
            <w:textDirection w:val="lrTb"/>
            <w:noWrap w:val="false"/>
          </w:tcPr>
          <w:p>
            <w:pPr>
              <w:pStyle w:val="1281"/>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r>
      <w:tr>
        <w:trPr>
          <w:trHeight w:val="320"/>
        </w:trPr>
        <w:tc>
          <w:tcPr>
            <w:tcW w:w="5670" w:type="dxa"/>
            <w:vAlign w:val="center"/>
            <w:textDirection w:val="lrTb"/>
            <w:noWrap w:val="false"/>
          </w:tcPr>
          <w:p>
            <w:pPr>
              <w:pStyle w:val="1281"/>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281"/>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281"/>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281"/>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bl>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jc w:val="right"/>
        <w:spacing w:line="360" w:lineRule="auto"/>
        <w:rPr>
          <w:rFonts w:ascii="黑体" w:hAnsi="宋体" w:eastAsia="黑体"/>
          <w:color w:val="000000"/>
          <w:sz w:val="32"/>
          <w:szCs w:val="32"/>
        </w:rPr>
      </w:pPr>
      <w:r>
        <w:rPr>
          <w:rFonts w:ascii="黑体" w:hAnsi="宋体" w:eastAsia="黑体"/>
          <w:color w:val="000000"/>
          <w:sz w:val="28"/>
          <w:szCs w:val="28"/>
        </w:rPr>
        <w:br w:type="page" w:clear="all"/>
      </w:r>
      <w:r/>
    </w:p>
    <w:p>
      <w:pPr>
        <w:jc w:val="center"/>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color w:val="000000"/>
          <w:sz w:val="32"/>
          <w:szCs w:val="32"/>
        </w:rPr>
      </w:pPr>
      <w:r>
        <w:rPr>
          <w:rFonts w:hint="eastAsia" w:ascii="黑体" w:hAnsi="宋体" w:eastAsia="黑体"/>
          <w:bCs/>
          <w:color w:val="000000"/>
          <w:sz w:val="32"/>
          <w:szCs w:val="32"/>
        </w:rPr>
        <w:t xml:space="preserve">南京信息职业技术学院生活泵房改造项目</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商务部分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bookmarkStart w:id="68" w:name="OLE_LINK25"/>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bookmarkStart w:id="69" w:name="OLE_LINK22"/>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bookmarkEnd w:id="69"/>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仿宋_GB2312" w:eastAsia="仿宋_GB2312"/>
          <w:color w:val="000000"/>
          <w:sz w:val="24"/>
        </w:rPr>
        <w:br w:type="page" w:clear="all"/>
      </w:r>
      <w:bookmarkEnd w:id="68"/>
      <w:r>
        <w:rPr>
          <w:rFonts w:hint="eastAsia" w:ascii="黑体" w:eastAsia="黑体"/>
          <w:color w:val="000000"/>
          <w:sz w:val="32"/>
          <w:szCs w:val="32"/>
        </w:rPr>
        <w:t xml:space="preserve">目  录</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一、投标函（投标申请及声明）……………………………………………………………………………X</w:t>
      </w:r>
      <w:r/>
    </w:p>
    <w:p>
      <w:pPr>
        <w:jc w:val="left"/>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二、法定代表人授权委托书及委托代理人的身份证明文件的复印件……………………………………X</w:t>
      </w:r>
      <w:r/>
    </w:p>
    <w:p>
      <w:pPr>
        <w:jc w:val="left"/>
        <w:spacing w:line="60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三、“不存在与参加本项目的其他供应商单位负责人为同一人或者存在直接控股、管理关系”的承诺函 </w:t>
      </w:r>
      <w:r>
        <w:rPr>
          <w:rFonts w:hint="eastAsia" w:ascii="宋体" w:hAnsi="宋体" w:eastAsia="宋体"/>
          <w:color w:val="000000"/>
          <w:sz w:val="21"/>
          <w:szCs w:val="21"/>
        </w:rPr>
        <w:t xml:space="preserve">…………………………………………………………………………………………………………X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四</w:t>
      </w:r>
      <w:r>
        <w:rPr>
          <w:rFonts w:hint="eastAsia" w:ascii="宋体" w:hAnsi="宋体" w:eastAsia="宋体"/>
          <w:color w:val="000000"/>
          <w:sz w:val="21"/>
          <w:szCs w:val="21"/>
        </w:rPr>
        <w:t xml:space="preserve">、第一章招标公告中2.1《中华人民共和国政府采购法》第二十二条规定的资格条件证明文件…X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五</w:t>
      </w:r>
      <w:r>
        <w:rPr>
          <w:rFonts w:hint="eastAsia" w:ascii="宋体" w:hAnsi="宋体" w:eastAsia="宋体"/>
          <w:color w:val="000000"/>
          <w:sz w:val="21"/>
          <w:szCs w:val="21"/>
        </w:rPr>
        <w:t xml:space="preserve">、第一章招标公告中2.2落实政府采购政策需满足的资格要求的证明文件…………………………X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六</w:t>
      </w:r>
      <w:r>
        <w:rPr>
          <w:rFonts w:hint="eastAsia" w:ascii="宋体" w:hAnsi="宋体" w:eastAsia="宋体"/>
          <w:color w:val="000000"/>
          <w:sz w:val="21"/>
          <w:szCs w:val="21"/>
        </w:rPr>
        <w:t xml:space="preserve">、第一章招标公告中2.3采购人根据采购项目的特殊要求规定的特定条件的证明文件……………X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七</w:t>
      </w:r>
      <w:r>
        <w:rPr>
          <w:rFonts w:hint="eastAsia" w:ascii="宋体" w:hAnsi="宋体" w:eastAsia="宋体"/>
          <w:color w:val="000000"/>
          <w:sz w:val="21"/>
          <w:szCs w:val="21"/>
        </w:rPr>
        <w:t xml:space="preserve">、供应商认为需要提供的其他资格证明文件和商务资料………………………………………………X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八</w:t>
      </w:r>
      <w:r>
        <w:rPr>
          <w:rFonts w:hint="eastAsia" w:ascii="宋体" w:hAnsi="宋体" w:eastAsia="宋体"/>
          <w:color w:val="000000"/>
          <w:sz w:val="21"/>
          <w:szCs w:val="21"/>
        </w:rPr>
        <w:t xml:space="preserve">、《商务条款偏离表》格式………………………………………………………………………………X</w:t>
      </w:r>
      <w:r/>
    </w:p>
    <w:p>
      <w:pPr>
        <w:spacing w:before="100" w:beforeAutospacing="1" w:after="100" w:afterAutospacing="1" w:line="600" w:lineRule="auto"/>
        <w:rPr>
          <w:rFonts w:ascii="仿宋_GB2312" w:eastAsia="仿宋_GB2312"/>
          <w:color w:val="000000"/>
          <w:sz w:val="24"/>
        </w:rPr>
      </w:pPr>
      <w:r>
        <w:rPr>
          <w:rFonts w:ascii="仿宋_GB2312" w:eastAsia="仿宋_GB2312"/>
          <w:color w:val="000000"/>
          <w:sz w:val="24"/>
        </w:rPr>
      </w:r>
      <w:r/>
    </w:p>
    <w:p>
      <w:pPr>
        <w:rPr>
          <w:rFonts w:ascii="黑体" w:hAnsi="黑体" w:eastAsia="黑体" w:cs="黑体"/>
          <w:color w:val="000000"/>
          <w:sz w:val="24"/>
          <w:szCs w:val="24"/>
        </w:rPr>
      </w:pPr>
      <w:r>
        <w:rPr>
          <w:rFonts w:hint="eastAsia" w:ascii="黑体" w:hAnsi="黑体" w:eastAsia="黑体" w:cs="黑体"/>
          <w:color w:val="000000"/>
          <w:sz w:val="24"/>
          <w:szCs w:val="24"/>
        </w:rPr>
        <w:br w:type="page" w:clear="all"/>
      </w:r>
      <w:r/>
    </w:p>
    <w:p>
      <w:pPr>
        <w:jc w:val="center"/>
        <w:spacing w:line="360" w:lineRule="auto"/>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一、投标函（投标申请及声明）</w:t>
      </w:r>
      <w:r/>
    </w:p>
    <w:p>
      <w:pPr>
        <w:spacing w:line="420" w:lineRule="auto"/>
        <w:widowControl/>
        <w:rPr>
          <w:rFonts w:ascii="黑体" w:hAnsi="黑体" w:eastAsia="黑体" w:cs="黑体"/>
          <w:color w:val="000000"/>
          <w:sz w:val="21"/>
          <w:szCs w:val="21"/>
        </w:rPr>
      </w:pPr>
      <w:r>
        <w:rPr>
          <w:rFonts w:ascii="黑体" w:hAnsi="黑体" w:eastAsia="黑体" w:cs="黑体"/>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ind w:firstLine="420"/>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根据贵方</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（项目编号）招标公告，正式授权下述签字人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（姓名和职务）代表供应商</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（供应商名称），提交投标文件。</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据此函，签字人兹宣布声明和承诺如下：</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b/>
          <w:bCs/>
          <w:color w:val="000000"/>
          <w:sz w:val="21"/>
          <w:szCs w:val="21"/>
        </w:rPr>
        <w:t xml:space="preserve">我们的资格条件完全符合政府采购法和本次招标要求</w:t>
      </w:r>
      <w:r>
        <w:rPr>
          <w:rFonts w:hint="eastAsia" w:ascii="宋体" w:hAnsi="宋体" w:eastAsia="宋体"/>
          <w:color w:val="000000"/>
          <w:sz w:val="21"/>
          <w:szCs w:val="21"/>
        </w:rPr>
        <w:t xml:space="preserve">，我们同意并向贵方提供了与投标有关的所有证据和资料。</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2、按招标要求，</w:t>
      </w:r>
      <w:r>
        <w:rPr>
          <w:rFonts w:hint="eastAsia" w:ascii="宋体" w:hAnsi="宋体" w:eastAsia="宋体"/>
          <w:color w:val="000000"/>
          <w:sz w:val="21"/>
          <w:szCs w:val="21"/>
          <w:lang w:val="en-US"/>
        </w:rPr>
        <w:t xml:space="preserve">我们所投项目名称为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项目编号为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投标总报价为（大写）</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元人民币。</w:t>
      </w:r>
      <w:r/>
    </w:p>
    <w:p>
      <w:pPr>
        <w:ind w:firstLine="420"/>
        <w:spacing w:line="42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3、我们单位</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（根据单位实际情况填写“是”或“不是”）外商投资企业。</w:t>
      </w:r>
      <w:r/>
    </w:p>
    <w:p>
      <w:pPr>
        <w:ind w:firstLine="420"/>
        <w:spacing w:line="42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、如本项目</w:t>
      </w:r>
      <w:r>
        <w:rPr>
          <w:rFonts w:hint="eastAsia" w:ascii="宋体" w:hAnsi="宋体" w:eastAsia="宋体"/>
          <w:bCs/>
          <w:color w:val="000000"/>
          <w:sz w:val="21"/>
          <w:szCs w:val="21"/>
        </w:rPr>
        <w:t xml:space="preserve">拟采购的产品属于《节能产品政府采购品目清单》所列政府强制采购产品的</w:t>
      </w:r>
      <w:r>
        <w:rPr>
          <w:rFonts w:hint="eastAsia" w:ascii="宋体" w:hAnsi="宋体" w:eastAsia="宋体"/>
          <w:color w:val="000000"/>
          <w:sz w:val="21"/>
          <w:szCs w:val="21"/>
        </w:rPr>
        <w:t xml:space="preserve">，我们承诺我们所投设备均</w:t>
      </w:r>
      <w:r>
        <w:rPr>
          <w:rFonts w:hint="eastAsia" w:ascii="宋体" w:hAnsi="宋体" w:eastAsia="宋体"/>
          <w:bCs/>
          <w:color w:val="000000"/>
          <w:sz w:val="21"/>
          <w:szCs w:val="21"/>
        </w:rPr>
        <w:t xml:space="preserve">为列入《节能产品政府采购品目清单》的政府强制采购产品。</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、本项目通过验收并交付时间为：满足招标文件要求。</w:t>
      </w:r>
      <w:r/>
    </w:p>
    <w:p>
      <w:pPr>
        <w:ind w:firstLine="420"/>
        <w:spacing w:line="420" w:lineRule="auto"/>
        <w:rPr>
          <w:rFonts w:ascii="宋体" w:hAnsi="宋体" w:eastAsia="宋体"/>
          <w:b/>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、我们已详细审核全部招标文件及其有效补充文件，我们放弃对招标文件任何误解的权利，提交投标文件后，</w:t>
      </w:r>
      <w:r>
        <w:rPr>
          <w:rFonts w:hint="eastAsia" w:ascii="宋体" w:hAnsi="宋体" w:eastAsia="宋体"/>
          <w:b/>
          <w:color w:val="000000"/>
          <w:sz w:val="21"/>
          <w:szCs w:val="21"/>
        </w:rPr>
        <w:t xml:space="preserve">不对招标文件本身提出质疑。</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、我们同意从规定的开标日期起遵循本投标文件，并在规定的投标有效期期满之前均具有约束力。</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、一旦我方中标，我方将根据招标文件的规定严格履行合同，并保证于承诺的时间完成项目的启动、实施等工作，及时交付采购人验收、使用。</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、与本投标有关的正式联系方式为：</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地</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址：</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电</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话：</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传</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真：</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银行账号：</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20"/>
        <w:spacing w:line="420" w:lineRule="auto"/>
        <w:rPr>
          <w:rFonts w:ascii="宋体" w:hAnsi="宋体"/>
          <w:color w:val="000000"/>
          <w:sz w:val="21"/>
          <w:szCs w:val="21"/>
        </w:rPr>
      </w:pPr>
      <w:r>
        <w:rPr>
          <w:rFonts w:ascii="宋体" w:hAnsi="宋体"/>
          <w:color w:val="000000"/>
          <w:sz w:val="21"/>
          <w:szCs w:val="21"/>
        </w:rPr>
      </w:r>
      <w:r/>
    </w:p>
    <w:p>
      <w:pPr>
        <w:ind w:firstLine="420"/>
        <w:jc w:val="left"/>
        <w:spacing w:line="420" w:lineRule="auto"/>
        <w:widowControl/>
        <w:rPr>
          <w:rFonts w:ascii="宋体" w:hAnsi="宋体"/>
          <w:color w:val="000000"/>
          <w:sz w:val="28"/>
          <w:szCs w:val="28"/>
        </w:rPr>
      </w:pPr>
      <w:r>
        <w:rPr>
          <w:rFonts w:ascii="宋体" w:hAnsi="宋体"/>
          <w:color w:val="000000"/>
          <w:sz w:val="28"/>
          <w:szCs w:val="28"/>
        </w:rPr>
      </w:r>
      <w:r/>
    </w:p>
    <w:p>
      <w:pPr>
        <w:jc w:val="center"/>
        <w:spacing w:line="360" w:lineRule="auto"/>
        <w:widowControl/>
        <w:rPr>
          <w:rFonts w:ascii="黑体" w:hAnsi="黑体" w:eastAsia="黑体" w:cs="黑体"/>
          <w:color w:val="000000"/>
          <w:sz w:val="24"/>
          <w:szCs w:val="24"/>
        </w:rPr>
      </w:pPr>
      <w:r>
        <w:rPr>
          <w:rFonts w:hint="eastAsia" w:ascii="宋体" w:hAnsi="宋体"/>
          <w:color w:val="000000"/>
          <w:sz w:val="28"/>
          <w:szCs w:val="28"/>
        </w:rPr>
        <w:br w:type="page" w:clear="all"/>
      </w:r>
      <w:r>
        <w:rPr>
          <w:rFonts w:hint="eastAsia" w:ascii="黑体" w:hAnsi="黑体" w:eastAsia="黑体" w:cs="黑体"/>
          <w:color w:val="000000"/>
          <w:sz w:val="24"/>
          <w:szCs w:val="24"/>
        </w:rPr>
        <w:t xml:space="preserve">二、法定代表人授权委托书及委托代理人的身份证明文件的复印件</w:t>
      </w:r>
      <w:r/>
    </w:p>
    <w:p>
      <w:pPr>
        <w:ind w:firstLine="720"/>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cente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法定代表人授权委托书</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本授权书声明：注册于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（供应商住址）的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（供应商名称）法定代表人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（法定代表人姓名、职务）代表本公司授权</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（供应商代表姓名、职务）为本公司的合法代理人，就贵方组织的</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（项目编号）投标，以本公司名义处理一切与之有关的事务。</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本授权书于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日加盖电子公章生效，特此声明。</w:t>
      </w:r>
      <w:r/>
    </w:p>
    <w:p>
      <w:pPr>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（加盖电子公章）：</w:t>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     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法定代表人身份证的复印件：</w:t>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委托代理人的身份证明文件的复印件：</w:t>
      </w:r>
      <w:r/>
    </w:p>
    <w:p>
      <w:pPr>
        <w:ind w:firstLine="420"/>
        <w:jc w:val="left"/>
        <w:spacing w:line="420" w:lineRule="auto"/>
        <w:widowControl/>
        <w:tabs>
          <w:tab w:val="left" w:pos="1440" w:leader="none"/>
        </w:tabs>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4"/>
          <w:szCs w:val="24"/>
        </w:rPr>
      </w:pPr>
      <w:r>
        <w:rPr>
          <w:rFonts w:hint="eastAsia" w:ascii="宋体" w:hAnsi="宋体" w:eastAsia="宋体"/>
          <w:b/>
          <w:color w:val="000000"/>
          <w:sz w:val="24"/>
          <w:szCs w:val="24"/>
        </w:rPr>
        <w:br w:type="page" w:clear="all"/>
      </w:r>
      <w:r/>
    </w:p>
    <w:p>
      <w:pPr>
        <w:spacing w:line="420" w:lineRule="auto"/>
        <w:rPr>
          <w:rFonts w:ascii="黑体" w:hAnsi="黑体" w:eastAsia="黑体" w:cs="黑体"/>
          <w:color w:val="000000"/>
          <w:sz w:val="24"/>
          <w:szCs w:val="24"/>
        </w:rPr>
      </w:pPr>
      <w:r>
        <w:rPr>
          <w:rFonts w:hint="eastAsia" w:ascii="黑体" w:hAnsi="黑体" w:eastAsia="黑体" w:cs="黑体"/>
          <w:color w:val="000000"/>
          <w:sz w:val="24"/>
          <w:szCs w:val="24"/>
          <w:lang w:val="en-US"/>
        </w:rPr>
        <w:t xml:space="preserve">三、</w:t>
      </w:r>
      <w:r>
        <w:rPr>
          <w:rFonts w:hint="eastAsia" w:ascii="黑体" w:hAnsi="黑体" w:eastAsia="黑体" w:cs="黑体"/>
          <w:color w:val="000000"/>
          <w:sz w:val="24"/>
          <w:szCs w:val="24"/>
        </w:rPr>
        <w:t xml:space="preserve">“不存在与参加本项目的其他供应商单位负责人为同一人或者存在直接控股、管理关系”的承诺函</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根据贵方</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（项目名称）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特此承诺！</w:t>
      </w:r>
      <w:r/>
    </w:p>
    <w:p>
      <w:pPr>
        <w:ind w:firstLine="411"/>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11"/>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rPr>
          <w:rFonts w:ascii="仿宋" w:hAnsi="仿宋" w:eastAsia="仿宋" w:cs="仿宋"/>
          <w:b/>
          <w:color w:val="000000"/>
          <w:sz w:val="24"/>
          <w:szCs w:val="24"/>
        </w:rPr>
      </w:pPr>
      <w:r>
        <w:rPr>
          <w:rFonts w:hint="eastAsia" w:ascii="宋体" w:hAnsi="宋体" w:eastAsia="宋体"/>
          <w:b/>
          <w:color w:val="000000"/>
          <w:sz w:val="21"/>
          <w:szCs w:val="21"/>
        </w:rPr>
        <w:br w:type="page" w:clear="all"/>
      </w:r>
      <w:r>
        <w:rPr>
          <w:rFonts w:hint="eastAsia" w:ascii="仿宋" w:hAnsi="仿宋" w:eastAsia="仿宋" w:cs="仿宋"/>
          <w:b/>
          <w:color w:val="000000"/>
          <w:sz w:val="24"/>
          <w:szCs w:val="24"/>
        </w:rPr>
        <w:t xml:space="preserve">单位负责人、公司控股关系及公司管理关系释义：</w:t>
      </w:r>
      <w:r/>
    </w:p>
    <w:p>
      <w:pPr>
        <w:ind w:firstLine="482"/>
        <w:spacing w:line="360" w:lineRule="auto"/>
        <w:rPr>
          <w:rFonts w:ascii="宋体" w:hAnsi="宋体" w:eastAsia="宋体"/>
          <w:b/>
          <w:bCs/>
          <w:color w:val="000000"/>
          <w:sz w:val="24"/>
          <w:szCs w:val="24"/>
          <w:lang w:val="en-US"/>
        </w:rPr>
      </w:pPr>
      <w:r>
        <w:rPr>
          <w:rFonts w:ascii="宋体" w:hAnsi="宋体" w:eastAsia="宋体"/>
          <w:b/>
          <w:bCs/>
          <w:color w:val="000000"/>
          <w:sz w:val="24"/>
          <w:szCs w:val="24"/>
          <w:lang w:val="en-US"/>
        </w:rPr>
      </w:r>
      <w:r/>
    </w:p>
    <w:p>
      <w:pPr>
        <w:ind w:firstLine="482"/>
        <w:spacing w:line="360" w:lineRule="auto"/>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p>
    <w:p>
      <w:pPr>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ascii="仿宋" w:hAnsi="仿宋" w:eastAsia="仿宋" w:cs="仿宋"/>
          <w:b/>
          <w:color w:val="000000"/>
          <w:sz w:val="24"/>
          <w:szCs w:val="24"/>
        </w:rPr>
      </w:pPr>
      <w:r>
        <w:rPr>
          <w:rFonts w:ascii="仿宋" w:hAnsi="仿宋" w:eastAsia="仿宋" w:cs="仿宋"/>
          <w:b/>
          <w:color w:val="000000"/>
          <w:sz w:val="24"/>
          <w:szCs w:val="24"/>
        </w:rPr>
      </w:r>
      <w:r/>
    </w:p>
    <w:p>
      <w:pPr>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ascii="仿宋" w:hAnsi="仿宋" w:eastAsia="仿宋" w:cs="仿宋"/>
          <w:b/>
          <w:bCs/>
          <w:color w:val="000000"/>
          <w:sz w:val="24"/>
          <w:szCs w:val="24"/>
          <w:lang w:val="en-US"/>
        </w:rPr>
      </w:pPr>
      <w:r>
        <w:rPr>
          <w:rFonts w:ascii="仿宋" w:hAnsi="仿宋" w:eastAsia="仿宋" w:cs="仿宋"/>
          <w:b/>
          <w:bCs/>
          <w:color w:val="000000"/>
          <w:sz w:val="24"/>
          <w:szCs w:val="24"/>
          <w:lang w:val="en-US"/>
        </w:rPr>
      </w:r>
      <w:r/>
    </w:p>
    <w:p>
      <w:pPr>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ascii="黑体" w:hAnsi="黑体" w:eastAsia="黑体" w:cs="黑体"/>
          <w:color w:val="000000"/>
          <w:sz w:val="24"/>
          <w:szCs w:val="24"/>
        </w:rPr>
      </w:pPr>
      <w:r>
        <w:rPr>
          <w:rFonts w:ascii="黑体" w:hAnsi="黑体" w:eastAsia="黑体" w:cs="黑体"/>
          <w:color w:val="000000"/>
          <w:sz w:val="24"/>
          <w:szCs w:val="24"/>
        </w:rPr>
      </w:r>
      <w:r/>
    </w:p>
    <w:p>
      <w:pPr>
        <w:jc w:val="center"/>
        <w:spacing w:line="360" w:lineRule="auto"/>
        <w:widowControl/>
        <w:rPr>
          <w:rFonts w:ascii="黑体" w:hAnsi="黑体" w:eastAsia="黑体" w:cs="黑体"/>
          <w:b/>
          <w:color w:val="000000"/>
          <w:sz w:val="24"/>
          <w:szCs w:val="24"/>
        </w:rPr>
      </w:pPr>
      <w:r>
        <w:rPr>
          <w:rFonts w:hint="eastAsia" w:ascii="黑体" w:hAnsi="黑体" w:eastAsia="黑体" w:cs="黑体"/>
          <w:color w:val="000000"/>
          <w:sz w:val="24"/>
          <w:szCs w:val="24"/>
        </w:rPr>
        <w:br w:type="page" w:clear="all"/>
      </w:r>
      <w:r>
        <w:rPr>
          <w:rFonts w:hint="eastAsia" w:ascii="黑体" w:hAnsi="黑体" w:eastAsia="黑体" w:cs="黑体"/>
          <w:color w:val="000000"/>
          <w:sz w:val="24"/>
          <w:szCs w:val="24"/>
          <w:lang w:val="en-US"/>
        </w:rPr>
        <w:t xml:space="preserve">五、第一章招标公告中2.1《中华人民共和国政府采购法》第二十二条规定的资格条件证明文件</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（一）具有独立承担民事责任的能力：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2、如供应商是事业单位的，应提供有效的“事业单位法人证书”；</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3、如供应商是非企业专业服务机构的，应提供有效的执业许可证等证明文件；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4、如供应商是个体工商户的，应提供有效的“个体工商户营业执照”；</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5、如供应商是自然人的，应提供有效的自然人身份证明。</w:t>
      </w:r>
      <w:r/>
    </w:p>
    <w:p>
      <w:pPr>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（二）具有良好的商业信誉和健全的财务会计制度：</w:t>
      </w:r>
      <w:r/>
    </w:p>
    <w:p>
      <w:pPr>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2、依法作出的财务状况报告包括经审计的财务报告或银行出具的资信证明或其他会计报表等，能够清晰反映供应商的商业信誉情况；</w:t>
      </w:r>
      <w:r/>
    </w:p>
    <w:p>
      <w:pPr>
        <w:ind w:firstLine="48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3、供应商成立不满一个月或供应商提供金融机构或担保机构出具的保函则可以不需要提供其他财务状况报告。</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（三）具有履行合同所必需的设备和专业技术能力：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1、根据项目需求提供履行合同所必需的设备和专业技术能力的证明材料；</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（四）有依法缴纳税收和社会保障资金的良好记录：</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1、缴纳税收证明材料：供应商参加政府采购活动前六个月内（至少一个月）缴纳增值税或营业税或企业所得税凭据；</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2、缴纳社会保障资金证明材料：供应商参加政府采购活动前六个月内（至少一个月）缴纳社会保险的凭据（专用收据或社会保障缴纳清单）；</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    3、依法免税或不需要缴纳社会保障资金的供应商应提供相关证明材料。</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（五）参加政府采购活动前三年内，在经营活动中没有重大违法记录：</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提供参加本次政府采购活动前3年内在经营活动中没有重大违法记录的书面声明。</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无重大违法记录声明格式：</w:t>
      </w:r>
      <w:r/>
    </w:p>
    <w:p>
      <w:pPr>
        <w:spacing w:line="360" w:lineRule="auto"/>
        <w:rPr>
          <w:rFonts w:ascii="宋体" w:hAnsi="宋体" w:eastAsia="宋体"/>
          <w:color w:val="000000"/>
          <w:sz w:val="21"/>
          <w:szCs w:val="21"/>
        </w:rPr>
      </w:pPr>
      <w:r>
        <w:rPr>
          <w:rFonts w:ascii="宋体" w:hAnsi="宋体" w:eastAsia="宋体"/>
          <w:color w:val="000000"/>
          <w:sz w:val="21"/>
          <w:szCs w:val="21"/>
        </w:rPr>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我单位</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（供应商名称）郑重声明：</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参加政府采购活动前3年内在经营活动中</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（在下划线上如实填写：有或没有）重大违法记录。</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声明人：（</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     月    日</w:t>
      </w:r>
      <w:r/>
    </w:p>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ind w:firstLine="422"/>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（六）法律、行政法规规定的其他条件：</w:t>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jc w:val="center"/>
        <w:spacing w:line="36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六、第一章招标公告中2.2落实政府采购政策需满足的资格要求的证明文件</w:t>
      </w:r>
      <w:r/>
    </w:p>
    <w:p>
      <w:pPr>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七、第一章招标公告中2.3采购人根据采购项目的特殊要求规定的特定条件的证明文件</w:t>
      </w:r>
      <w:r/>
    </w:p>
    <w:p>
      <w:pPr>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八、供应商认为需要提供的其他资格证明文件和商务资料</w:t>
      </w:r>
      <w:r/>
    </w:p>
    <w:p>
      <w:pPr>
        <w:ind w:firstLine="420"/>
        <w:jc w:val="left"/>
        <w:spacing w:line="360" w:lineRule="auto"/>
        <w:widowControl/>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jc w:val="left"/>
        <w:spacing w:line="360" w:lineRule="auto"/>
        <w:widowControl/>
        <w:rPr>
          <w:rFonts w:ascii="宋体" w:hAnsi="宋体" w:eastAsia="宋体"/>
          <w:b/>
          <w:color w:val="000000"/>
          <w:sz w:val="21"/>
          <w:szCs w:val="21"/>
        </w:rPr>
      </w:pPr>
      <w:r>
        <w:rPr>
          <w:rFonts w:hint="eastAsia" w:ascii="宋体" w:hAnsi="宋体" w:eastAsia="宋体"/>
          <w:bCs/>
          <w:color w:val="000000"/>
          <w:sz w:val="21"/>
          <w:szCs w:val="21"/>
          <w:lang w:val="en-US"/>
        </w:rPr>
        <w:t xml:space="preserve">注：各供应商根据企业自身实际情况可提供其他资格证明文件和商务资料，格式自拟。</w:t>
      </w:r>
      <w:r/>
    </w:p>
    <w:p>
      <w:pPr>
        <w:jc w:val="center"/>
        <w:spacing w:line="360" w:lineRule="auto"/>
        <w:widowControl/>
        <w:rPr>
          <w:rFonts w:ascii="黑体" w:hAnsi="黑体" w:eastAsia="黑体" w:cs="黑体"/>
          <w:color w:val="000000"/>
          <w:sz w:val="24"/>
          <w:szCs w:val="24"/>
          <w:lang w:val="en-US"/>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lang w:val="en-US"/>
        </w:rPr>
        <w:t xml:space="preserve">九、《商务条款偏离表》格式</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商务条款偏离表</w:t>
      </w:r>
      <w:r/>
    </w:p>
    <w:tbl>
      <w:tblPr>
        <w:tblStyle w:val="902"/>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W w:w="2952" w:type="dxa"/>
            <w:vAlign w:val="center"/>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招标文件条目号</w:t>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招标文件要求的商务条款</w:t>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投标响应</w:t>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widowControl/>
        <w:rPr>
          <w:rFonts w:ascii="宋体" w:hAnsi="宋体" w:eastAsia="宋体"/>
          <w:b/>
          <w:color w:val="000000"/>
          <w:sz w:val="24"/>
          <w:szCs w:val="24"/>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加盖电子公章</w:t>
      </w:r>
      <w:r>
        <w:rPr>
          <w:rFonts w:hint="eastAsia" w:ascii="宋体" w:hAnsi="宋体" w:eastAsia="宋体"/>
          <w:color w:val="000000"/>
          <w:sz w:val="21"/>
          <w:szCs w:val="21"/>
        </w:rPr>
        <w:t xml:space="preserve">）</w:t>
      </w:r>
      <w:r/>
    </w:p>
    <w:p>
      <w:pPr>
        <w:spacing w:line="420" w:lineRule="auto"/>
        <w:rPr>
          <w:rFonts w:ascii="宋体" w:hAnsi="宋体" w:eastAsia="宋体"/>
          <w:b/>
          <w:color w:val="000000"/>
          <w:sz w:val="24"/>
          <w:szCs w:val="24"/>
        </w:rPr>
      </w:pPr>
      <w:r>
        <w:rPr>
          <w:rFonts w:hint="eastAsia" w:ascii="宋体" w:hAnsi="宋体" w:eastAsia="宋体"/>
          <w:b/>
          <w:color w:val="000000"/>
          <w:sz w:val="24"/>
          <w:szCs w:val="24"/>
        </w:rPr>
        <w:br w:type="page" w:clear="all"/>
      </w:r>
      <w:r/>
    </w:p>
    <w:p>
      <w:pPr>
        <w:pStyle w:val="1124"/>
        <w:ind w:left="0"/>
        <w:jc w:val="right"/>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hint="eastAsia" w:ascii="黑体" w:hAnsi="宋体" w:eastAsia="黑体"/>
          <w:bCs/>
          <w:color w:val="000000"/>
          <w:sz w:val="32"/>
          <w:szCs w:val="32"/>
        </w:rPr>
        <w:t xml:space="preserve">南京信息职业技术学院生活泵房改造项目</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技术部分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hint="eastAsia" w:ascii="宋体" w:hAnsi="宋体" w:eastAsia="宋体"/>
          <w:b/>
          <w:color w:val="000000"/>
          <w:sz w:val="24"/>
          <w:szCs w:val="24"/>
        </w:rPr>
        <w:br w:type="page" w:clear="all"/>
      </w:r>
      <w:r>
        <w:rPr>
          <w:rFonts w:hint="eastAsia" w:ascii="黑体" w:eastAsia="黑体"/>
          <w:color w:val="000000"/>
          <w:sz w:val="32"/>
          <w:szCs w:val="32"/>
        </w:rPr>
        <w:t xml:space="preserve">目  录</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一、货物品牌、型号、材质、主要技术（服务）指标和性能、制造商、生产企业名称等详细说明…X</w:t>
      </w:r>
      <w:r/>
    </w:p>
    <w:p>
      <w:pPr>
        <w:jc w:val="left"/>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二、《投标项目主要产品一览表》…………………………………………………………………………X</w:t>
      </w:r>
      <w:r/>
    </w:p>
    <w:p>
      <w:pPr>
        <w:jc w:val="left"/>
        <w:spacing w:line="60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三、《供货一览表》</w:t>
      </w:r>
      <w:r>
        <w:rPr>
          <w:rFonts w:hint="eastAsia" w:ascii="宋体" w:hAnsi="宋体" w:eastAsia="宋体"/>
          <w:color w:val="000000"/>
          <w:sz w:val="21"/>
          <w:szCs w:val="21"/>
        </w:rPr>
        <w:t xml:space="preserve">…………………………………………………………………………………………X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四、货物安装验收标准………………………………………………………………………………………X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五、项目实施方案……………………………………………………………………………………………X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六、服务承诺…………………………………………………………………………………………………X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七、供应商认为需要提供的其他技术资料等………………………………………………………………X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八、第四章评标标准要求提供的方案或相关证明材料等…………………………………………………X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九、《技术条款偏离表》及其他表格格式…………………………………………………………………X</w:t>
      </w:r>
      <w:r/>
    </w:p>
    <w:p>
      <w:pPr>
        <w:spacing w:before="100" w:beforeAutospacing="1" w:after="100" w:afterAutospacing="1" w:line="360" w:lineRule="auto"/>
        <w:rPr>
          <w:rFonts w:ascii="宋体" w:hAnsi="宋体" w:eastAsia="宋体"/>
          <w:color w:val="000000"/>
          <w:sz w:val="21"/>
          <w:szCs w:val="21"/>
        </w:rPr>
      </w:pPr>
      <w:r>
        <w:rPr>
          <w:rFonts w:hint="eastAsia" w:ascii="宋体" w:hAnsi="宋体" w:eastAsia="宋体"/>
          <w:color w:val="000000"/>
          <w:sz w:val="21"/>
          <w:szCs w:val="21"/>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widowControl/>
        <w:rPr>
          <w:rFonts w:ascii="宋体" w:hAnsi="宋体" w:eastAsia="宋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表格格式（仅供参考，可按需调整或删除）</w:t>
      </w:r>
      <w:r/>
    </w:p>
    <w:p>
      <w:pPr>
        <w:jc w:val="left"/>
        <w:spacing w:line="36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（一）投标项目主要产品一览表格式</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投标项目主要产品一览表</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（至少填报</w:t>
      </w:r>
      <w:r>
        <w:rPr>
          <w:rFonts w:hint="eastAsia" w:ascii="宋体" w:hAnsi="宋体" w:eastAsia="宋体"/>
          <w:color w:val="000000"/>
          <w:sz w:val="21"/>
          <w:szCs w:val="21"/>
          <w:lang w:val="en-US"/>
        </w:rPr>
        <w:t xml:space="preserve">核心产品以及</w:t>
      </w:r>
      <w:r>
        <w:rPr>
          <w:rFonts w:hint="eastAsia" w:ascii="宋体" w:hAnsi="宋体" w:eastAsia="宋体"/>
          <w:color w:val="000000"/>
          <w:sz w:val="21"/>
          <w:szCs w:val="21"/>
        </w:rPr>
        <w:t xml:space="preserve">单价最高的产品）</w:t>
      </w:r>
      <w:r/>
    </w:p>
    <w:tbl>
      <w:tblPr>
        <w:tblStyle w:val="902"/>
        <w:tblpPr w:horzAnchor="margin" w:tblpXSpec="left"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9" w:type="dxa"/>
            <w:vAlign w:val="center"/>
            <w:textDirection w:val="lrTb"/>
            <w:noWrap w:val="false"/>
          </w:tcPr>
          <w:p>
            <w:pP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w:t>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品牌、规格或型号</w:t>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数量</w:t>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单价（元）</w:t>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质保年限</w:t>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bookmarkStart w:id="70" w:name="OLE_LINK26"/>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70"/>
      <w:r>
        <w:rPr>
          <w:rFonts w:hint="eastAsia" w:ascii="宋体" w:hAnsi="宋体" w:eastAsia="宋体"/>
          <w:color w:val="000000"/>
          <w:sz w:val="21"/>
          <w:szCs w:val="21"/>
        </w:rPr>
        <w:t xml:space="preserve">）</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（二）供货一览表格式</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供货一览表</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（含配件、备品、消耗材料）</w:t>
      </w:r>
      <w:r/>
    </w:p>
    <w:tbl>
      <w:tblPr>
        <w:tblStyle w:val="9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4"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gridSpan w:val="2"/>
            <w:tcW w:w="181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货物1名称</w:t>
            </w:r>
            <w:r/>
          </w:p>
        </w:tc>
        <w:tc>
          <w:tcPr>
            <w:gridSpan w:val="2"/>
            <w:tcW w:w="12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31"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品牌</w:t>
            </w:r>
            <w:r/>
          </w:p>
        </w:tc>
        <w:tc>
          <w:tcPr>
            <w:gridSpan w:val="2"/>
            <w:tcW w:w="172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398"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规格、型号</w:t>
            </w:r>
            <w:r/>
          </w:p>
        </w:tc>
        <w:tc>
          <w:tcPr>
            <w:tcW w:w="1561"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gridSpan w:val="2"/>
            <w:tcW w:w="181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生产企业名称</w:t>
            </w:r>
            <w:r/>
          </w:p>
        </w:tc>
        <w:tc>
          <w:tcPr>
            <w:gridSpan w:val="3"/>
            <w:tcW w:w="280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72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生产企业地址</w:t>
            </w:r>
            <w:r/>
          </w:p>
        </w:tc>
        <w:tc>
          <w:tcPr>
            <w:gridSpan w:val="2"/>
            <w:tcW w:w="2959"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w:t>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数量</w:t>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主要技术参数</w:t>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说明：如果行数不够，请自行增加。</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br w:type="page" w:clear="all"/>
      </w:r>
      <w:r>
        <w:rPr>
          <w:rFonts w:hint="eastAsia" w:ascii="宋体" w:hAnsi="宋体" w:eastAsia="宋体"/>
          <w:b/>
          <w:color w:val="000000"/>
          <w:sz w:val="21"/>
          <w:szCs w:val="21"/>
        </w:rPr>
        <w:t xml:space="preserve">（三）供应商类似业绩情况表格式</w:t>
      </w:r>
      <w:r/>
    </w:p>
    <w:p>
      <w:pPr>
        <w:jc w:val="center"/>
        <w:spacing w:line="480" w:lineRule="auto"/>
        <w:rPr>
          <w:rFonts w:ascii="宋体" w:hAnsi="宋体" w:eastAsia="宋体"/>
          <w:bCs/>
          <w:color w:val="000000"/>
          <w:sz w:val="21"/>
          <w:szCs w:val="21"/>
        </w:rPr>
      </w:pPr>
      <w:r>
        <w:rPr>
          <w:rFonts w:hint="eastAsia" w:ascii="宋体" w:hAnsi="宋体" w:eastAsia="宋体"/>
          <w:bCs/>
          <w:color w:val="000000"/>
          <w:sz w:val="21"/>
          <w:szCs w:val="21"/>
        </w:rPr>
        <w:t xml:space="preserve">供应商类似业绩情况表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2310"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tcW w:w="2257"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采购单位</w:t>
            </w:r>
            <w:r/>
          </w:p>
        </w:tc>
        <w:tc>
          <w:tcPr>
            <w:tcW w:w="1255"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金额</w:t>
            </w:r>
            <w:r/>
          </w:p>
        </w:tc>
        <w:tc>
          <w:tcPr>
            <w:tcW w:w="1418" w:type="dxa"/>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合同签定</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时间</w:t>
            </w:r>
            <w:r/>
          </w:p>
        </w:tc>
        <w:tc>
          <w:tcPr>
            <w:tcW w:w="1134" w:type="dxa"/>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联系人及电话</w:t>
            </w:r>
            <w:r/>
          </w:p>
        </w:tc>
        <w:tc>
          <w:tcPr>
            <w:tcW w:w="969"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ind w:firstLine="105"/>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bl>
    <w:p>
      <w:pPr>
        <w:spacing w:line="480" w:lineRule="auto"/>
        <w:rPr>
          <w:rFonts w:ascii="宋体" w:hAnsi="宋体" w:eastAsia="宋体"/>
          <w:bCs/>
          <w:color w:val="000000"/>
          <w:sz w:val="21"/>
          <w:szCs w:val="21"/>
        </w:rPr>
      </w:pPr>
      <w:r>
        <w:rPr>
          <w:rFonts w:hint="eastAsia" w:ascii="宋体" w:hAnsi="宋体" w:eastAsia="宋体"/>
          <w:bCs/>
          <w:color w:val="000000"/>
          <w:sz w:val="21"/>
          <w:szCs w:val="21"/>
        </w:rPr>
        <w:t xml:space="preserve">说明：供应商根据本格式要求如实填写业绩情况表，并附业绩合同复印件。</w:t>
      </w:r>
      <w:r/>
    </w:p>
    <w:p>
      <w:pPr>
        <w:jc w:val="left"/>
        <w:spacing w:line="480" w:lineRule="auto"/>
        <w:widowControl/>
        <w:rPr>
          <w:rFonts w:ascii="宋体" w:hAnsi="宋体" w:eastAsia="宋体"/>
          <w:bCs/>
          <w:color w:val="000000"/>
          <w:sz w:val="21"/>
          <w:szCs w:val="21"/>
        </w:rPr>
      </w:pPr>
      <w:r>
        <w:rPr>
          <w:rFonts w:hint="eastAsia" w:ascii="宋体" w:hAnsi="宋体" w:eastAsia="宋体"/>
          <w:bCs/>
          <w:color w:val="000000"/>
          <w:sz w:val="21"/>
          <w:szCs w:val="21"/>
        </w:rPr>
        <w:t xml:space="preserve">供应商名称：</w:t>
      </w:r>
      <w:r>
        <w:rPr>
          <w:rFonts w:hint="eastAsia" w:ascii="宋体" w:hAnsi="宋体" w:eastAsia="宋体"/>
          <w:bCs/>
          <w:color w:val="000000"/>
          <w:sz w:val="21"/>
          <w:szCs w:val="21"/>
          <w:u w:val="single"/>
        </w:rPr>
        <w:t xml:space="preserve"></w:t>
      </w:r>
      <w:r>
        <w:rPr>
          <w:rFonts w:hint="eastAsia" w:ascii="宋体" w:hAnsi="宋体" w:eastAsia="宋体"/>
          <w:bCs/>
          <w:color w:val="000000"/>
          <w:sz w:val="21"/>
          <w:szCs w:val="21"/>
        </w:rPr>
        <w:t xml:space="preserve">（</w:t>
      </w:r>
      <w:bookmarkStart w:id="71" w:name="OLE_LINK27"/>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71"/>
      <w:r>
        <w:rPr>
          <w:rFonts w:hint="eastAsia" w:ascii="宋体" w:hAnsi="宋体" w:eastAsia="宋体"/>
          <w:bCs/>
          <w:color w:val="000000"/>
          <w:sz w:val="21"/>
          <w:szCs w:val="21"/>
        </w:rPr>
        <w:t xml:space="preserve">）</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（四）技术条款偏离表格式</w:t>
      </w:r>
      <w:r/>
    </w:p>
    <w:p>
      <w:pPr>
        <w:ind w:left="420"/>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技术条款偏离表</w:t>
      </w:r>
      <w:r/>
    </w:p>
    <w:tbl>
      <w:tblPr>
        <w:tblStyle w:val="902"/>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采购项目要求提供的</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80"/>
        <w:jc w:val="left"/>
        <w:spacing w:line="420" w:lineRule="auto"/>
        <w:widowControl/>
        <w:rPr>
          <w:rFonts w:ascii="黑体" w:hAnsi="宋体" w:eastAsia="黑体"/>
          <w:color w:val="000000"/>
          <w:sz w:val="32"/>
          <w:szCs w:val="32"/>
        </w:rPr>
      </w:pPr>
      <w:r>
        <w:rPr>
          <w:rFonts w:hint="eastAsia" w:ascii="宋体" w:hAnsi="宋体" w:eastAsia="宋体"/>
          <w:color w:val="000000"/>
          <w:sz w:val="24"/>
          <w:szCs w:val="24"/>
        </w:rPr>
        <w:br w:type="page" w:clear="all"/>
      </w:r>
      <w:r/>
    </w:p>
    <w:p>
      <w:pPr>
        <w:jc w:val="center"/>
        <w:spacing w:line="360" w:lineRule="auto"/>
        <w:rPr>
          <w:rFonts w:ascii="黑体" w:hAnsi="宋体" w:eastAsia="黑体"/>
          <w:color w:val="000000"/>
          <w:sz w:val="32"/>
          <w:szCs w:val="32"/>
        </w:rPr>
      </w:pPr>
      <w:r>
        <w:rPr>
          <w:rFonts w:hint="eastAsia" w:ascii="黑体" w:hAnsi="宋体" w:eastAsia="黑体"/>
          <w:bCs/>
          <w:color w:val="000000"/>
          <w:sz w:val="32"/>
          <w:szCs w:val="32"/>
        </w:rPr>
        <w:t xml:space="preserve">南京信息职业技术学院生活泵房改造项目</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价格部分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spacing w:line="360" w:lineRule="auto"/>
        <w:rPr>
          <w:rFonts w:ascii="黑体" w:hAnsi="宋体" w:eastAsia="黑体"/>
          <w:bCs/>
          <w:color w:val="000000"/>
          <w:sz w:val="32"/>
          <w:szCs w:val="32"/>
        </w:rPr>
      </w:pPr>
      <w:r>
        <w:rPr>
          <w:rFonts w:ascii="黑体" w:hAnsi="宋体" w:eastAsia="黑体"/>
          <w:bCs/>
          <w:color w:val="000000"/>
          <w:sz w:val="32"/>
          <w:szCs w:val="32"/>
        </w:rPr>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2880"/>
        <w:spacing w:line="420" w:lineRule="auto"/>
        <w:rPr>
          <w:rFonts w:ascii="黑体" w:hAnsi="宋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p>
    <w:p>
      <w:pPr>
        <w:jc w:val="center"/>
        <w:spacing w:line="420" w:lineRule="auto"/>
        <w:rPr>
          <w:rFonts w:ascii="黑体" w:hAnsi="黑体" w:eastAsia="黑体" w:cs="黑体"/>
          <w:color w:val="000000"/>
          <w:sz w:val="28"/>
          <w:szCs w:val="28"/>
        </w:rPr>
      </w:pPr>
      <w:r>
        <w:rPr>
          <w:rFonts w:hint="eastAsia"/>
          <w:color w:val="000000"/>
        </w:rPr>
        <w:br w:type="page" w:clear="all"/>
      </w:r>
      <w:r>
        <w:rPr>
          <w:rFonts w:hint="eastAsia" w:ascii="黑体" w:hAnsi="黑体" w:eastAsia="黑体" w:cs="黑体"/>
          <w:color w:val="000000"/>
          <w:sz w:val="28"/>
          <w:szCs w:val="28"/>
        </w:rPr>
        <w:t xml:space="preserve">一、开标一览表格式</w:t>
      </w:r>
      <w:r/>
    </w:p>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《开标一览表》</w:t>
      </w:r>
      <w:r/>
    </w:p>
    <w:tbl>
      <w:tblPr>
        <w:tblStyle w:val="902"/>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205"/>
        <w:gridCol w:w="675"/>
        <w:gridCol w:w="2520"/>
        <w:gridCol w:w="1350"/>
        <w:gridCol w:w="2074"/>
      </w:tblGrid>
      <w:tr>
        <w:trPr>
          <w:jc w:val="center"/>
          <w:trHeight w:val="702"/>
        </w:trPr>
        <w:tc>
          <w:tcPr>
            <w:tcW w:w="682"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序号</w:t>
            </w:r>
            <w:r/>
          </w:p>
        </w:tc>
        <w:tc>
          <w:tcPr>
            <w:tcW w:w="2205"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项目名称</w:t>
            </w:r>
            <w:r/>
          </w:p>
        </w:tc>
        <w:tc>
          <w:tcPr>
            <w:gridSpan w:val="2"/>
            <w:tcW w:w="3195" w:type="dxa"/>
            <w:vAlign w:val="center"/>
            <w:textDirection w:val="lrTb"/>
            <w:noWrap w:val="false"/>
          </w:tcPr>
          <w:p>
            <w:pPr>
              <w:pStyle w:val="1120"/>
              <w:jc w:val="center"/>
              <w:spacing w:line="360" w:lineRule="auto"/>
              <w:rPr>
                <w:rFonts w:hAnsi="宋体" w:cs="宋体"/>
                <w:color w:val="000000"/>
                <w:szCs w:val="21"/>
              </w:rPr>
            </w:pPr>
            <w:r>
              <w:rPr>
                <w:rFonts w:hAnsi="宋体" w:cs="宋体"/>
                <w:color w:val="000000"/>
                <w:szCs w:val="21"/>
              </w:rPr>
            </w:r>
            <w:r/>
          </w:p>
        </w:tc>
        <w:tc>
          <w:tcPr>
            <w:tcW w:w="1350"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项目编号</w:t>
            </w:r>
            <w:r/>
          </w:p>
        </w:tc>
        <w:tc>
          <w:tcPr>
            <w:tcW w:w="2074" w:type="dxa"/>
            <w:vAlign w:val="center"/>
            <w:textDirection w:val="lrTb"/>
            <w:noWrap w:val="false"/>
          </w:tcPr>
          <w:p>
            <w:pPr>
              <w:pStyle w:val="1120"/>
              <w:jc w:val="center"/>
              <w:spacing w:line="360" w:lineRule="auto"/>
              <w:rPr>
                <w:rFonts w:hAnsi="宋体" w:cs="宋体"/>
                <w:color w:val="000000"/>
                <w:szCs w:val="21"/>
              </w:rPr>
            </w:pPr>
            <w:r>
              <w:rPr>
                <w:rFonts w:hAnsi="宋体" w:cs="宋体"/>
                <w:color w:val="000000"/>
                <w:szCs w:val="21"/>
              </w:rPr>
            </w:r>
            <w:r/>
          </w:p>
        </w:tc>
      </w:tr>
      <w:tr>
        <w:trPr>
          <w:jc w:val="center"/>
          <w:trHeight w:val="1463"/>
        </w:trPr>
        <w:tc>
          <w:tcPr>
            <w:tcW w:w="682" w:type="dxa"/>
            <w:vAlign w:val="center"/>
            <w:vMerge w:val="restart"/>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1</w:t>
            </w:r>
            <w:r/>
          </w:p>
        </w:tc>
        <w:tc>
          <w:tcPr>
            <w:tcW w:w="2205" w:type="dxa"/>
            <w:vAlign w:val="center"/>
            <w:vMerge w:val="restart"/>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投标总价</w:t>
            </w:r>
            <w:r/>
          </w:p>
        </w:tc>
        <w:tc>
          <w:tcPr>
            <w:tcW w:w="675" w:type="dxa"/>
            <w:vAlign w:val="center"/>
            <w:vMerge w:val="restart"/>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合计</w:t>
            </w:r>
            <w:r/>
          </w:p>
        </w:tc>
        <w:tc>
          <w:tcPr>
            <w:gridSpan w:val="3"/>
            <w:tcW w:w="5944" w:type="dxa"/>
            <w:vAlign w:val="center"/>
            <w:textDirection w:val="lrTb"/>
            <w:noWrap w:val="false"/>
          </w:tcPr>
          <w:p>
            <w:pPr>
              <w:pStyle w:val="1120"/>
              <w:jc w:val="center"/>
              <w:spacing w:line="360" w:lineRule="auto"/>
              <w:rPr>
                <w:rFonts w:hAnsi="宋体" w:cs="宋体"/>
                <w:color w:val="000000"/>
                <w:szCs w:val="21"/>
                <w:u w:val="single"/>
              </w:rPr>
            </w:pPr>
            <w:r>
              <w:rPr>
                <w:rFonts w:hint="eastAsia" w:hAnsi="宋体" w:cs="宋体"/>
                <w:color w:val="000000"/>
                <w:szCs w:val="21"/>
                <w:u w:val="single"/>
              </w:rPr>
              <w:t xml:space="preserve">                            元（大写）</w:t>
            </w:r>
            <w:r/>
          </w:p>
        </w:tc>
      </w:tr>
      <w:tr>
        <w:trPr>
          <w:jc w:val="center"/>
          <w:trHeight w:val="1463"/>
        </w:trPr>
        <w:tc>
          <w:tcPr>
            <w:tcW w:w="682" w:type="dxa"/>
            <w:vAlign w:val="center"/>
            <w:vMerge w:val="continue"/>
            <w:textDirection w:val="lrTb"/>
            <w:noWrap w:val="false"/>
          </w:tcPr>
          <w:p>
            <w:pPr>
              <w:pStyle w:val="1120"/>
              <w:jc w:val="center"/>
              <w:spacing w:line="360" w:lineRule="auto"/>
              <w:rPr>
                <w:rFonts w:hAnsi="宋体" w:cs="宋体"/>
                <w:color w:val="000000"/>
                <w:szCs w:val="21"/>
              </w:rPr>
            </w:pPr>
            <w:r>
              <w:rPr>
                <w:rFonts w:hAnsi="宋体" w:cs="宋体"/>
                <w:color w:val="000000"/>
                <w:szCs w:val="21"/>
              </w:rPr>
            </w:r>
            <w:r/>
          </w:p>
        </w:tc>
        <w:tc>
          <w:tcPr>
            <w:tcW w:w="2205" w:type="dxa"/>
            <w:vAlign w:val="center"/>
            <w:vMerge w:val="continue"/>
            <w:textDirection w:val="lrTb"/>
            <w:noWrap w:val="false"/>
          </w:tcPr>
          <w:p>
            <w:pPr>
              <w:pStyle w:val="1120"/>
              <w:jc w:val="center"/>
              <w:spacing w:line="360" w:lineRule="auto"/>
              <w:rPr>
                <w:rFonts w:hAnsi="宋体" w:cs="宋体"/>
                <w:color w:val="000000"/>
                <w:szCs w:val="21"/>
              </w:rPr>
            </w:pPr>
            <w:r>
              <w:rPr>
                <w:rFonts w:hAnsi="宋体" w:cs="宋体"/>
                <w:color w:val="000000"/>
                <w:szCs w:val="21"/>
              </w:rPr>
            </w:r>
            <w:r/>
          </w:p>
        </w:tc>
        <w:tc>
          <w:tcPr>
            <w:tcW w:w="675" w:type="dxa"/>
            <w:vAlign w:val="center"/>
            <w:vMerge w:val="continue"/>
            <w:textDirection w:val="lrTb"/>
            <w:noWrap w:val="false"/>
          </w:tcPr>
          <w:p>
            <w:pPr>
              <w:pStyle w:val="1120"/>
              <w:jc w:val="center"/>
              <w:spacing w:line="360" w:lineRule="auto"/>
              <w:rPr>
                <w:rFonts w:hAnsi="宋体" w:cs="宋体"/>
                <w:color w:val="000000"/>
                <w:szCs w:val="21"/>
              </w:rPr>
            </w:pPr>
            <w:r>
              <w:rPr>
                <w:rFonts w:hAnsi="宋体" w:cs="宋体"/>
                <w:color w:val="000000"/>
                <w:szCs w:val="21"/>
              </w:rPr>
            </w:r>
            <w:r/>
          </w:p>
        </w:tc>
        <w:tc>
          <w:tcPr>
            <w:gridSpan w:val="3"/>
            <w:tcW w:w="5944" w:type="dxa"/>
            <w:vAlign w:val="center"/>
            <w:textDirection w:val="lrTb"/>
            <w:noWrap w:val="false"/>
          </w:tcPr>
          <w:p>
            <w:pPr>
              <w:pStyle w:val="1120"/>
              <w:jc w:val="center"/>
              <w:spacing w:line="360" w:lineRule="auto"/>
              <w:rPr>
                <w:rFonts w:hAnsi="宋体" w:cs="宋体"/>
                <w:color w:val="000000"/>
                <w:szCs w:val="21"/>
                <w:u w:val="single"/>
              </w:rPr>
            </w:pPr>
            <w:r>
              <w:rPr>
                <w:rFonts w:hint="eastAsia" w:hAnsi="宋体" w:cs="宋体"/>
                <w:color w:val="000000"/>
                <w:szCs w:val="21"/>
                <w:u w:val="single"/>
              </w:rPr>
              <w:t xml:space="preserve">                           元（小写）</w:t>
            </w:r>
            <w:r/>
          </w:p>
        </w:tc>
      </w:tr>
      <w:tr>
        <w:trPr>
          <w:jc w:val="center"/>
          <w:trHeight w:val="872"/>
        </w:trPr>
        <w:tc>
          <w:tcPr>
            <w:tcW w:w="682"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2</w:t>
            </w:r>
            <w:r/>
          </w:p>
        </w:tc>
        <w:tc>
          <w:tcPr>
            <w:tcW w:w="2205"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项目交付时间</w:t>
            </w:r>
            <w:r/>
          </w:p>
        </w:tc>
        <w:tc>
          <w:tcPr>
            <w:gridSpan w:val="4"/>
            <w:tcW w:w="6619"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满足招标文件要求</w:t>
            </w:r>
            <w:r/>
          </w:p>
        </w:tc>
      </w:tr>
      <w:tr>
        <w:trPr>
          <w:jc w:val="center"/>
          <w:trHeight w:val="1192"/>
        </w:trPr>
        <w:tc>
          <w:tcPr>
            <w:tcW w:w="682" w:type="dxa"/>
            <w:vAlign w:val="center"/>
            <w:textDirection w:val="lrTb"/>
            <w:noWrap w:val="false"/>
          </w:tcPr>
          <w:p>
            <w:pPr>
              <w:pStyle w:val="1120"/>
              <w:jc w:val="center"/>
              <w:spacing w:line="360" w:lineRule="auto"/>
              <w:rPr>
                <w:rFonts w:hAnsi="宋体" w:cs="宋体"/>
                <w:color w:val="000000"/>
                <w:szCs w:val="21"/>
              </w:rPr>
            </w:pPr>
            <w:r>
              <w:rPr>
                <w:rFonts w:hint="eastAsia" w:hAnsi="宋体" w:cs="宋体"/>
                <w:color w:val="000000"/>
                <w:szCs w:val="21"/>
              </w:rPr>
              <w:t xml:space="preserve">3</w:t>
            </w:r>
            <w:r/>
          </w:p>
        </w:tc>
        <w:tc>
          <w:tcPr>
            <w:tcW w:w="2205"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供应商提供的货物是否均为小微企业制造的货物</w:t>
            </w:r>
            <w:r/>
          </w:p>
        </w:tc>
        <w:tc>
          <w:tcPr>
            <w:gridSpan w:val="4"/>
            <w:tcW w:w="6619"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是       否</w:t>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lang w:val="en-US"/>
        </w:rPr>
        <w:t xml:space="preserve">供应商提供的货物存在中型企业或大型企业制造的货物，请在</w:t>
      </w:r>
      <w:r>
        <w:rPr>
          <w:rFonts w:hint="eastAsia" w:ascii="宋体" w:hAnsi="宋体" w:eastAsia="宋体"/>
          <w:color w:val="000000"/>
          <w:sz w:val="21"/>
          <w:szCs w:val="21"/>
        </w:rPr>
        <w:t xml:space="preserve">“否”上打“√”。</w:t>
      </w:r>
      <w:r/>
    </w:p>
    <w:p>
      <w:pPr>
        <w:ind w:firstLine="630"/>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spacing w:line="360" w:lineRule="auto"/>
        <w:tabs>
          <w:tab w:val="center" w:pos="4535" w:leader="none"/>
        </w:tabs>
        <w:rPr>
          <w:rFonts w:ascii="宋体" w:hAnsi="宋体" w:eastAsia="宋体"/>
          <w:color w:val="000000"/>
          <w:sz w:val="21"/>
          <w:szCs w:val="21"/>
        </w:rPr>
      </w:pPr>
      <w:r>
        <w:rPr>
          <w:rFonts w:ascii="宋体" w:hAnsi="宋体" w:eastAsia="宋体"/>
          <w:color w:val="000000"/>
          <w:sz w:val="21"/>
          <w:szCs w:val="21"/>
        </w:rPr>
      </w:r>
      <w:r/>
    </w:p>
    <w:p>
      <w:pPr>
        <w:spacing w:line="360" w:lineRule="auto"/>
        <w:rPr>
          <w:rFonts w:ascii="宋体" w:hAnsi="宋体" w:eastAsia="宋体"/>
          <w:color w:val="000000"/>
          <w:sz w:val="24"/>
          <w:szCs w:val="24"/>
        </w:rPr>
      </w:pPr>
      <w:r>
        <w:rPr>
          <w:rFonts w:ascii="宋体" w:hAnsi="宋体" w:eastAsia="宋体"/>
          <w:color w:val="000000"/>
          <w:sz w:val="24"/>
          <w:szCs w:val="24"/>
        </w:rPr>
      </w:r>
      <w:r/>
    </w:p>
    <w:p>
      <w:pPr>
        <w:spacing w:line="360" w:lineRule="auto"/>
        <w:rPr>
          <w:rFonts w:eastAsia="宋体"/>
          <w:color w:val="000000"/>
        </w:rPr>
      </w:pPr>
      <w:r>
        <w:rPr>
          <w:rFonts w:eastAsia="宋体"/>
          <w:color w:val="000000"/>
        </w:rPr>
      </w:r>
      <w:r/>
    </w:p>
    <w:p>
      <w:pPr>
        <w:jc w:val="center"/>
        <w:spacing w:line="360" w:lineRule="auto"/>
        <w:rPr>
          <w:rFonts w:ascii="黑体" w:hAnsi="黑体" w:eastAsia="黑体" w:cs="黑体"/>
          <w:bCs/>
          <w:color w:val="000000"/>
          <w:sz w:val="28"/>
          <w:szCs w:val="28"/>
        </w:rPr>
      </w:pPr>
      <w:r>
        <w:rPr>
          <w:rFonts w:hint="eastAsia" w:eastAsia="宋体"/>
          <w:color w:val="000000"/>
        </w:rPr>
        <w:br w:type="page" w:clear="all"/>
      </w:r>
      <w:r>
        <w:rPr>
          <w:rFonts w:hint="eastAsia" w:ascii="黑体" w:hAnsi="黑体" w:eastAsia="黑体" w:cs="黑体"/>
          <w:bCs/>
          <w:color w:val="000000"/>
          <w:sz w:val="28"/>
          <w:szCs w:val="28"/>
        </w:rPr>
        <w:t xml:space="preserve">二、分项报价表格式</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《分项报价表》</w:t>
      </w:r>
      <w:r/>
    </w:p>
    <w:p>
      <w:pPr>
        <w:pStyle w:val="925"/>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925"/>
        <w:ind w:firstLine="480"/>
        <w:jc w:val="both"/>
        <w:spacing w:before="0" w:beforeAutospacing="0" w:after="0" w:afterAutospacing="0" w:line="360" w:lineRule="auto"/>
        <w:rPr>
          <w:highlight w:val="white"/>
        </w:rPr>
      </w:pPr>
      <w:r>
        <w:rPr>
          <w:rFonts w:hint="eastAsia"/>
          <w:highlight w:val="white"/>
        </w:rPr>
        <w:t xml:space="preserve">备注： </w:t>
      </w:r>
      <w:r/>
    </w:p>
    <w:p>
      <w:pPr>
        <w:pStyle w:val="925"/>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925"/>
        <w:ind w:firstLine="480"/>
        <w:jc w:val="both"/>
        <w:spacing w:before="0" w:beforeAutospacing="0" w:after="0" w:afterAutospacing="0" w:line="360" w:lineRule="auto"/>
        <w:rPr>
          <w:highlight w:val="white"/>
        </w:rPr>
      </w:pPr>
      <w:r>
        <w:rPr>
          <w:rFonts w:hint="eastAsia"/>
          <w:highlight w:val="white"/>
        </w:rPr>
        <w:t xml:space="preserve">2.《分项报价表》中“总报价”应当与《磋商报价表》中“总报价”一致。</w:t>
      </w:r>
      <w:r/>
    </w:p>
    <w:p>
      <w:pPr>
        <w:pStyle w:val="925"/>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925"/>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spacing w:line="480" w:lineRule="auto"/>
        <w:rPr>
          <w:rFonts w:ascii="宋体" w:hAnsi="宋体" w:eastAsia="宋体"/>
          <w:bCs/>
          <w:color w:val="000000"/>
          <w:sz w:val="21"/>
          <w:szCs w:val="21"/>
        </w:rPr>
      </w:pPr>
      <w:r>
        <w:rPr>
          <w:rFonts w:ascii="宋体" w:hAnsi="宋体" w:eastAsia="宋体"/>
          <w:bCs/>
          <w:color w:val="000000"/>
          <w:sz w:val="21"/>
          <w:szCs w:val="21"/>
        </w:rPr>
      </w:r>
      <w:r/>
    </w:p>
    <w:sectPr>
      <w:headerReference w:type="default" r:id="rId11"/>
      <w:footerReference w:type="default" r:id="rId17"/>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Segoe UI">
    <w:panose1 w:val="020B0502040204020203"/>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仿宋">
    <w:panose1 w:val="02010609060101010101"/>
  </w:font>
  <w:font w:name="方正楷体_GB2312">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miter/>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sz w:val="21"/>
        <w:szCs w:val="21"/>
      </w:rPr>
    </w:pPr>
    <w:r>
      <w:rPr>
        <w:rFonts w:hint="eastAsia" w:ascii="楷体" w:hAnsi="楷体" w:eastAsia="楷体" w:cs="楷体"/>
        <w:sz w:val="21"/>
        <w:szCs w:val="21"/>
      </w:rPr>
      <w:t xml:space="preserve">江苏省华厦工程项目管理有限公司</w:t>
    </w:r>
    <w:r/>
  </w:p>
  <w:p>
    <w:pPr>
      <w:pStyle w:val="112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center"/>
      <w:tabs>
        <w:tab w:val="left" w:pos="238" w:leader="none"/>
      </w:tabs>
      <w:rPr>
        <w:rFonts w:eastAsia="楷体_GB2312"/>
        <w:i/>
      </w:rPr>
    </w:pPr>
    <w:r>
      <w:rPr>
        <w:rFonts w:hint="eastAsia" w:eastAsia="楷体_GB2312"/>
        <w:iCs/>
      </w:rPr>
      <w:t xml:space="preserve">南京信息职业技术学院标准化泵房建设项目</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ascii="楷体" w:hAnsi="楷体" w:eastAsia="楷体" w:cs="楷体"/>
        <w:iCs/>
      </w:rPr>
    </w:pPr>
    <w:r>
      <w:rPr>
        <w:rFonts w:hint="eastAsia" w:ascii="楷体" w:hAnsi="楷体" w:eastAsia="楷体" w:cs="楷体"/>
        <w:iCs/>
      </w:rPr>
      <w:t xml:space="preserve">南京信息职业技术学院生活泵房改造项目公开招标文件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8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7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43"/>
      <w:isLgl w:val="false"/>
      <w:suff w:val="tab"/>
      <w:lvlText w:val="%1"/>
      <w:lvlJc w:val="left"/>
      <w:pPr>
        <w:ind w:left="567" w:hanging="567"/>
        <w:tabs>
          <w:tab w:val="left" w:pos="567" w:leader="none"/>
        </w:tabs>
      </w:pPr>
      <w:rPr>
        <w:rFonts w:hint="eastAsia"/>
      </w:rPr>
    </w:lvl>
    <w:lvl w:ilvl="1">
      <w:start w:val="1"/>
      <w:numFmt w:val="decimal"/>
      <w:pStyle w:val="1284"/>
      <w:isLgl w:val="false"/>
      <w:suff w:val="tab"/>
      <w:lvlText w:val="%1.%2"/>
      <w:lvlJc w:val="left"/>
      <w:pPr>
        <w:ind w:left="567" w:hanging="283"/>
        <w:tabs>
          <w:tab w:val="left" w:pos="1004" w:leader="none"/>
        </w:tabs>
      </w:pPr>
      <w:rPr>
        <w:rFonts w:hint="eastAsia"/>
      </w:rPr>
    </w:lvl>
    <w:lvl w:ilvl="2">
      <w:start w:val="1"/>
      <w:numFmt w:val="decimal"/>
      <w:pStyle w:val="146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pStyle w:val="134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901"/>
    <w:link w:val="892"/>
    <w:uiPriority w:val="9"/>
    <w:rPr>
      <w:rFonts w:ascii="Arial" w:hAnsi="Arial" w:eastAsia="Arial" w:cs="Arial"/>
      <w:sz w:val="40"/>
      <w:szCs w:val="40"/>
    </w:rPr>
  </w:style>
  <w:style w:type="character" w:styleId="855">
    <w:name w:val="Heading 2 Char"/>
    <w:basedOn w:val="901"/>
    <w:link w:val="893"/>
    <w:uiPriority w:val="9"/>
    <w:rPr>
      <w:rFonts w:ascii="Arial" w:hAnsi="Arial" w:eastAsia="Arial" w:cs="Arial"/>
      <w:sz w:val="34"/>
    </w:rPr>
  </w:style>
  <w:style w:type="character" w:styleId="856">
    <w:name w:val="Heading 3 Char"/>
    <w:basedOn w:val="901"/>
    <w:link w:val="894"/>
    <w:uiPriority w:val="9"/>
    <w:rPr>
      <w:rFonts w:ascii="Arial" w:hAnsi="Arial" w:eastAsia="Arial" w:cs="Arial"/>
      <w:sz w:val="30"/>
      <w:szCs w:val="30"/>
    </w:rPr>
  </w:style>
  <w:style w:type="character" w:styleId="857">
    <w:name w:val="Heading 4 Char"/>
    <w:basedOn w:val="901"/>
    <w:link w:val="895"/>
    <w:uiPriority w:val="9"/>
    <w:rPr>
      <w:rFonts w:ascii="Arial" w:hAnsi="Arial" w:eastAsia="Arial" w:cs="Arial"/>
      <w:b/>
      <w:bCs/>
      <w:sz w:val="26"/>
      <w:szCs w:val="26"/>
    </w:rPr>
  </w:style>
  <w:style w:type="character" w:styleId="858">
    <w:name w:val="Heading 5 Char"/>
    <w:basedOn w:val="901"/>
    <w:link w:val="896"/>
    <w:uiPriority w:val="9"/>
    <w:rPr>
      <w:rFonts w:ascii="Arial" w:hAnsi="Arial" w:eastAsia="Arial" w:cs="Arial"/>
      <w:b/>
      <w:bCs/>
      <w:sz w:val="24"/>
      <w:szCs w:val="24"/>
    </w:rPr>
  </w:style>
  <w:style w:type="character" w:styleId="859">
    <w:name w:val="Heading 6 Char"/>
    <w:basedOn w:val="901"/>
    <w:link w:val="897"/>
    <w:uiPriority w:val="9"/>
    <w:rPr>
      <w:rFonts w:ascii="Arial" w:hAnsi="Arial" w:eastAsia="Arial" w:cs="Arial"/>
      <w:b/>
      <w:bCs/>
      <w:sz w:val="22"/>
      <w:szCs w:val="22"/>
    </w:rPr>
  </w:style>
  <w:style w:type="character" w:styleId="860">
    <w:name w:val="Heading 7 Char"/>
    <w:basedOn w:val="901"/>
    <w:link w:val="898"/>
    <w:uiPriority w:val="9"/>
    <w:rPr>
      <w:rFonts w:ascii="Arial" w:hAnsi="Arial" w:eastAsia="Arial" w:cs="Arial"/>
      <w:b/>
      <w:bCs/>
      <w:i/>
      <w:iCs/>
      <w:sz w:val="22"/>
      <w:szCs w:val="22"/>
    </w:rPr>
  </w:style>
  <w:style w:type="character" w:styleId="861">
    <w:name w:val="Heading 8 Char"/>
    <w:basedOn w:val="901"/>
    <w:link w:val="899"/>
    <w:uiPriority w:val="9"/>
    <w:rPr>
      <w:rFonts w:ascii="Arial" w:hAnsi="Arial" w:eastAsia="Arial" w:cs="Arial"/>
      <w:i/>
      <w:iCs/>
      <w:sz w:val="22"/>
      <w:szCs w:val="22"/>
    </w:rPr>
  </w:style>
  <w:style w:type="character" w:styleId="862">
    <w:name w:val="Heading 9 Char"/>
    <w:basedOn w:val="901"/>
    <w:link w:val="900"/>
    <w:uiPriority w:val="9"/>
    <w:rPr>
      <w:rFonts w:ascii="Arial" w:hAnsi="Arial" w:eastAsia="Arial" w:cs="Arial"/>
      <w:i/>
      <w:iCs/>
      <w:sz w:val="21"/>
      <w:szCs w:val="21"/>
    </w:rPr>
  </w:style>
  <w:style w:type="character" w:styleId="863">
    <w:name w:val="Title Char"/>
    <w:basedOn w:val="901"/>
    <w:link w:val="926"/>
    <w:uiPriority w:val="10"/>
    <w:rPr>
      <w:sz w:val="48"/>
      <w:szCs w:val="48"/>
    </w:rPr>
  </w:style>
  <w:style w:type="character" w:styleId="864">
    <w:name w:val="Subtitle Char"/>
    <w:basedOn w:val="901"/>
    <w:link w:val="917"/>
    <w:uiPriority w:val="11"/>
    <w:rPr>
      <w:sz w:val="24"/>
      <w:szCs w:val="24"/>
    </w:rPr>
  </w:style>
  <w:style w:type="character" w:styleId="865">
    <w:name w:val="Quote Char"/>
    <w:link w:val="944"/>
    <w:uiPriority w:val="29"/>
    <w:rPr>
      <w:i/>
    </w:rPr>
  </w:style>
  <w:style w:type="character" w:styleId="866">
    <w:name w:val="Intense Quote Char"/>
    <w:link w:val="946"/>
    <w:uiPriority w:val="30"/>
    <w:rPr>
      <w:i/>
    </w:rPr>
  </w:style>
  <w:style w:type="character" w:styleId="867">
    <w:name w:val="Header Char"/>
    <w:basedOn w:val="901"/>
    <w:link w:val="914"/>
    <w:uiPriority w:val="99"/>
  </w:style>
  <w:style w:type="character" w:styleId="868">
    <w:name w:val="Caption Char"/>
    <w:basedOn w:val="905"/>
    <w:link w:val="913"/>
    <w:uiPriority w:val="99"/>
  </w:style>
  <w:style w:type="table" w:styleId="869">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8">
    <w:name w:val="Footnote Text Char"/>
    <w:link w:val="918"/>
    <w:uiPriority w:val="99"/>
    <w:rPr>
      <w:sz w:val="18"/>
    </w:rPr>
  </w:style>
  <w:style w:type="character" w:styleId="889">
    <w:name w:val="Endnote Text Char"/>
    <w:link w:val="911"/>
    <w:uiPriority w:val="99"/>
    <w:rPr>
      <w:sz w:val="20"/>
    </w:rPr>
  </w:style>
  <w:style w:type="paragraph" w:styleId="890">
    <w:name w:val="TOC Heading"/>
    <w:uiPriority w:val="39"/>
    <w:unhideWhenUsed/>
  </w:style>
  <w:style w:type="paragraph" w:styleId="891" w:default="1">
    <w:name w:val="Normal"/>
    <w:uiPriority w:val="0"/>
    <w:qFormat/>
    <w:pPr>
      <w:jc w:val="both"/>
      <w:widowControl w:val="off"/>
    </w:pPr>
    <w:rPr>
      <w:rFonts w:ascii="Calibri" w:hAnsi="Calibri" w:eastAsia="Calibri" w:cs="宋体"/>
      <w:lang w:val="zh-CN" w:eastAsia="zh-CN" w:bidi="ar-SA"/>
    </w:rPr>
  </w:style>
  <w:style w:type="paragraph" w:styleId="892">
    <w:name w:val="Heading 1"/>
    <w:basedOn w:val="891"/>
    <w:next w:val="891"/>
    <w:link w:val="933"/>
    <w:uiPriority w:val="9"/>
    <w:qFormat/>
    <w:pPr>
      <w:keepLines/>
      <w:keepNext/>
      <w:spacing w:before="480" w:after="200"/>
      <w:outlineLvl w:val="0"/>
    </w:pPr>
    <w:rPr>
      <w:rFonts w:ascii="Arial" w:hAnsi="Arial" w:eastAsia="Arial" w:cs="Arial"/>
      <w:sz w:val="40"/>
      <w:szCs w:val="40"/>
    </w:rPr>
  </w:style>
  <w:style w:type="paragraph" w:styleId="893">
    <w:name w:val="Heading 2"/>
    <w:basedOn w:val="891"/>
    <w:next w:val="891"/>
    <w:link w:val="934"/>
    <w:uiPriority w:val="9"/>
    <w:unhideWhenUsed/>
    <w:qFormat/>
    <w:pPr>
      <w:keepLines/>
      <w:keepNext/>
      <w:spacing w:before="360" w:after="200"/>
      <w:outlineLvl w:val="1"/>
    </w:pPr>
    <w:rPr>
      <w:rFonts w:ascii="Arial" w:hAnsi="Arial" w:eastAsia="Arial" w:cs="Arial"/>
      <w:sz w:val="34"/>
    </w:rPr>
  </w:style>
  <w:style w:type="paragraph" w:styleId="894">
    <w:name w:val="Heading 3"/>
    <w:basedOn w:val="891"/>
    <w:next w:val="891"/>
    <w:link w:val="935"/>
    <w:uiPriority w:val="9"/>
    <w:unhideWhenUsed/>
    <w:qFormat/>
    <w:pPr>
      <w:keepLines/>
      <w:keepNext/>
      <w:spacing w:before="320" w:after="200"/>
      <w:outlineLvl w:val="2"/>
    </w:pPr>
    <w:rPr>
      <w:rFonts w:ascii="Arial" w:hAnsi="Arial" w:eastAsia="Arial" w:cs="Arial"/>
      <w:sz w:val="30"/>
      <w:szCs w:val="30"/>
    </w:rPr>
  </w:style>
  <w:style w:type="paragraph" w:styleId="895">
    <w:name w:val="Heading 4"/>
    <w:basedOn w:val="891"/>
    <w:next w:val="891"/>
    <w:link w:val="936"/>
    <w:uiPriority w:val="9"/>
    <w:unhideWhenUsed/>
    <w:qFormat/>
    <w:pPr>
      <w:keepLines/>
      <w:keepNext/>
      <w:spacing w:before="320" w:after="200"/>
      <w:outlineLvl w:val="3"/>
    </w:pPr>
    <w:rPr>
      <w:rFonts w:ascii="Arial" w:hAnsi="Arial" w:eastAsia="Arial" w:cs="Arial"/>
      <w:b/>
      <w:bCs/>
      <w:sz w:val="26"/>
      <w:szCs w:val="26"/>
    </w:rPr>
  </w:style>
  <w:style w:type="paragraph" w:styleId="896">
    <w:name w:val="Heading 5"/>
    <w:basedOn w:val="891"/>
    <w:next w:val="891"/>
    <w:link w:val="937"/>
    <w:uiPriority w:val="9"/>
    <w:unhideWhenUsed/>
    <w:qFormat/>
    <w:pPr>
      <w:keepLines/>
      <w:keepNext/>
      <w:spacing w:before="320" w:after="200"/>
      <w:outlineLvl w:val="4"/>
    </w:pPr>
    <w:rPr>
      <w:rFonts w:ascii="Arial" w:hAnsi="Arial" w:eastAsia="Arial" w:cs="Arial"/>
      <w:b/>
      <w:bCs/>
      <w:sz w:val="24"/>
      <w:szCs w:val="24"/>
    </w:rPr>
  </w:style>
  <w:style w:type="paragraph" w:styleId="897">
    <w:name w:val="Heading 6"/>
    <w:basedOn w:val="891"/>
    <w:next w:val="891"/>
    <w:link w:val="938"/>
    <w:uiPriority w:val="9"/>
    <w:unhideWhenUsed/>
    <w:qFormat/>
    <w:pPr>
      <w:keepLines/>
      <w:keepNext/>
      <w:spacing w:before="320" w:after="200"/>
      <w:outlineLvl w:val="5"/>
    </w:pPr>
    <w:rPr>
      <w:rFonts w:ascii="Arial" w:hAnsi="Arial" w:eastAsia="Arial" w:cs="Arial"/>
      <w:b/>
      <w:bCs/>
      <w:sz w:val="22"/>
      <w:szCs w:val="22"/>
    </w:rPr>
  </w:style>
  <w:style w:type="paragraph" w:styleId="898">
    <w:name w:val="Heading 7"/>
    <w:basedOn w:val="891"/>
    <w:next w:val="891"/>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899">
    <w:name w:val="Heading 8"/>
    <w:basedOn w:val="891"/>
    <w:next w:val="891"/>
    <w:link w:val="940"/>
    <w:uiPriority w:val="9"/>
    <w:unhideWhenUsed/>
    <w:qFormat/>
    <w:pPr>
      <w:keepLines/>
      <w:keepNext/>
      <w:spacing w:before="320" w:after="200"/>
      <w:outlineLvl w:val="7"/>
    </w:pPr>
    <w:rPr>
      <w:rFonts w:ascii="Arial" w:hAnsi="Arial" w:eastAsia="Arial" w:cs="Arial"/>
      <w:i/>
      <w:iCs/>
      <w:sz w:val="22"/>
      <w:szCs w:val="22"/>
    </w:rPr>
  </w:style>
  <w:style w:type="paragraph" w:styleId="900">
    <w:name w:val="Heading 9"/>
    <w:basedOn w:val="891"/>
    <w:next w:val="891"/>
    <w:link w:val="941"/>
    <w:uiPriority w:val="9"/>
    <w:unhideWhenUsed/>
    <w:qFormat/>
    <w:pPr>
      <w:keepLines/>
      <w:keepNext/>
      <w:spacing w:before="320" w:after="200"/>
      <w:outlineLvl w:val="8"/>
    </w:pPr>
    <w:rPr>
      <w:rFonts w:ascii="Arial" w:hAnsi="Arial" w:eastAsia="Arial" w:cs="Arial"/>
      <w:i/>
      <w:iCs/>
      <w:sz w:val="21"/>
      <w:szCs w:val="21"/>
    </w:rPr>
  </w:style>
  <w:style w:type="character" w:styleId="901" w:default="1">
    <w:name w:val="Default Paragraph Font"/>
    <w:uiPriority w:val="1"/>
    <w:semiHidden/>
    <w:unhideWhenUsed/>
  </w:style>
  <w:style w:type="table" w:styleId="902" w:default="1">
    <w:name w:val="Normal Table"/>
    <w:uiPriority w:val="99"/>
    <w:semiHidden/>
    <w:unhideWhenUsed/>
    <w:tblPr>
      <w:tblCellMar>
        <w:left w:w="108" w:type="dxa"/>
        <w:top w:w="0" w:type="dxa"/>
        <w:right w:w="108" w:type="dxa"/>
        <w:bottom w:w="0" w:type="dxa"/>
      </w:tblCellMar>
    </w:tblPr>
  </w:style>
  <w:style w:type="paragraph" w:styleId="903">
    <w:name w:val="toc 7"/>
    <w:basedOn w:val="891"/>
    <w:next w:val="891"/>
    <w:uiPriority w:val="39"/>
    <w:unhideWhenUsed/>
    <w:qFormat/>
    <w:pPr>
      <w:ind w:left="1701"/>
      <w:spacing w:after="57"/>
    </w:pPr>
  </w:style>
  <w:style w:type="paragraph" w:styleId="904">
    <w:name w:val="Normal Indent"/>
    <w:basedOn w:val="891"/>
    <w:link w:val="1207"/>
    <w:uiPriority w:val="0"/>
    <w:qFormat/>
    <w:pPr>
      <w:ind w:firstLine="420"/>
    </w:pPr>
    <w:rPr>
      <w:rFonts w:ascii="Times New Roman" w:hAnsi="Times New Roman" w:eastAsia="宋体" w:cs="Times New Roman"/>
    </w:rPr>
  </w:style>
  <w:style w:type="paragraph" w:styleId="905">
    <w:name w:val="Caption"/>
    <w:basedOn w:val="891"/>
    <w:next w:val="891"/>
    <w:uiPriority w:val="35"/>
    <w:semiHidden/>
    <w:unhideWhenUsed/>
    <w:qFormat/>
    <w:pPr>
      <w:spacing w:line="276" w:lineRule="auto"/>
    </w:pPr>
    <w:rPr>
      <w:b/>
      <w:bCs/>
      <w:color w:val="4f81bd"/>
      <w:sz w:val="18"/>
      <w:szCs w:val="18"/>
    </w:rPr>
  </w:style>
  <w:style w:type="paragraph" w:styleId="906">
    <w:name w:val="annotation text"/>
    <w:basedOn w:val="891"/>
    <w:link w:val="1485"/>
    <w:uiPriority w:val="0"/>
    <w:qFormat/>
    <w:pPr>
      <w:jc w:val="left"/>
    </w:pPr>
    <w:rPr>
      <w:szCs w:val="22"/>
    </w:rPr>
  </w:style>
  <w:style w:type="paragraph" w:styleId="907">
    <w:name w:val="Body Text"/>
    <w:basedOn w:val="891"/>
    <w:uiPriority w:val="0"/>
    <w:qFormat/>
    <w:rPr>
      <w:rFonts w:ascii="方正楷体_GB2312" w:hAnsi="Arial" w:eastAsia="方正楷体_GB2312"/>
      <w:sz w:val="28"/>
    </w:rPr>
  </w:style>
  <w:style w:type="paragraph" w:styleId="908">
    <w:name w:val="toc 5"/>
    <w:basedOn w:val="891"/>
    <w:next w:val="891"/>
    <w:uiPriority w:val="39"/>
    <w:unhideWhenUsed/>
    <w:qFormat/>
    <w:pPr>
      <w:ind w:left="1134"/>
      <w:spacing w:after="57"/>
    </w:pPr>
  </w:style>
  <w:style w:type="paragraph" w:styleId="909">
    <w:name w:val="toc 3"/>
    <w:basedOn w:val="891"/>
    <w:next w:val="891"/>
    <w:uiPriority w:val="39"/>
    <w:unhideWhenUsed/>
    <w:qFormat/>
    <w:pPr>
      <w:ind w:left="567"/>
      <w:spacing w:after="57"/>
    </w:pPr>
  </w:style>
  <w:style w:type="paragraph" w:styleId="910">
    <w:name w:val="toc 8"/>
    <w:basedOn w:val="891"/>
    <w:next w:val="891"/>
    <w:uiPriority w:val="39"/>
    <w:unhideWhenUsed/>
    <w:qFormat/>
    <w:pPr>
      <w:ind w:left="1984"/>
      <w:spacing w:after="57"/>
    </w:pPr>
  </w:style>
  <w:style w:type="paragraph" w:styleId="911">
    <w:name w:val="endnote text"/>
    <w:basedOn w:val="891"/>
    <w:link w:val="1077"/>
    <w:uiPriority w:val="99"/>
    <w:semiHidden/>
    <w:unhideWhenUsed/>
    <w:qFormat/>
  </w:style>
  <w:style w:type="paragraph" w:styleId="912">
    <w:name w:val="Balloon Text"/>
    <w:basedOn w:val="891"/>
    <w:link w:val="1484"/>
    <w:uiPriority w:val="99"/>
    <w:semiHidden/>
    <w:unhideWhenUsed/>
    <w:rPr>
      <w:sz w:val="18"/>
      <w:szCs w:val="18"/>
    </w:rPr>
  </w:style>
  <w:style w:type="paragraph" w:styleId="913">
    <w:name w:val="Footer"/>
    <w:basedOn w:val="891"/>
    <w:link w:val="950"/>
    <w:uiPriority w:val="99"/>
    <w:unhideWhenUsed/>
    <w:qFormat/>
    <w:pPr>
      <w:tabs>
        <w:tab w:val="center" w:pos="7143" w:leader="none"/>
        <w:tab w:val="right" w:pos="14287" w:leader="none"/>
      </w:tabs>
    </w:pPr>
  </w:style>
  <w:style w:type="paragraph" w:styleId="914">
    <w:name w:val="Header"/>
    <w:basedOn w:val="891"/>
    <w:link w:val="948"/>
    <w:uiPriority w:val="99"/>
    <w:unhideWhenUsed/>
    <w:qFormat/>
    <w:pPr>
      <w:tabs>
        <w:tab w:val="center" w:pos="7143" w:leader="none"/>
        <w:tab w:val="right" w:pos="14287" w:leader="none"/>
      </w:tabs>
    </w:pPr>
  </w:style>
  <w:style w:type="paragraph" w:styleId="915">
    <w:name w:val="toc 1"/>
    <w:basedOn w:val="891"/>
    <w:next w:val="891"/>
    <w:uiPriority w:val="39"/>
    <w:unhideWhenUsed/>
    <w:qFormat/>
    <w:pPr>
      <w:spacing w:after="57"/>
    </w:pPr>
  </w:style>
  <w:style w:type="paragraph" w:styleId="916">
    <w:name w:val="toc 4"/>
    <w:basedOn w:val="891"/>
    <w:next w:val="891"/>
    <w:uiPriority w:val="39"/>
    <w:unhideWhenUsed/>
    <w:qFormat/>
    <w:pPr>
      <w:ind w:left="850"/>
      <w:spacing w:after="57"/>
    </w:pPr>
  </w:style>
  <w:style w:type="paragraph" w:styleId="917">
    <w:name w:val="Subtitle"/>
    <w:basedOn w:val="891"/>
    <w:next w:val="891"/>
    <w:link w:val="943"/>
    <w:uiPriority w:val="11"/>
    <w:qFormat/>
    <w:pPr>
      <w:spacing w:before="200" w:after="200"/>
    </w:pPr>
    <w:rPr>
      <w:sz w:val="24"/>
      <w:szCs w:val="24"/>
    </w:rPr>
  </w:style>
  <w:style w:type="paragraph" w:styleId="918">
    <w:name w:val="footnote text"/>
    <w:basedOn w:val="891"/>
    <w:link w:val="1076"/>
    <w:uiPriority w:val="99"/>
    <w:semiHidden/>
    <w:unhideWhenUsed/>
    <w:qFormat/>
    <w:pPr>
      <w:spacing w:after="40"/>
    </w:pPr>
    <w:rPr>
      <w:sz w:val="18"/>
    </w:rPr>
  </w:style>
  <w:style w:type="paragraph" w:styleId="919">
    <w:name w:val="toc 6"/>
    <w:basedOn w:val="891"/>
    <w:next w:val="891"/>
    <w:uiPriority w:val="39"/>
    <w:unhideWhenUsed/>
    <w:qFormat/>
    <w:pPr>
      <w:ind w:left="1417"/>
      <w:spacing w:after="57"/>
    </w:pPr>
  </w:style>
  <w:style w:type="paragraph" w:styleId="920">
    <w:name w:val="Body Text Indent 3"/>
    <w:basedOn w:val="891"/>
    <w:uiPriority w:val="0"/>
    <w:qFormat/>
    <w:pPr>
      <w:ind w:firstLine="504"/>
      <w:spacing w:line="360" w:lineRule="auto"/>
      <w:tabs>
        <w:tab w:val="left" w:pos="0" w:leader="none"/>
      </w:tabs>
    </w:pPr>
    <w:rPr>
      <w:rFonts w:ascii="宋体"/>
      <w:b/>
      <w:bCs/>
      <w:sz w:val="24"/>
      <w:szCs w:val="24"/>
    </w:rPr>
  </w:style>
  <w:style w:type="paragraph" w:styleId="921">
    <w:name w:val="table of figures"/>
    <w:basedOn w:val="891"/>
    <w:next w:val="891"/>
    <w:uiPriority w:val="99"/>
    <w:unhideWhenUsed/>
    <w:qFormat/>
  </w:style>
  <w:style w:type="paragraph" w:styleId="922">
    <w:name w:val="toc 2"/>
    <w:basedOn w:val="891"/>
    <w:next w:val="891"/>
    <w:uiPriority w:val="39"/>
    <w:unhideWhenUsed/>
    <w:qFormat/>
    <w:pPr>
      <w:ind w:left="283"/>
      <w:spacing w:after="57"/>
    </w:pPr>
  </w:style>
  <w:style w:type="paragraph" w:styleId="923">
    <w:name w:val="toc 9"/>
    <w:basedOn w:val="891"/>
    <w:next w:val="891"/>
    <w:uiPriority w:val="39"/>
    <w:unhideWhenUsed/>
    <w:qFormat/>
    <w:pPr>
      <w:ind w:left="2268"/>
      <w:spacing w:after="57"/>
    </w:pPr>
  </w:style>
  <w:style w:type="paragraph" w:styleId="924">
    <w:name w:val="Body Text 2"/>
    <w:basedOn w:val="891"/>
    <w:uiPriority w:val="0"/>
    <w:qFormat/>
    <w:pPr>
      <w:ind w:left="720" w:hanging="720"/>
      <w:widowControl/>
    </w:pPr>
    <w:rPr>
      <w:sz w:val="24"/>
      <w:lang w:val="en-GB"/>
    </w:rPr>
  </w:style>
  <w:style w:type="paragraph" w:styleId="925">
    <w:name w:val="Normal (Web)"/>
    <w:basedOn w:val="891"/>
    <w:link w:val="1487"/>
    <w:uiPriority w:val="0"/>
    <w:qFormat/>
    <w:pPr>
      <w:jc w:val="left"/>
      <w:spacing w:before="100" w:beforeAutospacing="1" w:after="100" w:afterAutospacing="1"/>
      <w:widowControl/>
    </w:pPr>
    <w:rPr>
      <w:rFonts w:ascii="宋体" w:hAnsi="宋体"/>
      <w:color w:val="000000"/>
      <w:sz w:val="24"/>
    </w:rPr>
  </w:style>
  <w:style w:type="paragraph" w:styleId="926">
    <w:name w:val="Title"/>
    <w:basedOn w:val="891"/>
    <w:next w:val="891"/>
    <w:link w:val="942"/>
    <w:uiPriority w:val="10"/>
    <w:qFormat/>
    <w:pPr>
      <w:contextualSpacing/>
      <w:spacing w:before="300" w:after="200"/>
    </w:pPr>
    <w:rPr>
      <w:sz w:val="48"/>
      <w:szCs w:val="48"/>
    </w:rPr>
  </w:style>
  <w:style w:type="paragraph" w:styleId="927">
    <w:name w:val="annotation subject"/>
    <w:basedOn w:val="906"/>
    <w:next w:val="906"/>
    <w:link w:val="1486"/>
    <w:uiPriority w:val="99"/>
    <w:semiHidden/>
    <w:unhideWhenUsed/>
    <w:rPr>
      <w:b/>
      <w:bCs/>
      <w:szCs w:val="20"/>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u w:val="single"/>
    </w:rPr>
  </w:style>
  <w:style w:type="character" w:styleId="931">
    <w:name w:val="annotation reference"/>
    <w:uiPriority w:val="0"/>
    <w:qFormat/>
    <w:rPr>
      <w:sz w:val="21"/>
    </w:rPr>
  </w:style>
  <w:style w:type="character" w:styleId="932">
    <w:name w:val="footnote reference"/>
    <w:uiPriority w:val="99"/>
    <w:unhideWhenUsed/>
    <w:qFormat/>
    <w:rPr>
      <w:vertAlign w:val="superscript"/>
    </w:rPr>
  </w:style>
  <w:style w:type="character" w:styleId="933" w:customStyle="1">
    <w:name w:val="标题 1 Char"/>
    <w:link w:val="892"/>
    <w:uiPriority w:val="9"/>
    <w:qFormat/>
    <w:rPr>
      <w:rFonts w:ascii="Arial" w:hAnsi="Arial" w:eastAsia="Arial" w:cs="Arial"/>
      <w:sz w:val="40"/>
      <w:szCs w:val="40"/>
    </w:rPr>
  </w:style>
  <w:style w:type="character" w:styleId="934" w:customStyle="1">
    <w:name w:val="标题 2 Char"/>
    <w:link w:val="893"/>
    <w:uiPriority w:val="9"/>
    <w:qFormat/>
    <w:rPr>
      <w:rFonts w:ascii="Arial" w:hAnsi="Arial" w:eastAsia="Arial" w:cs="Arial"/>
      <w:sz w:val="34"/>
    </w:rPr>
  </w:style>
  <w:style w:type="character" w:styleId="935" w:customStyle="1">
    <w:name w:val="标题 3 Char1"/>
    <w:link w:val="894"/>
    <w:uiPriority w:val="9"/>
    <w:qFormat/>
    <w:rPr>
      <w:rFonts w:ascii="Arial" w:hAnsi="Arial" w:eastAsia="Arial" w:cs="Arial"/>
      <w:sz w:val="30"/>
      <w:szCs w:val="30"/>
    </w:rPr>
  </w:style>
  <w:style w:type="character" w:styleId="936" w:customStyle="1">
    <w:name w:val="标题 4 Char"/>
    <w:link w:val="895"/>
    <w:uiPriority w:val="9"/>
    <w:qFormat/>
    <w:rPr>
      <w:rFonts w:ascii="Arial" w:hAnsi="Arial" w:eastAsia="Arial" w:cs="Arial"/>
      <w:b/>
      <w:bCs/>
      <w:sz w:val="26"/>
      <w:szCs w:val="26"/>
    </w:rPr>
  </w:style>
  <w:style w:type="character" w:styleId="937" w:customStyle="1">
    <w:name w:val="标题 5 Char"/>
    <w:link w:val="896"/>
    <w:uiPriority w:val="9"/>
    <w:qFormat/>
    <w:rPr>
      <w:rFonts w:ascii="Arial" w:hAnsi="Arial" w:eastAsia="Arial" w:cs="Arial"/>
      <w:b/>
      <w:bCs/>
      <w:sz w:val="24"/>
      <w:szCs w:val="24"/>
    </w:rPr>
  </w:style>
  <w:style w:type="character" w:styleId="938" w:customStyle="1">
    <w:name w:val="标题 6 Char"/>
    <w:link w:val="897"/>
    <w:uiPriority w:val="9"/>
    <w:qFormat/>
    <w:rPr>
      <w:rFonts w:ascii="Arial" w:hAnsi="Arial" w:eastAsia="Arial" w:cs="Arial"/>
      <w:b/>
      <w:bCs/>
      <w:sz w:val="22"/>
      <w:szCs w:val="22"/>
    </w:rPr>
  </w:style>
  <w:style w:type="character" w:styleId="939" w:customStyle="1">
    <w:name w:val="标题 7 Char"/>
    <w:link w:val="898"/>
    <w:uiPriority w:val="9"/>
    <w:qFormat/>
    <w:rPr>
      <w:rFonts w:ascii="Arial" w:hAnsi="Arial" w:eastAsia="Arial" w:cs="Arial"/>
      <w:b/>
      <w:bCs/>
      <w:i/>
      <w:iCs/>
      <w:sz w:val="22"/>
      <w:szCs w:val="22"/>
    </w:rPr>
  </w:style>
  <w:style w:type="character" w:styleId="940" w:customStyle="1">
    <w:name w:val="标题 8 Char"/>
    <w:link w:val="899"/>
    <w:uiPriority w:val="9"/>
    <w:qFormat/>
    <w:rPr>
      <w:rFonts w:ascii="Arial" w:hAnsi="Arial" w:eastAsia="Arial" w:cs="Arial"/>
      <w:i/>
      <w:iCs/>
      <w:sz w:val="22"/>
      <w:szCs w:val="22"/>
    </w:rPr>
  </w:style>
  <w:style w:type="character" w:styleId="941" w:customStyle="1">
    <w:name w:val="标题 9 Char"/>
    <w:link w:val="900"/>
    <w:uiPriority w:val="9"/>
    <w:qFormat/>
    <w:rPr>
      <w:rFonts w:ascii="Arial" w:hAnsi="Arial" w:eastAsia="Arial" w:cs="Arial"/>
      <w:i/>
      <w:iCs/>
      <w:sz w:val="21"/>
      <w:szCs w:val="21"/>
    </w:rPr>
  </w:style>
  <w:style w:type="character" w:styleId="942" w:customStyle="1">
    <w:name w:val="标题 Char"/>
    <w:link w:val="926"/>
    <w:uiPriority w:val="10"/>
    <w:qFormat/>
    <w:rPr>
      <w:sz w:val="48"/>
      <w:szCs w:val="48"/>
    </w:rPr>
  </w:style>
  <w:style w:type="character" w:styleId="943" w:customStyle="1">
    <w:name w:val="副标题 Char"/>
    <w:link w:val="917"/>
    <w:uiPriority w:val="11"/>
    <w:qFormat/>
    <w:rPr>
      <w:sz w:val="24"/>
      <w:szCs w:val="24"/>
    </w:rPr>
  </w:style>
  <w:style w:type="paragraph" w:styleId="944">
    <w:name w:val="Quote"/>
    <w:basedOn w:val="891"/>
    <w:next w:val="891"/>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91"/>
    <w:next w:val="891"/>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
    <w:link w:val="914"/>
    <w:uiPriority w:val="99"/>
    <w:qFormat/>
  </w:style>
  <w:style w:type="character" w:styleId="949" w:customStyle="1">
    <w:name w:val="Footer Char"/>
    <w:uiPriority w:val="99"/>
    <w:qFormat/>
  </w:style>
  <w:style w:type="character" w:styleId="950" w:customStyle="1">
    <w:name w:val="页脚 Char"/>
    <w:link w:val="913"/>
    <w:uiPriority w:val="99"/>
    <w:qFormat/>
  </w:style>
  <w:style w:type="table" w:styleId="9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4" w:customStyle="1">
    <w:name w:val="无格式表格 31"/>
    <w:uiPriority w:val="99"/>
    <w:qFormat/>
    <w:tblPr>
      <w:tblCellMar>
        <w:left w:w="0" w:type="dxa"/>
        <w:top w:w="0" w:type="dxa"/>
        <w:right w:w="0" w:type="dxa"/>
        <w:bottom w:w="0" w:type="dxa"/>
      </w:tblCellMar>
    </w:tblPr>
  </w:style>
  <w:style w:type="table" w:styleId="955" w:customStyle="1">
    <w:name w:val="无格式表格 41"/>
    <w:uiPriority w:val="99"/>
    <w:qFormat/>
    <w:tblPr>
      <w:tblCellMar>
        <w:left w:w="0" w:type="dxa"/>
        <w:top w:w="0" w:type="dxa"/>
        <w:right w:w="0" w:type="dxa"/>
        <w:bottom w:w="0" w:type="dxa"/>
      </w:tblCellMar>
    </w:tblPr>
  </w:style>
  <w:style w:type="table" w:styleId="956" w:customStyle="1">
    <w:name w:val="无格式表格 51"/>
    <w:uiPriority w:val="99"/>
    <w:qFormat/>
    <w:tblPr>
      <w:tblCellMar>
        <w:left w:w="0" w:type="dxa"/>
        <w:top w:w="0" w:type="dxa"/>
        <w:right w:w="0" w:type="dxa"/>
        <w:bottom w:w="0" w:type="dxa"/>
      </w:tblCellMar>
    </w:tblPr>
  </w:style>
  <w:style w:type="table" w:styleId="95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6" w:customStyle="1">
    <w:name w:val="清单表 1 浅色1"/>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5" w:customStyle="1">
    <w:name w:val="Lined - Accent"/>
    <w:uiPriority w:val="99"/>
    <w:qFormat/>
    <w:rPr>
      <w:color w:val="404040"/>
    </w:rPr>
    <w:tblPr>
      <w:tblCellMar>
        <w:left w:w="0" w:type="dxa"/>
        <w:top w:w="0" w:type="dxa"/>
        <w:right w:w="0" w:type="dxa"/>
        <w:bottom w:w="0" w:type="dxa"/>
      </w:tblCellMar>
    </w:tblPr>
  </w:style>
  <w:style w:type="table" w:styleId="1056" w:customStyle="1">
    <w:name w:val="Lined - Accent 1"/>
    <w:uiPriority w:val="99"/>
    <w:qFormat/>
    <w:rPr>
      <w:color w:val="404040"/>
    </w:rPr>
    <w:tblPr>
      <w:tblCellMar>
        <w:left w:w="0" w:type="dxa"/>
        <w:top w:w="0" w:type="dxa"/>
        <w:right w:w="0" w:type="dxa"/>
        <w:bottom w:w="0" w:type="dxa"/>
      </w:tblCellMar>
    </w:tblPr>
  </w:style>
  <w:style w:type="table" w:styleId="1057" w:customStyle="1">
    <w:name w:val="Lined - Accent 2"/>
    <w:uiPriority w:val="99"/>
    <w:qFormat/>
    <w:rPr>
      <w:color w:val="404040"/>
    </w:rPr>
    <w:tblPr>
      <w:tblCellMar>
        <w:left w:w="0" w:type="dxa"/>
        <w:top w:w="0" w:type="dxa"/>
        <w:right w:w="0" w:type="dxa"/>
        <w:bottom w:w="0" w:type="dxa"/>
      </w:tblCellMar>
    </w:tblPr>
  </w:style>
  <w:style w:type="table" w:styleId="1058" w:customStyle="1">
    <w:name w:val="Lined - Accent 3"/>
    <w:uiPriority w:val="99"/>
    <w:qFormat/>
    <w:rPr>
      <w:color w:val="404040"/>
    </w:rPr>
    <w:tblPr>
      <w:tblCellMar>
        <w:left w:w="0" w:type="dxa"/>
        <w:top w:w="0" w:type="dxa"/>
        <w:right w:w="0" w:type="dxa"/>
        <w:bottom w:w="0" w:type="dxa"/>
      </w:tblCellMar>
    </w:tblPr>
  </w:style>
  <w:style w:type="table" w:styleId="1059" w:customStyle="1">
    <w:name w:val="Lined - Accent 4"/>
    <w:uiPriority w:val="99"/>
    <w:qFormat/>
    <w:rPr>
      <w:color w:val="404040"/>
    </w:rPr>
    <w:tblPr>
      <w:tblCellMar>
        <w:left w:w="0" w:type="dxa"/>
        <w:top w:w="0" w:type="dxa"/>
        <w:right w:w="0" w:type="dxa"/>
        <w:bottom w:w="0" w:type="dxa"/>
      </w:tblCellMar>
    </w:tblPr>
  </w:style>
  <w:style w:type="table" w:styleId="1060" w:customStyle="1">
    <w:name w:val="Lined - Accent 5"/>
    <w:uiPriority w:val="99"/>
    <w:qFormat/>
    <w:rPr>
      <w:color w:val="404040"/>
    </w:rPr>
    <w:tblPr>
      <w:tblCellMar>
        <w:left w:w="0" w:type="dxa"/>
        <w:top w:w="0" w:type="dxa"/>
        <w:right w:w="0" w:type="dxa"/>
        <w:bottom w:w="0" w:type="dxa"/>
      </w:tblCellMar>
    </w:tblPr>
  </w:style>
  <w:style w:type="table" w:styleId="1061" w:customStyle="1">
    <w:name w:val="Lined - Accent 6"/>
    <w:uiPriority w:val="99"/>
    <w:qFormat/>
    <w:rPr>
      <w:color w:val="404040"/>
    </w:rPr>
    <w:tblPr>
      <w:tblCellMar>
        <w:left w:w="0" w:type="dxa"/>
        <w:top w:w="0" w:type="dxa"/>
        <w:right w:w="0" w:type="dxa"/>
        <w:bottom w:w="0" w:type="dxa"/>
      </w:tblCellMar>
    </w:tblPr>
  </w:style>
  <w:style w:type="table" w:styleId="106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6" w:customStyle="1">
    <w:name w:val="脚注文本 Char"/>
    <w:link w:val="918"/>
    <w:uiPriority w:val="99"/>
    <w:qFormat/>
    <w:rPr>
      <w:sz w:val="18"/>
    </w:rPr>
  </w:style>
  <w:style w:type="character" w:styleId="1077" w:customStyle="1">
    <w:name w:val="尾注文本 Char"/>
    <w:link w:val="911"/>
    <w:uiPriority w:val="99"/>
    <w:qFormat/>
    <w:rPr>
      <w:sz w:val="20"/>
    </w:rPr>
  </w:style>
  <w:style w:type="paragraph" w:styleId="1078" w:customStyle="1">
    <w:name w:val="TOC 标题1"/>
    <w:uiPriority w:val="39"/>
    <w:unhideWhenUsed/>
    <w:qFormat/>
    <w:rPr>
      <w:rFonts w:ascii="Times New Roman" w:hAnsi="Times New Roman" w:eastAsia="宋体" w:cs="Times New Roman"/>
      <w:lang w:val="en-US" w:eastAsia="zh-CN" w:bidi="ar-SA"/>
    </w:rPr>
  </w:style>
  <w:style w:type="paragraph" w:styleId="1079" w:customStyle="1">
    <w:name w:val="标题 11"/>
    <w:basedOn w:val="891"/>
    <w:next w:val="891"/>
    <w:link w:val="1091"/>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80" w:customStyle="1">
    <w:name w:val="标题 21"/>
    <w:basedOn w:val="891"/>
    <w:next w:val="891"/>
    <w:link w:val="1092"/>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81" w:customStyle="1">
    <w:name w:val="标题 31"/>
    <w:basedOn w:val="891"/>
    <w:link w:val="1093"/>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82" w:customStyle="1">
    <w:name w:val="标题 41"/>
    <w:basedOn w:val="891"/>
    <w:next w:val="891"/>
    <w:link w:val="1094"/>
    <w:uiPriority w:val="0"/>
    <w:qFormat/>
    <w:pPr>
      <w:keepLines/>
      <w:keepNext/>
      <w:spacing w:before="120" w:after="120"/>
      <w:outlineLvl w:val="3"/>
    </w:pPr>
    <w:rPr>
      <w:rFonts w:ascii="Arial" w:hAnsi="Arial" w:eastAsia="黑体" w:cs="Times New Roman"/>
      <w:b/>
      <w:sz w:val="28"/>
      <w:lang w:val="en-US"/>
    </w:rPr>
  </w:style>
  <w:style w:type="paragraph" w:styleId="1083" w:customStyle="1">
    <w:name w:val="标题 51"/>
    <w:basedOn w:val="891"/>
    <w:next w:val="1084"/>
    <w:link w:val="1095"/>
    <w:uiPriority w:val="0"/>
    <w:qFormat/>
    <w:pPr>
      <w:keepNext/>
      <w:spacing w:before="156" w:after="156"/>
      <w:outlineLvl w:val="4"/>
    </w:pPr>
    <w:rPr>
      <w:rFonts w:ascii="黑体" w:hAnsi="Times New Roman" w:eastAsia="黑体" w:cs="Times New Roman"/>
      <w:b/>
      <w:color w:val="000000"/>
      <w:sz w:val="28"/>
      <w:lang w:val="en-US"/>
    </w:rPr>
  </w:style>
  <w:style w:type="paragraph" w:styleId="1084" w:customStyle="1">
    <w:name w:val="正文缩进1"/>
    <w:basedOn w:val="891"/>
    <w:uiPriority w:val="0"/>
    <w:qFormat/>
    <w:pPr>
      <w:ind w:firstLine="420"/>
    </w:pPr>
  </w:style>
  <w:style w:type="paragraph" w:styleId="1085" w:customStyle="1">
    <w:name w:val="标题 61"/>
    <w:basedOn w:val="891"/>
    <w:next w:val="891"/>
    <w:link w:val="1096"/>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86" w:customStyle="1">
    <w:name w:val="标题 71"/>
    <w:basedOn w:val="891"/>
    <w:next w:val="891"/>
    <w:link w:val="1097"/>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87" w:customStyle="1">
    <w:name w:val="标题 81"/>
    <w:basedOn w:val="891"/>
    <w:next w:val="891"/>
    <w:link w:val="1098"/>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88" w:customStyle="1">
    <w:name w:val="标题 91"/>
    <w:basedOn w:val="891"/>
    <w:next w:val="891"/>
    <w:link w:val="1099"/>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89" w:customStyle="1">
    <w:name w:val="默认段落字体1"/>
    <w:uiPriority w:val="0"/>
    <w:semiHidden/>
    <w:qFormat/>
  </w:style>
  <w:style w:type="table" w:styleId="1090" w:customStyle="1">
    <w:name w:val="普通表格1"/>
    <w:uiPriority w:val="99"/>
    <w:unhideWhenUsed/>
    <w:qFormat/>
    <w:tblPr>
      <w:tblCellMar>
        <w:left w:w="0" w:type="dxa"/>
        <w:top w:w="0" w:type="dxa"/>
        <w:right w:w="0" w:type="dxa"/>
        <w:bottom w:w="0" w:type="dxa"/>
      </w:tblCellMar>
    </w:tblPr>
  </w:style>
  <w:style w:type="character" w:styleId="1091" w:customStyle="1">
    <w:name w:val="标题 1 字符"/>
    <w:link w:val="1079"/>
    <w:uiPriority w:val="0"/>
    <w:qFormat/>
    <w:rPr>
      <w:rFonts w:ascii="黑体" w:eastAsia="黑体"/>
      <w:b/>
      <w:sz w:val="24"/>
      <w:szCs w:val="28"/>
      <w:lang w:val="en-US" w:eastAsia="zh-CN" w:bidi="ar-SA"/>
    </w:rPr>
  </w:style>
  <w:style w:type="character" w:styleId="1092" w:customStyle="1">
    <w:name w:val="标题 2 字符"/>
    <w:link w:val="1080"/>
    <w:uiPriority w:val="0"/>
    <w:qFormat/>
    <w:rPr>
      <w:rFonts w:ascii="宋体" w:hAnsi="宋体" w:eastAsia="宋体"/>
      <w:b/>
      <w:sz w:val="21"/>
      <w:szCs w:val="24"/>
      <w:lang w:val="en-US" w:eastAsia="zh-CN" w:bidi="ar-SA"/>
    </w:rPr>
  </w:style>
  <w:style w:type="character" w:styleId="1093" w:customStyle="1">
    <w:name w:val="标题 3 字符"/>
    <w:link w:val="1081"/>
    <w:uiPriority w:val="0"/>
    <w:qFormat/>
    <w:rPr>
      <w:rFonts w:ascii="宋体" w:hAnsi="宋体" w:eastAsia="宋体"/>
      <w:b/>
      <w:sz w:val="21"/>
      <w:szCs w:val="21"/>
      <w:shd w:val="clear" w:color="auto" w:fill="ffffff"/>
    </w:rPr>
  </w:style>
  <w:style w:type="character" w:styleId="1094" w:customStyle="1">
    <w:name w:val="标题 4 字符"/>
    <w:link w:val="1082"/>
    <w:uiPriority w:val="0"/>
    <w:qFormat/>
    <w:rPr>
      <w:rFonts w:ascii="Arial" w:hAnsi="Arial" w:eastAsia="黑体"/>
      <w:b/>
      <w:sz w:val="28"/>
      <w:lang w:val="en-US" w:eastAsia="zh-CN" w:bidi="ar-SA"/>
    </w:rPr>
  </w:style>
  <w:style w:type="character" w:styleId="1095" w:customStyle="1">
    <w:name w:val="标题 5 字符"/>
    <w:link w:val="1083"/>
    <w:uiPriority w:val="0"/>
    <w:qFormat/>
    <w:rPr>
      <w:rFonts w:ascii="黑体" w:eastAsia="黑体"/>
      <w:b/>
      <w:color w:val="000000"/>
      <w:sz w:val="28"/>
      <w:lang w:val="en-US" w:eastAsia="zh-CN" w:bidi="ar-SA"/>
    </w:rPr>
  </w:style>
  <w:style w:type="character" w:styleId="1096" w:customStyle="1">
    <w:name w:val="标题 6 字符"/>
    <w:link w:val="1085"/>
    <w:uiPriority w:val="0"/>
    <w:qFormat/>
    <w:rPr>
      <w:rFonts w:ascii="Arial" w:hAnsi="Arial" w:eastAsia="黑体"/>
      <w:b/>
      <w:bCs/>
      <w:sz w:val="24"/>
      <w:szCs w:val="24"/>
      <w:lang w:val="en-US" w:eastAsia="zh-CN" w:bidi="ar-SA"/>
    </w:rPr>
  </w:style>
  <w:style w:type="character" w:styleId="1097" w:customStyle="1">
    <w:name w:val="标题 7 字符"/>
    <w:link w:val="1086"/>
    <w:uiPriority w:val="0"/>
    <w:qFormat/>
    <w:rPr>
      <w:rFonts w:eastAsia="宋体"/>
      <w:b/>
      <w:bCs/>
      <w:sz w:val="24"/>
      <w:szCs w:val="24"/>
      <w:lang w:val="en-US" w:eastAsia="zh-CN" w:bidi="ar-SA"/>
    </w:rPr>
  </w:style>
  <w:style w:type="character" w:styleId="1098" w:customStyle="1">
    <w:name w:val="标题 8 字符"/>
    <w:link w:val="1087"/>
    <w:uiPriority w:val="0"/>
    <w:qFormat/>
    <w:rPr>
      <w:rFonts w:ascii="Arial" w:hAnsi="Arial" w:eastAsia="黑体"/>
      <w:sz w:val="24"/>
      <w:szCs w:val="24"/>
      <w:lang w:val="en-US" w:eastAsia="zh-CN" w:bidi="ar-SA"/>
    </w:rPr>
  </w:style>
  <w:style w:type="character" w:styleId="1099" w:customStyle="1">
    <w:name w:val="标题 9 字符"/>
    <w:link w:val="1088"/>
    <w:uiPriority w:val="0"/>
    <w:qFormat/>
    <w:rPr>
      <w:rFonts w:ascii="Arial" w:hAnsi="Arial" w:eastAsia="黑体"/>
      <w:sz w:val="21"/>
      <w:szCs w:val="21"/>
      <w:lang w:val="en-US" w:eastAsia="zh-CN" w:bidi="ar-SA"/>
    </w:rPr>
  </w:style>
  <w:style w:type="paragraph" w:styleId="1100" w:customStyle="1">
    <w:name w:val="列表 31"/>
    <w:basedOn w:val="891"/>
    <w:uiPriority w:val="0"/>
    <w:qFormat/>
    <w:pPr>
      <w:ind w:left="1260" w:hanging="420"/>
    </w:pPr>
  </w:style>
  <w:style w:type="paragraph" w:styleId="1101" w:customStyle="1">
    <w:name w:val="目录 71"/>
    <w:basedOn w:val="891"/>
    <w:next w:val="891"/>
    <w:uiPriority w:val="0"/>
    <w:semiHidden/>
    <w:qFormat/>
    <w:pPr>
      <w:ind w:left="1260"/>
      <w:jc w:val="left"/>
    </w:pPr>
    <w:rPr>
      <w:sz w:val="18"/>
    </w:rPr>
  </w:style>
  <w:style w:type="paragraph" w:styleId="1102" w:customStyle="1">
    <w:name w:val="列表编号 21"/>
    <w:basedOn w:val="891"/>
    <w:uiPriority w:val="0"/>
    <w:qFormat/>
    <w:pPr>
      <w:ind w:left="1440" w:hanging="1440"/>
      <w:spacing w:line="360" w:lineRule="auto"/>
      <w:tabs>
        <w:tab w:val="left" w:pos="1440" w:leader="none"/>
      </w:tabs>
    </w:pPr>
    <w:rPr>
      <w:sz w:val="24"/>
      <w:szCs w:val="24"/>
    </w:rPr>
  </w:style>
  <w:style w:type="paragraph" w:styleId="1103" w:customStyle="1">
    <w:name w:val="索引 81"/>
    <w:basedOn w:val="891"/>
    <w:next w:val="891"/>
    <w:uiPriority w:val="0"/>
    <w:semiHidden/>
    <w:qFormat/>
    <w:pPr>
      <w:ind w:left="2940"/>
    </w:pPr>
  </w:style>
  <w:style w:type="paragraph" w:styleId="1104" w:customStyle="1">
    <w:name w:val="列表编号1"/>
    <w:basedOn w:val="891"/>
    <w:uiPriority w:val="0"/>
    <w:qFormat/>
    <w:pPr>
      <w:ind w:left="2952" w:hanging="432"/>
      <w:tabs>
        <w:tab w:val="left" w:pos="2952" w:leader="none"/>
      </w:tabs>
    </w:pPr>
    <w:rPr>
      <w:szCs w:val="24"/>
    </w:rPr>
  </w:style>
  <w:style w:type="paragraph" w:styleId="1105" w:customStyle="1">
    <w:name w:val="索引 51"/>
    <w:basedOn w:val="891"/>
    <w:next w:val="891"/>
    <w:uiPriority w:val="0"/>
    <w:semiHidden/>
    <w:qFormat/>
    <w:pPr>
      <w:ind w:left="1680"/>
    </w:pPr>
  </w:style>
  <w:style w:type="paragraph" w:styleId="1106" w:customStyle="1">
    <w:name w:val="文档结构图1"/>
    <w:basedOn w:val="891"/>
    <w:link w:val="1107"/>
    <w:uiPriority w:val="0"/>
    <w:semiHidden/>
    <w:qFormat/>
    <w:pPr>
      <w:shd w:val="clear" w:color="auto" w:fill="000080"/>
    </w:pPr>
    <w:rPr>
      <w:rFonts w:ascii="Times New Roman" w:hAnsi="Times New Roman" w:eastAsia="宋体" w:cs="Times New Roman"/>
      <w:sz w:val="21"/>
      <w:lang w:val="en-US"/>
    </w:rPr>
  </w:style>
  <w:style w:type="character" w:styleId="1107" w:customStyle="1">
    <w:name w:val="文档结构图 字符"/>
    <w:link w:val="1106"/>
    <w:uiPriority w:val="0"/>
    <w:qFormat/>
    <w:rPr>
      <w:rFonts w:eastAsia="宋体"/>
      <w:sz w:val="21"/>
      <w:lang w:val="en-US" w:eastAsia="zh-CN" w:bidi="ar-SA"/>
    </w:rPr>
  </w:style>
  <w:style w:type="paragraph" w:styleId="1108" w:customStyle="1">
    <w:name w:val="批注文字1"/>
    <w:basedOn w:val="891"/>
    <w:link w:val="1109"/>
    <w:uiPriority w:val="99"/>
    <w:qFormat/>
    <w:pPr>
      <w:jc w:val="left"/>
    </w:pPr>
    <w:rPr>
      <w:rFonts w:ascii="Times New Roman" w:hAnsi="Times New Roman" w:eastAsia="宋体" w:cs="Times New Roman"/>
      <w:sz w:val="21"/>
      <w:lang w:val="en-US"/>
    </w:rPr>
  </w:style>
  <w:style w:type="character" w:styleId="1109" w:customStyle="1">
    <w:name w:val="批注文字 字符"/>
    <w:link w:val="1108"/>
    <w:uiPriority w:val="99"/>
    <w:qFormat/>
    <w:rPr>
      <w:rFonts w:eastAsia="宋体"/>
      <w:sz w:val="21"/>
      <w:lang w:val="en-US" w:eastAsia="zh-CN" w:bidi="ar-SA"/>
    </w:rPr>
  </w:style>
  <w:style w:type="paragraph" w:styleId="1110" w:customStyle="1">
    <w:name w:val="索引 61"/>
    <w:basedOn w:val="891"/>
    <w:next w:val="891"/>
    <w:uiPriority w:val="0"/>
    <w:semiHidden/>
    <w:qFormat/>
    <w:pPr>
      <w:ind w:left="2100"/>
    </w:pPr>
  </w:style>
  <w:style w:type="paragraph" w:styleId="1111" w:customStyle="1">
    <w:name w:val="称呼1"/>
    <w:basedOn w:val="891"/>
    <w:next w:val="891"/>
    <w:uiPriority w:val="0"/>
    <w:qFormat/>
    <w:rPr>
      <w:rFonts w:ascii="仿宋_GB2312" w:eastAsia="仿宋_GB2312"/>
      <w:sz w:val="28"/>
    </w:rPr>
  </w:style>
  <w:style w:type="paragraph" w:styleId="1112" w:customStyle="1">
    <w:name w:val="正文文本 31"/>
    <w:basedOn w:val="891"/>
    <w:uiPriority w:val="0"/>
    <w:qFormat/>
    <w:rPr>
      <w:rFonts w:ascii="仿宋_GB2312" w:hAnsi="Arial" w:eastAsia="仿宋_GB2312"/>
      <w:sz w:val="32"/>
    </w:rPr>
  </w:style>
  <w:style w:type="paragraph" w:styleId="1113" w:customStyle="1">
    <w:name w:val="正文文本1"/>
    <w:basedOn w:val="891"/>
    <w:uiPriority w:val="0"/>
    <w:qFormat/>
    <w:rPr>
      <w:rFonts w:ascii="楷体_GB2312" w:hAnsi="Arial" w:eastAsia="楷体_GB2312"/>
      <w:sz w:val="28"/>
    </w:rPr>
  </w:style>
  <w:style w:type="paragraph" w:styleId="1114" w:customStyle="1">
    <w:name w:val="正文文本缩进11"/>
    <w:basedOn w:val="891"/>
    <w:link w:val="1115"/>
    <w:uiPriority w:val="0"/>
    <w:qFormat/>
    <w:pPr>
      <w:ind w:firstLine="645"/>
    </w:pPr>
    <w:rPr>
      <w:rFonts w:ascii="楷体_GB2312" w:hAnsi="Times New Roman" w:eastAsia="楷体_GB2312" w:cs="Times New Roman"/>
      <w:sz w:val="32"/>
      <w:lang w:val="en-US"/>
    </w:rPr>
  </w:style>
  <w:style w:type="character" w:styleId="1115" w:customStyle="1">
    <w:name w:val="正文文本缩进 字符"/>
    <w:link w:val="1114"/>
    <w:uiPriority w:val="0"/>
    <w:qFormat/>
    <w:rPr>
      <w:rFonts w:ascii="楷体_GB2312" w:eastAsia="楷体_GB2312"/>
      <w:sz w:val="32"/>
      <w:lang w:val="en-US" w:eastAsia="zh-CN" w:bidi="ar-SA"/>
    </w:rPr>
  </w:style>
  <w:style w:type="paragraph" w:styleId="1116" w:customStyle="1">
    <w:name w:val="文本块1"/>
    <w:basedOn w:val="891"/>
    <w:uiPriority w:val="99"/>
    <w:unhideWhenUsed/>
    <w:qFormat/>
    <w:pPr>
      <w:ind w:left="1440" w:right="1440"/>
      <w:spacing w:after="120"/>
    </w:pPr>
  </w:style>
  <w:style w:type="paragraph" w:styleId="1117" w:customStyle="1">
    <w:name w:val="索引 41"/>
    <w:basedOn w:val="891"/>
    <w:next w:val="891"/>
    <w:uiPriority w:val="0"/>
    <w:semiHidden/>
    <w:qFormat/>
    <w:pPr>
      <w:ind w:left="1260"/>
    </w:pPr>
  </w:style>
  <w:style w:type="paragraph" w:styleId="1118" w:customStyle="1">
    <w:name w:val="目录 51"/>
    <w:basedOn w:val="891"/>
    <w:next w:val="891"/>
    <w:uiPriority w:val="0"/>
    <w:semiHidden/>
    <w:qFormat/>
    <w:pPr>
      <w:ind w:left="840"/>
      <w:jc w:val="left"/>
    </w:pPr>
    <w:rPr>
      <w:sz w:val="18"/>
    </w:rPr>
  </w:style>
  <w:style w:type="paragraph" w:styleId="1119" w:customStyle="1">
    <w:name w:val="目录 31"/>
    <w:basedOn w:val="891"/>
    <w:next w:val="891"/>
    <w:uiPriority w:val="0"/>
    <w:semiHidden/>
    <w:qFormat/>
    <w:pPr>
      <w:ind w:left="420"/>
      <w:jc w:val="left"/>
    </w:pPr>
    <w:rPr>
      <w:i/>
    </w:rPr>
  </w:style>
  <w:style w:type="paragraph" w:styleId="1120" w:customStyle="1">
    <w:name w:val="纯文本11"/>
    <w:basedOn w:val="891"/>
    <w:link w:val="1121"/>
    <w:uiPriority w:val="0"/>
    <w:qFormat/>
    <w:rPr>
      <w:rFonts w:ascii="宋体" w:hAnsi="Courier New" w:eastAsia="宋体" w:cs="Times New Roman"/>
      <w:sz w:val="21"/>
      <w:lang w:val="en-US"/>
    </w:rPr>
  </w:style>
  <w:style w:type="character" w:styleId="1121" w:customStyle="1">
    <w:name w:val="纯文本 字符"/>
    <w:link w:val="1120"/>
    <w:uiPriority w:val="0"/>
    <w:qFormat/>
    <w:rPr>
      <w:rFonts w:ascii="宋体" w:hAnsi="Courier New" w:eastAsia="宋体"/>
      <w:sz w:val="21"/>
      <w:lang w:val="en-US" w:eastAsia="zh-CN" w:bidi="ar-SA"/>
    </w:rPr>
  </w:style>
  <w:style w:type="paragraph" w:styleId="1122" w:customStyle="1">
    <w:name w:val="目录 81"/>
    <w:basedOn w:val="891"/>
    <w:next w:val="891"/>
    <w:uiPriority w:val="0"/>
    <w:semiHidden/>
    <w:qFormat/>
    <w:pPr>
      <w:ind w:left="1470"/>
      <w:jc w:val="left"/>
    </w:pPr>
    <w:rPr>
      <w:sz w:val="18"/>
    </w:rPr>
  </w:style>
  <w:style w:type="paragraph" w:styleId="1123" w:customStyle="1">
    <w:name w:val="索引 31"/>
    <w:basedOn w:val="891"/>
    <w:next w:val="891"/>
    <w:uiPriority w:val="0"/>
    <w:semiHidden/>
    <w:qFormat/>
    <w:pPr>
      <w:ind w:left="840"/>
    </w:pPr>
  </w:style>
  <w:style w:type="paragraph" w:styleId="1124" w:customStyle="1">
    <w:name w:val="日期1"/>
    <w:basedOn w:val="891"/>
    <w:next w:val="891"/>
    <w:uiPriority w:val="0"/>
    <w:qFormat/>
    <w:pPr>
      <w:ind w:left="100"/>
    </w:pPr>
    <w:rPr>
      <w:sz w:val="28"/>
    </w:rPr>
  </w:style>
  <w:style w:type="paragraph" w:styleId="1125" w:customStyle="1">
    <w:name w:val="正文文本缩进 21"/>
    <w:basedOn w:val="891"/>
    <w:link w:val="1126"/>
    <w:uiPriority w:val="0"/>
    <w:qFormat/>
    <w:pPr>
      <w:ind w:left="630" w:firstLine="645"/>
    </w:pPr>
    <w:rPr>
      <w:rFonts w:ascii="Arial" w:hAnsi="Arial" w:eastAsia="仿宋_GB2312" w:cs="Times New Roman"/>
      <w:sz w:val="32"/>
      <w:lang w:val="en-US"/>
    </w:rPr>
  </w:style>
  <w:style w:type="character" w:styleId="1126" w:customStyle="1">
    <w:name w:val="正文文本缩进 2 字符"/>
    <w:link w:val="1125"/>
    <w:uiPriority w:val="0"/>
    <w:qFormat/>
    <w:rPr>
      <w:rFonts w:ascii="Arial" w:hAnsi="Arial" w:eastAsia="仿宋_GB2312"/>
      <w:sz w:val="32"/>
      <w:lang w:val="en-US" w:eastAsia="zh-CN" w:bidi="ar-SA"/>
    </w:rPr>
  </w:style>
  <w:style w:type="paragraph" w:styleId="1127" w:customStyle="1">
    <w:name w:val="尾注文本1"/>
    <w:basedOn w:val="891"/>
    <w:uiPriority w:val="0"/>
    <w:qFormat/>
    <w:pPr>
      <w:jc w:val="left"/>
    </w:pPr>
    <w:rPr>
      <w:szCs w:val="24"/>
    </w:rPr>
  </w:style>
  <w:style w:type="paragraph" w:styleId="1128" w:customStyle="1">
    <w:name w:val="批注框文本1"/>
    <w:basedOn w:val="891"/>
    <w:uiPriority w:val="0"/>
    <w:semiHidden/>
    <w:qFormat/>
    <w:rPr>
      <w:sz w:val="18"/>
      <w:szCs w:val="18"/>
    </w:rPr>
  </w:style>
  <w:style w:type="paragraph" w:styleId="1129" w:customStyle="1">
    <w:name w:val="页脚1"/>
    <w:basedOn w:val="891"/>
    <w:link w:val="1130"/>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130" w:customStyle="1">
    <w:name w:val="页脚 字符"/>
    <w:link w:val="1129"/>
    <w:uiPriority w:val="0"/>
    <w:qFormat/>
    <w:rPr>
      <w:sz w:val="18"/>
    </w:rPr>
  </w:style>
  <w:style w:type="paragraph" w:styleId="1131" w:customStyle="1">
    <w:name w:val="页眉1"/>
    <w:basedOn w:val="891"/>
    <w:uiPriority w:val="0"/>
    <w:qFormat/>
    <w:pPr>
      <w:jc w:val="center"/>
      <w:tabs>
        <w:tab w:val="center" w:pos="4153" w:leader="none"/>
        <w:tab w:val="right" w:pos="8306" w:leader="none"/>
      </w:tabs>
      <w:pBdr>
        <w:bottom w:val="single" w:color="000000" w:sz="6" w:space="1"/>
      </w:pBdr>
    </w:pPr>
    <w:rPr>
      <w:sz w:val="18"/>
    </w:rPr>
  </w:style>
  <w:style w:type="paragraph" w:styleId="1132" w:customStyle="1">
    <w:name w:val="签名1"/>
    <w:basedOn w:val="891"/>
    <w:uiPriority w:val="0"/>
    <w:qFormat/>
    <w:pPr>
      <w:jc w:val="center"/>
      <w:spacing w:after="600" w:line="312" w:lineRule="atLeast"/>
    </w:pPr>
    <w:rPr>
      <w:rFonts w:eastAsia="仿宋_GB2312"/>
      <w:sz w:val="24"/>
    </w:rPr>
  </w:style>
  <w:style w:type="paragraph" w:styleId="1133" w:customStyle="1">
    <w:name w:val="目录 11"/>
    <w:basedOn w:val="891"/>
    <w:next w:val="891"/>
    <w:uiPriority w:val="0"/>
    <w:semiHidden/>
    <w:qFormat/>
    <w:pPr>
      <w:jc w:val="left"/>
      <w:spacing w:before="120" w:after="120"/>
    </w:pPr>
    <w:rPr>
      <w:b/>
      <w:caps/>
    </w:rPr>
  </w:style>
  <w:style w:type="paragraph" w:styleId="1134" w:customStyle="1">
    <w:name w:val="目录 41"/>
    <w:basedOn w:val="891"/>
    <w:next w:val="891"/>
    <w:uiPriority w:val="0"/>
    <w:semiHidden/>
    <w:qFormat/>
    <w:pPr>
      <w:ind w:left="630"/>
      <w:jc w:val="left"/>
    </w:pPr>
    <w:rPr>
      <w:sz w:val="18"/>
    </w:rPr>
  </w:style>
  <w:style w:type="paragraph" w:styleId="1135" w:customStyle="1">
    <w:name w:val="索引标题1"/>
    <w:basedOn w:val="891"/>
    <w:next w:val="1136"/>
    <w:uiPriority w:val="0"/>
    <w:semiHidden/>
    <w:qFormat/>
  </w:style>
  <w:style w:type="paragraph" w:styleId="1136" w:customStyle="1">
    <w:name w:val="索引 11"/>
    <w:basedOn w:val="891"/>
    <w:next w:val="891"/>
    <w:uiPriority w:val="0"/>
    <w:semiHidden/>
    <w:qFormat/>
    <w:rPr>
      <w:rFonts w:ascii="仿宋_GB2312" w:hAnsi="宋体" w:eastAsia="仿宋_GB2312"/>
      <w:sz w:val="30"/>
      <w:szCs w:val="24"/>
    </w:rPr>
  </w:style>
  <w:style w:type="paragraph" w:styleId="1137" w:customStyle="1">
    <w:name w:val="副标题1"/>
    <w:basedOn w:val="891"/>
    <w:next w:val="891"/>
    <w:uiPriority w:val="0"/>
    <w:qFormat/>
    <w:pPr>
      <w:jc w:val="left"/>
      <w:spacing w:after="600" w:line="276" w:lineRule="auto"/>
      <w:widowControl/>
    </w:pPr>
    <w:rPr>
      <w:rFonts w:ascii="Cambria" w:hAnsi="Cambria"/>
      <w:i/>
      <w:iCs/>
      <w:spacing w:val="13"/>
      <w:sz w:val="24"/>
      <w:szCs w:val="24"/>
      <w:lang w:eastAsia="en-US" w:bidi="en-US"/>
    </w:rPr>
  </w:style>
  <w:style w:type="paragraph" w:styleId="1138" w:customStyle="1">
    <w:name w:val="脚注文本1"/>
    <w:basedOn w:val="891"/>
    <w:uiPriority w:val="0"/>
    <w:qFormat/>
    <w:pPr>
      <w:jc w:val="left"/>
    </w:pPr>
    <w:rPr>
      <w:sz w:val="18"/>
      <w:szCs w:val="18"/>
    </w:rPr>
  </w:style>
  <w:style w:type="paragraph" w:styleId="1139" w:customStyle="1">
    <w:name w:val="目录 61"/>
    <w:basedOn w:val="891"/>
    <w:next w:val="891"/>
    <w:uiPriority w:val="0"/>
    <w:semiHidden/>
    <w:qFormat/>
    <w:pPr>
      <w:ind w:left="1050"/>
      <w:jc w:val="left"/>
    </w:pPr>
    <w:rPr>
      <w:sz w:val="18"/>
    </w:rPr>
  </w:style>
  <w:style w:type="paragraph" w:styleId="1140" w:customStyle="1">
    <w:name w:val="正文文本缩进 31"/>
    <w:basedOn w:val="891"/>
    <w:link w:val="1141"/>
    <w:uiPriority w:val="0"/>
    <w:qFormat/>
    <w:pPr>
      <w:ind w:left="645" w:firstLine="645"/>
    </w:pPr>
    <w:rPr>
      <w:rFonts w:ascii="Arial" w:hAnsi="Arial" w:eastAsia="仿宋_GB2312" w:cs="Times New Roman"/>
      <w:color w:val="ffff00"/>
      <w:sz w:val="32"/>
      <w:lang w:val="en-US"/>
    </w:rPr>
  </w:style>
  <w:style w:type="character" w:styleId="1141" w:customStyle="1">
    <w:name w:val="正文文本缩进 3 字符"/>
    <w:link w:val="1140"/>
    <w:uiPriority w:val="0"/>
    <w:qFormat/>
    <w:rPr>
      <w:rFonts w:ascii="Arial" w:hAnsi="Arial" w:eastAsia="仿宋_GB2312"/>
      <w:color w:val="ffff00"/>
      <w:sz w:val="32"/>
      <w:lang w:val="en-US" w:eastAsia="zh-CN" w:bidi="ar-SA"/>
    </w:rPr>
  </w:style>
  <w:style w:type="paragraph" w:styleId="1142" w:customStyle="1">
    <w:name w:val="索引 71"/>
    <w:basedOn w:val="891"/>
    <w:next w:val="891"/>
    <w:uiPriority w:val="0"/>
    <w:semiHidden/>
    <w:qFormat/>
    <w:pPr>
      <w:ind w:left="2520"/>
    </w:pPr>
  </w:style>
  <w:style w:type="paragraph" w:styleId="1143" w:customStyle="1">
    <w:name w:val="索引 91"/>
    <w:basedOn w:val="891"/>
    <w:next w:val="891"/>
    <w:uiPriority w:val="0"/>
    <w:semiHidden/>
    <w:qFormat/>
    <w:pPr>
      <w:ind w:left="3360"/>
    </w:pPr>
  </w:style>
  <w:style w:type="paragraph" w:styleId="1144" w:customStyle="1">
    <w:name w:val="图表目录1"/>
    <w:basedOn w:val="891"/>
    <w:next w:val="891"/>
    <w:uiPriority w:val="0"/>
    <w:semiHidden/>
    <w:qFormat/>
    <w:pPr>
      <w:ind w:left="840" w:hanging="420"/>
    </w:pPr>
  </w:style>
  <w:style w:type="paragraph" w:styleId="1145" w:customStyle="1">
    <w:name w:val="目录 21"/>
    <w:basedOn w:val="891"/>
    <w:next w:val="891"/>
    <w:uiPriority w:val="0"/>
    <w:semiHidden/>
    <w:qFormat/>
    <w:pPr>
      <w:ind w:left="210"/>
      <w:jc w:val="left"/>
    </w:pPr>
    <w:rPr>
      <w:smallCaps/>
    </w:rPr>
  </w:style>
  <w:style w:type="paragraph" w:styleId="1146" w:customStyle="1">
    <w:name w:val="目录 91"/>
    <w:basedOn w:val="891"/>
    <w:next w:val="891"/>
    <w:uiPriority w:val="0"/>
    <w:semiHidden/>
    <w:qFormat/>
    <w:pPr>
      <w:ind w:left="1680"/>
      <w:jc w:val="left"/>
    </w:pPr>
    <w:rPr>
      <w:sz w:val="18"/>
    </w:rPr>
  </w:style>
  <w:style w:type="paragraph" w:styleId="1147" w:customStyle="1">
    <w:name w:val="正文文本 211"/>
    <w:basedOn w:val="891"/>
    <w:uiPriority w:val="0"/>
    <w:qFormat/>
    <w:pPr>
      <w:jc w:val="center"/>
      <w:widowControl/>
    </w:pPr>
    <w:rPr>
      <w:rFonts w:ascii="楷体_GB2312" w:eastAsia="楷体_GB2312"/>
      <w:sz w:val="28"/>
    </w:rPr>
  </w:style>
  <w:style w:type="paragraph" w:styleId="1148" w:customStyle="1">
    <w:name w:val="HTML 预设格式1"/>
    <w:basedOn w:val="891"/>
    <w:link w:val="11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49" w:customStyle="1">
    <w:name w:val="HTML 预设格式 字符"/>
    <w:link w:val="1148"/>
    <w:uiPriority w:val="0"/>
    <w:qFormat/>
    <w:rPr>
      <w:rFonts w:ascii="黑体" w:hAnsi="Courier New" w:eastAsia="黑体" w:cs="Courier New"/>
      <w:lang w:val="en-US" w:eastAsia="zh-CN" w:bidi="ar-SA"/>
    </w:rPr>
  </w:style>
  <w:style w:type="paragraph" w:styleId="1150" w:customStyle="1">
    <w:name w:val="普通(网站)1"/>
    <w:basedOn w:val="891"/>
    <w:uiPriority w:val="0"/>
    <w:qFormat/>
    <w:pPr>
      <w:jc w:val="left"/>
      <w:spacing w:before="100" w:beforeAutospacing="1" w:after="100" w:afterAutospacing="1"/>
      <w:widowControl/>
    </w:pPr>
    <w:rPr>
      <w:rFonts w:ascii="Arial" w:hAnsi="Arial" w:eastAsia="Arial Unicode MS" w:cs="Arial"/>
      <w:sz w:val="24"/>
      <w:szCs w:val="24"/>
    </w:rPr>
  </w:style>
  <w:style w:type="paragraph" w:styleId="1151" w:customStyle="1">
    <w:name w:val="索引 21"/>
    <w:basedOn w:val="891"/>
    <w:next w:val="891"/>
    <w:uiPriority w:val="0"/>
    <w:semiHidden/>
    <w:qFormat/>
    <w:pPr>
      <w:ind w:left="420"/>
    </w:pPr>
  </w:style>
  <w:style w:type="paragraph" w:styleId="1152" w:customStyle="1">
    <w:name w:val="标题1"/>
    <w:basedOn w:val="891"/>
    <w:link w:val="1153"/>
    <w:uiPriority w:val="0"/>
    <w:qFormat/>
    <w:pPr>
      <w:jc w:val="center"/>
      <w:spacing w:line="420" w:lineRule="exact"/>
      <w:widowControl/>
    </w:pPr>
    <w:rPr>
      <w:rFonts w:ascii="Times New Roman" w:hAnsi="Times New Roman" w:eastAsia="黑体" w:cs="Times New Roman"/>
      <w:b/>
      <w:sz w:val="28"/>
      <w:lang w:val="en-GB"/>
    </w:rPr>
  </w:style>
  <w:style w:type="character" w:styleId="1153" w:customStyle="1">
    <w:name w:val="标题 字符"/>
    <w:link w:val="1152"/>
    <w:uiPriority w:val="0"/>
    <w:qFormat/>
    <w:rPr>
      <w:rFonts w:eastAsia="黑体"/>
      <w:b/>
      <w:sz w:val="28"/>
      <w:lang w:val="en-GB" w:eastAsia="zh-CN" w:bidi="ar-SA"/>
    </w:rPr>
  </w:style>
  <w:style w:type="paragraph" w:styleId="1154" w:customStyle="1">
    <w:name w:val="批注主题1"/>
    <w:basedOn w:val="1108"/>
    <w:next w:val="1108"/>
    <w:link w:val="1155"/>
    <w:uiPriority w:val="0"/>
    <w:semiHidden/>
    <w:qFormat/>
    <w:rPr>
      <w:b/>
      <w:bCs/>
    </w:rPr>
  </w:style>
  <w:style w:type="character" w:styleId="1155" w:customStyle="1">
    <w:name w:val="批注主题 字符"/>
    <w:link w:val="1154"/>
    <w:uiPriority w:val="0"/>
    <w:qFormat/>
    <w:rPr>
      <w:rFonts w:eastAsia="宋体"/>
      <w:b/>
      <w:bCs/>
      <w:sz w:val="21"/>
      <w:lang w:val="en-US" w:eastAsia="zh-CN" w:bidi="ar-SA"/>
    </w:rPr>
  </w:style>
  <w:style w:type="paragraph" w:styleId="1156" w:customStyle="1">
    <w:name w:val="正文首行缩进1"/>
    <w:basedOn w:val="1113"/>
    <w:uiPriority w:val="0"/>
    <w:qFormat/>
    <w:pPr>
      <w:ind w:firstLine="420"/>
      <w:spacing w:after="120"/>
    </w:pPr>
    <w:rPr>
      <w:rFonts w:ascii="Times New Roman" w:hAnsi="Times New Roman" w:eastAsia="宋体"/>
      <w:sz w:val="21"/>
      <w:szCs w:val="24"/>
    </w:rPr>
  </w:style>
  <w:style w:type="table" w:styleId="1157" w:customStyle="1">
    <w:name w:val="网格型1"/>
    <w:basedOn w:val="1090"/>
    <w:uiPriority w:val="39"/>
    <w:qFormat/>
    <w:tblPr/>
  </w:style>
  <w:style w:type="character" w:styleId="1158" w:customStyle="1">
    <w:name w:val="要点1"/>
    <w:uiPriority w:val="0"/>
    <w:qFormat/>
    <w:rPr>
      <w:b/>
      <w:bCs/>
    </w:rPr>
  </w:style>
  <w:style w:type="character" w:styleId="1159" w:customStyle="1">
    <w:name w:val="尾注引用1"/>
    <w:uiPriority w:val="0"/>
    <w:qFormat/>
    <w:rPr>
      <w:vertAlign w:val="superscript"/>
    </w:rPr>
  </w:style>
  <w:style w:type="character" w:styleId="1160" w:customStyle="1">
    <w:name w:val="页码1"/>
    <w:uiPriority w:val="0"/>
    <w:qFormat/>
  </w:style>
  <w:style w:type="character" w:styleId="1161" w:customStyle="1">
    <w:name w:val="已访问的超链接11"/>
    <w:uiPriority w:val="0"/>
    <w:qFormat/>
    <w:rPr>
      <w:color w:val="800080"/>
      <w:u w:val="single"/>
    </w:rPr>
  </w:style>
  <w:style w:type="character" w:styleId="1162" w:customStyle="1">
    <w:name w:val="强调1"/>
    <w:uiPriority w:val="0"/>
    <w:qFormat/>
    <w:rPr>
      <w:b/>
      <w:bCs/>
      <w:i/>
      <w:iCs/>
      <w:spacing w:val="10"/>
      <w:shd w:val="clear" w:color="auto" w:fill="auto"/>
    </w:rPr>
  </w:style>
  <w:style w:type="character" w:styleId="1163" w:customStyle="1">
    <w:name w:val="行号1"/>
    <w:uiPriority w:val="0"/>
    <w:qFormat/>
  </w:style>
  <w:style w:type="character" w:styleId="1164" w:customStyle="1">
    <w:name w:val="HTML 打字机1"/>
    <w:uiPriority w:val="0"/>
    <w:qFormat/>
    <w:rPr>
      <w:rFonts w:ascii="宋体" w:hAnsi="宋体" w:eastAsia="宋体" w:cs="宋体"/>
      <w:sz w:val="24"/>
      <w:szCs w:val="24"/>
    </w:rPr>
  </w:style>
  <w:style w:type="character" w:styleId="1165" w:customStyle="1">
    <w:name w:val="超链接1"/>
    <w:uiPriority w:val="0"/>
    <w:qFormat/>
    <w:rPr>
      <w:color w:val="0000ff"/>
      <w:u w:val="single"/>
    </w:rPr>
  </w:style>
  <w:style w:type="character" w:styleId="1166" w:customStyle="1">
    <w:name w:val="批注引用1"/>
    <w:uiPriority w:val="0"/>
    <w:qFormat/>
    <w:rPr>
      <w:sz w:val="21"/>
    </w:rPr>
  </w:style>
  <w:style w:type="character" w:styleId="1167" w:customStyle="1">
    <w:name w:val="脚注引用1"/>
    <w:uiPriority w:val="0"/>
    <w:qFormat/>
    <w:rPr>
      <w:vertAlign w:val="superscript"/>
    </w:rPr>
  </w:style>
  <w:style w:type="character" w:styleId="1168" w:customStyle="1">
    <w:name w:val="HTML 样本1"/>
    <w:uiPriority w:val="0"/>
    <w:qFormat/>
    <w:rPr>
      <w:rFonts w:ascii="Courier New" w:hAnsi="宋体" w:eastAsia="宋体" w:cs="Courier New"/>
    </w:rPr>
  </w:style>
  <w:style w:type="character" w:styleId="1169" w:customStyle="1">
    <w:name w:val="style131"/>
    <w:uiPriority w:val="0"/>
    <w:qFormat/>
    <w:rPr>
      <w:rFonts w:cs="Times New Roman"/>
      <w:sz w:val="18"/>
      <w:szCs w:val="18"/>
    </w:rPr>
  </w:style>
  <w:style w:type="character" w:styleId="1170" w:customStyle="1">
    <w:name w:val="param-value"/>
    <w:uiPriority w:val="0"/>
    <w:qFormat/>
  </w:style>
  <w:style w:type="character" w:styleId="1171" w:customStyle="1">
    <w:name w:val="标题 Char1"/>
    <w:uiPriority w:val="0"/>
    <w:qFormat/>
    <w:rPr>
      <w:rFonts w:ascii="Cambria" w:eastAsia="宋体" w:cs="Times New Roman"/>
      <w:b/>
      <w:bCs/>
      <w:sz w:val="32"/>
      <w:szCs w:val="32"/>
    </w:rPr>
  </w:style>
  <w:style w:type="character" w:styleId="1172" w:customStyle="1">
    <w:name w:val="纯文本 Char1"/>
    <w:uiPriority w:val="0"/>
    <w:qFormat/>
    <w:rPr>
      <w:rFonts w:ascii="宋体" w:hAnsi="Courier New" w:cs="Courier New"/>
      <w:sz w:val="21"/>
      <w:szCs w:val="21"/>
    </w:rPr>
  </w:style>
  <w:style w:type="character" w:styleId="1173" w:customStyle="1">
    <w:name w:val="无间隔 字符"/>
    <w:link w:val="1174"/>
    <w:uiPriority w:val="0"/>
    <w:qFormat/>
    <w:rPr>
      <w:rFonts w:ascii="Calibri" w:hAnsi="Calibri" w:eastAsia="微软雅黑"/>
      <w:sz w:val="24"/>
      <w:szCs w:val="22"/>
      <w:lang w:val="en-US" w:eastAsia="zh-CN" w:bidi="ar-SA"/>
    </w:rPr>
  </w:style>
  <w:style w:type="paragraph" w:styleId="1174" w:customStyle="1">
    <w:name w:val="无间隔1"/>
    <w:link w:val="1173"/>
    <w:uiPriority w:val="0"/>
    <w:qFormat/>
    <w:pPr>
      <w:jc w:val="both"/>
      <w:widowControl w:val="off"/>
    </w:pPr>
    <w:rPr>
      <w:rFonts w:ascii="Calibri" w:hAnsi="Calibri" w:eastAsia="微软雅黑" w:cs="Times New Roman"/>
      <w:sz w:val="24"/>
      <w:szCs w:val="22"/>
      <w:lang w:val="en-US" w:eastAsia="zh-CN" w:bidi="ar-SA"/>
    </w:rPr>
  </w:style>
  <w:style w:type="character" w:styleId="1175" w:customStyle="1">
    <w:name w:val="title_emph1"/>
    <w:uiPriority w:val="0"/>
    <w:qFormat/>
    <w:rPr>
      <w:rFonts w:ascii="Arial" w:cs="Arial"/>
      <w:b/>
      <w:bCs/>
      <w:sz w:val="18"/>
      <w:szCs w:val="18"/>
    </w:rPr>
  </w:style>
  <w:style w:type="character" w:styleId="1176" w:customStyle="1">
    <w:name w:val="Char Char26"/>
    <w:uiPriority w:val="0"/>
    <w:qFormat/>
    <w:rPr>
      <w:b/>
      <w:bCs/>
      <w:sz w:val="32"/>
      <w:szCs w:val="32"/>
    </w:rPr>
  </w:style>
  <w:style w:type="character" w:styleId="1177" w:customStyle="1">
    <w:name w:val="华宇段落1 Char Char"/>
    <w:uiPriority w:val="0"/>
    <w:qFormat/>
    <w:rPr>
      <w:rFonts w:eastAsia="宋体"/>
      <w:bCs/>
      <w:sz w:val="24"/>
      <w:szCs w:val="24"/>
      <w:lang w:val="en-US" w:eastAsia="zh-CN" w:bidi="ar-SA"/>
    </w:rPr>
  </w:style>
  <w:style w:type="character" w:styleId="1178" w:customStyle="1">
    <w:name w:val="中等深浅网格 2 - 强调文字颜色 61"/>
    <w:uiPriority w:val="0"/>
    <w:qFormat/>
    <w:rPr>
      <w:smallCaps/>
      <w:spacing w:val="5"/>
      <w:u w:val="single"/>
    </w:rPr>
  </w:style>
  <w:style w:type="character" w:styleId="1179" w:customStyle="1">
    <w:name w:val="A2"/>
    <w:uiPriority w:val="0"/>
    <w:qFormat/>
    <w:rPr>
      <w:rFonts w:cs="Helvetica"/>
      <w:color w:val="000000"/>
      <w:sz w:val="18"/>
      <w:szCs w:val="18"/>
    </w:rPr>
  </w:style>
  <w:style w:type="character" w:styleId="1180" w:customStyle="1">
    <w:name w:val="纯文本 Char Char Char1"/>
    <w:uiPriority w:val="0"/>
    <w:qFormat/>
    <w:rPr>
      <w:rFonts w:ascii="宋体" w:hAnsi="Courier New" w:eastAsia="宋体"/>
      <w:sz w:val="21"/>
      <w:szCs w:val="21"/>
      <w:lang w:val="en-US" w:eastAsia="zh-CN" w:bidi="ar-SA"/>
    </w:rPr>
  </w:style>
  <w:style w:type="character" w:styleId="1181" w:customStyle="1">
    <w:name w:val="样式 首行缩进:  2 字符 Char"/>
    <w:uiPriority w:val="0"/>
    <w:qFormat/>
    <w:rPr>
      <w:rFonts w:eastAsia="宋体" w:cs="宋体"/>
      <w:sz w:val="24"/>
      <w:lang w:val="en-US" w:eastAsia="zh-CN" w:bidi="ar-SA"/>
    </w:rPr>
  </w:style>
  <w:style w:type="character" w:styleId="1182" w:customStyle="1">
    <w:name w:val="纯文本 Char Char Char"/>
    <w:uiPriority w:val="0"/>
    <w:qFormat/>
    <w:rPr>
      <w:rFonts w:ascii="宋体" w:hAnsi="Courier New" w:eastAsia="宋体"/>
      <w:sz w:val="21"/>
      <w:szCs w:val="21"/>
      <w:lang w:val="en-US" w:eastAsia="zh-CN" w:bidi="ar-SA"/>
    </w:rPr>
  </w:style>
  <w:style w:type="character" w:styleId="1183" w:customStyle="1">
    <w:name w:val="小四 段落 宋体 Char1"/>
    <w:uiPriority w:val="0"/>
    <w:qFormat/>
    <w:rPr>
      <w:rFonts w:eastAsia="宋体"/>
      <w:sz w:val="24"/>
      <w:szCs w:val="24"/>
      <w:lang w:val="en-US" w:eastAsia="zh-CN" w:bidi="ar-SA"/>
    </w:rPr>
  </w:style>
  <w:style w:type="character" w:styleId="1184" w:customStyle="1">
    <w:name w:val="3zw"/>
    <w:uiPriority w:val="0"/>
    <w:qFormat/>
  </w:style>
  <w:style w:type="character" w:styleId="1185" w:customStyle="1">
    <w:name w:val="普通文字1 Char"/>
    <w:uiPriority w:val="0"/>
    <w:qFormat/>
    <w:rPr>
      <w:rFonts w:ascii="宋体" w:eastAsia="宋体"/>
      <w:sz w:val="21"/>
      <w:szCs w:val="21"/>
      <w:lang w:val="en-US" w:eastAsia="zh-CN" w:bidi="ar-SA"/>
    </w:rPr>
  </w:style>
  <w:style w:type="character" w:styleId="1186" w:customStyle="1">
    <w:name w:val="subtitle1"/>
    <w:uiPriority w:val="0"/>
    <w:qFormat/>
    <w:rPr>
      <w:rFonts w:ascii="Georgia" w:hAnsi="Georgia"/>
      <w:b/>
      <w:bCs/>
      <w:color w:val="666666"/>
      <w:sz w:val="18"/>
      <w:szCs w:val="18"/>
    </w:rPr>
  </w:style>
  <w:style w:type="character" w:styleId="1187" w:customStyle="1">
    <w:name w:val="标准文本 Char Char"/>
    <w:uiPriority w:val="0"/>
    <w:qFormat/>
    <w:rPr>
      <w:rFonts w:eastAsia="宋体" w:cs="宋体"/>
      <w:sz w:val="24"/>
      <w:szCs w:val="24"/>
      <w:lang w:val="en-US" w:eastAsia="zh-CN" w:bidi="ar-SA"/>
    </w:rPr>
  </w:style>
  <w:style w:type="character" w:styleId="1188" w:customStyle="1">
    <w:name w:val="中等深浅列表 2 - 强调文字颜色 61"/>
    <w:uiPriority w:val="0"/>
    <w:qFormat/>
    <w:rPr>
      <w:b/>
      <w:bCs/>
    </w:rPr>
  </w:style>
  <w:style w:type="character" w:styleId="1189" w:customStyle="1">
    <w:name w:val="case31"/>
    <w:uiPriority w:val="0"/>
    <w:qFormat/>
    <w:rPr>
      <w:sz w:val="21"/>
      <w:szCs w:val="21"/>
    </w:rPr>
  </w:style>
  <w:style w:type="character" w:styleId="1190" w:customStyle="1">
    <w:name w:val="Char Char2"/>
    <w:uiPriority w:val="0"/>
    <w:qFormat/>
    <w:rPr>
      <w:rFonts w:ascii="宋体" w:hAnsi="Courier New" w:eastAsia="宋体"/>
      <w:sz w:val="21"/>
      <w:szCs w:val="21"/>
      <w:lang w:val="en-US" w:eastAsia="zh-CN" w:bidi="ar-SA"/>
    </w:rPr>
  </w:style>
  <w:style w:type="character" w:styleId="1191" w:customStyle="1">
    <w:name w:val="ih151"/>
    <w:uiPriority w:val="0"/>
    <w:qFormat/>
    <w:rPr>
      <w:color w:val="666666"/>
      <w:sz w:val="18"/>
      <w:szCs w:val="18"/>
      <w:u w:val="none"/>
    </w:rPr>
  </w:style>
  <w:style w:type="character" w:styleId="1192" w:customStyle="1">
    <w:name w:val="content"/>
    <w:uiPriority w:val="0"/>
    <w:qFormat/>
  </w:style>
  <w:style w:type="character" w:styleId="1193" w:customStyle="1">
    <w:name w:val="小四 段落 宋体 Char Char Char Char Char Char"/>
    <w:uiPriority w:val="0"/>
    <w:qFormat/>
    <w:rPr>
      <w:rFonts w:eastAsia="宋体"/>
      <w:sz w:val="24"/>
      <w:szCs w:val="24"/>
      <w:lang w:val="en-US" w:eastAsia="zh-CN" w:bidi="ar-SA"/>
    </w:rPr>
  </w:style>
  <w:style w:type="character" w:styleId="1194" w:customStyle="1">
    <w:name w:val="111111 Char"/>
    <w:link w:val="1195"/>
    <w:uiPriority w:val="0"/>
    <w:qFormat/>
    <w:rPr>
      <w:rFonts w:ascii="宋体" w:hAnsi="宋体" w:eastAsia="黑体" w:cs="宋体"/>
      <w:b/>
      <w:bCs/>
      <w:sz w:val="21"/>
      <w:szCs w:val="21"/>
      <w:lang w:val="en-US" w:eastAsia="zh-CN" w:bidi="ar-SA"/>
    </w:rPr>
  </w:style>
  <w:style w:type="paragraph" w:styleId="1195" w:customStyle="1">
    <w:name w:val="111111"/>
    <w:basedOn w:val="891"/>
    <w:link w:val="1194"/>
    <w:uiPriority w:val="0"/>
    <w:qFormat/>
    <w:pPr>
      <w:jc w:val="center"/>
      <w:spacing w:before="120" w:after="120"/>
    </w:pPr>
    <w:rPr>
      <w:rFonts w:ascii="宋体" w:hAnsi="宋体" w:eastAsia="黑体"/>
      <w:b/>
      <w:bCs/>
      <w:sz w:val="21"/>
      <w:szCs w:val="21"/>
      <w:lang w:val="en-US"/>
    </w:rPr>
  </w:style>
  <w:style w:type="character" w:styleId="1196" w:customStyle="1">
    <w:name w:val="normalfont1"/>
    <w:uiPriority w:val="0"/>
    <w:qFormat/>
    <w:rPr>
      <w:rFonts w:ascii="ˎ̥" w:hAnsi="ˎ̥"/>
      <w:sz w:val="18"/>
      <w:szCs w:val="18"/>
      <w:u w:val="none"/>
    </w:rPr>
  </w:style>
  <w:style w:type="character" w:styleId="1197" w:customStyle="1">
    <w:name w:val="Char Char17"/>
    <w:uiPriority w:val="0"/>
    <w:qFormat/>
    <w:rPr>
      <w:rFonts w:ascii="宋体" w:hAnsi="Courier New"/>
      <w:sz w:val="21"/>
      <w:szCs w:val="21"/>
    </w:rPr>
  </w:style>
  <w:style w:type="character" w:styleId="1198" w:customStyle="1">
    <w:name w:val="Char Char20"/>
    <w:uiPriority w:val="0"/>
    <w:qFormat/>
    <w:rPr>
      <w:rFonts w:ascii="Arial" w:hAnsi="Arial" w:eastAsia="黑体"/>
      <w:sz w:val="21"/>
      <w:szCs w:val="21"/>
    </w:rPr>
  </w:style>
  <w:style w:type="character" w:styleId="1199" w:customStyle="1">
    <w:name w:val="point_normal1"/>
    <w:uiPriority w:val="0"/>
    <w:qFormat/>
    <w:rPr>
      <w:rFonts w:ascii="Arial" w:hAnsi="Arial" w:cs="Arial"/>
      <w:sz w:val="18"/>
      <w:szCs w:val="18"/>
    </w:rPr>
  </w:style>
  <w:style w:type="character" w:styleId="1200" w:customStyle="1">
    <w:name w:val="2nd level Char"/>
    <w:uiPriority w:val="0"/>
    <w:qFormat/>
    <w:rPr>
      <w:rFonts w:ascii="Arial" w:hAnsi="Arial" w:eastAsia="黑体"/>
      <w:b/>
      <w:bCs/>
      <w:sz w:val="32"/>
      <w:szCs w:val="32"/>
      <w:lang w:val="en-US" w:eastAsia="zh-CN" w:bidi="ar-SA"/>
    </w:rPr>
  </w:style>
  <w:style w:type="character" w:styleId="1201" w:customStyle="1">
    <w:name w:val="h Char Char"/>
    <w:uiPriority w:val="0"/>
    <w:qFormat/>
    <w:rPr>
      <w:rFonts w:eastAsia="宋体"/>
      <w:sz w:val="18"/>
      <w:szCs w:val="18"/>
      <w:lang w:val="en-US" w:eastAsia="zh-CN" w:bidi="ar-SA"/>
    </w:rPr>
  </w:style>
  <w:style w:type="character" w:styleId="1202" w:customStyle="1">
    <w:name w:val="Char Char22"/>
    <w:uiPriority w:val="0"/>
    <w:qFormat/>
    <w:rPr>
      <w:b/>
      <w:bCs/>
      <w:sz w:val="24"/>
      <w:szCs w:val="24"/>
    </w:rPr>
  </w:style>
  <w:style w:type="character" w:styleId="1203" w:customStyle="1">
    <w:name w:val="标题 3 Char"/>
    <w:uiPriority w:val="0"/>
    <w:qFormat/>
    <w:rPr>
      <w:rFonts w:ascii="宋体" w:hAnsi="宋体" w:eastAsia="宋体"/>
      <w:b/>
      <w:bCs/>
      <w:sz w:val="24"/>
      <w:szCs w:val="32"/>
      <w:lang w:val="en-US" w:eastAsia="zh-CN" w:bidi="ar-SA"/>
    </w:rPr>
  </w:style>
  <w:style w:type="character" w:styleId="1204" w:customStyle="1">
    <w:name w:val="样式 宋体 小四"/>
    <w:uiPriority w:val="0"/>
    <w:qFormat/>
    <w:rPr>
      <w:rFonts w:ascii="宋体" w:hAnsi="宋体"/>
      <w:sz w:val="24"/>
    </w:rPr>
  </w:style>
  <w:style w:type="character" w:styleId="1205" w:customStyle="1">
    <w:name w:val="Char Char28"/>
    <w:uiPriority w:val="0"/>
    <w:qFormat/>
    <w:rPr>
      <w:rFonts w:ascii="Arial" w:hAnsi="Arial" w:eastAsia="黑体" w:cs="Arial"/>
      <w:b/>
      <w:bCs/>
      <w:sz w:val="32"/>
      <w:szCs w:val="32"/>
    </w:rPr>
  </w:style>
  <w:style w:type="character" w:styleId="1206" w:customStyle="1">
    <w:name w:val="Char Char21"/>
    <w:uiPriority w:val="0"/>
    <w:qFormat/>
    <w:rPr>
      <w:rFonts w:ascii="Arial" w:hAnsi="Arial" w:eastAsia="黑体"/>
      <w:sz w:val="24"/>
      <w:szCs w:val="24"/>
    </w:rPr>
  </w:style>
  <w:style w:type="character" w:styleId="1207" w:customStyle="1">
    <w:name w:val="正文缩进 Char"/>
    <w:link w:val="904"/>
    <w:uiPriority w:val="0"/>
    <w:qFormat/>
    <w:rPr>
      <w:rFonts w:eastAsia="宋体"/>
      <w:lang w:bidi="ar-SA"/>
    </w:rPr>
  </w:style>
  <w:style w:type="character" w:styleId="1208" w:customStyle="1">
    <w:name w:val="小四 段落 宋体 Char Char Char1"/>
    <w:uiPriority w:val="0"/>
    <w:qFormat/>
    <w:rPr>
      <w:rFonts w:ascii="宋体" w:hAnsi="宋体" w:eastAsia="宋体"/>
      <w:sz w:val="24"/>
      <w:szCs w:val="24"/>
      <w:lang w:val="en-US" w:eastAsia="zh-CN" w:bidi="ar-SA"/>
    </w:rPr>
  </w:style>
  <w:style w:type="character" w:styleId="1209" w:customStyle="1">
    <w:name w:val="content_lineheight1"/>
    <w:uiPriority w:val="0"/>
    <w:qFormat/>
  </w:style>
  <w:style w:type="character" w:styleId="1210" w:customStyle="1">
    <w:name w:val="华宇段落1 Char Char Char"/>
    <w:uiPriority w:val="0"/>
    <w:qFormat/>
    <w:rPr>
      <w:rFonts w:eastAsia="宋体"/>
      <w:bCs/>
      <w:sz w:val="24"/>
      <w:szCs w:val="24"/>
      <w:lang w:val="en-US" w:eastAsia="zh-CN" w:bidi="ar-SA"/>
    </w:rPr>
  </w:style>
  <w:style w:type="character" w:styleId="1211" w:customStyle="1">
    <w:name w:val="style13"/>
    <w:uiPriority w:val="0"/>
    <w:qFormat/>
    <w:rPr>
      <w:sz w:val="18"/>
      <w:szCs w:val="18"/>
    </w:rPr>
  </w:style>
  <w:style w:type="character" w:styleId="1212" w:customStyle="1">
    <w:name w:val="样式 首行缩进:  2 字符 Char Char"/>
    <w:link w:val="1213"/>
    <w:uiPriority w:val="0"/>
    <w:qFormat/>
    <w:rPr>
      <w:rFonts w:eastAsia="宋体" w:cs="宋体"/>
      <w:sz w:val="24"/>
      <w:lang w:val="en-US" w:eastAsia="zh-CN" w:bidi="ar-SA"/>
    </w:rPr>
  </w:style>
  <w:style w:type="paragraph" w:styleId="1213" w:customStyle="1">
    <w:name w:val="样式 首行缩进:  2 字符"/>
    <w:basedOn w:val="891"/>
    <w:link w:val="1212"/>
    <w:uiPriority w:val="0"/>
    <w:qFormat/>
    <w:pPr>
      <w:ind w:firstLine="480"/>
      <w:spacing w:line="360" w:lineRule="auto"/>
    </w:pPr>
    <w:rPr>
      <w:rFonts w:ascii="Times New Roman" w:hAnsi="Times New Roman" w:eastAsia="宋体"/>
      <w:sz w:val="24"/>
      <w:lang w:val="en-US"/>
    </w:rPr>
  </w:style>
  <w:style w:type="character" w:styleId="1214" w:customStyle="1">
    <w:name w:val="Char Char25"/>
    <w:uiPriority w:val="0"/>
    <w:qFormat/>
    <w:rPr>
      <w:rFonts w:ascii="Arial" w:hAnsi="Arial" w:eastAsia="黑体"/>
      <w:b/>
      <w:sz w:val="28"/>
    </w:rPr>
  </w:style>
  <w:style w:type="character" w:styleId="1215" w:customStyle="1">
    <w:name w:val="apple-converted-space"/>
    <w:uiPriority w:val="0"/>
    <w:qFormat/>
  </w:style>
  <w:style w:type="character" w:styleId="1216" w:customStyle="1">
    <w:name w:val="已访问的超链接1"/>
    <w:uiPriority w:val="0"/>
    <w:qFormat/>
    <w:rPr>
      <w:color w:val="000000"/>
      <w:u w:val="none"/>
    </w:rPr>
  </w:style>
  <w:style w:type="character" w:styleId="1217" w:customStyle="1">
    <w:name w:val="para_small"/>
    <w:uiPriority w:val="0"/>
    <w:qFormat/>
  </w:style>
  <w:style w:type="character" w:styleId="121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19" w:customStyle="1">
    <w:name w:val="标准小四 Char Char"/>
    <w:uiPriority w:val="0"/>
    <w:qFormat/>
    <w:rPr>
      <w:rFonts w:ascii="Arial" w:hAnsi="Arial" w:eastAsia="宋体"/>
      <w:sz w:val="24"/>
      <w:szCs w:val="21"/>
      <w:lang w:val="en-US" w:eastAsia="zh-CN" w:bidi="ar-SA"/>
    </w:rPr>
  </w:style>
  <w:style w:type="character" w:styleId="1220" w:customStyle="1">
    <w:name w:val="彩色网格字符"/>
    <w:link w:val="1221"/>
    <w:uiPriority w:val="0"/>
    <w:qFormat/>
    <w:rPr>
      <w:rFonts w:ascii="Calibri" w:hAnsi="Calibri" w:eastAsia="宋体"/>
      <w:i/>
      <w:iCs/>
      <w:sz w:val="22"/>
      <w:szCs w:val="22"/>
      <w:lang w:val="en-US" w:eastAsia="en-US" w:bidi="en-US"/>
    </w:rPr>
  </w:style>
  <w:style w:type="paragraph" w:styleId="1221" w:customStyle="1">
    <w:name w:val="彩色网格1"/>
    <w:basedOn w:val="891"/>
    <w:next w:val="891"/>
    <w:link w:val="1220"/>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222" w:customStyle="1">
    <w:name w:val="listbenefit"/>
    <w:uiPriority w:val="0"/>
    <w:qFormat/>
  </w:style>
  <w:style w:type="character" w:styleId="1223" w:customStyle="1">
    <w:name w:val="小四 段落 宋体 Char Char Char Char Char Char Char Char"/>
    <w:uiPriority w:val="0"/>
    <w:qFormat/>
    <w:rPr>
      <w:rFonts w:eastAsia="宋体"/>
      <w:sz w:val="24"/>
      <w:szCs w:val="24"/>
      <w:lang w:val="en-US" w:eastAsia="zh-CN" w:bidi="ar-SA"/>
    </w:rPr>
  </w:style>
  <w:style w:type="character" w:styleId="1224" w:customStyle="1">
    <w:name w:val="标题 3 Char Char"/>
    <w:uiPriority w:val="0"/>
    <w:qFormat/>
    <w:rPr>
      <w:rFonts w:eastAsia="仿宋_GB2312"/>
      <w:b/>
      <w:bCs/>
      <w:sz w:val="28"/>
      <w:szCs w:val="32"/>
      <w:lang w:val="en-US" w:eastAsia="zh-CN" w:bidi="ar-SA"/>
    </w:rPr>
  </w:style>
  <w:style w:type="character" w:styleId="1225" w:customStyle="1">
    <w:name w:val="中等深浅网格 3 - 强调文字颜色 61"/>
    <w:uiPriority w:val="0"/>
    <w:qFormat/>
    <w:rPr>
      <w:i/>
      <w:iCs/>
      <w:smallCaps/>
      <w:spacing w:val="5"/>
    </w:rPr>
  </w:style>
  <w:style w:type="character" w:styleId="1226" w:customStyle="1">
    <w:name w:val="标准小四 Char"/>
    <w:uiPriority w:val="0"/>
    <w:qFormat/>
    <w:rPr>
      <w:rFonts w:ascii="Arial" w:hAnsi="Arial" w:eastAsia="宋体"/>
      <w:sz w:val="24"/>
      <w:szCs w:val="21"/>
      <w:lang w:val="en-US" w:eastAsia="zh-CN" w:bidi="ar-SA"/>
    </w:rPr>
  </w:style>
  <w:style w:type="character" w:styleId="1227" w:customStyle="1">
    <w:name w:val="concon"/>
    <w:uiPriority w:val="0"/>
    <w:qFormat/>
  </w:style>
  <w:style w:type="character" w:styleId="1228" w:customStyle="1">
    <w:name w:val="小四 段落 宋体 Char Char Char Char1"/>
    <w:uiPriority w:val="0"/>
    <w:qFormat/>
    <w:rPr>
      <w:rFonts w:eastAsia="宋体"/>
      <w:sz w:val="24"/>
      <w:szCs w:val="24"/>
      <w:lang w:val="en-US" w:eastAsia="zh-CN" w:bidi="ar-SA"/>
    </w:rPr>
  </w:style>
  <w:style w:type="character" w:styleId="1229" w:customStyle="1">
    <w:name w:val="Char Char24"/>
    <w:uiPriority w:val="0"/>
    <w:qFormat/>
    <w:rPr>
      <w:b/>
      <w:bCs/>
      <w:sz w:val="28"/>
      <w:szCs w:val="28"/>
    </w:rPr>
  </w:style>
  <w:style w:type="character" w:styleId="1230" w:customStyle="1">
    <w:name w:val="标准文本 Char"/>
    <w:uiPriority w:val="0"/>
    <w:qFormat/>
    <w:rPr>
      <w:rFonts w:eastAsia="宋体" w:cs="宋体"/>
      <w:sz w:val="24"/>
      <w:szCs w:val="24"/>
      <w:lang w:val="en-US" w:eastAsia="zh-CN" w:bidi="ar-SA"/>
    </w:rPr>
  </w:style>
  <w:style w:type="character" w:styleId="1231" w:customStyle="1">
    <w:name w:val="中等深浅网格 1 - 强调文字颜色 61"/>
    <w:uiPriority w:val="0"/>
    <w:qFormat/>
    <w:rPr>
      <w:smallCaps/>
    </w:rPr>
  </w:style>
  <w:style w:type="character" w:styleId="1232" w:customStyle="1">
    <w:name w:val="纯文本 Char Char"/>
    <w:uiPriority w:val="0"/>
    <w:qFormat/>
    <w:rPr>
      <w:rFonts w:ascii="宋体" w:hAnsi="Courier New" w:eastAsia="宋体"/>
      <w:sz w:val="21"/>
      <w:szCs w:val="21"/>
      <w:lang w:val="en-US" w:eastAsia="zh-CN" w:bidi="ar-SA"/>
    </w:rPr>
  </w:style>
  <w:style w:type="character" w:styleId="1233" w:customStyle="1">
    <w:name w:val="特点 Char1"/>
    <w:uiPriority w:val="0"/>
    <w:qFormat/>
    <w:rPr>
      <w:rFonts w:eastAsia="宋体"/>
      <w:sz w:val="21"/>
      <w:lang w:val="en-US" w:eastAsia="zh-CN" w:bidi="ar-SA"/>
    </w:rPr>
  </w:style>
  <w:style w:type="character" w:styleId="1234" w:customStyle="1">
    <w:name w:val="Title1 Char"/>
    <w:uiPriority w:val="0"/>
    <w:qFormat/>
    <w:rPr>
      <w:rFonts w:eastAsia="宋体"/>
      <w:b/>
      <w:bCs/>
      <w:sz w:val="44"/>
      <w:szCs w:val="44"/>
      <w:lang w:val="en-US" w:eastAsia="zh-CN" w:bidi="ar-SA"/>
    </w:rPr>
  </w:style>
  <w:style w:type="character" w:styleId="1235" w:customStyle="1">
    <w:name w:val="中等深浅列表 1 - 强调文字颜色 61"/>
    <w:uiPriority w:val="0"/>
    <w:qFormat/>
    <w:rPr>
      <w:i/>
      <w:iCs/>
    </w:rPr>
  </w:style>
  <w:style w:type="character" w:styleId="1236" w:customStyle="1">
    <w:name w:val="Char Char23"/>
    <w:uiPriority w:val="0"/>
    <w:qFormat/>
    <w:rPr>
      <w:rFonts w:ascii="Arial" w:hAnsi="Arial" w:eastAsia="黑体"/>
      <w:b/>
      <w:bCs/>
      <w:sz w:val="24"/>
      <w:szCs w:val="24"/>
    </w:rPr>
  </w:style>
  <w:style w:type="character" w:styleId="1237" w:customStyle="1">
    <w:name w:val="小四 段落 宋体 Char Char Char Char Char"/>
    <w:uiPriority w:val="0"/>
    <w:qFormat/>
    <w:rPr>
      <w:rFonts w:eastAsia="宋体"/>
      <w:sz w:val="24"/>
      <w:szCs w:val="24"/>
      <w:lang w:val="en-US" w:eastAsia="zh-CN" w:bidi="ar-SA"/>
    </w:rPr>
  </w:style>
  <w:style w:type="character" w:styleId="1238" w:customStyle="1">
    <w:name w:val="表格抬头 Char"/>
    <w:link w:val="1239"/>
    <w:uiPriority w:val="0"/>
    <w:qFormat/>
    <w:rPr>
      <w:rFonts w:ascii="黑体" w:eastAsia="黑体"/>
      <w:b/>
      <w:sz w:val="21"/>
      <w:lang w:bidi="ar-SA"/>
    </w:rPr>
  </w:style>
  <w:style w:type="paragraph" w:styleId="1239" w:customStyle="1">
    <w:name w:val="表格抬头"/>
    <w:basedOn w:val="891"/>
    <w:link w:val="1238"/>
    <w:uiPriority w:val="0"/>
    <w:qFormat/>
    <w:pPr>
      <w:jc w:val="center"/>
    </w:pPr>
    <w:rPr>
      <w:rFonts w:ascii="黑体" w:hAnsi="Times New Roman" w:eastAsia="黑体" w:cs="Times New Roman"/>
      <w:b/>
      <w:sz w:val="21"/>
    </w:rPr>
  </w:style>
  <w:style w:type="character" w:styleId="1240" w:customStyle="1">
    <w:name w:val="样式 非加粗"/>
    <w:uiPriority w:val="0"/>
    <w:qFormat/>
    <w:rPr>
      <w:rFonts w:eastAsia="宋体"/>
      <w:sz w:val="28"/>
    </w:rPr>
  </w:style>
  <w:style w:type="character" w:styleId="1241" w:customStyle="1">
    <w:name w:val="textcontents"/>
    <w:uiPriority w:val="0"/>
    <w:qFormat/>
  </w:style>
  <w:style w:type="character" w:styleId="1242" w:customStyle="1">
    <w:name w:val="浅色底纹 - 强调文字颜色 1字符"/>
    <w:link w:val="1243"/>
    <w:uiPriority w:val="0"/>
    <w:qFormat/>
    <w:rPr>
      <w:rFonts w:ascii="Calibri" w:hAnsi="Calibri" w:eastAsia="宋体"/>
      <w:b/>
      <w:bCs/>
      <w:i/>
      <w:iCs/>
      <w:sz w:val="22"/>
      <w:szCs w:val="22"/>
      <w:lang w:val="en-US" w:eastAsia="en-US" w:bidi="en-US"/>
    </w:rPr>
  </w:style>
  <w:style w:type="paragraph" w:styleId="1243" w:customStyle="1">
    <w:name w:val="浅色底纹 - 强调文字颜色 11"/>
    <w:basedOn w:val="891"/>
    <w:next w:val="891"/>
    <w:link w:val="1242"/>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44" w:customStyle="1">
    <w:name w:val="新图表正文 Char Char"/>
    <w:link w:val="1245"/>
    <w:uiPriority w:val="0"/>
    <w:qFormat/>
    <w:rPr>
      <w:rFonts w:ascii="宋体" w:hAnsi="宋体"/>
      <w:sz w:val="18"/>
      <w:szCs w:val="21"/>
      <w:lang w:val="en-US" w:eastAsia="zh-CN" w:bidi="ar-SA"/>
    </w:rPr>
  </w:style>
  <w:style w:type="paragraph" w:styleId="1245" w:customStyle="1">
    <w:name w:val="新图表正文"/>
    <w:link w:val="1244"/>
    <w:uiPriority w:val="0"/>
    <w:qFormat/>
    <w:pPr>
      <w:jc w:val="both"/>
    </w:pPr>
    <w:rPr>
      <w:rFonts w:ascii="宋体" w:hAnsi="宋体" w:eastAsia="宋体" w:cs="Times New Roman"/>
      <w:sz w:val="18"/>
      <w:szCs w:val="21"/>
      <w:lang w:val="en-US" w:eastAsia="zh-CN" w:bidi="ar-SA"/>
    </w:rPr>
  </w:style>
  <w:style w:type="character" w:styleId="1246" w:customStyle="1">
    <w:name w:val="Char Char27"/>
    <w:uiPriority w:val="0"/>
    <w:qFormat/>
    <w:rPr>
      <w:b/>
      <w:bCs/>
      <w:sz w:val="44"/>
      <w:szCs w:val="44"/>
    </w:rPr>
  </w:style>
  <w:style w:type="character" w:styleId="1247" w:customStyle="1">
    <w:name w:val="t1"/>
    <w:uiPriority w:val="0"/>
    <w:qFormat/>
  </w:style>
  <w:style w:type="character" w:styleId="1248" w:customStyle="1">
    <w:name w:val="正文 + 宋体 Char"/>
    <w:uiPriority w:val="0"/>
    <w:qFormat/>
    <w:rPr>
      <w:rFonts w:eastAsia="宋体"/>
      <w:sz w:val="21"/>
      <w:szCs w:val="24"/>
      <w:lang w:val="en-US" w:eastAsia="zh-CN" w:bidi="ar-SA"/>
    </w:rPr>
  </w:style>
  <w:style w:type="character" w:styleId="1249" w:customStyle="1">
    <w:name w:val="Char Char29"/>
    <w:uiPriority w:val="0"/>
    <w:qFormat/>
    <w:rPr>
      <w:rFonts w:ascii="Times New Roman" w:hAnsi="Times New Roman" w:eastAsia="宋体" w:cs="Times New Roman"/>
      <w:b/>
      <w:bCs/>
      <w:sz w:val="44"/>
      <w:szCs w:val="44"/>
    </w:rPr>
  </w:style>
  <w:style w:type="paragraph" w:styleId="1250" w:customStyle="1">
    <w:name w:val="xl51"/>
    <w:basedOn w:val="89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51" w:customStyle="1">
    <w:name w:val="表格内容"/>
    <w:basedOn w:val="891"/>
    <w:uiPriority w:val="0"/>
    <w:qFormat/>
    <w:pPr>
      <w:jc w:val="center"/>
      <w:spacing w:before="60" w:line="300" w:lineRule="auto"/>
      <w:widowControl/>
    </w:pPr>
  </w:style>
  <w:style w:type="paragraph" w:styleId="1252" w:customStyle="1">
    <w:name w:val="默认段落字体 Para Char"/>
    <w:basedOn w:val="891"/>
    <w:uiPriority w:val="0"/>
    <w:qFormat/>
    <w:rPr>
      <w:sz w:val="24"/>
      <w:szCs w:val="24"/>
    </w:rPr>
  </w:style>
  <w:style w:type="paragraph" w:styleId="1253" w:customStyle="1">
    <w:name w:val="默认段落字体 Para Char Char Char Char Char Char Char Char Char1 Char Char Char Char Char Char Char"/>
    <w:basedOn w:val="1106"/>
    <w:uiPriority w:val="0"/>
    <w:qFormat/>
  </w:style>
  <w:style w:type="paragraph" w:styleId="1254" w:customStyle="1">
    <w:name w:val="正文格式"/>
    <w:basedOn w:val="891"/>
    <w:uiPriority w:val="0"/>
    <w:qFormat/>
    <w:pPr>
      <w:ind w:left="178" w:right="44" w:hanging="178"/>
      <w:jc w:val="left"/>
      <w:spacing w:before="78" w:line="360" w:lineRule="auto"/>
      <w:widowControl/>
    </w:pPr>
    <w:rPr>
      <w:rFonts w:ascii="宋体" w:hAnsi="宋体"/>
      <w:bCs/>
      <w:szCs w:val="21"/>
    </w:rPr>
  </w:style>
  <w:style w:type="paragraph" w:styleId="1255" w:customStyle="1">
    <w:name w:val="小四 段落 宋体 Char Char"/>
    <w:basedOn w:val="891"/>
    <w:uiPriority w:val="0"/>
    <w:qFormat/>
    <w:pPr>
      <w:ind w:firstLine="480"/>
      <w:spacing w:line="360" w:lineRule="auto"/>
    </w:pPr>
    <w:rPr>
      <w:rFonts w:ascii="宋体" w:hAnsi="宋体"/>
      <w:sz w:val="24"/>
      <w:szCs w:val="24"/>
    </w:rPr>
  </w:style>
  <w:style w:type="paragraph" w:styleId="1256" w:customStyle="1">
    <w:name w:val="xl42"/>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57" w:customStyle="1">
    <w:name w:val="p0"/>
    <w:basedOn w:val="891"/>
    <w:uiPriority w:val="0"/>
    <w:qFormat/>
    <w:pPr>
      <w:jc w:val="left"/>
      <w:spacing w:before="100" w:beforeAutospacing="1" w:after="100" w:afterAutospacing="1"/>
      <w:widowControl/>
    </w:pPr>
    <w:rPr>
      <w:rFonts w:ascii="宋体" w:hAnsi="宋体"/>
      <w:sz w:val="24"/>
      <w:szCs w:val="24"/>
    </w:rPr>
  </w:style>
  <w:style w:type="paragraph" w:styleId="1258" w:customStyle="1">
    <w:name w:val="公文标题 2"/>
    <w:basedOn w:val="891"/>
    <w:next w:val="1259"/>
    <w:uiPriority w:val="0"/>
    <w:qFormat/>
    <w:pPr>
      <w:outlineLvl w:val="1"/>
    </w:pPr>
    <w:rPr>
      <w:rFonts w:ascii="仿宋_GB2312" w:hAnsi="宋体" w:eastAsia="仿宋_GB2312"/>
      <w:sz w:val="28"/>
      <w:szCs w:val="24"/>
    </w:rPr>
  </w:style>
  <w:style w:type="paragraph" w:styleId="1259" w:customStyle="1">
    <w:name w:val="公文正文"/>
    <w:basedOn w:val="1114"/>
    <w:uiPriority w:val="0"/>
    <w:qFormat/>
    <w:pPr>
      <w:ind w:firstLine="200"/>
    </w:pPr>
    <w:rPr>
      <w:rFonts w:ascii="仿宋_GB2312" w:hAnsi="宋体" w:eastAsia="仿宋_GB2312"/>
      <w:sz w:val="28"/>
      <w:szCs w:val="24"/>
    </w:rPr>
  </w:style>
  <w:style w:type="paragraph" w:styleId="1260" w:customStyle="1">
    <w:name w:val="font7"/>
    <w:basedOn w:val="891"/>
    <w:uiPriority w:val="0"/>
    <w:qFormat/>
    <w:pPr>
      <w:jc w:val="left"/>
      <w:spacing w:before="100" w:beforeAutospacing="1" w:after="100" w:afterAutospacing="1"/>
      <w:widowControl/>
    </w:pPr>
    <w:rPr>
      <w:rFonts w:hint="eastAsia" w:ascii="宋体" w:hAnsi="宋体"/>
      <w:b/>
      <w:bCs/>
      <w:sz w:val="24"/>
      <w:szCs w:val="24"/>
    </w:rPr>
  </w:style>
  <w:style w:type="paragraph" w:styleId="1261" w:customStyle="1">
    <w:name w:val="Char Char Char Char Char Char Char Char Char Char Char1 Char Char Char1"/>
    <w:basedOn w:val="891"/>
    <w:uiPriority w:val="0"/>
    <w:semiHidden/>
    <w:qFormat/>
    <w:pPr>
      <w:ind w:firstLine="200"/>
      <w:jc w:val="left"/>
    </w:pPr>
    <w:rPr>
      <w:rFonts w:ascii="Tahoma" w:hAnsi="Tahoma"/>
      <w:sz w:val="24"/>
      <w:szCs w:val="24"/>
    </w:rPr>
  </w:style>
  <w:style w:type="paragraph" w:styleId="1262" w:customStyle="1">
    <w:name w:val="xl30"/>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63" w:customStyle="1">
    <w:name w:val="xl41"/>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64" w:customStyle="1">
    <w:name w:val="xl62"/>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6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6" w:customStyle="1">
    <w:name w:val="样式 标题 3H3sect1.2.3BOD 0Heading 3 - oldh3l3CTLevel 3 Head..."/>
    <w:basedOn w:val="1081"/>
    <w:uiPriority w:val="0"/>
    <w:qFormat/>
    <w:pPr>
      <w:jc w:val="left"/>
      <w:spacing w:before="156" w:after="156"/>
    </w:pPr>
    <w:rPr>
      <w:rFonts w:cs="宋体"/>
      <w:bCs/>
      <w:sz w:val="30"/>
    </w:rPr>
  </w:style>
  <w:style w:type="paragraph" w:styleId="126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68" w:customStyle="1">
    <w:name w:val="丁华标题1"/>
    <w:basedOn w:val="1079"/>
    <w:next w:val="1269"/>
    <w:uiPriority w:val="0"/>
    <w:qFormat/>
    <w:pPr>
      <w:ind w:left="567" w:hanging="567"/>
      <w:jc w:val="left"/>
      <w:keepLines/>
      <w:spacing w:before="600" w:after="120" w:line="578" w:lineRule="auto"/>
      <w:tabs>
        <w:tab w:val="left" w:pos="567" w:leader="none"/>
      </w:tabs>
    </w:pPr>
    <w:rPr>
      <w:rFonts w:ascii="Times New Roman"/>
      <w:b w:val="0"/>
      <w:sz w:val="32"/>
      <w:szCs w:val="20"/>
    </w:rPr>
  </w:style>
  <w:style w:type="paragraph" w:styleId="1269" w:customStyle="1">
    <w:name w:val="丁华正文"/>
    <w:basedOn w:val="1140"/>
    <w:uiPriority w:val="0"/>
    <w:qFormat/>
    <w:pPr>
      <w:ind w:left="0" w:firstLine="510"/>
      <w:spacing w:line="360" w:lineRule="auto"/>
    </w:pPr>
    <w:rPr>
      <w:rFonts w:ascii="Times New Roman" w:hAnsi="Times New Roman" w:eastAsia="宋体"/>
      <w:color w:val="000000"/>
      <w:sz w:val="24"/>
      <w:szCs w:val="16"/>
    </w:rPr>
  </w:style>
  <w:style w:type="paragraph" w:styleId="1270" w:customStyle="1">
    <w:name w:val="方案正文"/>
    <w:basedOn w:val="891"/>
    <w:uiPriority w:val="0"/>
    <w:qFormat/>
    <w:pPr>
      <w:ind w:firstLine="359"/>
      <w:jc w:val="left"/>
      <w:spacing w:before="156" w:line="360" w:lineRule="auto"/>
    </w:pPr>
    <w:rPr>
      <w:rFonts w:ascii="Arial" w:hAnsi="Arial"/>
      <w:sz w:val="24"/>
      <w:szCs w:val="21"/>
    </w:rPr>
  </w:style>
  <w:style w:type="paragraph" w:styleId="1271" w:customStyle="1">
    <w:name w:val="Char Char Char Char Char Char Char"/>
    <w:basedOn w:val="891"/>
    <w:uiPriority w:val="0"/>
    <w:qFormat/>
    <w:pPr>
      <w:jc w:val="left"/>
    </w:pPr>
    <w:rPr>
      <w:rFonts w:ascii="Tahoma" w:hAnsi="Tahoma"/>
      <w:sz w:val="24"/>
    </w:rPr>
  </w:style>
  <w:style w:type="paragraph" w:styleId="1272" w:customStyle="1">
    <w:name w:val="Char1"/>
    <w:basedOn w:val="891"/>
    <w:uiPriority w:val="0"/>
    <w:qFormat/>
    <w:rPr>
      <w:rFonts w:ascii="仿宋_GB2312" w:hAnsi="宋体" w:eastAsia="仿宋_GB2312"/>
      <w:b/>
      <w:sz w:val="32"/>
      <w:szCs w:val="32"/>
    </w:rPr>
  </w:style>
  <w:style w:type="paragraph" w:styleId="1273" w:customStyle="1">
    <w:name w:val="普通文字"/>
    <w:basedOn w:val="891"/>
    <w:next w:val="891"/>
    <w:uiPriority w:val="0"/>
    <w:qFormat/>
    <w:rPr>
      <w:rFonts w:ascii="宋体" w:hAnsi="宋体"/>
      <w:sz w:val="24"/>
    </w:rPr>
  </w:style>
  <w:style w:type="paragraph" w:styleId="1274" w:customStyle="1">
    <w:name w:val="正文文本 21"/>
    <w:basedOn w:val="891"/>
    <w:uiPriority w:val="0"/>
    <w:qFormat/>
    <w:pPr>
      <w:ind w:left="720" w:hanging="720"/>
      <w:widowControl/>
    </w:pPr>
    <w:rPr>
      <w:sz w:val="24"/>
      <w:lang w:val="en-GB"/>
    </w:rPr>
  </w:style>
  <w:style w:type="paragraph" w:styleId="1275" w:customStyle="1">
    <w:name w:val="Char Char Char Char"/>
    <w:basedOn w:val="1106"/>
    <w:uiPriority w:val="0"/>
    <w:qFormat/>
    <w:pPr>
      <w:spacing w:line="360" w:lineRule="auto"/>
    </w:pPr>
    <w:rPr>
      <w:rFonts w:ascii="Tahoma" w:hAnsi="Tahoma"/>
      <w:sz w:val="24"/>
      <w:szCs w:val="24"/>
    </w:rPr>
  </w:style>
  <w:style w:type="paragraph" w:styleId="1276" w:customStyle="1">
    <w:name w:val="马刚标题1"/>
    <w:basedOn w:val="1079"/>
    <w:next w:val="891"/>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77" w:customStyle="1">
    <w:name w:val="列出段落4"/>
    <w:basedOn w:val="891"/>
    <w:uiPriority w:val="99"/>
    <w:qFormat/>
    <w:pPr>
      <w:ind w:firstLine="420"/>
    </w:pPr>
    <w:rPr>
      <w:rFonts w:ascii="Times New Roman" w:hAnsi="Times New Roman" w:eastAsia="宋体" w:cs="Times New Roman"/>
    </w:rPr>
  </w:style>
  <w:style w:type="paragraph" w:styleId="1278" w:customStyle="1">
    <w:name w:val="正文表标题"/>
    <w:next w:val="127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79" w:customStyle="1">
    <w:name w:val="段"/>
    <w:uiPriority w:val="0"/>
    <w:qFormat/>
    <w:pPr>
      <w:ind w:firstLine="200"/>
      <w:jc w:val="both"/>
    </w:pPr>
    <w:rPr>
      <w:rFonts w:ascii="宋体" w:hAnsi="Times New Roman" w:eastAsia="宋体" w:cs="Times New Roman"/>
      <w:sz w:val="21"/>
      <w:lang w:val="en-US" w:eastAsia="zh-CN" w:bidi="ar-SA"/>
    </w:rPr>
  </w:style>
  <w:style w:type="paragraph" w:styleId="1280" w:customStyle="1">
    <w:name w:val="表格1"/>
    <w:basedOn w:val="891"/>
    <w:uiPriority w:val="0"/>
    <w:qFormat/>
    <w:rPr>
      <w:rFonts w:ascii="宋体"/>
      <w:szCs w:val="21"/>
    </w:rPr>
  </w:style>
  <w:style w:type="paragraph" w:styleId="1281" w:customStyle="1">
    <w:name w:val="列出段落1"/>
    <w:basedOn w:val="891"/>
    <w:uiPriority w:val="0"/>
    <w:qFormat/>
    <w:pPr>
      <w:contextualSpacing/>
      <w:ind w:left="720"/>
      <w:jc w:val="left"/>
      <w:widowControl/>
    </w:pPr>
    <w:rPr>
      <w:rFonts w:ascii="Arial" w:hAnsi="Arial" w:eastAsia="黑体"/>
      <w:sz w:val="24"/>
      <w:szCs w:val="24"/>
      <w:lang w:eastAsia="en-US"/>
    </w:rPr>
  </w:style>
  <w:style w:type="paragraph" w:styleId="1282" w:customStyle="1">
    <w:name w:val="标题1，章节第一层"/>
    <w:basedOn w:val="1254"/>
    <w:next w:val="1254"/>
    <w:uiPriority w:val="0"/>
    <w:qFormat/>
    <w:pPr>
      <w:ind w:left="482"/>
      <w:spacing w:before="0"/>
      <w:tabs>
        <w:tab w:val="left" w:pos="693" w:leader="none"/>
      </w:tabs>
      <w:outlineLvl w:val="0"/>
    </w:pPr>
    <w:rPr>
      <w:color w:val="000000"/>
      <w:sz w:val="24"/>
      <w:szCs w:val="24"/>
    </w:rPr>
  </w:style>
  <w:style w:type="paragraph" w:styleId="1283" w:customStyle="1">
    <w:name w:val="首行缩进"/>
    <w:basedOn w:val="891"/>
    <w:uiPriority w:val="0"/>
    <w:qFormat/>
    <w:pPr>
      <w:ind w:firstLine="480"/>
    </w:pPr>
  </w:style>
  <w:style w:type="paragraph" w:styleId="1284" w:customStyle="1">
    <w:name w:val="丁华标题2"/>
    <w:basedOn w:val="1080"/>
    <w:next w:val="1269"/>
    <w:uiPriority w:val="0"/>
    <w:qFormat/>
    <w:pPr>
      <w:numPr>
        <w:ilvl w:val="1"/>
        <w:numId w:val="1"/>
      </w:numPr>
      <w:spacing w:line="415" w:lineRule="auto"/>
    </w:pPr>
    <w:rPr>
      <w:rFonts w:ascii="Arial" w:hAnsi="Arial" w:eastAsia="黑体"/>
      <w:b w:val="0"/>
      <w:sz w:val="28"/>
      <w:szCs w:val="20"/>
    </w:rPr>
  </w:style>
  <w:style w:type="paragraph" w:styleId="1285" w:customStyle="1">
    <w:name w:val="a"/>
    <w:basedOn w:val="891"/>
    <w:uiPriority w:val="0"/>
    <w:qFormat/>
    <w:pPr>
      <w:spacing w:before="100" w:beforeAutospacing="1" w:after="100" w:afterAutospacing="1"/>
      <w:widowControl/>
    </w:pPr>
    <w:rPr>
      <w:rFonts w:ascii="宋体" w:hAnsi="宋体"/>
      <w:sz w:val="24"/>
      <w:szCs w:val="24"/>
    </w:rPr>
  </w:style>
  <w:style w:type="paragraph" w:styleId="1286" w:customStyle="1">
    <w:name w:val="项目符号：一级"/>
    <w:basedOn w:val="1254"/>
    <w:next w:val="1254"/>
    <w:uiPriority w:val="0"/>
    <w:qFormat/>
    <w:pPr>
      <w:ind w:right="-134"/>
    </w:pPr>
    <w:rPr>
      <w:bCs w:val="0"/>
    </w:rPr>
  </w:style>
  <w:style w:type="paragraph" w:styleId="1287" w:customStyle="1">
    <w:name w:val="中等深浅网格 1 - 强调文字颜色 21"/>
    <w:basedOn w:val="891"/>
    <w:uiPriority w:val="0"/>
    <w:qFormat/>
    <w:pPr>
      <w:ind w:firstLine="420"/>
    </w:pPr>
    <w:rPr>
      <w:szCs w:val="22"/>
    </w:rPr>
  </w:style>
  <w:style w:type="paragraph" w:styleId="1288" w:customStyle="1">
    <w:name w:val="样式1"/>
    <w:basedOn w:val="891"/>
    <w:uiPriority w:val="0"/>
    <w:qFormat/>
    <w:pPr>
      <w:ind w:firstLine="480"/>
      <w:spacing w:line="300" w:lineRule="auto"/>
    </w:pPr>
    <w:rPr>
      <w:sz w:val="24"/>
      <w:szCs w:val="24"/>
    </w:rPr>
  </w:style>
  <w:style w:type="paragraph" w:styleId="1289" w:customStyle="1">
    <w:name w:val="表格"/>
    <w:basedOn w:val="891"/>
    <w:uiPriority w:val="0"/>
    <w:qFormat/>
    <w:pPr>
      <w:ind w:firstLine="21"/>
    </w:pPr>
    <w:rPr>
      <w:rFonts w:ascii="宋体" w:hAnsi="宋体"/>
    </w:rPr>
  </w:style>
  <w:style w:type="paragraph" w:styleId="1290" w:customStyle="1">
    <w:name w:val="Char Char1 Char"/>
    <w:basedOn w:val="891"/>
    <w:uiPriority w:val="0"/>
    <w:pPr>
      <w:jc w:val="left"/>
      <w:spacing w:after="160" w:line="240" w:lineRule="exact"/>
      <w:widowControl/>
    </w:pPr>
    <w:rPr>
      <w:rFonts w:ascii="Verdana" w:hAnsi="Verdana"/>
      <w:lang w:eastAsia="en-US"/>
    </w:rPr>
  </w:style>
  <w:style w:type="paragraph" w:styleId="1291" w:customStyle="1">
    <w:name w:val="zw"/>
    <w:basedOn w:val="891"/>
    <w:uiPriority w:val="0"/>
    <w:qFormat/>
    <w:pPr>
      <w:ind w:firstLine="480"/>
      <w:jc w:val="left"/>
      <w:spacing w:line="360" w:lineRule="auto"/>
      <w:widowControl/>
    </w:pPr>
    <w:rPr>
      <w:rFonts w:ascii="宋体" w:hAnsi="宋体"/>
      <w:bCs/>
      <w:sz w:val="24"/>
    </w:rPr>
  </w:style>
  <w:style w:type="paragraph" w:styleId="1292" w:customStyle="1">
    <w:name w:val="xl35"/>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93" w:customStyle="1">
    <w:name w:val="xl38"/>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4" w:customStyle="1">
    <w:name w:val="Char Char Char Char Char Char Char1 Char"/>
    <w:basedOn w:val="891"/>
    <w:uiPriority w:val="0"/>
    <w:qFormat/>
    <w:rPr>
      <w:rFonts w:ascii="Tahoma" w:hAnsi="Tahoma" w:cs="Tahoma"/>
      <w:sz w:val="24"/>
    </w:rPr>
  </w:style>
  <w:style w:type="paragraph" w:styleId="1295" w:customStyle="1">
    <w:name w:val="retrait3"/>
    <w:basedOn w:val="891"/>
    <w:uiPriority w:val="0"/>
    <w:qFormat/>
    <w:pPr>
      <w:ind w:left="851"/>
      <w:jc w:val="left"/>
      <w:spacing w:before="20" w:after="20"/>
      <w:widowControl/>
    </w:pPr>
    <w:rPr>
      <w:rFonts w:ascii="Arial" w:hAnsi="Arial"/>
      <w:sz w:val="24"/>
      <w:lang w:val="en-GB"/>
    </w:rPr>
  </w:style>
  <w:style w:type="paragraph" w:styleId="1296" w:customStyle="1">
    <w:name w:val="标题3，章节第三层"/>
    <w:basedOn w:val="891"/>
    <w:next w:val="1254"/>
    <w:uiPriority w:val="0"/>
    <w:qFormat/>
    <w:pPr>
      <w:spacing w:before="78" w:line="300" w:lineRule="auto"/>
      <w:outlineLvl w:val="2"/>
    </w:pPr>
    <w:rPr>
      <w:rFonts w:ascii="Arial" w:hAnsi="Arial" w:eastAsia="华文细黑"/>
      <w:sz w:val="30"/>
      <w:szCs w:val="24"/>
    </w:rPr>
  </w:style>
  <w:style w:type="paragraph" w:styleId="1297" w:customStyle="1">
    <w:name w:val="Char2 Char Char Char Char Char Char1"/>
    <w:basedOn w:val="891"/>
    <w:uiPriority w:val="0"/>
    <w:qFormat/>
    <w:pPr>
      <w:ind w:hanging="425"/>
      <w:keepNext/>
      <w:spacing w:before="80" w:after="80"/>
      <w:widowControl/>
      <w:tabs>
        <w:tab w:val="left" w:pos="425" w:leader="none"/>
      </w:tabs>
    </w:pPr>
    <w:rPr>
      <w:rFonts w:ascii="Arial" w:hAnsi="Arial" w:cs="Arial"/>
    </w:rPr>
  </w:style>
  <w:style w:type="paragraph" w:styleId="1298" w:customStyle="1">
    <w:name w:val="正文 + Arial Char"/>
    <w:basedOn w:val="891"/>
    <w:uiPriority w:val="0"/>
    <w:qFormat/>
    <w:pPr>
      <w:ind w:left="315" w:hanging="315"/>
      <w:spacing w:line="300" w:lineRule="auto"/>
      <w:widowControl/>
      <w:tabs>
        <w:tab w:val="left" w:pos="315" w:leader="none"/>
      </w:tabs>
    </w:pPr>
    <w:rPr>
      <w:rFonts w:ascii="Arial" w:hAnsi="Arial" w:cs="Arial"/>
      <w:b/>
      <w:color w:val="000000"/>
    </w:rPr>
  </w:style>
  <w:style w:type="paragraph" w:styleId="1299" w:customStyle="1">
    <w:name w:val="font10"/>
    <w:basedOn w:val="891"/>
    <w:uiPriority w:val="0"/>
    <w:qFormat/>
    <w:pPr>
      <w:jc w:val="left"/>
      <w:spacing w:before="100" w:beforeAutospacing="1" w:after="100" w:afterAutospacing="1"/>
      <w:widowControl/>
    </w:pPr>
    <w:rPr>
      <w:rFonts w:ascii="楷体_GB2312" w:hAnsi="宋体" w:eastAsia="楷体_GB2312"/>
      <w:b/>
      <w:bCs/>
      <w:sz w:val="18"/>
      <w:szCs w:val="18"/>
    </w:rPr>
  </w:style>
  <w:style w:type="paragraph" w:styleId="1300" w:customStyle="1">
    <w:name w:val="xl31"/>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01" w:customStyle="1">
    <w:name w:val="Table Text Char"/>
    <w:uiPriority w:val="0"/>
    <w:qFormat/>
    <w:pPr>
      <w:spacing w:before="80" w:after="80"/>
    </w:pPr>
    <w:rPr>
      <w:rFonts w:ascii="Arial" w:hAnsi="Arial" w:eastAsia="宋体" w:cs="Arial"/>
      <w:sz w:val="18"/>
      <w:szCs w:val="28"/>
      <w:lang w:val="en-US" w:eastAsia="zh-CN" w:bidi="ar-SA"/>
    </w:rPr>
  </w:style>
  <w:style w:type="paragraph" w:styleId="1302" w:customStyle="1">
    <w:name w:val="标准文本"/>
    <w:basedOn w:val="891"/>
    <w:uiPriority w:val="0"/>
    <w:qFormat/>
    <w:pPr>
      <w:ind w:firstLine="480"/>
      <w:spacing w:line="360" w:lineRule="auto"/>
    </w:pPr>
    <w:rPr>
      <w:sz w:val="24"/>
      <w:szCs w:val="24"/>
    </w:rPr>
  </w:style>
  <w:style w:type="paragraph" w:styleId="1303" w:customStyle="1">
    <w:name w:val="Pa5"/>
    <w:basedOn w:val="891"/>
    <w:next w:val="891"/>
    <w:uiPriority w:val="0"/>
    <w:qFormat/>
    <w:pPr>
      <w:jc w:val="left"/>
      <w:spacing w:line="241" w:lineRule="atLeast"/>
    </w:pPr>
    <w:rPr>
      <w:rFonts w:ascii="HYDaHeiJ" w:eastAsia="HYDaHeiJ"/>
      <w:sz w:val="24"/>
      <w:szCs w:val="24"/>
    </w:rPr>
  </w:style>
  <w:style w:type="paragraph" w:styleId="1304" w:customStyle="1">
    <w:name w:val="font9"/>
    <w:basedOn w:val="891"/>
    <w:uiPriority w:val="0"/>
    <w:qFormat/>
    <w:pPr>
      <w:jc w:val="left"/>
      <w:spacing w:before="100" w:beforeAutospacing="1" w:after="100" w:afterAutospacing="1"/>
      <w:widowControl/>
    </w:pPr>
    <w:rPr>
      <w:b/>
      <w:bCs/>
    </w:rPr>
  </w:style>
  <w:style w:type="paragraph" w:styleId="1305" w:customStyle="1">
    <w:name w:val="1"/>
    <w:basedOn w:val="891"/>
    <w:next w:val="1147"/>
    <w:uiPriority w:val="0"/>
    <w:qFormat/>
    <w:pPr>
      <w:spacing w:line="360" w:lineRule="auto"/>
    </w:pPr>
    <w:rPr>
      <w:rFonts w:eastAsia="仿宋_GB2312"/>
      <w:sz w:val="24"/>
      <w:szCs w:val="24"/>
    </w:rPr>
  </w:style>
  <w:style w:type="paragraph" w:styleId="1306" w:customStyle="1">
    <w:name w:val="font12"/>
    <w:basedOn w:val="891"/>
    <w:uiPriority w:val="0"/>
    <w:qFormat/>
    <w:pPr>
      <w:jc w:val="left"/>
      <w:spacing w:before="100" w:beforeAutospacing="1" w:after="100" w:afterAutospacing="1"/>
      <w:widowControl/>
    </w:pPr>
    <w:rPr>
      <w:rFonts w:ascii="宋体" w:hAnsi="宋体"/>
      <w:sz w:val="36"/>
      <w:szCs w:val="36"/>
    </w:rPr>
  </w:style>
  <w:style w:type="paragraph" w:styleId="1307" w:customStyle="1">
    <w:name w:val="Char Char Char Char Char Char Char Char"/>
    <w:basedOn w:val="891"/>
    <w:uiPriority w:val="0"/>
    <w:qFormat/>
    <w:rPr>
      <w:rFonts w:ascii="Tahoma" w:hAnsi="Tahoma" w:cs="Tahoma"/>
      <w:sz w:val="24"/>
    </w:rPr>
  </w:style>
  <w:style w:type="paragraph" w:styleId="1308" w:customStyle="1">
    <w:name w:val="xl43"/>
    <w:basedOn w:val="8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309" w:customStyle="1">
    <w:name w:val="正文缩进2字符"/>
    <w:basedOn w:val="891"/>
    <w:uiPriority w:val="0"/>
    <w:qFormat/>
    <w:pPr>
      <w:ind w:firstLine="200"/>
      <w:spacing w:line="300" w:lineRule="auto"/>
    </w:pPr>
    <w:rPr>
      <w:rFonts w:ascii="仿宋_GB2312" w:eastAsia="仿宋_GB2312"/>
      <w:sz w:val="32"/>
      <w:szCs w:val="32"/>
    </w:rPr>
  </w:style>
  <w:style w:type="paragraph" w:styleId="1310" w:customStyle="1">
    <w:name w:val="Char11"/>
    <w:basedOn w:val="891"/>
    <w:uiPriority w:val="0"/>
    <w:qFormat/>
    <w:pPr>
      <w:jc w:val="left"/>
      <w:spacing w:after="160" w:line="240" w:lineRule="exact"/>
      <w:widowControl/>
    </w:pPr>
    <w:rPr>
      <w:rFonts w:ascii="Verdana" w:hAnsi="Verdana" w:eastAsia="仿宋_GB2312"/>
      <w:sz w:val="24"/>
      <w:lang w:eastAsia="en-US"/>
    </w:rPr>
  </w:style>
  <w:style w:type="paragraph" w:styleId="1311" w:customStyle="1">
    <w:name w:val="彩色列表1"/>
    <w:basedOn w:val="891"/>
    <w:uiPriority w:val="34"/>
    <w:qFormat/>
    <w:pPr>
      <w:ind w:firstLine="420"/>
    </w:pPr>
    <w:rPr>
      <w:szCs w:val="24"/>
    </w:rPr>
  </w:style>
  <w:style w:type="paragraph" w:styleId="1312" w:customStyle="1">
    <w:name w:val="font5"/>
    <w:basedOn w:val="891"/>
    <w:uiPriority w:val="0"/>
    <w:qFormat/>
    <w:pPr>
      <w:jc w:val="left"/>
      <w:spacing w:before="100" w:beforeAutospacing="1" w:after="100" w:afterAutospacing="1"/>
      <w:widowControl/>
    </w:pPr>
    <w:rPr>
      <w:rFonts w:ascii="宋体" w:hAnsi="宋体"/>
      <w:sz w:val="18"/>
      <w:szCs w:val="18"/>
    </w:rPr>
  </w:style>
  <w:style w:type="paragraph" w:styleId="1313" w:customStyle="1">
    <w:name w:val="符号与编号 Char"/>
    <w:basedOn w:val="891"/>
    <w:uiPriority w:val="0"/>
    <w:qFormat/>
    <w:pPr>
      <w:ind w:left="720"/>
      <w:spacing w:after="156" w:line="400" w:lineRule="atLeast"/>
      <w:tabs>
        <w:tab w:val="left" w:pos="720" w:leader="none"/>
      </w:tabs>
    </w:pPr>
    <w:rPr>
      <w:sz w:val="24"/>
      <w:szCs w:val="24"/>
    </w:rPr>
  </w:style>
  <w:style w:type="paragraph" w:styleId="1314" w:customStyle="1">
    <w:name w:val="Char1 Char Char Char"/>
    <w:basedOn w:val="891"/>
    <w:uiPriority w:val="0"/>
    <w:qFormat/>
    <w:rPr>
      <w:rFonts w:ascii="Tahoma" w:hAnsi="Tahoma" w:cs="Tahoma"/>
      <w:sz w:val="24"/>
    </w:rPr>
  </w:style>
  <w:style w:type="paragraph" w:styleId="1315" w:customStyle="1">
    <w:name w:val="xl45"/>
    <w:basedOn w:val="891"/>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16" w:customStyle="1">
    <w:name w:val="插图"/>
    <w:basedOn w:val="891"/>
    <w:uiPriority w:val="0"/>
    <w:qFormat/>
    <w:pPr>
      <w:jc w:val="center"/>
      <w:tabs>
        <w:tab w:val="left" w:pos="1620" w:leader="none"/>
      </w:tabs>
    </w:pPr>
    <w:rPr>
      <w:bCs/>
      <w:color w:val="000000"/>
      <w:szCs w:val="22"/>
    </w:rPr>
  </w:style>
  <w:style w:type="paragraph" w:styleId="1317" w:customStyle="1">
    <w:name w:val="表蕊"/>
    <w:basedOn w:val="891"/>
    <w:uiPriority w:val="0"/>
    <w:qFormat/>
    <w:pPr>
      <w:jc w:val="left"/>
      <w:spacing w:line="320" w:lineRule="atLeast"/>
    </w:pPr>
    <w:rPr>
      <w:rFonts w:eastAsia="楷体_GB2312"/>
      <w:spacing w:val="-10"/>
    </w:rPr>
  </w:style>
  <w:style w:type="paragraph" w:styleId="1318" w:customStyle="1">
    <w:name w:val="正文 + 宋体"/>
    <w:basedOn w:val="891"/>
    <w:uiPriority w:val="0"/>
    <w:qFormat/>
    <w:pPr>
      <w:ind w:firstLine="420"/>
      <w:spacing w:line="360" w:lineRule="auto"/>
    </w:pPr>
    <w:rPr>
      <w:szCs w:val="24"/>
    </w:rPr>
  </w:style>
  <w:style w:type="paragraph" w:styleId="1319" w:customStyle="1">
    <w:name w:val="样式4 Char"/>
    <w:basedOn w:val="891"/>
    <w:uiPriority w:val="0"/>
    <w:qFormat/>
    <w:pPr>
      <w:ind w:firstLine="480"/>
      <w:jc w:val="left"/>
      <w:spacing w:line="360" w:lineRule="auto"/>
      <w:widowControl/>
    </w:pPr>
    <w:rPr>
      <w:color w:val="000000"/>
      <w:sz w:val="24"/>
      <w:szCs w:val="24"/>
    </w:rPr>
  </w:style>
  <w:style w:type="paragraph" w:styleId="1320" w:customStyle="1">
    <w:name w:val="小四 段落 宋体 Char Char Char Char"/>
    <w:basedOn w:val="891"/>
    <w:uiPriority w:val="0"/>
    <w:qFormat/>
    <w:pPr>
      <w:ind w:right="-33" w:firstLine="480"/>
      <w:jc w:val="left"/>
      <w:spacing w:line="360" w:lineRule="auto"/>
    </w:pPr>
    <w:rPr>
      <w:sz w:val="24"/>
      <w:szCs w:val="24"/>
    </w:rPr>
  </w:style>
  <w:style w:type="paragraph" w:styleId="1321" w:customStyle="1">
    <w:name w:val="样式3"/>
    <w:basedOn w:val="891"/>
    <w:next w:val="891"/>
    <w:uiPriority w:val="0"/>
    <w:qFormat/>
    <w:pPr>
      <w:spacing w:line="360" w:lineRule="auto"/>
    </w:pPr>
  </w:style>
  <w:style w:type="paragraph" w:styleId="1322" w:customStyle="1">
    <w:name w:val="xl33"/>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23" w:customStyle="1">
    <w:name w:val="flName"/>
    <w:basedOn w:val="1324"/>
    <w:uiPriority w:val="0"/>
    <w:qFormat/>
    <w:pPr>
      <w:spacing w:before="0" w:line="113" w:lineRule="atLeast"/>
    </w:pPr>
  </w:style>
  <w:style w:type="paragraph" w:styleId="1324" w:customStyle="1">
    <w:name w:val="flNote"/>
    <w:basedOn w:val="891"/>
    <w:uiPriority w:val="0"/>
    <w:qFormat/>
    <w:pPr>
      <w:jc w:val="center"/>
      <w:spacing w:before="567" w:line="360" w:lineRule="atLeast"/>
    </w:pPr>
    <w:rPr>
      <w:rFonts w:eastAsia="黑体"/>
      <w:b/>
      <w:sz w:val="24"/>
    </w:rPr>
  </w:style>
  <w:style w:type="paragraph" w:styleId="1325" w:customStyle="1">
    <w:name w:val="xl39"/>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6">
    <w:name w:val="No Spacing"/>
    <w:uiPriority w:val="0"/>
    <w:qFormat/>
    <w:pPr>
      <w:jc w:val="both"/>
      <w:widowControl w:val="off"/>
    </w:pPr>
    <w:rPr>
      <w:rFonts w:ascii="Calibri" w:hAnsi="Calibri" w:eastAsia="微软雅黑" w:cs="Times New Roman"/>
      <w:sz w:val="24"/>
      <w:szCs w:val="22"/>
      <w:lang w:val="en-US" w:eastAsia="zh-CN" w:bidi="ar-SA"/>
    </w:rPr>
  </w:style>
  <w:style w:type="paragraph" w:styleId="1327" w:customStyle="1">
    <w:name w:val="Char Char Char Char Char Char"/>
    <w:basedOn w:val="891"/>
    <w:uiPriority w:val="0"/>
    <w:qFormat/>
    <w:rPr>
      <w:rFonts w:ascii="Tahoma" w:hAnsi="Tahoma" w:cs="Tahoma"/>
      <w:sz w:val="24"/>
    </w:rPr>
  </w:style>
  <w:style w:type="paragraph" w:styleId="1328" w:customStyle="1">
    <w:name w:val="样式 加点正文 + 段前: 0.5 行 段后: 0.5 行1"/>
    <w:basedOn w:val="891"/>
    <w:uiPriority w:val="0"/>
    <w:qFormat/>
    <w:pPr>
      <w:ind w:left="1268" w:hanging="420"/>
      <w:spacing w:before="156" w:after="156" w:line="300" w:lineRule="auto"/>
      <w:tabs>
        <w:tab w:val="left" w:pos="420" w:leader="none"/>
        <w:tab w:val="left" w:pos="1268" w:leader="none"/>
      </w:tabs>
    </w:pPr>
    <w:rPr>
      <w:sz w:val="24"/>
    </w:rPr>
  </w:style>
  <w:style w:type="paragraph" w:styleId="1329" w:customStyle="1">
    <w:name w:val="Char Char"/>
    <w:basedOn w:val="891"/>
    <w:uiPriority w:val="0"/>
    <w:qFormat/>
    <w:rPr>
      <w:rFonts w:ascii="Tahoma" w:hAnsi="Tahoma"/>
      <w:sz w:val="24"/>
    </w:rPr>
  </w:style>
  <w:style w:type="paragraph" w:styleId="1330" w:customStyle="1">
    <w:name w:val="Char Char Char"/>
    <w:basedOn w:val="891"/>
    <w:uiPriority w:val="0"/>
    <w:qFormat/>
    <w:rPr>
      <w:rFonts w:ascii="Tahoma" w:hAnsi="Tahoma"/>
      <w:sz w:val="24"/>
    </w:rPr>
  </w:style>
  <w:style w:type="paragraph" w:styleId="1331" w:customStyle="1">
    <w:name w:val="列出段落2"/>
    <w:basedOn w:val="891"/>
    <w:uiPriority w:val="0"/>
    <w:qFormat/>
    <w:pPr>
      <w:ind w:left="720"/>
      <w:jc w:val="left"/>
      <w:widowControl/>
    </w:pPr>
    <w:rPr>
      <w:rFonts w:ascii="Arial" w:hAnsi="Arial" w:eastAsia="黑体" w:cs="Arial"/>
      <w:sz w:val="24"/>
      <w:szCs w:val="24"/>
      <w:lang w:eastAsia="en-US"/>
    </w:rPr>
  </w:style>
  <w:style w:type="paragraph" w:styleId="1332" w:customStyle="1">
    <w:name w:val="彩色底纹1"/>
    <w:uiPriority w:val="0"/>
    <w:semiHidden/>
    <w:qFormat/>
    <w:rPr>
      <w:rFonts w:ascii="Times New Roman" w:hAnsi="Times New Roman" w:eastAsia="宋体" w:cs="Times New Roman"/>
      <w:sz w:val="21"/>
      <w:szCs w:val="24"/>
      <w:lang w:val="en-US" w:eastAsia="zh-CN" w:bidi="ar-SA"/>
    </w:rPr>
  </w:style>
  <w:style w:type="paragraph" w:styleId="1333" w:customStyle="1">
    <w:name w:val="xl57"/>
    <w:basedOn w:val="8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34" w:customStyle="1">
    <w:name w:val="Char Char1 Char Char Char Char Char Char Char"/>
    <w:basedOn w:val="891"/>
    <w:uiPriority w:val="0"/>
    <w:qFormat/>
    <w:rPr>
      <w:rFonts w:ascii="Tahoma" w:hAnsi="Tahoma" w:cs="Tahoma"/>
      <w:sz w:val="24"/>
    </w:rPr>
  </w:style>
  <w:style w:type="paragraph" w:styleId="1335" w:customStyle="1">
    <w:name w:val="章标题"/>
    <w:next w:val="127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36" w:customStyle="1">
    <w:name w:val="文档正文"/>
    <w:basedOn w:val="891"/>
    <w:uiPriority w:val="0"/>
    <w:qFormat/>
    <w:pPr>
      <w:spacing w:line="360" w:lineRule="auto"/>
    </w:pPr>
    <w:rPr>
      <w:rFonts w:ascii="宋体" w:hAnsi="宋体"/>
      <w:b/>
      <w:bCs/>
      <w:szCs w:val="24"/>
    </w:rPr>
  </w:style>
  <w:style w:type="paragraph" w:styleId="1337" w:customStyle="1">
    <w:name w:val="符号与编号"/>
    <w:basedOn w:val="891"/>
    <w:uiPriority w:val="0"/>
    <w:qFormat/>
    <w:pPr>
      <w:ind w:left="900" w:hanging="420"/>
      <w:spacing w:after="156" w:line="400" w:lineRule="atLeast"/>
      <w:tabs>
        <w:tab w:val="left" w:pos="900" w:leader="none"/>
      </w:tabs>
    </w:pPr>
    <w:rPr>
      <w:sz w:val="24"/>
      <w:szCs w:val="24"/>
    </w:rPr>
  </w:style>
  <w:style w:type="paragraph" w:styleId="1338" w:customStyle="1">
    <w:name w:val="正文2"/>
    <w:basedOn w:val="891"/>
    <w:uiPriority w:val="0"/>
    <w:qFormat/>
    <w:pPr>
      <w:ind w:firstLine="510"/>
      <w:spacing w:before="156" w:line="360" w:lineRule="auto"/>
    </w:pPr>
    <w:rPr>
      <w:sz w:val="24"/>
    </w:rPr>
  </w:style>
  <w:style w:type="paragraph" w:styleId="1339" w:customStyle="1">
    <w:name w:val="font11"/>
    <w:basedOn w:val="891"/>
    <w:uiPriority w:val="0"/>
    <w:qFormat/>
    <w:pPr>
      <w:jc w:val="left"/>
      <w:spacing w:before="100" w:beforeAutospacing="1" w:after="100" w:afterAutospacing="1"/>
      <w:widowControl/>
    </w:pPr>
    <w:rPr>
      <w:b/>
      <w:bCs/>
      <w:sz w:val="18"/>
      <w:szCs w:val="18"/>
    </w:rPr>
  </w:style>
  <w:style w:type="paragraph" w:styleId="1340" w:customStyle="1">
    <w:name w:val="Normal1"/>
    <w:basedOn w:val="891"/>
    <w:uiPriority w:val="0"/>
    <w:qFormat/>
  </w:style>
  <w:style w:type="paragraph" w:styleId="1341" w:customStyle="1">
    <w:name w:val="默认段落字体 Para Char Char Char Char Char Char Char"/>
    <w:basedOn w:val="891"/>
    <w:uiPriority w:val="0"/>
    <w:qFormat/>
  </w:style>
  <w:style w:type="paragraph" w:styleId="1342" w:customStyle="1">
    <w:name w:val="xl63"/>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43" w:customStyle="1">
    <w:name w:val="项目符号，二级"/>
    <w:basedOn w:val="1254"/>
    <w:next w:val="1254"/>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344" w:customStyle="1">
    <w:name w:val="xl52"/>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5" w:customStyle="1">
    <w:name w:val="Item Step in Table"/>
    <w:uiPriority w:val="0"/>
    <w:qFormat/>
    <w:pPr>
      <w:numPr>
        <w:ilvl w:val="0"/>
        <w:numId w:val="2"/>
      </w:numPr>
      <w:jc w:val="both"/>
      <w:spacing w:before="40" w:after="40"/>
    </w:pPr>
    <w:rPr>
      <w:rFonts w:ascii="Arial" w:hAnsi="Arial" w:eastAsia="宋体" w:cs="Arial"/>
      <w:sz w:val="18"/>
      <w:szCs w:val="18"/>
      <w:lang w:val="en-US" w:eastAsia="zh-CN" w:bidi="ar-SA"/>
    </w:rPr>
  </w:style>
  <w:style w:type="paragraph" w:styleId="1346" w:customStyle="1">
    <w:name w:val="xl61"/>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7" w:customStyle="1">
    <w:name w:val="马刚标题3"/>
    <w:basedOn w:val="891"/>
    <w:next w:val="89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48" w:customStyle="1">
    <w:name w:val="样式2"/>
    <w:basedOn w:val="891"/>
    <w:uiPriority w:val="0"/>
    <w:qFormat/>
    <w:pPr>
      <w:ind w:left="200"/>
      <w:spacing w:line="360" w:lineRule="auto"/>
    </w:pPr>
    <w:rPr>
      <w:rFonts w:ascii="宋体" w:hAnsi="宋体"/>
      <w:b/>
      <w:sz w:val="24"/>
      <w:szCs w:val="24"/>
    </w:rPr>
  </w:style>
  <w:style w:type="paragraph" w:styleId="1349" w:customStyle="1">
    <w:name w:val="Char Char Char Char Char Char Char Char Char Char Char Char Char Char Char Char Char Char Char Char Char Char Char"/>
    <w:basedOn w:val="891"/>
    <w:uiPriority w:val="0"/>
    <w:qFormat/>
    <w:rPr>
      <w:rFonts w:ascii="Tahoma" w:hAnsi="Tahoma" w:cs="Tahoma"/>
      <w:sz w:val="24"/>
    </w:rPr>
  </w:style>
  <w:style w:type="paragraph" w:styleId="1350" w:customStyle="1">
    <w:name w:val="正文 首行缩进:  2 字符 Char Char"/>
    <w:basedOn w:val="891"/>
    <w:uiPriority w:val="0"/>
    <w:qFormat/>
    <w:pPr>
      <w:ind w:firstLine="480"/>
      <w:spacing w:line="360" w:lineRule="auto"/>
    </w:pPr>
    <w:rPr>
      <w:rFonts w:ascii="楷体_GB2312" w:eastAsia="楷体_GB2312"/>
      <w:bCs/>
      <w:sz w:val="24"/>
      <w:szCs w:val="24"/>
    </w:rPr>
  </w:style>
  <w:style w:type="paragraph" w:styleId="1351" w:customStyle="1">
    <w:name w:val="标题3"/>
    <w:basedOn w:val="1081"/>
    <w:uiPriority w:val="0"/>
    <w:qFormat/>
    <w:pPr>
      <w:keepLines w:val="0"/>
      <w:keepNext w:val="0"/>
      <w:spacing w:line="360" w:lineRule="auto"/>
    </w:pPr>
    <w:rPr>
      <w:rFonts w:eastAsia="仿宋_GB2312"/>
      <w:b w:val="0"/>
      <w:bCs/>
      <w:sz w:val="30"/>
      <w:szCs w:val="32"/>
    </w:rPr>
  </w:style>
  <w:style w:type="paragraph" w:styleId="1352" w:customStyle="1">
    <w:name w:val="Pa6"/>
    <w:basedOn w:val="891"/>
    <w:next w:val="891"/>
    <w:uiPriority w:val="0"/>
    <w:qFormat/>
    <w:pPr>
      <w:jc w:val="left"/>
      <w:spacing w:line="241" w:lineRule="atLeast"/>
    </w:pPr>
    <w:rPr>
      <w:rFonts w:ascii="HYDaHeiJ" w:eastAsia="HYDaHeiJ"/>
      <w:sz w:val="24"/>
      <w:szCs w:val="24"/>
    </w:rPr>
  </w:style>
  <w:style w:type="paragraph" w:styleId="1353" w:customStyle="1">
    <w:name w:val="正文文本 New New"/>
    <w:basedOn w:val="891"/>
    <w:uiPriority w:val="0"/>
    <w:qFormat/>
    <w:pPr>
      <w:ind w:firstLine="200"/>
      <w:spacing w:before="60" w:after="60" w:line="360" w:lineRule="auto"/>
      <w:widowControl/>
    </w:pPr>
    <w:rPr>
      <w:rFonts w:eastAsia="华文楷体"/>
      <w:sz w:val="24"/>
      <w:szCs w:val="24"/>
    </w:rPr>
  </w:style>
  <w:style w:type="paragraph" w:styleId="1354" w:customStyle="1">
    <w:name w:val="Char Char Char1"/>
    <w:basedOn w:val="1106"/>
    <w:uiPriority w:val="0"/>
    <w:qFormat/>
    <w:pPr>
      <w:spacing w:line="436" w:lineRule="exact"/>
    </w:pPr>
    <w:rPr>
      <w:szCs w:val="24"/>
    </w:rPr>
  </w:style>
  <w:style w:type="paragraph" w:styleId="1355" w:customStyle="1">
    <w:name w:val="font8"/>
    <w:basedOn w:val="891"/>
    <w:uiPriority w:val="0"/>
    <w:qFormat/>
    <w:pPr>
      <w:jc w:val="left"/>
      <w:spacing w:before="100" w:beforeAutospacing="1" w:after="100" w:afterAutospacing="1"/>
      <w:widowControl/>
    </w:pPr>
    <w:rPr>
      <w:rFonts w:ascii="宋体" w:hAnsi="宋体"/>
      <w:b/>
      <w:bCs/>
      <w:i/>
      <w:iCs/>
    </w:rPr>
  </w:style>
  <w:style w:type="paragraph" w:styleId="1356" w:customStyle="1">
    <w:name w:val="样式"/>
    <w:basedOn w:val="891"/>
    <w:uiPriority w:val="0"/>
    <w:qFormat/>
    <w:pPr>
      <w:spacing w:before="120" w:after="120" w:line="360" w:lineRule="auto"/>
    </w:pPr>
    <w:rPr>
      <w:rFonts w:ascii="宋体"/>
      <w:sz w:val="24"/>
    </w:rPr>
  </w:style>
  <w:style w:type="paragraph" w:styleId="1357" w:customStyle="1">
    <w:name w:val="Test2"/>
    <w:basedOn w:val="1080"/>
    <w:uiPriority w:val="0"/>
    <w:qFormat/>
    <w:pPr>
      <w:jc w:val="center"/>
      <w:spacing w:before="156" w:after="156" w:line="480" w:lineRule="exact"/>
      <w:widowControl/>
    </w:pPr>
    <w:rPr>
      <w:rFonts w:ascii="黑体" w:hAnsi="Arial" w:eastAsia="黑体"/>
      <w:bCs/>
      <w:sz w:val="24"/>
    </w:rPr>
  </w:style>
  <w:style w:type="paragraph" w:styleId="1358" w:customStyle="1">
    <w:name w:val="二级条标题"/>
    <w:basedOn w:val="891"/>
    <w:next w:val="1279"/>
    <w:uiPriority w:val="0"/>
    <w:qFormat/>
    <w:pPr>
      <w:ind w:hanging="420"/>
      <w:widowControl/>
      <w:tabs>
        <w:tab w:val="left" w:pos="2240" w:leader="none"/>
      </w:tabs>
      <w:outlineLvl w:val="3"/>
    </w:pPr>
    <w:rPr>
      <w:rFonts w:eastAsia="黑体"/>
    </w:rPr>
  </w:style>
  <w:style w:type="paragraph" w:styleId="1359" w:customStyle="1">
    <w:name w:val="样式 标题 2第一章 标题 2Heading 2 HiddenHeading 2 CCBSheading 2H2h2..."/>
    <w:basedOn w:val="108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60" w:customStyle="1">
    <w:name w:val="样式 段后: 0.5 行 左  0.75 字符"/>
    <w:basedOn w:val="891"/>
    <w:uiPriority w:val="0"/>
    <w:qFormat/>
    <w:pPr>
      <w:ind w:firstLine="420"/>
      <w:spacing w:line="360" w:lineRule="auto"/>
      <w:widowControl/>
    </w:pPr>
    <w:rPr>
      <w:rFonts w:hAnsi="Arial" w:cs="Arial"/>
      <w:szCs w:val="21"/>
    </w:rPr>
  </w:style>
  <w:style w:type="paragraph" w:styleId="1361" w:customStyle="1">
    <w:name w:val="标题5，章节第五层"/>
    <w:basedOn w:val="891"/>
    <w:next w:val="89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62" w:customStyle="1">
    <w:name w:val="华宇段落1 Char"/>
    <w:basedOn w:val="891"/>
    <w:uiPriority w:val="0"/>
    <w:qFormat/>
    <w:pPr>
      <w:ind w:firstLine="200"/>
      <w:spacing w:line="360" w:lineRule="auto"/>
    </w:pPr>
    <w:rPr>
      <w:bCs/>
      <w:sz w:val="24"/>
      <w:szCs w:val="24"/>
    </w:rPr>
  </w:style>
  <w:style w:type="paragraph" w:styleId="1363" w:customStyle="1">
    <w:name w:val="Char Char Char Char Char Char Char Char Char Char Char Char Char Char Char Char Char Char Char Char Char"/>
    <w:basedOn w:val="891"/>
    <w:uiPriority w:val="0"/>
    <w:qFormat/>
    <w:rPr>
      <w:rFonts w:ascii="Tahoma" w:hAnsi="Tahoma"/>
      <w:sz w:val="24"/>
    </w:rPr>
  </w:style>
  <w:style w:type="paragraph" w:styleId="1364" w:customStyle="1">
    <w:name w:val="xl47"/>
    <w:basedOn w:val="8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5" w:customStyle="1">
    <w:name w:val="马刚标题4"/>
    <w:basedOn w:val="1347"/>
    <w:next w:val="891"/>
    <w:uiPriority w:val="0"/>
    <w:qFormat/>
    <w:pPr>
      <w:spacing w:before="100" w:after="40"/>
      <w:tabs>
        <w:tab w:val="left" w:pos="1050" w:leader="none"/>
      </w:tabs>
      <w:outlineLvl w:val="3"/>
    </w:pPr>
    <w:rPr>
      <w:b w:val="0"/>
    </w:rPr>
  </w:style>
  <w:style w:type="paragraph" w:styleId="1366" w:customStyle="1">
    <w:name w:val="Char Char1 Char Char Char Char1 Char Char Char Char Char Char"/>
    <w:basedOn w:val="891"/>
    <w:uiPriority w:val="0"/>
    <w:qFormat/>
    <w:rPr>
      <w:rFonts w:ascii="Tahoma" w:hAnsi="Tahoma"/>
      <w:sz w:val="24"/>
    </w:rPr>
  </w:style>
  <w:style w:type="paragraph" w:styleId="1367" w:customStyle="1">
    <w:name w:val="xl40"/>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68" w:customStyle="1">
    <w:name w:val="样式 样式 标题 3H3sect1.2.3BOD 0Heading 3 - oldh3l3CTLevel 3 Head... +..."/>
    <w:basedOn w:val="891"/>
    <w:uiPriority w:val="0"/>
    <w:qFormat/>
    <w:pPr>
      <w:jc w:val="left"/>
      <w:keepLines/>
      <w:keepNext/>
      <w:spacing w:before="156" w:after="156"/>
      <w:outlineLvl w:val="2"/>
    </w:pPr>
    <w:rPr>
      <w:b/>
      <w:bCs/>
      <w:sz w:val="24"/>
    </w:rPr>
  </w:style>
  <w:style w:type="paragraph" w:styleId="1369" w:customStyle="1">
    <w:name w:val="Char Char11"/>
    <w:basedOn w:val="891"/>
    <w:uiPriority w:val="0"/>
    <w:qFormat/>
    <w:rPr>
      <w:rFonts w:ascii="Tahoma" w:hAnsi="Tahoma" w:cs="Tahoma"/>
      <w:sz w:val="24"/>
    </w:rPr>
  </w:style>
  <w:style w:type="paragraph" w:styleId="1370" w:customStyle="1">
    <w:name w:val="Char"/>
    <w:basedOn w:val="891"/>
    <w:uiPriority w:val="0"/>
    <w:qFormat/>
    <w:pPr>
      <w:spacing w:after="156" w:line="360" w:lineRule="auto"/>
    </w:pPr>
    <w:rPr>
      <w:rFonts w:ascii="Tahoma" w:hAnsi="Tahoma"/>
      <w:sz w:val="24"/>
    </w:rPr>
  </w:style>
  <w:style w:type="paragraph" w:styleId="1371" w:customStyle="1">
    <w:name w:val="xl29"/>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2" w:customStyle="1">
    <w:name w:val="标题6"/>
    <w:basedOn w:val="1083"/>
    <w:uiPriority w:val="0"/>
    <w:qFormat/>
    <w:pPr>
      <w:numPr>
        <w:ilvl w:val="0"/>
        <w:numId w:val="3"/>
      </w:numPr>
      <w:keepLines/>
    </w:pPr>
    <w:rPr>
      <w:rFonts w:ascii="Times New Roman"/>
      <w:b w:val="0"/>
      <w:bCs/>
      <w:sz w:val="24"/>
      <w:szCs w:val="28"/>
    </w:rPr>
  </w:style>
  <w:style w:type="paragraph" w:styleId="1373" w:customStyle="1">
    <w:name w:val="纯文本1"/>
    <w:basedOn w:val="891"/>
    <w:uiPriority w:val="0"/>
    <w:qFormat/>
    <w:rPr>
      <w:rFonts w:ascii="宋体" w:hAnsi="宋体" w:eastAsia="楷体_GB2312"/>
      <w:sz w:val="28"/>
    </w:rPr>
  </w:style>
  <w:style w:type="paragraph" w:styleId="1374" w:customStyle="1">
    <w:name w:val="xl36"/>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5" w:customStyle="1">
    <w:name w:val="tableau"/>
    <w:basedOn w:val="891"/>
    <w:uiPriority w:val="0"/>
    <w:qFormat/>
    <w:pPr>
      <w:jc w:val="center"/>
      <w:spacing w:before="20" w:after="20"/>
      <w:widowControl/>
    </w:pPr>
    <w:rPr>
      <w:rFonts w:ascii="Arial" w:hAnsi="Arial"/>
      <w:sz w:val="16"/>
      <w:lang w:val="en-GB" w:eastAsia="en-US"/>
    </w:rPr>
  </w:style>
  <w:style w:type="paragraph" w:styleId="1376" w:customStyle="1">
    <w:name w:val="Char Char Char Char Char Char Char Char Char Char Char Char Char"/>
    <w:basedOn w:val="1106"/>
    <w:uiPriority w:val="0"/>
    <w:qFormat/>
    <w:rPr>
      <w:rFonts w:ascii="Tahoma" w:hAnsi="Tahoma"/>
      <w:sz w:val="24"/>
      <w:szCs w:val="24"/>
    </w:rPr>
  </w:style>
  <w:style w:type="paragraph" w:styleId="1377" w:customStyle="1">
    <w:name w:val="正文--表格内正文"/>
    <w:basedOn w:val="891"/>
    <w:uiPriority w:val="0"/>
    <w:qFormat/>
    <w:pPr>
      <w:jc w:val="center"/>
      <w:spacing w:before="156" w:line="0" w:lineRule="atLeast"/>
    </w:pPr>
    <w:rPr>
      <w:rFonts w:ascii="宋体" w:hAnsi="宋体"/>
      <w:color w:val="000000"/>
      <w:sz w:val="24"/>
      <w:szCs w:val="24"/>
    </w:rPr>
  </w:style>
  <w:style w:type="paragraph" w:styleId="1378" w:customStyle="1">
    <w:name w:val="Char Char Char Char Char"/>
    <w:basedOn w:val="891"/>
    <w:uiPriority w:val="0"/>
    <w:qFormat/>
    <w:rPr>
      <w:rFonts w:ascii="Tahoma" w:hAnsi="Tahoma"/>
      <w:sz w:val="24"/>
    </w:rPr>
  </w:style>
  <w:style w:type="paragraph" w:styleId="1379" w:customStyle="1">
    <w:name w:val="xl37"/>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80" w:customStyle="1">
    <w:name w:val="Bullets L1"/>
    <w:basedOn w:val="891"/>
    <w:uiPriority w:val="0"/>
    <w:qFormat/>
    <w:pPr>
      <w:numPr>
        <w:ilvl w:val="0"/>
        <w:numId w:val="4"/>
      </w:numPr>
      <w:jc w:val="left"/>
      <w:spacing w:before="60" w:after="60"/>
      <w:widowControl/>
    </w:pPr>
    <w:rPr>
      <w:rFonts w:ascii="Arial" w:hAnsi="Arial"/>
    </w:rPr>
  </w:style>
  <w:style w:type="paragraph" w:styleId="1381" w:customStyle="1">
    <w:name w:val="Char Char1"/>
    <w:basedOn w:val="891"/>
    <w:uiPriority w:val="0"/>
    <w:qFormat/>
    <w:rPr>
      <w:rFonts w:ascii="Tahoma" w:hAnsi="Tahoma"/>
      <w:sz w:val="24"/>
    </w:rPr>
  </w:style>
  <w:style w:type="paragraph" w:styleId="1382" w:customStyle="1">
    <w:name w:val="小四 段落 宋体 Char Char Char"/>
    <w:basedOn w:val="1104"/>
    <w:uiPriority w:val="0"/>
    <w:qFormat/>
    <w:pPr>
      <w:ind w:left="0" w:right="-33" w:firstLine="545"/>
      <w:jc w:val="left"/>
      <w:spacing w:line="360" w:lineRule="auto"/>
      <w:tabs>
        <w:tab w:val="clear" w:pos="2952" w:leader="none"/>
      </w:tabs>
    </w:pPr>
    <w:rPr>
      <w:sz w:val="24"/>
    </w:rPr>
  </w:style>
  <w:style w:type="paragraph" w:styleId="1383" w:customStyle="1">
    <w:name w:val="xl55"/>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84" w:customStyle="1">
    <w:name w:val="xl58"/>
    <w:basedOn w:val="891"/>
    <w:uiPriority w:val="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385" w:customStyle="1">
    <w:name w:val="标题4，章节第四层"/>
    <w:basedOn w:val="891"/>
    <w:next w:val="891"/>
    <w:uiPriority w:val="0"/>
    <w:qFormat/>
    <w:pPr>
      <w:spacing w:line="360" w:lineRule="auto"/>
      <w:tabs>
        <w:tab w:val="left" w:pos="0" w:leader="none"/>
      </w:tabs>
      <w:outlineLvl w:val="3"/>
    </w:pPr>
    <w:rPr>
      <w:rFonts w:ascii="宋体" w:hAnsi="宋体"/>
      <w:b/>
      <w:sz w:val="24"/>
      <w:szCs w:val="24"/>
    </w:rPr>
  </w:style>
  <w:style w:type="paragraph" w:styleId="1386" w:customStyle="1">
    <w:name w:val="Char Char Char Char Char Char Char Char Char Char Char Char Char Char Char Char Char Char Char Char Char1"/>
    <w:basedOn w:val="891"/>
    <w:uiPriority w:val="0"/>
    <w:qFormat/>
    <w:rPr>
      <w:rFonts w:ascii="Tahoma" w:hAnsi="Tahoma" w:cs="Tahoma"/>
      <w:sz w:val="24"/>
    </w:rPr>
  </w:style>
  <w:style w:type="paragraph" w:styleId="1387" w:customStyle="1">
    <w:name w:val="xl54"/>
    <w:basedOn w:val="89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8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9" w:customStyle="1">
    <w:name w:val="Default Text"/>
    <w:basedOn w:val="891"/>
    <w:uiPriority w:val="0"/>
    <w:qFormat/>
    <w:pPr>
      <w:jc w:val="left"/>
      <w:widowControl/>
    </w:pPr>
    <w:rPr>
      <w:sz w:val="24"/>
      <w:lang w:eastAsia="en-US"/>
    </w:rPr>
  </w:style>
  <w:style w:type="paragraph" w:styleId="1390" w:customStyle="1">
    <w:name w:val="flType"/>
    <w:basedOn w:val="1323"/>
    <w:uiPriority w:val="0"/>
    <w:qFormat/>
    <w:pPr>
      <w:spacing w:after="284"/>
    </w:pPr>
    <w:rPr>
      <w:rFonts w:eastAsia="宋体"/>
    </w:rPr>
  </w:style>
  <w:style w:type="paragraph" w:styleId="1391" w:customStyle="1">
    <w:name w:val="正文 首行缩进:  2 字符 Char"/>
    <w:basedOn w:val="891"/>
    <w:uiPriority w:val="0"/>
    <w:qFormat/>
    <w:pPr>
      <w:ind w:firstLine="480"/>
      <w:spacing w:line="360" w:lineRule="auto"/>
    </w:pPr>
    <w:rPr>
      <w:sz w:val="24"/>
    </w:rPr>
  </w:style>
  <w:style w:type="paragraph" w:styleId="1392" w:customStyle="1">
    <w:name w:val="xl46"/>
    <w:basedOn w:val="89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93" w:customStyle="1">
    <w:name w:val="表格内文字"/>
    <w:basedOn w:val="891"/>
    <w:uiPriority w:val="0"/>
    <w:qFormat/>
    <w:pPr>
      <w:spacing w:line="300" w:lineRule="atLeast"/>
    </w:pPr>
    <w:rPr>
      <w:sz w:val="18"/>
      <w:szCs w:val="24"/>
    </w:rPr>
  </w:style>
  <w:style w:type="paragraph" w:styleId="1394" w:customStyle="1">
    <w:name w:val="Char Char Char Char1"/>
    <w:basedOn w:val="891"/>
    <w:uiPriority w:val="0"/>
    <w:qFormat/>
    <w:pPr>
      <w:jc w:val="center"/>
      <w:spacing w:after="160" w:line="240" w:lineRule="exact"/>
      <w:widowControl/>
    </w:pPr>
    <w:rPr>
      <w:rFonts w:ascii="黑体" w:hAnsi="Verdana" w:eastAsia="黑体"/>
      <w:sz w:val="32"/>
      <w:szCs w:val="32"/>
      <w:lang w:eastAsia="en-US"/>
    </w:rPr>
  </w:style>
  <w:style w:type="paragraph" w:styleId="1395" w:customStyle="1">
    <w:name w:val="font13"/>
    <w:basedOn w:val="891"/>
    <w:uiPriority w:val="0"/>
    <w:qFormat/>
    <w:pPr>
      <w:jc w:val="left"/>
      <w:spacing w:before="100" w:beforeAutospacing="1" w:after="100" w:afterAutospacing="1"/>
      <w:widowControl/>
    </w:pPr>
    <w:rPr>
      <w:i/>
      <w:iCs/>
      <w:sz w:val="36"/>
      <w:szCs w:val="36"/>
    </w:rPr>
  </w:style>
  <w:style w:type="paragraph" w:styleId="1396" w:customStyle="1">
    <w:name w:val="xl60"/>
    <w:basedOn w:val="891"/>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397" w:customStyle="1">
    <w:name w:val="标准小四"/>
    <w:basedOn w:val="891"/>
    <w:uiPriority w:val="0"/>
    <w:qFormat/>
    <w:pPr>
      <w:ind w:firstLine="480"/>
      <w:spacing w:line="360" w:lineRule="auto"/>
    </w:pPr>
    <w:rPr>
      <w:rFonts w:ascii="Arial" w:hAnsi="Arial"/>
      <w:sz w:val="24"/>
      <w:szCs w:val="21"/>
    </w:rPr>
  </w:style>
  <w:style w:type="paragraph" w:styleId="1398" w:customStyle="1">
    <w:name w:val="小四 段落 宋体"/>
    <w:basedOn w:val="1104"/>
    <w:uiPriority w:val="0"/>
    <w:qFormat/>
    <w:pPr>
      <w:ind w:left="113" w:right="113" w:firstLine="425"/>
      <w:jc w:val="left"/>
      <w:spacing w:line="360" w:lineRule="auto"/>
      <w:tabs>
        <w:tab w:val="clear" w:pos="2952" w:leader="none"/>
      </w:tabs>
    </w:pPr>
    <w:rPr>
      <w:sz w:val="24"/>
    </w:rPr>
  </w:style>
  <w:style w:type="paragraph" w:styleId="1399" w:customStyle="1">
    <w:name w:val="一级标题"/>
    <w:basedOn w:val="891"/>
    <w:uiPriority w:val="0"/>
    <w:qFormat/>
    <w:pPr>
      <w:ind w:left="900" w:hanging="420"/>
      <w:spacing w:line="360" w:lineRule="auto"/>
      <w:tabs>
        <w:tab w:val="left" w:pos="903" w:leader="none"/>
      </w:tabs>
    </w:pPr>
    <w:rPr>
      <w:rFonts w:ascii="Arial" w:hAnsi="Arial" w:cs="Arial"/>
      <w:sz w:val="24"/>
    </w:rPr>
  </w:style>
  <w:style w:type="paragraph" w:styleId="1400" w:customStyle="1">
    <w:name w:val="标题 4宋体"/>
    <w:basedOn w:val="1082"/>
    <w:uiPriority w:val="0"/>
    <w:qFormat/>
    <w:pPr>
      <w:jc w:val="left"/>
      <w:keepLines w:val="0"/>
      <w:spacing w:before="0" w:after="0" w:line="360" w:lineRule="auto"/>
    </w:pPr>
    <w:rPr>
      <w:rFonts w:ascii="宋体" w:hAnsi="宋体" w:eastAsia="宋体"/>
      <w:bCs/>
      <w:color w:val="000000"/>
      <w:sz w:val="24"/>
    </w:rPr>
  </w:style>
  <w:style w:type="paragraph" w:styleId="1401" w:customStyle="1">
    <w:name w:val="条1"/>
    <w:basedOn w:val="891"/>
    <w:uiPriority w:val="0"/>
    <w:qFormat/>
    <w:pPr>
      <w:ind w:left="780" w:hanging="360"/>
      <w:spacing w:before="156" w:line="360" w:lineRule="auto"/>
      <w:tabs>
        <w:tab w:val="left" w:pos="780" w:leader="none"/>
      </w:tabs>
    </w:pPr>
    <w:rPr>
      <w:rFonts w:eastAsia="黑体"/>
      <w:sz w:val="24"/>
    </w:rPr>
  </w:style>
  <w:style w:type="paragraph" w:styleId="1402" w:customStyle="1">
    <w:name w:val="Char Char12"/>
    <w:basedOn w:val="891"/>
    <w:uiPriority w:val="0"/>
    <w:qFormat/>
    <w:rPr>
      <w:rFonts w:ascii="Tahoma" w:hAnsi="Tahoma" w:cs="Tahoma"/>
      <w:sz w:val="24"/>
    </w:rPr>
  </w:style>
  <w:style w:type="paragraph" w:styleId="1403">
    <w:name w:val="List Paragraph"/>
    <w:basedOn w:val="891"/>
    <w:uiPriority w:val="0"/>
    <w:qFormat/>
    <w:pPr>
      <w:contextualSpacing/>
      <w:ind w:left="720"/>
      <w:jc w:val="left"/>
      <w:widowControl/>
    </w:pPr>
    <w:rPr>
      <w:rFonts w:ascii="Arial" w:hAnsi="Arial" w:eastAsia="黑体"/>
      <w:sz w:val="24"/>
      <w:szCs w:val="24"/>
      <w:lang w:eastAsia="en-US"/>
    </w:rPr>
  </w:style>
  <w:style w:type="paragraph" w:styleId="1404" w:customStyle="1">
    <w:name w:val="xl27"/>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5" w:customStyle="1">
    <w:name w:val="表头_5"/>
    <w:basedOn w:val="891"/>
    <w:uiPriority w:val="0"/>
    <w:qFormat/>
    <w:pPr>
      <w:spacing w:line="360" w:lineRule="auto"/>
    </w:pPr>
    <w:rPr>
      <w:b/>
      <w:bCs/>
      <w:sz w:val="28"/>
      <w:szCs w:val="21"/>
    </w:rPr>
  </w:style>
  <w:style w:type="paragraph" w:styleId="1406" w:customStyle="1">
    <w:name w:val="xl25"/>
    <w:basedOn w:val="891"/>
    <w:uiPriority w:val="0"/>
    <w:qFormat/>
    <w:pPr>
      <w:jc w:val="center"/>
      <w:spacing w:before="100" w:beforeAutospacing="1" w:after="100" w:afterAutospacing="1"/>
      <w:widowControl/>
      <w:pBdr>
        <w:right w:val="single" w:color="000000" w:sz="4" w:space="0"/>
      </w:pBdr>
    </w:pPr>
    <w:rPr>
      <w:szCs w:val="21"/>
    </w:rPr>
  </w:style>
  <w:style w:type="paragraph" w:styleId="1407" w:customStyle="1">
    <w:name w:val="Char Char Char Char Char Char Char Char Char Char Char Char Char Char Char Char Char Char Char Char Char Char Char1"/>
    <w:basedOn w:val="891"/>
    <w:uiPriority w:val="0"/>
    <w:qFormat/>
    <w:rPr>
      <w:rFonts w:ascii="Tahoma" w:hAnsi="Tahoma"/>
      <w:sz w:val="24"/>
    </w:rPr>
  </w:style>
  <w:style w:type="paragraph" w:styleId="140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09" w:customStyle="1">
    <w:name w:val="greytypebeni"/>
    <w:basedOn w:val="891"/>
    <w:uiPriority w:val="0"/>
    <w:qFormat/>
    <w:pPr>
      <w:jc w:val="left"/>
      <w:widowControl/>
    </w:pPr>
    <w:rPr>
      <w:rFonts w:ascii="宋体" w:hAnsi="宋体"/>
      <w:sz w:val="24"/>
      <w:szCs w:val="24"/>
    </w:rPr>
  </w:style>
  <w:style w:type="paragraph" w:styleId="1410" w:customStyle="1">
    <w:name w:val="Char Char Char Char Char Char Char Char Char Char Char Char Char1"/>
    <w:basedOn w:val="891"/>
    <w:uiPriority w:val="0"/>
    <w:qFormat/>
    <w:pPr>
      <w:jc w:val="left"/>
      <w:spacing w:after="160" w:line="240" w:lineRule="exact"/>
      <w:widowControl/>
    </w:pPr>
    <w:rPr>
      <w:szCs w:val="24"/>
    </w:rPr>
  </w:style>
  <w:style w:type="paragraph" w:styleId="1411" w:customStyle="1">
    <w:name w:val="列表内容"/>
    <w:basedOn w:val="891"/>
    <w:next w:val="891"/>
    <w:uiPriority w:val="0"/>
    <w:qFormat/>
    <w:pPr>
      <w:ind w:left="840" w:hanging="420"/>
      <w:jc w:val="left"/>
      <w:widowControl/>
      <w:tabs>
        <w:tab w:val="left" w:pos="840" w:leader="none"/>
      </w:tabs>
    </w:pPr>
    <w:rPr>
      <w:sz w:val="18"/>
      <w:szCs w:val="24"/>
    </w:rPr>
  </w:style>
  <w:style w:type="paragraph" w:styleId="1412" w:customStyle="1">
    <w:name w:val="样式 段后: 0.25 行"/>
    <w:basedOn w:val="891"/>
    <w:uiPriority w:val="0"/>
    <w:qFormat/>
    <w:pPr>
      <w:ind w:firstLine="420"/>
      <w:jc w:val="left"/>
      <w:spacing w:after="78" w:line="300" w:lineRule="auto"/>
      <w:widowControl/>
    </w:pPr>
    <w:rPr>
      <w:rFonts w:ascii="Arial" w:hAnsi="Arial"/>
      <w:sz w:val="22"/>
      <w:lang w:eastAsia="en-US" w:bidi="en-US"/>
    </w:rPr>
  </w:style>
  <w:style w:type="paragraph" w:styleId="1413" w:customStyle="1">
    <w:name w:val="xl59"/>
    <w:basedOn w:val="8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14" w:customStyle="1">
    <w:name w:val="小四 段落 宋体 Char"/>
    <w:basedOn w:val="1104"/>
    <w:uiPriority w:val="0"/>
    <w:qFormat/>
    <w:pPr>
      <w:ind w:left="0" w:right="-33" w:firstLine="600"/>
      <w:jc w:val="left"/>
      <w:tabs>
        <w:tab w:val="clear" w:pos="2952" w:leader="none"/>
      </w:tabs>
    </w:pPr>
    <w:rPr>
      <w:rFonts w:ascii="仿宋_GB2312" w:eastAsia="仿宋_GB2312"/>
      <w:sz w:val="30"/>
      <w:szCs w:val="30"/>
    </w:rPr>
  </w:style>
  <w:style w:type="paragraph" w:styleId="1415" w:customStyle="1">
    <w:name w:val="Char Char1 Char Char Char Char"/>
    <w:basedOn w:val="1106"/>
    <w:uiPriority w:val="0"/>
    <w:qFormat/>
    <w:pPr>
      <w:ind w:left="357"/>
      <w:jc w:val="left"/>
      <w:spacing w:line="436" w:lineRule="exact"/>
      <w:outlineLvl w:val="3"/>
    </w:pPr>
    <w:rPr>
      <w:rFonts w:ascii="Tahoma" w:hAnsi="Tahoma" w:cs="Tahoma"/>
      <w:b/>
      <w:sz w:val="24"/>
      <w:szCs w:val="24"/>
    </w:rPr>
  </w:style>
  <w:style w:type="paragraph" w:styleId="1416" w:customStyle="1">
    <w:name w:val="正文文本缩进1"/>
    <w:basedOn w:val="891"/>
    <w:uiPriority w:val="0"/>
    <w:qFormat/>
    <w:pPr>
      <w:ind w:left="420"/>
      <w:spacing w:after="120"/>
    </w:pPr>
    <w:rPr>
      <w:szCs w:val="24"/>
    </w:rPr>
  </w:style>
  <w:style w:type="paragraph" w:styleId="1417" w:customStyle="1">
    <w:name w:val="项目符号，一级"/>
    <w:basedOn w:val="1254"/>
    <w:next w:val="1254"/>
    <w:uiPriority w:val="0"/>
    <w:qFormat/>
    <w:pPr>
      <w:ind w:left="376" w:firstLine="0"/>
      <w:spacing w:line="240" w:lineRule="atLeast"/>
      <w:tabs>
        <w:tab w:val="left" w:pos="1320" w:leader="none"/>
      </w:tabs>
    </w:pPr>
    <w:rPr>
      <w:bCs w:val="0"/>
      <w:color w:val="000000"/>
      <w:szCs w:val="24"/>
    </w:rPr>
  </w:style>
  <w:style w:type="paragraph" w:styleId="1418" w:customStyle="1">
    <w:name w:val="Char Char Char Char Char Char Char Char Char Char Char"/>
    <w:basedOn w:val="891"/>
    <w:uiPriority w:val="0"/>
    <w:qFormat/>
    <w:rPr>
      <w:rFonts w:ascii="Tahoma" w:hAnsi="Tahoma" w:cs="Tahoma"/>
      <w:sz w:val="24"/>
    </w:rPr>
  </w:style>
  <w:style w:type="paragraph" w:styleId="1419" w:customStyle="1">
    <w:name w:val="标题2，章节第二层"/>
    <w:basedOn w:val="891"/>
    <w:next w:val="1254"/>
    <w:uiPriority w:val="0"/>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20" w:customStyle="1">
    <w:name w:val="Char Char Char Char Char Char Char Char Char Char Char Char Char Char"/>
    <w:basedOn w:val="891"/>
    <w:uiPriority w:val="0"/>
    <w:qFormat/>
    <w:rPr>
      <w:rFonts w:ascii="Tahoma" w:hAnsi="Tahoma" w:cs="Tahoma"/>
      <w:sz w:val="24"/>
    </w:rPr>
  </w:style>
  <w:style w:type="paragraph" w:styleId="1421" w:customStyle="1">
    <w:name w:val="xl48"/>
    <w:basedOn w:val="8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422" w:customStyle="1">
    <w:name w:val="表格文字"/>
    <w:basedOn w:val="891"/>
    <w:uiPriority w:val="0"/>
    <w:qFormat/>
    <w:pPr>
      <w:ind w:firstLine="200"/>
      <w:jc w:val="left"/>
      <w:spacing w:line="360" w:lineRule="auto"/>
    </w:pPr>
    <w:rPr>
      <w:rFonts w:ascii="Arial" w:hAnsi="Arial"/>
      <w:sz w:val="24"/>
    </w:rPr>
  </w:style>
  <w:style w:type="paragraph" w:styleId="1423" w:customStyle="1">
    <w:name w:val="Char Char Char Char Char Char Char Char Char"/>
    <w:basedOn w:val="891"/>
    <w:uiPriority w:val="0"/>
    <w:qFormat/>
    <w:pPr>
      <w:ind w:left="360" w:hanging="360"/>
      <w:tabs>
        <w:tab w:val="left" w:pos="360" w:leader="none"/>
      </w:tabs>
    </w:pPr>
    <w:rPr>
      <w:sz w:val="24"/>
      <w:szCs w:val="24"/>
    </w:rPr>
  </w:style>
  <w:style w:type="paragraph" w:styleId="1424" w:customStyle="1">
    <w:name w:val="二级目录"/>
    <w:next w:val="891"/>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425" w:customStyle="1">
    <w:name w:val="Char Char Char Char Char Char Char Char Char Char Char1"/>
    <w:basedOn w:val="891"/>
    <w:uiPriority w:val="0"/>
    <w:qFormat/>
    <w:rPr>
      <w:rFonts w:ascii="Tahoma" w:hAnsi="Tahoma"/>
      <w:sz w:val="24"/>
    </w:rPr>
  </w:style>
  <w:style w:type="paragraph" w:styleId="1426" w:customStyle="1">
    <w:name w:val="Char Char1 Char1"/>
    <w:basedOn w:val="891"/>
    <w:uiPriority w:val="0"/>
    <w:qFormat/>
    <w:pPr>
      <w:jc w:val="left"/>
      <w:spacing w:after="160" w:line="240" w:lineRule="exact"/>
      <w:widowControl/>
    </w:pPr>
    <w:rPr>
      <w:rFonts w:ascii="Verdana" w:hAnsi="Verdana"/>
      <w:lang w:eastAsia="en-US"/>
    </w:rPr>
  </w:style>
  <w:style w:type="paragraph" w:styleId="1427" w:customStyle="1">
    <w:name w:val="我的正文"/>
    <w:basedOn w:val="891"/>
    <w:uiPriority w:val="0"/>
    <w:qFormat/>
    <w:pPr>
      <w:ind w:firstLine="420"/>
      <w:jc w:val="left"/>
      <w:spacing w:line="360" w:lineRule="auto"/>
      <w:widowControl/>
    </w:pPr>
    <w:rPr>
      <w:rFonts w:ascii="宋体" w:hAnsi="宋体"/>
      <w:szCs w:val="21"/>
    </w:rPr>
  </w:style>
  <w:style w:type="paragraph" w:styleId="1428" w:customStyle="1">
    <w:name w:val="大标题"/>
    <w:basedOn w:val="891"/>
    <w:next w:val="891"/>
    <w:uiPriority w:val="0"/>
    <w:qFormat/>
    <w:pPr>
      <w:ind w:hanging="420"/>
      <w:pageBreakBefore/>
      <w:spacing w:line="360" w:lineRule="auto"/>
      <w:tabs>
        <w:tab w:val="left" w:pos="420" w:leader="none"/>
      </w:tabs>
      <w:outlineLvl w:val="0"/>
    </w:pPr>
    <w:rPr>
      <w:b/>
      <w:iCs/>
      <w:sz w:val="44"/>
      <w:szCs w:val="24"/>
    </w:rPr>
  </w:style>
  <w:style w:type="paragraph" w:styleId="1429" w:customStyle="1">
    <w:name w:val="Char Char Char Char Char Char Char1"/>
    <w:basedOn w:val="891"/>
    <w:uiPriority w:val="0"/>
    <w:qFormat/>
    <w:rPr>
      <w:rFonts w:ascii="Tahoma" w:hAnsi="Tahoma"/>
      <w:sz w:val="24"/>
    </w:rPr>
  </w:style>
  <w:style w:type="paragraph" w:styleId="1430" w:customStyle="1">
    <w:name w:val="正文 居中"/>
    <w:basedOn w:val="891"/>
    <w:uiPriority w:val="0"/>
    <w:qFormat/>
    <w:pPr>
      <w:jc w:val="center"/>
      <w:spacing w:line="360" w:lineRule="auto"/>
    </w:pPr>
    <w:rPr>
      <w:sz w:val="24"/>
    </w:rPr>
  </w:style>
  <w:style w:type="paragraph" w:styleId="1431" w:customStyle="1">
    <w:name w:val="xl50"/>
    <w:basedOn w:val="8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32" w:customStyle="1">
    <w:name w:val="xl34"/>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33" w:customStyle="1">
    <w:name w:val="xl49"/>
    <w:basedOn w:val="891"/>
    <w:uiPriority w:val="0"/>
    <w:qFormat/>
    <w:pPr>
      <w:jc w:val="center"/>
      <w:spacing w:before="100" w:beforeAutospacing="1" w:after="100" w:afterAutospacing="1"/>
      <w:widowControl/>
      <w:pBdr>
        <w:left w:val="single" w:color="000000" w:sz="4" w:space="0"/>
        <w:right w:val="single" w:color="000000" w:sz="4" w:space="0"/>
      </w:pBdr>
    </w:pPr>
    <w:rPr>
      <w:b/>
      <w:bCs/>
    </w:rPr>
  </w:style>
  <w:style w:type="paragraph" w:styleId="1434" w:customStyle="1">
    <w:name w:val="部分1"/>
    <w:basedOn w:val="891"/>
    <w:uiPriority w:val="0"/>
    <w:qFormat/>
    <w:pPr>
      <w:jc w:val="center"/>
      <w:keepNext/>
      <w:pageBreakBefore/>
      <w:spacing w:line="360" w:lineRule="auto"/>
      <w:tabs>
        <w:tab w:val="left" w:pos="360" w:leader="none"/>
      </w:tabs>
      <w:outlineLvl w:val="0"/>
    </w:pPr>
    <w:rPr>
      <w:rFonts w:eastAsia="黑体"/>
      <w:b/>
      <w:sz w:val="36"/>
    </w:rPr>
  </w:style>
  <w:style w:type="paragraph" w:styleId="1435" w:customStyle="1">
    <w:name w:val="xl53"/>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36" w:customStyle="1">
    <w:name w:val="xl24"/>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37" w:customStyle="1">
    <w:name w:val="样式 样式 首行缩进:  0.74 厘米 行距: 1.5 倍行距 + 段后: 0.5 行"/>
    <w:basedOn w:val="891"/>
    <w:uiPriority w:val="0"/>
    <w:qFormat/>
    <w:pPr>
      <w:ind w:firstLine="420"/>
      <w:spacing w:line="360" w:lineRule="auto"/>
    </w:pPr>
    <w:rPr>
      <w:rFonts w:ascii="楷体_GB2312" w:eastAsia="楷体_GB2312"/>
      <w:bCs/>
      <w:sz w:val="24"/>
    </w:rPr>
  </w:style>
  <w:style w:type="paragraph" w:styleId="1438" w:customStyle="1">
    <w:name w:val="Body Text 21"/>
    <w:basedOn w:val="891"/>
    <w:uiPriority w:val="0"/>
    <w:qFormat/>
    <w:pPr>
      <w:ind w:left="720" w:hanging="720"/>
      <w:widowControl/>
    </w:pPr>
    <w:rPr>
      <w:sz w:val="24"/>
      <w:lang w:val="en-GB"/>
    </w:rPr>
  </w:style>
  <w:style w:type="paragraph" w:styleId="1439" w:customStyle="1">
    <w:name w:val="Normal11"/>
    <w:basedOn w:val="891"/>
    <w:uiPriority w:val="0"/>
    <w:qFormat/>
  </w:style>
  <w:style w:type="paragraph" w:styleId="1440" w:customStyle="1">
    <w:name w:val="Char2"/>
    <w:basedOn w:val="891"/>
    <w:uiPriority w:val="0"/>
    <w:semiHidden/>
    <w:qFormat/>
    <w:rPr>
      <w:rFonts w:ascii="Tahoma" w:hAnsi="Tahoma" w:cs="仿宋_GB2312"/>
      <w:sz w:val="24"/>
      <w:szCs w:val="28"/>
    </w:rPr>
  </w:style>
  <w:style w:type="paragraph" w:styleId="1441" w:customStyle="1">
    <w:name w:val="content_lineheight"/>
    <w:basedOn w:val="891"/>
    <w:uiPriority w:val="0"/>
    <w:qFormat/>
    <w:pPr>
      <w:jc w:val="left"/>
      <w:spacing w:before="100" w:beforeAutospacing="1" w:after="100" w:afterAutospacing="1"/>
      <w:widowControl/>
    </w:pPr>
    <w:rPr>
      <w:rFonts w:ascii="宋体" w:hAnsi="宋体"/>
      <w:sz w:val="24"/>
      <w:szCs w:val="24"/>
    </w:rPr>
  </w:style>
  <w:style w:type="paragraph" w:styleId="1442" w:customStyle="1">
    <w:name w:val="样式 样式 首行缩进:  2 字符 + 行距: 1.5 倍行距"/>
    <w:basedOn w:val="891"/>
    <w:uiPriority w:val="0"/>
    <w:qFormat/>
    <w:pPr>
      <w:ind w:firstLine="470"/>
      <w:spacing w:line="360" w:lineRule="auto"/>
    </w:pPr>
    <w:rPr>
      <w:sz w:val="24"/>
    </w:rPr>
  </w:style>
  <w:style w:type="paragraph" w:styleId="1443" w:customStyle="1">
    <w:name w:val="符号与编号 Char Char"/>
    <w:basedOn w:val="891"/>
    <w:uiPriority w:val="0"/>
    <w:qFormat/>
    <w:pPr>
      <w:ind w:left="839" w:hanging="419"/>
      <w:spacing w:after="156" w:line="400" w:lineRule="atLeast"/>
      <w:tabs>
        <w:tab w:val="left" w:pos="840" w:leader="none"/>
      </w:tabs>
    </w:pPr>
    <w:rPr>
      <w:sz w:val="24"/>
      <w:szCs w:val="24"/>
    </w:rPr>
  </w:style>
  <w:style w:type="paragraph" w:styleId="1444" w:customStyle="1">
    <w:name w:val="正文lzq"/>
    <w:basedOn w:val="891"/>
    <w:uiPriority w:val="0"/>
    <w:qFormat/>
    <w:pPr>
      <w:ind w:firstLine="480"/>
      <w:spacing w:line="360" w:lineRule="auto"/>
    </w:pPr>
    <w:rPr>
      <w:sz w:val="24"/>
    </w:rPr>
  </w:style>
  <w:style w:type="paragraph" w:styleId="1445" w:customStyle="1">
    <w:name w:val="段落"/>
    <w:basedOn w:val="891"/>
    <w:uiPriority w:val="0"/>
    <w:qFormat/>
    <w:pPr>
      <w:ind w:firstLine="480"/>
      <w:spacing w:line="460" w:lineRule="exact"/>
    </w:pPr>
    <w:rPr>
      <w:sz w:val="24"/>
    </w:rPr>
  </w:style>
  <w:style w:type="paragraph" w:styleId="1446" w:customStyle="1">
    <w:name w:val="_Style 42"/>
    <w:basedOn w:val="891"/>
    <w:next w:val="1113"/>
    <w:uiPriority w:val="0"/>
    <w:qFormat/>
    <w:rPr>
      <w:rFonts w:ascii="楷体_GB2312" w:hAnsi="Arial" w:eastAsia="楷体_GB2312"/>
      <w:sz w:val="28"/>
    </w:rPr>
  </w:style>
  <w:style w:type="paragraph" w:styleId="1447" w:customStyle="1">
    <w:name w:val="Char Char Char Char Char Char Char Char1"/>
    <w:basedOn w:val="891"/>
    <w:uiPriority w:val="0"/>
    <w:qFormat/>
    <w:rPr>
      <w:rFonts w:ascii="Tahoma" w:hAnsi="Tahoma"/>
      <w:sz w:val="24"/>
    </w:rPr>
  </w:style>
  <w:style w:type="paragraph" w:styleId="1448" w:customStyle="1">
    <w:name w:val="Char1 Char Char Char1"/>
    <w:basedOn w:val="891"/>
    <w:uiPriority w:val="0"/>
    <w:qFormat/>
    <w:rPr>
      <w:rFonts w:ascii="Tahoma" w:hAnsi="Tahoma"/>
      <w:sz w:val="24"/>
    </w:rPr>
  </w:style>
  <w:style w:type="paragraph" w:styleId="144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50" w:customStyle="1">
    <w:name w:val="xl56"/>
    <w:basedOn w:val="891"/>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451" w:customStyle="1">
    <w:name w:val="font14"/>
    <w:basedOn w:val="891"/>
    <w:uiPriority w:val="0"/>
    <w:qFormat/>
    <w:pPr>
      <w:jc w:val="left"/>
      <w:spacing w:before="100" w:beforeAutospacing="1" w:after="100" w:afterAutospacing="1"/>
      <w:widowControl/>
    </w:pPr>
    <w:rPr>
      <w:sz w:val="36"/>
      <w:szCs w:val="36"/>
    </w:rPr>
  </w:style>
  <w:style w:type="paragraph" w:styleId="1452" w:customStyle="1">
    <w:name w:val="xl26"/>
    <w:basedOn w:val="8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3" w:customStyle="1">
    <w:name w:val="Char Char Char Char Char1"/>
    <w:basedOn w:val="891"/>
    <w:uiPriority w:val="0"/>
    <w:qFormat/>
    <w:rPr>
      <w:rFonts w:ascii="Tahoma" w:hAnsi="Tahoma" w:cs="Tahoma"/>
      <w:sz w:val="24"/>
    </w:rPr>
  </w:style>
  <w:style w:type="paragraph" w:styleId="1454" w:customStyle="1">
    <w:name w:val="xl44"/>
    <w:basedOn w:val="8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455" w:customStyle="1">
    <w:name w:val="7"/>
    <w:basedOn w:val="891"/>
    <w:next w:val="1150"/>
    <w:uiPriority w:val="0"/>
    <w:qFormat/>
    <w:pPr>
      <w:jc w:val="left"/>
      <w:spacing w:before="100" w:beforeAutospacing="1" w:after="100" w:afterAutospacing="1"/>
      <w:widowControl/>
    </w:pPr>
    <w:rPr>
      <w:rFonts w:ascii="宋体" w:hAnsi="宋体"/>
      <w:sz w:val="24"/>
    </w:rPr>
  </w:style>
  <w:style w:type="paragraph" w:styleId="1456" w:customStyle="1">
    <w:name w:val="论文正文"/>
    <w:basedOn w:val="1125"/>
    <w:uiPriority w:val="0"/>
    <w:qFormat/>
    <w:pPr>
      <w:ind w:left="0" w:firstLine="200"/>
      <w:jc w:val="left"/>
      <w:spacing w:line="360" w:lineRule="auto"/>
    </w:pPr>
    <w:rPr>
      <w:rFonts w:ascii="Times New Roman" w:hAnsi="Times New Roman"/>
      <w:sz w:val="28"/>
      <w:szCs w:val="24"/>
    </w:rPr>
  </w:style>
  <w:style w:type="paragraph" w:styleId="145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58" w:customStyle="1">
    <w:name w:val="a0"/>
    <w:basedOn w:val="891"/>
    <w:uiPriority w:val="0"/>
    <w:qFormat/>
    <w:pPr>
      <w:spacing w:before="100" w:beforeAutospacing="1" w:after="100" w:afterAutospacing="1"/>
      <w:widowControl/>
    </w:pPr>
    <w:rPr>
      <w:rFonts w:ascii="宋体" w:hAnsi="宋体"/>
      <w:sz w:val="24"/>
      <w:szCs w:val="24"/>
    </w:rPr>
  </w:style>
  <w:style w:type="paragraph" w:styleId="1459" w:customStyle="1">
    <w:name w:val="xl28"/>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0" w:customStyle="1">
    <w:name w:val="丁华标题3"/>
    <w:basedOn w:val="1284"/>
    <w:next w:val="1269"/>
    <w:uiPriority w:val="0"/>
    <w:qFormat/>
    <w:pPr>
      <w:numPr>
        <w:ilvl w:val="2"/>
      </w:numPr>
      <w:ind w:left="1980" w:hanging="420"/>
      <w:spacing w:after="0"/>
      <w:tabs>
        <w:tab w:val="left" w:pos="1470" w:leader="none"/>
        <w:tab w:val="left" w:pos="1980" w:leader="none"/>
      </w:tabs>
      <w:outlineLvl w:val="2"/>
    </w:pPr>
    <w:rPr>
      <w:sz w:val="24"/>
    </w:rPr>
  </w:style>
  <w:style w:type="paragraph" w:styleId="1461" w:customStyle="1">
    <w:name w:val="xl32"/>
    <w:basedOn w:val="8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2" w:customStyle="1">
    <w:name w:val="Char Char Char Char Char Char Char Char Char1"/>
    <w:basedOn w:val="891"/>
    <w:uiPriority w:val="0"/>
    <w:qFormat/>
    <w:pPr>
      <w:ind w:left="200" w:hanging="200"/>
      <w:tabs>
        <w:tab w:val="left" w:pos="360" w:leader="none"/>
      </w:tabs>
    </w:pPr>
    <w:rPr>
      <w:sz w:val="24"/>
      <w:szCs w:val="24"/>
    </w:rPr>
  </w:style>
  <w:style w:type="paragraph" w:styleId="1463" w:customStyle="1">
    <w:name w:val="Char Char Char Char Char Char Char Char Char Char Char Char Char Char1"/>
    <w:basedOn w:val="891"/>
    <w:uiPriority w:val="0"/>
    <w:qFormat/>
    <w:rPr>
      <w:rFonts w:ascii="Tahoma" w:hAnsi="Tahoma"/>
      <w:sz w:val="24"/>
    </w:rPr>
  </w:style>
  <w:style w:type="paragraph" w:styleId="1464" w:customStyle="1">
    <w:name w:val="正文1"/>
    <w:basedOn w:val="891"/>
    <w:next w:val="891"/>
    <w:uiPriority w:val="0"/>
    <w:qFormat/>
    <w:pPr>
      <w:ind w:firstLine="510"/>
      <w:spacing w:before="156" w:line="360" w:lineRule="auto"/>
    </w:pPr>
    <w:rPr>
      <w:sz w:val="24"/>
    </w:rPr>
  </w:style>
  <w:style w:type="paragraph" w:styleId="1465" w:customStyle="1">
    <w:name w:val="font6"/>
    <w:basedOn w:val="891"/>
    <w:uiPriority w:val="0"/>
    <w:qFormat/>
    <w:pPr>
      <w:jc w:val="left"/>
      <w:spacing w:before="100" w:beforeAutospacing="1" w:after="100" w:afterAutospacing="1"/>
      <w:widowControl/>
    </w:pPr>
    <w:rPr>
      <w:rFonts w:ascii="宋体" w:hAnsi="宋体"/>
      <w:b/>
      <w:bCs/>
    </w:rPr>
  </w:style>
  <w:style w:type="table" w:styleId="1466" w:customStyle="1">
    <w:name w:val="Table Normal"/>
    <w:uiPriority w:val="0"/>
    <w:unhideWhenUsed/>
    <w:qFormat/>
    <w:tblPr>
      <w:tblCellMar>
        <w:left w:w="0" w:type="dxa"/>
        <w:top w:w="0" w:type="dxa"/>
        <w:right w:w="0" w:type="dxa"/>
        <w:bottom w:w="0" w:type="dxa"/>
      </w:tblCellMar>
    </w:tblPr>
  </w:style>
  <w:style w:type="paragraph" w:styleId="1467" w:customStyle="1">
    <w:name w:val="_Style 1"/>
    <w:basedOn w:val="891"/>
    <w:uiPriority w:val="34"/>
    <w:qFormat/>
    <w:pPr>
      <w:contextualSpacing/>
      <w:ind w:left="720"/>
    </w:pPr>
  </w:style>
  <w:style w:type="character" w:styleId="1468" w:customStyle="1">
    <w:name w:val="font21"/>
    <w:uiPriority w:val="0"/>
    <w:qFormat/>
    <w:rPr>
      <w:rFonts w:ascii="Times New Roman" w:hAnsi="Times New Roman" w:cs="Times New Roman"/>
      <w:color w:val="000000"/>
      <w:sz w:val="22"/>
      <w:szCs w:val="22"/>
      <w:u w:val="none"/>
    </w:rPr>
  </w:style>
  <w:style w:type="paragraph" w:styleId="1469" w:customStyle="1">
    <w:name w:val="null3"/>
    <w:uiPriority w:val="0"/>
    <w:qFormat/>
    <w:rPr>
      <w:rFonts w:hint="eastAsia" w:ascii="Calibri" w:hAnsi="Calibri" w:eastAsia="宋体" w:cs="Times New Roman"/>
      <w:lang w:val="en-US" w:eastAsia="en-US" w:bidi="ar-SA"/>
    </w:rPr>
  </w:style>
  <w:style w:type="paragraph" w:styleId="1470" w:customStyle="1">
    <w:name w:val="引言二级条标题"/>
    <w:basedOn w:val="1471"/>
    <w:next w:val="1279"/>
    <w:uiPriority w:val="99"/>
    <w:qFormat/>
    <w:pPr>
      <w:tabs>
        <w:tab w:val="left" w:pos="1140" w:leader="none"/>
      </w:tabs>
    </w:pPr>
  </w:style>
  <w:style w:type="paragraph" w:styleId="1471" w:customStyle="1">
    <w:name w:val="引言一级条标题"/>
    <w:basedOn w:val="891"/>
    <w:next w:val="1279"/>
    <w:uiPriority w:val="99"/>
    <w:qFormat/>
    <w:pPr>
      <w:widowControl/>
      <w:tabs>
        <w:tab w:val="left" w:pos="1140" w:leader="none"/>
      </w:tabs>
    </w:pPr>
    <w:rPr>
      <w:rFonts w:eastAsia="黑体"/>
      <w:b/>
      <w:bCs/>
      <w:szCs w:val="21"/>
    </w:rPr>
  </w:style>
  <w:style w:type="paragraph" w:styleId="1472" w:customStyle="1">
    <w:name w:val="_Style 30"/>
    <w:basedOn w:val="891"/>
    <w:next w:val="1403"/>
    <w:uiPriority w:val="34"/>
    <w:qFormat/>
    <w:pPr>
      <w:ind w:firstLine="420"/>
    </w:pPr>
    <w:rPr>
      <w:szCs w:val="22"/>
    </w:rPr>
  </w:style>
  <w:style w:type="paragraph" w:styleId="1473" w:customStyle="1">
    <w:name w:val="正文 A"/>
    <w:uiPriority w:val="0"/>
    <w:qFormat/>
    <w:pPr>
      <w:framePr w:wrap="around" w:vAnchor="margin" w:hAnchor="text" w:y="1"/>
    </w:pPr>
    <w:rPr>
      <w:rFonts w:ascii="Arial Unicode MS" w:hAnsi="Arial Unicode MS" w:eastAsia="Arial Unicode MS" w:cs="Arial Unicode MS"/>
      <w:color w:val="000000"/>
      <w:sz w:val="22"/>
      <w:szCs w:val="22"/>
      <w:lang w:val="zh-TW" w:eastAsia="zh-TW" w:bidi="ar-SA"/>
    </w:rPr>
  </w:style>
  <w:style w:type="paragraph" w:styleId="1474" w:customStyle="1">
    <w:name w:val="正文-LHM"/>
    <w:basedOn w:val="891"/>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475" w:customStyle="1">
    <w:name w:val="修订1"/>
    <w:uiPriority w:val="99"/>
    <w:unhideWhenUsed/>
    <w:qFormat/>
    <w:rPr>
      <w:rFonts w:ascii="Calibri" w:hAnsi="Calibri" w:eastAsia="Calibri" w:cs="宋体"/>
      <w:lang w:val="zh-CN" w:eastAsia="zh-CN" w:bidi="ar-SA"/>
    </w:rPr>
  </w:style>
  <w:style w:type="paragraph" w:styleId="1476" w:customStyle="1">
    <w:name w:val="列表段落1"/>
    <w:basedOn w:val="891"/>
    <w:uiPriority w:val="34"/>
    <w:qFormat/>
    <w:pPr>
      <w:ind w:firstLine="420"/>
    </w:pPr>
  </w:style>
  <w:style w:type="paragraph" w:styleId="1477" w:customStyle="1">
    <w:name w:val="[Normal]"/>
    <w:uiPriority w:val="0"/>
    <w:qFormat/>
    <w:rPr>
      <w:rFonts w:ascii="方正仿宋简体" w:hAnsi="方正仿宋简体" w:eastAsia="方正仿宋简体" w:cs="Courier New"/>
      <w:sz w:val="24"/>
      <w:szCs w:val="22"/>
      <w:lang w:val="zh-CN" w:eastAsia="zh-CN" w:bidi="ar-SA"/>
    </w:rPr>
  </w:style>
  <w:style w:type="paragraph" w:styleId="1478" w:customStyle="1">
    <w:name w:val="列出段落3"/>
    <w:basedOn w:val="891"/>
    <w:uiPriority w:val="34"/>
    <w:qFormat/>
    <w:pPr>
      <w:ind w:firstLine="420"/>
    </w:pPr>
    <w:rPr>
      <w:rFonts w:ascii="Times New Roman" w:hAnsi="Times New Roman" w:eastAsia="宋体" w:cs="Times New Roman"/>
    </w:rPr>
  </w:style>
  <w:style w:type="paragraph" w:styleId="1479" w:customStyle="1">
    <w:name w:val="NormalIndent1"/>
    <w:uiPriority w:val="0"/>
    <w:qFormat/>
    <w:pPr>
      <w:ind w:firstLine="420"/>
      <w:jc w:val="both"/>
    </w:pPr>
    <w:rPr>
      <w:rFonts w:ascii="Times New Roman" w:hAnsi="Times New Roman" w:eastAsia="Times New Roman" w:cs="Times New Roman"/>
      <w:color w:val="000000"/>
      <w:sz w:val="21"/>
      <w:szCs w:val="21"/>
      <w:lang w:val="en-US" w:eastAsia="zh-CN" w:bidi="ar-SA"/>
    </w:rPr>
  </w:style>
  <w:style w:type="character" w:styleId="1480" w:customStyle="1">
    <w:name w:val="font71"/>
    <w:uiPriority w:val="0"/>
    <w:qFormat/>
    <w:rPr>
      <w:rFonts w:ascii="Arial" w:hAnsi="Arial" w:cs="Arial"/>
      <w:b/>
      <w:bCs/>
      <w:color w:val="000000"/>
      <w:sz w:val="20"/>
      <w:szCs w:val="20"/>
      <w:u w:val="none"/>
    </w:rPr>
  </w:style>
  <w:style w:type="paragraph" w:styleId="1481" w:customStyle="1">
    <w:name w:val="Table Paragraph"/>
    <w:basedOn w:val="891"/>
    <w:uiPriority w:val="1"/>
    <w:qFormat/>
    <w:pPr>
      <w:jc w:val="left"/>
    </w:pPr>
    <w:rPr>
      <w:rFonts w:ascii="宋体" w:hAnsi="宋体" w:eastAsia="宋体"/>
      <w:sz w:val="22"/>
      <w:szCs w:val="22"/>
      <w:lang w:bidi="zh-CN"/>
    </w:rPr>
  </w:style>
  <w:style w:type="character" w:styleId="1482" w:customStyle="1">
    <w:name w:val="font51"/>
    <w:uiPriority w:val="0"/>
    <w:qFormat/>
    <w:rPr>
      <w:rFonts w:hint="eastAsia" w:ascii="宋体" w:hAnsi="宋体" w:eastAsia="宋体" w:cs="宋体"/>
      <w:color w:val="000000"/>
      <w:sz w:val="20"/>
      <w:szCs w:val="20"/>
      <w:u w:val="none"/>
    </w:rPr>
  </w:style>
  <w:style w:type="table" w:styleId="1483" w:customStyle="1">
    <w:name w:val="table"/>
    <w:basedOn w:val="902"/>
    <w:uiPriority w:val="0"/>
    <w:qFormat/>
    <w:tblPr/>
  </w:style>
  <w:style w:type="character" w:styleId="1484" w:customStyle="1">
    <w:name w:val="批注框文本 Char"/>
    <w:link w:val="912"/>
    <w:uiPriority w:val="99"/>
    <w:semiHidden/>
    <w:rPr>
      <w:rFonts w:ascii="Calibri" w:hAnsi="Calibri" w:eastAsia="Calibri" w:cs="宋体"/>
      <w:sz w:val="18"/>
      <w:szCs w:val="18"/>
      <w:lang w:val="zh-CN"/>
    </w:rPr>
  </w:style>
  <w:style w:type="character" w:styleId="1485" w:customStyle="1">
    <w:name w:val="批注文字 Char"/>
    <w:link w:val="906"/>
    <w:uiPriority w:val="0"/>
    <w:rPr>
      <w:rFonts w:ascii="Calibri" w:hAnsi="Calibri" w:eastAsia="Calibri" w:cs="宋体"/>
      <w:szCs w:val="22"/>
      <w:lang w:val="zh-CN"/>
    </w:rPr>
  </w:style>
  <w:style w:type="character" w:styleId="1486" w:customStyle="1">
    <w:name w:val="批注主题 Char"/>
    <w:link w:val="927"/>
    <w:uiPriority w:val="99"/>
    <w:semiHidden/>
    <w:rPr>
      <w:rFonts w:ascii="Calibri" w:hAnsi="Calibri" w:eastAsia="Calibri" w:cs="宋体"/>
      <w:b/>
      <w:bCs/>
      <w:szCs w:val="22"/>
      <w:lang w:val="zh-CN"/>
    </w:rPr>
  </w:style>
  <w:style w:type="character" w:styleId="1487" w:customStyle="1">
    <w:name w:val="普通(网站) Char"/>
    <w:link w:val="925"/>
    <w:uiPriority w:val="0"/>
    <w:qFormat/>
    <w:rPr>
      <w:rFonts w:ascii="宋体" w:hAnsi="宋体" w:eastAsia="Calibri" w:cs="宋体"/>
      <w:color w:val="000000"/>
      <w:sz w:val="24"/>
      <w:lang w:val="zh-CN"/>
    </w:rPr>
  </w:style>
  <w:style w:type="numbering" w:styleId="14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2"/>
    <customShpInfo spid="_x0000_s2051"/>
    <customShpInfo spid="_x0000_s2050"/>
    <customShpInfo spid="_x0000_s2049"/>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徐子凡</cp:lastModifiedBy>
  <cp:revision>7</cp:revision>
  <dcterms:created xsi:type="dcterms:W3CDTF">2017-09-05T12:07:00Z</dcterms:created>
  <dcterms:modified xsi:type="dcterms:W3CDTF">2026-07-23T07:58:24Z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eyJoZGlkIjoiY2U4YmMxZDZmNTM1ODM3ZWVmYmVhYWYwYzkwYzRlN2EiLCJ1c2VySWQiOiIxMDE4OTgyOTY3In0=</vt:lpwstr>
  </property>
  <property fmtid="{D5CDD505-2E9C-101B-9397-08002B2CF9AE}" pid="3" name="KSOProductBuildVer">
    <vt:lpwstr>2052-12.1.0.26895</vt:lpwstr>
  </property>
  <property fmtid="{D5CDD505-2E9C-101B-9397-08002B2CF9AE}" pid="4" name="ICV">
    <vt:lpwstr>821987DCECAA4F2A822F19957E0A2BDA_12</vt:lpwstr>
  </property>
</Properties>
</file>