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jc w:val="center"/>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pStyle w:val="894"/>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40"/>
          <w:szCs w:val="40"/>
          <w:highlight w:val="none"/>
        </w:rPr>
      </w:pPr>
      <w:r>
        <w:rPr>
          <w:rFonts w:hint="eastAsia" w:ascii="方正小标宋_GBK" w:hAnsi="方正小标宋_GBK" w:eastAsia="方正小标宋_GBK" w:cs="方正小标宋_GBK"/>
          <w:b w:val="0"/>
          <w:bCs w:val="0"/>
          <w:sz w:val="40"/>
          <w:szCs w:val="40"/>
          <w:highlight w:val="none"/>
        </w:rPr>
        <w:t xml:space="preserve">竞争性磋商文件</w:t>
      </w:r>
      <w:r>
        <w:rPr>
          <w:rFonts w:hint="eastAsia" w:ascii="方正小标宋_GBK" w:hAnsi="方正小标宋_GBK" w:eastAsia="方正小标宋_GBK" w:cs="方正小标宋_GBK"/>
          <w:b w:val="0"/>
          <w:bCs w:val="0"/>
          <w:sz w:val="40"/>
          <w:szCs w:val="40"/>
          <w:highlight w:val="none"/>
        </w:rPr>
      </w:r>
      <w:r/>
    </w:p>
    <w:p>
      <w:pPr>
        <w:pStyle w:val="894"/>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r>
      <w:r/>
    </w:p>
    <w:p>
      <w:pPr>
        <w:pStyle w:val="894"/>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项目名称：生态环境政务网络和数据安全监测与管理提升项目</w:t>
      </w:r>
      <w:r>
        <w:rPr>
          <w:rFonts w:hint="eastAsia" w:ascii="方正黑体_GBK" w:hAnsi="方正黑体_GBK" w:eastAsia="方正黑体_GBK" w:cs="方正黑体_GBK"/>
          <w:b w:val="0"/>
          <w:bCs w:val="0"/>
          <w:color w:val="000000"/>
          <w:sz w:val="28"/>
          <w:szCs w:val="28"/>
          <w:highlight w:val="none"/>
        </w:rPr>
      </w:r>
      <w:r/>
    </w:p>
    <w:p>
      <w:pPr>
        <w:pStyle w:val="894"/>
        <w:ind w:firstLine="840"/>
        <w:jc w:val="left"/>
        <w:keepLines w:val="0"/>
        <w:keepNext w:val="0"/>
        <w:pageBreakBefore w:val="0"/>
        <w:spacing w:before="120" w:after="120" w:line="400" w:lineRule="exact"/>
        <w:widowControl w:val="off"/>
        <w:rPr>
          <w:rFonts w:ascii="Arial" w:hAnsi="Arial"/>
          <w:b/>
          <w:bCs/>
          <w:color w:val="000000"/>
          <w:sz w:val="28"/>
          <w:szCs w:val="28"/>
          <w:highlight w:val="none"/>
        </w:rPr>
      </w:pPr>
      <w:r>
        <w:rPr>
          <w:rFonts w:hint="eastAsia" w:ascii="方正黑体_GBK" w:hAnsi="方正黑体_GBK" w:eastAsia="方正黑体_GBK" w:cs="方正黑体_GBK"/>
          <w:b w:val="0"/>
          <w:bCs w:val="0"/>
          <w:color w:val="000000"/>
          <w:sz w:val="28"/>
          <w:szCs w:val="28"/>
          <w:highlight w:val="none"/>
          <w:lang w:eastAsia="zh-CN"/>
        </w:rPr>
        <w:t xml:space="preserve">采购编号</w:t>
      </w:r>
      <w:r>
        <w:rPr>
          <w:rFonts w:hint="eastAsia" w:ascii="方正黑体_GBK" w:hAnsi="方正黑体_GBK" w:eastAsia="方正黑体_GBK" w:cs="方正黑体_GBK"/>
          <w:b w:val="0"/>
          <w:bCs w:val="0"/>
          <w:color w:val="000000"/>
          <w:sz w:val="28"/>
          <w:szCs w:val="28"/>
          <w:highlight w:val="none"/>
        </w:rPr>
        <w:t xml:space="preserve">：JSZC-320000-SCZX-C2026-0358</w:t>
      </w:r>
      <w:r>
        <w:rPr>
          <w:rFonts w:ascii="Arial" w:hAnsi="Arial"/>
          <w:b/>
          <w:bCs/>
          <w:color w:val="000000"/>
          <w:sz w:val="28"/>
          <w:szCs w:val="28"/>
          <w:highlight w:val="none"/>
        </w:rPr>
        <w:t xml:space="preserve">           </w:t>
      </w:r>
      <w:r>
        <w:rPr>
          <w:rFonts w:ascii="Arial" w:hAnsi="Arial"/>
          <w:b/>
          <w:bCs/>
          <w:color w:val="000000"/>
          <w:sz w:val="28"/>
          <w:szCs w:val="28"/>
          <w:highlight w:val="none"/>
        </w:rPr>
      </w:r>
      <w:r/>
    </w:p>
    <w:p>
      <w:pPr>
        <w:pStyle w:val="894"/>
        <w:ind w:firstLine="1470"/>
        <w:jc w:val="left"/>
        <w:spacing w:before="120" w:after="120" w:line="360" w:lineRule="auto"/>
        <w:rPr>
          <w:rFonts w:hint="eastAsia" w:ascii="Times New Roman" w:hAnsi="Times New Roman"/>
          <w:b/>
          <w:sz w:val="30"/>
          <w:szCs w:val="30"/>
          <w:highlight w:val="none"/>
        </w:rPr>
      </w:pPr>
      <w:r>
        <w:rPr>
          <w:rFonts w:hint="eastAsia" w:ascii="Times New Roman" w:hAnsi="Times New Roman"/>
          <w:szCs w:val="21"/>
          <w:highlight w:val="none"/>
        </w:rPr>
        <w:t xml:space="preserve">        </w:t>
      </w:r>
      <w:r>
        <w:rPr>
          <w:rFonts w:hint="eastAsia" w:ascii="Times New Roman" w:hAnsi="Times New Roman"/>
          <w:b/>
          <w:sz w:val="30"/>
          <w:szCs w:val="30"/>
          <w:highlight w:val="none"/>
        </w:rPr>
        <w:t xml:space="preserve">     </w:t>
      </w:r>
      <w:r>
        <w:rPr>
          <w:rFonts w:hint="eastAsia" w:ascii="Times New Roman" w:hAnsi="Times New Roman"/>
          <w:b/>
          <w:sz w:val="30"/>
          <w:szCs w:val="30"/>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center"/>
        <w:keepLines w:val="0"/>
        <w:keepNext w:val="0"/>
        <w:pageBreakBefore w:val="0"/>
        <w:spacing w:before="120" w:after="120" w:line="660" w:lineRule="exact"/>
        <w:widowControl w:val="off"/>
        <w:rPr>
          <w:rFonts w:hint="eastAsia" w:ascii="宋体" w:hAnsi="宋体"/>
          <w:sz w:val="24"/>
          <w:szCs w:val="24"/>
          <w:highlight w:val="none"/>
        </w:rPr>
      </w:pPr>
      <w:r>
        <w:rPr>
          <w:rFonts w:hint="eastAsia" w:ascii="宋体" w:hAnsi="宋体"/>
          <w:sz w:val="24"/>
          <w:szCs w:val="24"/>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江苏省政府采购中心</w:t>
      </w:r>
      <w:r>
        <w:rPr>
          <w:rFonts w:hint="eastAsia" w:ascii="方正黑体_GBK" w:hAnsi="方正黑体_GBK" w:eastAsia="方正黑体_GBK" w:cs="方正黑体_GBK"/>
          <w:b w:val="0"/>
          <w:bCs w:val="0"/>
          <w:sz w:val="28"/>
          <w:szCs w:val="28"/>
          <w:highlight w:val="none"/>
        </w:rPr>
      </w:r>
      <w:r/>
    </w:p>
    <w:p>
      <w:pPr>
        <w:pStyle w:val="89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lang w:val="en-US" w:eastAsia="zh-CN"/>
        </w:rPr>
        <w:t xml:space="preserve">2026</w:t>
      </w:r>
      <w:r>
        <w:rPr>
          <w:rFonts w:hint="eastAsia" w:ascii="方正黑体_GBK" w:hAnsi="方正黑体_GBK" w:eastAsia="方正黑体_GBK" w:cs="方正黑体_GBK"/>
          <w:b w:val="0"/>
          <w:bCs w:val="0"/>
          <w:sz w:val="28"/>
          <w:szCs w:val="28"/>
          <w:highlight w:val="none"/>
        </w:rPr>
        <w:t xml:space="preserve">年</w:t>
      </w:r>
      <w:r>
        <w:rPr>
          <w:rFonts w:hint="eastAsia" w:ascii="方正黑体_GBK" w:hAnsi="方正黑体_GBK" w:eastAsia="方正黑体_GBK" w:cs="方正黑体_GBK"/>
          <w:b w:val="0"/>
          <w:bCs w:val="0"/>
          <w:sz w:val="28"/>
          <w:szCs w:val="28"/>
          <w:highlight w:val="none"/>
          <w:lang w:val="en-US" w:eastAsia="zh-CN"/>
        </w:rPr>
        <w:t xml:space="preserve">8</w:t>
      </w:r>
      <w:r>
        <w:rPr>
          <w:rFonts w:hint="eastAsia" w:ascii="方正黑体_GBK" w:hAnsi="方正黑体_GBK" w:eastAsia="方正黑体_GBK" w:cs="方正黑体_GBK"/>
          <w:b w:val="0"/>
          <w:bCs w:val="0"/>
          <w:sz w:val="28"/>
          <w:szCs w:val="28"/>
          <w:highlight w:val="none"/>
        </w:rPr>
        <w:t xml:space="preserve">月</w:t>
      </w:r>
      <w:r>
        <w:rPr>
          <w:rFonts w:hint="eastAsia" w:ascii="方正黑体_GBK" w:hAnsi="方正黑体_GBK" w:eastAsia="方正黑体_GBK" w:cs="方正黑体_GBK"/>
          <w:b w:val="0"/>
          <w:bCs w:val="0"/>
          <w:sz w:val="28"/>
          <w:szCs w:val="28"/>
          <w:highlight w:val="none"/>
        </w:rPr>
      </w:r>
      <w:r/>
    </w:p>
    <w:p>
      <w:pPr>
        <w:pStyle w:val="894"/>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894"/>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ascii="Times New Roman" w:hAnsi="Times New Roman"/>
          <w:szCs w:val="21"/>
          <w:highlight w:val="none"/>
        </w:rP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方正黑体_GBK" w:hAnsi="方正黑体_GBK" w:eastAsia="方正黑体_GBK" w:cs="方正黑体_GBK"/>
          <w:b w:val="0"/>
          <w:bCs/>
          <w:sz w:val="28"/>
          <w:szCs w:val="28"/>
          <w:highlight w:val="none"/>
        </w:rPr>
        <w:t xml:space="preserve">总  目  录</w:t>
      </w:r>
      <w:r>
        <w:rPr>
          <w:rFonts w:hint="eastAsia" w:ascii="方正黑体_GBK" w:hAnsi="方正黑体_GBK" w:eastAsia="方正黑体_GBK" w:cs="方正黑体_GBK"/>
          <w:b w:val="0"/>
          <w:bCs/>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第一章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磋商邀请……………………………………</w:t>
      </w:r>
      <w:r>
        <w:rPr>
          <w:rFonts w:hint="eastAsia" w:ascii="方正黑体_GBK" w:hAnsi="方正黑体_GBK" w:eastAsia="方正黑体_GBK" w:cs="方正黑体_GBK"/>
          <w:b w:val="0"/>
          <w:bCs/>
          <w:sz w:val="28"/>
          <w:szCs w:val="28"/>
          <w:highlight w:val="none"/>
          <w:lang w:val="en-US" w:eastAsia="zh-CN"/>
        </w:rPr>
        <w:t xml:space="preserve">3</w:t>
      </w:r>
      <w:r>
        <w:rPr>
          <w:rFonts w:hint="eastAsia" w:ascii="方正黑体_GBK" w:hAnsi="方正黑体_GBK" w:eastAsia="方正黑体_GBK" w:cs="方正黑体_GBK"/>
          <w:b w:val="0"/>
          <w:bCs/>
          <w:sz w:val="28"/>
          <w:szCs w:val="28"/>
          <w:highlight w:val="none"/>
        </w:rPr>
        <w:t xml:space="preserve"> </w:t>
      </w:r>
      <w:r>
        <w:rPr>
          <w:rFonts w:hint="eastAsia" w:ascii="方正黑体_GBK" w:hAnsi="方正黑体_GBK" w:eastAsia="方正黑体_GBK" w:cs="方正黑体_GBK"/>
          <w:b w:val="0"/>
          <w:bCs/>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第二章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供应商须知…………………………………</w:t>
      </w:r>
      <w:r>
        <w:rPr>
          <w:rFonts w:hint="eastAsia" w:ascii="方正黑体_GBK" w:hAnsi="方正黑体_GBK" w:eastAsia="方正黑体_GBK" w:cs="方正黑体_GBK"/>
          <w:b w:val="0"/>
          <w:bCs/>
          <w:sz w:val="28"/>
          <w:szCs w:val="28"/>
          <w:highlight w:val="none"/>
          <w:lang w:val="en-US" w:eastAsia="zh-CN"/>
        </w:rPr>
        <w:t xml:space="preserve">6</w:t>
      </w:r>
      <w:r>
        <w:rPr>
          <w:rFonts w:hint="eastAsia" w:ascii="方正黑体_GBK" w:hAnsi="方正黑体_GBK" w:eastAsia="方正黑体_GBK" w:cs="方正黑体_GBK"/>
          <w:b w:val="0"/>
          <w:bCs/>
          <w:sz w:val="28"/>
          <w:szCs w:val="28"/>
          <w:highlight w:val="none"/>
        </w:rPr>
        <w:t xml:space="preserve">  </w:t>
      </w:r>
      <w:r>
        <w:rPr>
          <w:rFonts w:hint="eastAsia" w:ascii="方正黑体_GBK" w:hAnsi="方正黑体_GBK" w:eastAsia="方正黑体_GBK" w:cs="方正黑体_GBK"/>
          <w:b w:val="0"/>
          <w:bCs/>
          <w:sz w:val="28"/>
          <w:szCs w:val="28"/>
          <w:highlight w:val="none"/>
        </w:rPr>
      </w:r>
      <w:r/>
    </w:p>
    <w:p>
      <w:pPr>
        <w:pStyle w:val="894"/>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第三章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合同文本……………………………………</w:t>
      </w:r>
      <w:r>
        <w:rPr>
          <w:rFonts w:hint="eastAsia" w:ascii="方正黑体_GBK" w:hAnsi="方正黑体_GBK" w:eastAsia="方正黑体_GBK" w:cs="方正黑体_GBK"/>
          <w:b w:val="0"/>
          <w:bCs/>
          <w:sz w:val="28"/>
          <w:szCs w:val="28"/>
          <w:highlight w:val="none"/>
          <w:lang w:val="en-US" w:eastAsia="zh-CN"/>
        </w:rPr>
        <w:t xml:space="preserve">16</w:t>
      </w:r>
      <w:r>
        <w:rPr>
          <w:rFonts w:ascii="方正黑体_GBK" w:hAnsi="方正黑体_GBK" w:eastAsia="方正黑体_GBK" w:cs="方正黑体_GBK"/>
          <w:b w:val="0"/>
          <w:bCs/>
          <w:sz w:val="28"/>
          <w:szCs w:val="28"/>
          <w:highlight w:val="none"/>
          <w:lang w:val="en-US" w:eastAsia="zh-CN"/>
        </w:rPr>
      </w:r>
      <w:r/>
    </w:p>
    <w:p>
      <w:pPr>
        <w:pStyle w:val="894"/>
        <w:ind w:firstLine="1120"/>
        <w:jc w:val="both"/>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第四章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采购需求…………………………………</w:t>
      </w:r>
      <w:r>
        <w:rPr>
          <w:rFonts w:hint="eastAsia" w:ascii="方正黑体_GBK" w:hAnsi="方正黑体_GBK" w:eastAsia="方正黑体_GBK" w:cs="方正黑体_GBK"/>
          <w:b w:val="0"/>
          <w:bCs/>
          <w:sz w:val="28"/>
          <w:szCs w:val="28"/>
          <w:highlight w:val="none"/>
          <w:lang w:val="en-US" w:eastAsia="zh-CN"/>
        </w:rPr>
        <w:t xml:space="preserve">  18</w:t>
      </w:r>
      <w:r>
        <w:rPr>
          <w:rFonts w:ascii="方正黑体_GBK" w:hAnsi="方正黑体_GBK" w:eastAsia="方正黑体_GBK" w:cs="方正黑体_GBK"/>
          <w:b w:val="0"/>
          <w:bCs/>
          <w:sz w:val="28"/>
          <w:szCs w:val="28"/>
          <w:highlight w:val="none"/>
          <w:lang w:val="en-US" w:eastAsia="zh-CN"/>
        </w:rPr>
      </w:r>
      <w:r/>
    </w:p>
    <w:p>
      <w:pPr>
        <w:pStyle w:val="894"/>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第五章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评审方法与评审标准………………………</w:t>
      </w:r>
      <w:r>
        <w:rPr>
          <w:rFonts w:hint="eastAsia" w:ascii="方正黑体_GBK" w:hAnsi="方正黑体_GBK" w:eastAsia="方正黑体_GBK" w:cs="方正黑体_GBK"/>
          <w:b w:val="0"/>
          <w:bCs/>
          <w:sz w:val="28"/>
          <w:szCs w:val="28"/>
          <w:highlight w:val="none"/>
          <w:lang w:val="en-US" w:eastAsia="zh-CN"/>
        </w:rPr>
        <w:t xml:space="preserve">39</w:t>
      </w:r>
      <w:r>
        <w:rPr>
          <w:rFonts w:ascii="方正黑体_GBK" w:hAnsi="方正黑体_GBK" w:eastAsia="方正黑体_GBK" w:cs="方正黑体_GBK"/>
          <w:b w:val="0"/>
          <w:bCs/>
          <w:sz w:val="28"/>
          <w:szCs w:val="28"/>
          <w:highlight w:val="none"/>
          <w:lang w:val="en-US" w:eastAsia="zh-CN"/>
        </w:rPr>
      </w:r>
      <w:r/>
    </w:p>
    <w:p>
      <w:pPr>
        <w:pStyle w:val="894"/>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第六章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响应文件格式………………………………</w:t>
      </w:r>
      <w:r>
        <w:rPr>
          <w:rFonts w:hint="eastAsia" w:ascii="方正黑体_GBK" w:hAnsi="方正黑体_GBK" w:eastAsia="方正黑体_GBK" w:cs="方正黑体_GBK"/>
          <w:b w:val="0"/>
          <w:bCs/>
          <w:sz w:val="28"/>
          <w:szCs w:val="28"/>
          <w:highlight w:val="none"/>
          <w:lang w:val="en-US" w:eastAsia="zh-CN"/>
        </w:rPr>
        <w:t xml:space="preserve">46</w:t>
      </w:r>
      <w:r>
        <w:rPr>
          <w:rFonts w:ascii="方正黑体_GBK" w:hAnsi="方正黑体_GBK" w:eastAsia="方正黑体_GBK" w:cs="方正黑体_GBK"/>
          <w:b w:val="0"/>
          <w:bCs/>
          <w:sz w:val="28"/>
          <w:szCs w:val="28"/>
          <w:highlight w:val="none"/>
          <w:lang w:val="en-US" w:eastAsia="zh-CN"/>
        </w:rPr>
      </w:r>
      <w:r/>
    </w:p>
    <w:p>
      <w:pPr>
        <w:pStyle w:val="894"/>
        <w:numPr>
          <w:ilvl w:val="0"/>
          <w:numId w:val="0"/>
        </w:numPr>
        <w:spacing w:line="480" w:lineRule="auto"/>
        <w:rPr>
          <w:rFonts w:hint="eastAsia" w:ascii="黑体" w:hAnsi="Showcard Gothic" w:eastAsia="黑体"/>
          <w:sz w:val="36"/>
          <w:szCs w:val="21"/>
          <w:highlight w:val="none"/>
        </w:rPr>
        <w:outlineLvl w:val="0"/>
      </w:pPr>
      <w:r>
        <w:rPr>
          <w:rFonts w:hint="eastAsia" w:ascii="黑体" w:hAnsi="Showcard Gothic" w:eastAsia="黑体"/>
          <w:sz w:val="36"/>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bookmarkEnd w:id="0"/>
      <w:r>
        <w:rPr>
          <w:rFonts w:hint="eastAsia" w:ascii="方正黑体_GBK" w:hAnsi="方正黑体_GBK" w:eastAsia="方正黑体_GBK" w:cs="方正黑体_GBK"/>
          <w:sz w:val="28"/>
          <w:szCs w:val="28"/>
          <w:highlight w:val="none"/>
        </w:rPr>
        <w:t xml:space="preserve">第一章  磋商邀请</w:t>
      </w:r>
      <w:r>
        <w:rPr>
          <w:rFonts w:hint="eastAsia" w:ascii="方正黑体_GBK" w:hAnsi="方正黑体_GBK" w:eastAsia="方正黑体_GBK" w:cs="方正黑体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受〔江苏省生态环境监控中心〕的委托，江苏省政府采购中心就〔生态环境政务网络和数据安全监测与管理提升项目〕(JSZC-320000-SCZX-C2026-0358)项目进行竞争性磋商采购，欢迎符合条件的供应商参加磋商。</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 (生态环境政务网络和数据安全监测与管理提升项目)</w:t>
      </w:r>
      <w:r>
        <w:rPr>
          <w:rFonts w:hint="eastAsia" w:ascii="方正仿宋_GBK" w:hAnsi="方正仿宋_GBK" w:eastAsia="方正仿宋_GBK" w:cs="方正仿宋_GBK"/>
          <w:sz w:val="28"/>
          <w:szCs w:val="28"/>
          <w:highlight w:val="none"/>
        </w:rPr>
        <w:t xml:space="preserve">竞争性磋商项目的潜在供应商可在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磋商文件，并于</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w:t>
      </w:r>
      <w:r>
        <w:rPr>
          <w:rFonts w:hint="eastAsia" w:ascii="Times New Roman" w:hAnsi="Times New Roman" w:eastAsia="方正黑体_GBK" w:cs="Times New Roman"/>
          <w:b w:val="0"/>
          <w:bCs w:val="0"/>
          <w:sz w:val="28"/>
          <w:szCs w:val="28"/>
          <w:highlight w:val="none"/>
          <w:lang w:val="en-US" w:eastAsia="zh-CN"/>
        </w:rPr>
        <w:t xml:space="preserve">8</w:t>
      </w:r>
      <w:r>
        <w:rPr>
          <w:rFonts w:hint="eastAsia" w:ascii="方正仿宋_GBK" w:hAnsi="方正仿宋_GBK" w:eastAsia="方正仿宋_GBK" w:cs="方正仿宋_GBK"/>
          <w:bCs/>
          <w:sz w:val="28"/>
          <w:szCs w:val="28"/>
          <w:highlight w:val="none"/>
          <w:u w:val="none"/>
        </w:rPr>
        <w:t xml:space="preserve">月</w:t>
      </w:r>
      <w:r>
        <w:rPr>
          <w:rFonts w:hint="eastAsia" w:ascii="Times New Roman" w:hAnsi="Times New Roman" w:eastAsia="方正黑体_GBK" w:cs="Times New Roman"/>
          <w:b w:val="0"/>
          <w:bCs w:val="0"/>
          <w:sz w:val="28"/>
          <w:szCs w:val="28"/>
          <w:highlight w:val="none"/>
          <w:lang w:val="en-US" w:eastAsia="zh-CN"/>
        </w:rPr>
        <w:t xml:space="preserve">27</w:t>
      </w:r>
      <w:r>
        <w:rPr>
          <w:rFonts w:hint="eastAsia" w:ascii="方正仿宋_GBK" w:hAnsi="方正仿宋_GBK" w:eastAsia="方正仿宋_GBK" w:cs="方正仿宋_GBK"/>
          <w:bCs/>
          <w:sz w:val="28"/>
          <w:szCs w:val="28"/>
          <w:highlight w:val="none"/>
          <w:u w:val="none"/>
        </w:rPr>
        <w:t xml:space="preserve">日</w:t>
      </w:r>
      <w:r>
        <w:rPr>
          <w:rFonts w:hint="eastAsia" w:ascii="Times New Roman" w:hAnsi="Times New Roman" w:eastAsia="方正黑体_GBK" w:cs="Times New Roman"/>
          <w:b w:val="0"/>
          <w:bCs w:val="0"/>
          <w:sz w:val="28"/>
          <w:szCs w:val="28"/>
          <w:highlight w:val="none"/>
          <w:lang w:val="en-US" w:eastAsia="zh-CN"/>
        </w:rPr>
        <w:t xml:space="preserve">9</w:t>
      </w:r>
      <w:r>
        <w:rPr>
          <w:rFonts w:hint="eastAsia" w:ascii="方正仿宋_GBK" w:hAnsi="方正仿宋_GBK" w:eastAsia="方正仿宋_GBK" w:cs="方正仿宋_GBK"/>
          <w:bCs/>
          <w:sz w:val="28"/>
          <w:szCs w:val="28"/>
          <w:highlight w:val="none"/>
          <w:u w:val="none"/>
          <w:lang w:val="en-US" w:eastAsia="zh-CN"/>
        </w:rPr>
        <w:t xml:space="preserve">时</w:t>
      </w:r>
      <w:r>
        <w:rPr>
          <w:rFonts w:hint="eastAsia" w:ascii="Times New Roman" w:hAnsi="Times New Roman" w:eastAsia="方正黑体_GBK" w:cs="Times New Roman"/>
          <w:b w:val="0"/>
          <w:bCs w:val="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前递交响应文件</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6" w:name="_Toc35393790"/>
      <w:r/>
      <w:bookmarkStart w:id="7" w:name="_Toc28359002"/>
      <w:r/>
      <w:bookmarkStart w:id="8" w:name="_Toc38985263"/>
      <w:r/>
      <w:bookmarkStart w:id="9" w:name="_Toc35393621"/>
      <w:r/>
      <w:bookmarkStart w:id="10" w:name="_Toc28359079"/>
      <w:r/>
      <w:bookmarkStart w:id="11" w:name="_Hlk24379207"/>
      <w:r>
        <w:rPr>
          <w:rFonts w:hint="eastAsia" w:ascii="方正黑体_GBK" w:hAnsi="方正黑体_GBK" w:eastAsia="方正黑体_GBK" w:cs="方正黑体_GBK"/>
          <w:b w:val="0"/>
          <w:bCs w:val="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黑体_GBK" w:cs="Times New Roman"/>
          <w:b w:val="0"/>
          <w:bCs w:val="0"/>
          <w:sz w:val="28"/>
          <w:szCs w:val="28"/>
          <w:highlight w:val="none"/>
          <w:lang w:val="en-US" w:eastAsia="zh-CN"/>
        </w:rPr>
        <w:t xml:space="preserve">JSZC-320000-SCZX-C2026-0358 </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2.项目名称：生态环境政务网络和数据安全监测与管理提升项目</w:t>
      </w:r>
      <w:r>
        <w:rPr>
          <w:rFonts w:hint="eastAsia" w:ascii="方正仿宋_GBK" w:hAnsi="方正仿宋_GBK" w:eastAsia="方正仿宋_GBK" w:cs="方正仿宋_GBK"/>
          <w:sz w:val="28"/>
          <w:szCs w:val="28"/>
          <w:highlight w:val="none"/>
          <w:lang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bookmarkEnd w:id="11"/>
      <w:r>
        <w:rPr>
          <w:rFonts w:hint="eastAsia" w:ascii="方正仿宋_GBK" w:hAnsi="方正仿宋_GBK" w:eastAsia="方正仿宋_GBK" w:cs="方正仿宋_GBK"/>
          <w:sz w:val="28"/>
          <w:szCs w:val="28"/>
          <w:highlight w:val="none"/>
        </w:rPr>
        <w:t xml:space="preserve">3.预算金额</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250"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rFonts w:hint="eastAsia" w:ascii="方正仿宋_GBK" w:hAnsi="方正仿宋_GBK" w:eastAsia="方正仿宋_GBK" w:cs="方正仿宋_GBK"/>
                <w:sz w:val="28"/>
                <w:szCs w:val="28"/>
                <w:highlight w:val="none"/>
              </w:rPr>
            </w:r>
            <w:r/>
          </w:p>
        </w:tc>
      </w:tr>
      <w:tr>
        <w:trPr/>
        <w:tc>
          <w:tcPr>
            <w:tcW w:w="1154"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250" w:type="dxa"/>
            <w:vAlign w:val="top"/>
            <w:textDirection w:val="lrTb"/>
            <w:noWrap w:val="false"/>
          </w:tcPr>
          <w:p>
            <w:pPr>
              <w:pStyle w:val="894"/>
              <w:ind w:firstLine="1120"/>
              <w:jc w:val="both"/>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177.7</w:t>
            </w:r>
            <w:r>
              <w:rPr>
                <w:rFonts w:ascii="方正仿宋_GBK" w:hAnsi="方正仿宋_GBK" w:eastAsia="方正仿宋_GBK" w:cs="方正仿宋_GBK"/>
                <w:sz w:val="28"/>
                <w:szCs w:val="28"/>
                <w:highlight w:val="none"/>
                <w:lang w:val="en-US" w:eastAsia="zh-CN"/>
              </w:rPr>
            </w:r>
            <w:r/>
          </w:p>
        </w:tc>
      </w:tr>
    </w:tbl>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4.最高限价</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894"/>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rPr>
                <w:rFonts w:hint="eastAsia" w:ascii="方正仿宋_GBK" w:hAnsi="方正仿宋_GBK" w:eastAsia="方正仿宋_GBK" w:cs="方正仿宋_GBK"/>
                <w:color w:val="000000"/>
                <w:sz w:val="28"/>
                <w:szCs w:val="28"/>
                <w:highlight w:val="none"/>
              </w:rPr>
            </w:r>
            <w:r/>
          </w:p>
          <w:p>
            <w:pPr>
              <w:pStyle w:val="894"/>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rFonts w:hint="eastAsia" w:ascii="方正仿宋_GBK" w:hAnsi="方正仿宋_GBK" w:eastAsia="方正仿宋_GBK" w:cs="方正仿宋_GBK"/>
                <w:color w:val="000000"/>
                <w:sz w:val="28"/>
                <w:szCs w:val="28"/>
                <w:highlight w:val="none"/>
              </w:rPr>
            </w:r>
            <w:r/>
          </w:p>
        </w:tc>
      </w:tr>
      <w:tr>
        <w:trPr/>
        <w:tc>
          <w:tcPr>
            <w:tcW w:w="1148"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894"/>
              <w:jc w:val="center"/>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177.7</w:t>
            </w:r>
            <w:r>
              <w:rPr>
                <w:rFonts w:ascii="方正仿宋_GBK" w:hAnsi="方正仿宋_GBK" w:eastAsia="方正仿宋_GBK" w:cs="方正仿宋_GBK"/>
                <w:color w:val="000000"/>
                <w:sz w:val="28"/>
                <w:szCs w:val="28"/>
                <w:highlight w:val="none"/>
                <w:lang w:val="en-US" w:eastAsia="zh-CN"/>
              </w:rPr>
            </w:r>
            <w:r/>
          </w:p>
        </w:tc>
      </w:tr>
    </w:tbl>
    <w:p>
      <w:pPr>
        <w:pStyle w:val="894"/>
        <w:ind w:firstLine="560"/>
        <w:keepLines w:val="0"/>
        <w:keepNext w:val="0"/>
        <w:pageBreakBefore w:val="0"/>
        <w:spacing w:line="400" w:lineRule="exact"/>
        <w:widowControl w:val="off"/>
        <w:rPr>
          <w:rFonts w:ascii="宋体" w:hAnsi="宋体"/>
          <w:sz w:val="28"/>
          <w:szCs w:val="28"/>
          <w:highlight w:val="none"/>
          <w:u w:val="singl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.采购需求（简介）：详细内容见本磋商文件第四章</w:t>
      </w:r>
      <w:r>
        <w:rPr>
          <w:rFonts w:ascii="宋体" w:hAnsi="宋体"/>
          <w:sz w:val="28"/>
          <w:szCs w:val="28"/>
          <w:highlight w:val="none"/>
          <w:u w:val="singl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.合同履行期限：详细内容见本磋商文件第四章</w:t>
      </w:r>
      <w:r>
        <w:rPr>
          <w:rFonts w:hint="eastAsia" w:ascii="方正仿宋_GBK" w:hAnsi="方正仿宋_GBK" w:eastAsia="方正仿宋_GBK" w:cs="方正仿宋_GBK"/>
          <w:sz w:val="28"/>
          <w:szCs w:val="28"/>
          <w:highlight w:val="none"/>
          <w:lang w:eastAsia="zh-CN"/>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12" w:name="_Toc35393791"/>
      <w:r/>
      <w:bookmarkStart w:id="13" w:name="_Toc38985264"/>
      <w:r/>
      <w:bookmarkStart w:id="14" w:name="_Toc35393622"/>
      <w:r/>
      <w:bookmarkStart w:id="15" w:name="_Toc28359080"/>
      <w:r/>
      <w:bookmarkStart w:id="16" w:name="_Toc28359003"/>
      <w:r>
        <w:rPr>
          <w:rFonts w:hint="eastAsia" w:ascii="方正黑体_GBK" w:hAnsi="方正黑体_GBK" w:eastAsia="方正黑体_GBK" w:cs="方正黑体_GBK"/>
          <w:b w:val="0"/>
          <w:bCs w:val="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bookmarkStart w:id="17" w:name="_Toc28359004"/>
      <w:r/>
      <w:bookmarkStart w:id="18" w:name="_Toc38985265"/>
      <w:r/>
      <w:bookmarkStart w:id="19" w:name="_Toc35393792"/>
      <w:r/>
      <w:bookmarkStart w:id="20" w:name="_Toc35393623"/>
      <w:r/>
      <w:bookmarkStart w:id="21" w:name="_Toc28359081"/>
      <w:r>
        <w:rPr>
          <w:rFonts w:hint="eastAsia" w:ascii="方正楷体_GBK" w:hAnsi="方正楷体_GBK" w:eastAsia="方正楷体_GBK" w:cs="方正楷体_GBK"/>
          <w:sz w:val="28"/>
          <w:szCs w:val="28"/>
          <w:highlight w:val="none"/>
        </w:rPr>
        <w:t xml:space="preserve">（一）通用资格要求</w:t>
      </w:r>
      <w:r>
        <w:rPr>
          <w:rFonts w:hint="eastAsia" w:ascii="方正楷体_GBK" w:hAnsi="方正楷体_GBK" w:eastAsia="方正楷体_GBK" w:cs="方正楷体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法人或者其他组织的营业执照等证明文件，自然人的身份证明；</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1.2上一年度的财务状况报告（成立不满一年无需提供）；</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1.4具备履行合同所必需的设备和专业技术能力的书面声明；</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ascii="Times New Roman" w:hAnsi="Times New Roman" w:eastAsia="方正黑体_GBK" w:cs="Times New Roman"/>
          <w:b w:val="0"/>
          <w:bCs w:val="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4.联合体参与磋商</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666"/>
        <w:gridCol w:w="3383"/>
      </w:tblGrid>
      <w:tr>
        <w:trPr/>
        <w:tc>
          <w:tcPr>
            <w:tcW w:w="80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666"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是否接受联合体参与磋商</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w:t>
            </w:r>
            <w:r>
              <w:rPr>
                <w:rFonts w:hint="eastAsia" w:ascii="方正仿宋_GBK" w:hAnsi="方正仿宋_GBK" w:eastAsia="方正仿宋_GBK" w:cs="方正仿宋_GBK"/>
                <w:sz w:val="28"/>
                <w:szCs w:val="28"/>
                <w:highlight w:val="none"/>
              </w:rPr>
            </w:r>
            <w:r/>
          </w:p>
        </w:tc>
        <w:tc>
          <w:tcPr>
            <w:tcW w:w="3383"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数量上限</w:t>
            </w:r>
            <w:r>
              <w:rPr>
                <w:rFonts w:hint="eastAsia" w:ascii="方正仿宋_GBK" w:hAnsi="方正仿宋_GBK" w:eastAsia="方正仿宋_GBK" w:cs="方正仿宋_GBK"/>
                <w:sz w:val="28"/>
                <w:szCs w:val="28"/>
                <w:highlight w:val="none"/>
              </w:rPr>
            </w:r>
            <w:r/>
          </w:p>
        </w:tc>
      </w:tr>
      <w:tr>
        <w:trPr/>
        <w:tc>
          <w:tcPr>
            <w:tcW w:w="80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666"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3383"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r>
            <w:r/>
          </w:p>
        </w:tc>
      </w:tr>
    </w:tbl>
    <w:p>
      <w:pPr>
        <w:pStyle w:val="894"/>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 xml:space="preserve">（二）本项目的特定资格要求</w:t>
      </w:r>
      <w:r>
        <w:rPr>
          <w:rFonts w:hint="eastAsia" w:ascii="方正楷体_GBK" w:hAnsi="方正楷体_GBK" w:eastAsia="方正楷体_GBK" w:cs="方正楷体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37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8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7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Times New Roman" w:hAnsi="Times New Roman" w:eastAsia="方正黑体_GBK" w:cs="Times New Roman"/>
                <w:b w:val="0"/>
                <w:bCs w:val="0"/>
                <w:sz w:val="28"/>
                <w:szCs w:val="28"/>
                <w:highlight w:val="none"/>
                <w:lang w:val="en-US" w:eastAsia="zh-CN"/>
              </w:rPr>
              <w:t xml:space="preserve">/</w:t>
            </w:r>
            <w:r>
              <w:rPr>
                <w:rFonts w:hint="eastAsia" w:ascii="方正仿宋_GBK" w:hAnsi="方正仿宋_GBK" w:eastAsia="方正仿宋_GBK" w:cs="方正仿宋_GBK"/>
                <w:sz w:val="28"/>
                <w:szCs w:val="28"/>
                <w:highlight w:val="none"/>
                <w:lang w:eastAsia="zh-CN"/>
              </w:rPr>
            </w:r>
            <w:r/>
          </w:p>
        </w:tc>
      </w:tr>
    </w:tbl>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三、获取磋商文件</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1.时间：自磋商文件公告发布之日起5个工作日。</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2.方式：在“江苏政府采购网”自行免费下载磋商文件。</w:t>
      </w:r>
      <w:r>
        <w:rPr>
          <w:rFonts w:hint="eastAsia" w:ascii="方正仿宋_GBK" w:hAnsi="方正仿宋_GBK" w:eastAsia="方正仿宋_GBK" w:cs="方正仿宋_GBK"/>
          <w:sz w:val="28"/>
          <w:szCs w:val="28"/>
          <w:highlight w:val="none"/>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ascii="方正黑体_GBK" w:hAnsi="方正黑体_GBK" w:eastAsia="方正黑体_GBK" w:cs="方正黑体_GBK"/>
          <w:b w:val="0"/>
          <w:bCs w:val="0"/>
          <w:sz w:val="28"/>
          <w:szCs w:val="28"/>
          <w:highlight w:val="none"/>
        </w:rPr>
        <w:t xml:space="preserve">四、提交</w:t>
      </w:r>
      <w:bookmarkEnd w:id="22"/>
      <w:r/>
      <w:bookmarkEnd w:id="23"/>
      <w:r>
        <w:rPr>
          <w:rFonts w:hint="eastAsia" w:ascii="方正黑体_GBK" w:hAnsi="方正黑体_GBK" w:eastAsia="方正黑体_GBK" w:cs="方正黑体_GBK"/>
          <w:b w:val="0"/>
          <w:bCs w:val="0"/>
          <w:sz w:val="28"/>
          <w:szCs w:val="28"/>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highlight w:val="none"/>
        </w:rPr>
        <w:t xml:space="preserve">、开启时间及地点</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u w:val="none"/>
        </w:rPr>
        <w:t xml:space="preserve">1.</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w:t>
      </w:r>
      <w:r>
        <w:rPr>
          <w:rFonts w:hint="eastAsia" w:ascii="Times New Roman" w:hAnsi="Times New Roman" w:eastAsia="方正黑体_GBK" w:cs="Times New Roman"/>
          <w:b w:val="0"/>
          <w:bCs w:val="0"/>
          <w:sz w:val="28"/>
          <w:szCs w:val="28"/>
          <w:highlight w:val="none"/>
          <w:lang w:val="en-US" w:eastAsia="zh-CN"/>
        </w:rPr>
        <w:t xml:space="preserve">8</w:t>
      </w:r>
      <w:r>
        <w:rPr>
          <w:rFonts w:hint="eastAsia" w:ascii="方正仿宋_GBK" w:hAnsi="方正仿宋_GBK" w:eastAsia="方正仿宋_GBK" w:cs="方正仿宋_GBK"/>
          <w:bCs/>
          <w:sz w:val="28"/>
          <w:szCs w:val="28"/>
          <w:highlight w:val="none"/>
          <w:u w:val="none"/>
        </w:rPr>
        <w:t xml:space="preserve">月</w:t>
      </w:r>
      <w:r>
        <w:rPr>
          <w:rFonts w:hint="eastAsia" w:ascii="Times New Roman" w:hAnsi="Times New Roman" w:eastAsia="方正黑体_GBK" w:cs="Times New Roman"/>
          <w:b w:val="0"/>
          <w:bCs w:val="0"/>
          <w:sz w:val="28"/>
          <w:szCs w:val="28"/>
          <w:highlight w:val="none"/>
          <w:lang w:val="en-US" w:eastAsia="zh-CN"/>
        </w:rPr>
        <w:t xml:space="preserve">27</w:t>
      </w:r>
      <w:r>
        <w:rPr>
          <w:rFonts w:hint="eastAsia" w:ascii="方正仿宋_GBK" w:hAnsi="方正仿宋_GBK" w:eastAsia="方正仿宋_GBK" w:cs="方正仿宋_GBK"/>
          <w:bCs/>
          <w:sz w:val="28"/>
          <w:szCs w:val="28"/>
          <w:highlight w:val="none"/>
          <w:u w:val="none"/>
        </w:rPr>
        <w:t xml:space="preserve">日</w:t>
      </w:r>
      <w:r>
        <w:rPr>
          <w:rFonts w:hint="eastAsia" w:ascii="Times New Roman" w:hAnsi="Times New Roman" w:eastAsia="方正黑体_GBK" w:cs="Times New Roman"/>
          <w:b w:val="0"/>
          <w:bCs w:val="0"/>
          <w:sz w:val="28"/>
          <w:szCs w:val="28"/>
          <w:highlight w:val="none"/>
          <w:lang w:val="en-US" w:eastAsia="zh-CN"/>
        </w:rPr>
        <w:t xml:space="preserve">9</w:t>
      </w:r>
      <w:r>
        <w:rPr>
          <w:rFonts w:hint="eastAsia" w:ascii="方正仿宋_GBK" w:hAnsi="方正仿宋_GBK" w:eastAsia="方正仿宋_GBK" w:cs="方正仿宋_GBK"/>
          <w:bCs/>
          <w:sz w:val="28"/>
          <w:szCs w:val="28"/>
          <w:highlight w:val="none"/>
          <w:u w:val="none"/>
          <w:lang w:val="en-US" w:eastAsia="zh-CN"/>
        </w:rPr>
        <w:t xml:space="preserve">时</w:t>
      </w:r>
      <w:r>
        <w:rPr>
          <w:rFonts w:hint="eastAsia" w:ascii="Times New Roman" w:hAnsi="Times New Roman" w:eastAsia="方正黑体_GBK" w:cs="Times New Roman"/>
          <w:b w:val="0"/>
          <w:bCs w:val="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rFonts w:hint="eastAsia" w:ascii="方正仿宋_GBK" w:hAnsi="方正仿宋_GBK" w:eastAsia="方正仿宋_GBK" w:cs="方正仿宋_GBK"/>
          <w:sz w:val="28"/>
          <w:szCs w:val="28"/>
          <w:highlight w:val="none"/>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27" w:name="_Toc28359007"/>
      <w:r/>
      <w:bookmarkStart w:id="28" w:name="_Toc35393625"/>
      <w:r/>
      <w:bookmarkStart w:id="29" w:name="_Toc38985267"/>
      <w:r/>
      <w:bookmarkStart w:id="30" w:name="_Toc35393794"/>
      <w:r/>
      <w:bookmarkStart w:id="31" w:name="_Toc28359084"/>
      <w:r>
        <w:rPr>
          <w:rFonts w:hint="eastAsia" w:ascii="方正黑体_GBK" w:hAnsi="方正黑体_GBK" w:eastAsia="方正黑体_GBK" w:cs="方正黑体_GBK"/>
          <w:b w:val="0"/>
          <w:bCs w:val="0"/>
          <w:sz w:val="28"/>
          <w:szCs w:val="28"/>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bookmarkStart w:id="32" w:name="_Toc35393626"/>
      <w:r/>
      <w:bookmarkStart w:id="33" w:name="_Toc38985268"/>
      <w:r/>
      <w:bookmarkStart w:id="34" w:name="_Toc35393795"/>
      <w:r>
        <w:rPr>
          <w:rFonts w:hint="eastAsia" w:ascii="方正仿宋_GBK" w:hAnsi="方正仿宋_GBK" w:eastAsia="方正仿宋_GBK" w:cs="方正仿宋_GBK"/>
          <w:sz w:val="28"/>
          <w:szCs w:val="28"/>
          <w:highlight w:val="none"/>
        </w:rPr>
        <w:t xml:space="preserve">磋商公告期限为自本公告发布之日起3个工作日，</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磋商文件公告期限为自本公告发布之日起5个工作日。</w:t>
      </w:r>
      <w:r>
        <w:rPr>
          <w:rFonts w:hint="eastAsia" w:ascii="方正仿宋_GBK" w:hAnsi="方正仿宋_GBK" w:eastAsia="方正仿宋_GBK" w:cs="方正仿宋_GBK"/>
          <w:sz w:val="28"/>
          <w:szCs w:val="28"/>
          <w:highlight w:val="none"/>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lang w:eastAsia="zh-CN"/>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35" w:name="_Toc28359085"/>
      <w:r/>
      <w:bookmarkStart w:id="36" w:name="_Toc28359008"/>
      <w:r/>
      <w:bookmarkStart w:id="37" w:name="_Toc38985269"/>
      <w:r/>
      <w:bookmarkStart w:id="38" w:name="_Toc35393627"/>
      <w:r/>
      <w:bookmarkStart w:id="39" w:name="_Toc35393796"/>
      <w:r>
        <w:rPr>
          <w:rFonts w:hint="eastAsia" w:ascii="方正黑体_GBK" w:hAnsi="方正黑体_GBK" w:eastAsia="方正黑体_GBK" w:cs="方正黑体_GBK"/>
          <w:b w:val="0"/>
          <w:bCs w:val="0"/>
          <w:sz w:val="28"/>
          <w:szCs w:val="28"/>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highlight w:val="none"/>
        </w:rPr>
      </w:r>
      <w:r/>
    </w:p>
    <w:p>
      <w:pPr>
        <w:pStyle w:val="894"/>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仿宋" w:hAnsi="仿宋" w:eastAsia="仿宋" w:cs="宋体"/>
          <w:sz w:val="28"/>
          <w:szCs w:val="28"/>
          <w:highlight w:val="none"/>
        </w:rPr>
        <w:t xml:space="preserve">　　</w:t>
      </w:r>
      <w:bookmarkStart w:id="40" w:name="_Toc28359087"/>
      <w:r/>
      <w:bookmarkStart w:id="41" w:name="_Toc28359010"/>
      <w:r>
        <w:rPr>
          <w:rFonts w:hint="eastAsia" w:ascii="仿宋" w:hAnsi="仿宋" w:eastAsia="仿宋" w:cs="宋体"/>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1.采购人信息</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 称：</w:t>
      </w:r>
      <w:r>
        <w:rPr>
          <w:rFonts w:hint="eastAsia" w:ascii="方正仿宋_GBK" w:hAnsi="方正仿宋_GBK" w:eastAsia="方正仿宋_GBK" w:cs="方正仿宋_GBK"/>
          <w:sz w:val="28"/>
          <w:szCs w:val="28"/>
          <w:highlight w:val="none"/>
          <w:u w:val="single"/>
        </w:rPr>
        <w:t xml:space="preserve">江苏省生态环境监控中心　</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址：</w:t>
      </w:r>
      <w:r>
        <w:rPr>
          <w:rFonts w:hint="eastAsia" w:ascii="方正仿宋_GBK" w:hAnsi="方正仿宋_GBK" w:eastAsia="方正仿宋_GBK" w:cs="方正仿宋_GBK"/>
          <w:sz w:val="28"/>
          <w:szCs w:val="28"/>
          <w:highlight w:val="none"/>
          <w:u w:val="single"/>
        </w:rPr>
        <w:t xml:space="preserve">南京市鼓楼区江东北路176号　　</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杨老师        </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　025-58527064</w:t>
      </w:r>
      <w:bookmarkStart w:id="42" w:name="_Toc28359009"/>
      <w:r/>
      <w:bookmarkStart w:id="43" w:name="_Toc28359086"/>
      <w:r>
        <w:rPr>
          <w:rFonts w:hint="eastAsia" w:ascii="方正仿宋_GBK" w:hAnsi="方正仿宋_GBK" w:eastAsia="方正仿宋_GBK" w:cs="方正仿宋_GBK"/>
          <w:sz w:val="28"/>
          <w:szCs w:val="28"/>
          <w:highlight w:val="none"/>
          <w:u w:val="single"/>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2.江苏省政府采购中心信息</w:t>
      </w:r>
      <w:bookmarkEnd w:id="42"/>
      <w:r/>
      <w:bookmarkEnd w:id="43"/>
      <w:r>
        <w:rPr>
          <w:rFonts w:hint="eastAsia" w:ascii="方正仿宋_GBK" w:hAnsi="方正仿宋_GBK" w:eastAsia="方正仿宋_GBK" w:cs="方正仿宋_GBK"/>
          <w:sz w:val="28"/>
          <w:szCs w:val="28"/>
          <w:highlight w:val="none"/>
        </w:rPr>
      </w:r>
      <w:r/>
    </w:p>
    <w:p>
      <w:pPr>
        <w:pStyle w:val="894"/>
        <w:ind w:firstLine="560"/>
        <w:jc w:val="left"/>
        <w:spacing w:line="400" w:lineRule="exact"/>
        <w:rPr>
          <w:rFonts w:ascii="方正仿宋_GBK" w:hAnsi="方正仿宋_GBK" w:eastAsia="方正仿宋_GBK" w:cs="方正仿宋_GBK"/>
          <w:color w:val="000000"/>
          <w:sz w:val="28"/>
          <w:szCs w:val="28"/>
          <w:highlight w:val="none"/>
        </w:rPr>
      </w:pPr>
      <w:r/>
      <w:bookmarkEnd w:id="40"/>
      <w:r/>
      <w:bookmarkEnd w:id="41"/>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894"/>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 </w:t>
      </w:r>
      <w:r>
        <w:rPr>
          <w:rFonts w:hint="eastAsia" w:ascii="方正仿宋_GBK" w:hAnsi="方正仿宋_GBK" w:eastAsia="方正仿宋_GBK" w:cs="方正仿宋_GBK"/>
          <w:color w:val="000000"/>
          <w:sz w:val="28"/>
          <w:szCs w:val="28"/>
          <w:highlight w:val="none"/>
          <w:u w:val="single"/>
        </w:rPr>
        <w:t xml:space="preserve">时富荣、许滢 </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894"/>
        <w:ind w:firstLine="560"/>
        <w:keepLines/>
        <w:keepNext/>
        <w:pageBreakBefore w:val="0"/>
        <w:spacing w:before="156" w:after="156" w:line="400" w:lineRule="exact"/>
        <w:widowControl w:val="off"/>
        <w:rPr>
          <w:rFonts w:hint="eastAsia" w:ascii="方正仿宋_GBK" w:hAnsi="方正仿宋_GBK" w:eastAsia="方正仿宋_GBK" w:cs="方正仿宋_GBK"/>
          <w:color w:val="000000"/>
          <w:sz w:val="28"/>
          <w:szCs w:val="28"/>
          <w:highlight w:val="none"/>
        </w:rPr>
        <w:outlineLvl w:val="2"/>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025-83668559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八、其他</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highlight w:val="none"/>
        </w:rPr>
        <w:t xml:space="preserve">http://www.ccgp-jiangsu.gov.cn/jiangsu/zlxz/ee/ee3a4bc5a3454aa2b0d9312230633ce9.html。</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本次磋商不收取磋商保证金。</w:t>
      </w:r>
      <w:r>
        <w:rPr>
          <w:rFonts w:hint="eastAsia" w:ascii="方正仿宋_GBK" w:hAnsi="方正仿宋_GBK" w:eastAsia="方正仿宋_GBK" w:cs="方正仿宋_GBK"/>
          <w:sz w:val="28"/>
          <w:szCs w:val="28"/>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1"/>
      <w:r/>
      <w:bookmarkEnd w:id="2"/>
      <w:r/>
      <w:bookmarkEnd w:id="3"/>
      <w:r/>
      <w:bookmarkEnd w:id="4"/>
      <w:r/>
      <w:bookmarkEnd w:id="5"/>
      <w:r/>
      <w:bookmarkStart w:id="44" w:name="_Toc120614211"/>
      <w:r/>
      <w:bookmarkStart w:id="45" w:name="_Toc20823275"/>
      <w:r/>
      <w:bookmarkStart w:id="46" w:name="_Toc513029203"/>
      <w:r/>
      <w:bookmarkStart w:id="47" w:name="_Toc120614214"/>
      <w:r/>
      <w:bookmarkStart w:id="48" w:name="_Toc16938519"/>
      <w:r>
        <w:rPr>
          <w:rFonts w:hint="eastAsia" w:ascii="方正黑体_GBK" w:hAnsi="方正黑体_GBK" w:eastAsia="方正黑体_GBK" w:cs="方正黑体_GBK"/>
          <w:b w:val="0"/>
          <w:bCs w:val="0"/>
          <w:sz w:val="28"/>
          <w:szCs w:val="28"/>
          <w:highlight w:val="none"/>
        </w:rPr>
        <w:t xml:space="preserve">第二章  </w:t>
      </w:r>
      <w:bookmarkEnd w:id="44"/>
      <w:r>
        <w:rPr>
          <w:rFonts w:hint="eastAsia" w:ascii="方正黑体_GBK" w:hAnsi="方正黑体_GBK" w:eastAsia="方正黑体_GBK" w:cs="方正黑体_GBK"/>
          <w:b w:val="0"/>
          <w:bCs w:val="0"/>
          <w:sz w:val="28"/>
          <w:szCs w:val="28"/>
          <w:highlight w:val="none"/>
        </w:rPr>
        <w:t xml:space="preserve">供应商须知</w:t>
      </w:r>
      <w:r>
        <w:rPr>
          <w:rFonts w:hint="eastAsia" w:ascii="方正黑体_GBK" w:hAnsi="方正黑体_GBK" w:eastAsia="方正黑体_GBK" w:cs="方正黑体_GBK"/>
          <w:b w:val="0"/>
          <w:bCs w:val="0"/>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45"/>
      <w:r/>
      <w:bookmarkEnd w:id="46"/>
      <w:r/>
      <w:bookmarkEnd w:id="47"/>
      <w:r/>
      <w:bookmarkEnd w:id="48"/>
      <w:r/>
      <w:bookmarkStart w:id="49" w:name="_Toc120614215"/>
      <w:r/>
      <w:bookmarkStart w:id="50" w:name="_Toc16938525"/>
      <w:r/>
      <w:bookmarkStart w:id="51" w:name="_Toc513029209"/>
      <w:r/>
      <w:bookmarkStart w:id="52" w:name="_Toc20823281"/>
      <w:r>
        <w:rPr>
          <w:rFonts w:hint="eastAsia" w:ascii="方正黑体_GBK" w:hAnsi="方正黑体_GBK" w:eastAsia="方正黑体_GBK" w:cs="方正黑体_GBK"/>
          <w:b w:val="0"/>
          <w:bCs w:val="0"/>
          <w:sz w:val="28"/>
          <w:szCs w:val="28"/>
          <w:highlight w:val="none"/>
        </w:rPr>
        <w:t xml:space="preserve">一、总则</w:t>
      </w:r>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方正仿宋_GBK" w:hAnsi="方正仿宋_GBK" w:eastAsia="方正仿宋_GBK" w:cs="方正仿宋_GBK"/>
          <w:bCs/>
          <w:sz w:val="28"/>
          <w:szCs w:val="28"/>
          <w:highlight w:val="none"/>
        </w:rPr>
        <w:t xml:space="preserve">1</w:t>
      </w:r>
      <w:bookmarkEnd w:id="54"/>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采购方式</w:t>
      </w:r>
      <w:bookmarkEnd w:id="55"/>
      <w:r/>
      <w:bookmarkEnd w:id="56"/>
      <w:r/>
      <w:bookmarkEnd w:id="57"/>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58" w:name="_Toc20823277"/>
      <w:r/>
      <w:bookmarkStart w:id="59" w:name="_Toc513029205"/>
      <w:r/>
      <w:bookmarkStart w:id="60" w:name="_Toc16938521"/>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合格的</w:t>
      </w:r>
      <w:bookmarkEnd w:id="58"/>
      <w:r/>
      <w:bookmarkEnd w:id="59"/>
      <w:r/>
      <w:bookmarkEnd w:id="60"/>
      <w:r>
        <w:rPr>
          <w:rFonts w:hint="eastAsia" w:ascii="方正仿宋_GBK" w:hAnsi="方正仿宋_GBK" w:eastAsia="方正仿宋_GBK" w:cs="方正仿宋_GBK"/>
          <w:bCs/>
          <w:sz w:val="28"/>
          <w:szCs w:val="28"/>
          <w:highlight w:val="none"/>
        </w:rPr>
        <w:t xml:space="preserve">供应商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2.1满足磋商公告中供应商资格要求的规定。</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满足本磋商文件实质性要求的规定。</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eastAsia="zh-CN"/>
        </w:rPr>
      </w:pPr>
      <w:r/>
      <w:bookmarkStart w:id="61" w:name="_Toc20823278"/>
      <w:r/>
      <w:bookmarkStart w:id="62" w:name="_Toc513029206"/>
      <w:r/>
      <w:bookmarkStart w:id="63" w:name="_Toc16938522"/>
      <w:r/>
      <w:bookmarkStart w:id="64" w:name="_Toc20823279"/>
      <w:r/>
      <w:bookmarkStart w:id="65" w:name="_Toc513029207"/>
      <w:r/>
      <w:bookmarkStart w:id="66" w:name="_Toc16938523"/>
      <w:r/>
      <w:bookmarkStart w:id="67" w:name="_Toc462564067"/>
      <w:r>
        <w:rPr>
          <w:rFonts w:hint="eastAsia" w:ascii="方正仿宋_GBK" w:hAnsi="方正仿宋_GBK" w:eastAsia="方正仿宋_GBK" w:cs="方正仿宋_GBK"/>
          <w:bCs/>
          <w:sz w:val="28"/>
          <w:szCs w:val="28"/>
          <w:highlight w:val="none"/>
        </w:rPr>
        <w:t xml:space="preserve">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适用法律</w:t>
      </w:r>
      <w:bookmarkEnd w:id="61"/>
      <w:r/>
      <w:bookmarkEnd w:id="62"/>
      <w:r/>
      <w:bookmarkEnd w:id="63"/>
      <w:r>
        <w:rPr>
          <w:rFonts w:hint="eastAsia" w:ascii="方正仿宋_GBK" w:hAnsi="方正仿宋_GBK" w:eastAsia="方正仿宋_GBK" w:cs="方正仿宋_GBK"/>
          <w:bCs/>
          <w:sz w:val="28"/>
          <w:szCs w:val="28"/>
          <w:highlight w:val="none"/>
          <w:lang w:eastAsia="zh-CN"/>
        </w:rPr>
        <w:t xml:space="preserve">和标准</w:t>
      </w:r>
      <w:r>
        <w:rPr>
          <w:rFonts w:hint="eastAsia" w:ascii="方正仿宋_GBK" w:hAnsi="方正仿宋_GBK" w:eastAsia="方正仿宋_GBK" w:cs="方正仿宋_GBK"/>
          <w:bCs/>
          <w:sz w:val="28"/>
          <w:szCs w:val="28"/>
          <w:highlight w:val="none"/>
          <w:lang w:eastAsia="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3.1本次</w:t>
      </w:r>
      <w:r>
        <w:rPr>
          <w:rFonts w:hint="eastAsia" w:ascii="方正仿宋_GBK" w:hAnsi="方正仿宋_GBK" w:eastAsia="方正仿宋_GBK" w:cs="方正仿宋_GBK"/>
          <w:bCs/>
          <w:sz w:val="28"/>
          <w:szCs w:val="28"/>
          <w:highlight w:val="none"/>
          <w:lang w:eastAsia="zh-CN"/>
        </w:rPr>
        <w:t xml:space="preserve">磋商</w:t>
      </w:r>
      <w:r>
        <w:rPr>
          <w:rFonts w:hint="eastAsia" w:ascii="方正仿宋_GBK" w:hAnsi="方正仿宋_GBK" w:eastAsia="方正仿宋_GBK" w:cs="方正仿宋_GBK"/>
          <w:bCs/>
          <w:sz w:val="28"/>
          <w:szCs w:val="28"/>
          <w:highlight w:val="none"/>
        </w:rPr>
        <w:t xml:space="preserve">及由此产生的合同受中华人民共和国有关的法律法规制约和保护。</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highlight w:val="none"/>
          <w:lang w:val="en-US" w:eastAsia="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4.2本次磋商采购中心和采购人不收取标书工本费与成交服务费。</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磋商文件的约束力</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49"/>
      <w:r/>
      <w:bookmarkEnd w:id="50"/>
      <w:r/>
      <w:bookmarkEnd w:id="51"/>
      <w:r/>
      <w:bookmarkEnd w:id="52"/>
      <w:r/>
      <w:bookmarkStart w:id="68" w:name="_Toc20823285"/>
      <w:r/>
      <w:bookmarkStart w:id="69" w:name="_Toc16938529"/>
      <w:r/>
      <w:bookmarkStart w:id="70" w:name="_Toc120614216"/>
      <w:r/>
      <w:bookmarkStart w:id="71" w:name="_Toc462564072"/>
      <w:r/>
      <w:bookmarkStart w:id="72" w:name="_Toc513029213"/>
      <w:r>
        <w:rPr>
          <w:rFonts w:hint="eastAsia" w:ascii="方正黑体_GBK" w:hAnsi="方正黑体_GBK" w:eastAsia="方正黑体_GBK" w:cs="方正黑体_GBK"/>
          <w:b w:val="0"/>
          <w:bCs w:val="0"/>
          <w:sz w:val="28"/>
          <w:szCs w:val="28"/>
          <w:highlight w:val="none"/>
        </w:rPr>
        <w:t xml:space="preserve">二、磋商文件</w:t>
      </w:r>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73" w:name="_Toc20823282"/>
      <w:r/>
      <w:bookmarkStart w:id="74" w:name="_Toc16938526"/>
      <w:r/>
      <w:bookmarkStart w:id="75" w:name="_Toc513029210"/>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磋商文件构成</w:t>
      </w:r>
      <w:bookmarkEnd w:id="73"/>
      <w:r/>
      <w:bookmarkEnd w:id="74"/>
      <w:r/>
      <w:bookmarkEnd w:id="75"/>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6.1磋商文件由以下部分组成：</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（1）磋商邀请</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（2）供应商须知</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（5）评审方法与评审标准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（6）响应文件格式</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请仔细检查磋商文件是否齐全，如有缺漏请立即与采购中心联系解决。</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76" w:name="_Toc16938528"/>
      <w:r/>
      <w:bookmarkStart w:id="77" w:name="_Toc513029212"/>
      <w:r/>
      <w:bookmarkStart w:id="78" w:name="_Toc462564071"/>
      <w:r/>
      <w:bookmarkStart w:id="79" w:name="_Toc20823284"/>
      <w:r>
        <w:rPr>
          <w:rFonts w:hint="eastAsia" w:ascii="方正仿宋_GBK" w:hAnsi="方正仿宋_GBK" w:eastAsia="方正仿宋_GBK" w:cs="方正仿宋_GBK"/>
          <w:bCs/>
          <w:sz w:val="28"/>
          <w:szCs w:val="28"/>
          <w:highlight w:val="none"/>
        </w:rPr>
        <w:t xml:space="preserve">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68"/>
      <w:r/>
      <w:bookmarkEnd w:id="69"/>
      <w:r/>
      <w:bookmarkEnd w:id="70"/>
      <w:r/>
      <w:bookmarkEnd w:id="71"/>
      <w:r/>
      <w:bookmarkEnd w:id="72"/>
      <w:r/>
      <w:bookmarkStart w:id="80" w:name="_Hlt26954739"/>
      <w:r/>
      <w:bookmarkEnd w:id="80"/>
      <w:r/>
      <w:bookmarkStart w:id="81" w:name="_Hlt26954852"/>
      <w:r/>
      <w:bookmarkEnd w:id="81"/>
      <w:r/>
      <w:bookmarkStart w:id="82" w:name="_Toc16938530"/>
      <w:r/>
      <w:bookmarkStart w:id="83" w:name="_Toc462564073"/>
      <w:r/>
      <w:bookmarkStart w:id="84" w:name="_Toc513029214"/>
      <w:r/>
      <w:bookmarkStart w:id="85" w:name="_Toc20823286"/>
      <w:r/>
      <w:bookmarkStart w:id="86" w:name="_Toc16938540"/>
      <w:r/>
      <w:bookmarkStart w:id="87" w:name="_Toc20823296"/>
      <w:r/>
      <w:bookmarkStart w:id="88" w:name="_Toc513029224"/>
      <w:r/>
      <w:bookmarkStart w:id="89" w:name="_Toc120614217"/>
      <w:r>
        <w:rPr>
          <w:rFonts w:hint="eastAsia" w:ascii="方正黑体_GBK" w:hAnsi="方正黑体_GBK" w:eastAsia="方正黑体_GBK" w:cs="方正黑体_GBK"/>
          <w:b w:val="0"/>
          <w:bCs w:val="0"/>
          <w:sz w:val="28"/>
          <w:szCs w:val="28"/>
          <w:highlight w:val="none"/>
        </w:rPr>
        <w:t xml:space="preserve">三、响应文件的编制</w:t>
      </w:r>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90" w:name="_Toc20823287"/>
      <w:r/>
      <w:bookmarkStart w:id="91" w:name="_Toc462564074"/>
      <w:r/>
      <w:bookmarkStart w:id="92" w:name="_Toc16938531"/>
      <w:r/>
      <w:bookmarkStart w:id="93" w:name="_Toc513029215"/>
      <w:r>
        <w:rPr>
          <w:rFonts w:hint="eastAsia" w:ascii="方正仿宋_GBK" w:hAnsi="方正仿宋_GBK" w:eastAsia="方正仿宋_GBK" w:cs="方正仿宋_GBK"/>
          <w:bCs/>
          <w:sz w:val="28"/>
          <w:szCs w:val="28"/>
          <w:highlight w:val="none"/>
        </w:rPr>
        <w:t xml:space="preserve">9</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94" w:name="_Toc49090509"/>
      <w:r/>
      <w:bookmarkStart w:id="95" w:name="_Toc14577357"/>
      <w:r/>
      <w:bookmarkStart w:id="96" w:name="_Toc49090507"/>
      <w:r/>
      <w:bookmarkStart w:id="97" w:name="_Toc513029216"/>
      <w:r/>
      <w:bookmarkStart w:id="98" w:name="_Toc14577354"/>
      <w:r/>
      <w:bookmarkStart w:id="99" w:name="_Toc14577355"/>
      <w:r/>
      <w:bookmarkStart w:id="100" w:name="_Toc49090508"/>
      <w:r/>
      <w:bookmarkStart w:id="101" w:name="_Hlt26668975"/>
      <w:r/>
      <w:bookmarkEnd w:id="101"/>
      <w:r/>
      <w:bookmarkStart w:id="102" w:name="_Hlt26670360"/>
      <w:r/>
      <w:bookmarkEnd w:id="102"/>
      <w:r/>
      <w:bookmarkStart w:id="103" w:name="_Hlt26954838"/>
      <w:r/>
      <w:bookmarkEnd w:id="103"/>
      <w:r/>
      <w:bookmarkStart w:id="104" w:name="_Toc513029219"/>
      <w:r>
        <w:rPr>
          <w:rFonts w:hint="eastAsia" w:ascii="方正仿宋_GBK" w:hAnsi="方正仿宋_GBK" w:eastAsia="方正仿宋_GBK" w:cs="方正仿宋_GBK"/>
          <w:bCs/>
          <w:sz w:val="28"/>
          <w:szCs w:val="28"/>
          <w:highlight w:val="none"/>
        </w:rPr>
        <w:t xml:space="preserve">10</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96"/>
      <w:r/>
      <w:bookmarkEnd w:id="97"/>
      <w:r/>
      <w:bookmarkEnd w:id="98"/>
      <w:r>
        <w:rPr>
          <w:rFonts w:hint="eastAsia" w:ascii="方正仿宋_GBK" w:hAnsi="方正仿宋_GBK" w:eastAsia="方正仿宋_GBK" w:cs="方正仿宋_GBK"/>
          <w:bCs/>
          <w:sz w:val="28"/>
          <w:szCs w:val="28"/>
          <w:highlight w:val="none"/>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99"/>
      <w:r/>
      <w:bookmarkEnd w:id="100"/>
      <w:r>
        <w:rPr>
          <w:rFonts w:hint="eastAsia" w:ascii="方正仿宋_GBK" w:hAnsi="方正仿宋_GBK" w:eastAsia="方正仿宋_GBK" w:cs="方正仿宋_GBK"/>
          <w:bCs/>
          <w:sz w:val="28"/>
          <w:szCs w:val="28"/>
          <w:highlight w:val="none"/>
        </w:rPr>
        <w:t xml:space="preserve">11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分项报价表</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11.1供应商应按照磋商文件规定格式填报分项报价表。</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05" w:name="_Hlt26954846"/>
      <w:r/>
      <w:bookmarkEnd w:id="105"/>
      <w:r/>
      <w:bookmarkStart w:id="106" w:name="_Hlt26670482"/>
      <w:r/>
      <w:bookmarkEnd w:id="106"/>
      <w:r/>
      <w:bookmarkStart w:id="107" w:name="_Hlt26954731"/>
      <w:r/>
      <w:bookmarkEnd w:id="107"/>
      <w:r/>
      <w:bookmarkStart w:id="108" w:name="_Hlt26954848"/>
      <w:r/>
      <w:bookmarkEnd w:id="108"/>
      <w:r/>
      <w:bookmarkStart w:id="109" w:name="_Hlt26670486"/>
      <w:r/>
      <w:bookmarkEnd w:id="109"/>
      <w:r>
        <w:rPr>
          <w:rFonts w:hint="eastAsia" w:ascii="方正仿宋_GBK" w:hAnsi="方正仿宋_GBK" w:eastAsia="方正仿宋_GBK" w:cs="方正仿宋_GBK"/>
          <w:bCs/>
          <w:sz w:val="28"/>
          <w:szCs w:val="28"/>
          <w:highlight w:val="none"/>
        </w:rPr>
        <w:t xml:space="preserve">12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技术要求响应及偏离表、商务要求响应及偏离表</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highlight w:val="none"/>
          <w:lang w:val="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highlight w:val="none"/>
          <w:lang w:val="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服务承诺、培训计划、人员安排及其他</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13.2供应商需根据磋商文件要求提供培训计划。</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13.3供应商需根据磋商文件要求提供</w:t>
      </w:r>
      <w:r>
        <w:rPr>
          <w:rFonts w:hint="eastAsia" w:ascii="方正仿宋_GBK" w:hAnsi="方正仿宋_GBK" w:eastAsia="方正仿宋_GBK" w:cs="方正仿宋_GBK"/>
          <w:bCs/>
          <w:sz w:val="28"/>
          <w:szCs w:val="28"/>
          <w:highlight w:val="none"/>
          <w:lang w:val="zh-CN"/>
        </w:rPr>
        <w:t xml:space="preserve">磋商响应标的的主要组成部分、功能设计、实现思路及关键技术等。</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10" w:name="_Toc49090510"/>
      <w:r/>
      <w:bookmarkStart w:id="111" w:name="_Toc14577359"/>
      <w:r>
        <w:rPr>
          <w:rFonts w:hint="eastAsia" w:ascii="方正仿宋_GBK" w:hAnsi="方正仿宋_GBK" w:eastAsia="方正仿宋_GBK" w:cs="方正仿宋_GBK"/>
          <w:bCs/>
          <w:sz w:val="28"/>
          <w:szCs w:val="28"/>
          <w:highlight w:val="none"/>
        </w:rPr>
        <w:t xml:space="preserve">14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磋商响应函</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14.1供应商应按照磋商文件中提供的格式完整、正确填写磋商响应函。</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highlight w:val="none"/>
        </w:rPr>
        <w:t xml:space="preserve">15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磋商有效期</w:t>
      </w:r>
      <w:bookmarkEnd w:id="112"/>
      <w:r/>
      <w:bookmarkEnd w:id="113"/>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磋商有效期的延长</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86"/>
      <w:r/>
      <w:bookmarkEnd w:id="87"/>
      <w:r/>
      <w:bookmarkEnd w:id="88"/>
      <w:r/>
      <w:bookmarkEnd w:id="89"/>
      <w:r/>
      <w:bookmarkStart w:id="114" w:name="_Toc513029229"/>
      <w:r/>
      <w:bookmarkStart w:id="115" w:name="_Toc120614218"/>
      <w:r/>
      <w:bookmarkStart w:id="116" w:name="_Toc16938545"/>
      <w:r/>
      <w:bookmarkStart w:id="117" w:name="_Toc20823301"/>
      <w:r>
        <w:rPr>
          <w:rFonts w:hint="eastAsia" w:ascii="方正黑体_GBK" w:hAnsi="方正黑体_GBK" w:eastAsia="方正黑体_GBK" w:cs="方正黑体_GBK"/>
          <w:b w:val="0"/>
          <w:bCs w:val="0"/>
          <w:sz w:val="28"/>
          <w:szCs w:val="28"/>
          <w:highlight w:val="none"/>
        </w:rPr>
        <w:t xml:space="preserve">四、响应文件的递交</w:t>
      </w:r>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18" w:name="_Toc16938541"/>
      <w:r/>
      <w:bookmarkStart w:id="119" w:name="_Toc513029225"/>
      <w:r/>
      <w:bookmarkStart w:id="120" w:name="_Toc462564084"/>
      <w:r/>
      <w:bookmarkStart w:id="121" w:name="_Toc20823297"/>
      <w:r>
        <w:rPr>
          <w:rFonts w:hint="eastAsia" w:ascii="方正仿宋_GBK" w:hAnsi="方正仿宋_GBK" w:eastAsia="方正仿宋_GBK" w:cs="方正仿宋_GBK"/>
          <w:bCs/>
          <w:sz w:val="28"/>
          <w:szCs w:val="28"/>
          <w:highlight w:val="none"/>
        </w:rPr>
        <w:t xml:space="preserve">17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highlight w:val="none"/>
        </w:rPr>
        <w:t xml:space="preserve">响应文件的递交</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17.1供应商应当按照《操作手册》规定，在提交响应文件截止时间前制作并上传电子响应文件。</w:t>
      </w:r>
      <w:bookmarkStart w:id="122" w:name="_Toc16938542"/>
      <w:r/>
      <w:bookmarkStart w:id="123" w:name="_Toc20823298"/>
      <w:r/>
      <w:bookmarkStart w:id="124" w:name="_Toc513029226"/>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提交响应文件截止时间</w:t>
      </w:r>
      <w:bookmarkEnd w:id="122"/>
      <w:r/>
      <w:bookmarkEnd w:id="123"/>
      <w:r/>
      <w:bookmarkEnd w:id="124"/>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25" w:name="_Toc513029227"/>
      <w:r/>
      <w:bookmarkStart w:id="126" w:name="_Toc20823299"/>
      <w:r/>
      <w:bookmarkStart w:id="127" w:name="_Toc16938543"/>
      <w:r>
        <w:rPr>
          <w:rFonts w:hint="eastAsia" w:ascii="方正仿宋_GBK" w:hAnsi="方正仿宋_GBK" w:eastAsia="方正仿宋_GBK" w:cs="方正仿宋_GBK"/>
          <w:bCs/>
          <w:sz w:val="28"/>
          <w:szCs w:val="28"/>
          <w:highlight w:val="none"/>
        </w:rPr>
        <w:t xml:space="preserve">19</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响应文件</w:t>
      </w:r>
      <w:bookmarkEnd w:id="125"/>
      <w:r/>
      <w:bookmarkEnd w:id="126"/>
      <w:r/>
      <w:bookmarkEnd w:id="127"/>
      <w:r>
        <w:rPr>
          <w:rFonts w:hint="eastAsia" w:ascii="方正仿宋_GBK" w:hAnsi="方正仿宋_GBK" w:eastAsia="方正仿宋_GBK" w:cs="方正仿宋_GBK"/>
          <w:bCs/>
          <w:sz w:val="28"/>
          <w:szCs w:val="28"/>
          <w:highlight w:val="none"/>
        </w:rPr>
        <w:t xml:space="preserve">的拒收</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28" w:name="_Toc513029228"/>
      <w:r/>
      <w:bookmarkStart w:id="129" w:name="_Toc16938544"/>
      <w:r/>
      <w:bookmarkStart w:id="130" w:name="_Toc20823300"/>
      <w:r>
        <w:rPr>
          <w:rFonts w:hint="eastAsia" w:ascii="方正仿宋_GBK" w:hAnsi="方正仿宋_GBK" w:eastAsia="方正仿宋_GBK" w:cs="方正仿宋_GBK"/>
          <w:bCs/>
          <w:sz w:val="28"/>
          <w:szCs w:val="28"/>
          <w:highlight w:val="none"/>
        </w:rPr>
        <w:t xml:space="preserve">20</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响应文件的撤回和修改</w:t>
      </w:r>
      <w:bookmarkEnd w:id="128"/>
      <w:r/>
      <w:bookmarkEnd w:id="129"/>
      <w:r/>
      <w:bookmarkEnd w:id="130"/>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20.1响应文件的撤回</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20.1.1 电子响应文件的撤回</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20.1.2供应商撤回电子响应文件，则认为其不再参与本项目磋商活动。</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20.2响应文件的修改</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rPr>
          <w:rFonts w:hint="eastAsia" w:ascii="方正黑体_GBK" w:hAnsi="方正黑体_GBK" w:eastAsia="方正黑体_GBK" w:cs="方正黑体_GBK"/>
          <w:b w:val="0"/>
          <w:bCs w:val="0"/>
          <w:sz w:val="28"/>
          <w:szCs w:val="28"/>
          <w:highlight w:val="none"/>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31" w:name="_Toc513029230"/>
      <w:r/>
      <w:bookmarkStart w:id="132" w:name="_Toc16938546"/>
      <w:r/>
      <w:bookmarkStart w:id="133" w:name="_Toc20823302"/>
      <w:r/>
      <w:bookmarkStart w:id="134" w:name="_Toc513029232"/>
      <w:r/>
      <w:bookmarkStart w:id="135" w:name="_Toc16938548"/>
      <w:r/>
      <w:bookmarkStart w:id="136" w:name="_Toc20823304"/>
      <w:r>
        <w:rPr>
          <w:rFonts w:hint="eastAsia" w:ascii="方正仿宋_GBK" w:hAnsi="方正仿宋_GBK" w:eastAsia="方正仿宋_GBK" w:cs="方正仿宋_GBK"/>
          <w:bCs/>
          <w:sz w:val="28"/>
          <w:szCs w:val="28"/>
          <w:highlight w:val="none"/>
        </w:rPr>
        <w:t xml:space="preserve">21</w:t>
      </w:r>
      <w:bookmarkEnd w:id="131"/>
      <w:r/>
      <w:bookmarkEnd w:id="132"/>
      <w:r/>
      <w:bookmarkEnd w:id="133"/>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响应文件解密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37" w:name="_Toc20823303"/>
      <w:r/>
      <w:bookmarkStart w:id="138" w:name="_Toc16938547"/>
      <w:r/>
      <w:bookmarkStart w:id="139" w:name="_Toc513029231"/>
      <w:r>
        <w:rPr>
          <w:rFonts w:hint="eastAsia" w:ascii="方正仿宋_GBK" w:hAnsi="方正仿宋_GBK" w:eastAsia="方正仿宋_GBK" w:cs="方正仿宋_GBK"/>
          <w:bCs/>
          <w:sz w:val="28"/>
          <w:szCs w:val="28"/>
          <w:highlight w:val="none"/>
        </w:rPr>
        <w:t xml:space="preserve">22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磋商小组</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22.2磋商小组独立工作，负责评审所有响应文件并确定成交侯选人。</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评审过程的保密与公正</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137"/>
      <w:r/>
      <w:bookmarkEnd w:id="138"/>
      <w:r/>
      <w:bookmarkEnd w:id="139"/>
      <w:r>
        <w:rPr>
          <w:rFonts w:hint="eastAsia" w:ascii="方正仿宋_GBK" w:hAnsi="方正仿宋_GBK" w:eastAsia="方正仿宋_GBK" w:cs="方正仿宋_GBK"/>
          <w:bCs/>
          <w:sz w:val="28"/>
          <w:szCs w:val="28"/>
          <w:highlight w:val="none"/>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23.3在项目评审期间，采购中心将设专门人员与供应商联系。</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134"/>
      <w:r/>
      <w:bookmarkEnd w:id="135"/>
      <w:r/>
      <w:bookmarkEnd w:id="136"/>
      <w:r/>
      <w:bookmarkStart w:id="140" w:name="_Toc16938549"/>
      <w:r/>
      <w:bookmarkStart w:id="141" w:name="_Toc513029233"/>
      <w:r/>
      <w:bookmarkStart w:id="142" w:name="_Toc20823305"/>
      <w:r>
        <w:rPr>
          <w:rFonts w:hint="eastAsia" w:ascii="方正仿宋_GBK" w:hAnsi="方正仿宋_GBK" w:eastAsia="方正仿宋_GBK" w:cs="方正仿宋_GBK"/>
          <w:bCs/>
          <w:sz w:val="28"/>
          <w:szCs w:val="28"/>
          <w:highlight w:val="none"/>
        </w:rPr>
        <w:t xml:space="preserve">24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评审过程中的的澄清</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磋商小组并非对每个供应商都作澄清要求。</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highlight w:val="none"/>
        </w:rPr>
      </w:r>
      <w:r/>
    </w:p>
    <w:p>
      <w:pPr>
        <w:pStyle w:val="894"/>
        <w:ind w:firstLine="560"/>
        <w:keepLines/>
        <w:keepNext/>
        <w:pageBreakBefore w:val="0"/>
        <w:spacing w:line="400" w:lineRule="exact"/>
        <w:widowControl w:val="off"/>
        <w:rPr>
          <w:rFonts w:hint="eastAsia" w:ascii="方正仿宋_GBK" w:hAnsi="方正仿宋_GBK" w:eastAsia="方正仿宋_GBK" w:cs="方正仿宋_GBK"/>
          <w:sz w:val="28"/>
          <w:szCs w:val="28"/>
          <w:highlight w:val="none"/>
        </w:rPr>
        <w:outlineLvl w:val="3"/>
      </w:pPr>
      <w:r>
        <w:rPr>
          <w:rFonts w:hint="eastAsia" w:ascii="方正仿宋_GBK" w:hAnsi="方正仿宋_GBK" w:eastAsia="方正仿宋_GBK" w:cs="方正仿宋_GBK"/>
          <w:sz w:val="28"/>
          <w:szCs w:val="28"/>
          <w:highlight w:val="none"/>
        </w:rPr>
        <w:t xml:space="preserve">25</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对响应文件的审</w:t>
      </w:r>
      <w:bookmarkEnd w:id="140"/>
      <w:r/>
      <w:bookmarkEnd w:id="141"/>
      <w:r/>
      <w:bookmarkEnd w:id="142"/>
      <w:r>
        <w:rPr>
          <w:rFonts w:hint="eastAsia" w:ascii="方正仿宋_GBK" w:hAnsi="方正仿宋_GBK" w:eastAsia="方正仿宋_GBK" w:cs="方正仿宋_GBK"/>
          <w:sz w:val="28"/>
          <w:szCs w:val="28"/>
          <w:highlight w:val="none"/>
        </w:rPr>
        <w:t xml:space="preserve">查</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25.1</w:t>
      </w:r>
      <w:r>
        <w:rPr>
          <w:rFonts w:hint="eastAsia" w:ascii="方正仿宋_GBK" w:hAnsi="方正仿宋_GBK" w:eastAsia="方正仿宋_GBK" w:cs="方正仿宋_GBK"/>
          <w:bCs/>
          <w:sz w:val="28"/>
          <w:szCs w:val="28"/>
          <w:highlight w:val="none"/>
        </w:rPr>
        <w:t xml:space="preserve">响应文件审查分为资格审查和符合性审查。</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磋商小组在进行资格审查的同时，将在“信用中国”网站（</w:t>
      </w:r>
      <w:r>
        <w:rPr>
          <w:rFonts w:ascii="Times New Roman" w:hAnsi="Times New Roman" w:eastAsia="方正仿宋_GBK" w:cs="Times New Roman"/>
          <w:bCs/>
          <w:sz w:val="28"/>
          <w:szCs w:val="28"/>
          <w:highlight w:val="none"/>
        </w:rPr>
        <w:t xml:space="preserve">www.creditchina.gov.cn</w:t>
      </w:r>
      <w:r>
        <w:rPr>
          <w:rFonts w:hint="eastAsia" w:ascii="方正仿宋_GBK" w:hAnsi="方正仿宋_GBK" w:eastAsia="方正仿宋_GBK" w:cs="方正仿宋_GBK"/>
          <w:bCs/>
          <w:sz w:val="28"/>
          <w:szCs w:val="28"/>
          <w:highlight w:val="none"/>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25.1.3 未通过资格审查或符合性审查的供应商，磋商小组将在</w:t>
      </w:r>
      <w:r>
        <w:rPr>
          <w:rFonts w:hint="eastAsia" w:ascii="方正仿宋_GBK" w:hAnsi="方正仿宋_GBK" w:eastAsia="方正仿宋_GBK" w:cs="方正仿宋_GBK"/>
          <w:sz w:val="28"/>
          <w:szCs w:val="28"/>
          <w:highlight w:val="none"/>
        </w:rPr>
        <w:t xml:space="preserve">苏采云系统</w:t>
      </w:r>
      <w:r>
        <w:rPr>
          <w:rFonts w:hint="eastAsia" w:ascii="方正仿宋_GBK" w:hAnsi="方正仿宋_GBK" w:eastAsia="方正仿宋_GBK" w:cs="方正仿宋_GBK"/>
          <w:bCs/>
          <w:sz w:val="28"/>
          <w:szCs w:val="28"/>
          <w:highlight w:val="none"/>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25.3未实质性响应磋商文件的情形</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25.3.1供应商在</w:t>
      </w:r>
      <w:r>
        <w:rPr>
          <w:rFonts w:hint="eastAsia" w:ascii="方正仿宋_GBK" w:hAnsi="方正仿宋_GBK" w:eastAsia="方正仿宋_GBK" w:cs="方正仿宋_GBK"/>
          <w:sz w:val="28"/>
          <w:szCs w:val="28"/>
          <w:highlight w:val="none"/>
        </w:rPr>
        <w:t xml:space="preserve">苏采云系统</w:t>
      </w:r>
      <w:r>
        <w:rPr>
          <w:rFonts w:hint="eastAsia" w:ascii="方正仿宋_GBK" w:hAnsi="方正仿宋_GBK" w:eastAsia="方正仿宋_GBK" w:cs="方正仿宋_GBK"/>
          <w:bCs/>
          <w:sz w:val="28"/>
          <w:szCs w:val="28"/>
          <w:highlight w:val="none"/>
        </w:rPr>
        <w:t xml:space="preserve">规定的时间内未成功解密电子响应文件的。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25.3.2供应商未按照磋商文件要求上传电子响应文件的。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25.3.4供应商不具备磋商文件中规定资格要求的。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25.3.5供应商的最后报价超过了采购预算。</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25.3.6不符合磋商文件中规定的实质性要求的</w:t>
      </w:r>
      <w:r>
        <w:rPr>
          <w:rFonts w:hint="eastAsia" w:ascii="方正仿宋_GBK" w:hAnsi="方正仿宋_GBK" w:eastAsia="方正仿宋_GBK" w:cs="方正仿宋_GBK"/>
          <w:b/>
          <w:bCs/>
          <w:sz w:val="28"/>
          <w:szCs w:val="28"/>
          <w:highlight w:val="none"/>
        </w:rPr>
        <w:t xml:space="preserve">（本磋商文件中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w:t>
      </w:r>
      <w:r>
        <w:rPr>
          <w:rFonts w:hint="eastAsia" w:ascii="方正仿宋_GBK" w:hAnsi="方正仿宋_GBK" w:eastAsia="方正仿宋_GBK" w:cs="方正仿宋_GBK"/>
          <w:b/>
          <w:bCs/>
          <w:sz w:val="28"/>
          <w:szCs w:val="28"/>
          <w:highlight w:val="none"/>
          <w:lang w:eastAsia="zh-CN"/>
        </w:rPr>
        <w:t xml:space="preserve">加*号条款</w:t>
      </w:r>
      <w:r>
        <w:rPr>
          <w:rFonts w:hint="eastAsia" w:ascii="方正仿宋_GBK" w:hAnsi="方正仿宋_GBK" w:eastAsia="方正仿宋_GBK" w:cs="方正仿宋_GBK"/>
          <w:b/>
          <w:bCs/>
          <w:sz w:val="28"/>
          <w:szCs w:val="28"/>
          <w:highlight w:val="none"/>
        </w:rPr>
        <w:t xml:space="preserve">为实质性要求）。</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25.3.7供应商被 “信用中国”网站（</w:t>
      </w:r>
      <w:r>
        <w:rPr>
          <w:rFonts w:ascii="Times New Roman" w:hAnsi="Times New Roman" w:eastAsia="方正仿宋_GBK" w:cs="Times New Roman"/>
          <w:bCs/>
          <w:sz w:val="28"/>
          <w:szCs w:val="28"/>
          <w:highlight w:val="none"/>
        </w:rPr>
        <w:t xml:space="preserve">www.creditchina.gov.cn</w:t>
      </w:r>
      <w:r>
        <w:rPr>
          <w:rFonts w:hint="eastAsia" w:ascii="方正仿宋_GBK" w:hAnsi="方正仿宋_GBK" w:eastAsia="方正仿宋_GBK" w:cs="方正仿宋_GBK"/>
          <w:bCs/>
          <w:sz w:val="28"/>
          <w:szCs w:val="28"/>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25.3.8 响应文件含有采购人不能接受的附加条件的。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25.3.9响应文件未按照磋商文件要求加盖CA电子公章的。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25.3.10 </w:t>
      </w:r>
      <w:r>
        <w:rPr>
          <w:rFonts w:hint="eastAsia" w:ascii="方正仿宋_GBK" w:hAnsi="方正仿宋_GBK" w:eastAsia="方正仿宋_GBK" w:cs="方正仿宋_GBK"/>
          <w:bCs/>
          <w:sz w:val="28"/>
          <w:szCs w:val="28"/>
          <w:highlight w:val="none"/>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highlight w:val="none"/>
          <w:lang w:val="en-US" w:eastAsia="zh-CN"/>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25.4未实质性响应磋商文件的响应文件按无效响应处理。</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25.5</w:t>
      </w:r>
      <w:r>
        <w:rPr>
          <w:rFonts w:hint="eastAsia" w:ascii="方正仿宋_GBK" w:hAnsi="方正仿宋_GBK" w:eastAsia="方正仿宋_GBK" w:cs="方正仿宋_GBK"/>
          <w:bCs/>
          <w:sz w:val="28"/>
          <w:szCs w:val="28"/>
          <w:highlight w:val="none"/>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highlight w:val="none"/>
          <w:lang w:eastAsia="zh-CN"/>
        </w:rPr>
        <w:t xml:space="preserve">符</w:t>
      </w:r>
      <w:r>
        <w:rPr>
          <w:rFonts w:hint="eastAsia" w:ascii="方正仿宋_GBK" w:hAnsi="方正仿宋_GBK" w:eastAsia="方正仿宋_GBK" w:cs="方正仿宋_GBK"/>
          <w:bCs/>
          <w:sz w:val="28"/>
          <w:szCs w:val="28"/>
          <w:highlight w:val="none"/>
        </w:rPr>
        <w:t xml:space="preserve">合要求的偏离或保留而使其成为实质性响应的文件。</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bookmarkStart w:id="143" w:name="_Toc513029234"/>
      <w:r/>
      <w:bookmarkStart w:id="144" w:name="_Toc16938550"/>
      <w:r/>
      <w:bookmarkStart w:id="145" w:name="_Toc20823306"/>
      <w:r>
        <w:rPr>
          <w:rFonts w:hint="eastAsia" w:ascii="方正仿宋_GBK" w:hAnsi="方正仿宋_GBK" w:eastAsia="方正仿宋_GBK" w:cs="方正仿宋_GBK"/>
          <w:sz w:val="28"/>
          <w:szCs w:val="28"/>
          <w:highlight w:val="none"/>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highlight w:val="none"/>
        </w:rPr>
      </w:r>
      <w:r/>
    </w:p>
    <w:p>
      <w:pPr>
        <w:pStyle w:val="894"/>
        <w:ind w:firstLine="560"/>
        <w:keepLines/>
        <w:keepNext/>
        <w:pageBreakBefore w:val="0"/>
        <w:spacing w:line="400" w:lineRule="exact"/>
        <w:widowControl w:val="off"/>
        <w:rPr>
          <w:rFonts w:hint="eastAsia" w:ascii="方正仿宋_GBK" w:hAnsi="方正仿宋_GBK" w:eastAsia="方正仿宋_GBK" w:cs="方正仿宋_GBK"/>
          <w:sz w:val="28"/>
          <w:szCs w:val="28"/>
          <w:highlight w:val="none"/>
        </w:rPr>
        <w:outlineLvl w:val="3"/>
      </w:pPr>
      <w:r>
        <w:rPr>
          <w:rFonts w:hint="eastAsia" w:ascii="方正仿宋_GBK" w:hAnsi="方正仿宋_GBK" w:eastAsia="方正仿宋_GBK" w:cs="方正仿宋_GBK"/>
          <w:sz w:val="28"/>
          <w:szCs w:val="28"/>
          <w:highlight w:val="none"/>
        </w:rPr>
        <w:t xml:space="preserve">26</w:t>
      </w:r>
      <w:bookmarkEnd w:id="143"/>
      <w:r/>
      <w:bookmarkEnd w:id="144"/>
      <w:r/>
      <w:bookmarkEnd w:id="145"/>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磋商程序及评审方法</w:t>
      </w:r>
      <w:r>
        <w:rPr>
          <w:rFonts w:hint="eastAsia" w:ascii="方正仿宋_GBK" w:hAnsi="方正仿宋_GBK" w:eastAsia="方正仿宋_GBK" w:cs="方正仿宋_GBK"/>
          <w:sz w:val="28"/>
          <w:szCs w:val="28"/>
          <w:highlight w:val="none"/>
          <w:lang w:eastAsia="zh-CN"/>
        </w:rPr>
        <w:t xml:space="preserve">与</w:t>
      </w:r>
      <w:r>
        <w:rPr>
          <w:rFonts w:hint="eastAsia" w:ascii="方正仿宋_GBK" w:hAnsi="方正仿宋_GBK" w:eastAsia="方正仿宋_GBK" w:cs="方正仿宋_GBK"/>
          <w:sz w:val="28"/>
          <w:szCs w:val="28"/>
          <w:highlight w:val="none"/>
        </w:rPr>
        <w:t xml:space="preserve">评审标准</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26.1磋商程序</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1.4</w:t>
      </w:r>
      <w:r>
        <w:rPr>
          <w:rFonts w:hint="eastAsia" w:ascii="方正仿宋_GBK" w:hAnsi="方正仿宋_GBK" w:eastAsia="方正仿宋_GBK" w:cs="方正仿宋_GBK"/>
          <w:sz w:val="28"/>
          <w:szCs w:val="28"/>
          <w:highlight w:val="none"/>
        </w:rPr>
        <w:t xml:space="preserve"> 异常低价</w:t>
      </w:r>
      <w:r>
        <w:rPr>
          <w:rFonts w:hint="eastAsia" w:ascii="方正仿宋_GBK" w:hAnsi="方正仿宋_GBK" w:eastAsia="方正仿宋_GBK" w:cs="方正仿宋_GBK"/>
          <w:sz w:val="28"/>
          <w:szCs w:val="28"/>
          <w:highlight w:val="none"/>
          <w:lang w:eastAsia="zh-CN"/>
        </w:rPr>
        <w:t xml:space="preserve">响应</w:t>
      </w:r>
      <w:r>
        <w:rPr>
          <w:rFonts w:hint="eastAsia" w:ascii="方正仿宋_GBK" w:hAnsi="方正仿宋_GBK" w:eastAsia="方正仿宋_GBK" w:cs="方正仿宋_GBK"/>
          <w:sz w:val="28"/>
          <w:szCs w:val="28"/>
          <w:highlight w:val="none"/>
        </w:rPr>
        <w:t xml:space="preserve">审查</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1.4.1</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eastAsia="zh-CN"/>
        </w:rPr>
        <w:t xml:space="preserve">评审</w:t>
      </w:r>
      <w:r>
        <w:rPr>
          <w:rFonts w:hint="eastAsia" w:ascii="方正仿宋_GBK" w:hAnsi="方正仿宋_GBK" w:eastAsia="方正仿宋_GBK" w:cs="方正仿宋_GBK"/>
          <w:sz w:val="28"/>
          <w:szCs w:val="28"/>
          <w:highlight w:val="none"/>
        </w:rPr>
        <w:t xml:space="preserve">过程中出现下列情形之一的，</w:t>
      </w:r>
      <w:r>
        <w:rPr>
          <w:rFonts w:hint="eastAsia" w:ascii="方正仿宋_GBK" w:hAnsi="方正仿宋_GBK" w:eastAsia="方正仿宋_GBK" w:cs="方正仿宋_GBK"/>
          <w:sz w:val="28"/>
          <w:szCs w:val="28"/>
          <w:highlight w:val="none"/>
          <w:lang w:eastAsia="zh-CN"/>
        </w:rPr>
        <w:t xml:space="preserve">磋商小组</w:t>
      </w:r>
      <w:r>
        <w:rPr>
          <w:rFonts w:hint="eastAsia" w:ascii="方正仿宋_GBK" w:hAnsi="方正仿宋_GBK" w:eastAsia="方正仿宋_GBK" w:cs="方正仿宋_GBK"/>
          <w:sz w:val="28"/>
          <w:szCs w:val="28"/>
          <w:highlight w:val="none"/>
        </w:rPr>
        <w:t xml:space="preserve">应当启动异常低价</w:t>
      </w:r>
      <w:r>
        <w:rPr>
          <w:rFonts w:hint="eastAsia" w:ascii="方正仿宋_GBK" w:hAnsi="方正仿宋_GBK" w:eastAsia="方正仿宋_GBK" w:cs="方正仿宋_GBK"/>
          <w:sz w:val="28"/>
          <w:szCs w:val="28"/>
          <w:highlight w:val="none"/>
          <w:lang w:eastAsia="zh-CN"/>
        </w:rPr>
        <w:t xml:space="preserve">响应</w:t>
      </w:r>
      <w:r>
        <w:rPr>
          <w:rFonts w:hint="eastAsia" w:ascii="方正仿宋_GBK" w:hAnsi="方正仿宋_GBK" w:eastAsia="方正仿宋_GBK" w:cs="方正仿宋_GBK"/>
          <w:sz w:val="28"/>
          <w:szCs w:val="28"/>
          <w:highlight w:val="none"/>
        </w:rPr>
        <w:t xml:space="preserve">审查程序：</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eastAsia="zh-CN"/>
        </w:rPr>
        <w:t xml:space="preserve">响应</w:t>
      </w:r>
      <w:r>
        <w:rPr>
          <w:rFonts w:hint="eastAsia" w:ascii="方正仿宋_GBK" w:hAnsi="方正仿宋_GBK" w:eastAsia="方正仿宋_GBK" w:cs="方正仿宋_GBK"/>
          <w:sz w:val="28"/>
          <w:szCs w:val="28"/>
          <w:highlight w:val="none"/>
        </w:rPr>
        <w:t xml:space="preserve">报价低于全部通过符合性审查供应商</w:t>
      </w:r>
      <w:r>
        <w:rPr>
          <w:rFonts w:hint="eastAsia" w:ascii="方正仿宋_GBK" w:hAnsi="方正仿宋_GBK" w:eastAsia="方正仿宋_GBK" w:cs="方正仿宋_GBK"/>
          <w:sz w:val="28"/>
          <w:szCs w:val="28"/>
          <w:highlight w:val="none"/>
          <w:lang w:eastAsia="zh-CN"/>
        </w:rPr>
        <w:t xml:space="preserve">响应</w:t>
      </w:r>
      <w:r>
        <w:rPr>
          <w:rFonts w:hint="eastAsia" w:ascii="方正仿宋_GBK" w:hAnsi="方正仿宋_GBK" w:eastAsia="方正仿宋_GBK" w:cs="方正仿宋_GBK"/>
          <w:sz w:val="28"/>
          <w:szCs w:val="28"/>
          <w:highlight w:val="none"/>
        </w:rPr>
        <w:t xml:space="preserve">报价平均值50%的，即</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&lt;全部通过符合性审查供应商</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平均值×50%；</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低于通过符合性审查的次低报价供应商</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50%的，即</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&lt;通过符合性审查的次低报价供应商</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×50%；</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highlight w:val="none"/>
          <w:lang w:eastAsia="zh-CN"/>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磋商小组</w:t>
      </w:r>
      <w:r>
        <w:rPr>
          <w:rFonts w:hint="eastAsia" w:ascii="方正仿宋_GBK" w:hAnsi="方正仿宋_GBK" w:eastAsia="方正仿宋_GBK" w:cs="方正仿宋_GBK"/>
          <w:sz w:val="28"/>
          <w:szCs w:val="28"/>
          <w:highlight w:val="none"/>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1.4.2</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highlight w:val="none"/>
          <w:lang w:val="en-US" w:eastAsia="zh-CN"/>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highlight w:val="none"/>
          <w:lang w:val="en-US" w:eastAsia="zh-CN"/>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26.2 评审方法</w:t>
      </w:r>
      <w:r>
        <w:rPr>
          <w:rFonts w:hint="eastAsia" w:ascii="方正仿宋_GBK" w:hAnsi="方正仿宋_GBK" w:eastAsia="方正仿宋_GBK" w:cs="方正仿宋_GBK"/>
          <w:sz w:val="28"/>
          <w:szCs w:val="28"/>
          <w:highlight w:val="none"/>
          <w:lang w:eastAsia="zh-CN"/>
        </w:rPr>
        <w:t xml:space="preserve">与</w:t>
      </w:r>
      <w:r>
        <w:rPr>
          <w:rFonts w:hint="eastAsia" w:ascii="方正仿宋_GBK" w:hAnsi="方正仿宋_GBK" w:eastAsia="方正仿宋_GBK" w:cs="方正仿宋_GBK"/>
          <w:sz w:val="28"/>
          <w:szCs w:val="28"/>
          <w:highlight w:val="none"/>
        </w:rPr>
        <w:t xml:space="preserve">评审标准</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26.2.2评审标准</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见本磋商文件第五章规定。</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26.3采购活动终止的情况</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出现下列情形之一的，本次竞争性磋商采购活动将被终止：</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26.3.1因情况变化，不再符合规定的竞争性磋商采购方式适用情形的。</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26.3.2出现影响采购公正的违法、违规行为的。</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26.3.4在苏采云系统规定时间内成功解密电子响应文件的供应商不足3家的。</w:t>
      </w:r>
      <w:r>
        <w:rPr>
          <w:rFonts w:hint="eastAsia" w:ascii="方正仿宋_GBK" w:hAnsi="方正仿宋_GBK" w:eastAsia="方正仿宋_GBK" w:cs="方正仿宋_GBK"/>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Start w:id="146" w:name="_Toc120614219"/>
      <w:r/>
      <w:bookmarkStart w:id="147" w:name="_Toc513029235"/>
      <w:r/>
      <w:bookmarkStart w:id="148" w:name="_Toc20823307"/>
      <w:r/>
      <w:bookmarkStart w:id="149" w:name="_Toc16938551"/>
      <w:r>
        <w:rPr>
          <w:rFonts w:hint="eastAsia" w:ascii="方正黑体_GBK" w:hAnsi="方正黑体_GBK" w:eastAsia="方正黑体_GBK" w:cs="方正黑体_GBK"/>
          <w:b w:val="0"/>
          <w:bCs w:val="0"/>
          <w:sz w:val="28"/>
          <w:szCs w:val="28"/>
          <w:highlight w:val="none"/>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highlight w:val="none"/>
        </w:rPr>
        <w:t xml:space="preserve">成交</w:t>
      </w:r>
      <w:r>
        <w:rPr>
          <w:rFonts w:hint="eastAsia" w:ascii="方正黑体_GBK" w:hAnsi="方正黑体_GBK" w:eastAsia="方正黑体_GBK" w:cs="方正黑体_GBK"/>
          <w:b w:val="0"/>
          <w:bCs w:val="0"/>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bookmarkStart w:id="150" w:name="_Toc513029238"/>
      <w:r/>
      <w:bookmarkStart w:id="151" w:name="_Toc20823310"/>
      <w:r/>
      <w:bookmarkStart w:id="152" w:name="_Toc16938554"/>
      <w:r>
        <w:rPr>
          <w:rFonts w:hint="eastAsia" w:ascii="方正仿宋_GBK" w:hAnsi="方正仿宋_GBK" w:eastAsia="方正仿宋_GBK" w:cs="方正仿宋_GBK"/>
          <w:sz w:val="28"/>
          <w:szCs w:val="28"/>
          <w:highlight w:val="none"/>
        </w:rPr>
        <w:t xml:space="preserve">27</w:t>
      </w:r>
      <w:bookmarkEnd w:id="150"/>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确定</w:t>
      </w:r>
      <w:bookmarkEnd w:id="151"/>
      <w:r/>
      <w:bookmarkEnd w:id="152"/>
      <w:r>
        <w:rPr>
          <w:rFonts w:hint="eastAsia" w:ascii="方正仿宋_GBK" w:hAnsi="方正仿宋_GBK" w:eastAsia="方正仿宋_GBK" w:cs="方正仿宋_GBK"/>
          <w:sz w:val="28"/>
          <w:szCs w:val="28"/>
          <w:highlight w:val="none"/>
        </w:rPr>
        <w:t xml:space="preserve">成交单位</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27.1</w:t>
      </w:r>
      <w:r>
        <w:rPr>
          <w:rFonts w:hint="eastAsia" w:ascii="方正仿宋_GBK" w:hAnsi="方正仿宋_GBK" w:eastAsia="方正仿宋_GBK" w:cs="方正仿宋_GBK"/>
          <w:sz w:val="28"/>
          <w:szCs w:val="28"/>
          <w:highlight w:val="none"/>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27.3.1提供虚假材料谋取成交的。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27.3.2与评审专家、采购人、其他供应商或者采购中心工作人员恶意串通的。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27.3.4恶意竞争，最后报价明显低于其自身合理成本且又无法提供证明的。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27.3.7将政府采购合同转包的。</w:t>
      </w:r>
      <w:r>
        <w:rPr>
          <w:rFonts w:hint="eastAsia" w:ascii="方正仿宋_GBK" w:hAnsi="方正仿宋_GBK" w:eastAsia="方正仿宋_GBK" w:cs="方正仿宋_GBK"/>
          <w:bCs/>
          <w:sz w:val="28"/>
          <w:szCs w:val="28"/>
          <w:highlight w:val="none"/>
        </w:rPr>
      </w:r>
      <w:r/>
    </w:p>
    <w:p>
      <w:pPr>
        <w:pStyle w:val="894"/>
        <w:ind w:firstLine="560"/>
        <w:keepLines/>
        <w:keepNext/>
        <w:pageBreakBefore w:val="0"/>
        <w:spacing w:line="400" w:lineRule="exact"/>
        <w:widowControl w:val="off"/>
        <w:rPr>
          <w:rFonts w:hint="eastAsia" w:ascii="方正仿宋_GBK" w:hAnsi="方正仿宋_GBK" w:eastAsia="方正仿宋_GBK" w:cs="方正仿宋_GBK"/>
          <w:bCs/>
          <w:sz w:val="28"/>
          <w:szCs w:val="28"/>
          <w:highlight w:val="none"/>
        </w:rPr>
        <w:outlineLvl w:val="3"/>
      </w:pPr>
      <w:r/>
      <w:bookmarkStart w:id="153" w:name="_Toc200451960"/>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8</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质疑处理</w:t>
      </w:r>
      <w:bookmarkEnd w:id="153"/>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28.2.1</w:t>
      </w:r>
      <w:r>
        <w:rPr>
          <w:rFonts w:hint="eastAsia" w:ascii="方正仿宋_GBK" w:hAnsi="方正仿宋_GBK" w:eastAsia="方正仿宋_GBK" w:cs="方正仿宋_GBK"/>
          <w:sz w:val="28"/>
          <w:szCs w:val="28"/>
          <w:highlight w:val="none"/>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highlight w:val="none"/>
        </w:rPr>
        <w:br w:type="textWrapping" w:clear="all"/>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28.2.2</w:t>
      </w:r>
      <w:r>
        <w:rPr>
          <w:rFonts w:hint="eastAsia" w:ascii="方正仿宋_GBK" w:hAnsi="方正仿宋_GBK" w:eastAsia="方正仿宋_GBK" w:cs="方正仿宋_GBK"/>
          <w:sz w:val="28"/>
          <w:szCs w:val="28"/>
          <w:highlight w:val="none"/>
        </w:rPr>
        <w:t xml:space="preserve">对采购过程提出质疑的，为各采购程序环节结束之日。</w:t>
      </w:r>
      <w:r>
        <w:rPr>
          <w:rFonts w:hint="eastAsia" w:ascii="方正仿宋_GBK" w:hAnsi="方正仿宋_GBK" w:eastAsia="方正仿宋_GBK" w:cs="方正仿宋_GBK"/>
          <w:sz w:val="28"/>
          <w:szCs w:val="28"/>
          <w:highlight w:val="none"/>
        </w:rPr>
        <w:br w:type="textWrapping" w:clear="all"/>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28.2.3</w:t>
      </w:r>
      <w:r>
        <w:rPr>
          <w:rFonts w:hint="eastAsia" w:ascii="方正仿宋_GBK" w:hAnsi="方正仿宋_GBK" w:eastAsia="方正仿宋_GBK" w:cs="方正仿宋_GBK"/>
          <w:sz w:val="28"/>
          <w:szCs w:val="28"/>
          <w:highlight w:val="none"/>
        </w:rPr>
        <w:t xml:space="preserve">对成交结果提出质疑的，为成交结果公告期限届满之日。</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采购人质疑接收人及联系方式见</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文件第一章。</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28.5以下情形的质疑不予受理</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28.5.1内容不符合《政府采购质疑和投诉办法》第十二条规定的质疑。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28.5.2超出政府采购法定期限的质疑。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28.5.3以传真、电子邮件等方式递交的非原件形式的质疑。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54" w:name="_Toc16938552"/>
      <w:r/>
      <w:bookmarkStart w:id="155" w:name="_Toc20823308"/>
      <w:r/>
      <w:bookmarkStart w:id="156" w:name="_Toc120614220"/>
      <w:r/>
      <w:bookmarkStart w:id="157" w:name="_Toc513029236"/>
      <w:r>
        <w:rPr>
          <w:rFonts w:hint="eastAsia" w:ascii="方正仿宋_GBK" w:hAnsi="方正仿宋_GBK" w:eastAsia="方正仿宋_GBK" w:cs="方正仿宋_GBK"/>
          <w:bCs/>
          <w:sz w:val="28"/>
          <w:szCs w:val="28"/>
          <w:highlight w:val="none"/>
        </w:rPr>
        <w:t xml:space="preserve">29</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成交通知书</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154"/>
      <w:r/>
      <w:bookmarkEnd w:id="155"/>
      <w:r/>
      <w:bookmarkEnd w:id="156"/>
      <w:r/>
      <w:bookmarkEnd w:id="157"/>
      <w:r/>
      <w:bookmarkStart w:id="158" w:name="_Toc479757207"/>
      <w:r/>
      <w:bookmarkStart w:id="159" w:name="_Toc20823314"/>
      <w:r/>
      <w:bookmarkStart w:id="160" w:name="_Toc513029242"/>
      <w:r/>
      <w:bookmarkStart w:id="161" w:name="_Toc120614221"/>
      <w:r/>
      <w:bookmarkStart w:id="162" w:name="_Toc16938558"/>
      <w:r>
        <w:rPr>
          <w:rFonts w:hint="eastAsia" w:ascii="方正黑体_GBK" w:hAnsi="方正黑体_GBK" w:eastAsia="方正黑体_GBK" w:cs="方正黑体_GBK"/>
          <w:b w:val="0"/>
          <w:bCs w:val="0"/>
          <w:sz w:val="28"/>
          <w:szCs w:val="28"/>
          <w:highlight w:val="none"/>
        </w:rPr>
        <w:t xml:space="preserve">七、授予合同</w:t>
      </w:r>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63" w:name="_Toc513029237"/>
      <w:r/>
      <w:bookmarkStart w:id="164" w:name="_Toc20823309"/>
      <w:r/>
      <w:bookmarkStart w:id="165" w:name="_Toc16938553"/>
      <w:r>
        <w:rPr>
          <w:rFonts w:hint="eastAsia" w:ascii="方正仿宋_GBK" w:hAnsi="方正仿宋_GBK" w:eastAsia="方正仿宋_GBK" w:cs="方正仿宋_GBK"/>
          <w:bCs/>
          <w:sz w:val="28"/>
          <w:szCs w:val="28"/>
          <w:highlight w:val="none"/>
        </w:rPr>
        <w:t xml:space="preserve">30.签订合同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标的物的追加</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163"/>
      <w:r/>
      <w:bookmarkEnd w:id="164"/>
      <w:r/>
      <w:bookmarkEnd w:id="165"/>
      <w:r>
        <w:rPr>
          <w:rFonts w:hint="eastAsia" w:ascii="方正仿宋_GBK" w:hAnsi="方正仿宋_GBK" w:eastAsia="方正仿宋_GBK" w:cs="方正仿宋_GBK"/>
          <w:bCs/>
          <w:sz w:val="28"/>
          <w:szCs w:val="28"/>
          <w:highlight w:val="none"/>
        </w:rPr>
        <w:t xml:space="preserve">32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政府采购履约资金扶持政策</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r>
      <w:r/>
    </w:p>
    <w:p>
      <w:pPr>
        <w:pStyle w:val="894"/>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highlight w:val="none"/>
        </w:rPr>
        <w:t xml:space="preserve">文本</w:t>
      </w:r>
      <w:r>
        <w:rPr>
          <w:rFonts w:hint="eastAsia" w:ascii="方正黑体_GBK" w:hAnsi="方正黑体_GBK" w:eastAsia="方正黑体_GBK" w:cs="方正黑体_GBK"/>
          <w:bCs/>
          <w:color w:val="000000"/>
          <w:sz w:val="28"/>
          <w:szCs w:val="28"/>
          <w:highlight w:val="none"/>
        </w:rPr>
      </w:r>
      <w:r/>
    </w:p>
    <w:p>
      <w:pPr>
        <w:pStyle w:val="894"/>
        <w:spacing w:line="400" w:lineRule="exact"/>
        <w:rPr>
          <w:rFonts w:ascii="宋体" w:hAnsi="宋体"/>
          <w:bCs/>
          <w:color w:val="000000"/>
          <w:sz w:val="28"/>
          <w:szCs w:val="28"/>
          <w:highlight w:val="none"/>
        </w:rPr>
      </w:pPr>
      <w:r/>
      <w:bookmarkStart w:id="166" w:name="_Toc16938559"/>
      <w:r/>
      <w:bookmarkStart w:id="167" w:name="_Toc513029243"/>
      <w:r/>
      <w:bookmarkStart w:id="168" w:name="_Toc20823315"/>
      <w:r>
        <w:rPr>
          <w:rFonts w:ascii="宋体" w:hAnsi="宋体"/>
          <w:bCs/>
          <w:color w:val="000000"/>
          <w:sz w:val="28"/>
          <w:szCs w:val="28"/>
          <w:highlight w:val="none"/>
        </w:rPr>
      </w:r>
      <w:r/>
    </w:p>
    <w:p>
      <w:pPr>
        <w:pStyle w:val="894"/>
        <w:jc w:val="center"/>
        <w:spacing w:before="156" w:after="156"/>
        <w:rPr>
          <w:rFonts w:hint="eastAsia" w:ascii="宋体" w:hAnsi="宋体"/>
          <w:b/>
          <w:sz w:val="30"/>
          <w:szCs w:val="21"/>
          <w:highlight w:val="none"/>
        </w:rPr>
        <w:outlineLvl w:val="0"/>
      </w:pPr>
      <w:r>
        <w:rPr>
          <w:rFonts w:hint="eastAsia" w:ascii="宋体" w:hAnsi="宋体"/>
          <w:b/>
          <w:sz w:val="30"/>
          <w:szCs w:val="21"/>
          <w:highlight w:val="none"/>
        </w:rPr>
      </w:r>
      <w:r/>
    </w:p>
    <w:p>
      <w:pPr>
        <w:pStyle w:val="925"/>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highlight w:val="none"/>
        </w:rPr>
      </w:pPr>
      <w:r>
        <w:rPr>
          <w:rFonts w:hint="eastAsia" w:ascii="方正黑体_GBK" w:hAnsi="方正黑体_GBK" w:eastAsia="方正黑体_GBK" w:cs="方正黑体_GBK"/>
          <w:b w:val="0"/>
          <w:bCs w:val="0"/>
          <w:spacing w:val="-20"/>
          <w:sz w:val="28"/>
          <w:szCs w:val="28"/>
          <w:highlight w:val="none"/>
        </w:rPr>
        <w:t xml:space="preserve">江苏省政府采购合同</w:t>
      </w:r>
      <w:r>
        <w:rPr>
          <w:rFonts w:hint="eastAsia" w:ascii="方正黑体_GBK" w:hAnsi="方正黑体_GBK" w:eastAsia="方正黑体_GBK" w:cs="方正黑体_GBK"/>
          <w:b w:val="0"/>
          <w:bCs w:val="0"/>
          <w:spacing w:val="-20"/>
          <w:sz w:val="28"/>
          <w:szCs w:val="28"/>
          <w:highlight w:val="none"/>
          <w:lang w:val="en-US" w:eastAsia="zh-CN"/>
        </w:rPr>
        <w:t xml:space="preserve">（服务）</w:t>
      </w:r>
      <w:r>
        <w:rPr>
          <w:rFonts w:hint="eastAsia" w:ascii="方正黑体_GBK" w:hAnsi="方正黑体_GBK" w:eastAsia="方正黑体_GBK" w:cs="方正黑体_GBK"/>
          <w:b w:val="0"/>
          <w:bCs w:val="0"/>
          <w:spacing w:val="-20"/>
          <w:sz w:val="28"/>
          <w:szCs w:val="28"/>
          <w:highlight w:val="none"/>
        </w:rPr>
        <w:t xml:space="preserve">（合同编号）</w:t>
      </w:r>
      <w:r>
        <w:rPr>
          <w:rFonts w:hint="eastAsia" w:ascii="方正黑体_GBK" w:hAnsi="方正黑体_GBK" w:eastAsia="方正黑体_GBK" w:cs="方正黑体_GBK"/>
          <w:b w:val="0"/>
          <w:bCs w:val="0"/>
          <w:spacing w:val="-20"/>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ascii="Times New Roman" w:hAnsi="Times New Roman" w:eastAsia="方正仿宋_GBK" w:cs="Times New Roman"/>
          <w:sz w:val="28"/>
          <w:szCs w:val="28"/>
          <w:highlight w:val="none"/>
          <w:lang w:eastAsia="zh-CN"/>
        </w:rPr>
        <w:t xml:space="preserve">XXXX</w:t>
      </w:r>
      <w:r>
        <w:rPr>
          <w:rFonts w:ascii="Times New Roman" w:hAnsi="Times New Roman" w:eastAsia="方正仿宋_GBK" w:cs="Times New Roman"/>
          <w:sz w:val="28"/>
          <w:szCs w:val="28"/>
          <w:highlight w:val="non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lang w:eastAsia="zh-CN"/>
        </w:rPr>
        <w:t xml:space="preserve">JSZC-320000-</w:t>
      </w:r>
      <w:r>
        <w:rPr>
          <w:rFonts w:hint="eastAsia" w:ascii="Times New Roman" w:hAnsi="Times New Roman" w:eastAsia="方正仿宋_GBK" w:cs="Times New Roman"/>
          <w:sz w:val="28"/>
          <w:szCs w:val="28"/>
          <w:highlight w:val="none"/>
          <w:lang w:val="en-US" w:eastAsia="zh-CN"/>
        </w:rPr>
        <w:t xml:space="preserve">SCZX-C20XX-XXXX</w:t>
      </w:r>
      <w:r>
        <w:rPr>
          <w:rFonts w:hint="eastAsia" w:ascii="Times New Roman" w:hAnsi="Times New Roman" w:eastAsia="方正仿宋_GBK" w:cs="Times New Roman"/>
          <w:sz w:val="28"/>
          <w:szCs w:val="28"/>
          <w:highlight w:val="none"/>
          <w:lang w:eastAsia="zh-CN"/>
        </w:rPr>
        <w:t xml:space="preserve">  </w:t>
      </w:r>
      <w:r>
        <w:rPr>
          <w:rFonts w:hint="eastAsia" w:ascii="方正仿宋_GBK" w:hAnsi="方正仿宋_GBK" w:eastAsia="方正仿宋_GBK" w:cs="方正仿宋_GBK"/>
          <w:sz w:val="28"/>
          <w:szCs w:val="28"/>
          <w:highlight w:val="none"/>
          <w:lang w:val="en-US"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lang w:val="en-US"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乙方：（卖方/成交供应商）_________</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项目竞争性</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的结果，签署本合同。</w:t>
      </w:r>
      <w:r>
        <w:rPr>
          <w:rFonts w:hint="eastAsia" w:ascii="方正仿宋_GBK" w:hAnsi="方正仿宋_GBK" w:eastAsia="方正仿宋_GBK" w:cs="方正仿宋_GBK"/>
          <w:b/>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一、合同内容</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标的质量：</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二、合同金额</w:t>
      </w:r>
      <w:r>
        <w:rPr>
          <w:rFonts w:hint="eastAsia" w:ascii="方正黑体_GBK" w:hAnsi="方正黑体_GBK" w:eastAsia="方正黑体_GBK" w:cs="方正黑体_GBK"/>
          <w:b w:val="0"/>
          <w:bCs/>
          <w:sz w:val="28"/>
          <w:szCs w:val="28"/>
          <w:highlight w:val="none"/>
        </w:rPr>
      </w:r>
      <w:r/>
    </w:p>
    <w:p>
      <w:pPr>
        <w:pStyle w:val="894"/>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本合同金额为（大写）：______圆（_____元）人民币或其他币种。</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三、技术资料</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w:t>
      </w:r>
      <w:r>
        <w:rPr>
          <w:rFonts w:hint="eastAsia" w:ascii="方正仿宋_GBK" w:hAnsi="方正仿宋_GBK" w:eastAsia="方正仿宋_GBK" w:cs="方正仿宋_GBK"/>
          <w:sz w:val="28"/>
          <w:szCs w:val="28"/>
          <w:highlight w:val="none"/>
          <w:lang w:eastAsia="zh-CN"/>
        </w:rPr>
        <w:t xml:space="preserve">磋商文件</w:t>
      </w:r>
      <w:r>
        <w:rPr>
          <w:rFonts w:hint="eastAsia" w:ascii="方正仿宋_GBK" w:hAnsi="方正仿宋_GBK" w:eastAsia="方正仿宋_GBK" w:cs="方正仿宋_GBK"/>
          <w:sz w:val="28"/>
          <w:szCs w:val="28"/>
          <w:highlight w:val="none"/>
        </w:rPr>
        <w:t xml:space="preserve">规定的时间向甲方提供与合同标的有关的技术资料。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四、知识产权</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五、产权担保</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六、履约保证金</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乙方交纳人民币_________元作为本合同的履约保证金。（不得超过合同金额的10%）</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6.2.1履约保证金退还方式：</w:t>
      </w:r>
      <w:r>
        <w:rPr>
          <w:rFonts w:hint="eastAsia" w:ascii="Times New Roman" w:hAnsi="Times New Roman" w:eastAsia="方正仿宋_GBK" w:cs="Times New Roman"/>
          <w:sz w:val="28"/>
          <w:szCs w:val="28"/>
          <w:highlight w:val="none"/>
          <w:lang w:eastAsia="zh-CN"/>
        </w:rPr>
        <w:t xml:space="preserve">XXX</w:t>
      </w:r>
      <w:r>
        <w:rPr>
          <w:rFonts w:hint="eastAsia" w:ascii="Times New Roman" w:hAnsi="Times New Roman" w:eastAsia="方正仿宋_GBK" w:cs="Times New Roman"/>
          <w:sz w:val="28"/>
          <w:szCs w:val="28"/>
          <w:highlight w:val="none"/>
          <w:lang w:val="en-US" w:eastAsia="zh-CN"/>
        </w:rPr>
        <w:t xml:space="preserve">X</w:t>
      </w:r>
      <w:r>
        <w:rPr>
          <w:rFonts w:ascii="方正仿宋_GBK" w:hAnsi="方正仿宋_GBK" w:eastAsia="方正仿宋_GBK" w:cs="方正仿宋_GBK"/>
          <w:sz w:val="28"/>
          <w:szCs w:val="28"/>
          <w:highlight w:val="none"/>
          <w:lang w:val="en-US"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6.2.2履约保证金退还时间：</w:t>
      </w:r>
      <w:r>
        <w:rPr>
          <w:rFonts w:hint="eastAsia" w:ascii="Times New Roman" w:hAnsi="Times New Roman" w:eastAsia="方正仿宋_GBK" w:cs="Times New Roman"/>
          <w:sz w:val="28"/>
          <w:szCs w:val="28"/>
          <w:highlight w:val="none"/>
          <w:lang w:eastAsia="zh-CN"/>
        </w:rPr>
        <w:t xml:space="preserve">XXX</w:t>
      </w:r>
      <w:r>
        <w:rPr>
          <w:rFonts w:hint="eastAsia" w:ascii="Times New Roman" w:hAnsi="Times New Roman" w:eastAsia="方正仿宋_GBK" w:cs="Times New Roman"/>
          <w:sz w:val="28"/>
          <w:szCs w:val="28"/>
          <w:highlight w:val="none"/>
          <w:lang w:val="en-US" w:eastAsia="zh-CN"/>
        </w:rPr>
        <w:t xml:space="preserve">X</w:t>
      </w:r>
      <w:r>
        <w:rPr>
          <w:rFonts w:hint="eastAsia" w:ascii="方正仿宋_GBK" w:hAnsi="方正仿宋_GBK" w:eastAsia="方正仿宋_GBK" w:cs="方正仿宋_GBK"/>
          <w:sz w:val="28"/>
          <w:szCs w:val="28"/>
          <w:highlight w:val="none"/>
          <w:lang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6.2.3履约保证金退还条件：</w:t>
      </w:r>
      <w:r>
        <w:rPr>
          <w:rFonts w:hint="eastAsia" w:ascii="Times New Roman" w:hAnsi="Times New Roman" w:eastAsia="方正仿宋_GBK" w:cs="Times New Roman"/>
          <w:sz w:val="28"/>
          <w:szCs w:val="28"/>
          <w:highlight w:val="none"/>
          <w:lang w:eastAsia="zh-CN"/>
        </w:rPr>
        <w:t xml:space="preserve">XXX</w:t>
      </w:r>
      <w:r>
        <w:rPr>
          <w:rFonts w:hint="eastAsia" w:ascii="Times New Roman" w:hAnsi="Times New Roman" w:eastAsia="方正仿宋_GBK" w:cs="Times New Roman"/>
          <w:sz w:val="28"/>
          <w:szCs w:val="28"/>
          <w:highlight w:val="none"/>
          <w:lang w:val="en-US" w:eastAsia="zh-CN"/>
        </w:rPr>
        <w:t xml:space="preserve">X</w:t>
      </w:r>
      <w:r>
        <w:rPr>
          <w:rFonts w:hint="eastAsia" w:ascii="方正仿宋_GBK" w:hAnsi="方正仿宋_GBK" w:eastAsia="方正仿宋_GBK" w:cs="方正仿宋_GBK"/>
          <w:sz w:val="28"/>
          <w:szCs w:val="28"/>
          <w:highlight w:val="none"/>
          <w:lang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6.2.4履约保证金不予退还的情形：</w:t>
      </w:r>
      <w:r>
        <w:rPr>
          <w:rFonts w:hint="eastAsia" w:ascii="Times New Roman" w:hAnsi="Times New Roman" w:eastAsia="方正仿宋_GBK" w:cs="Times New Roman"/>
          <w:sz w:val="28"/>
          <w:szCs w:val="28"/>
          <w:highlight w:val="none"/>
          <w:lang w:eastAsia="zh-CN"/>
        </w:rPr>
        <w:t xml:space="preserve">XXX</w:t>
      </w:r>
      <w:r>
        <w:rPr>
          <w:rFonts w:hint="eastAsia" w:ascii="Times New Roman" w:hAnsi="Times New Roman" w:eastAsia="方正仿宋_GBK" w:cs="Times New Roman"/>
          <w:sz w:val="28"/>
          <w:szCs w:val="28"/>
          <w:highlight w:val="none"/>
          <w:lang w:val="en-US" w:eastAsia="zh-CN"/>
        </w:rPr>
        <w:t xml:space="preserve">X</w:t>
      </w:r>
      <w:r>
        <w:rPr>
          <w:rFonts w:hint="eastAsia" w:ascii="方正仿宋_GBK" w:hAnsi="方正仿宋_GBK" w:eastAsia="方正仿宋_GBK" w:cs="方正仿宋_GBK"/>
          <w:sz w:val="28"/>
          <w:szCs w:val="28"/>
          <w:highlight w:val="none"/>
          <w:lang w:eastAsia="zh-CN"/>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七、合同转包或分包</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八、合同款项支付</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8.1合同款项的支付方式及进度安排</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8.1.1 预付款  支付时间：</w:t>
      </w:r>
      <w:r>
        <w:rPr>
          <w:rFonts w:hint="eastAsia" w:ascii="方正仿宋_GBK" w:hAnsi="方正仿宋_GBK" w:eastAsia="方正仿宋_GBK" w:cs="方正仿宋_GBK"/>
          <w:bCs/>
          <w:sz w:val="28"/>
          <w:szCs w:val="28"/>
          <w:highlight w:val="none"/>
          <w:u w:val="single"/>
        </w:rPr>
        <w:t xml:space="preserve">合同签订后</w:t>
      </w:r>
      <w:r>
        <w:rPr>
          <w:rFonts w:hint="eastAsia" w:ascii="Times New Roman" w:hAnsi="Times New Roman" w:eastAsia="方正仿宋_GBK" w:cs="Times New Roman"/>
          <w:sz w:val="28"/>
          <w:szCs w:val="28"/>
          <w:highlight w:val="none"/>
          <w:u w:val="single"/>
          <w:lang w:eastAsia="zh-CN"/>
        </w:rPr>
        <w:t xml:space="preserve">XX</w:t>
      </w:r>
      <w:r>
        <w:rPr>
          <w:rFonts w:hint="eastAsia" w:ascii="方正仿宋_GBK" w:hAnsi="方正仿宋_GBK" w:eastAsia="方正仿宋_GBK" w:cs="方正仿宋_GBK"/>
          <w:bCs/>
          <w:sz w:val="28"/>
          <w:szCs w:val="28"/>
          <w:highlight w:val="none"/>
          <w:u w:val="single"/>
        </w:rPr>
        <w:t xml:space="preserve">工作日内</w:t>
      </w:r>
      <w:r>
        <w:rPr>
          <w:rFonts w:hint="eastAsia" w:ascii="方正仿宋_GBK" w:hAnsi="方正仿宋_GBK" w:eastAsia="方正仿宋_GBK" w:cs="方正仿宋_GBK"/>
          <w:bCs/>
          <w:sz w:val="28"/>
          <w:szCs w:val="28"/>
          <w:highlight w:val="none"/>
        </w:rPr>
        <w:t xml:space="preserve">，预付款支付比例：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eastAsia="zh-CN"/>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8.1.2 尾款  支付时间：</w:t>
      </w:r>
      <w:r>
        <w:rPr>
          <w:rFonts w:hint="eastAsia" w:ascii="方正仿宋_GBK" w:hAnsi="方正仿宋_GBK" w:eastAsia="方正仿宋_GBK" w:cs="方正仿宋_GBK"/>
          <w:bCs/>
          <w:sz w:val="28"/>
          <w:szCs w:val="28"/>
          <w:highlight w:val="none"/>
          <w:u w:val="single"/>
        </w:rPr>
        <w:t xml:space="preserve">采购人收到发票后10个工作日内</w:t>
      </w:r>
      <w:r>
        <w:rPr>
          <w:rFonts w:hint="eastAsia" w:ascii="方正仿宋_GBK" w:hAnsi="方正仿宋_GBK" w:eastAsia="方正仿宋_GBK" w:cs="方正仿宋_GBK"/>
          <w:bCs/>
          <w:sz w:val="28"/>
          <w:szCs w:val="28"/>
          <w:highlight w:val="none"/>
        </w:rPr>
        <w:t xml:space="preserve">，尾款支付比例：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eastAsia="zh-CN"/>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九、税费</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9.1本合同执行中相关的一切税费均由乙方负担。</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十、项目验收</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10.1 甲方依法组织履约验收工作。</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10.3 对于实际使用人和甲方分离的项目，甲方邀请实际使用人参与验收。</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highlight w:val="none"/>
          <w:lang w:eastAsia="zh-CN"/>
        </w:rPr>
        <w:t xml:space="preserve">中华人民共和国</w:t>
      </w:r>
      <w:r>
        <w:rPr>
          <w:rFonts w:hint="eastAsia" w:ascii="方正仿宋_GBK" w:hAnsi="方正仿宋_GBK" w:eastAsia="方正仿宋_GBK" w:cs="方正仿宋_GBK"/>
          <w:bCs/>
          <w:sz w:val="28"/>
          <w:szCs w:val="28"/>
          <w:highlight w:val="none"/>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十一、违约责任</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每日向乙方支付违约金。</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11.4 乙方交付合同标的的标准不符合合同规定及</w:t>
      </w:r>
      <w:r>
        <w:rPr>
          <w:rFonts w:hint="eastAsia" w:ascii="方正仿宋_GBK" w:hAnsi="方正仿宋_GBK" w:eastAsia="方正仿宋_GBK" w:cs="方正仿宋_GBK"/>
          <w:bCs/>
          <w:sz w:val="28"/>
          <w:szCs w:val="28"/>
          <w:highlight w:val="none"/>
          <w:lang w:eastAsia="zh-CN"/>
        </w:rPr>
        <w:t xml:space="preserve">磋商文件</w:t>
      </w:r>
      <w:r>
        <w:rPr>
          <w:rFonts w:hint="eastAsia" w:ascii="方正仿宋_GBK" w:hAnsi="方正仿宋_GBK" w:eastAsia="方正仿宋_GBK" w:cs="方正仿宋_GBK"/>
          <w:bCs/>
          <w:sz w:val="28"/>
          <w:szCs w:val="28"/>
          <w:highlight w:val="none"/>
        </w:rPr>
        <w:t xml:space="preserve">规定标准的，甲方有权拒绝接受合同标的，并可单方面解除合同。</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十二、不可抗力事件处理</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12.2 不可抗力事件发生后，应立即通知对方，并寄送有关权威机构出具的证明。</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十三、解决争议的方法</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十四、合同生效及其它</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 合同经双方法定代表人或授权委托代表人签字并加盖单位公章后生效。</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14.2本合同未尽事宜，遵照中华人民共和国现行法律法规有关条文执行。</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14.3 本合同正本一式两份，具有同等法律效力，甲方、乙方各执一份。</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甲方：                        乙方： </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地址：                        地址： </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法定代表人或授权代表：        法定代表人或授权代表：联系电话：                    联系电话：          </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bCs/>
          <w:sz w:val="28"/>
          <w:szCs w:val="28"/>
          <w:highlight w:val="none"/>
        </w:rPr>
      </w:r>
      <w:r/>
    </w:p>
    <w:p>
      <w:pPr>
        <w:pStyle w:val="894"/>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签订日期：   年   月   日</w:t>
      </w:r>
      <w:r>
        <w:rPr>
          <w:rFonts w:hint="eastAsia" w:ascii="方正仿宋_GBK" w:hAnsi="方正仿宋_GBK" w:eastAsia="方正仿宋_GBK" w:cs="方正仿宋_GBK"/>
          <w:bCs/>
          <w:sz w:val="28"/>
          <w:szCs w:val="28"/>
          <w:highlight w:val="none"/>
        </w:rPr>
      </w:r>
      <w:r/>
    </w:p>
    <w:p>
      <w:pPr>
        <w:pStyle w:val="894"/>
        <w:ind w:firstLine="480"/>
        <w:jc w:val="right"/>
        <w:spacing w:line="500" w:lineRule="exact"/>
        <w:rPr>
          <w:rFonts w:ascii="Times New Roman" w:hAnsi="Times New Roman"/>
          <w:sz w:val="24"/>
          <w:szCs w:val="24"/>
          <w:highlight w:val="none"/>
        </w:rPr>
      </w:pPr>
      <w:r>
        <w:rPr>
          <w:rFonts w:ascii="Times New Roman" w:hAnsi="Times New Roman"/>
          <w:sz w:val="24"/>
          <w:szCs w:val="24"/>
          <w:highlight w:val="none"/>
        </w:rPr>
      </w:r>
      <w:r/>
    </w:p>
    <w:p>
      <w:pPr>
        <w:pStyle w:val="894"/>
        <w:ind w:firstLine="560"/>
        <w:jc w:val="center"/>
        <w:spacing w:line="500" w:lineRule="exact"/>
        <w:rPr>
          <w:rFonts w:ascii="宋体" w:hAnsi="Courier New" w:cs="Courier New"/>
          <w:sz w:val="28"/>
          <w:szCs w:val="28"/>
          <w:highlight w:val="none"/>
        </w:rPr>
      </w:pPr>
      <w:r/>
      <w:bookmarkEnd w:id="166"/>
      <w:r/>
      <w:bookmarkEnd w:id="167"/>
      <w:r/>
      <w:bookmarkEnd w:id="168"/>
      <w:r/>
      <w:bookmarkStart w:id="169" w:name="_Hlt16619369"/>
      <w:r/>
      <w:bookmarkEnd w:id="169"/>
      <w:r/>
      <w:bookmarkStart w:id="170" w:name="_Toc26554093"/>
      <w:r/>
      <w:bookmarkStart w:id="171" w:name="_Toc49090575"/>
      <w:r/>
      <w:bookmarkStart w:id="172" w:name="_Toc479757211"/>
      <w:r/>
      <w:bookmarkStart w:id="173" w:name="_Toc462564139"/>
      <w:r>
        <w:rPr>
          <w:rFonts w:hint="eastAsia" w:ascii="方正黑体_GBK" w:hAnsi="方正黑体_GBK" w:eastAsia="方正黑体_GBK" w:cs="方正黑体_GBK"/>
          <w:b w:val="0"/>
          <w:bCs w:val="0"/>
          <w:sz w:val="28"/>
          <w:szCs w:val="28"/>
          <w:highlight w:val="none"/>
          <w:lang w:val="en-US" w:eastAsia="zh-CN"/>
        </w:rPr>
        <w:t xml:space="preserve">第四章 采购需求</w:t>
      </w:r>
      <w:r>
        <w:rPr>
          <w:rFonts w:ascii="宋体" w:hAnsi="Courier New" w:cs="Courier New"/>
          <w:sz w:val="28"/>
          <w:szCs w:val="28"/>
          <w:highlight w:val="none"/>
        </w:rPr>
      </w:r>
      <w:r/>
    </w:p>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一、采购标的清单</w:t>
      </w:r>
      <w:r>
        <w:rPr>
          <w:rFonts w:hint="eastAsia" w:ascii="方正黑体_GBK" w:hAnsi="方正黑体_GBK" w:eastAsia="方正黑体_GBK" w:cs="方正黑体_GBK"/>
          <w:b w:val="0"/>
          <w:bCs w:val="0"/>
          <w:sz w:val="28"/>
          <w:szCs w:val="28"/>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包</w:t>
            </w:r>
            <w:r>
              <w:rPr>
                <w:rFonts w:hint="eastAsia" w:ascii="方正仿宋_GBK" w:hAnsi="方正仿宋_GBK" w:eastAsia="方正仿宋_GBK" w:cs="方正仿宋_GBK"/>
                <w:sz w:val="28"/>
                <w:szCs w:val="28"/>
                <w:highlight w:val="none"/>
                <w:lang w:eastAsia="zh-CN"/>
              </w:rPr>
              <w:t xml:space="preserve">号</w:t>
            </w:r>
            <w:r>
              <w:rPr>
                <w:rFonts w:hint="eastAsia" w:ascii="方正仿宋_GBK" w:hAnsi="方正仿宋_GBK" w:eastAsia="方正仿宋_GBK" w:cs="方正仿宋_GBK"/>
                <w:sz w:val="28"/>
                <w:szCs w:val="28"/>
                <w:highlight w:val="none"/>
                <w:lang w:val="en-US" w:eastAsia="zh-CN"/>
              </w:rPr>
            </w:r>
            <w:r/>
          </w:p>
        </w:tc>
        <w:tc>
          <w:tcPr>
            <w:tcW w:w="1007"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2764"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rFonts w:hint="eastAsia" w:ascii="方正仿宋_GBK" w:hAnsi="方正仿宋_GBK" w:eastAsia="方正仿宋_GBK" w:cs="方正仿宋_GBK"/>
                <w:sz w:val="28"/>
                <w:szCs w:val="28"/>
                <w:highlight w:val="none"/>
              </w:rPr>
            </w:r>
            <w:r/>
          </w:p>
        </w:tc>
        <w:tc>
          <w:tcPr>
            <w:tcW w:w="2738"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rFonts w:hint="eastAsia" w:ascii="方正仿宋_GBK" w:hAnsi="方正仿宋_GBK" w:eastAsia="方正仿宋_GBK" w:cs="方正仿宋_GBK"/>
                <w:sz w:val="28"/>
                <w:szCs w:val="28"/>
                <w:highlight w:val="none"/>
              </w:rPr>
            </w:r>
            <w:r/>
          </w:p>
        </w:tc>
      </w:tr>
      <w:tr>
        <w:trPr>
          <w:cantSplit/>
          <w:trHeight w:val="291"/>
        </w:trPr>
        <w:tc>
          <w:tcPr>
            <w:tcW w:w="124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Times New Roman" w:hAnsi="Times New Roman" w:eastAsia="方正仿宋_GBK" w:cs="Times New Roman"/>
                <w:sz w:val="28"/>
                <w:szCs w:val="28"/>
                <w:highlight w:val="none"/>
                <w:u w:val="none"/>
                <w:lang w:val="en-US" w:eastAsia="zh-CN"/>
              </w:rPr>
              <w:t xml:space="preserve">1</w:t>
            </w:r>
            <w:r>
              <w:rPr>
                <w:rFonts w:hint="eastAsia" w:ascii="方正仿宋_GBK" w:hAnsi="方正仿宋_GBK" w:eastAsia="方正仿宋_GBK" w:cs="方正仿宋_GBK"/>
                <w:sz w:val="28"/>
                <w:szCs w:val="28"/>
                <w:highlight w:val="none"/>
                <w:lang w:eastAsia="zh-CN"/>
              </w:rPr>
            </w:r>
            <w:r/>
          </w:p>
        </w:tc>
        <w:tc>
          <w:tcPr>
            <w:tcW w:w="1007"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764" w:type="dxa"/>
            <w:vAlign w:val="top"/>
            <w:textDirection w:val="lrTb"/>
            <w:noWrap w:val="false"/>
          </w:tcPr>
          <w:p>
            <w:pPr>
              <w:pStyle w:val="894"/>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生态环境政务网络和数据安全监测与管理提升项目</w:t>
            </w:r>
            <w:r>
              <w:rPr>
                <w:rFonts w:hint="eastAsia" w:ascii="方正仿宋_GBK" w:hAnsi="方正仿宋_GBK" w:eastAsia="方正仿宋_GBK" w:cs="方正仿宋_GBK"/>
                <w:sz w:val="28"/>
                <w:szCs w:val="28"/>
                <w:highlight w:val="none"/>
              </w:rPr>
            </w:r>
            <w:r/>
          </w:p>
        </w:tc>
        <w:tc>
          <w:tcPr>
            <w:tcW w:w="2738"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宋体" w:hAnsi="宋体"/>
                <w:sz w:val="24"/>
                <w:szCs w:val="24"/>
                <w:highlight w:val="none"/>
              </w:rPr>
              <w:t xml:space="preserve">软件和信息技术服务业</w:t>
            </w:r>
            <w:r>
              <w:rPr>
                <w:rFonts w:hint="eastAsia" w:ascii="方正仿宋_GBK" w:hAnsi="方正仿宋_GBK" w:eastAsia="方正仿宋_GBK" w:cs="方正仿宋_GBK"/>
                <w:sz w:val="28"/>
                <w:szCs w:val="28"/>
                <w:highlight w:val="none"/>
              </w:rPr>
            </w:r>
            <w:r/>
          </w:p>
        </w:tc>
      </w:tr>
    </w:tbl>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highlight w:val="none"/>
        </w:rPr>
      </w:r>
      <w:r/>
    </w:p>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三、技术要求</w:t>
      </w:r>
      <w:r>
        <w:rPr>
          <w:rFonts w:hint="eastAsia" w:ascii="方正黑体_GBK" w:hAnsi="方正黑体_GBK" w:eastAsia="方正黑体_GBK" w:cs="方正黑体_GBK"/>
          <w:b w:val="0"/>
          <w:bCs w:val="0"/>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w:t>
      </w:r>
      <w:r>
        <w:rPr>
          <w:rFonts w:hint="eastAsia" w:ascii="方正仿宋_GBK" w:hAnsi="方正仿宋_GBK" w:eastAsia="方正仿宋_GBK" w:cs="方正仿宋_GBK"/>
          <w:b/>
          <w:bCs/>
          <w:sz w:val="28"/>
          <w:szCs w:val="28"/>
          <w:highlight w:val="none"/>
          <w:lang w:eastAsia="zh-CN"/>
        </w:rPr>
        <w:t xml:space="preserve">加*号条款</w:t>
      </w:r>
      <w:r>
        <w:rPr>
          <w:rFonts w:hint="eastAsia" w:ascii="方正仿宋_GBK" w:hAnsi="方正仿宋_GBK" w:eastAsia="方正仿宋_GBK" w:cs="方正仿宋_GBK"/>
          <w:b/>
          <w:bCs/>
          <w:sz w:val="28"/>
          <w:szCs w:val="28"/>
          <w:highlight w:val="none"/>
        </w:rPr>
        <w:t xml:space="preserve">为实质性要求。</w:t>
      </w:r>
      <w:r>
        <w:rPr>
          <w:rFonts w:hint="eastAsia" w:ascii="方正仿宋_GBK" w:hAnsi="方正仿宋_GBK" w:eastAsia="方正仿宋_GBK" w:cs="方正仿宋_GBK"/>
          <w:b/>
          <w:bCs/>
          <w:sz w:val="28"/>
          <w:szCs w:val="28"/>
          <w:highlight w:val="none"/>
        </w:rPr>
      </w:r>
      <w:r/>
    </w:p>
    <w:p>
      <w:pPr>
        <w:pStyle w:val="894"/>
        <w:ind w:firstLine="560"/>
        <w:keepLines/>
        <w:keepNext/>
        <w:spacing w:before="120" w:after="120"/>
        <w:rPr>
          <w:rFonts w:ascii="Times New Roman" w:hAnsi="Times New Roman" w:eastAsia="黑体"/>
          <w:sz w:val="28"/>
          <w:szCs w:val="28"/>
          <w:highlight w:val="none"/>
        </w:rPr>
        <w:outlineLvl w:val="2"/>
      </w:pPr>
      <w:r/>
      <w:bookmarkStart w:id="174" w:name="OLE_LINK10"/>
      <w:r>
        <w:rPr>
          <w:rFonts w:ascii="Times New Roman" w:hAnsi="Times New Roman" w:eastAsia="黑体"/>
          <w:sz w:val="28"/>
          <w:szCs w:val="28"/>
          <w:highlight w:val="none"/>
        </w:rPr>
        <w:t xml:space="preserve">1、</w:t>
      </w:r>
      <w:bookmarkStart w:id="175" w:name="_Toc213884879"/>
      <w:r>
        <w:rPr>
          <w:rFonts w:hint="eastAsia" w:ascii="Times New Roman" w:hAnsi="Times New Roman" w:eastAsia="黑体"/>
          <w:sz w:val="28"/>
          <w:szCs w:val="28"/>
          <w:highlight w:val="none"/>
        </w:rPr>
        <w:t xml:space="preserve">主机安全</w:t>
      </w:r>
      <w:bookmarkEnd w:id="174"/>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主机安全主要面向政务云云主机、</w:t>
      </w:r>
      <w:r>
        <w:rPr>
          <w:rFonts w:ascii="Times New Roman" w:hAnsi="Times New Roman"/>
          <w:sz w:val="24"/>
          <w:szCs w:val="24"/>
          <w:highlight w:val="none"/>
        </w:rPr>
        <w:t xml:space="preserve">裸金属</w:t>
      </w:r>
      <w:r>
        <w:rPr>
          <w:rFonts w:hint="eastAsia" w:ascii="Times New Roman" w:hAnsi="Times New Roman"/>
          <w:sz w:val="24"/>
          <w:szCs w:val="24"/>
          <w:highlight w:val="none"/>
        </w:rPr>
        <w:t xml:space="preserve">等主机资产，提供资产纳管、基线检查、漏洞排查、入侵检测、恶意行为识别、日志审计和告警处置等能力。通过持续监测主机运行状态和安全风险，帮助采购人及时发现异常、提升威胁响应效率，并建立覆盖日常防护、风险发现和事件处置的主机安全保障机制。</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配套国产化</w:t>
      </w:r>
      <w:r>
        <w:rPr>
          <w:rFonts w:hint="eastAsia" w:ascii="Times New Roman" w:hAnsi="Times New Roman"/>
          <w:i/>
          <w:sz w:val="24"/>
          <w:szCs w:val="24"/>
          <w:highlight w:val="none"/>
          <w:u w:val="single"/>
        </w:rPr>
        <w:t xml:space="preserve">主机安全管理工具2套，工具产权归采购人。</w:t>
      </w:r>
      <w:r>
        <w:rPr>
          <w:rFonts w:hint="eastAsia" w:ascii="Times New Roman" w:hAnsi="Times New Roman"/>
          <w:sz w:val="24"/>
          <w:szCs w:val="24"/>
          <w:highlight w:val="none"/>
        </w:rPr>
        <w:t xml:space="preserve">每套</w:t>
      </w:r>
      <w:r>
        <w:rPr>
          <w:rFonts w:ascii="Times New Roman" w:hAnsi="Times New Roman"/>
          <w:sz w:val="24"/>
          <w:szCs w:val="24"/>
          <w:highlight w:val="none"/>
        </w:rPr>
        <w:t xml:space="preserve">技术要求如下：</w:t>
      </w:r>
      <w:r>
        <w:rPr>
          <w:rFonts w:ascii="Times New Roman" w:hAnsi="Times New Roman"/>
          <w:sz w:val="24"/>
          <w:szCs w:val="24"/>
          <w:highlight w:val="none"/>
        </w:rPr>
      </w:r>
      <w:r/>
    </w:p>
    <w:tbl>
      <w:tblPr>
        <w:tblStyle w:val="964"/>
        <w:tblW w:w="84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76"/>
        <w:gridCol w:w="6379"/>
      </w:tblGrid>
      <w:tr>
        <w:trPr>
          <w:trHeight w:val="380"/>
          <w:tblHeader/>
        </w:trPr>
        <w:tc>
          <w:tcPr>
            <w:tcW w:w="817" w:type="dxa"/>
            <w:vAlign w:val="center"/>
            <w:textDirection w:val="lrTb"/>
            <w:noWrap w:val="false"/>
          </w:tcPr>
          <w:p>
            <w:pPr>
              <w:pStyle w:val="894"/>
              <w:jc w:val="center"/>
              <w:rPr>
                <w:rFonts w:ascii="Times New Roman" w:hAnsi="Times New Roman"/>
                <w:b/>
                <w:color w:val="000000"/>
                <w:szCs w:val="21"/>
                <w:highlight w:val="none"/>
              </w:rPr>
            </w:pPr>
            <w:r/>
            <w:bookmarkStart w:id="176" w:name="_Toc213884884"/>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指标</w:t>
            </w:r>
            <w:r>
              <w:rPr>
                <w:rFonts w:ascii="Times New Roman" w:hAnsi="Times New Roman"/>
                <w:b/>
                <w:color w:val="000000"/>
                <w:szCs w:val="21"/>
                <w:highlight w:val="none"/>
              </w:rPr>
              <w:t xml:space="preserve">项</w:t>
            </w:r>
            <w:r>
              <w:rPr>
                <w:rFonts w:ascii="Times New Roman" w:hAnsi="Times New Roman"/>
                <w:b/>
                <w:color w:val="000000"/>
                <w:szCs w:val="21"/>
                <w:highlight w:val="none"/>
              </w:rPr>
            </w:r>
            <w:r/>
          </w:p>
        </w:tc>
        <w:tc>
          <w:tcPr>
            <w:tcW w:w="6379"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技术指标要求</w:t>
            </w:r>
            <w:r>
              <w:rPr>
                <w:rFonts w:ascii="Times New Roman" w:hAnsi="Times New Roman"/>
                <w:b/>
                <w:color w:val="000000"/>
                <w:szCs w:val="21"/>
                <w:highlight w:val="none"/>
              </w:rPr>
            </w:r>
            <w:r/>
          </w:p>
        </w:tc>
      </w:tr>
      <w:tr>
        <w:trPr>
          <w:trHeight w:val="340"/>
        </w:trPr>
        <w:tc>
          <w:tcPr>
            <w:tcW w:w="817" w:type="dxa"/>
            <w:vAlign w:val="center"/>
            <w:textDirection w:val="lrTb"/>
            <w:noWrap w:val="false"/>
          </w:tcPr>
          <w:p>
            <w:pPr>
              <w:pStyle w:val="894"/>
              <w:jc w:val="center"/>
              <w:rPr>
                <w:rFonts w:ascii="宋体" w:hAnsi="宋体"/>
                <w:color w:val="000000"/>
                <w:szCs w:val="21"/>
                <w:highlight w:val="none"/>
                <w:lang w:bidi="ar"/>
              </w:rPr>
            </w:pPr>
            <w:r>
              <w:rPr>
                <w:rFonts w:hint="eastAsia" w:ascii="宋体" w:hAnsi="宋体"/>
                <w:color w:val="000000"/>
                <w:szCs w:val="21"/>
                <w:highlight w:val="none"/>
                <w:lang w:bidi="ar"/>
              </w:rPr>
              <w:t xml:space="preserve">1</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产品部署</w:t>
            </w:r>
            <w:r>
              <w:rPr>
                <w:rFonts w:hint="eastAsia" w:ascii="Times New Roman" w:hAnsi="Times New Roman"/>
                <w:color w:val="000000"/>
                <w:szCs w:val="21"/>
                <w:highlight w:val="none"/>
              </w:rPr>
              <w:t xml:space="preserve">和兼容性</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i/>
                <w:color w:val="000000"/>
                <w:szCs w:val="21"/>
                <w:highlight w:val="none"/>
                <w:u w:val="single"/>
              </w:rPr>
              <w:t xml:space="preserve">提供主机安全管理工具，含3</w:t>
            </w:r>
            <w:r>
              <w:rPr>
                <w:rFonts w:ascii="Times New Roman" w:hAnsi="Times New Roman"/>
                <w:i/>
                <w:color w:val="000000"/>
                <w:szCs w:val="21"/>
                <w:highlight w:val="none"/>
                <w:u w:val="single"/>
              </w:rPr>
              <w:t xml:space="preserve">00</w:t>
            </w:r>
            <w:r>
              <w:rPr>
                <w:rFonts w:hint="eastAsia" w:ascii="Times New Roman" w:hAnsi="Times New Roman"/>
                <w:i/>
                <w:color w:val="000000"/>
                <w:szCs w:val="21"/>
                <w:highlight w:val="none"/>
                <w:u w:val="single"/>
              </w:rPr>
              <w:t xml:space="preserve">个探针节点授权，提供3年的软件升级及质保服务，</w:t>
            </w:r>
            <w:r>
              <w:rPr>
                <w:rFonts w:ascii="Times New Roman" w:hAnsi="Times New Roman"/>
                <w:i/>
                <w:color w:val="000000"/>
                <w:szCs w:val="21"/>
                <w:highlight w:val="none"/>
                <w:u w:val="single"/>
              </w:rPr>
              <w:t xml:space="preserve">主机安全管理</w:t>
            </w:r>
            <w:r>
              <w:rPr>
                <w:rFonts w:hint="eastAsia" w:ascii="Times New Roman" w:hAnsi="Times New Roman"/>
                <w:i/>
                <w:color w:val="000000"/>
                <w:szCs w:val="21"/>
                <w:highlight w:val="none"/>
                <w:u w:val="single"/>
              </w:rPr>
              <w:t xml:space="preserve">工具</w:t>
            </w:r>
            <w:r>
              <w:rPr>
                <w:rFonts w:ascii="Times New Roman" w:hAnsi="Times New Roman"/>
                <w:i/>
                <w:color w:val="000000"/>
                <w:szCs w:val="21"/>
                <w:highlight w:val="none"/>
                <w:u w:val="single"/>
              </w:rPr>
              <w:t xml:space="preserve">软件需支持接入国家信息中心电子政务外网远程安全运营托管平台。</w:t>
            </w:r>
            <w:r>
              <w:rPr>
                <w:rFonts w:hint="eastAsia" w:ascii="Times New Roman" w:hAnsi="Times New Roman"/>
                <w:i/>
                <w:color w:val="000000"/>
                <w:szCs w:val="21"/>
                <w:highlight w:val="none"/>
                <w:u w:val="single"/>
              </w:rPr>
              <w:t xml:space="preserve">根据政务云安全管理要求，投标人须提供原生二进制安装包进行部署并支持国产化操作系统，不接受以虚拟机镜像等镜像类文件方式作为交付载体。</w:t>
            </w:r>
            <w:r>
              <w:rPr>
                <w:rFonts w:ascii="Times New Roman" w:hAnsi="Times New Roman"/>
                <w:i/>
                <w:color w:val="000000"/>
                <w:szCs w:val="21"/>
                <w:highlight w:val="none"/>
                <w:u w:val="single"/>
              </w:rPr>
              <w:t xml:space="preserve">（提供</w:t>
            </w:r>
            <w:r>
              <w:rPr>
                <w:rFonts w:hint="eastAsia" w:ascii="Times New Roman" w:hAnsi="Times New Roman"/>
                <w:i/>
                <w:color w:val="000000"/>
                <w:szCs w:val="21"/>
                <w:highlight w:val="none"/>
                <w:u w:val="single"/>
              </w:rPr>
              <w:t xml:space="preserve">投标人</w:t>
            </w:r>
            <w:r>
              <w:rPr>
                <w:rFonts w:ascii="Times New Roman" w:hAnsi="Times New Roman"/>
                <w:i/>
                <w:color w:val="000000"/>
                <w:szCs w:val="21"/>
                <w:highlight w:val="none"/>
                <w:u w:val="single"/>
              </w:rPr>
              <w:t xml:space="preserve">承诺函）</w:t>
            </w:r>
            <w:r>
              <w:rPr>
                <w:rFonts w:hint="eastAsia" w:ascii="Times New Roman" w:hAnsi="Times New Roman"/>
                <w:i/>
                <w:color w:val="000000"/>
                <w:szCs w:val="21"/>
                <w:highlight w:val="none"/>
                <w:u w:val="single"/>
              </w:rPr>
              <w:t xml:space="preserve">。</w:t>
            </w:r>
            <w:r>
              <w:rPr>
                <w:rFonts w:ascii="Times New Roman" w:hAnsi="Times New Roman"/>
                <w:color w:val="000000"/>
                <w:szCs w:val="21"/>
                <w:highlight w:val="none"/>
              </w:rPr>
            </w:r>
            <w:r/>
          </w:p>
          <w:p>
            <w:pPr>
              <w:pStyle w:val="894"/>
              <w:rPr>
                <w:rFonts w:ascii="宋体" w:hAnsi="宋体"/>
                <w:color w:val="000000"/>
                <w:szCs w:val="21"/>
                <w:highlight w:val="none"/>
                <w:lang w:bidi="ar"/>
              </w:rPr>
            </w:pPr>
            <w:r>
              <w:rPr>
                <w:rFonts w:ascii="Times New Roman" w:hAnsi="Times New Roman"/>
                <w:color w:val="000000"/>
                <w:szCs w:val="21"/>
                <w:highlight w:val="none"/>
              </w:rPr>
              <w:t xml:space="preserve">探针支持嵌入虚拟机系统镜像内，可随虚拟机自动部署并启用探针。支持通过正向代理和反向代理两种模式完成探针安装部署与使用。支持远程部署安装探针，支持用户自定义上传认证信息，支持查看安装结果。</w:t>
            </w:r>
            <w:r>
              <w:rPr>
                <w:rFonts w:ascii="宋体" w:hAnsi="宋体"/>
                <w:color w:val="000000"/>
                <w:szCs w:val="21"/>
                <w:highlight w:val="none"/>
                <w:lang w:bidi="ar"/>
              </w:rPr>
            </w:r>
            <w:r/>
          </w:p>
        </w:tc>
      </w:tr>
      <w:tr>
        <w:trPr>
          <w:trHeight w:val="680"/>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hint="eastAsia" w:ascii="宋体" w:hAnsi="宋体"/>
                <w:color w:val="000000"/>
                <w:szCs w:val="21"/>
                <w:highlight w:val="none"/>
                <w:lang w:bidi="ar"/>
              </w:rPr>
              <w:t xml:space="preserve">2</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主机</w:t>
            </w:r>
            <w:r>
              <w:rPr>
                <w:rFonts w:ascii="Times New Roman" w:hAnsi="Times New Roman"/>
                <w:color w:val="000000"/>
                <w:szCs w:val="21"/>
                <w:highlight w:val="none"/>
              </w:rPr>
              <w:t xml:space="preserve">基本信息</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支持自动清点和梳理主机基本信息，包含主机名称、主机IP地址、主机状态、操作系统、主机关联威胁事件、主机关联漏洞风险、最近一次发现时间等。支持对主机信息图表统计，包括探针总数、操作系统、CPU核心数、内存容量、CPU负载分布、内存负载分布、主机数量等。</w:t>
            </w:r>
            <w:r>
              <w:rPr>
                <w:rFonts w:ascii="Times New Roman" w:hAnsi="Times New Roman"/>
                <w:color w:val="000000"/>
                <w:szCs w:val="21"/>
                <w:highlight w:val="none"/>
              </w:rPr>
            </w:r>
            <w:r/>
          </w:p>
        </w:tc>
      </w:tr>
      <w:tr>
        <w:trPr>
          <w:trHeight w:val="416"/>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3</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外挂存储扫描</w:t>
            </w:r>
            <w:r>
              <w:rPr>
                <w:rFonts w:ascii="Times New Roman" w:hAnsi="Times New Roman"/>
                <w:color w:val="000000"/>
                <w:szCs w:val="21"/>
                <w:highlight w:val="none"/>
              </w:rPr>
            </w:r>
            <w:r/>
          </w:p>
        </w:tc>
        <w:tc>
          <w:tcPr>
            <w:tcW w:w="6379" w:type="dxa"/>
            <w:vAlign w:val="top"/>
            <w:textDirection w:val="lrTb"/>
            <w:noWrap w:val="false"/>
          </w:tcPr>
          <w:p>
            <w:pPr>
              <w:pStyle w:val="894"/>
              <w:rPr>
                <w:rFonts w:ascii="宋体" w:hAnsi="宋体"/>
                <w:color w:val="000000"/>
                <w:szCs w:val="21"/>
                <w:highlight w:val="none"/>
                <w:lang w:bidi="ar"/>
              </w:rPr>
            </w:pPr>
            <w:r>
              <w:rPr>
                <w:rFonts w:hint="eastAsia" w:ascii="Times New Roman" w:hAnsi="Times New Roman"/>
                <w:color w:val="000000"/>
                <w:szCs w:val="21"/>
                <w:highlight w:val="none"/>
              </w:rPr>
              <w:t xml:space="preserve">▲支持主机网络存储路径扫描，支持展示网络磁盘挂载点信息，支持Linux上通过NFS、FUSE、virtio等方式挂载的网络文件系统和虚拟文件系统，以及 Windows 上通过网络驱动器挂载的盘符。（需提供产品系统内页面功能截图证明）</w:t>
            </w:r>
            <w:r>
              <w:rPr>
                <w:rFonts w:ascii="宋体" w:hAnsi="宋体"/>
                <w:color w:val="000000"/>
                <w:szCs w:val="21"/>
                <w:highlight w:val="none"/>
                <w:lang w:bidi="ar"/>
              </w:rPr>
            </w:r>
            <w:r/>
          </w:p>
        </w:tc>
      </w:tr>
      <w:tr>
        <w:trPr>
          <w:trHeight w:val="381"/>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4</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漏洞检测</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具备通用漏洞检测能力，支持检测操作系统、应用程序、数据库等不同组件漏洞。支持对单个漏洞进行一键复测。漏洞信息需包括漏洞级别、评估依据信息、漏洞修复建议、漏洞类型、利用特征、CVSS分值、CVSS向量、勒索事件、两高一弱标签等信息。</w:t>
            </w:r>
            <w:r>
              <w:rPr>
                <w:rFonts w:ascii="Times New Roman" w:hAnsi="Times New Roman"/>
                <w:color w:val="000000"/>
                <w:szCs w:val="21"/>
                <w:highlight w:val="none"/>
              </w:rPr>
            </w:r>
            <w:r/>
          </w:p>
        </w:tc>
      </w:tr>
      <w:tr>
        <w:trPr>
          <w:trHeight w:val="379"/>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5</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漏洞复测</w:t>
            </w:r>
            <w:r>
              <w:rPr>
                <w:rFonts w:ascii="Times New Roman" w:hAnsi="Times New Roman"/>
                <w:color w:val="000000"/>
                <w:szCs w:val="21"/>
                <w:highlight w:val="none"/>
              </w:rPr>
            </w:r>
            <w:r/>
          </w:p>
        </w:tc>
        <w:tc>
          <w:tcPr>
            <w:tcW w:w="6379" w:type="dxa"/>
            <w:vAlign w:val="center"/>
            <w:textDirection w:val="lrTb"/>
            <w:noWrap w:val="false"/>
          </w:tcPr>
          <w:p>
            <w:pPr>
              <w:pStyle w:val="894"/>
              <w:widowControl/>
              <w:rPr>
                <w:rFonts w:ascii="宋体" w:hAnsi="宋体" w:cs="宋体"/>
                <w:color w:val="000000"/>
                <w:szCs w:val="21"/>
                <w:highlight w:val="none"/>
                <w:lang w:bidi="ar"/>
              </w:rPr>
            </w:pPr>
            <w:r>
              <w:rPr>
                <w:rFonts w:hint="eastAsia" w:ascii="Times New Roman" w:hAnsi="Times New Roman"/>
                <w:color w:val="000000"/>
                <w:szCs w:val="21"/>
                <w:highlight w:val="none"/>
              </w:rPr>
              <w:t xml:space="preserve">▲</w:t>
            </w:r>
            <w:r>
              <w:rPr>
                <w:rFonts w:ascii="宋体" w:hAnsi="宋体" w:cs="宋体"/>
                <w:color w:val="000000"/>
                <w:szCs w:val="21"/>
                <w:highlight w:val="none"/>
                <w:lang w:bidi="ar"/>
              </w:rPr>
              <w:t xml:space="preserve">支持在漏洞复测时，自动同步更新关联的资产信息，提高漏洞管理整体准确性。</w:t>
            </w:r>
            <w:r>
              <w:rPr>
                <w:rFonts w:hint="eastAsia" w:ascii="Times New Roman" w:hAnsi="Times New Roman"/>
                <w:color w:val="000000"/>
                <w:szCs w:val="21"/>
                <w:highlight w:val="none"/>
              </w:rPr>
              <w:t xml:space="preserve">（需提供产品系统内页面功能截图证明）</w:t>
            </w:r>
            <w:r>
              <w:rPr>
                <w:rFonts w:ascii="宋体" w:hAnsi="宋体" w:cs="宋体"/>
                <w:color w:val="000000"/>
                <w:szCs w:val="21"/>
                <w:highlight w:val="none"/>
                <w:lang w:bidi="ar"/>
              </w:rPr>
            </w:r>
            <w:r/>
          </w:p>
        </w:tc>
      </w:tr>
      <w:tr>
        <w:trPr>
          <w:trHeight w:val="558"/>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6</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应急漏洞检测</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具备真实高风险应急漏洞检测能力，采用无害化POC插件方式进行本地应急漏洞检测，发现高危真实漏洞。</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188"/>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7</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ascii="宋体" w:hAnsi="宋体" w:cs="宋体"/>
                <w:color w:val="000000"/>
                <w:szCs w:val="21"/>
                <w:highlight w:val="none"/>
                <w:lang w:bidi="ar"/>
              </w:rPr>
              <w:t xml:space="preserve">补丁</w:t>
            </w:r>
            <w:r>
              <w:rPr>
                <w:rFonts w:hint="eastAsia" w:ascii="宋体" w:hAnsi="宋体" w:cs="宋体"/>
                <w:color w:val="000000"/>
                <w:szCs w:val="21"/>
                <w:highlight w:val="none"/>
                <w:lang w:bidi="ar"/>
              </w:rPr>
              <w:t xml:space="preserve">情报</w:t>
            </w:r>
            <w:r>
              <w:rPr>
                <w:rFonts w:ascii="Times New Roman" w:hAnsi="Times New Roman"/>
                <w:color w:val="000000"/>
                <w:szCs w:val="21"/>
                <w:highlight w:val="none"/>
              </w:rPr>
            </w:r>
            <w:r/>
          </w:p>
        </w:tc>
        <w:tc>
          <w:tcPr>
            <w:tcW w:w="6379" w:type="dxa"/>
            <w:vAlign w:val="center"/>
            <w:textDirection w:val="lrTb"/>
            <w:noWrap w:val="false"/>
          </w:tcPr>
          <w:p>
            <w:pPr>
              <w:pStyle w:val="894"/>
              <w:widowControl/>
              <w:rPr>
                <w:rFonts w:ascii="宋体" w:hAnsi="宋体" w:cs="宋体"/>
                <w:color w:val="000000"/>
                <w:szCs w:val="21"/>
                <w:highlight w:val="none"/>
                <w:lang w:bidi="ar"/>
              </w:rPr>
            </w:pPr>
            <w:r>
              <w:rPr>
                <w:rFonts w:hint="eastAsia" w:ascii="Times New Roman" w:hAnsi="Times New Roman"/>
                <w:color w:val="000000"/>
                <w:szCs w:val="21"/>
                <w:highlight w:val="none"/>
              </w:rPr>
              <w:t xml:space="preserve">▲</w:t>
            </w:r>
            <w:r>
              <w:rPr>
                <w:rFonts w:ascii="宋体" w:hAnsi="宋体" w:cs="宋体"/>
                <w:color w:val="000000"/>
                <w:szCs w:val="21"/>
                <w:highlight w:val="none"/>
                <w:lang w:bidi="ar"/>
              </w:rPr>
              <w:t xml:space="preserve">具备Windows补丁情报功能，内置2万条以上Windows补丁信息。支持Windows补丁信息搜索查询</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补丁信息包括：关联CVE、补丁号、重启标签、解决方案、补丁更新详情。</w:t>
            </w:r>
            <w:r>
              <w:rPr>
                <w:rFonts w:hint="eastAsia" w:ascii="Times New Roman" w:hAnsi="Times New Roman"/>
                <w:color w:val="000000"/>
                <w:szCs w:val="21"/>
                <w:highlight w:val="none"/>
              </w:rPr>
              <w:t xml:space="preserve">（需提供产品系统内页面功能截图证明）</w:t>
            </w:r>
            <w:r>
              <w:rPr>
                <w:rFonts w:ascii="宋体" w:hAnsi="宋体" w:cs="宋体"/>
                <w:color w:val="000000"/>
                <w:szCs w:val="21"/>
                <w:highlight w:val="none"/>
                <w:lang w:bidi="ar"/>
              </w:rPr>
            </w:r>
            <w:r/>
          </w:p>
        </w:tc>
      </w:tr>
      <w:tr>
        <w:trPr>
          <w:trHeight w:val="188"/>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8</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补丁检测</w:t>
            </w:r>
            <w:r>
              <w:rPr>
                <w:rFonts w:ascii="Times New Roman" w:hAnsi="Times New Roman"/>
                <w:color w:val="000000"/>
                <w:szCs w:val="21"/>
                <w:highlight w:val="none"/>
              </w:rPr>
            </w:r>
            <w:r/>
          </w:p>
        </w:tc>
        <w:tc>
          <w:tcPr>
            <w:tcW w:w="6379" w:type="dxa"/>
            <w:vAlign w:val="center"/>
            <w:textDirection w:val="lrTb"/>
            <w:noWrap w:val="false"/>
          </w:tcPr>
          <w:p>
            <w:pPr>
              <w:pStyle w:val="894"/>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支持检测主机安全补丁，支持对检测出补丁风险的主机进行一键修复、快速复测等支持手动配置自定义补丁解决方案</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r>
            <w:r/>
          </w:p>
        </w:tc>
      </w:tr>
      <w:tr>
        <w:trPr>
          <w:trHeight w:val="457"/>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9</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弱口令</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支持检测30种以上软件弱口令，需支持检测 Linux 与 Windows 系统弱口令；支持展示用户名、发现时间、服务类型、外部可访问性、服务版本、服务安装路径、弱口令类型、修复周期等信息，提供弱口令详细信息的查看和多维度筛选过滤功能。</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340"/>
        </w:trPr>
        <w:tc>
          <w:tcPr>
            <w:tcW w:w="817"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t xml:space="preserve">10</w:t>
            </w:r>
            <w:r>
              <w:rPr>
                <w:rFonts w:ascii="宋体" w:hAnsi="宋体"/>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高危端口监控</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支持对高危端口进行实时监控，并对恶意端口监听行为进行告警</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内置“两高一弱”内网高危端口规则，同时支持用户自定义监控规则。事件详情包括：匹配特征、进程信息、进程树、命令执行记录、真实的操作来源IP，并支持标记恶意命令、普通命令、非命令事件三种类型，支持实时监控命令执行情况。</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340"/>
        </w:trPr>
        <w:tc>
          <w:tcPr>
            <w:tcW w:w="817"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1</w:t>
            </w:r>
            <w:r>
              <w:rPr>
                <w:rFonts w:ascii="宋体" w:hAnsi="宋体"/>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蜜罐联动</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▲支持部署联动型蜜罐探针，转发牵引攻击流量，对内网存在的扫描行为进行检测，发现黑客扫描行为实时告警，支持自定义配置。（需提供产品系统内页面功能截图证明）</w:t>
            </w:r>
            <w:r>
              <w:rPr>
                <w:rFonts w:ascii="Times New Roman" w:hAnsi="Times New Roman"/>
                <w:color w:val="000000"/>
                <w:szCs w:val="21"/>
                <w:highlight w:val="none"/>
              </w:rPr>
            </w:r>
            <w:r/>
          </w:p>
        </w:tc>
      </w:tr>
      <w:tr>
        <w:trPr>
          <w:trHeight w:val="226"/>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hint="eastAsia" w:ascii="宋体" w:hAnsi="宋体"/>
                <w:color w:val="000000"/>
                <w:szCs w:val="21"/>
                <w:highlight w:val="none"/>
                <w:lang w:bidi="ar"/>
              </w:rPr>
              <w:t xml:space="preserve">1</w:t>
            </w:r>
            <w:r>
              <w:rPr>
                <w:rFonts w:ascii="宋体" w:hAnsi="宋体"/>
                <w:color w:val="000000"/>
                <w:szCs w:val="21"/>
                <w:highlight w:val="none"/>
                <w:lang w:bidi="ar"/>
              </w:rPr>
              <w:t xml:space="preserve">2</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反弹Shell防护</w:t>
            </w:r>
            <w:r>
              <w:rPr>
                <w:rFonts w:ascii="Times New Roman" w:hAnsi="Times New Roman"/>
                <w:color w:val="000000"/>
                <w:szCs w:val="21"/>
                <w:highlight w:val="none"/>
              </w:rPr>
            </w:r>
            <w:r/>
          </w:p>
        </w:tc>
        <w:tc>
          <w:tcPr>
            <w:tcW w:w="6379" w:type="dxa"/>
            <w:vAlign w:val="center"/>
            <w:textDirection w:val="lrTb"/>
            <w:noWrap w:val="false"/>
          </w:tcPr>
          <w:p>
            <w:pPr>
              <w:pStyle w:val="894"/>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支持对不同风险级别的反弹Shell事件进行自动阻断，支持自定义自动阻断时间。</w:t>
            </w:r>
            <w:r>
              <w:rPr>
                <w:rFonts w:ascii="宋体" w:hAnsi="宋体" w:cs="宋体"/>
                <w:color w:val="000000"/>
                <w:szCs w:val="21"/>
                <w:highlight w:val="none"/>
                <w:lang w:bidi="ar"/>
              </w:rPr>
            </w:r>
            <w:r/>
          </w:p>
        </w:tc>
      </w:tr>
      <w:tr>
        <w:trPr>
          <w:trHeight w:val="225"/>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hint="eastAsia" w:ascii="宋体" w:hAnsi="宋体"/>
                <w:color w:val="000000"/>
                <w:szCs w:val="21"/>
                <w:highlight w:val="none"/>
                <w:lang w:bidi="ar"/>
              </w:rPr>
              <w:t xml:space="preserve">1</w:t>
            </w:r>
            <w:r>
              <w:rPr>
                <w:rFonts w:ascii="宋体" w:hAnsi="宋体"/>
                <w:color w:val="000000"/>
                <w:szCs w:val="21"/>
                <w:highlight w:val="none"/>
                <w:lang w:bidi="ar"/>
              </w:rPr>
              <w:t xml:space="preserve">3</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本地提权防护</w:t>
            </w:r>
            <w:r>
              <w:rPr>
                <w:rFonts w:ascii="Times New Roman" w:hAnsi="Times New Roman"/>
                <w:color w:val="000000"/>
                <w:szCs w:val="21"/>
                <w:highlight w:val="none"/>
              </w:rPr>
            </w:r>
            <w:r/>
          </w:p>
        </w:tc>
        <w:tc>
          <w:tcPr>
            <w:tcW w:w="6379" w:type="dxa"/>
            <w:vAlign w:val="center"/>
            <w:textDirection w:val="lrTb"/>
            <w:noWrap w:val="false"/>
          </w:tcPr>
          <w:p>
            <w:pPr>
              <w:pStyle w:val="894"/>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支持对不同风险级别的本地提权行为进行自动或手动阻断，支持自定义自动阻断时间。</w:t>
            </w:r>
            <w:r>
              <w:rPr>
                <w:rFonts w:ascii="宋体" w:hAnsi="宋体" w:cs="宋体"/>
                <w:color w:val="000000"/>
                <w:szCs w:val="21"/>
                <w:highlight w:val="none"/>
                <w:lang w:bidi="ar"/>
              </w:rPr>
            </w:r>
            <w:r/>
          </w:p>
        </w:tc>
      </w:tr>
      <w:tr>
        <w:trPr>
          <w:trHeight w:val="225"/>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hint="eastAsia" w:ascii="宋体" w:hAnsi="宋体"/>
                <w:color w:val="000000"/>
                <w:szCs w:val="21"/>
                <w:highlight w:val="none"/>
                <w:lang w:bidi="ar"/>
              </w:rPr>
              <w:t xml:space="preserve">1</w:t>
            </w:r>
            <w:r>
              <w:rPr>
                <w:rFonts w:ascii="宋体" w:hAnsi="宋体"/>
                <w:color w:val="000000"/>
                <w:szCs w:val="21"/>
                <w:highlight w:val="none"/>
                <w:lang w:bidi="ar"/>
              </w:rPr>
              <w:t xml:space="preserve">4</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WebShell防护</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支持对 WebShell文件、恶意文件等实施手动隔离/删除，同时支持自动隔离设置。支持对WebShell事件进行拟态隔离</w:t>
            </w:r>
            <w:r>
              <w:rPr>
                <w:rFonts w:hint="eastAsia" w:ascii="Times New Roman" w:hAnsi="Times New Roman"/>
                <w:color w:val="000000"/>
                <w:szCs w:val="21"/>
                <w:highlight w:val="none"/>
              </w:rPr>
              <w:t xml:space="preserve">防护</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520"/>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15</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产品资质</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产品需具备云（原生）安全产品检验证书、国家信息安全漏洞库</w:t>
            </w:r>
            <w:r>
              <w:rPr>
                <w:rFonts w:ascii="Times New Roman" w:hAnsi="Times New Roman"/>
                <w:color w:val="000000"/>
                <w:szCs w:val="21"/>
                <w:highlight w:val="none"/>
              </w:rPr>
              <w:t xml:space="preserve">(CNNVD</w:t>
            </w:r>
            <w:r>
              <w:rPr>
                <w:rFonts w:hint="eastAsia" w:ascii="Times New Roman" w:hAnsi="Times New Roman"/>
                <w:color w:val="000000"/>
                <w:szCs w:val="21"/>
                <w:highlight w:val="none"/>
              </w:rPr>
              <w:t xml:space="preserve">）兼容性资质证书，产品制造商需具备国家工业信息安全发展研究中心信创政务产品安全漏洞专业库技术支撑单位证书（提供证书扫描件）。</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2、</w:t>
      </w:r>
      <w:bookmarkEnd w:id="176"/>
      <w:r>
        <w:rPr>
          <w:rFonts w:hint="eastAsia" w:ascii="Times New Roman" w:hAnsi="Times New Roman" w:eastAsia="黑体"/>
          <w:sz w:val="28"/>
          <w:szCs w:val="28"/>
          <w:highlight w:val="none"/>
        </w:rPr>
        <w:t xml:space="preserve">API安全检测</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API安全检测主要面向政务云中各类业务接口和开放API，提供接口资产梳理、访问行为分析、敏感数据识别、越权访问检测、漏洞检测等能力。通过对API暴露面和调用过程进行持续检测，帮助采购人及时发现接口安全隐患，降低数据泄露和接口滥用风险，提升整体接口安全治理水平。</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配套国产化</w:t>
      </w:r>
      <w:r>
        <w:rPr>
          <w:rFonts w:hint="eastAsia" w:ascii="Times New Roman" w:hAnsi="Times New Roman"/>
          <w:i/>
          <w:sz w:val="24"/>
          <w:szCs w:val="24"/>
          <w:highlight w:val="none"/>
          <w:u w:val="single"/>
        </w:rPr>
        <w:t xml:space="preserve">高级API安全审计</w:t>
      </w:r>
      <w:r>
        <w:rPr>
          <w:rFonts w:ascii="Times New Roman" w:hAnsi="Times New Roman"/>
          <w:i/>
          <w:sz w:val="24"/>
          <w:szCs w:val="24"/>
          <w:highlight w:val="none"/>
          <w:u w:val="single"/>
        </w:rPr>
        <w:t xml:space="preserve">工具</w:t>
      </w:r>
      <w:r>
        <w:rPr>
          <w:rFonts w:hint="eastAsia" w:ascii="Times New Roman" w:hAnsi="Times New Roman"/>
          <w:i/>
          <w:sz w:val="24"/>
          <w:szCs w:val="24"/>
          <w:highlight w:val="none"/>
          <w:u w:val="single"/>
        </w:rPr>
        <w:t xml:space="preserve">2套，工具产权归采购人。</w:t>
      </w:r>
      <w:r>
        <w:rPr>
          <w:rFonts w:hint="eastAsia" w:ascii="Times New Roman" w:hAnsi="Times New Roman"/>
          <w:sz w:val="24"/>
          <w:szCs w:val="24"/>
          <w:highlight w:val="none"/>
        </w:rPr>
        <w:t xml:space="preserve">每套</w:t>
      </w:r>
      <w:r>
        <w:rPr>
          <w:rFonts w:ascii="Times New Roman" w:hAnsi="Times New Roman"/>
          <w:sz w:val="24"/>
          <w:szCs w:val="24"/>
          <w:highlight w:val="none"/>
        </w:rPr>
        <w:t xml:space="preserve">技术要求如下：</w:t>
      </w:r>
      <w:r>
        <w:rPr>
          <w:rFonts w:ascii="Times New Roman" w:hAnsi="Times New Roman"/>
          <w:sz w:val="24"/>
          <w:szCs w:val="24"/>
          <w:highlight w:val="none"/>
        </w:rPr>
      </w:r>
      <w:r/>
    </w:p>
    <w:tbl>
      <w:tblPr>
        <w:tblStyle w:val="9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6379"/>
      </w:tblGrid>
      <w:tr>
        <w:trPr>
          <w:trHeight w:val="390"/>
          <w:tblHeader/>
        </w:trPr>
        <w:tc>
          <w:tcPr>
            <w:tcW w:w="817"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379"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技术指标要求</w:t>
            </w:r>
            <w:r>
              <w:rPr>
                <w:rFonts w:ascii="Times New Roman" w:hAnsi="Times New Roman"/>
                <w:b/>
                <w:color w:val="000000"/>
                <w:szCs w:val="21"/>
                <w:highlight w:val="none"/>
              </w:rPr>
            </w:r>
            <w:r/>
          </w:p>
        </w:tc>
      </w:tr>
      <w:tr>
        <w:trPr>
          <w:trHeight w:val="39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产品要求</w:t>
            </w:r>
            <w:r>
              <w:rPr>
                <w:rFonts w:ascii="Times New Roman" w:hAnsi="Times New Roman"/>
                <w:color w:val="000000"/>
                <w:szCs w:val="21"/>
                <w:highlight w:val="none"/>
              </w:rPr>
            </w:r>
            <w:r/>
          </w:p>
        </w:tc>
        <w:tc>
          <w:tcPr>
            <w:tcW w:w="6379" w:type="dxa"/>
            <w:vAlign w:val="top"/>
            <w:textDirection w:val="lrTb"/>
            <w:noWrap w:val="false"/>
          </w:tcPr>
          <w:p>
            <w:pPr>
              <w:pStyle w:val="894"/>
              <w:rPr>
                <w:rFonts w:ascii="宋体" w:hAnsi="宋体"/>
                <w:i/>
                <w:szCs w:val="21"/>
                <w:highlight w:val="none"/>
                <w:u w:val="single"/>
              </w:rPr>
            </w:pPr>
            <w:r>
              <w:rPr>
                <w:rFonts w:hint="eastAsia" w:ascii="Times New Roman" w:hAnsi="Times New Roman"/>
                <w:i/>
                <w:color w:val="000000"/>
                <w:szCs w:val="21"/>
                <w:highlight w:val="none"/>
                <w:u w:val="single"/>
              </w:rPr>
              <w:t xml:space="preserve">提供高级API安全审计工具，性能不低于5000QPS，提供3年的软件升级及质保服务。根据政务云安全管理要求，投标人须提供原生二进制安装包进行部署并支持国产化操作系统，不接受以虚拟机镜像等镜像类文件方式作为交付载体。（提供投标人承诺函）。</w:t>
            </w:r>
            <w:r>
              <w:rPr>
                <w:rFonts w:ascii="宋体" w:hAnsi="宋体"/>
                <w:i/>
                <w:szCs w:val="21"/>
                <w:highlight w:val="none"/>
                <w:u w:val="single"/>
              </w:rPr>
            </w:r>
            <w:r/>
          </w:p>
        </w:tc>
      </w:tr>
      <w:tr>
        <w:trPr>
          <w:trHeight w:val="33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流量接入方式</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流量镜像支持硬件/软件两种部署方式。支持通过 vxlan 协议获取流量镜像、支持通过agent在服务器上获取流量并检测。</w:t>
            </w:r>
            <w:r>
              <w:rPr>
                <w:rFonts w:ascii="Times New Roman" w:hAnsi="Times New Roman"/>
                <w:color w:val="000000"/>
                <w:szCs w:val="21"/>
                <w:highlight w:val="none"/>
              </w:rPr>
            </w:r>
            <w:r/>
          </w:p>
        </w:tc>
      </w:tr>
      <w:tr>
        <w:trPr>
          <w:trHeight w:val="57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API发现</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支持对API请求响应结构体进行自动发现，穷举展示API请求和响应中query、header、body中所有业务键值对</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支持根据不同业务情况配置restful规范中的urlpath位置变量，手动编写应用或API聚合/不聚合规则，API发现引擎将按照聚合规则执行API发现任务。支持多聚合/不聚合任务并行</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569"/>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递归解析</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▲支持通过递归解码解析 API 请求响应中 Quer、Header、Body 等数据，并识别实际业务中传递的参数与数据。（需提供产品系统内页面功能截图证明）</w:t>
            </w:r>
            <w:r>
              <w:rPr>
                <w:rFonts w:ascii="Times New Roman" w:hAnsi="Times New Roman"/>
                <w:color w:val="000000"/>
                <w:szCs w:val="21"/>
                <w:highlight w:val="none"/>
              </w:rPr>
            </w:r>
            <w:r/>
          </w:p>
        </w:tc>
      </w:tr>
      <w:tr>
        <w:trPr>
          <w:trHeight w:val="33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自动聚合</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系统内置自动聚合模型，支持对满足条件的Restful类型接口自动聚合，发现更为精准的业务API，减少API噪声</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33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6</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自动拆分</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系统内置自动拆分模型，支持对满足条件的RPC类型接口自动谓词拆分，发现展示业务真实API</w:t>
            </w:r>
            <w:r>
              <w:rPr>
                <w:rFonts w:hint="eastAsia" w:ascii="Times New Roman" w:hAnsi="Times New Roman"/>
                <w:color w:val="000000"/>
                <w:szCs w:val="21"/>
                <w:highlight w:val="none"/>
              </w:rPr>
              <w:t xml:space="preserve">。</w:t>
            </w:r>
            <w:r>
              <w:rPr>
                <w:rFonts w:ascii="Times New Roman" w:hAnsi="Times New Roman"/>
                <w:color w:val="000000"/>
                <w:szCs w:val="21"/>
                <w:highlight w:val="none"/>
              </w:rPr>
            </w:r>
            <w:r/>
          </w:p>
        </w:tc>
      </w:tr>
      <w:tr>
        <w:trPr>
          <w:trHeight w:val="381"/>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7</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API敏感数据发现</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▲支持识别和检测API请求和响应内容中的敏感数据类型，能正确统计命中次数，并能在页面展示相关敏感数据示例。</w:t>
            </w:r>
            <w:r>
              <w:rPr>
                <w:rFonts w:ascii="Times New Roman" w:hAnsi="Times New Roman"/>
                <w:color w:val="000000"/>
                <w:szCs w:val="21"/>
                <w:highlight w:val="none"/>
              </w:rPr>
              <w:t xml:space="preserve">支持对API请求、响应报文进行10层递归解码，可识别多种编码格式如：HTML解码、Unicode解码、十六进制转换、斜杠反转义、二进制解码、UTF-8、Base64等</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379"/>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8</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多规则类型</w:t>
            </w:r>
            <w:r>
              <w:rPr>
                <w:rFonts w:ascii="Times New Roman" w:hAnsi="Times New Roman"/>
                <w:color w:val="000000"/>
                <w:szCs w:val="21"/>
                <w:highlight w:val="none"/>
              </w:rPr>
            </w:r>
            <w:r/>
          </w:p>
        </w:tc>
        <w:tc>
          <w:tcPr>
            <w:tcW w:w="637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支持正则表达式、K-V识别等多种规则类型，支持对不同应用或应用站点下发不同数据发现任务，并支持用户自定义。</w:t>
            </w:r>
            <w:r>
              <w:rPr>
                <w:rFonts w:ascii="Times New Roman" w:hAnsi="Times New Roman"/>
                <w:color w:val="000000"/>
                <w:szCs w:val="21"/>
                <w:highlight w:val="none"/>
              </w:rPr>
            </w:r>
            <w:r/>
          </w:p>
        </w:tc>
      </w:tr>
      <w:tr>
        <w:trPr>
          <w:trHeight w:val="379"/>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9</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数据类型识别</w:t>
            </w:r>
            <w:r>
              <w:rPr>
                <w:rFonts w:ascii="Times New Roman" w:hAnsi="Times New Roman"/>
                <w:color w:val="000000"/>
                <w:szCs w:val="21"/>
                <w:highlight w:val="none"/>
              </w:rPr>
            </w:r>
            <w:r/>
          </w:p>
        </w:tc>
        <w:tc>
          <w:tcPr>
            <w:tcW w:w="637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系统内置常见的数据类型识别规则，包括但不限于：身份证、手机号、银行卡号、座机号码、电子邮箱、车牌号和地址等数据识别规则。</w:t>
            </w:r>
            <w:r>
              <w:rPr>
                <w:rFonts w:ascii="Times New Roman" w:hAnsi="Times New Roman"/>
                <w:color w:val="000000"/>
                <w:szCs w:val="21"/>
                <w:highlight w:val="none"/>
              </w:rPr>
            </w:r>
            <w:r/>
          </w:p>
        </w:tc>
      </w:tr>
      <w:tr>
        <w:trPr>
          <w:trHeight w:val="33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0</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API用户身份识别</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系统支持自动提取和检测请求API的用户身份，并支持用户进行API身份再次确认，支持用户通过Query、Cookie、Header、Body自定义配置用户身份标识，生效范围可选全局、应用、站点、API，系统内置常见的API身份信息识别特征不少于50条。</w:t>
            </w:r>
            <w:r>
              <w:rPr>
                <w:rFonts w:ascii="Times New Roman" w:hAnsi="Times New Roman"/>
                <w:color w:val="000000"/>
                <w:szCs w:val="21"/>
                <w:highlight w:val="none"/>
              </w:rPr>
            </w:r>
            <w:r/>
          </w:p>
        </w:tc>
      </w:tr>
      <w:tr>
        <w:trPr>
          <w:trHeight w:val="33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API风险识别</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▲支持识别API中的设计缺陷、错误配置和漏洞，包括但不限于弱口令、未鉴权访问、不必要的HTTP方法等。</w:t>
            </w:r>
            <w:r>
              <w:rPr>
                <w:rFonts w:ascii="Times New Roman" w:hAnsi="Times New Roman"/>
                <w:color w:val="000000"/>
                <w:szCs w:val="21"/>
                <w:highlight w:val="none"/>
              </w:rPr>
              <w:t xml:space="preserve">基于指纹库的组件识别与相应漏洞发现，对接厂商漏洞知识库，能够覆盖上千个产品，3000多高价值漏洞。</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381"/>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智能语义引擎</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基于智能语义引擎的检测，基于攻击语言代码的理解，可覆盖主流API漏洞；包括但不限于SQL注入检测、XSS注入检测、webshelll检测、java反序列化检测、php反序列化检测、java代码注入检测、php代码注入检测、asp代码注入检测、命令注入检测、文件上传检测等。</w:t>
            </w:r>
            <w:r>
              <w:rPr>
                <w:rFonts w:ascii="Times New Roman" w:hAnsi="Times New Roman"/>
                <w:color w:val="000000"/>
                <w:szCs w:val="21"/>
                <w:highlight w:val="none"/>
              </w:rPr>
            </w:r>
            <w:r/>
          </w:p>
        </w:tc>
      </w:tr>
      <w:tr>
        <w:trPr>
          <w:trHeight w:val="379"/>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防护策略</w:t>
            </w:r>
            <w:r>
              <w:rPr>
                <w:rFonts w:ascii="Times New Roman" w:hAnsi="Times New Roman"/>
                <w:color w:val="000000"/>
                <w:szCs w:val="21"/>
                <w:highlight w:val="none"/>
              </w:rPr>
            </w:r>
            <w:r/>
          </w:p>
        </w:tc>
        <w:tc>
          <w:tcPr>
            <w:tcW w:w="637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▲支持对 API 单独配置防护策略，对包含SQL注入、XSS、文件包含、CSRF、机器人检测等API异常请求进行阻断。（需提供产品系统内页面功能截图证明）</w:t>
            </w:r>
            <w:r>
              <w:rPr>
                <w:rFonts w:ascii="Times New Roman" w:hAnsi="Times New Roman"/>
                <w:color w:val="000000"/>
                <w:szCs w:val="21"/>
                <w:highlight w:val="none"/>
              </w:rPr>
            </w:r>
            <w:r/>
          </w:p>
        </w:tc>
      </w:tr>
      <w:tr>
        <w:trPr>
          <w:trHeight w:val="379"/>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自定义规则</w:t>
            </w:r>
            <w:r>
              <w:rPr>
                <w:rFonts w:ascii="Times New Roman" w:hAnsi="Times New Roman"/>
                <w:color w:val="000000"/>
                <w:szCs w:val="21"/>
                <w:highlight w:val="none"/>
              </w:rPr>
            </w:r>
            <w:r/>
          </w:p>
        </w:tc>
        <w:tc>
          <w:tcPr>
            <w:tcW w:w="637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▲支持对 API 单独配置自定义规则，对命中特定特征的API请求进行阻断，且不影响同一业务下其他 API 请求访问。（需提供产品系统内页面功能截图证明）</w:t>
            </w:r>
            <w:r>
              <w:rPr>
                <w:rFonts w:ascii="Times New Roman" w:hAnsi="Times New Roman"/>
                <w:color w:val="000000"/>
                <w:szCs w:val="21"/>
                <w:highlight w:val="none"/>
              </w:rPr>
            </w:r>
            <w:r/>
          </w:p>
        </w:tc>
      </w:tr>
      <w:tr>
        <w:trPr>
          <w:trHeight w:val="870"/>
        </w:trPr>
        <w:tc>
          <w:tcPr>
            <w:tcW w:w="817" w:type="dxa"/>
            <w:vAlign w:val="center"/>
            <w:textDirection w:val="lrTb"/>
            <w:noWrap w:val="false"/>
          </w:tcPr>
          <w:p>
            <w:pPr>
              <w:pStyle w:val="894"/>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5</w:t>
            </w:r>
            <w:r>
              <w:rPr>
                <w:rFonts w:ascii="宋体" w:hAnsi="宋体"/>
                <w:color w:val="000000"/>
                <w:szCs w:val="21"/>
                <w:highlight w:val="none"/>
              </w:rPr>
            </w:r>
            <w:r/>
          </w:p>
        </w:tc>
        <w:tc>
          <w:tcPr>
            <w:tcW w:w="1276" w:type="dxa"/>
            <w:vAlign w:val="center"/>
            <w:textDirection w:val="lrTb"/>
            <w:noWrap/>
          </w:tcPr>
          <w:p>
            <w:pPr>
              <w:pStyle w:val="894"/>
              <w:jc w:val="center"/>
              <w:rPr>
                <w:rFonts w:ascii="宋体" w:hAnsi="宋体"/>
                <w:color w:val="000000"/>
                <w:szCs w:val="21"/>
                <w:highlight w:val="none"/>
              </w:rPr>
            </w:pPr>
            <w:r>
              <w:rPr>
                <w:rFonts w:hint="eastAsia" w:ascii="Times New Roman" w:hAnsi="Times New Roman"/>
                <w:color w:val="000000"/>
                <w:szCs w:val="21"/>
                <w:highlight w:val="none"/>
              </w:rPr>
              <w:t xml:space="preserve">产品资质</w:t>
            </w:r>
            <w:r>
              <w:rPr>
                <w:rFonts w:ascii="宋体" w:hAnsi="宋体"/>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▲产品需具备网</w:t>
            </w:r>
            <w:r>
              <w:rPr>
                <w:rFonts w:ascii="Times New Roman" w:hAnsi="Times New Roman"/>
                <w:color w:val="000000"/>
                <w:szCs w:val="21"/>
                <w:highlight w:val="none"/>
              </w:rPr>
              <w:t xml:space="preserve">络安全专用产品安全检测证书</w:t>
            </w:r>
            <w:r>
              <w:rPr>
                <w:rFonts w:hint="eastAsia" w:ascii="Times New Roman" w:hAnsi="Times New Roman"/>
                <w:color w:val="000000"/>
                <w:szCs w:val="21"/>
                <w:highlight w:val="none"/>
              </w:rPr>
              <w:t xml:space="preserve">、需具备</w:t>
            </w:r>
            <w:r>
              <w:rPr>
                <w:rFonts w:ascii="Times New Roman" w:hAnsi="Times New Roman"/>
                <w:color w:val="000000"/>
                <w:szCs w:val="21"/>
                <w:highlight w:val="none"/>
              </w:rPr>
              <w:t xml:space="preserve">数据安全产品检验证书</w:t>
            </w:r>
            <w:r>
              <w:rPr>
                <w:rFonts w:hint="eastAsia" w:ascii="Times New Roman" w:hAnsi="Times New Roman"/>
                <w:color w:val="000000"/>
                <w:szCs w:val="21"/>
                <w:highlight w:val="none"/>
              </w:rPr>
              <w:t xml:space="preserve">、需具备</w:t>
            </w:r>
            <w:r>
              <w:rPr>
                <w:rFonts w:ascii="Times New Roman" w:hAnsi="Times New Roman"/>
                <w:color w:val="000000"/>
                <w:szCs w:val="21"/>
                <w:highlight w:val="none"/>
              </w:rPr>
              <w:t xml:space="preserve">国家信息安全漏洞库(CNNVD）兼容性资质证书</w:t>
            </w:r>
            <w:r>
              <w:rPr>
                <w:rFonts w:hint="eastAsia" w:ascii="Times New Roman" w:hAnsi="Times New Roman"/>
                <w:color w:val="000000"/>
                <w:szCs w:val="21"/>
                <w:highlight w:val="none"/>
              </w:rPr>
              <w:t xml:space="preserve">（提供证书扫描件）。</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bookmarkEnd w:id="175"/>
      <w:r>
        <w:rPr>
          <w:rFonts w:ascii="Times New Roman" w:hAnsi="Times New Roman" w:eastAsia="黑体"/>
          <w:sz w:val="28"/>
          <w:szCs w:val="28"/>
          <w:highlight w:val="none"/>
        </w:rPr>
        <w:t xml:space="preserve">3、</w:t>
      </w:r>
      <w:r>
        <w:rPr>
          <w:rFonts w:hint="eastAsia" w:ascii="Times New Roman" w:hAnsi="Times New Roman" w:eastAsia="黑体"/>
          <w:sz w:val="28"/>
          <w:szCs w:val="28"/>
          <w:highlight w:val="none"/>
        </w:rPr>
        <w:t xml:space="preserve">智能DNS</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智能DNS主要面向域名管理、域名解析、安全防护、统计分析、监控告警等，帮助采购人提供域名解析综合管理方案，满足采购人的恶意域名访问控制与智能解析需求。</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国产化</w:t>
      </w:r>
      <w:r>
        <w:rPr>
          <w:rFonts w:hint="eastAsia" w:ascii="Times New Roman" w:hAnsi="Times New Roman"/>
          <w:i/>
          <w:sz w:val="24"/>
          <w:szCs w:val="24"/>
          <w:highlight w:val="none"/>
          <w:u w:val="single"/>
        </w:rPr>
        <w:t xml:space="preserve">智能DNS工具1套，工具产权归采购人。</w:t>
      </w:r>
      <w:r>
        <w:rPr>
          <w:rFonts w:hint="eastAsia" w:ascii="Times New Roman" w:hAnsi="Times New Roman"/>
          <w:sz w:val="24"/>
          <w:szCs w:val="24"/>
          <w:highlight w:val="none"/>
        </w:rPr>
        <w:t xml:space="preserve">技术要求如下：</w:t>
      </w:r>
      <w:r>
        <w:rPr>
          <w:rFonts w:ascii="Times New Roman" w:hAnsi="Times New Roman"/>
          <w:sz w:val="24"/>
          <w:szCs w:val="24"/>
          <w:highlight w:val="none"/>
        </w:rPr>
        <w:t xml:space="preserve"> </w:t>
      </w:r>
      <w:r>
        <w:rPr>
          <w:rFonts w:ascii="Times New Roman" w:hAnsi="Times New Roman"/>
          <w:sz w:val="24"/>
          <w:szCs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286"/>
        <w:gridCol w:w="6410"/>
      </w:tblGrid>
      <w:tr>
        <w:trPr>
          <w:trHeight w:val="424"/>
          <w:tblHeader/>
        </w:trPr>
        <w:tc>
          <w:tcPr>
            <w:tcW w:w="823"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86"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10"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技术指标要求</w:t>
            </w:r>
            <w:r>
              <w:rPr>
                <w:rFonts w:ascii="Times New Roman" w:hAnsi="Times New Roman"/>
                <w:b/>
                <w:color w:val="000000"/>
                <w:szCs w:val="21"/>
                <w:highlight w:val="none"/>
              </w:rPr>
            </w:r>
            <w:r/>
          </w:p>
        </w:tc>
      </w:tr>
      <w:tr>
        <w:trPr>
          <w:trHeight w:val="90"/>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86" w:type="dxa"/>
            <w:vAlign w:val="center"/>
            <w:textDirection w:val="lrTb"/>
            <w:noWrap w:val="false"/>
          </w:tcPr>
          <w:p>
            <w:pPr>
              <w:pStyle w:val="894"/>
              <w:jc w:val="center"/>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性能配置</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i/>
                <w:color w:val="000000"/>
                <w:szCs w:val="21"/>
                <w:highlight w:val="none"/>
                <w:u w:val="single"/>
              </w:rPr>
              <w:t xml:space="preserve">2U，双电源，16G内存，10个千兆电口、4个万兆光口、2个扩展槽，硬盘容量≥1TB；解析速率性能</w:t>
            </w:r>
            <w:r>
              <w:rPr>
                <w:rFonts w:ascii="Times New Roman" w:hAnsi="Times New Roman"/>
                <w:i/>
                <w:color w:val="000000"/>
                <w:szCs w:val="21"/>
                <w:highlight w:val="none"/>
                <w:u w:val="single"/>
              </w:rPr>
              <w:t xml:space="preserve">30</w:t>
            </w:r>
            <w:r>
              <w:rPr>
                <w:rFonts w:hint="eastAsia" w:ascii="Times New Roman" w:hAnsi="Times New Roman"/>
                <w:i/>
                <w:color w:val="000000"/>
                <w:szCs w:val="21"/>
                <w:highlight w:val="none"/>
                <w:u w:val="single"/>
              </w:rPr>
              <w:t xml:space="preserve">万QPS，</w:t>
            </w:r>
            <w:r>
              <w:rPr>
                <w:rFonts w:ascii="Times New Roman" w:hAnsi="Times New Roman"/>
                <w:i/>
                <w:color w:val="000000"/>
                <w:szCs w:val="21"/>
                <w:highlight w:val="none"/>
                <w:u w:val="single"/>
              </w:rPr>
              <w:t xml:space="preserve">5</w:t>
            </w:r>
            <w:r>
              <w:rPr>
                <w:rFonts w:hint="eastAsia" w:ascii="Times New Roman" w:hAnsi="Times New Roman"/>
                <w:i/>
                <w:color w:val="000000"/>
                <w:szCs w:val="21"/>
                <w:highlight w:val="none"/>
                <w:u w:val="single"/>
              </w:rPr>
              <w:t xml:space="preserve">0条智能解析策略；3年恶意域名库更新服务。提供3年的软件升级及质保服务。（提供投标人承诺函）</w:t>
            </w:r>
            <w:r>
              <w:rPr>
                <w:rFonts w:ascii="Times New Roman" w:hAnsi="Times New Roman"/>
                <w:color w:val="000000"/>
                <w:szCs w:val="21"/>
                <w:highlight w:val="none"/>
              </w:rPr>
            </w:r>
            <w:r/>
          </w:p>
        </w:tc>
      </w:tr>
      <w:tr>
        <w:trPr>
          <w:trHeight w:val="90"/>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权威功能</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支持CNAME4记录和CNAME6记录类型，实现在解析同一个域名时，指定不同类型（A/AAAA）时指向不同的CNAME结果；支持显性URL解析、隐性URL解析，将域名解析通过地址跳转和不跳转的方式下解析到任意URL。</w:t>
            </w:r>
            <w:r>
              <w:rPr>
                <w:rFonts w:ascii="Times New Roman" w:hAnsi="Times New Roman"/>
                <w:color w:val="000000"/>
                <w:szCs w:val="21"/>
                <w:highlight w:val="none"/>
              </w:rPr>
              <w:t xml:space="preserve"> </w:t>
            </w:r>
            <w:r>
              <w:rPr>
                <w:rFonts w:ascii="Times New Roman" w:hAnsi="Times New Roman"/>
                <w:color w:val="000000"/>
                <w:szCs w:val="21"/>
                <w:highlight w:val="none"/>
              </w:rPr>
            </w:r>
            <w:r/>
          </w:p>
        </w:tc>
      </w:tr>
      <w:tr>
        <w:trPr>
          <w:trHeight w:val="90"/>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记录管理</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支持记录预导入，导入时对数据进行预处理，支持对导入数据的一键合规性检查验证；支持在预导入列表内对不合规的记录进行修改后再批量写入系统，支持在预导入列表内临时添加缺失的记录。</w:t>
            </w:r>
            <w:r>
              <w:rPr>
                <w:rFonts w:ascii="Times New Roman" w:hAnsi="Times New Roman"/>
                <w:color w:val="000000"/>
                <w:szCs w:val="21"/>
                <w:highlight w:val="none"/>
              </w:rPr>
            </w:r>
            <w:r/>
          </w:p>
        </w:tc>
      </w:tr>
      <w:tr>
        <w:trPr>
          <w:trHeight w:val="90"/>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域管理</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在从域中对主域记录进行列表查看，包括记录名、记录类型、TTL、解析值；支持主域和从域之间的一键切换，从域切换到主域后可正常添加配置，切换为主域后可以一键切换回从域而不丢失已添加的主域配置信息；支持设置从域永不过期。（需提供产品系统内页面功能截图证明）</w:t>
            </w:r>
            <w:r>
              <w:rPr>
                <w:rFonts w:ascii="Times New Roman" w:hAnsi="Times New Roman"/>
                <w:color w:val="000000"/>
                <w:szCs w:val="21"/>
                <w:highlight w:val="none"/>
              </w:rPr>
            </w:r>
            <w:r/>
          </w:p>
        </w:tc>
      </w:tr>
      <w:tr>
        <w:trPr>
          <w:trHeight w:val="90"/>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同步域功能</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▲支持同步域功能，在管理主域时，同步管理一个不同后缀的域，当主域记录改变时，同步域记录同步改变。（需提供产品系统内页面功能截图证明）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6</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递归功能</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i/>
                <w:color w:val="000000"/>
                <w:szCs w:val="21"/>
                <w:highlight w:val="none"/>
                <w:u w:val="single"/>
              </w:rPr>
              <w:t xml:space="preserve">支持DNS明文/DoH/DoT的转发服务器类型，支持设置ns作为转发服务器，并按设置时间自动更新；支持设置自动获取DoH服务器地址和端口；支持多个转发服务器按比例均衡转发，并且自动摘除故障的转发服务器。（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7</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负载均衡策略</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负载均衡策略，并根据网络出口带宽使用情况进行动态调度，实现多链路出口的均衡使用，在出口故障时及时切换；支持配置初始权值和动态权值检测，检测方式至少包括：SNMP探测指定IP网卡流量、转发服务器延时服务测试；可指定参数包括：检测周期、复检周期、延时阈值、异常判定次数；支持手动设置端口出、入、带宽属性；支持根据检测结果进行算法均衡，算法包括：按权值转发、最优转发、均衡转发、按顺序转发。</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8</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QOS选路优化</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▲支持QoS优化选路，可对热点域名的解析结果进行多线路QoS检测，并且根据检测结果对热点域名进行选路。（需提供产品系统内页面功能截图证明）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中间结果转发</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▲支持CDN域名进行二次调度优化，在DNS策略中支持中间结果转发功能，对于CNAME中间结果进行二次解析。（需提供产品系统内页面功能截图证明）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0</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DNS安全</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i/>
                <w:color w:val="000000"/>
                <w:szCs w:val="21"/>
                <w:highlight w:val="none"/>
                <w:u w:val="single"/>
              </w:rPr>
              <w:t xml:space="preserve">★支持DNS攻击防护，防护的攻击种类至少包括：DDoS攻击，DNS隧道攻击，</w:t>
            </w:r>
            <w:r>
              <w:rPr>
                <w:rFonts w:hint="eastAsia" w:ascii="Times New Roman" w:hAnsi="Times New Roman"/>
                <w:i/>
                <w:color w:val="000000"/>
                <w:szCs w:val="21"/>
                <w:highlight w:val="none"/>
                <w:u w:val="single"/>
              </w:rPr>
              <w:t xml:space="preserve">DNS递归攻击，DNS缓存投毒、DNS反射攻击防护。支持威胁情报防护，对挖矿、勒索、木马等威胁域名进行拦截，并记录威胁活动日志，威胁活动日志信息包括：发现时间、失陷主机、恶意域名、恶意行为、情报名称、严重基本、处置状态、处置信息。支持在本地系统中针对特定恶意域名查询其威胁情报详情，包括发布时间、威胁类型、严重级别、情报描述。威胁情报库支持在线更新，更新周期不大于1天。支持对接第三方威胁情报库，多个威胁情报库可同时进行拦截，有效降低单一情报库覆盖不全导致的恶意域名漏拦风险。（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DNS</w:t>
            </w:r>
            <w:r>
              <w:rPr>
                <w:rFonts w:hint="eastAsia" w:ascii="Times New Roman" w:hAnsi="Times New Roman"/>
                <w:color w:val="000000"/>
                <w:szCs w:val="21"/>
                <w:highlight w:val="none"/>
              </w:rPr>
              <w:t xml:space="preserve">污染预警</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DNS污染预警，可对互联网中常用的DNS解析服务器（可自定义配置）进行探测，对我方发布的关键域名的解析结果进行监控，如果发现互联网中解析结果与我方发布结果不同，则给出告警及时干预，防止DNS污染长时间蔓延。（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日志记录</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DNS响应日志记录，对每一次请求的响应内容可通过日志详细记录，字段包括：请求时间、用户源地址、域名、域名类型、线路或策略、集群、服务器IP、AA标志位、TC标志位、RD标志位、RA标志位、AD标志位、CD标志位、 是否命中缓存、解析延迟；支持上述日志字段的网页查看，支持展示字段的动态配置。（需提供产品系统内页面功能截图证明）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日志查询</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▲支持使用标准SQL语句查询DNS日志，至少包括：SELECT语句、WHERE语句、GROUP BY语句；支持多维度复杂聚合查询，提供DNS日志的高性能聚合分析平台。（需提供产品系统内页面功能截图证明）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日志能力</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在DNS解析日志中反映用户每次DNS解析是否命中缓存;支持在DNS解析日志中反映用户每次DNS解析延迟毫秒数；支持对解析响应结果的模糊查询，实现对CNAME结果、TXT结果、IP地址结果的模糊查询匹配，帮助定位特定的DNS解析请求支持查询的时间跨度不低于一个月，在一次查询中可以查出一个月之内IP和域名的DNS解析日志。</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5</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实时分析</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内置DNS实时运行分析工具，按DNS集群分析整体服务状态，包括服务启停状态、TCP/UDP53端口状态、CPU内存使用率状态、DNS丢包率，以及集群QPS同比折线图、集群解析成功率同比折线图、策略解析成功率同比折线图，并根据解析成功率给出需要关注的具体内容</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6</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拨测工具</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内置DNS域名拨</w:t>
            </w:r>
            <w:r>
              <w:rPr>
                <w:rFonts w:ascii="Times New Roman" w:hAnsi="Times New Roman"/>
                <w:color w:val="000000"/>
                <w:szCs w:val="21"/>
                <w:highlight w:val="none"/>
              </w:rPr>
              <w:t xml:space="preserve">测分析工具，指定域名+源IP在某个DNS节点上进行拨测，并结合指定的时间范围对域名进行一键分析。拨测工具自动完成线路/递归策略匹配，对集群内每台服务器执行带TSIG认证的实时dig验证，并按权威、递归、转发场景分别检测上级NS指向、配置与权威结果一致性、外部请求可达性、历史日志一致性、转发服务器连通性与解析结果、TCP查询支持、否定缓存投毒、根服务器连通性状态，从而分析此域名当前存在的问题。支持对此域名历史解析日志进行对比分析，基于结果分布、成功率趋势、延迟分布和平均延迟趋势，并可带筛选条件跳转至详细日志。</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7</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资质证书</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▲产品具有公安部颁布的有效期内</w:t>
            </w:r>
            <w:r>
              <w:rPr>
                <w:rFonts w:ascii="Times New Roman" w:hAnsi="Times New Roman"/>
                <w:color w:val="000000"/>
                <w:szCs w:val="21"/>
                <w:highlight w:val="none"/>
              </w:rPr>
              <w:t xml:space="preserve">的</w:t>
            </w:r>
            <w:r>
              <w:rPr>
                <w:rFonts w:hint="eastAsia" w:ascii="Times New Roman" w:hAnsi="Times New Roman"/>
                <w:color w:val="000000"/>
                <w:szCs w:val="21"/>
                <w:highlight w:val="none"/>
              </w:rPr>
              <w:t xml:space="preserve">网络安全专用产品安全检测证书并在网络安全专用产品安全检测服务平台可查、产品具有信息技术产品安全测试证书。（提供证书扫描件）。</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4</w:t>
      </w:r>
      <w:r>
        <w:rPr>
          <w:rFonts w:hint="eastAsia" w:ascii="Times New Roman" w:hAnsi="Times New Roman" w:eastAsia="黑体"/>
          <w:sz w:val="28"/>
          <w:szCs w:val="28"/>
          <w:highlight w:val="none"/>
        </w:rPr>
        <w:t xml:space="preserve">、违规外联监测</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违规外联主要提供违规外联监测，发现违规外联行为。</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国产化</w:t>
      </w:r>
      <w:r>
        <w:rPr>
          <w:rFonts w:hint="eastAsia" w:ascii="Times New Roman" w:hAnsi="Times New Roman"/>
          <w:i/>
          <w:sz w:val="24"/>
          <w:szCs w:val="24"/>
          <w:highlight w:val="none"/>
          <w:u w:val="single"/>
        </w:rPr>
        <w:t xml:space="preserve">违规外联监测系统1套，工具产权归采购人。提供3年的软件升级及质保服务。</w:t>
      </w:r>
      <w:r>
        <w:rPr>
          <w:rFonts w:hint="eastAsia" w:ascii="Times New Roman" w:hAnsi="Times New Roman"/>
          <w:sz w:val="24"/>
          <w:szCs w:val="24"/>
          <w:highlight w:val="none"/>
        </w:rPr>
        <w:t xml:space="preserve">技术要求如下：</w:t>
      </w:r>
      <w:r>
        <w:rPr>
          <w:rFonts w:ascii="Times New Roman" w:hAnsi="Times New Roman"/>
          <w:sz w:val="24"/>
          <w:szCs w:val="24"/>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6429"/>
      </w:tblGrid>
      <w:tr>
        <w:trPr>
          <w:trHeight w:val="475"/>
          <w:tblHeader/>
        </w:trPr>
        <w:tc>
          <w:tcPr>
            <w:tcW w:w="817"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部署方式</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无需终端部署，部署交换机旁路，接入镜像流量，配置设备IP即可工作。不改变网络结构、不影响现有环境、无需部署终端Agent。</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网络行为自学习</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支持自动从网络流量中学习用户内网业务系统，支持自主检测点控制，提升网络安全行为检测范围或可控度。</w:t>
            </w:r>
            <w:r>
              <w:rPr>
                <w:rFonts w:ascii="Times New Roman" w:hAnsi="Times New Roman"/>
                <w:color w:val="000000"/>
                <w:szCs w:val="21"/>
                <w:highlight w:val="none"/>
              </w:rPr>
            </w:r>
            <w:r/>
          </w:p>
        </w:tc>
      </w:tr>
      <w:tr>
        <w:trPr>
          <w:trHeight w:val="798"/>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边界安全检测</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支持发现内部隔离设备通过连接无线网卡、NAT网关、本机双网卡连接、代理上网等方式接入互联网的违规外联行为</w:t>
            </w:r>
            <w:r>
              <w:rPr>
                <w:rFonts w:hint="eastAsia" w:ascii="Times New Roman" w:hAnsi="Times New Roman"/>
                <w:color w:val="000000"/>
                <w:szCs w:val="21"/>
                <w:highlight w:val="none"/>
              </w:rPr>
              <w:t xml:space="preserve">。</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拦截阻断</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支持对产生安全事件的源终端/主机或目的地址，进行阻断设置</w:t>
            </w:r>
            <w:r>
              <w:rPr>
                <w:rFonts w:hint="eastAsia" w:ascii="Times New Roman" w:hAnsi="Times New Roman"/>
                <w:color w:val="000000"/>
                <w:szCs w:val="21"/>
                <w:highlight w:val="none"/>
              </w:rPr>
              <w:t xml:space="preserve">。</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5</w:t>
      </w:r>
      <w:r>
        <w:rPr>
          <w:rFonts w:hint="eastAsia" w:ascii="Times New Roman" w:hAnsi="Times New Roman" w:eastAsia="黑体"/>
          <w:sz w:val="28"/>
          <w:szCs w:val="28"/>
          <w:highlight w:val="none"/>
        </w:rPr>
        <w:t xml:space="preserve">、被控反联阻断</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被控反联阻断主要面向网络内被控系统</w:t>
      </w:r>
      <w:r>
        <w:rPr>
          <w:rFonts w:ascii="Times New Roman" w:hAnsi="Times New Roman"/>
          <w:sz w:val="24"/>
          <w:szCs w:val="24"/>
          <w:highlight w:val="none"/>
        </w:rPr>
        <w:t xml:space="preserve">的</w:t>
      </w:r>
      <w:r>
        <w:rPr>
          <w:rFonts w:hint="eastAsia" w:ascii="Times New Roman" w:hAnsi="Times New Roman"/>
          <w:sz w:val="24"/>
          <w:szCs w:val="24"/>
          <w:highlight w:val="none"/>
        </w:rPr>
        <w:t xml:space="preserve">阻断工作。</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国产化</w:t>
      </w:r>
      <w:r>
        <w:rPr>
          <w:rFonts w:hint="eastAsia" w:ascii="Times New Roman" w:hAnsi="Times New Roman"/>
          <w:i/>
          <w:sz w:val="24"/>
          <w:szCs w:val="24"/>
          <w:highlight w:val="none"/>
          <w:u w:val="single"/>
        </w:rPr>
        <w:t xml:space="preserve">被控反联阻断系统1套，工具产权归采购人。提供3年的软件升级及质保服务。</w:t>
      </w:r>
      <w:r>
        <w:rPr>
          <w:rFonts w:hint="eastAsia" w:ascii="Times New Roman" w:hAnsi="Times New Roman"/>
          <w:sz w:val="24"/>
          <w:szCs w:val="24"/>
          <w:highlight w:val="none"/>
        </w:rPr>
        <w:t xml:space="preserve">技术要求如下：</w:t>
      </w:r>
      <w:r>
        <w:rPr>
          <w:rFonts w:ascii="Times New Roman" w:hAnsi="Times New Roman"/>
          <w:sz w:val="24"/>
          <w:szCs w:val="24"/>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6429"/>
      </w:tblGrid>
      <w:tr>
        <w:trPr>
          <w:tblHeader/>
        </w:trPr>
        <w:tc>
          <w:tcPr>
            <w:tcW w:w="817"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部署方式</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支持以旁路部署的方式发现被控反联行为，不改变网络结构。</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协议解析</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支持常见应用协议的解析或审计，包括但不限于HTTP、HTTPS、SMTP/POP3、IMAP、FTP、TELNET、DNS等基础协议和应用层协议。</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威胁情报库（IOC）</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情报库应包括恶意程序、后门软件、木马病毒、勒索挖矿类失陷型回联地址，与扫描探测、网络爬虫、漏洞扫描等攻击类情报，不少10种分类。</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失陷资产发现</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支持对流量中的 DNS、HTTP、TCP/UDP 协议进行解析，对于命中情报的事件进行风险告警，并展示相关资产IP等信息。</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6</w:t>
      </w:r>
      <w:r>
        <w:rPr>
          <w:rFonts w:hint="eastAsia" w:ascii="Times New Roman" w:hAnsi="Times New Roman" w:eastAsia="黑体"/>
          <w:sz w:val="28"/>
          <w:szCs w:val="28"/>
          <w:highlight w:val="none"/>
        </w:rPr>
        <w:t xml:space="preserve">、计算机终端保密检查系统自查工具授权扩容</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采购人已有北信源计算机终端保密检查系统自查工具，技术参数见下表。</w:t>
      </w:r>
      <w:r>
        <w:rPr>
          <w:rFonts w:ascii="Times New Roman" w:hAnsi="Times New Roman"/>
          <w:i/>
          <w:sz w:val="24"/>
          <w:szCs w:val="24"/>
          <w:highlight w:val="none"/>
          <w:u w:val="single"/>
        </w:rPr>
        <w:t xml:space="preserve">提供</w:t>
      </w:r>
      <w:r>
        <w:rPr>
          <w:rFonts w:hint="eastAsia" w:ascii="Times New Roman" w:hAnsi="Times New Roman"/>
          <w:i/>
          <w:sz w:val="24"/>
          <w:szCs w:val="24"/>
          <w:highlight w:val="none"/>
          <w:u w:val="single"/>
        </w:rPr>
        <w:t xml:space="preserve">该产品配套的计算机终端保密检查检测软件许可60个国产机信创版本（赠送240个Windows版本）实现计算机保密自查和在线检查。软件许可产权归采购人。</w:t>
      </w:r>
      <w:r>
        <w:rPr>
          <w:rFonts w:ascii="Times New Roman" w:hAnsi="Times New Roman"/>
          <w:sz w:val="24"/>
          <w:szCs w:val="24"/>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6429"/>
      </w:tblGrid>
      <w:tr>
        <w:trPr>
          <w:trHeight w:val="380"/>
          <w:tblHeader/>
        </w:trPr>
        <w:tc>
          <w:tcPr>
            <w:tcW w:w="817"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w:t>
            </w:r>
            <w:r>
              <w:rPr>
                <w:rFonts w:ascii="Times New Roman" w:hAnsi="Times New Roman"/>
                <w:b/>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left"/>
              <w:rPr>
                <w:rFonts w:ascii="Times New Roman" w:hAnsi="Times New Roman"/>
                <w:color w:val="000000"/>
                <w:szCs w:val="21"/>
                <w:highlight w:val="none"/>
              </w:rPr>
            </w:pPr>
            <w:r>
              <w:rPr>
                <w:rFonts w:hint="eastAsia" w:ascii="Times New Roman" w:hAnsi="Times New Roman"/>
                <w:color w:val="000000"/>
                <w:szCs w:val="21"/>
                <w:highlight w:val="none"/>
              </w:rPr>
              <w:t xml:space="preserve">计算机终端及存储介质信息检查</w:t>
            </w:r>
            <w:r>
              <w:rPr>
                <w:rFonts w:ascii="Times New Roman" w:hAnsi="Times New Roman"/>
                <w:color w:val="000000"/>
                <w:szCs w:val="21"/>
                <w:highlight w:val="none"/>
              </w:rPr>
              <w:t xml:space="preserve">参数</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收集操作系统版本、安装时间、计算机名、账户信息、IP及MAC地址，并检测MAC地址修改情况，存储设备检查，可获取内置存储设备的厂商、型号、序列号、总容量、分区详情，以及启动次数、累计使用时间、隐藏分区等各项文件文本及图片信息。USB设备使用记录检查、扫描移动介质的插拔记录，包括设备类型、名称、序列号、VID、PID、厂商、首次及末次使用时间等、上网记录检查、检查浏览历史、缓存、Cookie、收藏夹等上网痕迹。</w:t>
            </w:r>
            <w:r>
              <w:rPr>
                <w:rFonts w:ascii="Times New Roman" w:hAnsi="Times New Roman"/>
                <w:color w:val="000000"/>
                <w:szCs w:val="21"/>
                <w:highlight w:val="none"/>
              </w:rPr>
              <w:t xml:space="preserve">提供</w:t>
            </w:r>
            <w:r>
              <w:rPr>
                <w:rFonts w:hint="eastAsia" w:ascii="Times New Roman" w:hAnsi="Times New Roman"/>
                <w:color w:val="000000"/>
                <w:szCs w:val="21"/>
                <w:highlight w:val="none"/>
              </w:rPr>
              <w:t xml:space="preserve">服务期内文件检查搜索库</w:t>
            </w:r>
            <w:r>
              <w:rPr>
                <w:rFonts w:ascii="Times New Roman" w:hAnsi="Times New Roman"/>
                <w:color w:val="000000"/>
                <w:szCs w:val="21"/>
                <w:highlight w:val="none"/>
              </w:rPr>
              <w:t xml:space="preserve">规则库升级。 </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部署方式</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支持旁路部署的方式</w:t>
            </w:r>
            <w:r>
              <w:rPr>
                <w:rFonts w:hint="eastAsia" w:ascii="Times New Roman" w:hAnsi="Times New Roman"/>
                <w:color w:val="000000"/>
                <w:szCs w:val="21"/>
                <w:highlight w:val="none"/>
              </w:rPr>
              <w:t xml:space="preserve">，可</w:t>
            </w:r>
            <w:r>
              <w:rPr>
                <w:rFonts w:ascii="Times New Roman" w:hAnsi="Times New Roman"/>
                <w:color w:val="000000"/>
                <w:szCs w:val="21"/>
                <w:highlight w:val="none"/>
              </w:rPr>
              <w:t xml:space="preserve">不改变网络结构。</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基本功能要求</w:t>
            </w:r>
            <w:r>
              <w:rPr>
                <w:rFonts w:ascii="Times New Roman" w:hAnsi="Times New Roman"/>
                <w:color w:val="000000"/>
                <w:szCs w:val="21"/>
                <w:highlight w:val="none"/>
              </w:rPr>
            </w:r>
            <w:r/>
          </w:p>
        </w:tc>
        <w:tc>
          <w:tcPr>
            <w:tcW w:w="642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1、文本文件检查，识别文本文件（如TXT）内的敏感信息，包括文件名称、路径、大小、敏感关键字上下文、创建和修改时间，并给出违规提示。</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2、图片文件检查，支持TIFF、TIF、JPG、BMP、JPEG等图片格式的检查，包括文件中的图片内容。</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3、系统安全性检查提供全面的系统信息及安全性检查，便于综合评估被检主机的系统安全性。实现通用信创终端和Windows终端的统一管理，平台自动识别自动识别系统是龙芯平台、飞腾平台还是兆芯平台，无需人为判断快速导入保密检查系统方便系统部署。</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4、检查结果多维展示，检查结果支持违规统计、汇总分析、检查结果及大屏展示功能。报告直观展示网络版检查结果支持违规统计、汇总分析、检查结果直接展示。</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扩展要求</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1、断点续查功能：具备断点续查功能，即检查任务执行过程中遇断电、系统异常重启等，检查任务可按之前中断的检查点继续执行。</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2、一键自查功能：客户端具备一键自查功能，用户可自行选择时间执行自查，检查完成后可以在本地查看检查报告，同时检查报告自动上传服务器存档。</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7</w:t>
      </w:r>
      <w:r>
        <w:rPr>
          <w:rFonts w:hint="eastAsia" w:ascii="Times New Roman" w:hAnsi="Times New Roman" w:eastAsia="黑体"/>
          <w:sz w:val="28"/>
          <w:szCs w:val="28"/>
          <w:highlight w:val="none"/>
        </w:rPr>
        <w:t xml:space="preserve">、原有态势感知系统续保及升级API监测模块</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i/>
          <w:sz w:val="24"/>
          <w:szCs w:val="24"/>
          <w:highlight w:val="none"/>
          <w:u w:val="single"/>
        </w:rPr>
        <w:t xml:space="preserve">采购人已有两套奇安信网神安全态势感知系统，已过保一年以上，投标人</w:t>
      </w:r>
      <w:r>
        <w:rPr>
          <w:rFonts w:hint="eastAsia" w:ascii="Times New Roman" w:hAnsi="Times New Roman"/>
          <w:sz w:val="24"/>
          <w:szCs w:val="24"/>
          <w:highlight w:val="none"/>
        </w:rPr>
        <w:t xml:space="preserve">需</w:t>
      </w:r>
      <w:r>
        <w:rPr>
          <w:rFonts w:hint="eastAsia" w:ascii="Times New Roman" w:hAnsi="Times New Roman"/>
          <w:i/>
          <w:sz w:val="24"/>
          <w:szCs w:val="24"/>
          <w:highlight w:val="none"/>
          <w:u w:val="single"/>
        </w:rPr>
        <w:t xml:space="preserve">续费两年维保。同时对现有系统授权进行升级，提供相应API监测模块授权，监测模块产权归采购人。</w:t>
      </w:r>
      <w:r>
        <w:rPr>
          <w:rFonts w:hint="eastAsia" w:ascii="Times New Roman" w:hAnsi="Times New Roman"/>
          <w:sz w:val="24"/>
          <w:szCs w:val="24"/>
          <w:highlight w:val="none"/>
        </w:rPr>
        <w:t xml:space="preserve">技术要求如下：</w:t>
      </w:r>
      <w:r>
        <w:rPr>
          <w:rFonts w:ascii="Times New Roman" w:hAnsi="Times New Roman"/>
          <w:sz w:val="24"/>
          <w:szCs w:val="24"/>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6429"/>
      </w:tblGrid>
      <w:tr>
        <w:trPr>
          <w:tblHeader/>
        </w:trPr>
        <w:tc>
          <w:tcPr>
            <w:tcW w:w="817"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基础功能</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支持基于部门、应用不同维度统计应用总数、API总数、风险API数、风险数、涉敏API数以及涉敏种数。</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资产管理</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支持基于API资产视角以及脆弱性、异常行为、威胁告警、涉敏传输4个不同维度分析API风险。</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报表统计</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支持按照API总数、今日新增、开放属性、活跃状态、涉敏、新发现多维度进行统计分析API数量。</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联动处置</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支持基于SOAR技术联动20多种安全设备对API风险进行自动处置，支持对告警加白，或手动处置风险告警（删除告警，或标记告警为忽略、误报、已处置）</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自动提取</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支持自动提取敏感数据并汇总展示，默认对敏感信息进行脱敏展示，高权限用户可通过验证敏感操作密码查看原文并高亮显示。</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6</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分析报告</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支持API安全分析报告模板，分析维度包括：API概况、API资产分析、API脆弱性分析、API异常行为分析、API威胁告警分析、API敏感数据分析等。</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7</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维保</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提供奇安信网神安全态势感知系统两年维保，具体为天眼TSS10000-A58分析平台两套，天眼TSS10000-S53流量传感器两套。</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8、</w:t>
      </w:r>
      <w:r>
        <w:rPr>
          <w:rFonts w:hint="eastAsia" w:ascii="Times New Roman" w:hAnsi="Times New Roman" w:eastAsia="黑体"/>
          <w:sz w:val="28"/>
          <w:szCs w:val="28"/>
          <w:highlight w:val="none"/>
        </w:rPr>
        <w:t xml:space="preserve">互联网保密自监管</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互联网保密自监管主要面向互联网保密自监管检查需求。</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国产化</w:t>
      </w:r>
      <w:r>
        <w:rPr>
          <w:rFonts w:hint="eastAsia" w:ascii="Times New Roman" w:hAnsi="Times New Roman"/>
          <w:i/>
          <w:sz w:val="24"/>
          <w:szCs w:val="24"/>
          <w:highlight w:val="none"/>
          <w:u w:val="single"/>
        </w:rPr>
        <w:t xml:space="preserve">互联网保密自监管工具1套，工具产权归采购人。提供3年的软件升级及质保服务。</w:t>
      </w:r>
      <w:r>
        <w:rPr>
          <w:rFonts w:hint="eastAsia" w:ascii="Times New Roman" w:hAnsi="Times New Roman"/>
          <w:sz w:val="24"/>
          <w:szCs w:val="24"/>
          <w:highlight w:val="none"/>
        </w:rPr>
        <w:t xml:space="preserve">技术要求如下：</w:t>
      </w:r>
      <w:r>
        <w:rPr>
          <w:rFonts w:ascii="Times New Roman" w:hAnsi="Times New Roman"/>
          <w:sz w:val="24"/>
          <w:szCs w:val="24"/>
          <w:highlight w:val="none"/>
        </w:rPr>
      </w:r>
      <w:r/>
    </w:p>
    <w:tbl>
      <w:tblPr>
        <w:tblW w:w="8556"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76"/>
        <w:gridCol w:w="6429"/>
      </w:tblGrid>
      <w:tr>
        <w:trPr>
          <w:trHeight w:val="450"/>
          <w:tblHeader/>
        </w:trPr>
        <w:tc>
          <w:tcPr>
            <w:tcW w:w="851"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合规要求</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w:t>
            </w:r>
            <w:r>
              <w:rPr>
                <w:rFonts w:hint="eastAsia" w:ascii="Times New Roman" w:hAnsi="Times New Roman"/>
                <w:i/>
                <w:color w:val="000000"/>
                <w:szCs w:val="21"/>
                <w:highlight w:val="none"/>
                <w:u w:val="single"/>
              </w:rPr>
              <w:t xml:space="preserve">本次项目需提供300套终端授权，符合江苏省国家保密局对互联网保密自监管系统的要求。（提供投标人承诺函）</w:t>
            </w:r>
            <w:r>
              <w:rPr>
                <w:rFonts w:ascii="Times New Roman" w:hAnsi="Times New Roman"/>
                <w:color w:val="000000"/>
                <w:szCs w:val="21"/>
                <w:highlight w:val="non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部署模式</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i/>
                <w:color w:val="000000"/>
                <w:szCs w:val="21"/>
                <w:highlight w:val="none"/>
                <w:u w:val="single"/>
              </w:rPr>
            </w:pPr>
            <w:r>
              <w:rPr>
                <w:rFonts w:ascii="Times New Roman" w:hAnsi="Times New Roman"/>
                <w:i/>
                <w:color w:val="000000"/>
                <w:szCs w:val="21"/>
                <w:highlight w:val="none"/>
                <w:u w:val="single"/>
              </w:rPr>
              <w:t xml:space="preserve">★</w:t>
            </w:r>
            <w:r>
              <w:rPr>
                <w:rFonts w:hint="eastAsia" w:ascii="Times New Roman" w:hAnsi="Times New Roman"/>
                <w:i/>
                <w:color w:val="000000"/>
                <w:szCs w:val="21"/>
                <w:highlight w:val="none"/>
                <w:u w:val="single"/>
              </w:rPr>
              <w:t xml:space="preserve">支持客户端能注册到“江苏省生态环境厅”现有互联网保密自监管的处置系统。（提供投标人承诺函）</w:t>
            </w:r>
            <w:r>
              <w:rPr>
                <w:rFonts w:ascii="Times New Roman" w:hAnsi="Times New Roman"/>
                <w:i/>
                <w:color w:val="000000"/>
                <w:szCs w:val="21"/>
                <w:highlight w:val="none"/>
                <w:u w:val="singl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行为监控</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支持对终端文档本地操作行为、网络应用传输行为、打印刻录行为、本地USB介质拷贝等行为进行检查和告警。</w:t>
            </w:r>
            <w:r>
              <w:rPr>
                <w:rFonts w:ascii="Times New Roman" w:hAnsi="Times New Roman"/>
                <w:color w:val="000000"/>
                <w:szCs w:val="21"/>
                <w:highlight w:val="none"/>
              </w:rPr>
            </w:r>
            <w:r/>
          </w:p>
        </w:tc>
      </w:tr>
      <w:tr>
        <w:trPr>
          <w:trHeight w:val="96"/>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文档监控</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支持用户文档本地操作行为监控，支持涉密敏感包括打开、保存/关闭、打印、重命名、删除、复制、剪切等监测。</w:t>
            </w:r>
            <w:r>
              <w:rPr>
                <w:rFonts w:ascii="Times New Roman" w:hAnsi="Times New Roman"/>
                <w:color w:val="000000"/>
                <w:szCs w:val="21"/>
                <w:highlight w:val="none"/>
              </w:rPr>
            </w:r>
            <w:r/>
          </w:p>
        </w:tc>
      </w:tr>
      <w:tr>
        <w:trPr>
          <w:trHeight w:val="78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风险告警</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支持根据计算机内高、中、低文件疑似度数值、攻击窃密风险和告警频率等维度进行计算机风险度综合运算与量化评估，并根据实际情况自适应调节，当风险指标触及预设阈值时向自监管系统上报告警。</w:t>
            </w:r>
            <w:r>
              <w:rPr>
                <w:rFonts w:ascii="Times New Roman" w:hAnsi="Times New Roman"/>
                <w:color w:val="000000"/>
                <w:szCs w:val="21"/>
                <w:highlight w:val="none"/>
              </w:rPr>
            </w:r>
            <w:r/>
          </w:p>
        </w:tc>
      </w:tr>
      <w:tr>
        <w:trPr>
          <w:trHeight w:val="78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6</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文件加密</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支持将终端内发现的涉密文件加密存储于计算机硬盘，核查人员通过输入动态口令，核实处置告警信息。系统确保终端组件被卸载后加密告警仍能永久存储。</w:t>
            </w:r>
            <w:r>
              <w:rPr>
                <w:rFonts w:ascii="Times New Roman" w:hAnsi="Times New Roman"/>
                <w:color w:val="000000"/>
                <w:szCs w:val="21"/>
                <w:highlight w:val="none"/>
              </w:rPr>
            </w:r>
            <w:r/>
          </w:p>
        </w:tc>
      </w:tr>
    </w:tbl>
    <w:p>
      <w:pPr>
        <w:pStyle w:val="894"/>
        <w:rPr>
          <w:highlight w:val="none"/>
        </w:rPr>
      </w:pPr>
      <w:r>
        <w:rPr>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9、</w:t>
      </w:r>
      <w:r>
        <w:rPr>
          <w:rFonts w:hint="eastAsia" w:ascii="Times New Roman" w:hAnsi="Times New Roman" w:eastAsia="黑体"/>
          <w:sz w:val="28"/>
          <w:szCs w:val="28"/>
          <w:highlight w:val="none"/>
        </w:rPr>
        <w:t xml:space="preserve">网络与数据安全事件风险监测预警</w:t>
      </w:r>
      <w:r>
        <w:rPr>
          <w:rFonts w:ascii="Times New Roman" w:hAnsi="Times New Roman" w:eastAsia="黑体"/>
          <w:sz w:val="28"/>
          <w:szCs w:val="28"/>
          <w:highlight w:val="none"/>
        </w:rPr>
      </w:r>
      <w:r/>
    </w:p>
    <w:tbl>
      <w:tblPr>
        <w:tblW w:w="8556"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76"/>
        <w:gridCol w:w="6429"/>
      </w:tblGrid>
      <w:tr>
        <w:trPr>
          <w:trHeight w:val="450"/>
          <w:tblHeader/>
        </w:trPr>
        <w:tc>
          <w:tcPr>
            <w:tcW w:w="851"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rHeight w:val="78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服务内容</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1、通过相关手段开展网络安全事件风险监测，通过流量行为特征，及时预警采购人及直属单位互联网资产产生的僵尸木马蠕虫类事件。</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2、网络安全事件预警信息包括源IP、目的IP、源端口、目的端口、时间、事件类型、事件级别、威胁情报等；</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3、通过相关手段开展数据安全事件风险监测，通过流量行为特征，及时预警采购人及直属单位互联网资产产生的数据库受攻击、数据异常出境类事件线索。</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4、数据安全事件预警信息包括源IP、目的IP、源端口、目的端口、时间、事件类型、事件级别等；</w:t>
            </w:r>
            <w:r>
              <w:rPr>
                <w:rFonts w:ascii="Times New Roman" w:hAnsi="Times New Roman"/>
                <w:color w:val="000000"/>
                <w:szCs w:val="21"/>
                <w:highlight w:val="non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服务内容</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支持API对接、邮件发送、平台账号开放等服务方式。</w:t>
            </w:r>
            <w:r>
              <w:rPr>
                <w:rFonts w:ascii="Times New Roman" w:hAnsi="Times New Roman"/>
                <w:color w:val="000000"/>
                <w:szCs w:val="21"/>
                <w:highlight w:val="non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服务频率</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按天推送预警信息，每月汇总。</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1</w:t>
      </w:r>
      <w:r>
        <w:rPr>
          <w:rFonts w:ascii="Times New Roman" w:hAnsi="Times New Roman" w:eastAsia="黑体"/>
          <w:sz w:val="28"/>
          <w:szCs w:val="28"/>
          <w:highlight w:val="none"/>
        </w:rPr>
        <w:t xml:space="preserve">0、</w:t>
      </w:r>
      <w:r>
        <w:rPr>
          <w:rFonts w:hint="eastAsia" w:ascii="Times New Roman" w:hAnsi="Times New Roman" w:eastAsia="黑体"/>
          <w:sz w:val="28"/>
          <w:szCs w:val="28"/>
          <w:highlight w:val="none"/>
        </w:rPr>
        <w:t xml:space="preserve">异常流量监测</w:t>
      </w:r>
      <w:r>
        <w:rPr>
          <w:rFonts w:ascii="Times New Roman" w:hAnsi="Times New Roman" w:eastAsia="黑体"/>
          <w:sz w:val="28"/>
          <w:szCs w:val="28"/>
          <w:highlight w:val="none"/>
        </w:rPr>
      </w:r>
      <w:r/>
    </w:p>
    <w:tbl>
      <w:tblPr>
        <w:tblW w:w="8556"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76"/>
        <w:gridCol w:w="6429"/>
      </w:tblGrid>
      <w:tr>
        <w:trPr>
          <w:trHeight w:val="450"/>
          <w:tblHeader/>
        </w:trPr>
        <w:tc>
          <w:tcPr>
            <w:tcW w:w="851"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rHeight w:val="2136"/>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服务内容</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1、服务期间自备1G带宽监测工具。工具能力包括：流量采集、联动封堵、审计溯源、监测效果展示，对各类异常流量行为的精准监测、封堵管控。</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2、异常流量研判。采用规则比对、智能协议判定方式进行流量研判，监测研判范围包括安全设备、网络设备、服务器、办公终端等。</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3、异常流量取证。自动留存违规通信原始 PCAP 流量包，支撑事后责任追溯、监管审计、事件复盘工作。</w:t>
            </w:r>
            <w:r>
              <w:rPr>
                <w:rFonts w:ascii="Times New Roman" w:hAnsi="Times New Roman"/>
                <w:color w:val="000000"/>
                <w:szCs w:val="21"/>
                <w:highlight w:val="none"/>
              </w:rPr>
            </w:r>
            <w:r/>
          </w:p>
          <w:p>
            <w:pPr>
              <w:pStyle w:val="894"/>
              <w:rPr>
                <w:rFonts w:ascii="宋体" w:hAnsi="宋体"/>
                <w:szCs w:val="21"/>
                <w:highlight w:val="none"/>
              </w:rPr>
            </w:pPr>
            <w:r>
              <w:rPr>
                <w:rFonts w:hint="eastAsia" w:ascii="Times New Roman" w:hAnsi="Times New Roman"/>
                <w:color w:val="000000"/>
                <w:szCs w:val="21"/>
                <w:highlight w:val="none"/>
              </w:rPr>
              <w:t xml:space="preserve">4、定期更新异常流量规则库。采用两阶段加密传输方式，同步更新官方权威规则库。</w:t>
            </w:r>
            <w:r>
              <w:rPr>
                <w:rFonts w:ascii="宋体" w:hAnsi="宋体"/>
                <w:szCs w:val="21"/>
                <w:highlight w:val="non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技术能力</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1、支持实时展示异常流量的整体态势。包括告警趋势变化曲线、异常流量类型分布占比、风险等级分布、IP TOP排行等。</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2、支持实时监控采集流量状态。包括总接收速率、每秒数据包数（PPS）、端口的接收速率、发送速率、丢包率、错包率等，提供实时流量趋势曲线图、系统资源使用率等图表，支持流量阈值告警配置，异常流量实时提醒。</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3、支持异常流量抓取。生成标准PCAP格式文件，可配置留存文件的大小限制、存储时长、存储路径。</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4、支持联动主流防火墙阻断异常流量。支持按IP、端口、域名等条件进行匹配，支持临时阻断、永久阻断、定时阻断等阻断方式，支持阻断指令的下发状态查询和结果反馈。</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11、</w:t>
      </w:r>
      <w:r>
        <w:rPr>
          <w:rFonts w:hint="eastAsia" w:ascii="Times New Roman" w:hAnsi="Times New Roman" w:eastAsia="黑体"/>
          <w:sz w:val="28"/>
          <w:szCs w:val="28"/>
          <w:highlight w:val="none"/>
        </w:rPr>
        <w:t xml:space="preserve">漏扫及渗透测试</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服务期内每年度按采购人要求</w:t>
      </w:r>
      <w:r>
        <w:rPr>
          <w:rFonts w:ascii="Times New Roman" w:hAnsi="Times New Roman"/>
          <w:sz w:val="24"/>
          <w:szCs w:val="24"/>
          <w:highlight w:val="none"/>
        </w:rPr>
        <w:t xml:space="preserve">提供漏扫</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渗透测试</w:t>
      </w:r>
      <w:r>
        <w:rPr>
          <w:rFonts w:hint="eastAsia" w:ascii="Times New Roman" w:hAnsi="Times New Roman"/>
          <w:sz w:val="24"/>
          <w:szCs w:val="24"/>
          <w:highlight w:val="none"/>
        </w:rPr>
        <w:t xml:space="preserve">及复测。对采购人指定核心业务系统进行漏洞扫描，帮助采购人发现真正存在安全风险的漏洞，以便提升漏洞安全管理的效率。专业渗透测试团队对采购人指定核心业务系统进行渗透测试，基于模拟黑客攻击的方式对业务系统进行渗透测试，以发现业务系统存在的安全隐患。</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1</w:t>
      </w:r>
      <w:r>
        <w:rPr>
          <w:rFonts w:hint="eastAsia" w:ascii="Times New Roman" w:hAnsi="Times New Roman" w:eastAsia="黑体"/>
          <w:sz w:val="28"/>
          <w:szCs w:val="28"/>
          <w:highlight w:val="none"/>
        </w:rPr>
        <w:t xml:space="preserve">2</w:t>
      </w:r>
      <w:r>
        <w:rPr>
          <w:rFonts w:ascii="Times New Roman" w:hAnsi="Times New Roman" w:eastAsia="黑体"/>
          <w:sz w:val="28"/>
          <w:szCs w:val="28"/>
          <w:highlight w:val="none"/>
        </w:rPr>
        <w:t xml:space="preserve">、</w:t>
      </w:r>
      <w:r>
        <w:rPr>
          <w:rFonts w:hint="eastAsia" w:ascii="Times New Roman" w:hAnsi="Times New Roman" w:eastAsia="黑体"/>
          <w:sz w:val="28"/>
          <w:szCs w:val="28"/>
          <w:highlight w:val="none"/>
        </w:rPr>
        <w:t xml:space="preserve">安全培训</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服务期内每年度按采购人要求</w:t>
      </w:r>
      <w:r>
        <w:rPr>
          <w:rFonts w:ascii="Times New Roman" w:hAnsi="Times New Roman"/>
          <w:sz w:val="24"/>
          <w:szCs w:val="24"/>
          <w:highlight w:val="none"/>
        </w:rPr>
        <w:t xml:space="preserve">提供</w:t>
      </w:r>
      <w:r>
        <w:rPr>
          <w:rFonts w:hint="eastAsia" w:ascii="Times New Roman" w:hAnsi="Times New Roman"/>
          <w:sz w:val="24"/>
          <w:szCs w:val="24"/>
          <w:highlight w:val="none"/>
        </w:rPr>
        <w:t xml:space="preserve">安全专家培训服务，安全培训内容可包括但可不限于网络安全知识、解决安全故障的常用方法和手段、信息安全技术、信息安全产品（工具）、信息安全评估技术、安全加固的方法、国内外信息安全政策与技术标准体系的知识、安全制度建设与实施方法等。</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1</w:t>
      </w:r>
      <w:r>
        <w:rPr>
          <w:rFonts w:hint="eastAsia" w:ascii="Times New Roman" w:hAnsi="Times New Roman" w:eastAsia="黑体"/>
          <w:sz w:val="28"/>
          <w:szCs w:val="28"/>
          <w:highlight w:val="none"/>
        </w:rPr>
        <w:t xml:space="preserve">3</w:t>
      </w:r>
      <w:r>
        <w:rPr>
          <w:rFonts w:ascii="Times New Roman" w:hAnsi="Times New Roman" w:eastAsia="黑体"/>
          <w:sz w:val="28"/>
          <w:szCs w:val="28"/>
          <w:highlight w:val="none"/>
        </w:rPr>
        <w:t xml:space="preserve">、</w:t>
      </w:r>
      <w:r>
        <w:rPr>
          <w:rFonts w:hint="eastAsia" w:ascii="Times New Roman" w:hAnsi="Times New Roman" w:eastAsia="黑体"/>
          <w:sz w:val="28"/>
          <w:szCs w:val="28"/>
          <w:highlight w:val="none"/>
        </w:rPr>
        <w:t xml:space="preserve">应急响应</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服务期内每年度按采购人要求</w:t>
      </w:r>
      <w:r>
        <w:rPr>
          <w:rFonts w:ascii="Times New Roman" w:hAnsi="Times New Roman"/>
          <w:sz w:val="24"/>
          <w:szCs w:val="24"/>
          <w:highlight w:val="none"/>
        </w:rPr>
        <w:t xml:space="preserve">提供</w:t>
      </w:r>
      <w:r>
        <w:rPr>
          <w:rFonts w:hint="eastAsia" w:ascii="Times New Roman" w:hAnsi="Times New Roman"/>
          <w:sz w:val="24"/>
          <w:szCs w:val="24"/>
          <w:highlight w:val="none"/>
        </w:rPr>
        <w:t xml:space="preserve">应急响应服务。需为采购人提供7*24小时全天候网络安全应急响应服务，严格遵循应急响应流程，针对采购人重要信息化设施突发的信息安全事件，开展全流程处置工作，第一时间锁定、控制并解决事件，快速排查定位故障、实施应急处理，全力保障关键信息系统恢复正常运行，避免遭受重大故障或灾难影响。</w:t>
      </w:r>
      <w:r>
        <w:rPr>
          <w:rFonts w:ascii="Times New Roman" w:hAnsi="Times New Roman"/>
          <w:sz w:val="24"/>
          <w:szCs w:val="24"/>
          <w:highlight w:val="none"/>
        </w:rPr>
      </w:r>
      <w:r/>
    </w:p>
    <w:p>
      <w:pPr>
        <w:pStyle w:val="894"/>
        <w:ind w:firstLine="499"/>
        <w:keepLines/>
        <w:keepNext/>
        <w:spacing w:before="156" w:after="156" w:line="360" w:lineRule="auto"/>
        <w:rPr>
          <w:rFonts w:ascii="Times New Roman" w:hAnsi="Times New Roman"/>
          <w:b/>
          <w:sz w:val="24"/>
          <w:szCs w:val="24"/>
          <w:highlight w:val="none"/>
        </w:rPr>
        <w:outlineLvl w:val="1"/>
      </w:pPr>
      <w:r>
        <w:rPr>
          <w:rFonts w:ascii="Times New Roman" w:hAnsi="Times New Roman"/>
          <w:b/>
          <w:bCs/>
          <w:sz w:val="32"/>
          <w:szCs w:val="32"/>
          <w:highlight w:val="none"/>
        </w:rPr>
        <w:t xml:space="preserve">四、服务方案</w:t>
      </w:r>
      <w:r>
        <w:rPr>
          <w:rFonts w:ascii="Times New Roman" w:hAnsi="Times New Roman"/>
          <w:b/>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bookmarkStart w:id="177" w:name="OLE_LINK50"/>
      <w:r/>
      <w:bookmarkStart w:id="178" w:name="OLE_LINK49"/>
      <w:r>
        <w:rPr>
          <w:rFonts w:hint="eastAsia" w:ascii="Times New Roman" w:hAnsi="Times New Roman" w:eastAsia="黑体"/>
          <w:sz w:val="28"/>
          <w:szCs w:val="28"/>
          <w:highlight w:val="none"/>
        </w:rPr>
        <w:t xml:space="preserve">1</w:t>
      </w:r>
      <w:r>
        <w:rPr>
          <w:rFonts w:ascii="Times New Roman" w:hAnsi="Times New Roman" w:eastAsia="黑体"/>
          <w:sz w:val="28"/>
          <w:szCs w:val="28"/>
          <w:highlight w:val="none"/>
        </w:rPr>
        <w:t xml:space="preserve">、</w:t>
      </w:r>
      <w:r>
        <w:rPr>
          <w:rFonts w:hint="eastAsia" w:ascii="Times New Roman" w:hAnsi="Times New Roman" w:eastAsia="黑体"/>
          <w:sz w:val="28"/>
          <w:szCs w:val="28"/>
          <w:highlight w:val="none"/>
        </w:rPr>
        <w:t xml:space="preserve">主机安全工具部署实施方案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bookmarkEnd w:id="177"/>
      <w:r/>
      <w:bookmarkEnd w:id="178"/>
      <w:r>
        <w:rPr>
          <w:rFonts w:hint="eastAsia" w:ascii="Times New Roman" w:hAnsi="Times New Roman"/>
          <w:sz w:val="24"/>
          <w:szCs w:val="24"/>
          <w:highlight w:val="none"/>
        </w:rPr>
        <w:t xml:space="preserve">投标人须提供主机安全工具部署实施方案，需结合招标人现有网络环境及省政务云实际情况，确保部署过程安全可控、业务稳定运行，至少涵盖以下内容：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（1）部署架构设计</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需结合招标人现有网络域划分、业务系统分布及省政务云架构，设计主机安全工具总体部署架构。方案应明确管理平台、探针之间的互联互通关系。对于跨VPC、跨云场景，应说明访问控制策略、端口开放原则及互通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（2）政务云环境兼容性说明</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需结合省政务云实际环境，对主机安全工具的兼容性进行专项说明，内容应覆盖主流操作系统版本兼容性，包括但不限于麒麟、统信等；对于国产化软硬件环境，还应说明对国产CPU、国产数据库、中间件的适配能力。</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（3）割接上线流程</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需提供完整、可执行、风险可控的割接上线流程，确保在不影响招标人现网业务连续性的前提下完成部署。流程应分为平台部署阶段、试点阶段、全面上线阶段、观察阶段和交接验收阶段。应涵盖分批次上线计划，若出现兼容性冲突、性能异常或业务影响，需按预定回退流程快速卸载、恢复原配置并保留日志，确保部署过程安全可控、业务稳定运行。</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（4）功能测试样例</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需提供可操作、可验证的功能测试样例，用于证明主机安全工具在招标人环境中的实际可用性。测试样例至少包括探针安装与注册、资产信息采集完整性；验证基线检查、弱口令检测、进程防护、恶意文件查杀等策略能否准确下发并生效；异常登录、恶意进程启动、WebShell落地、提权尝试等行为是否能够及时告警并记录审计日志等。</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2、漏洞扫描服务方案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投标人须提交漏洞扫描服务方案，方案应结合招标人资产现状及省政务云安全合规要求，确保扫描过程安全可控、结果准确有效、业务不受影响，至少涵盖以下内容：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（1）扫描策略与周期设计</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制定差异化扫描策略，明确系统漏洞扫描、Web漏洞扫描、配置基线扫描的具体方法及扫描范围。说明扫描周期安排、扫描时段选择、扫描频率及与业务运行的协调机制，确保扫描工作不影响业务系统正常运行。</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（2）修复建议与跟踪闭环</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针对发现的漏洞提供具体修复建议、临时缓解措施及整改优先级排序。建立漏洞修复跟踪闭环机制，明确修复责任人、完成时限、复测流程及整改完成确认标准，确保漏洞得到有效处置。</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（3）扫描资产覆盖范围</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明确漏洞扫描覆盖的资产范围，包括服务器、数据库、中间件、网络设备、Web应用及云资源等。说明资产发现与梳理机制，确保扫描范围完整、无遗漏。</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（4）漏洞分级与验证</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明确漏洞分级标准（如高危、中危、低危）及判定依据。说明漏洞验证机制、误报过滤方法及风险确认流程，确保扫描结果真实可靠。</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（5）扫描报告输出</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说明扫描报告的内容构成、输出周期及提交方式。报告应包含资产清单、漏洞详情、风险分析、修复建议及整改跟踪情况，支持可视化展示。</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3、渗透测试服务方案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投标人须提交渗透测试服务方案，方案应结合招标人业务系统现状及省政务云安全防护要求，确保测试过程合法合规、风险可控、结果真实可用，至少涵盖以下内容：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（1）测试方法与流程设计</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渗透测试采用的方法论（如PTES、OWASP等）及完整测试流程，包括信息收集、漏洞探测、漏洞利用、后渗透测试及报告输出各阶段。明确测试工具选型、测试环境准备、授权范围及风险控制措施，确保测试过程规范可控。</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（2）修复复测机制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建立漏洞修复后的复测机制，明确复测申请流程、复测内容、复测标准及未修复漏洞的处理方式。对未修复漏洞提出风险等级调整建议及持续跟踪要求，确保发现的问题得到闭环处置。</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（3）测试范围与边界</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明确渗透测试的目标系统、IP范围、域名范围及测试时间窗口。界定测试边界，说明禁止测试范围及需特别保护的业务系统，避免测试行为造成非预期影响。</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（4）漏洞利用与验证</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说明漏洞利用的原则、授权范围及风险控制措施。要求对发现的漏洞进行充分验证，提供利用过程截图或证据，并评估漏洞可能造成的实际影响。</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（5）测试报告输出</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说明渗透测试报告的内容结构，包括测试概述、漏洞详情、风险评级、利用路径、修复建议及复测结果。明确报告提交份数、周期及保密要求。</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4、培训服务方案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投标人须提交培训服务方案，方案应结合招标人实际运维管理需求，确保培训内容实用、对象覆盖全面、效果可量化，至少涵盖以下内容：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（1）课程体系设计</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设计完整的培训课程体系，明确培训目标、课程模块、课时安排及知识点覆盖。课程内容应涵盖主机安全工具使用、漏洞扫描结果分析、应急响应处置、日常运维操作等，满足不同层级人员的培训需求。</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（2）考核与复训机制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建立培训考核机制，明确考核方式、通过标准及考核结果应用。制定复训机制，明确复训触发条件、复训周期及复训内容，确保培训效果可持续、人员能力可保持。</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（3）培训对象与分层</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明确培训对象类别，包括管理层、技术人员、运维人员及普通用户等，并针对不同层级制定差异化培训目标。说明每类对象的培训重点及能力预期。</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（4）培训方式与课时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说明培训采用的方式，包括现场授课、线上直播、实操演练、视频课程等。明确总课时、每次培训时长、培训地点及所需环境设备。</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（5）培训教材与师资</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提供培训教材、操作手册、实验指导书及考核题库。说明教材编制标准、更新机制及培训讲师资质与经验，确保培训成果可检验、可复现。</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5、应急响应服务方案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投标人须提交应急响应服务方案，方案应结合招标人网络安全事件处置现状及省政务云应急联动要求，确保响应及时、处置规范、事件闭环，至少涵盖以下内容：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（1）应急处置流程</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详细描述事件接报、研判、遏制、根除、恢复、跟踪完整的应急处置流程。明确各阶段操作步骤、责任人、输出物及与招标人、政务云运营方的协同机制，确保处置过程可追溯、可审计。</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（2）应急预案与场景库</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提供常见安全事件场景的应急预案，包括主机入侵、病毒爆发、数据泄露、拒绝服务攻击等。建立应急预案场景库，明确预案启动条件、处置措施、资源调配及演练计划，确保突发事件能够快速有效应对。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（3）应急响应组织架构</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明确应急响应团队组成、人员职责及7×24小时值班机制。说明与招标人、政务云运营方及其他相关方的协同联动方式。</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（4）事件分级与响应时限</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制定安全事件分级标准（如特别重大、重大、较大、一般），明确各级事件的响应时限、处置时限及上报要求。</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（5）事件复盘总结</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建立事件复盘机制，明确复盘触发条件、参与人员及复盘内容。要求形成事件总结报告，提出整改建议并跟踪落实，实现事件处置闭环。</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6、售后服务方案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投标人须提交售后服务方案，方案应结合招标人长期运维保障需求及省政务云持续安全运营要求，确保服务响应及时、问题处置高效、系统稳定运行，至少涵盖以下内容：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（1）7×24小时响应机制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建立7×24小时服务响应机制，明确服务热线、工单系统、专人对接等多种服务受理渠道。说明不同服务渠道的响应时效、问题升级路径及节假日保障措施，确保招标人问题能够及时受理。</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（2）故障分级处置时限</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制定故障分级标准及对应处置时限，明确故障受理、分派、处理、升级、关闭的全流程。说明重大故障的应急处理、通报机制及 SLA 承诺，确保故障得到快速有效处置。</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（3）质保期限与服务承诺</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明确质保期限、服务范围及服务承诺。说明服务期内提供的免费服务内容及超出质保期的服务收费标准。</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（4）巡检与备件保障</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制定定期巡检计划，明确巡检内容、频次、输出物及问题处理方法。说明备件储备策略、更换流程及保障时效，确保系统持续可用。</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（5）服务报告输出</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明确服务报告的输出周期、内容及格式，包括运维报告、故障处理报告、巡检报告及服务总结，报告应客观反映服务情况及改进建议。</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7、项目实施与运维风险管理方案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投标人须提交项目实施与运维风险管理方案，方案应结合招标人项目建设全过程及后续运维服务要求，确保项目实施与运维过程中各类风险可识别、可评估、可控制、可闭环，至少涵盖以下内容：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（1）风险分级标准与处置策略</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制定风险分级标准（如重大、较大、一般、较低），明确风险发生可能性与影响程度的判定依据。针对不同等级风险制定相应的处置策略，包括规避、转移、减轻、接受等措施及责任分工。</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（2）风险处置闭环管理</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建立风险处置闭环管理机制，明确风险识别、评估、处置、复评、归档的全流程。确保风险处置过程可追溯、可验证，并形成风险台账及风险报告，实现风险管理的持续改进。</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（3）风险识别与梳理</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系统识别项目实施阶段（进度、资源、技术、沟通、变更等）及运维阶段（人员变动、服务连续性、工具故障、安全事件、备件供应等）可能面临的各类风险，形成风险清单并明确风险来源。</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（4）风险评估方法与模型</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说明采用的风险评估方法、评估模型及风险发生可能性与影响程度的判定标准。明确风险评估周期、参与人员及评估结果记录方式。</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（5）风险跟踪与复评机制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建立风险跟踪机制，明确风险状态更新、预警触发及复评周期。对已处置风险进行复评，确认处置效果并及时更新风险台账。</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8、质量管理方案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投标人须提交质量管理方案，方案应结合招标人项目全过程管理要求及省政务云服务交付规范，确保项目交付质量可控、服务标准统一、问题闭环有效，至少涵盖以下内容：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（1）全过程质量控制节点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明确项目各阶段（启动、实施、测试、上线、运维）的质量控制节点、检查内容及通过标准。说明质量问题的发现、记录、分析、处理及复核流程，确保各阶段交付物符合质量要求。</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（2）交付物评审与验收标准</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制定交付物评审机制，明确评审内容、评审方式、验收标准及不合格交付物的整改要求。说明交付物清单、提交时限、验收流程及验收通过条件，确保项目交付质量可控。</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（3）质量目标与质量方针</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明确项目质量目标、质量方针及质量管理总体要求。说明质量目标与项目总体目标的匹配关系及达成路径。</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（4）质量管理组织架构与人员职责</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明确质量管理组织架构、人员职责及权限分工。说明质量管理人员与项目组其他角色的协作关系及汇报机制。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（5）质量改进与持续优化</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建立质量问题整改及持续改进机制，定期对服务质量进行评估，分析质量数据，制定改进措施并跟踪落实，实现质量管理的螺旋提升</w:t>
      </w:r>
      <w:r>
        <w:rPr>
          <w:rFonts w:ascii="Times New Roman" w:hAnsi="Times New Roman"/>
          <w:sz w:val="24"/>
          <w:szCs w:val="24"/>
          <w:highlight w:val="none"/>
        </w:rPr>
        <w:t xml:space="preserve">。</w:t>
      </w:r>
      <w:r>
        <w:rPr>
          <w:rFonts w:ascii="Times New Roman" w:hAnsi="Times New Roman"/>
          <w:sz w:val="24"/>
          <w:szCs w:val="24"/>
          <w:highlight w:val="none"/>
        </w:rPr>
      </w:r>
      <w:r/>
    </w:p>
    <w:p>
      <w:pPr>
        <w:pStyle w:val="894"/>
        <w:ind w:firstLine="499"/>
        <w:keepLines/>
        <w:keepNext/>
        <w:spacing w:before="156" w:after="156" w:line="360" w:lineRule="auto"/>
        <w:rPr>
          <w:rFonts w:ascii="Times New Roman" w:hAnsi="Times New Roman"/>
          <w:b/>
          <w:bCs/>
          <w:sz w:val="32"/>
          <w:szCs w:val="32"/>
          <w:highlight w:val="none"/>
        </w:rPr>
        <w:outlineLvl w:val="1"/>
      </w:pPr>
      <w:r>
        <w:rPr>
          <w:rFonts w:hint="eastAsia" w:ascii="Times New Roman" w:hAnsi="Times New Roman"/>
          <w:b/>
          <w:bCs/>
          <w:sz w:val="32"/>
          <w:szCs w:val="32"/>
          <w:highlight w:val="none"/>
        </w:rPr>
        <w:t xml:space="preserve">五</w:t>
      </w:r>
      <w:r>
        <w:rPr>
          <w:rFonts w:ascii="Times New Roman" w:hAnsi="Times New Roman"/>
          <w:b/>
          <w:bCs/>
          <w:sz w:val="32"/>
          <w:szCs w:val="32"/>
          <w:highlight w:val="none"/>
        </w:rPr>
        <w:t xml:space="preserve">、</w:t>
      </w:r>
      <w:r>
        <w:rPr>
          <w:rFonts w:hint="eastAsia" w:ascii="Times New Roman" w:hAnsi="Times New Roman"/>
          <w:b/>
          <w:bCs/>
          <w:sz w:val="32"/>
          <w:szCs w:val="32"/>
          <w:highlight w:val="none"/>
        </w:rPr>
        <w:t xml:space="preserve">履约能力</w:t>
      </w:r>
      <w:r>
        <w:rPr>
          <w:rFonts w:ascii="Times New Roman" w:hAnsi="Times New Roman"/>
          <w:b/>
          <w:bCs/>
          <w:sz w:val="32"/>
          <w:szCs w:val="32"/>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安全服务能力要求：投标人具备一定的自主安全服务能力，具有网络安全攻击路径模拟推演、基于零信任策略的Docker容器安全加固、基于混合加密和动态密钥管理的安全传输、高效稳定跨网络层级安全防御保障、多源数据融合的网络安全评估、网络关键设备安全监测相关软件著作权，如果投标人软件著作权名称不一致，经评委会认定具有所要求功能的得分，需提供证书复印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业绩要求：投标人自2023年</w:t>
      </w:r>
      <w:r>
        <w:rPr>
          <w:rFonts w:ascii="Times New Roman" w:hAnsi="Times New Roman"/>
          <w:sz w:val="24"/>
          <w:szCs w:val="24"/>
          <w:highlight w:val="none"/>
        </w:rPr>
        <w:t xml:space="preserve">8</w:t>
      </w:r>
      <w:r>
        <w:rPr>
          <w:rFonts w:hint="eastAsia" w:ascii="Times New Roman" w:hAnsi="Times New Roman"/>
          <w:sz w:val="24"/>
          <w:szCs w:val="24"/>
          <w:highlight w:val="none"/>
        </w:rPr>
        <w:t xml:space="preserve">月1日起（以合同日期为准）承担过安全项目案例，需提供有效合同复印件。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人员配置要求：</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（1）需配置项目经理1人：项目经理具备CCRC-DSA数据安全评估师证书、数据安全工程师证书、注册信息安全工程师（CISE）证书、信息安全保障人员(CISAW-风险管理方向)证书。</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（2）需配置技术负责人1人：技术负责人具备数据安全工程师证书、注册信息安全管理人员（CISO）证书、信息安全保障人员(CISAW-应急服务方向)证书。</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（3）需配置安全负责人1人：安全负责人具备网络工程师证书、注册信息安全工程师（CISE）证书、信息安全保障人员(CISAW-风险管理方向)证书。</w:t>
      </w:r>
      <w:r>
        <w:rPr>
          <w:rFonts w:ascii="Times New Roman" w:hAnsi="Times New Roman"/>
          <w:sz w:val="24"/>
          <w:szCs w:val="24"/>
          <w:highlight w:val="none"/>
        </w:rPr>
      </w:r>
      <w:r/>
    </w:p>
    <w:p>
      <w:pPr>
        <w:pStyle w:val="894"/>
        <w:ind w:firstLine="480"/>
        <w:rPr>
          <w:rFonts w:hint="eastAsia" w:ascii="Times New Roman" w:hAnsi="Times New Roman"/>
          <w:sz w:val="24"/>
          <w:szCs w:val="24"/>
          <w:highlight w:val="none"/>
        </w:rPr>
      </w:pPr>
      <w:r>
        <w:rPr>
          <w:rFonts w:hint="eastAsia" w:ascii="Times New Roman" w:hAnsi="Times New Roman"/>
          <w:sz w:val="24"/>
          <w:szCs w:val="24"/>
          <w:highlight w:val="none"/>
        </w:rPr>
        <w:t xml:space="preserve">（4）除项目经理、技术负责人、安全负责人外投标人项目团队需配备不少于6名技术支撑人员：支撑人员1具备数据安全工程师证书、信息安全保障人员(CISAW-安全运维方向)证书、信息安全保障人员(CISAW-风险管理方向)证书；</w:t>
      </w:r>
      <w:r>
        <w:rPr>
          <w:rFonts w:hint="eastAsia" w:ascii="Times New Roman" w:hAnsi="Times New Roman"/>
          <w:sz w:val="24"/>
          <w:szCs w:val="24"/>
          <w:highlight w:val="none"/>
        </w:rPr>
      </w:r>
      <w:r/>
    </w:p>
    <w:p>
      <w:pPr>
        <w:pStyle w:val="894"/>
        <w:ind w:firstLine="480"/>
        <w:rPr>
          <w:rFonts w:hint="eastAsia" w:ascii="Times New Roman" w:hAnsi="Times New Roman"/>
          <w:sz w:val="24"/>
          <w:szCs w:val="24"/>
          <w:highlight w:val="none"/>
        </w:rPr>
      </w:pPr>
      <w:r>
        <w:rPr>
          <w:rFonts w:hint="eastAsia" w:ascii="Times New Roman" w:hAnsi="Times New Roman"/>
          <w:sz w:val="24"/>
          <w:szCs w:val="24"/>
          <w:highlight w:val="none"/>
        </w:rPr>
        <w:t xml:space="preserve">支撑人员2具备网络工程师证书、注册信息安全工程师（CISE）证书；</w:t>
      </w:r>
      <w:r>
        <w:rPr>
          <w:rFonts w:hint="eastAsia" w:ascii="Times New Roman" w:hAnsi="Times New Roman"/>
          <w:sz w:val="24"/>
          <w:szCs w:val="24"/>
          <w:highlight w:val="none"/>
        </w:rPr>
      </w:r>
      <w:r/>
    </w:p>
    <w:p>
      <w:pPr>
        <w:pStyle w:val="894"/>
        <w:ind w:firstLine="480"/>
        <w:rPr>
          <w:rFonts w:hint="eastAsia" w:ascii="Times New Roman" w:hAnsi="Times New Roman"/>
          <w:sz w:val="24"/>
          <w:szCs w:val="24"/>
          <w:highlight w:val="none"/>
        </w:rPr>
      </w:pPr>
      <w:r>
        <w:rPr>
          <w:rFonts w:hint="eastAsia" w:ascii="Times New Roman" w:hAnsi="Times New Roman"/>
          <w:sz w:val="24"/>
          <w:szCs w:val="24"/>
          <w:highlight w:val="none"/>
        </w:rPr>
        <w:t xml:space="preserve">支撑人员3具备网络工程师证书、信息安全保障人员(CISAW-安全运维方向)证书；</w:t>
      </w:r>
      <w:r>
        <w:rPr>
          <w:rFonts w:hint="eastAsia" w:ascii="Times New Roman" w:hAnsi="Times New Roman"/>
          <w:sz w:val="24"/>
          <w:szCs w:val="24"/>
          <w:highlight w:val="none"/>
        </w:rPr>
      </w:r>
      <w:r/>
    </w:p>
    <w:p>
      <w:pPr>
        <w:pStyle w:val="894"/>
        <w:ind w:firstLine="480"/>
        <w:rPr>
          <w:rFonts w:hint="eastAsia" w:ascii="Times New Roman" w:hAnsi="Times New Roman"/>
          <w:sz w:val="24"/>
          <w:szCs w:val="24"/>
          <w:highlight w:val="none"/>
        </w:rPr>
      </w:pPr>
      <w:r>
        <w:rPr>
          <w:rFonts w:hint="eastAsia" w:ascii="Times New Roman" w:hAnsi="Times New Roman"/>
          <w:sz w:val="24"/>
          <w:szCs w:val="24"/>
          <w:highlight w:val="none"/>
        </w:rPr>
        <w:t xml:space="preserve">支撑人员4具备信息安全风险评估与管理培训(网络与数据安全专业能力培训合格证书)证书；</w:t>
      </w:r>
      <w:r>
        <w:rPr>
          <w:rFonts w:hint="eastAsia" w:ascii="Times New Roman" w:hAnsi="Times New Roman"/>
          <w:sz w:val="24"/>
          <w:szCs w:val="24"/>
          <w:highlight w:val="none"/>
        </w:rPr>
      </w:r>
      <w:r/>
    </w:p>
    <w:p>
      <w:pPr>
        <w:pStyle w:val="894"/>
        <w:ind w:firstLine="480"/>
        <w:rPr>
          <w:rFonts w:hint="eastAsia" w:ascii="Times New Roman" w:hAnsi="Times New Roman"/>
          <w:sz w:val="24"/>
          <w:szCs w:val="24"/>
          <w:highlight w:val="none"/>
        </w:rPr>
      </w:pPr>
      <w:r>
        <w:rPr>
          <w:rFonts w:hint="eastAsia" w:ascii="Times New Roman" w:hAnsi="Times New Roman"/>
          <w:sz w:val="24"/>
          <w:szCs w:val="24"/>
          <w:highlight w:val="none"/>
        </w:rPr>
        <w:t xml:space="preserve">支撑人员5具备注册网络安全渗透评估专业人员(NSATP-A)证书；</w:t>
      </w:r>
      <w:r>
        <w:rPr>
          <w:rFonts w:hint="eastAsia"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支撑人员6具备注册网络安全专业防御人员(NSATP-D)证书。</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项目经理、技术负责人、安全负责人、各技术支撑人员不得互相兼任，需提供有效期内的相关证书复印件，且所有人员需提供近三个月内任意一个月的社保证明。</w:t>
      </w:r>
      <w:r>
        <w:rPr>
          <w:rFonts w:ascii="Times New Roman" w:hAnsi="Times New Roman"/>
          <w:sz w:val="24"/>
          <w:szCs w:val="24"/>
          <w:highlight w:val="none"/>
        </w:rPr>
      </w:r>
      <w:r/>
    </w:p>
    <w:p>
      <w:pPr>
        <w:pStyle w:val="894"/>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pStyle w:val="896"/>
        <w:ind w:left="0" w:firstLine="0"/>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五</w:t>
      </w:r>
      <w:r>
        <w:rPr>
          <w:rFonts w:hint="eastAsia" w:ascii="方正黑体_GBK" w:hAnsi="方正黑体_GBK" w:eastAsia="方正黑体_GBK" w:cs="方正黑体_GBK"/>
          <w:b w:val="0"/>
          <w:bCs w:val="0"/>
          <w:sz w:val="28"/>
          <w:szCs w:val="28"/>
          <w:highlight w:val="none"/>
          <w:lang w:val="en-US" w:eastAsia="zh-CN"/>
        </w:rPr>
        <w:t xml:space="preserve">、</w:t>
      </w:r>
      <w:r>
        <w:rPr>
          <w:rFonts w:hint="eastAsia" w:ascii="方正黑体_GBK" w:hAnsi="方正黑体_GBK" w:eastAsia="方正黑体_GBK" w:cs="方正黑体_GBK"/>
          <w:b w:val="0"/>
          <w:bCs w:val="0"/>
          <w:sz w:val="28"/>
          <w:szCs w:val="28"/>
          <w:highlight w:val="none"/>
          <w:lang w:val="en-US" w:eastAsia="zh-CN"/>
        </w:rPr>
        <w:t xml:space="preserve">商务要求</w:t>
      </w:r>
      <w:r>
        <w:rPr>
          <w:rFonts w:hint="eastAsia" w:ascii="方正黑体_GBK" w:hAnsi="方正黑体_GBK" w:eastAsia="方正黑体_GBK" w:cs="方正黑体_GBK"/>
          <w:b w:val="0"/>
          <w:bCs w:val="0"/>
          <w:sz w:val="28"/>
          <w:szCs w:val="28"/>
          <w:highlight w:val="none"/>
          <w:lang w:val="en-US" w:eastAsia="zh-CN"/>
        </w:rPr>
      </w:r>
      <w:r/>
    </w:p>
    <w:p>
      <w:pPr>
        <w:pStyle w:val="894"/>
        <w:ind w:firstLine="480"/>
        <w:rPr>
          <w:rFonts w:ascii="Times New Roman" w:hAnsi="Times New Roman"/>
          <w:sz w:val="24"/>
          <w:szCs w:val="24"/>
          <w:highlight w:val="none"/>
        </w:rPr>
      </w:pPr>
      <w:r>
        <w:rPr>
          <w:rFonts w:ascii="Times New Roman" w:hAnsi="Times New Roman"/>
          <w:sz w:val="24"/>
          <w:szCs w:val="24"/>
          <w:highlight w:val="none"/>
        </w:rPr>
        <w:t xml:space="preserve">服务期：</w:t>
      </w:r>
      <w:bookmarkStart w:id="179" w:name="OLE_LINK18"/>
      <w:r/>
      <w:bookmarkStart w:id="180" w:name="OLE_LINK19"/>
      <w:r>
        <w:rPr>
          <w:rFonts w:ascii="Times New Roman" w:hAnsi="Times New Roman"/>
          <w:sz w:val="24"/>
          <w:szCs w:val="24"/>
          <w:highlight w:val="none"/>
        </w:rPr>
        <w:t xml:space="preserve">自合同签订之日起3年。</w:t>
      </w:r>
      <w:bookmarkEnd w:id="179"/>
      <w:r/>
      <w:bookmarkEnd w:id="180"/>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ascii="Times New Roman" w:hAnsi="Times New Roman"/>
          <w:sz w:val="24"/>
          <w:szCs w:val="24"/>
          <w:highlight w:val="none"/>
        </w:rPr>
        <w:t xml:space="preserve">服务地点：</w:t>
      </w:r>
      <w:r>
        <w:rPr>
          <w:rFonts w:hint="eastAsia" w:ascii="Times New Roman" w:hAnsi="Times New Roman"/>
          <w:sz w:val="24"/>
          <w:szCs w:val="24"/>
          <w:highlight w:val="none"/>
        </w:rPr>
        <w:t xml:space="preserve">南京</w:t>
      </w:r>
      <w:r>
        <w:rPr>
          <w:rFonts w:ascii="Times New Roman" w:hAnsi="Times New Roman"/>
          <w:sz w:val="24"/>
          <w:szCs w:val="24"/>
          <w:highlight w:val="none"/>
        </w:rPr>
        <w:t xml:space="preserve">。</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ascii="Times New Roman" w:hAnsi="Times New Roman"/>
          <w:sz w:val="24"/>
          <w:szCs w:val="24"/>
          <w:highlight w:val="none"/>
        </w:rPr>
        <w:t xml:space="preserve">付款方式：本项目付款采用分阶段支付的方式，具体如下：</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ascii="Times New Roman" w:hAnsi="Times New Roman"/>
          <w:sz w:val="24"/>
          <w:szCs w:val="24"/>
          <w:highlight w:val="none"/>
        </w:rPr>
        <w:t xml:space="preserve">（1）签订合同10个工作日内，甲方支付合同额的50%；合同中所需的安全工具全部</w:t>
      </w:r>
      <w:r>
        <w:rPr>
          <w:rFonts w:hint="eastAsia" w:ascii="Times New Roman" w:hAnsi="Times New Roman"/>
          <w:sz w:val="24"/>
          <w:szCs w:val="24"/>
          <w:highlight w:val="none"/>
        </w:rPr>
        <w:t xml:space="preserve">交付</w:t>
      </w:r>
      <w:r>
        <w:rPr>
          <w:rFonts w:ascii="Times New Roman" w:hAnsi="Times New Roman"/>
          <w:sz w:val="24"/>
          <w:szCs w:val="24"/>
          <w:highlight w:val="none"/>
        </w:rPr>
        <w:t xml:space="preserve">、调试完成10个工作日内，经甲乙双方确认</w:t>
      </w:r>
      <w:r>
        <w:rPr>
          <w:rFonts w:hint="eastAsia" w:ascii="Times New Roman" w:hAnsi="Times New Roman"/>
          <w:sz w:val="24"/>
          <w:szCs w:val="24"/>
          <w:highlight w:val="none"/>
        </w:rPr>
        <w:t xml:space="preserve">验收</w:t>
      </w:r>
      <w:r>
        <w:rPr>
          <w:rFonts w:ascii="Times New Roman" w:hAnsi="Times New Roman"/>
          <w:sz w:val="24"/>
          <w:szCs w:val="24"/>
          <w:highlight w:val="none"/>
        </w:rPr>
        <w:t xml:space="preserve">合格后，甲方支付合同额的50%。</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ascii="Times New Roman" w:hAnsi="Times New Roman"/>
          <w:sz w:val="24"/>
          <w:szCs w:val="24"/>
          <w:highlight w:val="none"/>
        </w:rPr>
        <w:t xml:space="preserve">（2）甲方在收到乙方开具的等额正规发票后10个工作日内，甲方支付相应合同款。</w:t>
      </w:r>
      <w:r>
        <w:rPr>
          <w:rFonts w:ascii="Times New Roman" w:hAnsi="Times New Roman"/>
          <w:sz w:val="24"/>
          <w:szCs w:val="24"/>
          <w:highlight w:val="none"/>
        </w:rPr>
      </w:r>
      <w:r/>
    </w:p>
    <w:p>
      <w:pPr>
        <w:pStyle w:val="908"/>
        <w:numPr>
          <w:ilvl w:val="0"/>
          <w:numId w:val="0"/>
        </w:numPr>
        <w:rPr>
          <w:rFonts w:hint="eastAsia"/>
          <w:highlight w:val="none"/>
          <w:lang w:val="en-US" w:eastAsia="zh-CN"/>
        </w:rPr>
      </w:pPr>
      <w:r>
        <w:rPr>
          <w:rFonts w:ascii="Times New Roman" w:hAnsi="Times New Roman"/>
          <w:sz w:val="24"/>
          <w:szCs w:val="24"/>
          <w:highlight w:val="none"/>
        </w:rPr>
        <w:t xml:space="preserve">（3）如因财政资金拨付不到位等原因，双方可协商延迟付款。</w:t>
      </w:r>
      <w:r>
        <w:rPr>
          <w:rFonts w:hint="eastAsia"/>
          <w:highlight w:val="none"/>
          <w:lang w:val="en-US" w:eastAsia="zh-CN"/>
        </w:rPr>
      </w:r>
      <w:r/>
    </w:p>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六</w:t>
      </w:r>
      <w:r>
        <w:rPr>
          <w:rFonts w:hint="eastAsia" w:ascii="方正黑体_GBK" w:hAnsi="方正黑体_GBK" w:eastAsia="方正黑体_GBK" w:cs="方正黑体_GBK"/>
          <w:b w:val="0"/>
          <w:bCs w:val="0"/>
          <w:sz w:val="28"/>
          <w:szCs w:val="28"/>
          <w:highlight w:val="none"/>
          <w:lang w:val="en-US" w:eastAsia="zh-CN"/>
        </w:rPr>
        <w:t xml:space="preserve">、</w:t>
      </w:r>
      <w:r>
        <w:rPr>
          <w:rFonts w:hint="eastAsia" w:ascii="方正黑体_GBK" w:hAnsi="方正黑体_GBK" w:eastAsia="方正黑体_GBK" w:cs="方正黑体_GBK"/>
          <w:b w:val="0"/>
          <w:bCs w:val="0"/>
          <w:sz w:val="28"/>
          <w:szCs w:val="28"/>
          <w:highlight w:val="none"/>
          <w:lang w:val="en-US" w:eastAsia="zh-CN"/>
        </w:rPr>
        <w:t xml:space="preserve">其他要求</w:t>
      </w:r>
      <w:r>
        <w:rPr>
          <w:rFonts w:hint="eastAsia" w:ascii="方正黑体_GBK" w:hAnsi="方正黑体_GBK" w:eastAsia="方正黑体_GBK" w:cs="方正黑体_GBK"/>
          <w:b w:val="0"/>
          <w:bCs w:val="0"/>
          <w:sz w:val="28"/>
          <w:szCs w:val="28"/>
          <w:highlight w:val="none"/>
          <w:lang w:val="en-US" w:eastAsia="zh-CN"/>
        </w:rPr>
      </w:r>
      <w:r/>
    </w:p>
    <w:p>
      <w:pPr>
        <w:pStyle w:val="894"/>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1.项目属性:服务类项目。</w:t>
      </w:r>
      <w:r>
        <w:rPr>
          <w:rFonts w:hint="eastAsia" w:ascii="宋体" w:hAnsi="宋体" w:eastAsia="宋体" w:cs="宋体"/>
          <w:sz w:val="24"/>
          <w:szCs w:val="24"/>
          <w:highlight w:val="none"/>
        </w:rPr>
      </w:r>
      <w:r/>
    </w:p>
    <w:p>
      <w:pPr>
        <w:pStyle w:val="894"/>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第二种演示方式 上传视频演示</w:t>
      </w:r>
      <w:r>
        <w:rPr>
          <w:rFonts w:hint="eastAsia" w:ascii="宋体" w:hAnsi="宋体" w:eastAsia="宋体" w:cs="宋体"/>
          <w:color w:val="000000"/>
          <w:sz w:val="24"/>
          <w:szCs w:val="24"/>
          <w:highlight w:val="none"/>
          <w:lang w:val="en-US" w:eastAsia="zh-CN"/>
        </w:rPr>
      </w:r>
      <w:r/>
    </w:p>
    <w:p>
      <w:pPr>
        <w:pStyle w:val="894"/>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需按照磋商文件规定的演示内容制作演示视频文件，视频文件的格式为X.mp4或X.avi，供应商须将视频文件分段压缩为X.zip文件上传（单个文件不得大于50M，所有文件总共不得大于300M）。文件上传方式见《操作手册》规定，上传的演示视频将作为响应文件的组成部分，视频时长总计不超过10分钟。</w:t>
      </w:r>
      <w:r>
        <w:rPr>
          <w:rFonts w:hint="eastAsia" w:ascii="宋体" w:hAnsi="宋体" w:eastAsia="宋体" w:cs="宋体"/>
          <w:color w:val="000000"/>
          <w:sz w:val="24"/>
          <w:szCs w:val="24"/>
          <w:highlight w:val="none"/>
          <w:lang w:val="en-US" w:eastAsia="zh-CN"/>
        </w:rPr>
      </w:r>
      <w:r/>
    </w:p>
    <w:p>
      <w:pPr>
        <w:pStyle w:val="894"/>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（2）演示内容如下：</w:t>
      </w:r>
      <w:r>
        <w:rPr>
          <w:rFonts w:hint="eastAsia" w:ascii="宋体" w:hAnsi="宋体" w:eastAsia="宋体" w:cs="宋体"/>
          <w:sz w:val="24"/>
          <w:szCs w:val="24"/>
          <w:highlight w:val="none"/>
        </w:rPr>
      </w:r>
      <w:r/>
    </w:p>
    <w:p>
      <w:pPr>
        <w:pStyle w:val="89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4"/>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1、主机安全</w:t>
      </w:r>
      <w:r>
        <w:rPr>
          <w:rFonts w:hint="eastAsia" w:ascii="宋体" w:hAnsi="宋体" w:eastAsia="宋体" w:cs="宋体"/>
          <w:color w:val="000000"/>
          <w:sz w:val="24"/>
          <w:szCs w:val="24"/>
        </w:rPr>
      </w:r>
      <w:r/>
    </w:p>
    <w:p>
      <w:pPr>
        <w:pStyle w:val="894"/>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（1）演示工具对资产漏洞信息展示的全面性，需包括漏洞级别、评估依据信息、漏洞修复建议、漏洞类型、利用特征、CVSS分值、CVSS向量、勒索事件、两高一弱标签等信息。</w:t>
      </w:r>
      <w:r>
        <w:rPr>
          <w:rFonts w:hint="eastAsia" w:ascii="宋体" w:hAnsi="宋体" w:eastAsia="宋体" w:cs="宋体"/>
          <w:color w:val="000000"/>
          <w:sz w:val="24"/>
          <w:szCs w:val="24"/>
        </w:rPr>
      </w:r>
      <w:r/>
    </w:p>
    <w:p>
      <w:pPr>
        <w:pStyle w:val="894"/>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（2）演示工具的WebShell的专项防护功能，包括感染主机数量、发现WebShell数量、事情处置情况、隔离状态、事件发生趋势等。</w:t>
      </w:r>
      <w:r>
        <w:rPr>
          <w:rFonts w:hint="eastAsia" w:ascii="宋体" w:hAnsi="宋体" w:eastAsia="宋体" w:cs="宋体"/>
          <w:color w:val="000000"/>
          <w:sz w:val="24"/>
          <w:szCs w:val="24"/>
        </w:rPr>
      </w:r>
      <w:r/>
    </w:p>
    <w:p>
      <w:pPr>
        <w:pStyle w:val="894"/>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（3）演示工具对合规基线的检测能力，合规基线类型需包括：等级保护、CIS Benchmark、重保基线策略、信创标准等。</w:t>
      </w:r>
      <w:r>
        <w:rPr>
          <w:rFonts w:hint="eastAsia" w:ascii="宋体" w:hAnsi="宋体" w:eastAsia="宋体" w:cs="宋体"/>
          <w:color w:val="000000"/>
          <w:sz w:val="24"/>
          <w:szCs w:val="24"/>
        </w:rPr>
      </w:r>
      <w:r/>
    </w:p>
    <w:p>
      <w:pPr>
        <w:pStyle w:val="894"/>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2、API安全检测</w:t>
      </w:r>
      <w:r>
        <w:rPr>
          <w:rFonts w:hint="eastAsia" w:ascii="宋体" w:hAnsi="宋体" w:eastAsia="宋体" w:cs="宋体"/>
          <w:color w:val="000000"/>
          <w:sz w:val="24"/>
          <w:szCs w:val="24"/>
        </w:rPr>
      </w:r>
      <w:r/>
    </w:p>
    <w:p>
      <w:pPr>
        <w:pStyle w:val="894"/>
        <w:ind w:firstLine="480"/>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（1）演示工具对API请求、响应报文的递归解码能力，可识别多种编码格式如：HTML解码、Unicode解码、十六进制转换、斜杠反转义、二进制解码、UTF-8、Base64等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4"/>
        <w:ind w:firstLine="48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（2）演示工具对于API资产风险发现的配置，要求风险发现类型不少于50条。</w:t>
      </w:r>
      <w:r>
        <w:rPr>
          <w:rFonts w:hint="eastAsia" w:ascii="宋体" w:hAnsi="宋体" w:eastAsia="宋体" w:cs="宋体"/>
          <w:color w:val="000000"/>
          <w:sz w:val="24"/>
          <w:szCs w:val="24"/>
        </w:rPr>
      </w:r>
      <w:r/>
    </w:p>
    <w:p>
      <w:pPr>
        <w:pStyle w:val="894"/>
        <w:ind w:firstLine="480"/>
        <w:spacing w:line="0" w:lineRule="atLeast"/>
        <w:rPr>
          <w:rFonts w:hint="eastAsia" w:ascii="宋体" w:hAnsi="宋体" w:eastAsia="宋体" w:cs="宋体"/>
          <w:color w:val="ff0000"/>
          <w:sz w:val="24"/>
          <w:szCs w:val="24"/>
          <w:highlight w:val="none"/>
        </w:rPr>
      </w:pPr>
      <w:r>
        <w:rPr>
          <w:rFonts w:hint="eastAsia" w:ascii="宋体" w:hAnsi="宋体" w:eastAsia="宋体" w:cs="宋体"/>
          <w:color w:val="000000"/>
          <w:sz w:val="24"/>
          <w:szCs w:val="24"/>
        </w:rPr>
        <w:t xml:space="preserve">（3）演示工具对敏感数据发现规则的自定义能力，包括匹配站点范围、关键词表达式、规则表达式、生效范围、标签等。</w:t>
      </w:r>
      <w:r>
        <w:rPr>
          <w:rFonts w:hint="eastAsia" w:ascii="宋体" w:hAnsi="宋体" w:eastAsia="宋体" w:cs="宋体"/>
          <w:color w:val="ff0000"/>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jc w:val="center"/>
        <w:keepLines w:val="0"/>
        <w:keepNext/>
        <w:pageBreakBefore w:val="0"/>
        <w:spacing w:line="400" w:lineRule="exact"/>
        <w:widowControl w:val="off"/>
        <w:rPr>
          <w:rFonts w:hint="eastAsia" w:ascii="黑体" w:hAnsi="Times New Roman" w:eastAsia="黑体"/>
          <w:b w:val="0"/>
          <w:bCs/>
          <w:sz w:val="28"/>
          <w:szCs w:val="28"/>
          <w:highlight w:val="none"/>
        </w:rPr>
        <w:outlineLvl w:val="0"/>
      </w:pPr>
      <w:r/>
      <w:bookmarkStart w:id="181" w:name="_Toc120614281"/>
      <w:r>
        <w:rPr>
          <w:rFonts w:hint="eastAsia" w:ascii="黑体" w:hAnsi="Times New Roman" w:eastAsia="黑体"/>
          <w:b w:val="0"/>
          <w:bCs/>
          <w:sz w:val="28"/>
          <w:szCs w:val="28"/>
          <w:highlight w:val="none"/>
        </w:rPr>
        <w:t xml:space="preserve">第五章  评审方法与评审标准</w:t>
      </w:r>
      <w:r>
        <w:rPr>
          <w:rFonts w:hint="eastAsia" w:ascii="黑体" w:hAnsi="Times New Roman" w:eastAsia="黑体"/>
          <w:b w:val="0"/>
          <w:bCs/>
          <w:sz w:val="28"/>
          <w:szCs w:val="28"/>
          <w:highlight w:val="none"/>
        </w:rPr>
      </w:r>
      <w:r/>
    </w:p>
    <w:p>
      <w:pPr>
        <w:pStyle w:val="894"/>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r>
      <w:r/>
    </w:p>
    <w:p>
      <w:pPr>
        <w:pStyle w:val="894"/>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小微型企业价格扣除</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（1）本项目对小型和微型企业产品/本项目对小型和微型企业提供的服务 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的扣除价格，用扣除后的价格参与评审。(备注：此价格扣除为下限，请项目经办人提醒采购人，根据《江苏省财政厅关于进一步加大政府采购支持中小企业力度的通知》</w:t>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（2）供应商需按照采购文件的要求提供相应的《中小微企业声明函》。</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残疾人福利单位价格扣除</w:t>
      </w:r>
      <w:r>
        <w:rPr>
          <w:rFonts w:hint="eastAsia" w:ascii="方正仿宋_GBK" w:hAnsi="方正仿宋_GBK" w:eastAsia="方正仿宋_GBK" w:cs="方正仿宋_GBK"/>
          <w:sz w:val="28"/>
          <w:szCs w:val="28"/>
          <w:highlight w:val="none"/>
        </w:rPr>
      </w:r>
      <w:r/>
    </w:p>
    <w:p>
      <w:pPr>
        <w:pStyle w:val="8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（1）本项目对残疾人福利性单位视同小型、微型企业，给予</w:t>
      </w:r>
      <w:r>
        <w:rPr>
          <w:rFonts w:hint="eastAsia" w:ascii="方正仿宋_GBK" w:hAnsi="方正仿宋_GBK" w:eastAsia="方正仿宋_GBK" w:cs="方正仿宋_GBK"/>
          <w:sz w:val="28"/>
          <w:szCs w:val="28"/>
          <w:highlight w:val="none"/>
          <w:u w:val="single"/>
        </w:rPr>
        <w:t xml:space="preserve">10%</w:t>
      </w:r>
      <w:r/>
    </w:p>
    <w:p>
      <w:pPr>
        <w:pStyle w:val="8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sz w:val="28"/>
          <w:szCs w:val="28"/>
          <w:highlight w:val="none"/>
        </w:rPr>
      </w:r>
      <w:r/>
    </w:p>
    <w:p>
      <w:pPr>
        <w:pStyle w:val="8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监狱和戒毒企业价格扣除</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（1）本项目对监狱和戒毒企业（简称监狱企业）视同小型、微型企业，给予</w:t>
      </w:r>
      <w:r>
        <w:rPr>
          <w:rFonts w:hint="eastAsia" w:ascii="方正仿宋_GBK" w:hAnsi="方正仿宋_GBK" w:eastAsia="方正仿宋_GBK" w:cs="方正仿宋_GBK"/>
          <w:sz w:val="28"/>
          <w:szCs w:val="28"/>
          <w:highlight w:val="none"/>
          <w:u w:val="single"/>
        </w:rPr>
        <w:t xml:space="preserve">10%</w:t>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highlight w:val="none"/>
        </w:rPr>
        <w:t xml:space="preserve">供应商如不提供上述证明文件，价格将不做相应扣除</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残疾人福利单位、监狱企业属于小型、微型企业的，不重复享受政策。</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highlight w:val="none"/>
          <w:u w:val="single"/>
        </w:rPr>
        <w:t xml:space="preserve">30%</w:t>
      </w:r>
      <w:r>
        <w:rPr>
          <w:rFonts w:hint="eastAsia" w:ascii="方正仿宋_GBK" w:hAnsi="方正仿宋_GBK" w:eastAsia="方正仿宋_GBK" w:cs="方正仿宋_GBK"/>
          <w:sz w:val="28"/>
          <w:szCs w:val="28"/>
          <w:highlight w:val="none"/>
        </w:rPr>
        <w:t xml:space="preserve">以上的，给予联合体或者大中型企业</w:t>
      </w:r>
      <w:r>
        <w:rPr>
          <w:rFonts w:hint="eastAsia" w:ascii="方正仿宋_GBK" w:hAnsi="方正仿宋_GBK" w:eastAsia="方正仿宋_GBK" w:cs="方正仿宋_GBK"/>
          <w:sz w:val="28"/>
          <w:szCs w:val="28"/>
          <w:highlight w:val="none"/>
          <w:u w:val="single"/>
        </w:rPr>
        <w:t xml:space="preserve">4%</w:t>
      </w:r>
      <w:r>
        <w:rPr>
          <w:rFonts w:hint="eastAsia" w:ascii="方正仿宋_GBK" w:hAnsi="方正仿宋_GBK" w:eastAsia="方正仿宋_GBK" w:cs="方正仿宋_GBK"/>
          <w:sz w:val="28"/>
          <w:szCs w:val="28"/>
          <w:highlight w:val="none"/>
        </w:rPr>
        <w:t xml:space="preserve">(备注：此价格扣除为下限，请项目经办人提醒采购人，根据《江苏省财政厅关于进一步加大政府采购支持中小企业力度的通知》的价格扣除，用扣除后的价格参与评审。</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联合体各方均为小型、微型企业（残疾人福利单位、监狱企业）的，联合体享受</w:t>
      </w:r>
      <w:r>
        <w:rPr>
          <w:rFonts w:hint="eastAsia" w:ascii="方正仿宋_GBK" w:hAnsi="方正仿宋_GBK" w:eastAsia="方正仿宋_GBK" w:cs="方正仿宋_GBK"/>
          <w:sz w:val="28"/>
          <w:szCs w:val="28"/>
          <w:highlight w:val="none"/>
          <w:u w:val="single"/>
        </w:rPr>
        <w:t xml:space="preserve">10%</w:t>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rPr>
          <w:rFonts w:hint="eastAsia" w:ascii="方正仿宋_GBK" w:hAnsi="方正仿宋_GBK" w:eastAsia="方正仿宋_GBK" w:cs="方正仿宋_GBK"/>
          <w:color w:val="000000"/>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成本之和的比例达到</w:t>
      </w:r>
      <w:r>
        <w:rPr>
          <w:rFonts w:hint="eastAsia" w:ascii="方正仿宋_GBK" w:hAnsi="方正仿宋_GBK" w:eastAsia="方正仿宋_GBK" w:cs="方正仿宋_GBK"/>
          <w:color w:val="000000"/>
          <w:sz w:val="28"/>
          <w:szCs w:val="28"/>
          <w:highlight w:val="none"/>
          <w:u w:val="non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的总报价给予</w:t>
      </w:r>
      <w:r>
        <w:rPr>
          <w:rFonts w:hint="eastAsia" w:ascii="方正仿宋_GBK" w:hAnsi="方正仿宋_GBK" w:eastAsia="方正仿宋_GBK" w:cs="方正仿宋_GBK"/>
          <w:color w:val="000000"/>
          <w:sz w:val="28"/>
          <w:szCs w:val="28"/>
          <w:highlight w:val="none"/>
          <w:u w:val="none"/>
          <w:lang w:val="en-US" w:eastAsia="zh-CN"/>
        </w:rPr>
        <w:t xml:space="preserve">20%</w:t>
      </w:r>
      <w:r>
        <w:rPr>
          <w:rFonts w:hint="eastAsia" w:ascii="方正仿宋_GBK" w:hAnsi="方正仿宋_GBK" w:eastAsia="方正仿宋_GBK" w:cs="方正仿宋_GBK"/>
          <w:color w:val="000000"/>
          <w:sz w:val="28"/>
          <w:szCs w:val="28"/>
          <w:highlight w:val="none"/>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highlight w:val="none"/>
          <w:u w:val="none"/>
          <w:lang w:val="en-US" w:eastAsia="zh-CN"/>
        </w:rPr>
        <w:t xml:space="preserve">不足80%</w:t>
      </w:r>
      <w:r>
        <w:rPr>
          <w:rFonts w:hint="eastAsia" w:ascii="方正仿宋_GBK" w:hAnsi="方正仿宋_GBK" w:eastAsia="方正仿宋_GBK" w:cs="方正仿宋_GBK"/>
          <w:color w:val="000000"/>
          <w:sz w:val="28"/>
          <w:szCs w:val="28"/>
          <w:highlight w:val="none"/>
          <w:lang w:val="en-US" w:eastAsia="zh-CN"/>
        </w:rPr>
        <w:t xml:space="preserve">的，将不享受本国产品价格评审优惠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7.2</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7.3 </w:t>
      </w:r>
      <w:r>
        <w:rPr>
          <w:rFonts w:hint="eastAsia" w:ascii="方正仿宋_GBK" w:hAnsi="方正仿宋_GBK" w:eastAsia="方正仿宋_GBK" w:cs="方正仿宋_GBK"/>
          <w:color w:val="000000"/>
          <w:sz w:val="28"/>
          <w:szCs w:val="28"/>
          <w:highlight w:val="none"/>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7.4 评审</w:t>
      </w:r>
      <w:r>
        <w:rPr>
          <w:rFonts w:hint="eastAsia" w:ascii="方正仿宋_GBK" w:hAnsi="方正仿宋_GBK" w:eastAsia="方正仿宋_GBK" w:cs="方正仿宋_GBK"/>
          <w:color w:val="000000"/>
          <w:sz w:val="28"/>
          <w:szCs w:val="28"/>
          <w:highlight w:val="none"/>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highlight w:val="none"/>
          <w:lang w:eastAsia="zh-CN"/>
        </w:rPr>
        <w:t xml:space="preserve">磋商小组</w:t>
      </w:r>
      <w:r>
        <w:rPr>
          <w:rFonts w:hint="eastAsia" w:ascii="方正仿宋_GBK" w:hAnsi="方正仿宋_GBK" w:eastAsia="方正仿宋_GBK" w:cs="方正仿宋_GBK"/>
          <w:color w:val="000000"/>
          <w:sz w:val="28"/>
          <w:szCs w:val="28"/>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highlight w:val="none"/>
          <w:lang w:eastAsia="zh-CN"/>
        </w:rPr>
        <w:t xml:space="preserve">和磋商文件</w:t>
      </w:r>
      <w:r>
        <w:rPr>
          <w:rFonts w:hint="eastAsia" w:ascii="方正仿宋_GBK" w:hAnsi="方正仿宋_GBK" w:eastAsia="方正仿宋_GBK" w:cs="方正仿宋_GBK"/>
          <w:color w:val="000000"/>
          <w:sz w:val="28"/>
          <w:szCs w:val="28"/>
          <w:highlight w:val="none"/>
        </w:rPr>
        <w:t xml:space="preserve">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894"/>
        <w:ind w:firstLine="562"/>
        <w:jc w:val="left"/>
        <w:keepLines w:val="0"/>
        <w:pageBreakBefore w:val="0"/>
        <w:spacing w:before="120" w:after="120" w:line="400" w:lineRule="exact"/>
        <w:widowControl w:val="off"/>
        <w:rPr>
          <w:rFonts w:ascii="宋体" w:hAnsi="宋体"/>
          <w:b/>
          <w:sz w:val="28"/>
          <w:szCs w:val="28"/>
          <w:highlight w:val="none"/>
        </w:rPr>
      </w:pPr>
      <w:r>
        <w:rPr>
          <w:rFonts w:ascii="宋体" w:hAnsi="宋体"/>
          <w:b/>
          <w:sz w:val="28"/>
          <w:szCs w:val="28"/>
          <w:highlight w:val="none"/>
        </w:rPr>
      </w:r>
      <w:r/>
    </w:p>
    <w:p>
      <w:pPr>
        <w:pStyle w:val="894"/>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评审方法与评审标准</w:t>
      </w:r>
      <w:r>
        <w:rPr>
          <w:rFonts w:hint="eastAsia" w:ascii="方正仿宋_GBK" w:hAnsi="方正仿宋_GBK" w:eastAsia="方正仿宋_GBK" w:cs="方正仿宋_GBK"/>
          <w:b/>
          <w:color w:val="000000"/>
          <w:sz w:val="28"/>
          <w:szCs w:val="28"/>
          <w:highlight w:val="none"/>
        </w:rPr>
      </w:r>
      <w:r/>
    </w:p>
    <w:p>
      <w:pPr>
        <w:pStyle w:val="894"/>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t xml:space="preserve">   </w:t>
      </w:r>
      <w:r>
        <w:rPr>
          <w:rFonts w:hint="eastAsia" w:ascii="方正仿宋_GBK" w:hAnsi="方正仿宋_GBK" w:eastAsia="方正仿宋_GBK" w:cs="方正仿宋_GBK"/>
          <w:b/>
          <w:color w:val="000000"/>
          <w:sz w:val="32"/>
          <w:szCs w:val="32"/>
          <w:highlight w:val="none"/>
          <w:lang w:val="en-US" w:eastAsia="zh-CN"/>
        </w:rPr>
        <w:t xml:space="preserve">         </w:t>
      </w:r>
      <w:r>
        <w:rPr>
          <w:rFonts w:hint="eastAsia" w:ascii="方正仿宋_GBK" w:hAnsi="方正仿宋_GBK" w:eastAsia="方正仿宋_GBK" w:cs="方正仿宋_GBK"/>
          <w:b/>
          <w:color w:val="000000"/>
          <w:sz w:val="32"/>
          <w:szCs w:val="32"/>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46"/>
        <w:gridCol w:w="16"/>
        <w:gridCol w:w="1128"/>
        <w:gridCol w:w="6"/>
        <w:gridCol w:w="5798"/>
        <w:gridCol w:w="14"/>
        <w:gridCol w:w="604"/>
      </w:tblGrid>
      <w:tr>
        <w:trPr>
          <w:trHeight w:val="376"/>
        </w:trPr>
        <w:tc>
          <w:tcPr>
            <w:gridSpan w:val="3"/>
            <w:tcMar>
              <w:left w:w="108" w:type="dxa"/>
              <w:top w:w="0" w:type="dxa"/>
              <w:right w:w="108" w:type="dxa"/>
              <w:bottom w:w="0" w:type="dxa"/>
            </w:tcMar>
            <w:tcW w:w="1790" w:type="dxa"/>
            <w:vAlign w:val="center"/>
            <w:textDirection w:val="lrTb"/>
            <w:noWrap w:val="false"/>
          </w:tcPr>
          <w:p>
            <w:pPr>
              <w:pStyle w:val="894"/>
              <w:ind w:firstLine="482"/>
              <w:jc w:val="center"/>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序号</w:t>
            </w:r>
            <w:r>
              <w:rPr>
                <w:rFonts w:ascii="Times New Roman" w:hAnsi="Times New Roman"/>
                <w:b/>
                <w:bCs/>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2"/>
              <w:jc w:val="center"/>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打分办法</w:t>
            </w:r>
            <w:r>
              <w:rPr>
                <w:rFonts w:ascii="Times New Roman" w:hAnsi="Times New Roman"/>
                <w:b/>
                <w:bCs/>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得分</w:t>
            </w:r>
            <w:r>
              <w:rPr>
                <w:rFonts w:ascii="Times New Roman" w:hAnsi="Times New Roman"/>
                <w:b/>
                <w:bCs/>
                <w:color w:val="000000"/>
                <w:szCs w:val="21"/>
                <w:highlight w:val="none"/>
              </w:rPr>
            </w:r>
            <w:r/>
          </w:p>
        </w:tc>
      </w:tr>
      <w:tr>
        <w:trPr/>
        <w:tc>
          <w:tcPr>
            <w:gridSpan w:val="7"/>
            <w:tcMar>
              <w:left w:w="108" w:type="dxa"/>
              <w:top w:w="0" w:type="dxa"/>
              <w:right w:w="108" w:type="dxa"/>
              <w:bottom w:w="0" w:type="dxa"/>
            </w:tcMar>
            <w:tcW w:w="8212" w:type="dxa"/>
            <w:vAlign w:val="center"/>
            <w:textDirection w:val="lrTb"/>
            <w:noWrap w:val="false"/>
          </w:tcPr>
          <w:p>
            <w:pPr>
              <w:pStyle w:val="894"/>
              <w:jc w:val="center"/>
              <w:spacing w:before="120" w:after="12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（一）价格</w:t>
            </w:r>
            <w:r>
              <w:rPr>
                <w:rFonts w:hint="eastAsia" w:ascii="Times New Roman" w:hAnsi="Times New Roman"/>
                <w:b/>
                <w:bCs/>
                <w:color w:val="000000"/>
                <w:szCs w:val="21"/>
                <w:highlight w:val="none"/>
              </w:rPr>
              <w:t xml:space="preserve">部分</w:t>
            </w:r>
            <w:r>
              <w:rPr>
                <w:rFonts w:ascii="Times New Roman" w:hAnsi="Times New Roman"/>
                <w:b/>
                <w:bCs/>
                <w:color w:val="000000"/>
                <w:szCs w:val="21"/>
                <w:highlight w:val="none"/>
              </w:rPr>
              <w:t xml:space="preserve">（10分）</w:t>
            </w:r>
            <w:r>
              <w:rPr>
                <w:rFonts w:ascii="Times New Roman" w:hAnsi="Times New Roman"/>
                <w:color w:val="000000"/>
                <w:szCs w:val="21"/>
                <w:highlight w:val="none"/>
              </w:rPr>
            </w:r>
            <w:r/>
          </w:p>
        </w:tc>
      </w:tr>
      <w:tr>
        <w:trPr/>
        <w:tc>
          <w:tcPr>
            <w:gridSpan w:val="2"/>
            <w:tcMar>
              <w:left w:w="108" w:type="dxa"/>
              <w:top w:w="0" w:type="dxa"/>
              <w:right w:w="108" w:type="dxa"/>
              <w:bottom w:w="0" w:type="dxa"/>
            </w:tcMar>
            <w:tcW w:w="662" w:type="dxa"/>
            <w:vAlign w:val="center"/>
            <w:textDirection w:val="lrTb"/>
            <w:noWrap w:val="false"/>
          </w:tcPr>
          <w:p>
            <w:pPr>
              <w:pStyle w:val="894"/>
              <w:jc w:val="center"/>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1.1</w:t>
            </w:r>
            <w:r>
              <w:rPr>
                <w:rFonts w:ascii="Times New Roman" w:hAnsi="Times New Roman"/>
                <w:b/>
                <w:bCs/>
                <w:color w:val="000000"/>
                <w:szCs w:val="21"/>
                <w:highlight w:val="none"/>
              </w:rPr>
            </w:r>
            <w:r/>
          </w:p>
        </w:tc>
        <w:tc>
          <w:tcPr>
            <w:gridSpan w:val="2"/>
            <w:tcW w:w="1134" w:type="dxa"/>
            <w:vAlign w:val="center"/>
            <w:textDirection w:val="lrTb"/>
            <w:noWrap w:val="false"/>
          </w:tcPr>
          <w:p>
            <w:pPr>
              <w:pStyle w:val="894"/>
              <w:jc w:val="center"/>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价格（10分）</w:t>
            </w:r>
            <w:r>
              <w:rPr>
                <w:rFonts w:ascii="Times New Roman" w:hAnsi="Times New Roman"/>
                <w:b/>
                <w:bCs/>
                <w:color w:val="000000"/>
                <w:szCs w:val="21"/>
                <w:highlight w:val="none"/>
              </w:rPr>
            </w:r>
            <w:r/>
          </w:p>
        </w:tc>
        <w:tc>
          <w:tcPr>
            <w:gridSpan w:val="2"/>
            <w:tcW w:w="5812" w:type="dxa"/>
            <w:vAlign w:val="center"/>
            <w:textDirection w:val="lrTb"/>
            <w:noWrap w:val="false"/>
          </w:tcPr>
          <w:p>
            <w:pPr>
              <w:pStyle w:val="894"/>
              <w:ind w:firstLine="480"/>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价格分采用低价优先法计算，即满足采购文件要求且投标价格最低的投标人投标报价为评标基准价，其价格分为满分10分，其它投标人的价格分统一按照以下公式计算：投标报价得分=（评标基准价/该投标人的投标报价）×10分。分值保留小数点后2位。</w:t>
            </w:r>
            <w:r>
              <w:rPr>
                <w:rFonts w:ascii="Times New Roman" w:hAnsi="Times New Roman"/>
                <w:b/>
                <w:bCs/>
                <w:color w:val="000000"/>
                <w:szCs w:val="21"/>
                <w:highlight w:val="none"/>
              </w:rPr>
            </w:r>
            <w:r/>
          </w:p>
        </w:tc>
        <w:tc>
          <w:tcPr>
            <w:tcW w:w="604" w:type="dxa"/>
            <w:vAlign w:val="center"/>
            <w:textDirection w:val="lrTb"/>
            <w:noWrap w:val="false"/>
          </w:tcPr>
          <w:p>
            <w:pPr>
              <w:pStyle w:val="894"/>
              <w:jc w:val="center"/>
              <w:rPr>
                <w:rFonts w:ascii="Times New Roman" w:hAnsi="Times New Roman"/>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color w:val="000000"/>
                <w:szCs w:val="21"/>
                <w:highlight w:val="none"/>
              </w:rPr>
              <w:t xml:space="preserve">10</w:t>
            </w:r>
            <w:r>
              <w:rPr>
                <w:rFonts w:ascii="Times New Roman" w:hAnsi="Times New Roman"/>
                <w:bCs/>
                <w:color w:val="000000"/>
                <w:szCs w:val="21"/>
                <w:highlight w:val="none"/>
              </w:rPr>
            </w:r>
            <w:r/>
          </w:p>
        </w:tc>
      </w:tr>
      <w:tr>
        <w:trPr>
          <w:trHeight w:val="323"/>
        </w:trPr>
        <w:tc>
          <w:tcPr>
            <w:gridSpan w:val="7"/>
            <w:tcMar>
              <w:left w:w="108" w:type="dxa"/>
              <w:top w:w="0" w:type="dxa"/>
              <w:right w:w="108" w:type="dxa"/>
              <w:bottom w:w="0" w:type="dxa"/>
            </w:tcMar>
            <w:tcW w:w="8212" w:type="dxa"/>
            <w:vAlign w:val="center"/>
            <w:textDirection w:val="lrTb"/>
            <w:noWrap w:val="false"/>
          </w:tcPr>
          <w:p>
            <w:pPr>
              <w:pStyle w:val="894"/>
              <w:jc w:val="center"/>
              <w:spacing w:before="120" w:after="12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（二）技术</w:t>
            </w:r>
            <w:r>
              <w:rPr>
                <w:rFonts w:hint="eastAsia" w:ascii="Times New Roman" w:hAnsi="Times New Roman"/>
                <w:b/>
                <w:bCs/>
                <w:color w:val="000000"/>
                <w:szCs w:val="21"/>
                <w:highlight w:val="none"/>
              </w:rPr>
              <w:t xml:space="preserve">部分</w:t>
            </w:r>
            <w:r>
              <w:rPr>
                <w:rFonts w:ascii="Times New Roman" w:hAnsi="Times New Roman"/>
                <w:b/>
                <w:bCs/>
                <w:color w:val="000000"/>
                <w:szCs w:val="21"/>
                <w:highlight w:val="none"/>
              </w:rPr>
              <w:t xml:space="preserve">（63分）</w:t>
            </w:r>
            <w:r>
              <w:rPr>
                <w:rFonts w:ascii="Times New Roman" w:hAnsi="Times New Roman"/>
                <w:color w:val="000000"/>
                <w:szCs w:val="21"/>
                <w:highlight w:val="none"/>
              </w:rPr>
            </w:r>
            <w:r/>
          </w:p>
        </w:tc>
      </w:tr>
      <w:tr>
        <w:trPr>
          <w:trHeight w:val="954"/>
        </w:trPr>
        <w:tc>
          <w:tcPr>
            <w:tcMar>
              <w:left w:w="108" w:type="dxa"/>
              <w:top w:w="0" w:type="dxa"/>
              <w:right w:w="108" w:type="dxa"/>
              <w:bottom w:w="0" w:type="dxa"/>
            </w:tcMa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2.1</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技术参数要求（27）</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投标人针</w:t>
            </w:r>
            <w:r>
              <w:rPr>
                <w:rFonts w:ascii="Times New Roman" w:hAnsi="Times New Roman"/>
                <w:color w:val="000000"/>
                <w:szCs w:val="21"/>
                <w:highlight w:val="none"/>
              </w:rPr>
              <w:t xml:space="preserve">对本项目的</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第四章</w:t>
            </w:r>
            <w:r>
              <w:rPr>
                <w:rFonts w:hint="eastAsia" w:ascii="Times New Roman" w:hAnsi="Times New Roman"/>
                <w:color w:val="000000"/>
                <w:szCs w:val="21"/>
                <w:highlight w:val="none"/>
              </w:rPr>
              <w:t xml:space="preserve"> 采购需求中三、采购需求</w:t>
            </w:r>
            <w:r>
              <w:rPr>
                <w:rFonts w:ascii="Times New Roman" w:hAnsi="Times New Roman"/>
                <w:color w:val="000000"/>
                <w:szCs w:val="21"/>
                <w:highlight w:val="none"/>
              </w:rPr>
              <w:t xml:space="preserve">”进行响应，</w:t>
            </w:r>
            <w:r>
              <w:rPr>
                <w:rFonts w:hint="eastAsia" w:ascii="Times New Roman" w:hAnsi="Times New Roman"/>
                <w:color w:val="000000"/>
                <w:szCs w:val="21"/>
                <w:highlight w:val="none"/>
              </w:rPr>
              <w:t xml:space="preserve">全部满足招标要求得</w:t>
            </w:r>
            <w:r>
              <w:rPr>
                <w:rFonts w:ascii="Times New Roman" w:hAnsi="Times New Roman"/>
                <w:color w:val="000000"/>
                <w:szCs w:val="21"/>
                <w:highlight w:val="none"/>
              </w:rPr>
              <w:t xml:space="preserve">27</w:t>
            </w:r>
            <w:r>
              <w:rPr>
                <w:rFonts w:hint="eastAsia" w:ascii="Times New Roman" w:hAnsi="Times New Roman"/>
                <w:color w:val="000000"/>
                <w:szCs w:val="21"/>
                <w:highlight w:val="none"/>
              </w:rPr>
              <w:t xml:space="preserve">分；</w:t>
            </w:r>
            <w:r>
              <w:rPr>
                <w:rFonts w:hint="eastAsia" w:ascii="Times New Roman" w:hAnsi="Times New Roman"/>
                <w:i/>
                <w:color w:val="000000"/>
                <w:szCs w:val="21"/>
                <w:highlight w:val="none"/>
                <w:u w:val="single"/>
              </w:rPr>
              <w:t xml:space="preserve">斜体且有下划线</w:t>
            </w:r>
            <w:r>
              <w:rPr>
                <w:rFonts w:hint="eastAsia" w:ascii="Times New Roman" w:hAnsi="Times New Roman"/>
                <w:color w:val="000000"/>
                <w:szCs w:val="21"/>
                <w:highlight w:val="none"/>
              </w:rPr>
              <w:t xml:space="preserve">部分为实质性条款，若有负偏离，按无效投标处理；</w:t>
            </w:r>
            <w:r>
              <w:rPr>
                <w:rFonts w:ascii="Times New Roman" w:hAnsi="Times New Roman"/>
                <w:color w:val="000000"/>
                <w:szCs w:val="21"/>
                <w:highlight w:val="none"/>
              </w:rPr>
              <w:t xml:space="preserve">打</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号为重要指标</w:t>
            </w:r>
            <w:r>
              <w:rPr>
                <w:rFonts w:hint="eastAsia" w:ascii="Times New Roman" w:hAnsi="Times New Roman"/>
                <w:color w:val="000000"/>
                <w:szCs w:val="21"/>
                <w:highlight w:val="none"/>
              </w:rPr>
              <w:t xml:space="preserve">，“▲”项每有一项有负偏离扣</w:t>
            </w:r>
            <w:r>
              <w:rPr>
                <w:rFonts w:ascii="Times New Roman" w:hAnsi="Times New Roman"/>
                <w:color w:val="000000"/>
                <w:szCs w:val="21"/>
                <w:highlight w:val="none"/>
              </w:rPr>
              <w:t xml:space="preserve">1</w:t>
            </w:r>
            <w:r>
              <w:rPr>
                <w:rFonts w:hint="eastAsia" w:ascii="Times New Roman" w:hAnsi="Times New Roman"/>
                <w:color w:val="000000"/>
                <w:szCs w:val="21"/>
                <w:highlight w:val="none"/>
              </w:rPr>
              <w:t xml:space="preserve">分，扣完为止。</w:t>
            </w:r>
            <w:r>
              <w:rPr>
                <w:rFonts w:ascii="Times New Roman" w:hAnsi="Times New Roman"/>
                <w:color w:val="000000"/>
                <w:szCs w:val="21"/>
                <w:highlight w:val="none"/>
              </w:rPr>
              <w:t xml:space="preserve">（投标人需在“技术要求响应及偏离表”中如实</w:t>
            </w:r>
            <w:r>
              <w:rPr>
                <w:rFonts w:hint="eastAsia" w:ascii="Times New Roman" w:hAnsi="Times New Roman"/>
                <w:color w:val="000000"/>
                <w:szCs w:val="21"/>
                <w:highlight w:val="none"/>
              </w:rPr>
              <w:t xml:space="preserve">逐项</w:t>
            </w:r>
            <w:r>
              <w:rPr>
                <w:rFonts w:ascii="Times New Roman" w:hAnsi="Times New Roman"/>
                <w:color w:val="000000"/>
                <w:szCs w:val="21"/>
                <w:highlight w:val="none"/>
              </w:rPr>
              <w:t xml:space="preserve">填列所投参数，按采购文件要求提供相应证明材料</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证明材料</w:t>
            </w:r>
            <w:r>
              <w:rPr>
                <w:rFonts w:hint="eastAsia" w:ascii="Times New Roman" w:hAnsi="Times New Roman"/>
                <w:color w:val="000000"/>
                <w:szCs w:val="21"/>
                <w:highlight w:val="none"/>
              </w:rPr>
              <w:t xml:space="preserve">未按要求提供</w:t>
            </w:r>
            <w:r>
              <w:rPr>
                <w:rFonts w:ascii="Times New Roman" w:hAnsi="Times New Roman"/>
                <w:color w:val="000000"/>
                <w:szCs w:val="21"/>
                <w:highlight w:val="none"/>
              </w:rPr>
              <w:t xml:space="preserve">的</w:t>
            </w:r>
            <w:r>
              <w:rPr>
                <w:rFonts w:hint="eastAsia" w:ascii="Times New Roman" w:hAnsi="Times New Roman"/>
                <w:color w:val="000000"/>
                <w:szCs w:val="21"/>
                <w:highlight w:val="none"/>
              </w:rPr>
              <w:t xml:space="preserve">对应项不得分</w:t>
            </w:r>
            <w:r>
              <w:rPr>
                <w:rFonts w:ascii="Times New Roman" w:hAnsi="Times New Roman"/>
                <w:color w:val="000000"/>
                <w:szCs w:val="21"/>
                <w:highlight w:val="none"/>
              </w:rPr>
              <w:t xml:space="preserve">）。</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27</w:t>
            </w:r>
            <w:r>
              <w:rPr>
                <w:rFonts w:ascii="Times New Roman" w:hAnsi="Times New Roman"/>
                <w:color w:val="000000"/>
                <w:szCs w:val="21"/>
                <w:highlight w:val="none"/>
              </w:rPr>
            </w:r>
            <w:r/>
          </w:p>
        </w:tc>
      </w:tr>
      <w:tr>
        <w:trPr>
          <w:trHeight w:val="954"/>
        </w:trPr>
        <w:tc>
          <w:tcPr>
            <w:tcMar>
              <w:left w:w="108" w:type="dxa"/>
              <w:top w:w="0" w:type="dxa"/>
              <w:right w:w="108" w:type="dxa"/>
              <w:bottom w:w="0" w:type="dxa"/>
            </w:tcMa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主机安全工具部署实施方案</w:t>
            </w:r>
            <w:r>
              <w:rPr>
                <w:rFonts w:ascii="Times New Roman" w:hAnsi="Times New Roman"/>
                <w:color w:val="000000"/>
                <w:szCs w:val="21"/>
                <w:highlight w:val="none"/>
              </w:rPr>
              <w:t xml:space="preserve">（4分）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评委根据投标文件对招标文件第四章“采购需求”中“主机安全工具部署实施方案”要求的响应情况进行评审</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（1）投标文件未提供“主机安全工具部署实施方案”或不符合“主机安全工具部署实施方案”中全部条款要求的，视为不符合招标文件，本项得0分。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（2）投标文件符合“主机安全工具部署实施方案”中全部条款要求的，视为符合招标文件，本项得</w:t>
            </w:r>
            <w:r>
              <w:rPr>
                <w:rFonts w:ascii="Times New Roman" w:hAnsi="Times New Roman"/>
                <w:color w:val="000000"/>
                <w:szCs w:val="21"/>
                <w:highlight w:val="none"/>
              </w:rPr>
              <w:t xml:space="preserve">2</w:t>
            </w:r>
            <w:r>
              <w:rPr>
                <w:rFonts w:hint="eastAsia" w:ascii="Times New Roman" w:hAnsi="Times New Roman"/>
                <w:color w:val="000000"/>
                <w:szCs w:val="21"/>
                <w:highlight w:val="none"/>
              </w:rPr>
              <w:t xml:space="preserve">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主机安全工具部署实施方案”中“部署架构设计、功能测试样例”的响应内容优于招标文件要求的（前提是投标文件对“主机安全工具部署实施方案”中除“部署架构设计、功能测试样例”外其他要求响应内容符合招标文件要求），本项得</w:t>
            </w:r>
            <w:r>
              <w:rPr>
                <w:rFonts w:ascii="Times New Roman" w:hAnsi="Times New Roman"/>
                <w:color w:val="000000"/>
                <w:szCs w:val="21"/>
                <w:highlight w:val="none"/>
              </w:rPr>
              <w:t xml:space="preserve">4</w:t>
            </w:r>
            <w:r>
              <w:rPr>
                <w:rFonts w:hint="eastAsia" w:ascii="Times New Roman" w:hAnsi="Times New Roman"/>
                <w:color w:val="000000"/>
                <w:szCs w:val="21"/>
                <w:highlight w:val="none"/>
              </w:rPr>
              <w:t xml:space="preserve">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954"/>
        </w:trPr>
        <w:tc>
          <w:tcPr>
            <w:tcMar>
              <w:left w:w="108" w:type="dxa"/>
              <w:top w:w="0" w:type="dxa"/>
              <w:right w:w="108" w:type="dxa"/>
              <w:bottom w:w="0" w:type="dxa"/>
            </w:tcMa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漏洞</w:t>
            </w:r>
            <w:r>
              <w:rPr>
                <w:rFonts w:ascii="Times New Roman" w:hAnsi="Times New Roman"/>
                <w:color w:val="000000"/>
                <w:szCs w:val="21"/>
                <w:highlight w:val="none"/>
              </w:rPr>
              <w:t xml:space="preserve">扫描服务方案（4分）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评委根据投标文件对招标文件第四章“采购需求”中“漏洞扫描服务方案”要求的响应情况进行评审</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（1）投标文件未提供“漏洞扫描服务方案”或不符合“漏洞扫描服务方案”中全部条款要求的，视为不符合招标文件，本项得0分。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（2）投标文件符合“漏洞扫描服务方案”中全部条款要求的，视为符合招标文件，本项得2分。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漏洞扫描服务方案”中“扫描策略与周期设计、修复建议与跟踪闭环”的响应内容优于招标文件要求的（前提是投标文件对“漏洞扫描服务方案”中除“扫描策略与周期设计、修复建议与跟踪闭环”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12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渗透测试服务</w:t>
            </w:r>
            <w:r>
              <w:rPr>
                <w:rFonts w:ascii="Times New Roman" w:hAnsi="Times New Roman"/>
                <w:color w:val="000000"/>
                <w:szCs w:val="21"/>
                <w:highlight w:val="none"/>
              </w:rPr>
              <w:t xml:space="preserve">方案（4分）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评委根据投标文件对招标文件第四章“采购需求”中“渗透测试服务方案”要求的响应情况进行评审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（1）投标文件未提供“渗透测试服务方案”或不符合“渗透测试服务方案”中全部条款要求的，视为不符合招标文件，本项得0分。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（2）投标文件符合“渗透测试服务方案”中全部条款要求的，视为符合招标文件，本项得2分。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渗透测试服务方案”中“测试方法与流程设计、修复复测机制”的响应内容优于招标文件要求的（前提是投标文件对“渗透测试服务方案”中除“测试方法与流程设计、修复复测机制”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36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5</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培训服务方案（4分）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评委根据投标文件对招标文件第四章“采购需求”中“培训服务方案”要求的响应情况进行评审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（1）投标文件未提供“培训服务方案”或不符合“培训服务方案”中全部条款要求的，视为不符合招标文件，本项得0分。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（2）投标文件符合“培训服务方案”中全部条款要求的，视为符合招标文件，本项得2分。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培训服务方案”中“课程体系设计、考核与复训机制”的响应内容优于招标文件要求的（前提是投标文件对“培训服务方案”中除“课程体系设计、考核与复训机制”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36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6</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bookmarkStart w:id="182" w:name="OLE_LINK3"/>
            <w:r>
              <w:rPr>
                <w:rFonts w:hint="eastAsia" w:ascii="Times New Roman" w:hAnsi="Times New Roman"/>
                <w:color w:val="000000"/>
                <w:szCs w:val="21"/>
                <w:highlight w:val="none"/>
              </w:rPr>
              <w:t xml:space="preserve">应急响应服务方案</w:t>
            </w:r>
            <w:r>
              <w:rPr>
                <w:rFonts w:ascii="Times New Roman" w:hAnsi="Times New Roman"/>
                <w:color w:val="000000"/>
                <w:szCs w:val="21"/>
                <w:highlight w:val="none"/>
              </w:rPr>
              <w:t xml:space="preserve">（4分）</w:t>
            </w:r>
            <w:bookmarkEnd w:id="182"/>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评委根据投标文件对招标文件第四章“采购需求”中“应急响应服务方案”要求的响应情况进行评审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（1）投标文件未提供“应急响应服务方案”或不符合“应急响应服务方案”中全部条款要求的，视为不符合招标文件，本项得0分。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（2）投标文件符合“应急响应服务方案”中全部条款要求的，视为符合招标文件，本项得2分。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应急响应服务方案”中“应急处置流程、应急预案与场景库”的响应内容优于招标文件要求的（前提是投标文件对“应急响应服务方案”中除“应急处置流程、应急预案与场景库”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36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7</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售后服务方案（4分）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评委根据投标文件对招标文件第四章“采购需求”中“售后服务方案”要求的响应情况进行评审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（1）投标文件未提供“售后服务方案”或不符合“售后服务方案”中全部条款要求的，视为不符合招标文件，本项得0分。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（2）投标文件符合“售后服务方案”中全部条款要求的，视为符合招标文件，本项得2分。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售后服务方案”中“7×24小时响应机制、故障分级处置时限”的响应内容优于招标文件要求的（前提是投标文件对“售后服务方案”中除“7×24小时响应机制、故障分级处置时限”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36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.8</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项目实施与运维风险管理方案</w:t>
            </w:r>
            <w:r>
              <w:rPr>
                <w:rFonts w:ascii="Times New Roman" w:hAnsi="Times New Roman"/>
                <w:color w:val="000000"/>
                <w:szCs w:val="21"/>
                <w:highlight w:val="none"/>
              </w:rPr>
              <w:t xml:space="preserve">（4分）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评委根据投标文件对招标文件第四章“采购需求”中“项目实施与运维风险管理方案”要求的响应情况进行评审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（1）投标文件未提供“项目实施与运维风险管理方案”或不符合“项目实施与运维风险管理方案”中全部条款要求的，视为不符合招标文件，本项得0分。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（2）投标文件符合“项目实施与运维风险管理方案”中全部条款要求的，视为符合招标文件，本项得2分。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项目实施与运维风险管理方案”中“风险分级标准与处置策略、风险处置闭环管理”的响应内容优于招标文件要求的（前提是投标文件对“项目实施与运维风险管理方案”中除“风险分级标准与处置策略、风险处置闭环管理”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36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.9</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质量管理方案（4分）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评委根据投标文件对招标文件第四章“采购需求”中“质量管理方案”要求的响应情况进行评审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（1）投标文件未提供“质量管理方案”或不符合“质量管理方案”中全部条款要求的，视为不符合招标文件，本项得0分。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（2）投标文件符合“质量管理方案”中全部条款要求的，视为符合招标文件，本项得2分。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质量管理方案”中“全过程质量控制节点、交付物评审与验收标准”的响应内容优于招标文件要求的（前提是投标文件对“质量管理方案”中除“全过程质量控制节点、交付物评审与验收标准”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478"/>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.10</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安全服务能力（</w:t>
            </w:r>
            <w:r>
              <w:rPr>
                <w:rFonts w:ascii="Times New Roman" w:hAnsi="Times New Roman"/>
                <w:color w:val="000000"/>
                <w:szCs w:val="21"/>
                <w:highlight w:val="none"/>
              </w:rPr>
              <w:t xml:space="preserve">3</w:t>
            </w:r>
            <w:r>
              <w:rPr>
                <w:rFonts w:hint="eastAsia" w:ascii="Times New Roman" w:hAnsi="Times New Roman"/>
                <w:color w:val="000000"/>
                <w:szCs w:val="21"/>
                <w:highlight w:val="none"/>
              </w:rPr>
              <w:t xml:space="preserve">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为体现投标人具备一定的自主安全服务能力，具有网络安全攻击路径模拟推演、基于零信任策略的Docker容器安全加固、基于混合加密和动态密钥管理的安全传输、高效稳定跨网络层级安全防御保障、多源数据融合的网络安全评估、网络关键设备安全监测相关软件著作权，每提供一个软件著作权证书得</w:t>
            </w:r>
            <w:r>
              <w:rPr>
                <w:rFonts w:ascii="Times New Roman" w:hAnsi="Times New Roman"/>
                <w:color w:val="000000"/>
                <w:szCs w:val="21"/>
                <w:highlight w:val="none"/>
              </w:rPr>
              <w:t xml:space="preserve">0.5</w:t>
            </w:r>
            <w:r>
              <w:rPr>
                <w:rFonts w:hint="eastAsia" w:ascii="Times New Roman" w:hAnsi="Times New Roman"/>
                <w:color w:val="000000"/>
                <w:szCs w:val="21"/>
                <w:highlight w:val="none"/>
              </w:rPr>
              <w:t xml:space="preserve">分，最多得</w:t>
            </w:r>
            <w:r>
              <w:rPr>
                <w:rFonts w:ascii="Times New Roman" w:hAnsi="Times New Roman"/>
                <w:color w:val="000000"/>
                <w:szCs w:val="21"/>
                <w:highlight w:val="none"/>
              </w:rPr>
              <w:t xml:space="preserve">3</w:t>
            </w:r>
            <w:r>
              <w:rPr>
                <w:rFonts w:hint="eastAsia" w:ascii="Times New Roman" w:hAnsi="Times New Roman"/>
                <w:color w:val="000000"/>
                <w:szCs w:val="21"/>
                <w:highlight w:val="none"/>
              </w:rPr>
              <w:t xml:space="preserve">分，未提供不得分。如果投标人软件</w:t>
            </w:r>
            <w:r>
              <w:rPr>
                <w:rFonts w:ascii="Times New Roman" w:hAnsi="Times New Roman"/>
                <w:color w:val="000000"/>
                <w:szCs w:val="21"/>
                <w:highlight w:val="none"/>
              </w:rPr>
              <w:t xml:space="preserve">著作权</w:t>
            </w:r>
            <w:r>
              <w:rPr>
                <w:rFonts w:hint="eastAsia" w:ascii="Times New Roman" w:hAnsi="Times New Roman"/>
                <w:color w:val="000000"/>
                <w:szCs w:val="21"/>
                <w:highlight w:val="none"/>
              </w:rPr>
              <w:t xml:space="preserve">名称不一致，经评委会认定具有所要求功能的得分。（提供证书复印件并加盖投标人公章）</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r>
      <w:tr>
        <w:trPr>
          <w:trHeight w:val="423"/>
        </w:trPr>
        <w:tc>
          <w:tcPr>
            <w:gridSpan w:val="7"/>
            <w:tcW w:w="8212" w:type="dxa"/>
            <w:vAlign w:val="center"/>
            <w:textDirection w:val="lrTb"/>
            <w:noWrap w:val="false"/>
          </w:tcPr>
          <w:p>
            <w:pPr>
              <w:pStyle w:val="894"/>
              <w:jc w:val="center"/>
              <w:spacing w:before="120" w:after="12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三</w:t>
            </w: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演示部分</w:t>
            </w: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10</w:t>
            </w:r>
            <w:r>
              <w:rPr>
                <w:rFonts w:ascii="Times New Roman" w:hAnsi="Times New Roman"/>
                <w:b/>
                <w:bCs/>
                <w:color w:val="000000"/>
                <w:szCs w:val="21"/>
                <w:highlight w:val="none"/>
              </w:rPr>
              <w:t xml:space="preserve">分）</w:t>
            </w:r>
            <w:r>
              <w:rPr>
                <w:rFonts w:ascii="Times New Roman" w:hAnsi="Times New Roman"/>
                <w:color w:val="000000"/>
                <w:szCs w:val="21"/>
                <w:highlight w:val="none"/>
              </w:rPr>
            </w:r>
            <w:r/>
          </w:p>
        </w:tc>
      </w:tr>
      <w:tr>
        <w:trPr>
          <w:trHeight w:val="264"/>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3.1</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系统演示（10分）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Pr>
            <w:r>
              <w:rPr>
                <w:rFonts w:hint="eastAsia" w:ascii="Times New Roman" w:hAnsi="Times New Roman"/>
                <w:color w:val="000000"/>
                <w:szCs w:val="21"/>
                <w:highlight w:val="none"/>
              </w:rPr>
              <w:t xml:space="preserve">投标人需按采购文件要求制作演示视频文件并上传系统，视频文件的格式为*.mp4或*.avi。文件上传方式见《操作手册》规定，上传的演示视频将作为投标文件的组成部分。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hint="eastAsia" w:ascii="Times New Roman" w:hAnsi="Times New Roman"/>
                <w:color w:val="000000"/>
                <w:szCs w:val="21"/>
                <w:highlight w:val="none"/>
              </w:rPr>
              <w:t xml:space="preserve">视频文件演示方式可以选择系统内页面功能演示或PPT介绍两种形式中的任意一种，同时提供两种演示方式的只按系统内页面功能演示进行评分。采用系统内页面功能演示，产品功能演示界面须为成熟商业化产品界面，满分10分；采用PPT介绍方式进行模拟演示的，每项需乘以系数0.5后为最终演示得分，不提供演示视频或演示不满足需求的不得分。投标人可根据自身情况选择合适的演示方式，视频时长总计控制在</w:t>
            </w:r>
            <w:r>
              <w:rPr>
                <w:rFonts w:ascii="Times New Roman" w:hAnsi="Times New Roman"/>
                <w:color w:val="000000"/>
                <w:szCs w:val="21"/>
                <w:highlight w:val="none"/>
              </w:rPr>
              <w:t xml:space="preserve">10</w:t>
            </w:r>
            <w:r>
              <w:rPr>
                <w:rFonts w:hint="eastAsia" w:ascii="Times New Roman" w:hAnsi="Times New Roman"/>
                <w:color w:val="000000"/>
                <w:szCs w:val="21"/>
                <w:highlight w:val="none"/>
              </w:rPr>
              <w:t xml:space="preserve">分钟内。演示具体内容应包含但不限于以下内容：</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ascii="Times New Roman" w:hAnsi="Times New Roman"/>
                <w:color w:val="000000"/>
                <w:szCs w:val="21"/>
                <w:highlight w:val="none"/>
              </w:rPr>
              <w:t xml:space="preserve">1</w:t>
            </w:r>
            <w:r>
              <w:rPr>
                <w:rFonts w:hint="eastAsia" w:ascii="Times New Roman" w:hAnsi="Times New Roman"/>
                <w:color w:val="000000"/>
                <w:szCs w:val="21"/>
                <w:highlight w:val="none"/>
              </w:rPr>
              <w:t xml:space="preserve">、主机安全</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hint="eastAsia" w:ascii="Times New Roman" w:hAnsi="Times New Roman"/>
                <w:color w:val="000000"/>
                <w:szCs w:val="21"/>
                <w:highlight w:val="none"/>
              </w:rPr>
              <w:t xml:space="preserve">（1）演示工具对资产</w:t>
            </w:r>
            <w:r>
              <w:rPr>
                <w:rFonts w:ascii="Times New Roman" w:hAnsi="Times New Roman"/>
                <w:color w:val="000000"/>
                <w:szCs w:val="21"/>
                <w:highlight w:val="none"/>
              </w:rPr>
              <w:t xml:space="preserve">漏洞信息</w:t>
            </w:r>
            <w:r>
              <w:rPr>
                <w:rFonts w:hint="eastAsia" w:ascii="Times New Roman" w:hAnsi="Times New Roman"/>
                <w:color w:val="000000"/>
                <w:szCs w:val="21"/>
                <w:highlight w:val="none"/>
              </w:rPr>
              <w:t xml:space="preserve">展示的全面性，</w:t>
            </w:r>
            <w:r>
              <w:rPr>
                <w:rFonts w:ascii="Times New Roman" w:hAnsi="Times New Roman"/>
                <w:color w:val="000000"/>
                <w:szCs w:val="21"/>
                <w:highlight w:val="none"/>
              </w:rPr>
              <w:t xml:space="preserve">需包括漏洞级别、评估依据信息、漏洞修复建议、漏洞类型、利用特征、CVSS分值、CVSS向量、勒索事件、两高一弱标签等信息</w:t>
            </w:r>
            <w:r>
              <w:rPr>
                <w:rFonts w:hint="eastAsia" w:ascii="Times New Roman" w:hAnsi="Times New Roman"/>
                <w:color w:val="000000"/>
                <w:szCs w:val="21"/>
                <w:highlight w:val="none"/>
              </w:rPr>
              <w:t xml:space="preserve">，能完整成功演示上述功能要求得2分；未能完整演示上述功能要求或未提供的得0分</w:t>
            </w:r>
            <w:r>
              <w:rPr>
                <w:rFonts w:ascii="Times New Roman" w:hAnsi="Times New Roman"/>
                <w:color w:val="000000"/>
                <w:szCs w:val="21"/>
                <w:highlight w:val="none"/>
              </w:rPr>
              <w:t xml:space="preserve">。</w:t>
            </w:r>
            <w:r>
              <w:rPr>
                <w:rFonts w:ascii="Times New Roman" w:hAnsi="Times New Roman"/>
                <w:color w:val="000000"/>
                <w:szCs w:val="21"/>
                <w:highlight w:val="none"/>
              </w:rPr>
            </w:r>
            <w:r/>
          </w:p>
          <w:p>
            <w:pPr>
              <w:pStyle w:val="894"/>
              <w:ind w:firstLine="480"/>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2</w:t>
            </w:r>
            <w:r>
              <w:rPr>
                <w:rFonts w:hint="eastAsia" w:ascii="Times New Roman" w:hAnsi="Times New Roman"/>
                <w:color w:val="000000"/>
                <w:szCs w:val="21"/>
                <w:highlight w:val="none"/>
              </w:rPr>
              <w:t xml:space="preserve">）演示工具的</w:t>
            </w:r>
            <w:r>
              <w:rPr>
                <w:rFonts w:ascii="Times New Roman" w:hAnsi="Times New Roman"/>
                <w:color w:val="000000"/>
                <w:szCs w:val="21"/>
                <w:highlight w:val="none"/>
              </w:rPr>
              <w:t xml:space="preserve">WebShell</w:t>
            </w:r>
            <w:r>
              <w:rPr>
                <w:rFonts w:hint="eastAsia" w:ascii="Times New Roman" w:hAnsi="Times New Roman"/>
                <w:color w:val="000000"/>
                <w:szCs w:val="21"/>
                <w:highlight w:val="none"/>
              </w:rPr>
              <w:t xml:space="preserve">的专项防护功能，包括感染主机数量、发现WebShell数量、事情处置情况、隔离状态、事件发生趋势等，能完整成功演示上述功能要求得2分；未能完整演示上述功能要求或未提供的得0分。</w:t>
            </w:r>
            <w:r>
              <w:rPr>
                <w:rFonts w:hint="eastAsia"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3</w:t>
            </w:r>
            <w:r>
              <w:rPr>
                <w:rFonts w:hint="eastAsia" w:ascii="Times New Roman" w:hAnsi="Times New Roman"/>
                <w:color w:val="000000"/>
                <w:szCs w:val="21"/>
                <w:highlight w:val="none"/>
              </w:rPr>
              <w:t xml:space="preserve">）演示工具对合规基线的检测能力，</w:t>
            </w:r>
            <w:r>
              <w:rPr>
                <w:rFonts w:ascii="Times New Roman" w:hAnsi="Times New Roman"/>
                <w:color w:val="000000"/>
                <w:szCs w:val="21"/>
                <w:highlight w:val="none"/>
              </w:rPr>
              <w:t xml:space="preserve">合规基线类型需包括：等级保护、CIS Benchmark、重保基线策略、信创标准</w:t>
            </w:r>
            <w:r>
              <w:rPr>
                <w:rFonts w:hint="eastAsia" w:ascii="Times New Roman" w:hAnsi="Times New Roman"/>
                <w:color w:val="000000"/>
                <w:szCs w:val="21"/>
                <w:highlight w:val="none"/>
              </w:rPr>
              <w:t xml:space="preserve">等，能完整成功演示上述功能要求得1分；未能完整演示上述功能要求或未提供的得0分。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ascii="Times New Roman" w:hAnsi="Times New Roman"/>
                <w:color w:val="000000"/>
                <w:szCs w:val="21"/>
                <w:highlight w:val="none"/>
              </w:rPr>
              <w:t xml:space="preserve">2</w:t>
            </w:r>
            <w:r>
              <w:rPr>
                <w:rFonts w:hint="eastAsia" w:ascii="Times New Roman" w:hAnsi="Times New Roman"/>
                <w:color w:val="000000"/>
                <w:szCs w:val="21"/>
                <w:highlight w:val="none"/>
              </w:rPr>
              <w:t xml:space="preserve">、API安全检测</w:t>
            </w:r>
            <w:r>
              <w:rPr>
                <w:rFonts w:ascii="Times New Roman" w:hAnsi="Times New Roman"/>
                <w:color w:val="000000"/>
                <w:szCs w:val="21"/>
                <w:highlight w:val="none"/>
              </w:rPr>
            </w:r>
            <w:r/>
          </w:p>
          <w:p>
            <w:pPr>
              <w:pStyle w:val="894"/>
              <w:ind w:firstLine="480"/>
              <w:rPr>
                <w:rFonts w:hint="eastAsia" w:ascii="Times New Roman" w:hAnsi="Times New Roman"/>
                <w:color w:val="000000"/>
                <w:szCs w:val="21"/>
                <w:highlight w:val="none"/>
                <w:lang w:eastAsia="zh-CN"/>
              </w:rPr>
            </w:pPr>
            <w:r>
              <w:rPr>
                <w:rFonts w:hint="eastAsia" w:ascii="Times New Roman" w:hAnsi="Times New Roman"/>
                <w:color w:val="000000"/>
                <w:szCs w:val="21"/>
                <w:highlight w:val="none"/>
              </w:rPr>
              <w:t xml:space="preserve">（1）演示工具</w:t>
            </w:r>
            <w:r>
              <w:rPr>
                <w:rFonts w:ascii="Times New Roman" w:hAnsi="Times New Roman"/>
                <w:color w:val="000000"/>
                <w:szCs w:val="21"/>
                <w:highlight w:val="none"/>
              </w:rPr>
              <w:t xml:space="preserve">对API请求、响应报文</w:t>
            </w:r>
            <w:r>
              <w:rPr>
                <w:rFonts w:hint="eastAsia" w:ascii="Times New Roman" w:hAnsi="Times New Roman"/>
                <w:color w:val="000000"/>
                <w:szCs w:val="21"/>
                <w:highlight w:val="none"/>
              </w:rPr>
              <w:t xml:space="preserve">的</w:t>
            </w:r>
            <w:r>
              <w:rPr>
                <w:rFonts w:ascii="Times New Roman" w:hAnsi="Times New Roman"/>
                <w:color w:val="000000"/>
                <w:szCs w:val="21"/>
                <w:highlight w:val="none"/>
              </w:rPr>
              <w:t xml:space="preserve">递归解码</w:t>
            </w:r>
            <w:r>
              <w:rPr>
                <w:rFonts w:hint="eastAsia" w:ascii="Times New Roman" w:hAnsi="Times New Roman"/>
                <w:color w:val="000000"/>
                <w:szCs w:val="21"/>
                <w:highlight w:val="none"/>
              </w:rPr>
              <w:t xml:space="preserve">能力</w:t>
            </w:r>
            <w:r>
              <w:rPr>
                <w:rFonts w:ascii="Times New Roman" w:hAnsi="Times New Roman"/>
                <w:color w:val="000000"/>
                <w:szCs w:val="21"/>
                <w:highlight w:val="none"/>
              </w:rPr>
              <w:t xml:space="preserve">，可识别多种编码格式如：HTML解码、Unicode解码、十六进制转换、斜杠反转义、二进制解码、UTF-8、Base64等</w:t>
            </w:r>
            <w:r>
              <w:rPr>
                <w:rFonts w:hint="eastAsia" w:ascii="Times New Roman" w:hAnsi="Times New Roman"/>
                <w:color w:val="000000"/>
                <w:szCs w:val="21"/>
                <w:highlight w:val="none"/>
              </w:rPr>
              <w:t xml:space="preserve">，能完整成功演示上述功能要求得2分；未能完整演示上述功能要求或未提供的得0分</w:t>
            </w:r>
            <w:r>
              <w:rPr>
                <w:rFonts w:hint="eastAsia" w:ascii="Times New Roman" w:hAnsi="Times New Roman"/>
                <w:color w:val="000000"/>
                <w:szCs w:val="21"/>
                <w:highlight w:val="none"/>
                <w:lang w:eastAsia="zh-CN"/>
              </w:rPr>
              <w:t xml:space="preserve">；</w:t>
            </w:r>
            <w:r>
              <w:rPr>
                <w:rFonts w:hint="eastAsia" w:ascii="Times New Roman" w:hAnsi="Times New Roman"/>
                <w:color w:val="000000"/>
                <w:szCs w:val="21"/>
                <w:highlight w:val="none"/>
                <w:lang w:eastAsia="zh-CN"/>
              </w:rPr>
            </w:r>
            <w:r/>
          </w:p>
          <w:p>
            <w:pPr>
              <w:pStyle w:val="894"/>
              <w:ind w:firstLine="480"/>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2</w:t>
            </w:r>
            <w:r>
              <w:rPr>
                <w:rFonts w:hint="eastAsia" w:ascii="Times New Roman" w:hAnsi="Times New Roman"/>
                <w:color w:val="000000"/>
                <w:szCs w:val="21"/>
                <w:highlight w:val="none"/>
              </w:rPr>
              <w:t xml:space="preserve">）演示工具对于API资产风险发现的配置，要求风险发现类型不少于5</w:t>
            </w:r>
            <w:r>
              <w:rPr>
                <w:rFonts w:ascii="Times New Roman" w:hAnsi="Times New Roman"/>
                <w:color w:val="000000"/>
                <w:szCs w:val="21"/>
                <w:highlight w:val="none"/>
              </w:rPr>
              <w:t xml:space="preserve">0</w:t>
            </w:r>
            <w:r>
              <w:rPr>
                <w:rFonts w:hint="eastAsia" w:ascii="Times New Roman" w:hAnsi="Times New Roman"/>
                <w:color w:val="000000"/>
                <w:szCs w:val="21"/>
                <w:highlight w:val="none"/>
              </w:rPr>
              <w:t xml:space="preserve">条，能完整成功演示上述功能要求得2分；未能完整演示上述功能要求或未提供的得0分。</w:t>
            </w:r>
            <w:r>
              <w:rPr>
                <w:rFonts w:hint="eastAsia"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3</w:t>
            </w:r>
            <w:r>
              <w:rPr>
                <w:rFonts w:hint="eastAsia" w:ascii="Times New Roman" w:hAnsi="Times New Roman"/>
                <w:color w:val="000000"/>
                <w:szCs w:val="21"/>
                <w:highlight w:val="none"/>
              </w:rPr>
              <w:t xml:space="preserve">）演示工具</w:t>
            </w:r>
            <w:r>
              <w:rPr>
                <w:rFonts w:ascii="Times New Roman" w:hAnsi="Times New Roman"/>
                <w:color w:val="000000"/>
                <w:szCs w:val="21"/>
                <w:highlight w:val="none"/>
              </w:rPr>
              <w:t xml:space="preserve">对</w:t>
            </w:r>
            <w:r>
              <w:rPr>
                <w:rFonts w:hint="eastAsia" w:ascii="Times New Roman" w:hAnsi="Times New Roman"/>
                <w:color w:val="000000"/>
                <w:szCs w:val="21"/>
                <w:highlight w:val="none"/>
              </w:rPr>
              <w:t xml:space="preserve">敏感数据发现规则的自定义能力，包括匹配站点范围、关键词表达式、规则表达式、生效范围、标签等，能完整成功演示上述功能要求得1分；未能完整演示上述功能要求或未提供的得0分。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10</w:t>
            </w:r>
            <w:r>
              <w:rPr>
                <w:rFonts w:ascii="Times New Roman" w:hAnsi="Times New Roman"/>
                <w:color w:val="000000"/>
                <w:szCs w:val="21"/>
                <w:highlight w:val="none"/>
              </w:rPr>
            </w:r>
            <w:r/>
          </w:p>
        </w:tc>
      </w:tr>
      <w:tr>
        <w:trPr>
          <w:trHeight w:val="167"/>
        </w:trPr>
        <w:tc>
          <w:tcPr>
            <w:gridSpan w:val="7"/>
            <w:tcW w:w="8212" w:type="dxa"/>
            <w:vAlign w:val="center"/>
            <w:textDirection w:val="lrTb"/>
            <w:noWrap w:val="false"/>
          </w:tcPr>
          <w:p>
            <w:pPr>
              <w:pStyle w:val="894"/>
              <w:jc w:val="center"/>
              <w:spacing w:before="120" w:after="12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四</w:t>
            </w: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商务部分</w:t>
            </w:r>
            <w:r>
              <w:rPr>
                <w:rFonts w:ascii="Times New Roman" w:hAnsi="Times New Roman"/>
                <w:b/>
                <w:bCs/>
                <w:color w:val="000000"/>
                <w:szCs w:val="21"/>
                <w:highlight w:val="none"/>
              </w:rPr>
              <w:t xml:space="preserve">（18分）</w:t>
            </w:r>
            <w:r>
              <w:rPr>
                <w:rFonts w:ascii="Times New Roman" w:hAnsi="Times New Roman"/>
                <w:color w:val="000000"/>
                <w:szCs w:val="21"/>
                <w:highlight w:val="none"/>
              </w:rPr>
            </w:r>
            <w:r/>
          </w:p>
        </w:tc>
      </w:tr>
      <w:tr>
        <w:trPr>
          <w:trHeight w:val="557"/>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投标人业绩（1.5分）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投标人</w:t>
            </w:r>
            <w:r>
              <w:rPr>
                <w:rFonts w:ascii="Times New Roman" w:hAnsi="Times New Roman"/>
                <w:color w:val="000000"/>
                <w:szCs w:val="21"/>
                <w:highlight w:val="none"/>
              </w:rPr>
              <w:t xml:space="preserve">自2023年8月1日起（以合同日期为准）承担过安全项目案例，每提供1个得0.5分，最多不超过1.5分（需提供有效合同复印件并加盖投标人公章）。</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ascii="Times New Roman" w:hAnsi="Times New Roman"/>
                <w:color w:val="000000"/>
                <w:szCs w:val="21"/>
                <w:highlight w:val="none"/>
              </w:rPr>
              <w:t xml:space="preserve">注：（1）合同复印件至少包括合同的甲乙双方、采购内容、签订时间，并对真实性负责；同个单位多份业绩只能按一份计算。（2）未按要求提供或提供信息不全的业绩，不得分</w:t>
            </w:r>
            <w:r>
              <w:rPr>
                <w:rFonts w:hint="eastAsia" w:ascii="Times New Roman" w:hAnsi="Times New Roman"/>
                <w:color w:val="000000"/>
                <w:szCs w:val="21"/>
                <w:highlight w:val="none"/>
              </w:rPr>
              <w:t xml:space="preserve">。</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1.5</w:t>
            </w:r>
            <w:r>
              <w:rPr>
                <w:rFonts w:ascii="Times New Roman" w:hAnsi="Times New Roman"/>
                <w:color w:val="000000"/>
                <w:szCs w:val="21"/>
                <w:highlight w:val="none"/>
              </w:rPr>
            </w:r>
            <w:r/>
          </w:p>
        </w:tc>
      </w:tr>
      <w:tr>
        <w:trPr>
          <w:trHeight w:val="194"/>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vMerge w:val="restart"/>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项目组人员配置（16.5分）</w:t>
            </w:r>
            <w:r>
              <w:rPr>
                <w:rFonts w:ascii="Times New Roman" w:hAnsi="Times New Roman"/>
                <w:color w:val="000000"/>
                <w:szCs w:val="21"/>
                <w:highlight w:val="none"/>
              </w:rPr>
            </w:r>
            <w:r/>
          </w:p>
          <w:p>
            <w:pPr>
              <w:pStyle w:val="894"/>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项目经理需具备数据安全评估师证书、数据安全工程师证书、注册信息安全工程师（CISE）证书、信息安全保障人员(CISAW-风险管理方向)证书，每提供1个证书得1分，最多得</w:t>
            </w:r>
            <w:r>
              <w:rPr>
                <w:rFonts w:ascii="Times New Roman" w:hAnsi="Times New Roman"/>
                <w:szCs w:val="21"/>
                <w:highlight w:val="none"/>
              </w:rPr>
              <w:t xml:space="preserve">4</w:t>
            </w:r>
            <w:r>
              <w:rPr>
                <w:rFonts w:hint="eastAsia" w:ascii="Times New Roman" w:hAnsi="Times New Roman"/>
                <w:szCs w:val="21"/>
                <w:highlight w:val="none"/>
              </w:rPr>
              <w:t xml:space="preserve">分。（提供</w:t>
            </w: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为项目组人员缴纳的近三个月内任意一个月的社保证明及有效期内的相关证书复印件加盖投标人公章，未提供不得分）。</w:t>
            </w:r>
            <w:r>
              <w:rPr>
                <w:rFonts w:ascii="Times New Roman" w:hAnsi="Times New Roman"/>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831"/>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vMerge w:val="continue"/>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团队成员中技术负责人需具备</w:t>
            </w:r>
            <w:bookmarkStart w:id="183" w:name="OLE_LINK1"/>
            <w:r>
              <w:rPr>
                <w:rFonts w:hint="eastAsia" w:ascii="Times New Roman" w:hAnsi="Times New Roman"/>
                <w:szCs w:val="21"/>
                <w:highlight w:val="none"/>
              </w:rPr>
              <w:t xml:space="preserve">数据安全工程师证书</w:t>
            </w:r>
            <w:bookmarkEnd w:id="183"/>
            <w:r>
              <w:rPr>
                <w:rFonts w:hint="eastAsia" w:ascii="Times New Roman" w:hAnsi="Times New Roman"/>
                <w:szCs w:val="21"/>
                <w:highlight w:val="none"/>
              </w:rPr>
              <w:t xml:space="preserve">、注册信息安全管理人员（CISO）证书、信息安全保障人员(CISAW-应急服务方向)证书，每提供1个证书得1分，最多得3分。（提供</w:t>
            </w: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为项目组人员缴纳的近三个月内任意一个月的社保证明及有效期内的相关证书复印件加盖投标人公章，未提供不得分）。</w:t>
            </w:r>
            <w:r>
              <w:rPr>
                <w:rFonts w:ascii="Times New Roman" w:hAnsi="Times New Roman"/>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r>
      <w:tr>
        <w:trPr>
          <w:trHeight w:val="406"/>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vMerge w:val="continue"/>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团队成员中安全负责人需具备网络工程师证书、注册信息安全工程师（CISE）证书、信息安全保障人员(CISAW-风险管理方向)证书，每提供1个证书得1分，最多得3分。（提供</w:t>
            </w: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为项目组人员缴纳的近三个月内任意一个月的社保证明及有效期内的相关证书复印件加盖投标人公章，未提供不得分）。</w:t>
            </w:r>
            <w:r>
              <w:rPr>
                <w:rFonts w:ascii="Times New Roman" w:hAnsi="Times New Roman"/>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r>
      <w:tr>
        <w:trPr>
          <w:trHeight w:val="331"/>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.5</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vMerge w:val="continue"/>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除项目经理、技术负责人、安全负责人外</w:t>
            </w: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项目团队应配备不少于</w:t>
            </w:r>
            <w:r>
              <w:rPr>
                <w:rFonts w:ascii="Times New Roman" w:hAnsi="Times New Roman"/>
                <w:szCs w:val="21"/>
                <w:highlight w:val="none"/>
              </w:rPr>
              <w:t xml:space="preserve">6</w:t>
            </w:r>
            <w:r>
              <w:rPr>
                <w:rFonts w:hint="eastAsia" w:ascii="Times New Roman" w:hAnsi="Times New Roman"/>
                <w:szCs w:val="21"/>
                <w:highlight w:val="none"/>
              </w:rPr>
              <w:t xml:space="preserve">名技术支撑人员；</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支撑人员1需具备数据安全工程师证书、信息安全保障人员(CISAW-安全运维方向)证书、信息安全保障人员(CISAW-风险管理方向)证书，每提供1个证书得</w:t>
            </w:r>
            <w:r>
              <w:rPr>
                <w:rFonts w:ascii="Times New Roman" w:hAnsi="Times New Roman"/>
                <w:szCs w:val="21"/>
                <w:highlight w:val="none"/>
              </w:rPr>
              <w:t xml:space="preserve">0.5</w:t>
            </w:r>
            <w:r>
              <w:rPr>
                <w:rFonts w:hint="eastAsia" w:ascii="Times New Roman" w:hAnsi="Times New Roman"/>
                <w:szCs w:val="21"/>
                <w:highlight w:val="none"/>
              </w:rPr>
              <w:t xml:space="preserve">分，最多得</w:t>
            </w:r>
            <w:r>
              <w:rPr>
                <w:rFonts w:ascii="Times New Roman" w:hAnsi="Times New Roman"/>
                <w:szCs w:val="21"/>
                <w:highlight w:val="none"/>
              </w:rPr>
              <w:t xml:space="preserve">1.5</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支撑人员2</w:t>
            </w:r>
            <w:r>
              <w:rPr>
                <w:rFonts w:hint="eastAsia" w:ascii="Times New Roman" w:hAnsi="Times New Roman"/>
                <w:szCs w:val="21"/>
                <w:highlight w:val="none"/>
              </w:rPr>
              <w:t xml:space="preserve">需具备网络工程师证书、注册信息安全工程师（CISE）证书，每提供1个证书得</w:t>
            </w:r>
            <w:r>
              <w:rPr>
                <w:rFonts w:ascii="Times New Roman" w:hAnsi="Times New Roman"/>
                <w:szCs w:val="21"/>
                <w:highlight w:val="none"/>
              </w:rPr>
              <w:t xml:space="preserve">0.5</w:t>
            </w:r>
            <w:r>
              <w:rPr>
                <w:rFonts w:hint="eastAsia" w:ascii="Times New Roman" w:hAnsi="Times New Roman"/>
                <w:szCs w:val="21"/>
                <w:highlight w:val="none"/>
              </w:rPr>
              <w:t xml:space="preserve">分，最多得</w:t>
            </w:r>
            <w:r>
              <w:rPr>
                <w:rFonts w:ascii="Times New Roman" w:hAnsi="Times New Roman"/>
                <w:szCs w:val="21"/>
                <w:highlight w:val="none"/>
              </w:rPr>
              <w:t xml:space="preserve">1</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支撑人员3</w:t>
            </w:r>
            <w:r>
              <w:rPr>
                <w:rFonts w:hint="eastAsia" w:ascii="Times New Roman" w:hAnsi="Times New Roman"/>
                <w:szCs w:val="21"/>
                <w:highlight w:val="none"/>
              </w:rPr>
              <w:t xml:space="preserve">需具备网络工程师证书、信息安全保障人员(CISAW-安全运维方向)证书，每提供1个证书得</w:t>
            </w:r>
            <w:r>
              <w:rPr>
                <w:rFonts w:ascii="Times New Roman" w:hAnsi="Times New Roman"/>
                <w:szCs w:val="21"/>
                <w:highlight w:val="none"/>
              </w:rPr>
              <w:t xml:space="preserve">0.5</w:t>
            </w:r>
            <w:r>
              <w:rPr>
                <w:rFonts w:hint="eastAsia" w:ascii="Times New Roman" w:hAnsi="Times New Roman"/>
                <w:szCs w:val="21"/>
                <w:highlight w:val="none"/>
              </w:rPr>
              <w:t xml:space="preserve">分，最多得</w:t>
            </w:r>
            <w:r>
              <w:rPr>
                <w:rFonts w:ascii="Times New Roman" w:hAnsi="Times New Roman"/>
                <w:szCs w:val="21"/>
                <w:highlight w:val="none"/>
              </w:rPr>
              <w:t xml:space="preserve">1</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支撑人员4</w:t>
            </w:r>
            <w:r>
              <w:rPr>
                <w:rFonts w:hint="eastAsia" w:ascii="Times New Roman" w:hAnsi="Times New Roman"/>
                <w:szCs w:val="21"/>
                <w:highlight w:val="none"/>
              </w:rPr>
              <w:t xml:space="preserve">需具备</w:t>
            </w:r>
            <w:bookmarkStart w:id="184" w:name="OLE_LINK13"/>
            <w:r/>
            <w:bookmarkStart w:id="185" w:name="OLE_LINK7"/>
            <w:r>
              <w:rPr>
                <w:rFonts w:hint="eastAsia" w:ascii="Times New Roman" w:hAnsi="Times New Roman"/>
                <w:szCs w:val="21"/>
                <w:highlight w:val="none"/>
              </w:rPr>
              <w:t xml:space="preserve">信息安全风险评估与管理培训证书（网络与数据安全专业能力培训合格证书）</w:t>
            </w:r>
            <w:bookmarkEnd w:id="184"/>
            <w:r/>
            <w:bookmarkEnd w:id="185"/>
            <w:r>
              <w:rPr>
                <w:rFonts w:hint="eastAsia" w:ascii="Times New Roman" w:hAnsi="Times New Roman"/>
                <w:szCs w:val="21"/>
                <w:highlight w:val="none"/>
              </w:rPr>
              <w:t xml:space="preserve">，得</w:t>
            </w:r>
            <w:r>
              <w:rPr>
                <w:rFonts w:ascii="Times New Roman" w:hAnsi="Times New Roman"/>
                <w:szCs w:val="21"/>
                <w:highlight w:val="none"/>
              </w:rPr>
              <w:t xml:space="preserve">1</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支撑人员5需具备注册网络安全渗透评估专业人员(NSATP-A)证书，得</w:t>
            </w:r>
            <w:r>
              <w:rPr>
                <w:rFonts w:ascii="Times New Roman" w:hAnsi="Times New Roman"/>
                <w:szCs w:val="21"/>
                <w:highlight w:val="none"/>
              </w:rPr>
              <w:t xml:space="preserve">1</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支撑人员6需具备注册网络安全专业防御人员(NSATP-D)证书，得</w:t>
            </w:r>
            <w:r>
              <w:rPr>
                <w:rFonts w:ascii="Times New Roman" w:hAnsi="Times New Roman"/>
                <w:szCs w:val="21"/>
                <w:highlight w:val="none"/>
              </w:rPr>
              <w:t xml:space="preserve">1</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以上技术支撑人员最多得</w:t>
            </w:r>
            <w:r>
              <w:rPr>
                <w:rFonts w:ascii="Times New Roman" w:hAnsi="Times New Roman"/>
                <w:szCs w:val="21"/>
                <w:highlight w:val="none"/>
              </w:rPr>
              <w:t xml:space="preserve">6.5</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（项目经理、技术负责人、安全负责人、各技术支撑人员不得互相兼任。提供</w:t>
            </w: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为项目组人员缴纳的近三个月内任意一个月的社保证明及有效期内的相关证书复印件加盖投标人公章，未提供不得分）</w:t>
            </w:r>
            <w:r>
              <w:rPr>
                <w:rFonts w:ascii="Times New Roman" w:hAnsi="Times New Roman"/>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6.5</w:t>
            </w:r>
            <w:r>
              <w:rPr>
                <w:rFonts w:ascii="Times New Roman" w:hAnsi="Times New Roman"/>
                <w:color w:val="000000"/>
                <w:szCs w:val="21"/>
                <w:highlight w:val="none"/>
              </w:rPr>
            </w:r>
            <w:r/>
          </w:p>
        </w:tc>
      </w:tr>
    </w:tbl>
    <w:p>
      <w:pPr>
        <w:pStyle w:val="894"/>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r>
      <w:r/>
    </w:p>
    <w:p>
      <w:pPr>
        <w:pStyle w:val="894"/>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pStyle w:val="894"/>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6"/>
        <w:keepLines/>
        <w:keepNext/>
        <w:pageBreakBefore w:val="0"/>
        <w:spacing w:line="400" w:lineRule="exact"/>
        <w:widowControl w:val="off"/>
        <w:rPr>
          <w:rFonts w:hint="eastAsia" w:ascii="黑体" w:hAnsi="黑体" w:eastAsia="黑体" w:cs="Arial"/>
          <w:b w:val="0"/>
          <w:bCs w:val="0"/>
          <w:sz w:val="28"/>
          <w:szCs w:val="28"/>
          <w:highlight w:val="none"/>
        </w:rPr>
      </w:pPr>
      <w:r/>
      <w:bookmarkEnd w:id="170"/>
      <w:r/>
      <w:bookmarkEnd w:id="171"/>
      <w:r/>
      <w:bookmarkEnd w:id="181"/>
      <w:r/>
      <w:bookmarkStart w:id="186" w:name="_Toc26554094"/>
      <w:r/>
      <w:bookmarkStart w:id="187" w:name="_Toc120614282"/>
      <w:r/>
      <w:bookmarkStart w:id="188" w:name="_Toc49090576"/>
      <w:r>
        <w:rPr>
          <w:rFonts w:hint="eastAsia" w:ascii="黑体" w:hAnsi="黑体" w:eastAsia="黑体" w:cs="Arial"/>
          <w:b w:val="0"/>
          <w:bCs w:val="0"/>
          <w:sz w:val="28"/>
          <w:szCs w:val="28"/>
          <w:highlight w:val="none"/>
        </w:rPr>
        <w:t xml:space="preserve">第六章  响应文件格式 </w:t>
      </w:r>
      <w:r>
        <w:rPr>
          <w:rFonts w:hint="eastAsia" w:ascii="黑体" w:hAnsi="黑体" w:eastAsia="黑体" w:cs="Arial"/>
          <w:b w:val="0"/>
          <w:bCs w:val="0"/>
          <w:sz w:val="28"/>
          <w:szCs w:val="28"/>
          <w:highlight w:val="none"/>
        </w:rPr>
      </w:r>
      <w:r/>
    </w:p>
    <w:p>
      <w:pPr>
        <w:pStyle w:val="894"/>
        <w:jc w:val="center"/>
        <w:rPr>
          <w:rFonts w:hint="eastAsia" w:ascii="宋体" w:hAnsi="宋体"/>
          <w:b/>
          <w:sz w:val="72"/>
          <w:szCs w:val="21"/>
          <w:highlight w:val="none"/>
        </w:rPr>
      </w:pPr>
      <w:r/>
      <w:bookmarkStart w:id="189" w:name="_Hlt26671244"/>
      <w:r/>
      <w:bookmarkEnd w:id="189"/>
      <w:r/>
      <w:bookmarkStart w:id="190" w:name="_Hlt26955039"/>
      <w:r/>
      <w:bookmarkEnd w:id="190"/>
      <w:r>
        <w:rPr>
          <w:rFonts w:hint="eastAsia" w:ascii="宋体" w:hAnsi="宋体"/>
          <w:b/>
          <w:sz w:val="72"/>
          <w:szCs w:val="21"/>
          <w:highlight w:val="none"/>
        </w:rPr>
      </w:r>
      <w:r/>
    </w:p>
    <w:p>
      <w:pPr>
        <w:pStyle w:val="894"/>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highlight w:val="none"/>
        </w:rPr>
      </w:pPr>
      <w:r>
        <w:rPr>
          <w:rFonts w:hint="eastAsia" w:ascii="方正小标宋_GBK" w:hAnsi="方正小标宋_GBK" w:eastAsia="方正小标宋_GBK" w:cs="方正小标宋_GBK"/>
          <w:b w:val="0"/>
          <w:bCs/>
          <w:color w:val="000000"/>
          <w:sz w:val="32"/>
          <w:szCs w:val="32"/>
          <w:highlight w:val="none"/>
        </w:rPr>
        <w:t xml:space="preserve">响  应  文  件</w:t>
      </w:r>
      <w:r>
        <w:rPr>
          <w:rFonts w:hint="eastAsia" w:ascii="方正小标宋_GBK" w:hAnsi="方正小标宋_GBK" w:eastAsia="方正小标宋_GBK" w:cs="方正小标宋_GBK"/>
          <w:b w:val="0"/>
          <w:bCs/>
          <w:color w:val="000000"/>
          <w:sz w:val="32"/>
          <w:szCs w:val="32"/>
          <w:highlight w:val="none"/>
        </w:rPr>
      </w:r>
      <w:r/>
    </w:p>
    <w:p>
      <w:pPr>
        <w:pStyle w:val="894"/>
        <w:jc w:val="center"/>
        <w:rPr>
          <w:rFonts w:hint="eastAsia" w:ascii="宋体" w:hAnsi="宋体"/>
          <w:b/>
          <w:sz w:val="72"/>
          <w:szCs w:val="21"/>
          <w:highlight w:val="none"/>
        </w:rPr>
      </w:pPr>
      <w:r>
        <w:rPr>
          <w:rFonts w:hint="eastAsia" w:ascii="宋体" w:hAnsi="宋体"/>
          <w:b/>
          <w:sz w:val="72"/>
          <w:szCs w:val="21"/>
          <w:highlight w:val="none"/>
        </w:rPr>
      </w:r>
      <w:r/>
    </w:p>
    <w:p>
      <w:pPr>
        <w:pStyle w:val="894"/>
        <w:jc w:val="center"/>
        <w:rPr>
          <w:rFonts w:hint="eastAsia" w:ascii="宋体" w:hAnsi="宋体"/>
          <w:b/>
          <w:sz w:val="72"/>
          <w:szCs w:val="21"/>
          <w:highlight w:val="none"/>
        </w:rPr>
      </w:pPr>
      <w:r>
        <w:rPr>
          <w:rFonts w:hint="eastAsia" w:ascii="宋体" w:hAnsi="宋体"/>
          <w:b/>
          <w:sz w:val="72"/>
          <w:szCs w:val="21"/>
          <w:highlight w:val="none"/>
        </w:rPr>
      </w:r>
      <w:r/>
    </w:p>
    <w:p>
      <w:pPr>
        <w:pStyle w:val="894"/>
        <w:jc w:val="center"/>
        <w:rPr>
          <w:rFonts w:hint="eastAsia" w:ascii="宋体" w:hAnsi="宋体"/>
          <w:b/>
          <w:sz w:val="36"/>
          <w:szCs w:val="21"/>
          <w:highlight w:val="none"/>
        </w:rPr>
      </w:pPr>
      <w:r>
        <w:rPr>
          <w:rFonts w:hint="eastAsia" w:ascii="宋体" w:hAnsi="宋体"/>
          <w:b/>
          <w:sz w:val="36"/>
          <w:szCs w:val="21"/>
          <w:highlight w:val="none"/>
        </w:rPr>
      </w:r>
      <w:r/>
    </w:p>
    <w:p>
      <w:pPr>
        <w:pStyle w:val="894"/>
        <w:jc w:val="center"/>
        <w:rPr>
          <w:rFonts w:hint="eastAsia" w:ascii="宋体" w:hAnsi="宋体"/>
          <w:b/>
          <w:sz w:val="36"/>
          <w:szCs w:val="21"/>
          <w:highlight w:val="none"/>
        </w:rPr>
      </w:pPr>
      <w:r>
        <w:rPr>
          <w:rFonts w:hint="eastAsia" w:ascii="宋体" w:hAnsi="宋体"/>
          <w:b/>
          <w:sz w:val="36"/>
          <w:szCs w:val="21"/>
          <w:highlight w:val="none"/>
        </w:rPr>
      </w:r>
      <w:r/>
    </w:p>
    <w:p>
      <w:pPr>
        <w:pStyle w:val="894"/>
        <w:jc w:val="center"/>
        <w:rPr>
          <w:rFonts w:hint="eastAsia" w:ascii="宋体" w:hAnsi="宋体"/>
          <w:b/>
          <w:sz w:val="36"/>
          <w:szCs w:val="21"/>
          <w:highlight w:val="none"/>
        </w:rPr>
      </w:pPr>
      <w:r>
        <w:rPr>
          <w:rFonts w:hint="eastAsia" w:ascii="宋体" w:hAnsi="宋体"/>
          <w:b/>
          <w:sz w:val="36"/>
          <w:szCs w:val="21"/>
          <w:highlight w:val="none"/>
        </w:rPr>
      </w:r>
      <w:r/>
    </w:p>
    <w:p>
      <w:pPr>
        <w:pStyle w:val="89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项 目 名 称：</w:t>
      </w:r>
      <w:r>
        <w:rPr>
          <w:rFonts w:hint="eastAsia" w:ascii="方正黑体_GBK" w:hAnsi="方正黑体_GBK" w:eastAsia="方正黑体_GBK" w:cs="方正黑体_GBK"/>
          <w:b w:val="0"/>
          <w:bCs/>
          <w:sz w:val="28"/>
          <w:szCs w:val="28"/>
          <w:highlight w:val="none"/>
          <w:u w:val="single"/>
        </w:rPr>
        <w:t xml:space="preserve">               </w:t>
      </w:r>
      <w:r>
        <w:rPr>
          <w:rFonts w:hint="eastAsia" w:ascii="方正黑体_GBK" w:hAnsi="方正黑体_GBK" w:eastAsia="方正黑体_GBK" w:cs="方正黑体_GBK"/>
          <w:b w:val="0"/>
          <w:bCs/>
          <w:sz w:val="28"/>
          <w:szCs w:val="28"/>
          <w:highlight w:val="none"/>
        </w:rPr>
      </w:r>
      <w:r/>
    </w:p>
    <w:p>
      <w:pPr>
        <w:pStyle w:val="89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lang w:eastAsia="zh-CN"/>
        </w:rPr>
        <w:t xml:space="preserve">采</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购</w:t>
      </w:r>
      <w:r>
        <w:rPr>
          <w:rFonts w:hint="eastAsia" w:ascii="方正黑体_GBK" w:hAnsi="方正黑体_GBK" w:eastAsia="方正黑体_GBK" w:cs="方正黑体_GBK"/>
          <w:b w:val="0"/>
          <w:bCs/>
          <w:sz w:val="28"/>
          <w:szCs w:val="28"/>
          <w:highlight w:val="none"/>
        </w:rPr>
        <w:t xml:space="preserve"> 编 号：</w:t>
      </w:r>
      <w:r>
        <w:rPr>
          <w:rFonts w:hint="eastAsia" w:ascii="方正黑体_GBK" w:hAnsi="方正黑体_GBK" w:eastAsia="方正黑体_GBK" w:cs="方正黑体_GBK"/>
          <w:b w:val="0"/>
          <w:bCs/>
          <w:sz w:val="28"/>
          <w:szCs w:val="28"/>
          <w:highlight w:val="none"/>
          <w:u w:val="single"/>
        </w:rPr>
        <w:t xml:space="preserve">               </w:t>
      </w:r>
      <w:r>
        <w:rPr>
          <w:rFonts w:hint="eastAsia" w:ascii="方正黑体_GBK" w:hAnsi="方正黑体_GBK" w:eastAsia="方正黑体_GBK" w:cs="方正黑体_GBK"/>
          <w:b w:val="0"/>
          <w:bCs/>
          <w:sz w:val="28"/>
          <w:szCs w:val="28"/>
          <w:highlight w:val="none"/>
          <w:u w:val="single"/>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供应商名称 ：</w:t>
      </w:r>
      <w:r>
        <w:rPr>
          <w:rFonts w:hint="eastAsia" w:ascii="方正黑体_GBK" w:hAnsi="方正黑体_GBK" w:eastAsia="方正黑体_GBK" w:cs="方正黑体_GBK"/>
          <w:b w:val="0"/>
          <w:bCs/>
          <w:sz w:val="28"/>
          <w:szCs w:val="28"/>
          <w:highlight w:val="none"/>
          <w:u w:val="single"/>
        </w:rPr>
        <w:t xml:space="preserve">（加盖CA电子公章）</w:t>
      </w:r>
      <w:r>
        <w:rPr>
          <w:rFonts w:hint="eastAsia" w:ascii="方正黑体_GBK" w:hAnsi="方正黑体_GBK" w:eastAsia="方正黑体_GBK" w:cs="方正黑体_GBK"/>
          <w:b w:val="0"/>
          <w:bCs/>
          <w:sz w:val="28"/>
          <w:szCs w:val="28"/>
          <w:highlight w:val="none"/>
          <w:u w:val="single"/>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日      期 ：</w:t>
      </w:r>
      <w:r>
        <w:rPr>
          <w:rFonts w:hint="eastAsia" w:ascii="方正黑体_GBK" w:hAnsi="方正黑体_GBK" w:eastAsia="方正黑体_GBK" w:cs="方正黑体_GBK"/>
          <w:b w:val="0"/>
          <w:bCs/>
          <w:sz w:val="28"/>
          <w:szCs w:val="28"/>
          <w:highlight w:val="none"/>
          <w:u w:val="single"/>
        </w:rPr>
        <w:t xml:space="preserve">               </w:t>
      </w:r>
      <w:r>
        <w:rPr>
          <w:rFonts w:hint="eastAsia" w:ascii="方正黑体_GBK" w:hAnsi="方正黑体_GBK" w:eastAsia="方正黑体_GBK" w:cs="方正黑体_GBK"/>
          <w:b w:val="0"/>
          <w:bCs/>
          <w:sz w:val="28"/>
          <w:szCs w:val="28"/>
          <w:highlight w:val="none"/>
          <w:u w:val="single"/>
        </w:rPr>
      </w:r>
      <w:r/>
    </w:p>
    <w:p>
      <w:pPr>
        <w:pStyle w:val="894"/>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hint="eastAsia" w:ascii="宋体" w:hAnsi="宋体"/>
          <w:szCs w:val="21"/>
          <w:highlight w:val="none"/>
        </w:rPr>
      </w:pPr>
      <w:r>
        <w:rPr>
          <w:rFonts w:hint="eastAsia" w:ascii="宋体" w:hAnsi="宋体"/>
          <w:szCs w:val="21"/>
          <w:highlight w:val="none"/>
        </w:rPr>
      </w:r>
      <w:r/>
    </w:p>
    <w:p>
      <w:pPr>
        <w:pStyle w:val="894"/>
        <w:ind w:firstLine="964"/>
        <w:rPr>
          <w:rFonts w:ascii="宋体" w:hAnsi="宋体"/>
          <w:b/>
          <w:bCs/>
          <w:sz w:val="32"/>
          <w:szCs w:val="32"/>
          <w:highlight w:val="none"/>
        </w:rPr>
      </w:pPr>
      <w:r>
        <w:rPr>
          <w:rFonts w:ascii="宋体" w:hAnsi="宋体"/>
          <w:b/>
          <w:bCs/>
          <w:sz w:val="32"/>
          <w:szCs w:val="32"/>
          <w:highlight w:val="none"/>
        </w:rPr>
      </w:r>
      <w:r/>
    </w:p>
    <w:p>
      <w:pPr>
        <w:pStyle w:val="894"/>
        <w:ind w:firstLine="964"/>
        <w:rPr>
          <w:rFonts w:ascii="宋体" w:hAnsi="宋体"/>
          <w:b/>
          <w:bCs/>
          <w:sz w:val="32"/>
          <w:szCs w:val="32"/>
          <w:highlight w:val="none"/>
        </w:rPr>
      </w:pPr>
      <w:r>
        <w:rPr>
          <w:rFonts w:ascii="宋体" w:hAnsi="宋体"/>
          <w:b/>
          <w:bCs/>
          <w:sz w:val="32"/>
          <w:szCs w:val="32"/>
          <w:highlight w:val="none"/>
        </w:rPr>
      </w:r>
      <w:r/>
    </w:p>
    <w:p>
      <w:pPr>
        <w:pStyle w:val="894"/>
        <w:ind w:firstLine="964"/>
        <w:rPr>
          <w:rFonts w:ascii="宋体" w:hAnsi="宋体"/>
          <w:b/>
          <w:bCs/>
          <w:sz w:val="32"/>
          <w:szCs w:val="32"/>
          <w:highlight w:val="none"/>
        </w:rPr>
      </w:pPr>
      <w:r>
        <w:rPr>
          <w:rFonts w:ascii="宋体" w:hAnsi="宋体"/>
          <w:b/>
          <w:bCs/>
          <w:sz w:val="32"/>
          <w:szCs w:val="32"/>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响应文件的组成</w:t>
      </w:r>
      <w:r>
        <w:rPr>
          <w:rFonts w:hint="eastAsia" w:ascii="方正黑体_GBK" w:hAnsi="方正黑体_GBK" w:eastAsia="方正黑体_GBK" w:cs="方正黑体_GBK"/>
          <w:b w:val="0"/>
          <w:bCs w:val="0"/>
          <w:sz w:val="28"/>
          <w:szCs w:val="28"/>
          <w:highlight w:val="none"/>
        </w:rPr>
      </w:r>
      <w:r/>
    </w:p>
    <w:p>
      <w:pPr>
        <w:pStyle w:val="894"/>
        <w:jc w:val="center"/>
        <w:keepLines w:val="0"/>
        <w:keepNext w:val="0"/>
        <w:pageBreakBefore w:val="0"/>
        <w:spacing w:line="400" w:lineRule="exact"/>
        <w:widowControl w:val="off"/>
        <w:rPr>
          <w:rFonts w:hint="eastAsia" w:ascii="宋体" w:hAnsi="宋体"/>
          <w:b/>
          <w:bCs/>
          <w:sz w:val="28"/>
          <w:szCs w:val="28"/>
          <w:highlight w:val="none"/>
        </w:rPr>
      </w:pPr>
      <w:r>
        <w:rPr>
          <w:rFonts w:hint="eastAsia" w:ascii="宋体" w:hAnsi="宋体"/>
          <w:b/>
          <w:bCs/>
          <w:sz w:val="28"/>
          <w:szCs w:val="28"/>
          <w:highlight w:val="none"/>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1.分项报价表（格式见附件1）</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2.技术要求响应及偏离表（格式见附件2）</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3.商务要求响应及偏离表（格式见附件3）</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Times New Roman" w:hAnsi="Times New Roman" w:eastAsia="方正仿宋_GBK" w:cs="Times New Roman"/>
          <w:sz w:val="28"/>
          <w:szCs w:val="28"/>
          <w:highlight w:val="none"/>
          <w:lang w:eastAsia="zh-CN"/>
        </w:rPr>
        <w:t xml:space="preserve">XXXX</w:t>
      </w:r>
      <w:r>
        <w:rPr>
          <w:rFonts w:hint="eastAsia" w:ascii="方正仿宋_GBK" w:hAnsi="方正仿宋_GBK" w:eastAsia="方正仿宋_GBK" w:cs="方正仿宋_GBK"/>
          <w:sz w:val="28"/>
          <w:szCs w:val="28"/>
          <w:highlight w:val="none"/>
        </w:rPr>
        <w:t xml:space="preserve">（格式见附件</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2.上一年度的财务状况报告（供应商成立不满一年无需提供）</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4.具备履行合同所必需的设备和专业技术能力的书面声明（格式见附件4）</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6.特定资格要求的证明文件（如果本项目对供应商做出特定资格要求的，必须提供）</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ascii="Times New Roman" w:hAnsi="Times New Roman" w:eastAsia="方正仿宋_GBK" w:cs="Times New Roman"/>
          <w:sz w:val="28"/>
          <w:szCs w:val="28"/>
          <w:highlight w:val="none"/>
          <w:lang w:eastAsia="zh-CN"/>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8.法人授权书（格式见附件6）</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9.响应函（格式见附件7）</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三、符合性审查内容</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供应商必须对磋商文件（含技术要求和商务要求）中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color w:val="000000"/>
          <w:sz w:val="28"/>
          <w:szCs w:val="28"/>
          <w:highlight w:val="none"/>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highlight w:val="none"/>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1.中小微企业声明函（格式见附件8）</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2.残疾人福利性单位声明函（格式见附件9）</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3.关于符合本国产品标准的声明函（</w:t>
      </w:r>
      <w:r>
        <w:rPr>
          <w:rFonts w:hint="eastAsia" w:ascii="方正仿宋_GBK" w:hAnsi="方正仿宋_GBK" w:eastAsia="方正仿宋_GBK" w:cs="方正仿宋_GBK"/>
          <w:color w:val="000000"/>
          <w:sz w:val="28"/>
          <w:szCs w:val="28"/>
          <w:highlight w:val="none"/>
        </w:rPr>
        <w:t xml:space="preserve">格式见附件</w:t>
      </w:r>
      <w:r>
        <w:rPr>
          <w:rFonts w:hint="eastAsia" w:ascii="方正仿宋_GBK" w:hAnsi="方正仿宋_GBK" w:eastAsia="方正仿宋_GBK" w:cs="方正仿宋_GBK"/>
          <w:color w:val="000000"/>
          <w:sz w:val="28"/>
          <w:szCs w:val="28"/>
          <w:highlight w:val="none"/>
          <w:lang w:val="en-US" w:eastAsia="zh-CN"/>
        </w:rPr>
        <w:t xml:space="preserve">12）</w:t>
      </w:r>
      <w:r>
        <w:rPr>
          <w:rFonts w:hint="eastAsia" w:ascii="方正仿宋_GBK" w:hAnsi="方正仿宋_GBK" w:eastAsia="方正仿宋_GBK" w:cs="方正仿宋_GBK"/>
          <w:color w:val="000000"/>
          <w:sz w:val="32"/>
          <w:szCs w:val="32"/>
          <w:highlight w:val="none"/>
          <w:lang w:val="en-US" w:eastAsia="zh-CN"/>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rPr>
          <w:rFonts w:ascii="宋体" w:hAnsi="宋体"/>
          <w:b/>
          <w:sz w:val="24"/>
          <w:szCs w:val="21"/>
          <w:highlight w:val="none"/>
        </w:rPr>
      </w:pPr>
      <w:r>
        <w:rPr>
          <w:rFonts w:ascii="宋体" w:hAnsi="宋体"/>
          <w:b/>
          <w:sz w:val="24"/>
          <w:szCs w:val="21"/>
          <w:highlight w:val="none"/>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 分项报价表</w:t>
      </w:r>
      <w:r>
        <w:rPr>
          <w:rFonts w:hint="eastAsia" w:ascii="方正黑体_GBK" w:hAnsi="方正黑体_GBK" w:eastAsia="方正黑体_GBK" w:cs="方正黑体_GBK"/>
          <w:b w:val="0"/>
          <w:bCs/>
          <w:sz w:val="28"/>
          <w:szCs w:val="28"/>
          <w:highlight w:val="none"/>
          <w:lang w:eastAsia="zh-CN"/>
        </w:rPr>
        <w:t xml:space="preserve">（服务类项目）</w:t>
      </w:r>
      <w:r>
        <w:rPr>
          <w:rFonts w:hint="eastAsia" w:ascii="方正黑体_GBK" w:hAnsi="方正黑体_GBK" w:eastAsia="方正黑体_GBK" w:cs="方正黑体_GBK"/>
          <w:b w:val="0"/>
          <w:bCs/>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04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r>
            <w:r/>
          </w:p>
        </w:tc>
      </w:tr>
      <w:tr>
        <w:trPr>
          <w:cantSplit/>
          <w:trHeight w:val="294"/>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both"/>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分项服务名称/</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名称</w:t>
            </w:r>
            <w:r>
              <w:rPr>
                <w:rFonts w:hint="eastAsia" w:ascii="方正仿宋_GBK" w:hAnsi="方正仿宋_GBK" w:eastAsia="方正仿宋_GBK" w:cs="方正仿宋_GBK"/>
                <w:color w:val="000000"/>
                <w:sz w:val="28"/>
                <w:szCs w:val="28"/>
                <w:highlight w:val="none"/>
                <w:lang w:val="en-US" w:eastAsia="zh-CN"/>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rPr>
                <w:rFonts w:hint="eastAsia" w:ascii="方正仿宋_GBK" w:hAnsi="方正仿宋_GBK" w:eastAsia="方正仿宋_GBK" w:cs="方正仿宋_GBK"/>
                <w:color w:val="000000"/>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rPr>
                <w:rFonts w:hint="eastAsia" w:ascii="方正仿宋_GBK" w:hAnsi="方正仿宋_GBK" w:eastAsia="方正仿宋_GBK" w:cs="方正仿宋_GBK"/>
                <w:color w:val="000000"/>
                <w:sz w:val="28"/>
                <w:szCs w:val="28"/>
                <w:highlight w:val="none"/>
              </w:rPr>
            </w:r>
            <w:r/>
          </w:p>
        </w:tc>
        <w:tc>
          <w:tcPr>
            <w:tcW w:w="104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交付期</w:t>
            </w:r>
            <w:r>
              <w:rPr>
                <w:rFonts w:hint="eastAsia" w:ascii="方正仿宋_GBK" w:hAnsi="方正仿宋_GBK" w:eastAsia="方正仿宋_GBK" w:cs="方正仿宋_GBK"/>
                <w:color w:val="000000"/>
                <w:sz w:val="28"/>
                <w:szCs w:val="28"/>
                <w:highlight w:val="none"/>
                <w:lang w:val="en-US" w:eastAsia="zh-CN"/>
              </w:rPr>
              <w:t xml:space="preserve">/服务期</w:t>
            </w:r>
            <w:r>
              <w:rPr>
                <w:rFonts w:hint="eastAsia" w:ascii="方正仿宋_GBK" w:hAnsi="方正仿宋_GBK" w:eastAsia="方正仿宋_GBK" w:cs="方正仿宋_GBK"/>
                <w:color w:val="000000"/>
                <w:sz w:val="28"/>
                <w:szCs w:val="28"/>
                <w:highlight w:val="none"/>
                <w:lang w:val="en-US" w:eastAsia="zh-CN"/>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rPr>
                <w:rFonts w:hint="eastAsia" w:ascii="方正仿宋_GBK" w:hAnsi="方正仿宋_GBK" w:eastAsia="方正仿宋_GBK" w:cs="方正仿宋_GBK"/>
                <w:color w:val="000000"/>
                <w:sz w:val="28"/>
                <w:szCs w:val="28"/>
                <w:highlight w:val="none"/>
              </w:rPr>
            </w:r>
            <w:r/>
          </w:p>
        </w:tc>
      </w:tr>
      <w:tr>
        <w:trPr>
          <w:cantSplit/>
          <w:trHeight w:val="696"/>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u w:val="singl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861" w:type="dxa"/>
            <w:vAlign w:val="top"/>
            <w:textDirection w:val="lrTb"/>
            <w:noWrap w:val="false"/>
          </w:tcPr>
          <w:p>
            <w:pPr>
              <w:pStyle w:val="894"/>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总报价（人民币：元）</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single"/>
                <w:lang w:val="en-US" w:eastAsia="zh-CN"/>
              </w:rPr>
            </w:r>
            <w:r/>
          </w:p>
        </w:tc>
      </w:tr>
      <w:tr>
        <w:trPr>
          <w:cantSplit/>
          <w:trHeight w:val="767"/>
        </w:trPr>
        <w:tc>
          <w:tcPr>
            <w:gridSpan w:val="10"/>
            <w:tcW w:w="9861" w:type="dxa"/>
            <w:vAlign w:val="top"/>
            <w:textDirection w:val="lrTb"/>
            <w:noWrap w:val="false"/>
          </w:tcPr>
          <w:p>
            <w:pPr>
              <w:pStyle w:val="956"/>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tc>
      </w:tr>
    </w:tbl>
    <w:p>
      <w:pPr>
        <w:pStyle w:val="894"/>
        <w:ind w:firstLine="560"/>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宋体" w:hAnsi="宋体"/>
          <w:sz w:val="28"/>
          <w:szCs w:val="28"/>
          <w:highlight w:val="none"/>
        </w:rPr>
        <w:t xml:space="preserve"> </w:t>
      </w:r>
      <w:r>
        <w:rPr>
          <w:rFonts w:ascii="宋体" w:hAnsi="宋体"/>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highlight w:val="none"/>
          <w:lang w:eastAsia="zh-CN"/>
        </w:rPr>
        <w:t xml:space="preserve">“磋商总报价”数额为各“分项总价”之和。</w:t>
      </w:r>
      <w:r>
        <w:rPr>
          <w:rFonts w:hint="eastAsia" w:ascii="方正仿宋_GBK" w:hAnsi="方正仿宋_GBK" w:eastAsia="方正仿宋_GBK" w:cs="方正仿宋_GBK"/>
          <w:sz w:val="28"/>
          <w:szCs w:val="28"/>
          <w:highlight w:val="none"/>
          <w:lang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2.项目经办人可以根据项目实际需要对表格结构进行调整。</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eastAsia="zh-CN"/>
        </w:rPr>
        <w:t xml:space="preserve">3.分项服务不需填写品牌、规格型号、制造商、产地。</w:t>
      </w:r>
      <w:r>
        <w:rPr>
          <w:rFonts w:ascii="方正仿宋_GBK" w:hAnsi="方正仿宋_GBK" w:eastAsia="方正仿宋_GBK" w:cs="方正仿宋_GBK"/>
          <w:sz w:val="28"/>
          <w:szCs w:val="28"/>
          <w:highlight w:val="none"/>
          <w:lang w:val="en-US"/>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本</w:t>
      </w:r>
      <w:r>
        <w:rPr>
          <w:rFonts w:hint="eastAsia" w:ascii="方正仿宋_GBK" w:hAnsi="方正仿宋_GBK" w:eastAsia="方正仿宋_GBK" w:cs="方正仿宋_GBK"/>
          <w:sz w:val="28"/>
          <w:szCs w:val="28"/>
          <w:highlight w:val="none"/>
          <w:lang w:val="en-US" w:eastAsia="zh-CN"/>
        </w:rPr>
        <w:t xml:space="preserve">采购包中含有货物时，</w:t>
      </w:r>
      <w:r>
        <w:rPr>
          <w:rFonts w:hint="eastAsia" w:ascii="方正仿宋_GBK" w:hAnsi="方正仿宋_GBK" w:eastAsia="方正仿宋_GBK" w:cs="方正仿宋_GBK"/>
          <w:sz w:val="28"/>
          <w:szCs w:val="28"/>
          <w:highlight w:val="none"/>
        </w:rPr>
        <w:t xml:space="preserve">供应商未填写本采购包中提供的符合本国产品标准的</w:t>
      </w:r>
      <w:r>
        <w:rPr>
          <w:rFonts w:hint="eastAsia" w:ascii="方正仿宋_GBK" w:hAnsi="方正仿宋_GBK" w:eastAsia="方正仿宋_GBK" w:cs="方正仿宋_GBK"/>
          <w:sz w:val="28"/>
          <w:szCs w:val="28"/>
          <w:highlight w:val="none"/>
          <w:lang w:eastAsia="zh-CN"/>
        </w:rPr>
        <w:t xml:space="preserve">货物</w:t>
      </w:r>
      <w:r>
        <w:rPr>
          <w:rFonts w:hint="eastAsia" w:ascii="方正仿宋_GBK" w:hAnsi="方正仿宋_GBK" w:eastAsia="方正仿宋_GBK" w:cs="方正仿宋_GBK"/>
          <w:sz w:val="28"/>
          <w:szCs w:val="28"/>
          <w:highlight w:val="none"/>
        </w:rPr>
        <w:t xml:space="preserve">成本之和占该采购包</w:t>
      </w:r>
      <w:r>
        <w:rPr>
          <w:rFonts w:hint="eastAsia" w:ascii="方正仿宋_GBK" w:hAnsi="方正仿宋_GBK" w:eastAsia="方正仿宋_GBK" w:cs="方正仿宋_GBK"/>
          <w:sz w:val="28"/>
          <w:szCs w:val="28"/>
          <w:highlight w:val="none"/>
          <w:lang w:eastAsia="zh-CN"/>
        </w:rPr>
        <w:t xml:space="preserve">全部</w:t>
      </w:r>
      <w:r>
        <w:rPr>
          <w:rFonts w:hint="eastAsia" w:ascii="方正仿宋_GBK" w:hAnsi="方正仿宋_GBK" w:eastAsia="方正仿宋_GBK" w:cs="方正仿宋_GBK"/>
          <w:sz w:val="28"/>
          <w:szCs w:val="28"/>
          <w:highlight w:val="none"/>
        </w:rPr>
        <w:t xml:space="preserve">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魏碑_GBK" w:hAnsi="方正魏碑_GBK" w:eastAsia="方正魏碑_GBK" w:cs="方正魏碑_GBK"/>
          <w:b/>
          <w:bCs/>
          <w:color w:val="ff0000"/>
          <w:sz w:val="28"/>
          <w:szCs w:val="28"/>
          <w:highlight w:val="none"/>
          <w:lang w:eastAsia="zh-CN"/>
        </w:rPr>
      </w:pPr>
      <w:r>
        <w:rPr>
          <w:rFonts w:hint="eastAsia" w:ascii="方正魏碑_GBK" w:hAnsi="方正魏碑_GBK" w:eastAsia="方正魏碑_GBK" w:cs="方正魏碑_GBK"/>
          <w:b/>
          <w:bCs/>
          <w:color w:val="ff0000"/>
          <w:sz w:val="28"/>
          <w:szCs w:val="28"/>
          <w:highlight w:val="none"/>
          <w:lang w:eastAsia="zh-CN"/>
        </w:rPr>
      </w:r>
      <w:r/>
    </w:p>
    <w:p>
      <w:pPr>
        <w:pStyle w:val="894"/>
        <w:jc w:val="both"/>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2</w:t>
      </w:r>
      <w:r>
        <w:rPr>
          <w:rFonts w:hint="eastAsia" w:ascii="方正黑体_GBK" w:hAnsi="方正黑体_GBK" w:eastAsia="方正黑体_GBK" w:cs="方正黑体_GBK"/>
          <w:b w:val="0"/>
          <w:bCs/>
          <w:sz w:val="28"/>
          <w:szCs w:val="28"/>
          <w:highlight w:val="none"/>
        </w:rPr>
        <w:t xml:space="preserve"> 技术要求响应及偏离表（采购包号：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894"/>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附件3-1  证明材料1，证明材料2，……</w:t>
      </w:r>
      <w:r>
        <w:rPr>
          <w:rFonts w:hint="eastAsia" w:ascii="方正仿宋_GBK" w:hAnsi="方正仿宋_GBK" w:eastAsia="方正仿宋_GBK" w:cs="方正仿宋_GBK"/>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3</w:t>
      </w:r>
      <w:r>
        <w:rPr>
          <w:rFonts w:hint="eastAsia" w:ascii="方正黑体_GBK" w:hAnsi="方正黑体_GBK" w:eastAsia="方正黑体_GBK" w:cs="方正黑体_GBK"/>
          <w:b w:val="0"/>
          <w:bCs/>
          <w:sz w:val="28"/>
          <w:szCs w:val="28"/>
          <w:highlight w:val="none"/>
        </w:rPr>
        <w:t xml:space="preserve"> 商务要求响应及偏离表（采购包号：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894"/>
        <w:ind w:firstLine="482"/>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lang w:val="en-US" w:eastAsia="zh-CN"/>
        </w:rPr>
        <w:t xml:space="preserve">附件4-1  证明材料1，证明材料2，……</w:t>
      </w:r>
      <w:r>
        <w:rPr>
          <w:rFonts w:ascii="宋体" w:hAnsi="宋体"/>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rPr>
          <w:rFonts w:hint="eastAsia" w:ascii="方正仿宋_GBK" w:hAnsi="方正仿宋_GBK" w:eastAsia="方正仿宋_GBK" w:cs="方正仿宋_GBK"/>
          <w:sz w:val="28"/>
          <w:szCs w:val="28"/>
          <w:highlight w:val="none"/>
        </w:rPr>
      </w:r>
      <w:r/>
    </w:p>
    <w:p>
      <w:pPr>
        <w:pStyle w:val="894"/>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ind w:left="480"/>
        <w:keepLines w:val="0"/>
        <w:keepNext w:val="0"/>
        <w:pageBreakBefore w:val="0"/>
        <w:spacing w:line="400" w:lineRule="exac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4</w:t>
      </w:r>
      <w:r>
        <w:rPr>
          <w:rFonts w:hint="eastAsia" w:ascii="方正黑体_GBK" w:hAnsi="方正黑体_GBK" w:eastAsia="方正黑体_GBK" w:cs="方正黑体_GBK"/>
          <w:b w:val="0"/>
          <w:bCs/>
          <w:sz w:val="28"/>
          <w:szCs w:val="28"/>
          <w:highlight w:val="none"/>
        </w:rPr>
        <w:t xml:space="preserve"> 具备履行合同所必需的设备和专业技术能力的书面声明</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rPr>
          <w:rFonts w:hint="eastAsia" w:ascii="宋体" w:hAnsi="宋体"/>
          <w:bCs/>
          <w:color w:val="000000"/>
          <w:sz w:val="28"/>
          <w:szCs w:val="28"/>
          <w:highlight w:val="none"/>
        </w:rPr>
      </w:r>
      <w:r/>
    </w:p>
    <w:p>
      <w:pPr>
        <w:pStyle w:val="894"/>
        <w:ind w:left="480"/>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894"/>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894"/>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5</w:t>
      </w:r>
      <w:r>
        <w:rPr>
          <w:rFonts w:hint="eastAsia" w:ascii="方正黑体_GBK" w:hAnsi="方正黑体_GBK" w:eastAsia="方正黑体_GBK" w:cs="方正黑体_GBK"/>
          <w:b w:val="0"/>
          <w:bCs/>
          <w:sz w:val="28"/>
          <w:szCs w:val="28"/>
          <w:highlight w:val="none"/>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highlight w:val="none"/>
        </w:rPr>
      </w:r>
      <w:r/>
    </w:p>
    <w:p>
      <w:pPr>
        <w:pStyle w:val="894"/>
        <w:ind w:firstLine="492"/>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bookmarkEnd w:id="186"/>
      <w:r/>
      <w:bookmarkEnd w:id="187"/>
      <w:r/>
      <w:bookmarkEnd w:id="188"/>
      <w:r/>
      <w:bookmarkStart w:id="191" w:name="_Toc120614284"/>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6</w:t>
      </w:r>
      <w:r>
        <w:rPr>
          <w:rFonts w:hint="eastAsia" w:ascii="方正黑体_GBK" w:hAnsi="方正黑体_GBK" w:eastAsia="方正黑体_GBK" w:cs="方正黑体_GBK"/>
          <w:b w:val="0"/>
          <w:bCs/>
          <w:sz w:val="28"/>
          <w:szCs w:val="28"/>
          <w:highlight w:val="none"/>
        </w:rPr>
        <w:t xml:space="preserve">                   法人授权书</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SCZX-C20XX-XXXX</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lang w:val="en-US" w:eastAsia="zh-CN"/>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期：</w:t>
      </w:r>
      <w:bookmarkStart w:id="192" w:name="_Hlt26671380"/>
      <w:r/>
      <w:bookmarkEnd w:id="192"/>
      <w:r/>
      <w:bookmarkStart w:id="193" w:name="_Hlt26955070"/>
      <w:r/>
      <w:bookmarkEnd w:id="193"/>
      <w:r/>
      <w:bookmarkStart w:id="194" w:name="_格式3__银行出具的资信证明"/>
      <w:r/>
      <w:bookmarkEnd w:id="194"/>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rPr>
      </w:r>
      <w:r/>
    </w:p>
    <w:p>
      <w:pPr>
        <w:pStyle w:val="894"/>
        <w:ind w:firstLine="420"/>
        <w:keepLines w:val="0"/>
        <w:keepNext w:val="0"/>
        <w:pageBreakBefore w:val="0"/>
        <w:spacing w:line="400" w:lineRule="exact"/>
        <w:rPr>
          <w:rFonts w:ascii="Times New Roman" w:hAnsi="Times New Roman"/>
          <w:color w:val="000000"/>
          <w:sz w:val="28"/>
          <w:szCs w:val="28"/>
          <w:highlight w:val="none"/>
        </w:rPr>
      </w:pPr>
      <w:r>
        <w:rPr>
          <w:rFonts w:ascii="Times New Roman" w:hAnsi="Times New Roman"/>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 我公司（单位）委托进行现场演示的人员为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（本项目如果无现场演示要求，请项目经办人自行删除备注）</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（人员姓名），身份证号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tabs>
          <w:tab w:val="left" w:pos="360" w:leader="none"/>
        </w:tabs>
        <w:rPr>
          <w:rFonts w:ascii="Times New Roman" w:hAnsi="Times New Roman"/>
          <w:sz w:val="28"/>
          <w:szCs w:val="28"/>
          <w:highlight w:val="none"/>
          <w:u w:val="single"/>
        </w:rPr>
      </w:pPr>
      <w:r>
        <w:rPr>
          <w:rFonts w:ascii="Times New Roman" w:hAnsi="Times New Roman"/>
          <w:sz w:val="28"/>
          <w:szCs w:val="28"/>
          <w:highlight w:val="none"/>
          <w:u w:val="single"/>
        </w:rPr>
      </w:r>
      <w:r/>
    </w:p>
    <w:p>
      <w:pPr>
        <w:pStyle w:val="894"/>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ind w:firstLine="420"/>
        <w:keepLines w:val="0"/>
        <w:keepNext w:val="0"/>
        <w:pageBreakBefore w:val="0"/>
        <w:spacing w:line="400" w:lineRule="exact"/>
        <w:rPr>
          <w:rFonts w:hint="eastAsia" w:ascii="Times New Roman" w:hAnsi="Times New Roman"/>
          <w:i/>
          <w:sz w:val="28"/>
          <w:szCs w:val="28"/>
          <w:highlight w:val="none"/>
          <w:u w:val="single"/>
        </w:rPr>
      </w:pPr>
      <w:r>
        <w:rPr>
          <w:rFonts w:hint="eastAsia" w:ascii="Times New Roman" w:hAnsi="Times New Roman"/>
          <w:i/>
          <w:sz w:val="28"/>
          <w:szCs w:val="28"/>
          <w:highlight w:val="none"/>
          <w:u w:val="singl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附件7   磋商响应函</w:t>
      </w:r>
      <w:r>
        <w:rPr>
          <w:rFonts w:hint="eastAsia" w:ascii="方正黑体_GBK" w:hAnsi="方正黑体_GBK" w:eastAsia="方正黑体_GBK" w:cs="方正黑体_GBK"/>
          <w:b w:val="0"/>
          <w:bCs/>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致：江苏省政府采购中心</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根据贵方采购编号</w:t>
      </w:r>
      <w:r>
        <w:rPr>
          <w:rFonts w:hint="eastAsia" w:ascii="方正仿宋_GBK" w:hAnsi="方正仿宋_GBK" w:eastAsia="方正仿宋_GBK" w:cs="方正仿宋_GBK"/>
          <w:sz w:val="28"/>
          <w:szCs w:val="28"/>
          <w:highlight w:val="none"/>
          <w:lang w:eastAsia="zh-CN"/>
        </w:rPr>
        <w:t xml:space="preserve">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的</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文件，正式授权下述签字人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（供应商的名称），全权处理本次项目</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的有关事宜。</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签字人兹宣布同意如下：</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2.我们完全理解贵方不一定将合同授予最低报价的供应商。</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3.我们已详细审核全部磋商文件及其有效补充文件。</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7.我方与本磋商有关的正式通讯地址为：</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供应商开户行：</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rPr>
          <w:rFonts w:hint="eastAsia" w:ascii="方正仿宋_GBK" w:hAnsi="方正仿宋_GBK" w:eastAsia="方正仿宋_GBK" w:cs="方正仿宋_GBK"/>
          <w:sz w:val="28"/>
          <w:szCs w:val="28"/>
          <w:highlight w:val="none"/>
        </w:rPr>
      </w:r>
      <w:r/>
    </w:p>
    <w:p>
      <w:pPr>
        <w:pStyle w:val="894"/>
        <w:ind w:left="420" w:firstLine="560"/>
        <w:jc w:val="left"/>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4"/>
        <w:ind w:firstLine="584"/>
        <w:keepLines w:val="0"/>
        <w:keepNext w:val="0"/>
        <w:pageBreakBefore w:val="0"/>
        <w:spacing w:line="400"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pStyle w:val="894"/>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894"/>
        <w:jc w:val="right"/>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宋体" w:hAnsi="宋体"/>
          <w:color w:val="000000"/>
          <w:sz w:val="28"/>
          <w:szCs w:val="28"/>
          <w:highlight w:val="none"/>
        </w:rPr>
      </w:r>
      <w:r/>
    </w:p>
    <w:p>
      <w:pPr>
        <w:pStyle w:val="894"/>
        <w:keepLines w:val="0"/>
        <w:keepNext w:val="0"/>
        <w:pageBreakBefore w:val="0"/>
        <w:spacing w:line="400" w:lineRule="exact"/>
        <w:rPr>
          <w:rFonts w:hint="eastAsia" w:ascii="黑体" w:hAnsi="黑体" w:eastAsia="黑体"/>
          <w:b/>
          <w:color w:val="ff0000"/>
          <w:sz w:val="28"/>
          <w:szCs w:val="28"/>
          <w:highlight w:val="none"/>
        </w:rPr>
      </w:pPr>
      <w:r>
        <w:rPr>
          <w:rFonts w:hint="eastAsia" w:ascii="黑体" w:hAnsi="黑体" w:eastAsia="黑体"/>
          <w:b/>
          <w:color w:val="ff0000"/>
          <w:sz w:val="28"/>
          <w:szCs w:val="28"/>
          <w:highlight w:val="none"/>
        </w:rPr>
      </w:r>
      <w:r/>
    </w:p>
    <w:p>
      <w:pPr>
        <w:pStyle w:val="894"/>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t xml:space="preserve"> </w:t>
      </w:r>
      <w:r>
        <w:rPr>
          <w:rFonts w:hint="eastAsia" w:ascii="宋体" w:hAnsi="宋体"/>
          <w:sz w:val="28"/>
          <w:szCs w:val="28"/>
          <w:highlight w:val="none"/>
        </w:rPr>
      </w:r>
      <w:r/>
    </w:p>
    <w:p>
      <w:pPr>
        <w:pStyle w:val="894"/>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4"/>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4"/>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附件8 中小微企业声明函（服务类项目）（采购包号：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sz w:val="28"/>
          <w:szCs w:val="28"/>
          <w:highlight w:val="none"/>
        </w:rPr>
      </w:r>
      <w:r/>
    </w:p>
    <w:p>
      <w:pPr>
        <w:pStyle w:val="894"/>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企业名称（加盖CA电子公章）：</w:t>
      </w:r>
      <w:r>
        <w:rPr>
          <w:rFonts w:hint="eastAsia" w:ascii="方正仿宋_GBK" w:hAnsi="方正仿宋_GBK" w:eastAsia="方正仿宋_GBK" w:cs="方正仿宋_GBK"/>
          <w:sz w:val="28"/>
          <w:szCs w:val="28"/>
          <w:highlight w:val="none"/>
        </w:rPr>
      </w:r>
      <w:r/>
    </w:p>
    <w:p>
      <w:pPr>
        <w:pStyle w:val="894"/>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期：____年____月____日</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highlight w:val="none"/>
        </w:rPr>
      </w:r>
      <w:r/>
    </w:p>
    <w:p>
      <w:pPr>
        <w:pStyle w:val="894"/>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894"/>
        <w:numPr>
          <w:ilvl w:val="0"/>
          <w:numId w:val="0"/>
        </w:numPr>
        <w:ind w:firstLine="560"/>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附件9 残疾人福利性单位声明函（服务类项目）（采购包号：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单位的采购文件编号为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SCZX-C20XX-XXXX</w:t>
      </w:r>
      <w:r>
        <w:rPr>
          <w:rFonts w:hint="eastAsia" w:ascii="方正仿宋_GBK" w:hAnsi="方正仿宋_GBK" w:eastAsia="方正仿宋_GBK" w:cs="方正仿宋_GBK"/>
          <w:sz w:val="28"/>
          <w:szCs w:val="28"/>
          <w:highlight w:val="none"/>
          <w:lang w:eastAsia="zh-CN"/>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）采购活动由本单位提供服务。</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highlight w:val="none"/>
        </w:rPr>
      </w:r>
      <w:r/>
    </w:p>
    <w:p>
      <w:pPr>
        <w:pStyle w:val="894"/>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894"/>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          供应商全称（加盖CA电子公章）：</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lang w:val="en-US" w:eastAsia="zh-CN"/>
        </w:rPr>
      </w:r>
      <w:r/>
    </w:p>
    <w:p>
      <w:pPr>
        <w:pStyle w:val="894"/>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日  期：____年____月____日</w:t>
      </w:r>
      <w:r>
        <w:rPr>
          <w:rFonts w:hint="eastAsia" w:ascii="方正仿宋_GBK" w:hAnsi="方正仿宋_GBK" w:eastAsia="方正仿宋_GBK" w:cs="方正仿宋_GBK"/>
          <w:sz w:val="28"/>
          <w:szCs w:val="28"/>
          <w:highlight w:val="none"/>
        </w:rPr>
      </w:r>
      <w:r/>
    </w:p>
    <w:p>
      <w:pPr>
        <w:pStyle w:val="894"/>
        <w:ind w:right="1559" w:firstLine="560"/>
        <w:jc w:val="center"/>
        <w:keepLines w:val="0"/>
        <w:keepNext w:val="0"/>
        <w:pageBreakBefore w:val="0"/>
        <w:spacing w:line="400" w:lineRule="exact"/>
        <w:tabs>
          <w:tab w:val="left" w:pos="4860" w:leader="none"/>
        </w:tabs>
        <w:rPr>
          <w:rFonts w:hint="eastAsia" w:ascii="宋体" w:hAnsi="宋体"/>
          <w:sz w:val="28"/>
          <w:szCs w:val="28"/>
          <w:highlight w:val="none"/>
        </w:rPr>
      </w:pPr>
      <w:r>
        <w:rPr>
          <w:rFonts w:hint="eastAsia" w:ascii="宋体" w:hAnsi="宋体"/>
          <w:sz w:val="28"/>
          <w:szCs w:val="28"/>
          <w:highlight w:val="none"/>
        </w:rPr>
      </w:r>
      <w:r/>
    </w:p>
    <w:p>
      <w:pPr>
        <w:pStyle w:val="894"/>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附件10 联合体协议（参考格式）（采购包号：</w:t>
      </w:r>
      <w:r>
        <w:rPr>
          <w:rFonts w:hint="eastAsia" w:ascii="Times New Roman" w:hAnsi="Times New Roman" w:eastAsia="方正黑体_GBK" w:cs="Times New Roman"/>
          <w:b w:val="0"/>
          <w:bCs/>
          <w:sz w:val="28"/>
          <w:szCs w:val="28"/>
          <w:highlight w:val="none"/>
          <w:u w:val="none"/>
          <w:lang w:val="en-US"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的政府采购活动，我联合体指定</w:t>
      </w:r>
      <w:r>
        <w:rPr>
          <w:rFonts w:hint="eastAsia" w:ascii="方正仿宋_GBK" w:hAnsi="方正仿宋_GBK" w:eastAsia="方正仿宋_GBK" w:cs="方正仿宋_GBK"/>
          <w:sz w:val="28"/>
          <w:szCs w:val="28"/>
          <w:highlight w:val="none"/>
          <w:u w:val="single"/>
        </w:rPr>
        <w:t xml:space="preserve">（供应商</w:t>
      </w:r>
      <w:r>
        <w:rPr>
          <w:rFonts w:hint="eastAsia" w:ascii="Times New Roman" w:hAnsi="Times New Roman" w:eastAsia="方正仿宋_GBK" w:cs="Times New Roman"/>
          <w:sz w:val="28"/>
          <w:szCs w:val="28"/>
          <w:highlight w:val="none"/>
          <w:u w:val="single"/>
          <w:lang w:eastAsia="zh-CN"/>
        </w:rPr>
        <w:t xml:space="preserve">X</w:t>
      </w:r>
      <w:r>
        <w:rPr>
          <w:rFonts w:hint="eastAsia" w:ascii="Times New Roman" w:hAnsi="Times New Roman" w:eastAsia="方正仿宋_GBK" w:cs="Times New Roman"/>
          <w:sz w:val="28"/>
          <w:szCs w:val="28"/>
          <w:highlight w:val="none"/>
          <w:u w:val="single"/>
          <w:lang w:val="en-US" w:eastAsia="zh-CN"/>
        </w:rPr>
        <w:t xml:space="preserve">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为牵头单位（牵头单位必须为联合体成员）。</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备注：本磋商文件中要求加盖CA电子公章的地方，仅需加盖牵头单位的CA电子公章。</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894"/>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rPr>
          <w:rFonts w:hint="eastAsia" w:ascii="方正仿宋_GBK" w:hAnsi="方正仿宋_GBK" w:eastAsia="方正仿宋_GBK" w:cs="方正仿宋_GBK"/>
          <w:sz w:val="28"/>
          <w:szCs w:val="28"/>
          <w:highlight w:val="none"/>
        </w:rPr>
      </w:r>
      <w:r/>
    </w:p>
    <w:p>
      <w:pPr>
        <w:pStyle w:val="894"/>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   期：____年____月____日</w:t>
      </w:r>
      <w:r>
        <w:rPr>
          <w:rFonts w:hint="eastAsia" w:ascii="方正仿宋_GBK" w:hAnsi="方正仿宋_GBK" w:eastAsia="方正仿宋_GBK" w:cs="方正仿宋_GBK"/>
          <w:sz w:val="28"/>
          <w:szCs w:val="28"/>
          <w:highlight w:val="none"/>
        </w:rPr>
      </w:r>
      <w:r/>
    </w:p>
    <w:p>
      <w:pPr>
        <w:pStyle w:val="894"/>
        <w:ind w:firstLine="645"/>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附件11实质性要求响应及偏离表（采购包号：</w:t>
      </w:r>
      <w:r>
        <w:rPr>
          <w:rFonts w:hint="eastAsia" w:ascii="Times New Roman" w:hAnsi="Times New Roman" w:eastAsia="方正仿宋_GBK" w:cs="Times New Roman"/>
          <w:sz w:val="28"/>
          <w:szCs w:val="28"/>
          <w:highlight w:val="none"/>
          <w:u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609"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317"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响应情况</w:t>
            </w:r>
            <w:r>
              <w:rPr>
                <w:rFonts w:hint="eastAsia" w:ascii="方正仿宋_GBK" w:hAnsi="方正仿宋_GBK" w:eastAsia="方正仿宋_GBK" w:cs="方正仿宋_GBK"/>
                <w:color w:val="000000"/>
                <w:sz w:val="28"/>
                <w:szCs w:val="28"/>
                <w:highlight w:val="none"/>
              </w:rPr>
            </w:r>
            <w:r/>
          </w:p>
        </w:tc>
        <w:tc>
          <w:tcPr>
            <w:tcW w:w="152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附件11-1 证明材料1，证明材料2，……</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逐条做出明确响应，否则做无效响应处理。</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3.供应商未对实质性要求逐条作出明确响应的</w:t>
      </w:r>
      <w:r>
        <w:rPr>
          <w:rFonts w:hint="eastAsia" w:ascii="方正仿宋_GBK" w:hAnsi="方正仿宋_GBK" w:eastAsia="方正仿宋_GBK" w:cs="方正仿宋_GBK"/>
          <w:sz w:val="28"/>
          <w:szCs w:val="28"/>
          <w:highlight w:val="none"/>
        </w:rPr>
        <w:t xml:space="preserve">，或未按磋商文件要求提供证明材料的，该采购包作无效响应处理。</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highlight w:val="none"/>
        </w:rPr>
      </w:pPr>
      <w:r/>
      <w:bookmarkEnd w:id="172"/>
      <w:r/>
      <w:bookmarkEnd w:id="173"/>
      <w:r/>
      <w:bookmarkEnd w:id="191"/>
      <w:r>
        <w:rPr>
          <w:rFonts w:hint="eastAsia" w:ascii="方正仿宋_GBK" w:hAnsi="方正仿宋_GBK" w:eastAsia="方正仿宋_GBK" w:cs="方正仿宋_GBK"/>
          <w:b/>
          <w:color w:val="000000"/>
          <w:sz w:val="28"/>
          <w:szCs w:val="28"/>
          <w:highlight w:val="none"/>
        </w:rPr>
        <w:t xml:space="preserve">附件</w:t>
      </w:r>
      <w:r>
        <w:rPr>
          <w:rFonts w:hint="eastAsia" w:ascii="方正仿宋_GBK" w:hAnsi="方正仿宋_GBK" w:eastAsia="方正仿宋_GBK" w:cs="方正仿宋_GBK"/>
          <w:b/>
          <w:color w:val="000000"/>
          <w:sz w:val="28"/>
          <w:szCs w:val="28"/>
          <w:highlight w:val="none"/>
          <w:lang w:val="en-US" w:eastAsia="zh-CN"/>
        </w:rPr>
        <w:t xml:space="preserve">12</w:t>
      </w:r>
      <w:r>
        <w:rPr>
          <w:rFonts w:hint="eastAsia" w:ascii="方正仿宋_GBK" w:hAnsi="方正仿宋_GBK" w:eastAsia="方正仿宋_GBK" w:cs="方正仿宋_GBK"/>
          <w:b/>
          <w:color w:val="000000"/>
          <w:sz w:val="28"/>
          <w:szCs w:val="28"/>
          <w:highlight w:val="none"/>
        </w:rPr>
        <w:t xml:space="preserve">  关于符合本国产品标准的声明函（采购包号：</w:t>
      </w:r>
      <w:r>
        <w:rPr>
          <w:rFonts w:hint="eastAsia" w:ascii="方正仿宋_GBK" w:hAnsi="方正仿宋_GBK" w:eastAsia="方正仿宋_GBK" w:cs="方正仿宋_GBK"/>
          <w:b/>
          <w:color w:val="000000"/>
          <w:sz w:val="28"/>
          <w:szCs w:val="28"/>
          <w:highlight w:val="none"/>
          <w:lang w:eastAsia="zh-CN"/>
        </w:rPr>
        <w:t xml:space="preserve">XX</w:t>
      </w:r>
      <w:r>
        <w:rPr>
          <w:rFonts w:hint="eastAsia" w:ascii="方正仿宋_GBK" w:hAnsi="方正仿宋_GBK" w:eastAsia="方正仿宋_GBK" w:cs="方正仿宋_GBK"/>
          <w:b/>
          <w:color w:val="000000"/>
          <w:sz w:val="28"/>
          <w:szCs w:val="28"/>
          <w:highlight w:val="none"/>
        </w:rPr>
        <w:t xml:space="preserve">）</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968"/>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968"/>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        日期：</w:t>
      </w:r>
      <w:r>
        <w:rPr>
          <w:rFonts w:hint="eastAsia" w:ascii="方正仿宋_GBK" w:hAnsi="方正仿宋_GBK" w:eastAsia="方正仿宋_GBK" w:cs="方正仿宋_GBK"/>
          <w:color w:val="000000"/>
          <w:sz w:val="28"/>
          <w:szCs w:val="28"/>
          <w:highlight w:val="none"/>
        </w:rPr>
        <w:t xml:space="preserve">____年____月____日</w:t>
      </w:r>
      <w:r>
        <w:rPr>
          <w:rFonts w:hint="eastAsia" w:ascii="方正仿宋_GBK" w:hAnsi="方正仿宋_GBK" w:eastAsia="方正仿宋_GBK" w:cs="方正仿宋_GBK"/>
          <w:color w:val="000000"/>
          <w:sz w:val="28"/>
          <w:szCs w:val="28"/>
          <w:highlight w:val="none"/>
        </w:rPr>
      </w:r>
      <w:r/>
    </w:p>
    <w:p>
      <w:pPr>
        <w:pStyle w:val="95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r>
      <w:r/>
    </w:p>
    <w:p>
      <w:pPr>
        <w:pStyle w:val="894"/>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eastAsia="zh-CN"/>
        </w:rPr>
      </w:pPr>
      <w:r>
        <w:rPr>
          <w:rFonts w:hint="eastAsia" w:ascii="方正黑体_GBK" w:hAnsi="方正黑体_GBK" w:eastAsia="方正黑体_GBK" w:cs="方正黑体_GBK"/>
          <w:b w:val="0"/>
          <w:bCs/>
          <w:sz w:val="28"/>
          <w:szCs w:val="28"/>
          <w:highlight w:val="none"/>
          <w:lang w:eastAsia="zh-CN"/>
        </w:rPr>
        <w:t xml:space="preserve">质疑函范本</w:t>
      </w:r>
      <w:r>
        <w:rPr>
          <w:rFonts w:hint="eastAsia" w:ascii="方正黑体_GBK" w:hAnsi="方正黑体_GBK" w:eastAsia="方正黑体_GBK" w:cs="方正黑体_GBK"/>
          <w:b w:val="0"/>
          <w:bCs/>
          <w:sz w:val="28"/>
          <w:szCs w:val="28"/>
          <w:highlight w:val="none"/>
          <w:lang w:eastAsia="zh-CN"/>
        </w:rPr>
      </w:r>
      <w:r/>
    </w:p>
    <w:p>
      <w:pPr>
        <w:pStyle w:val="894"/>
        <w:keepLines w:val="0"/>
        <w:keepNext w:val="0"/>
        <w:pageBreakBefore w:val="0"/>
        <w:spacing w:before="312"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rPr>
          <w:rFonts w:hint="eastAsia" w:ascii="方正仿宋_GBK" w:hAnsi="方正仿宋_GBK" w:eastAsia="方正仿宋_GBK" w:cs="方正仿宋_GBK"/>
          <w:b/>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highlight w:val="none"/>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3"/>
      <w:isLgl w:val="false"/>
      <w:suff w:val="tab"/>
      <w:lvlText w:val="附录%1."/>
      <w:lvlJc w:val="left"/>
      <w:pPr>
        <w:pStyle w:val="8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0"/>
      <w:isLgl w:val="false"/>
      <w:suff w:val="tab"/>
      <w:lvlText w:val="%1."/>
      <w:lvlJc w:val="left"/>
      <w:pPr>
        <w:pStyle w:val="894"/>
        <w:ind w:left="709" w:hanging="709"/>
        <w:tabs>
          <w:tab w:val="num" w:pos="709" w:leader="none"/>
        </w:tabs>
      </w:pPr>
      <w:rPr>
        <w:rFonts w:hint="eastAsia"/>
      </w:rPr>
    </w:lvl>
    <w:lvl w:ilvl="1">
      <w:start w:val="1"/>
      <w:numFmt w:val="decimal"/>
      <w:isLgl w:val="false"/>
      <w:suff w:val="tab"/>
      <w:lvlText w:val="%1.%2"/>
      <w:lvlJc w:val="left"/>
      <w:pPr>
        <w:pStyle w:val="894"/>
        <w:ind w:left="709" w:hanging="709"/>
        <w:tabs>
          <w:tab w:val="num" w:pos="709" w:leader="none"/>
        </w:tabs>
      </w:pPr>
      <w:rPr>
        <w:rFonts w:hint="eastAsia"/>
      </w:rPr>
    </w:lvl>
    <w:lvl w:ilvl="2">
      <w:start w:val="1"/>
      <w:numFmt w:val="decimal"/>
      <w:isLgl w:val="false"/>
      <w:suff w:val="tab"/>
      <w:lvlText w:val="%1.%2.%3."/>
      <w:lvlJc w:val="left"/>
      <w:pPr>
        <w:pStyle w:val="894"/>
        <w:ind w:left="425" w:hanging="425"/>
        <w:tabs>
          <w:tab w:val="num" w:pos="425" w:leader="none"/>
        </w:tabs>
      </w:pPr>
      <w:rPr>
        <w:rFonts w:hint="eastAsia"/>
      </w:rPr>
    </w:lvl>
    <w:lvl w:ilvl="3">
      <w:start w:val="1"/>
      <w:numFmt w:val="decimal"/>
      <w:isLgl w:val="false"/>
      <w:suff w:val="tab"/>
      <w:lvlText w:val="%1.%2.%3.%4."/>
      <w:lvlJc w:val="left"/>
      <w:pPr>
        <w:pStyle w:val="894"/>
        <w:ind w:left="851" w:hanging="851"/>
        <w:tabs>
          <w:tab w:val="num" w:pos="851" w:leader="none"/>
        </w:tabs>
      </w:pPr>
      <w:rPr>
        <w:rFonts w:hint="eastAsia"/>
      </w:rPr>
    </w:lvl>
    <w:lvl w:ilvl="4">
      <w:start w:val="1"/>
      <w:numFmt w:val="decimal"/>
      <w:isLgl w:val="false"/>
      <w:suff w:val="tab"/>
      <w:lvlText w:val="%1.%2.%3.%4.%5."/>
      <w:lvlJc w:val="left"/>
      <w:pPr>
        <w:pStyle w:val="894"/>
        <w:ind w:left="992" w:hanging="992"/>
        <w:tabs>
          <w:tab w:val="num" w:pos="992" w:leader="none"/>
        </w:tabs>
      </w:pPr>
      <w:rPr>
        <w:rFonts w:hint="eastAsia"/>
      </w:rPr>
    </w:lvl>
    <w:lvl w:ilvl="5">
      <w:start w:val="1"/>
      <w:numFmt w:val="decimal"/>
      <w:isLgl w:val="false"/>
      <w:suff w:val="tab"/>
      <w:lvlText w:val="%1.%2.%3.%4.%5.%6."/>
      <w:lvlJc w:val="left"/>
      <w:pPr>
        <w:pStyle w:val="894"/>
        <w:ind w:left="1134" w:hanging="1134"/>
        <w:tabs>
          <w:tab w:val="num" w:pos="1134" w:leader="none"/>
        </w:tabs>
      </w:pPr>
      <w:rPr>
        <w:rFonts w:hint="eastAsia"/>
      </w:rPr>
    </w:lvl>
    <w:lvl w:ilvl="6">
      <w:start w:val="1"/>
      <w:numFmt w:val="decimal"/>
      <w:isLgl w:val="false"/>
      <w:suff w:val="tab"/>
      <w:lvlText w:val="%1.%2.%3.%4.%5.%6.%7."/>
      <w:lvlJc w:val="left"/>
      <w:pPr>
        <w:pStyle w:val="894"/>
        <w:ind w:left="1276" w:hanging="1276"/>
        <w:tabs>
          <w:tab w:val="num" w:pos="1276" w:leader="none"/>
        </w:tabs>
      </w:pPr>
      <w:rPr>
        <w:rFonts w:hint="eastAsia"/>
      </w:rPr>
    </w:lvl>
    <w:lvl w:ilvl="7">
      <w:start w:val="1"/>
      <w:numFmt w:val="decimal"/>
      <w:isLgl w:val="false"/>
      <w:suff w:val="tab"/>
      <w:lvlText w:val="%1.%2.%3.%4.%5.%6.%7.%8."/>
      <w:lvlJc w:val="left"/>
      <w:pPr>
        <w:pStyle w:val="894"/>
        <w:ind w:left="1418" w:hanging="1418"/>
        <w:tabs>
          <w:tab w:val="num" w:pos="1418" w:leader="none"/>
        </w:tabs>
      </w:pPr>
      <w:rPr>
        <w:rFonts w:hint="eastAsia"/>
      </w:rPr>
    </w:lvl>
    <w:lvl w:ilvl="8">
      <w:start w:val="1"/>
      <w:numFmt w:val="decimal"/>
      <w:isLgl w:val="false"/>
      <w:suff w:val="tab"/>
      <w:lvlText w:val="%1.%2.%3.%4.%5.%6.%7.%8.%9."/>
      <w:lvlJc w:val="left"/>
      <w:pPr>
        <w:pStyle w:val="89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4"/>
        <w:ind w:left="0" w:firstLine="0"/>
      </w:pPr>
      <w:rPr>
        <w:rFonts w:hint="eastAsia"/>
      </w:rPr>
    </w:lvl>
    <w:lvl w:ilvl="1">
      <w:start w:val="1"/>
      <w:numFmt w:val="decimal"/>
      <w:isLgl w:val="false"/>
      <w:suff w:val="nothing"/>
      <w:lvlText w:val="%2、"/>
      <w:lvlJc w:val="left"/>
      <w:pPr>
        <w:pStyle w:val="894"/>
        <w:ind w:left="0" w:firstLine="0"/>
      </w:pPr>
      <w:rPr>
        <w:rFonts w:hint="eastAsia"/>
      </w:rPr>
    </w:lvl>
    <w:lvl w:ilvl="2">
      <w:start w:val="1"/>
      <w:numFmt w:val="decimal"/>
      <w:isLgl w:val="false"/>
      <w:suff w:val="nothing"/>
      <w:lvlText w:val="%2.%3 "/>
      <w:lvlJc w:val="left"/>
      <w:pPr>
        <w:pStyle w:val="894"/>
        <w:ind w:left="0" w:firstLine="0"/>
      </w:pPr>
      <w:rPr>
        <w:rFonts w:hint="eastAsia"/>
      </w:rPr>
    </w:lvl>
    <w:lvl w:ilvl="3">
      <w:start w:val="1"/>
      <w:numFmt w:val="decimal"/>
      <w:isLgl w:val="false"/>
      <w:suff w:val="nothing"/>
      <w:lvlText w:val="%2.%3.%4 "/>
      <w:lvlJc w:val="left"/>
      <w:pPr>
        <w:pStyle w:val="894"/>
        <w:ind w:left="0" w:firstLine="0"/>
      </w:pPr>
      <w:rPr>
        <w:rFonts w:hint="eastAsia"/>
      </w:rPr>
    </w:lvl>
    <w:lvl w:ilvl="4">
      <w:start w:val="1"/>
      <w:numFmt w:val="decimal"/>
      <w:isLgl w:val="false"/>
      <w:suff w:val="nothing"/>
      <w:lvlText w:val="%2.%3.%4.%5 "/>
      <w:lvlJc w:val="left"/>
      <w:pPr>
        <w:pStyle w:val="894"/>
        <w:ind w:left="0" w:firstLine="0"/>
      </w:pPr>
      <w:rPr>
        <w:rFonts w:hint="eastAsia"/>
      </w:rPr>
    </w:lvl>
    <w:lvl w:ilvl="5">
      <w:start w:val="1"/>
      <w:numFmt w:val="decimal"/>
      <w:pStyle w:val="900"/>
      <w:isLgl w:val="false"/>
      <w:suff w:val="nothing"/>
      <w:lvlText w:val=""/>
      <w:lvlJc w:val="left"/>
      <w:pPr>
        <w:pStyle w:val="894"/>
        <w:ind w:left="0" w:firstLine="0"/>
      </w:pPr>
      <w:rPr>
        <w:rFonts w:hint="eastAsia"/>
      </w:rPr>
    </w:lvl>
    <w:lvl w:ilvl="6">
      <w:start w:val="1"/>
      <w:numFmt w:val="decimal"/>
      <w:pStyle w:val="901"/>
      <w:isLgl w:val="false"/>
      <w:suff w:val="nothing"/>
      <w:lvlText w:val=""/>
      <w:lvlJc w:val="left"/>
      <w:pPr>
        <w:pStyle w:val="894"/>
        <w:ind w:left="0" w:firstLine="0"/>
      </w:pPr>
      <w:rPr>
        <w:rFonts w:hint="eastAsia"/>
      </w:rPr>
    </w:lvl>
    <w:lvl w:ilvl="7">
      <w:start w:val="1"/>
      <w:numFmt w:val="decimal"/>
      <w:pStyle w:val="902"/>
      <w:isLgl w:val="false"/>
      <w:suff w:val="nothing"/>
      <w:lvlText w:val=""/>
      <w:lvlJc w:val="left"/>
      <w:pPr>
        <w:pStyle w:val="894"/>
        <w:ind w:left="0" w:firstLine="0"/>
      </w:pPr>
      <w:rPr>
        <w:rFonts w:hint="eastAsia"/>
      </w:rPr>
    </w:lvl>
    <w:lvl w:ilvl="8">
      <w:start w:val="1"/>
      <w:numFmt w:val="decimal"/>
      <w:pStyle w:val="903"/>
      <w:isLgl w:val="false"/>
      <w:suff w:val="nothing"/>
      <w:lvlText w:val=""/>
      <w:lvlJc w:val="left"/>
      <w:pPr>
        <w:pStyle w:val="894"/>
        <w:ind w:left="0" w:firstLine="0"/>
      </w:pPr>
      <w:rPr>
        <w:rFonts w:hint="eastAsia"/>
      </w:rPr>
    </w:lvl>
  </w:abstractNum>
  <w:abstractNum w:abstractNumId="3">
    <w:multiLevelType w:val="hybridMultilevel"/>
    <w:lvl w:ilvl="0">
      <w:start w:val="4"/>
      <w:numFmt w:val="chineseCounting"/>
      <w:isLgl w:val="false"/>
      <w:suff w:val="nothing"/>
      <w:lvlText w:val="%1、"/>
      <w:lvlJc w:val="left"/>
      <w:pPr>
        <w:pStyle w:val="8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4"/>
    <w:next w:val="894"/>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4"/>
    <w:next w:val="894"/>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4"/>
    <w:next w:val="894"/>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4"/>
    <w:next w:val="894"/>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4"/>
    <w:next w:val="894"/>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4"/>
    <w:next w:val="894"/>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4"/>
    <w:next w:val="894"/>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4"/>
    <w:next w:val="894"/>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4"/>
    <w:next w:val="894"/>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94"/>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94"/>
    <w:next w:val="894"/>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94"/>
    <w:next w:val="894"/>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94"/>
    <w:next w:val="894"/>
    <w:link w:val="741"/>
    <w:uiPriority w:val="29"/>
    <w:qFormat/>
    <w:pPr>
      <w:ind w:left="720" w:right="720"/>
    </w:pPr>
    <w:rPr>
      <w:i/>
    </w:rPr>
  </w:style>
  <w:style w:type="character" w:styleId="741">
    <w:name w:val="Quote Char"/>
    <w:link w:val="740"/>
    <w:uiPriority w:val="29"/>
    <w:rPr>
      <w:i/>
    </w:rPr>
  </w:style>
  <w:style w:type="paragraph" w:styleId="742">
    <w:name w:val="Intense Quote"/>
    <w:basedOn w:val="894"/>
    <w:next w:val="8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94"/>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94"/>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94"/>
    <w:next w:val="894"/>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94"/>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94"/>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1"/>
    <w:basedOn w:val="894"/>
    <w:next w:val="894"/>
    <w:uiPriority w:val="39"/>
    <w:unhideWhenUsed/>
    <w:pPr>
      <w:ind w:left="0" w:right="0" w:firstLine="0"/>
      <w:spacing w:after="57"/>
    </w:pPr>
  </w:style>
  <w:style w:type="paragraph" w:styleId="884">
    <w:name w:val="toc 2"/>
    <w:basedOn w:val="894"/>
    <w:next w:val="894"/>
    <w:uiPriority w:val="39"/>
    <w:unhideWhenUsed/>
    <w:pPr>
      <w:ind w:left="283" w:right="0" w:firstLine="0"/>
      <w:spacing w:after="57"/>
    </w:pPr>
  </w:style>
  <w:style w:type="paragraph" w:styleId="885">
    <w:name w:val="toc 3"/>
    <w:basedOn w:val="894"/>
    <w:next w:val="894"/>
    <w:uiPriority w:val="39"/>
    <w:unhideWhenUsed/>
    <w:pPr>
      <w:ind w:left="567" w:right="0" w:firstLine="0"/>
      <w:spacing w:after="57"/>
    </w:p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next w:val="894"/>
    <w:link w:val="894"/>
    <w:qFormat/>
    <w:pPr>
      <w:jc w:val="both"/>
      <w:widowControl w:val="off"/>
    </w:pPr>
    <w:rPr>
      <w:sz w:val="21"/>
      <w:szCs w:val="22"/>
      <w:lang w:val="en-US" w:eastAsia="zh-CN" w:bidi="ar-SA"/>
    </w:rPr>
  </w:style>
  <w:style w:type="paragraph" w:styleId="895">
    <w:name w:val="标题 1"/>
    <w:basedOn w:val="894"/>
    <w:next w:val="894"/>
    <w:link w:val="906"/>
    <w:qFormat/>
    <w:pPr>
      <w:jc w:val="center"/>
      <w:keepNext/>
      <w:outlineLvl w:val="0"/>
    </w:pPr>
    <w:rPr>
      <w:rFonts w:ascii="楷体_GB2312" w:hAnsi="Times New Roman" w:eastAsia="楷体_GB2312" w:cs="Times New Roman"/>
      <w:sz w:val="28"/>
      <w:szCs w:val="28"/>
    </w:rPr>
  </w:style>
  <w:style w:type="paragraph" w:styleId="896">
    <w:name w:val="标题 2"/>
    <w:basedOn w:val="894"/>
    <w:next w:val="908"/>
    <w:link w:val="907"/>
    <w:qFormat/>
    <w:pPr>
      <w:jc w:val="center"/>
      <w:keepLines/>
      <w:keepNext/>
      <w:spacing w:before="260" w:after="260" w:line="416" w:lineRule="auto"/>
      <w:outlineLvl w:val="1"/>
    </w:pPr>
    <w:rPr>
      <w:rFonts w:ascii="Arial" w:hAnsi="Arial" w:eastAsia="幼圆" w:cs="Arial"/>
      <w:b/>
      <w:bCs/>
      <w:sz w:val="44"/>
      <w:szCs w:val="44"/>
    </w:rPr>
  </w:style>
  <w:style w:type="paragraph" w:styleId="897">
    <w:name w:val="标题 3"/>
    <w:basedOn w:val="894"/>
    <w:next w:val="908"/>
    <w:link w:val="91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name w:val="标题 4"/>
    <w:basedOn w:val="894"/>
    <w:next w:val="908"/>
    <w:link w:val="911"/>
    <w:qFormat/>
    <w:pPr>
      <w:keepLines/>
      <w:keepNext/>
      <w:spacing w:before="280" w:after="290" w:line="376" w:lineRule="auto"/>
      <w:outlineLvl w:val="3"/>
    </w:pPr>
    <w:rPr>
      <w:rFonts w:ascii="Arial" w:hAnsi="Arial" w:eastAsia="黑体" w:cs="Arial"/>
      <w:b/>
      <w:bCs/>
      <w:sz w:val="28"/>
      <w:szCs w:val="28"/>
    </w:rPr>
  </w:style>
  <w:style w:type="paragraph" w:styleId="899">
    <w:name w:val="标题 5"/>
    <w:basedOn w:val="894"/>
    <w:next w:val="908"/>
    <w:link w:val="912"/>
    <w:qFormat/>
    <w:pPr>
      <w:keepNext/>
      <w:outlineLvl w:val="4"/>
    </w:pPr>
    <w:rPr>
      <w:rFonts w:ascii="宋体" w:hAnsi="Times New Roman" w:eastAsia="宋体" w:cs="Times New Roman"/>
      <w:color w:val="000000"/>
      <w:sz w:val="28"/>
      <w:szCs w:val="28"/>
    </w:rPr>
  </w:style>
  <w:style w:type="paragraph" w:styleId="900">
    <w:name w:val="标题 6"/>
    <w:basedOn w:val="894"/>
    <w:next w:val="894"/>
    <w:link w:val="9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1">
    <w:name w:val="标题 7"/>
    <w:basedOn w:val="894"/>
    <w:next w:val="894"/>
    <w:link w:val="9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2">
    <w:name w:val="标题 8"/>
    <w:basedOn w:val="894"/>
    <w:next w:val="894"/>
    <w:link w:val="91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3">
    <w:name w:val="标题 9"/>
    <w:basedOn w:val="894"/>
    <w:next w:val="894"/>
    <w:link w:val="916"/>
    <w:qFormat/>
    <w:pPr>
      <w:numPr>
        <w:ilvl w:val="8"/>
        <w:numId w:val="1"/>
      </w:numPr>
      <w:keepLines/>
      <w:keepNext/>
      <w:spacing w:before="240" w:after="64" w:line="320" w:lineRule="auto"/>
      <w:outlineLvl w:val="8"/>
    </w:pPr>
    <w:rPr>
      <w:rFonts w:ascii="Arial" w:hAnsi="Arial" w:eastAsia="黑体" w:cs="Times New Roman"/>
      <w:szCs w:val="21"/>
    </w:rPr>
  </w:style>
  <w:style w:type="character" w:styleId="904">
    <w:name w:val="默认段落字体"/>
    <w:next w:val="904"/>
    <w:link w:val="894"/>
    <w:uiPriority w:val="1"/>
    <w:unhideWhenUsed/>
  </w:style>
  <w:style w:type="table" w:styleId="905">
    <w:name w:val="普通表格"/>
    <w:next w:val="905"/>
    <w:link w:val="894"/>
    <w:uiPriority w:val="99"/>
    <w:unhideWhenUsed/>
    <w:tblPr/>
  </w:style>
  <w:style w:type="character" w:styleId="906">
    <w:name w:val="标题 1 Char"/>
    <w:next w:val="906"/>
    <w:link w:val="895"/>
    <w:rPr>
      <w:rFonts w:ascii="楷体_GB2312" w:hAnsi="Times New Roman" w:eastAsia="楷体_GB2312" w:cs="Times New Roman"/>
      <w:sz w:val="28"/>
      <w:szCs w:val="28"/>
    </w:rPr>
  </w:style>
  <w:style w:type="character" w:styleId="907">
    <w:name w:val="标题 2 Char"/>
    <w:next w:val="907"/>
    <w:link w:val="896"/>
    <w:rPr>
      <w:rFonts w:ascii="Arial" w:hAnsi="Arial" w:eastAsia="幼圆" w:cs="Arial"/>
      <w:b/>
      <w:bCs/>
      <w:sz w:val="44"/>
      <w:szCs w:val="44"/>
    </w:rPr>
  </w:style>
  <w:style w:type="paragraph" w:styleId="908">
    <w:name w:val="正文缩进"/>
    <w:basedOn w:val="894"/>
    <w:next w:val="908"/>
    <w:link w:val="909"/>
    <w:pPr>
      <w:ind w:firstLine="420"/>
    </w:pPr>
    <w:rPr>
      <w:szCs w:val="21"/>
    </w:rPr>
  </w:style>
  <w:style w:type="character" w:styleId="909">
    <w:name w:val="正文缩进 Char"/>
    <w:next w:val="909"/>
    <w:link w:val="908"/>
    <w:rPr>
      <w:szCs w:val="21"/>
    </w:rPr>
  </w:style>
  <w:style w:type="character" w:styleId="910">
    <w:name w:val="标题 3 Char"/>
    <w:next w:val="910"/>
    <w:link w:val="897"/>
    <w:rPr>
      <w:rFonts w:ascii="Times New Roman" w:hAnsi="Times New Roman" w:eastAsia="宋体" w:cs="Times New Roman"/>
      <w:b/>
      <w:bCs/>
      <w:sz w:val="32"/>
      <w:szCs w:val="32"/>
    </w:rPr>
  </w:style>
  <w:style w:type="character" w:styleId="911">
    <w:name w:val="标题 4 Char"/>
    <w:next w:val="911"/>
    <w:link w:val="898"/>
    <w:rPr>
      <w:rFonts w:ascii="Arial" w:hAnsi="Arial" w:eastAsia="黑体" w:cs="Arial"/>
      <w:b/>
      <w:bCs/>
      <w:sz w:val="28"/>
      <w:szCs w:val="28"/>
    </w:rPr>
  </w:style>
  <w:style w:type="character" w:styleId="912">
    <w:name w:val="标题 5 Char"/>
    <w:next w:val="912"/>
    <w:link w:val="899"/>
    <w:rPr>
      <w:rFonts w:ascii="宋体" w:hAnsi="Times New Roman" w:eastAsia="宋体" w:cs="Times New Roman"/>
      <w:color w:val="000000"/>
      <w:sz w:val="28"/>
      <w:szCs w:val="28"/>
    </w:rPr>
  </w:style>
  <w:style w:type="character" w:styleId="913">
    <w:name w:val="标题 6 Char"/>
    <w:next w:val="913"/>
    <w:link w:val="900"/>
    <w:rPr>
      <w:rFonts w:ascii="Arial" w:hAnsi="Arial" w:eastAsia="黑体" w:cs="Times New Roman"/>
      <w:b/>
      <w:bCs/>
      <w:sz w:val="24"/>
      <w:szCs w:val="24"/>
    </w:rPr>
  </w:style>
  <w:style w:type="character" w:styleId="914">
    <w:name w:val="标题 7 Char"/>
    <w:next w:val="914"/>
    <w:link w:val="901"/>
    <w:rPr>
      <w:rFonts w:ascii="Times New Roman" w:hAnsi="Times New Roman" w:eastAsia="宋体" w:cs="Times New Roman"/>
      <w:b/>
      <w:bCs/>
      <w:sz w:val="24"/>
      <w:szCs w:val="24"/>
    </w:rPr>
  </w:style>
  <w:style w:type="character" w:styleId="915">
    <w:name w:val="标题 8 Char"/>
    <w:next w:val="915"/>
    <w:link w:val="902"/>
    <w:rPr>
      <w:rFonts w:ascii="Arial" w:hAnsi="Arial" w:eastAsia="黑体" w:cs="Times New Roman"/>
      <w:sz w:val="24"/>
      <w:szCs w:val="24"/>
    </w:rPr>
  </w:style>
  <w:style w:type="character" w:styleId="916">
    <w:name w:val="标题 9 Char"/>
    <w:next w:val="916"/>
    <w:link w:val="903"/>
    <w:rPr>
      <w:rFonts w:ascii="Arial" w:hAnsi="Arial" w:eastAsia="黑体" w:cs="Times New Roman"/>
      <w:szCs w:val="21"/>
    </w:rPr>
  </w:style>
  <w:style w:type="paragraph" w:styleId="917">
    <w:name w:val="列表 3"/>
    <w:basedOn w:val="894"/>
    <w:next w:val="917"/>
    <w:link w:val="894"/>
    <w:pPr>
      <w:ind w:left="100" w:hanging="200"/>
    </w:pPr>
    <w:rPr>
      <w:rFonts w:ascii="Times New Roman" w:hAnsi="Times New Roman" w:eastAsia="宋体" w:cs="Times New Roman"/>
      <w:szCs w:val="21"/>
    </w:rPr>
  </w:style>
  <w:style w:type="paragraph" w:styleId="918">
    <w:name w:val="目录 7"/>
    <w:basedOn w:val="894"/>
    <w:next w:val="894"/>
    <w:link w:val="894"/>
    <w:semiHidden/>
    <w:pPr>
      <w:ind w:left="1260"/>
      <w:jc w:val="left"/>
    </w:pPr>
    <w:rPr>
      <w:rFonts w:ascii="Times New Roman" w:hAnsi="Times New Roman" w:eastAsia="宋体" w:cs="Times New Roman"/>
      <w:szCs w:val="21"/>
    </w:rPr>
  </w:style>
  <w:style w:type="paragraph" w:styleId="919">
    <w:name w:val="文档结构图"/>
    <w:basedOn w:val="894"/>
    <w:next w:val="919"/>
    <w:link w:val="920"/>
    <w:semiHidden/>
    <w:pPr>
      <w:shd w:val="clear" w:color="auto" w:fill="000080"/>
    </w:pPr>
    <w:rPr>
      <w:rFonts w:ascii="Times New Roman" w:hAnsi="Times New Roman" w:eastAsia="宋体" w:cs="Times New Roman"/>
      <w:szCs w:val="21"/>
    </w:rPr>
  </w:style>
  <w:style w:type="character" w:styleId="920">
    <w:name w:val="文档结构图 Char"/>
    <w:next w:val="920"/>
    <w:link w:val="919"/>
    <w:semiHidden/>
    <w:rPr>
      <w:rFonts w:ascii="Times New Roman" w:hAnsi="Times New Roman" w:eastAsia="宋体" w:cs="Times New Roman"/>
      <w:szCs w:val="21"/>
      <w:shd w:val="clear" w:color="auto" w:fill="000080"/>
    </w:rPr>
  </w:style>
  <w:style w:type="paragraph" w:styleId="921">
    <w:name w:val="批注文字"/>
    <w:basedOn w:val="894"/>
    <w:next w:val="921"/>
    <w:link w:val="922"/>
    <w:unhideWhenUsed/>
    <w:pPr>
      <w:jc w:val="left"/>
    </w:pPr>
  </w:style>
  <w:style w:type="character" w:styleId="922">
    <w:name w:val="批注文字 Char"/>
    <w:next w:val="922"/>
    <w:link w:val="921"/>
    <w:uiPriority w:val="99"/>
    <w:semiHidden/>
  </w:style>
  <w:style w:type="paragraph" w:styleId="923">
    <w:name w:val="正文文本 3"/>
    <w:basedOn w:val="894"/>
    <w:next w:val="923"/>
    <w:link w:val="924"/>
    <w:rPr>
      <w:rFonts w:ascii="仿宋_GB2312" w:hAnsi="Arial" w:eastAsia="仿宋_GB2312" w:cs="Times New Roman"/>
      <w:sz w:val="32"/>
      <w:szCs w:val="32"/>
    </w:rPr>
  </w:style>
  <w:style w:type="character" w:styleId="924">
    <w:name w:val="正文文本 3 Char"/>
    <w:next w:val="924"/>
    <w:link w:val="923"/>
    <w:rPr>
      <w:rFonts w:ascii="仿宋_GB2312" w:hAnsi="Arial" w:eastAsia="仿宋_GB2312" w:cs="Times New Roman"/>
      <w:sz w:val="32"/>
      <w:szCs w:val="32"/>
    </w:rPr>
  </w:style>
  <w:style w:type="paragraph" w:styleId="925">
    <w:name w:val="正文文本"/>
    <w:basedOn w:val="894"/>
    <w:next w:val="925"/>
    <w:link w:val="926"/>
    <w:rPr>
      <w:rFonts w:ascii="楷体_GB2312" w:hAnsi="Arial" w:eastAsia="楷体_GB2312" w:cs="Times New Roman"/>
      <w:sz w:val="28"/>
      <w:szCs w:val="28"/>
    </w:rPr>
  </w:style>
  <w:style w:type="character" w:styleId="926">
    <w:name w:val="正文文本 Char"/>
    <w:next w:val="926"/>
    <w:link w:val="925"/>
    <w:rPr>
      <w:rFonts w:ascii="楷体_GB2312" w:hAnsi="Arial" w:eastAsia="楷体_GB2312" w:cs="Times New Roman"/>
      <w:sz w:val="28"/>
      <w:szCs w:val="28"/>
    </w:rPr>
  </w:style>
  <w:style w:type="paragraph" w:styleId="927">
    <w:name w:val="正文文本缩进"/>
    <w:basedOn w:val="894"/>
    <w:next w:val="927"/>
    <w:link w:val="928"/>
    <w:unhideWhenUsed/>
    <w:pPr>
      <w:ind w:left="420"/>
      <w:spacing w:after="120"/>
    </w:pPr>
  </w:style>
  <w:style w:type="character" w:styleId="928">
    <w:name w:val="正文文本缩进 Char"/>
    <w:next w:val="928"/>
    <w:link w:val="927"/>
    <w:uiPriority w:val="99"/>
    <w:semiHidden/>
  </w:style>
  <w:style w:type="paragraph" w:styleId="929">
    <w:name w:val="列表 2"/>
    <w:basedOn w:val="894"/>
    <w:next w:val="929"/>
    <w:link w:val="894"/>
    <w:pPr>
      <w:ind w:left="100" w:hanging="200"/>
    </w:pPr>
    <w:rPr>
      <w:rFonts w:ascii="Times New Roman" w:hAnsi="Times New Roman" w:eastAsia="宋体" w:cs="Times New Roman"/>
      <w:szCs w:val="21"/>
    </w:rPr>
  </w:style>
  <w:style w:type="paragraph" w:styleId="930">
    <w:name w:val="目录 5"/>
    <w:basedOn w:val="894"/>
    <w:next w:val="894"/>
    <w:link w:val="894"/>
    <w:semiHidden/>
    <w:pPr>
      <w:ind w:left="840"/>
      <w:jc w:val="left"/>
    </w:pPr>
    <w:rPr>
      <w:rFonts w:ascii="Times New Roman" w:hAnsi="Times New Roman" w:eastAsia="宋体" w:cs="Times New Roman"/>
      <w:szCs w:val="21"/>
    </w:rPr>
  </w:style>
  <w:style w:type="paragraph" w:styleId="931">
    <w:name w:val="目录 3"/>
    <w:basedOn w:val="894"/>
    <w:next w:val="894"/>
    <w:link w:val="894"/>
    <w:semiHidden/>
    <w:pPr>
      <w:ind w:left="420"/>
      <w:jc w:val="left"/>
    </w:pPr>
    <w:rPr>
      <w:rFonts w:ascii="Times New Roman" w:hAnsi="Times New Roman" w:eastAsia="宋体" w:cs="Times New Roman"/>
      <w:i/>
      <w:iCs/>
      <w:szCs w:val="24"/>
    </w:rPr>
  </w:style>
  <w:style w:type="paragraph" w:styleId="932">
    <w:name w:val="纯文本"/>
    <w:basedOn w:val="894"/>
    <w:next w:val="932"/>
    <w:link w:val="933"/>
    <w:qFormat/>
    <w:rPr>
      <w:rFonts w:ascii="宋体" w:hAnsi="Courier New" w:eastAsia="宋体" w:cs="Courier New"/>
      <w:szCs w:val="21"/>
    </w:rPr>
  </w:style>
  <w:style w:type="character" w:styleId="933">
    <w:name w:val="纯文本 Char"/>
    <w:next w:val="933"/>
    <w:link w:val="932"/>
    <w:rPr>
      <w:rFonts w:ascii="宋体" w:hAnsi="Courier New" w:eastAsia="宋体" w:cs="Courier New"/>
      <w:szCs w:val="21"/>
    </w:rPr>
  </w:style>
  <w:style w:type="paragraph" w:styleId="934">
    <w:name w:val="目录 8"/>
    <w:basedOn w:val="894"/>
    <w:next w:val="894"/>
    <w:link w:val="894"/>
    <w:semiHidden/>
    <w:pPr>
      <w:ind w:left="1470"/>
      <w:jc w:val="left"/>
    </w:pPr>
    <w:rPr>
      <w:rFonts w:ascii="Times New Roman" w:hAnsi="Times New Roman" w:eastAsia="宋体" w:cs="Times New Roman"/>
      <w:szCs w:val="21"/>
    </w:rPr>
  </w:style>
  <w:style w:type="paragraph" w:styleId="935">
    <w:name w:val="日期"/>
    <w:basedOn w:val="894"/>
    <w:next w:val="894"/>
    <w:link w:val="936"/>
    <w:rPr>
      <w:rFonts w:ascii="Times New Roman" w:hAnsi="Times New Roman" w:eastAsia="宋体" w:cs="Times New Roman"/>
      <w:sz w:val="24"/>
      <w:szCs w:val="24"/>
    </w:rPr>
  </w:style>
  <w:style w:type="character" w:styleId="936">
    <w:name w:val="日期 Char"/>
    <w:next w:val="936"/>
    <w:link w:val="935"/>
    <w:rPr>
      <w:rFonts w:ascii="Times New Roman" w:hAnsi="Times New Roman" w:eastAsia="宋体" w:cs="Times New Roman"/>
      <w:sz w:val="24"/>
      <w:szCs w:val="24"/>
    </w:rPr>
  </w:style>
  <w:style w:type="paragraph" w:styleId="937">
    <w:name w:val="正文文本缩进 2"/>
    <w:basedOn w:val="894"/>
    <w:next w:val="937"/>
    <w:link w:val="938"/>
    <w:pPr>
      <w:ind w:left="630" w:firstLine="645"/>
    </w:pPr>
    <w:rPr>
      <w:rFonts w:ascii="Arial" w:hAnsi="Arial" w:eastAsia="仿宋_GB2312" w:cs="Arial"/>
      <w:sz w:val="32"/>
      <w:szCs w:val="32"/>
    </w:rPr>
  </w:style>
  <w:style w:type="character" w:styleId="938">
    <w:name w:val="正文文本缩进 2 Char"/>
    <w:next w:val="938"/>
    <w:link w:val="937"/>
    <w:rPr>
      <w:rFonts w:ascii="Arial" w:hAnsi="Arial" w:eastAsia="仿宋_GB2312" w:cs="Arial"/>
      <w:sz w:val="32"/>
      <w:szCs w:val="32"/>
    </w:rPr>
  </w:style>
  <w:style w:type="paragraph" w:styleId="939">
    <w:name w:val="批注框文本"/>
    <w:basedOn w:val="894"/>
    <w:next w:val="939"/>
    <w:link w:val="940"/>
    <w:semiHidden/>
    <w:rPr>
      <w:rFonts w:ascii="Times New Roman" w:hAnsi="Times New Roman" w:eastAsia="宋体" w:cs="Times New Roman"/>
      <w:sz w:val="18"/>
      <w:szCs w:val="18"/>
    </w:rPr>
  </w:style>
  <w:style w:type="character" w:styleId="940">
    <w:name w:val="批注框文本 Char"/>
    <w:next w:val="940"/>
    <w:link w:val="939"/>
    <w:semiHidden/>
    <w:rPr>
      <w:rFonts w:ascii="Times New Roman" w:hAnsi="Times New Roman" w:eastAsia="宋体" w:cs="Times New Roman"/>
      <w:sz w:val="18"/>
      <w:szCs w:val="18"/>
    </w:rPr>
  </w:style>
  <w:style w:type="paragraph" w:styleId="941">
    <w:name w:val="页脚"/>
    <w:basedOn w:val="894"/>
    <w:next w:val="941"/>
    <w:link w:val="94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2">
    <w:name w:val="页脚 Char"/>
    <w:next w:val="942"/>
    <w:link w:val="941"/>
    <w:uiPriority w:val="99"/>
    <w:rPr>
      <w:rFonts w:ascii="Times New Roman" w:hAnsi="Times New Roman" w:eastAsia="宋体" w:cs="Times New Roman"/>
      <w:sz w:val="18"/>
      <w:szCs w:val="18"/>
    </w:rPr>
  </w:style>
  <w:style w:type="paragraph" w:styleId="943">
    <w:name w:val="页眉"/>
    <w:basedOn w:val="894"/>
    <w:next w:val="943"/>
    <w:link w:val="9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4">
    <w:name w:val="页眉 Char"/>
    <w:next w:val="944"/>
    <w:link w:val="943"/>
    <w:rPr>
      <w:rFonts w:ascii="Times New Roman" w:hAnsi="Times New Roman" w:eastAsia="宋体" w:cs="Times New Roman"/>
      <w:sz w:val="18"/>
      <w:szCs w:val="18"/>
    </w:rPr>
  </w:style>
  <w:style w:type="paragraph" w:styleId="945">
    <w:name w:val="目录 1"/>
    <w:basedOn w:val="894"/>
    <w:next w:val="894"/>
    <w:link w:val="89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6">
    <w:name w:val="目录 4"/>
    <w:basedOn w:val="894"/>
    <w:next w:val="894"/>
    <w:link w:val="894"/>
    <w:semiHidden/>
    <w:pPr>
      <w:ind w:left="630"/>
      <w:jc w:val="left"/>
    </w:pPr>
    <w:rPr>
      <w:rFonts w:ascii="Times New Roman" w:hAnsi="Times New Roman" w:eastAsia="宋体" w:cs="Times New Roman"/>
      <w:szCs w:val="21"/>
    </w:rPr>
  </w:style>
  <w:style w:type="paragraph" w:styleId="947">
    <w:name w:val="列表"/>
    <w:basedOn w:val="894"/>
    <w:next w:val="947"/>
    <w:link w:val="894"/>
    <w:pPr>
      <w:ind w:left="200" w:hanging="200"/>
    </w:pPr>
    <w:rPr>
      <w:rFonts w:ascii="Times New Roman" w:hAnsi="Times New Roman" w:eastAsia="宋体" w:cs="Times New Roman"/>
      <w:szCs w:val="21"/>
    </w:rPr>
  </w:style>
  <w:style w:type="paragraph" w:styleId="948">
    <w:name w:val="目录 6"/>
    <w:basedOn w:val="894"/>
    <w:next w:val="894"/>
    <w:link w:val="894"/>
    <w:semiHidden/>
    <w:pPr>
      <w:ind w:left="1050"/>
      <w:jc w:val="left"/>
    </w:pPr>
    <w:rPr>
      <w:rFonts w:ascii="Times New Roman" w:hAnsi="Times New Roman" w:eastAsia="宋体" w:cs="Times New Roman"/>
      <w:szCs w:val="21"/>
    </w:rPr>
  </w:style>
  <w:style w:type="paragraph" w:styleId="949">
    <w:name w:val="正文文本缩进 3"/>
    <w:basedOn w:val="894"/>
    <w:next w:val="949"/>
    <w:link w:val="950"/>
    <w:pPr>
      <w:ind w:left="645" w:firstLine="645"/>
    </w:pPr>
    <w:rPr>
      <w:rFonts w:ascii="Arial" w:hAnsi="Arial" w:eastAsia="仿宋_GB2312" w:cs="Arial"/>
      <w:color w:val="ffff00"/>
      <w:sz w:val="32"/>
      <w:szCs w:val="32"/>
    </w:rPr>
  </w:style>
  <w:style w:type="character" w:styleId="950">
    <w:name w:val="正文文本缩进 3 Char"/>
    <w:next w:val="950"/>
    <w:link w:val="949"/>
    <w:rPr>
      <w:rFonts w:ascii="Arial" w:hAnsi="Arial" w:eastAsia="仿宋_GB2312" w:cs="Arial"/>
      <w:color w:val="ffff00"/>
      <w:sz w:val="32"/>
      <w:szCs w:val="32"/>
    </w:rPr>
  </w:style>
  <w:style w:type="paragraph" w:styleId="951">
    <w:name w:val="图表目录"/>
    <w:basedOn w:val="894"/>
    <w:next w:val="894"/>
    <w:link w:val="894"/>
    <w:semiHidden/>
    <w:pPr>
      <w:ind w:left="840" w:hanging="420"/>
    </w:pPr>
    <w:rPr>
      <w:rFonts w:ascii="Times New Roman" w:hAnsi="Times New Roman" w:eastAsia="宋体" w:cs="Times New Roman"/>
      <w:szCs w:val="21"/>
    </w:rPr>
  </w:style>
  <w:style w:type="paragraph" w:styleId="952">
    <w:name w:val="目录 2"/>
    <w:basedOn w:val="894"/>
    <w:next w:val="894"/>
    <w:link w:val="894"/>
    <w:semiHidden/>
    <w:pPr>
      <w:ind w:left="210"/>
      <w:jc w:val="left"/>
    </w:pPr>
    <w:rPr>
      <w:rFonts w:ascii="Times New Roman" w:hAnsi="Times New Roman" w:eastAsia="宋体" w:cs="Times New Roman"/>
      <w:smallCaps/>
      <w:szCs w:val="24"/>
    </w:rPr>
  </w:style>
  <w:style w:type="paragraph" w:styleId="953">
    <w:name w:val="目录 9"/>
    <w:basedOn w:val="894"/>
    <w:next w:val="894"/>
    <w:link w:val="894"/>
    <w:semiHidden/>
    <w:pPr>
      <w:ind w:left="1680"/>
      <w:jc w:val="left"/>
    </w:pPr>
    <w:rPr>
      <w:rFonts w:ascii="Times New Roman" w:hAnsi="Times New Roman" w:eastAsia="宋体" w:cs="Times New Roman"/>
      <w:szCs w:val="21"/>
    </w:rPr>
  </w:style>
  <w:style w:type="paragraph" w:styleId="954">
    <w:name w:val="正文文本 2"/>
    <w:basedOn w:val="894"/>
    <w:next w:val="954"/>
    <w:link w:val="955"/>
    <w:pPr>
      <w:jc w:val="center"/>
      <w:widowControl/>
    </w:pPr>
    <w:rPr>
      <w:rFonts w:ascii="楷体_GB2312" w:hAnsi="Times New Roman" w:eastAsia="楷体_GB2312" w:cs="Times New Roman"/>
      <w:sz w:val="28"/>
      <w:szCs w:val="28"/>
    </w:rPr>
  </w:style>
  <w:style w:type="character" w:styleId="955">
    <w:name w:val="正文文本 2 Char"/>
    <w:next w:val="955"/>
    <w:link w:val="954"/>
    <w:rPr>
      <w:rFonts w:ascii="楷体_GB2312" w:hAnsi="Times New Roman" w:eastAsia="楷体_GB2312" w:cs="Times New Roman"/>
      <w:sz w:val="28"/>
      <w:szCs w:val="28"/>
    </w:rPr>
  </w:style>
  <w:style w:type="paragraph" w:styleId="956">
    <w:name w:val="普通(网站)"/>
    <w:basedOn w:val="894"/>
    <w:next w:val="956"/>
    <w:link w:val="894"/>
    <w:uiPriority w:val="99"/>
    <w:pPr>
      <w:jc w:val="left"/>
      <w:spacing w:before="100" w:beforeAutospacing="1" w:after="100" w:afterAutospacing="1"/>
      <w:widowControl/>
    </w:pPr>
    <w:rPr>
      <w:rFonts w:ascii="宋体" w:hAnsi="宋体" w:eastAsia="宋体" w:cs="宋体"/>
      <w:sz w:val="24"/>
      <w:szCs w:val="24"/>
    </w:rPr>
  </w:style>
  <w:style w:type="paragraph" w:styleId="957">
    <w:name w:val="索引 1"/>
    <w:basedOn w:val="894"/>
    <w:next w:val="894"/>
    <w:link w:val="894"/>
    <w:semiHidden/>
    <w:pPr>
      <w:spacing w:line="240" w:lineRule="atLeast"/>
    </w:pPr>
    <w:rPr>
      <w:rFonts w:ascii="Times New Roman" w:hAnsi="Times New Roman" w:eastAsia="宋体" w:cs="Times New Roman"/>
      <w:b/>
      <w:bCs/>
      <w:szCs w:val="21"/>
    </w:rPr>
  </w:style>
  <w:style w:type="paragraph" w:styleId="958">
    <w:name w:val="批注主题"/>
    <w:basedOn w:val="921"/>
    <w:next w:val="921"/>
    <w:link w:val="959"/>
    <w:semiHidden/>
    <w:rPr>
      <w:rFonts w:ascii="Times New Roman" w:hAnsi="Times New Roman" w:eastAsia="宋体" w:cs="Times New Roman"/>
      <w:b/>
      <w:bCs/>
      <w:szCs w:val="21"/>
    </w:rPr>
  </w:style>
  <w:style w:type="character" w:styleId="959">
    <w:name w:val="批注主题 Char"/>
    <w:next w:val="959"/>
    <w:link w:val="958"/>
    <w:semiHidden/>
    <w:rPr>
      <w:rFonts w:ascii="Times New Roman" w:hAnsi="Times New Roman" w:eastAsia="宋体" w:cs="Times New Roman"/>
      <w:b/>
      <w:bCs/>
      <w:szCs w:val="21"/>
    </w:rPr>
  </w:style>
  <w:style w:type="paragraph" w:styleId="960">
    <w:name w:val="正文首行缩进"/>
    <w:basedOn w:val="894"/>
    <w:next w:val="960"/>
    <w:link w:val="961"/>
    <w:pPr>
      <w:ind w:firstLine="200"/>
      <w:spacing w:line="360" w:lineRule="auto"/>
    </w:pPr>
    <w:rPr>
      <w:rFonts w:ascii="仿宋_GB2312" w:hAnsi="Times New Roman" w:eastAsia="仿宋_GB2312" w:cs="Times New Roman"/>
      <w:sz w:val="30"/>
      <w:szCs w:val="30"/>
    </w:rPr>
  </w:style>
  <w:style w:type="character" w:styleId="961">
    <w:name w:val="正文首行缩进 Char"/>
    <w:next w:val="961"/>
    <w:link w:val="960"/>
    <w:rPr>
      <w:rFonts w:ascii="仿宋_GB2312" w:hAnsi="Times New Roman" w:eastAsia="仿宋_GB2312" w:cs="Times New Roman"/>
      <w:sz w:val="30"/>
      <w:szCs w:val="30"/>
    </w:rPr>
  </w:style>
  <w:style w:type="paragraph" w:styleId="962">
    <w:name w:val="正文首行缩进 2"/>
    <w:basedOn w:val="927"/>
    <w:next w:val="962"/>
    <w:link w:val="963"/>
    <w:pPr>
      <w:ind w:left="0" w:firstLine="420"/>
      <w:spacing w:after="0" w:line="360" w:lineRule="auto"/>
    </w:pPr>
    <w:rPr>
      <w:rFonts w:ascii="宋体" w:hAnsi="宋体" w:eastAsia="宋体" w:cs="Times New Roman"/>
      <w:szCs w:val="20"/>
    </w:rPr>
  </w:style>
  <w:style w:type="character" w:styleId="963">
    <w:name w:val="正文首行缩进 2 Char"/>
    <w:next w:val="963"/>
    <w:link w:val="962"/>
    <w:rPr>
      <w:rFonts w:ascii="宋体" w:hAnsi="宋体" w:eastAsia="宋体" w:cs="Times New Roman"/>
      <w:szCs w:val="20"/>
    </w:rPr>
  </w:style>
  <w:style w:type="table" w:styleId="964">
    <w:name w:val="网格型"/>
    <w:basedOn w:val="905"/>
    <w:next w:val="964"/>
    <w:link w:val="894"/>
    <w:pPr>
      <w:jc w:val="both"/>
      <w:widowControl w:val="off"/>
    </w:pPr>
    <w:rPr>
      <w:rFonts w:ascii="Times New Roman" w:hAnsi="Times New Roman" w:eastAsia="宋体" w:cs="Times New Roman"/>
      <w:sz w:val="20"/>
      <w:szCs w:val="20"/>
    </w:rPr>
    <w:tblPr/>
  </w:style>
  <w:style w:type="character" w:styleId="965">
    <w:name w:val="要点"/>
    <w:next w:val="965"/>
    <w:link w:val="894"/>
    <w:qFormat/>
    <w:rPr>
      <w:b/>
      <w:bCs/>
    </w:rPr>
  </w:style>
  <w:style w:type="character" w:styleId="966">
    <w:name w:val="页码"/>
    <w:next w:val="966"/>
    <w:link w:val="894"/>
  </w:style>
  <w:style w:type="character" w:styleId="967">
    <w:name w:val="已访问的超链接"/>
    <w:next w:val="967"/>
    <w:link w:val="894"/>
    <w:rPr>
      <w:color w:val="800080"/>
      <w:u w:val="single"/>
    </w:rPr>
  </w:style>
  <w:style w:type="character" w:styleId="968">
    <w:name w:val="强调"/>
    <w:basedOn w:val="904"/>
    <w:next w:val="968"/>
    <w:link w:val="894"/>
    <w:qFormat/>
    <w:rPr>
      <w:i/>
    </w:rPr>
  </w:style>
  <w:style w:type="character" w:styleId="969">
    <w:name w:val="超链接"/>
    <w:next w:val="969"/>
    <w:link w:val="894"/>
    <w:rPr>
      <w:color w:val="0000ff"/>
      <w:u w:val="single"/>
    </w:rPr>
  </w:style>
  <w:style w:type="character" w:styleId="970">
    <w:name w:val="批注引用"/>
    <w:next w:val="970"/>
    <w:link w:val="894"/>
    <w:semiHidden/>
    <w:rPr>
      <w:sz w:val="21"/>
      <w:szCs w:val="21"/>
    </w:rPr>
  </w:style>
  <w:style w:type="character" w:styleId="971">
    <w:name w:val="font5 Char"/>
    <w:next w:val="971"/>
    <w:link w:val="894"/>
    <w:rPr>
      <w:rFonts w:ascii="宋体" w:hAnsi="宋体" w:eastAsia="宋体"/>
      <w:sz w:val="28"/>
      <w:szCs w:val="28"/>
      <w:lang w:val="en-US" w:eastAsia="zh-CN" w:bidi="ar-SA"/>
    </w:rPr>
  </w:style>
  <w:style w:type="character" w:styleId="972">
    <w:name w:val="二级目录 Char"/>
    <w:next w:val="972"/>
    <w:link w:val="973"/>
    <w:rPr>
      <w:b/>
      <w:sz w:val="30"/>
      <w:szCs w:val="28"/>
    </w:rPr>
  </w:style>
  <w:style w:type="paragraph" w:styleId="973">
    <w:name w:val="二级目录"/>
    <w:next w:val="894"/>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4"/>
    <w:next w:val="975"/>
    <w:link w:val="974"/>
    <w:qFormat/>
    <w:pPr>
      <w:contextualSpacing/>
      <w:ind w:left="720"/>
      <w:jc w:val="left"/>
      <w:widowControl/>
    </w:pPr>
    <w:rPr>
      <w:rFonts w:ascii="Calibri" w:hAnsi="Calibri"/>
      <w:sz w:val="24"/>
      <w:szCs w:val="24"/>
      <w:lang w:eastAsia="en-US" w:bidi="en-US"/>
    </w:rPr>
  </w:style>
  <w:style w:type="paragraph" w:styleId="976">
    <w:name w:val="Body Text(ch)"/>
    <w:basedOn w:val="894"/>
    <w:next w:val="925"/>
    <w:link w:val="894"/>
    <w:pPr>
      <w:spacing w:after="120"/>
    </w:pPr>
    <w:rPr>
      <w:rFonts w:ascii="宋体" w:hAnsi="Arial" w:eastAsia="宋体" w:cs="Times New Roman"/>
      <w:bCs/>
      <w:iCs/>
      <w:szCs w:val="24"/>
    </w:rPr>
  </w:style>
  <w:style w:type="paragraph" w:styleId="977">
    <w:name w:val="xl27"/>
    <w:basedOn w:val="894"/>
    <w:next w:val="977"/>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6"/>
    <w:basedOn w:val="894"/>
    <w:next w:val="978"/>
    <w:link w:val="8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Char"/>
    <w:basedOn w:val="894"/>
    <w:next w:val="979"/>
    <w:link w:val="894"/>
    <w:pPr>
      <w:ind w:firstLine="200"/>
      <w:tabs>
        <w:tab w:val="left" w:pos="360" w:leader="none"/>
      </w:tabs>
    </w:pPr>
    <w:rPr>
      <w:rFonts w:ascii="Times New Roman" w:hAnsi="Times New Roman" w:eastAsia="宋体" w:cs="Times New Roman"/>
      <w:sz w:val="28"/>
      <w:szCs w:val="30"/>
    </w:rPr>
  </w:style>
  <w:style w:type="paragraph" w:styleId="980">
    <w:name w:val=" Char"/>
    <w:basedOn w:val="919"/>
    <w:next w:val="980"/>
    <w:link w:val="894"/>
    <w:rPr>
      <w:rFonts w:ascii="Tahoma" w:hAnsi="Tahoma"/>
      <w:sz w:val="24"/>
      <w:szCs w:val="24"/>
    </w:rPr>
  </w:style>
  <w:style w:type="paragraph" w:styleId="981">
    <w:name w:val="普通正文"/>
    <w:basedOn w:val="894"/>
    <w:next w:val="981"/>
    <w:link w:val="894"/>
    <w:pPr>
      <w:ind w:firstLine="480"/>
      <w:jc w:val="left"/>
      <w:spacing w:before="120" w:after="120" w:line="360" w:lineRule="auto"/>
    </w:pPr>
    <w:rPr>
      <w:rFonts w:ascii="Arial" w:hAnsi="Arial" w:eastAsia="宋体" w:cs="Times New Roman"/>
      <w:sz w:val="24"/>
      <w:szCs w:val="24"/>
    </w:rPr>
  </w:style>
  <w:style w:type="paragraph" w:styleId="982">
    <w:name w:val="table_lines"/>
    <w:basedOn w:val="894"/>
    <w:next w:val="982"/>
    <w:link w:val="894"/>
    <w:pPr>
      <w:jc w:val="left"/>
      <w:widowControl/>
    </w:pPr>
    <w:rPr>
      <w:rFonts w:ascii="Times New Roman" w:hAnsi="Times New Roman" w:eastAsia="宋体" w:cs="Times New Roman"/>
      <w:sz w:val="20"/>
      <w:szCs w:val="20"/>
      <w:lang w:val="de-DE" w:eastAsia="de-DE"/>
    </w:rPr>
  </w:style>
  <w:style w:type="paragraph" w:styleId="983">
    <w:name w:val="附录1"/>
    <w:next w:val="983"/>
    <w:link w:val="89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4"/>
    <w:next w:val="984"/>
    <w:link w:val="894"/>
    <w:pPr>
      <w:jc w:val="left"/>
      <w:spacing w:before="100" w:beforeAutospacing="1" w:after="100" w:afterAutospacing="1"/>
      <w:widowControl/>
    </w:pPr>
    <w:rPr>
      <w:rFonts w:hint="eastAsia" w:ascii="宋体" w:hAnsi="宋体" w:eastAsia="宋体" w:cs="Times New Roman"/>
      <w:sz w:val="18"/>
      <w:szCs w:val="18"/>
    </w:rPr>
  </w:style>
  <w:style w:type="paragraph" w:styleId="985">
    <w:name w:val=" Char Char Char Char"/>
    <w:basedOn w:val="919"/>
    <w:next w:val="985"/>
    <w:link w:val="894"/>
    <w:pPr>
      <w:spacing w:line="360" w:lineRule="auto"/>
    </w:pPr>
    <w:rPr>
      <w:rFonts w:ascii="Tahoma" w:hAnsi="Tahoma"/>
      <w:sz w:val="24"/>
      <w:szCs w:val="24"/>
    </w:rPr>
  </w:style>
  <w:style w:type="paragraph" w:styleId="986">
    <w:name w:val="列出段落"/>
    <w:basedOn w:val="894"/>
    <w:next w:val="986"/>
    <w:link w:val="894"/>
    <w:qFormat/>
    <w:pPr>
      <w:contextualSpacing/>
      <w:ind w:left="720"/>
      <w:jc w:val="left"/>
      <w:widowControl/>
    </w:pPr>
    <w:rPr>
      <w:rFonts w:ascii="Calibri" w:hAnsi="Calibri" w:eastAsia="宋体" w:cs="Times New Roman"/>
      <w:sz w:val="24"/>
      <w:szCs w:val="24"/>
      <w:lang w:eastAsia="en-US" w:bidi="en-US"/>
    </w:rPr>
  </w:style>
  <w:style w:type="paragraph" w:styleId="987">
    <w:name w:val="4"/>
    <w:basedOn w:val="894"/>
    <w:next w:val="949"/>
    <w:link w:val="894"/>
    <w:pPr>
      <w:ind w:firstLine="420"/>
      <w:spacing w:line="360" w:lineRule="auto"/>
    </w:pPr>
    <w:rPr>
      <w:rFonts w:ascii="Times New Roman" w:hAnsi="Times New Roman" w:eastAsia="宋体" w:cs="Times New Roman"/>
      <w:color w:val="ff0000"/>
      <w:sz w:val="24"/>
      <w:szCs w:val="24"/>
    </w:rPr>
  </w:style>
  <w:style w:type="paragraph" w:styleId="988">
    <w:name w:val="普通 (Web)"/>
    <w:basedOn w:val="894"/>
    <w:next w:val="988"/>
    <w:link w:val="894"/>
    <w:pPr>
      <w:jc w:val="left"/>
      <w:spacing w:before="100" w:beforeAutospacing="1" w:after="100" w:afterAutospacing="1"/>
      <w:widowControl/>
    </w:pPr>
    <w:rPr>
      <w:rFonts w:ascii="宋体" w:hAnsi="宋体" w:eastAsia="宋体" w:cs="Times New Roman"/>
      <w:sz w:val="24"/>
      <w:szCs w:val="24"/>
    </w:rPr>
  </w:style>
  <w:style w:type="paragraph" w:styleId="989">
    <w:name w:val=" Char Char Char Char Char Char Char Char Char Char"/>
    <w:basedOn w:val="894"/>
    <w:next w:val="989"/>
    <w:link w:val="894"/>
    <w:pPr>
      <w:spacing w:line="360" w:lineRule="auto"/>
    </w:pPr>
    <w:rPr>
      <w:rFonts w:ascii="Times New Roman" w:hAnsi="Times New Roman" w:eastAsia="宋体" w:cs="Times New Roman"/>
      <w:sz w:val="24"/>
      <w:szCs w:val="20"/>
    </w:rPr>
  </w:style>
  <w:style w:type="paragraph" w:styleId="990">
    <w:name w:val="样式1"/>
    <w:basedOn w:val="894"/>
    <w:next w:val="990"/>
    <w:link w:val="894"/>
    <w:pPr>
      <w:numPr>
        <w:ilvl w:val="0"/>
        <w:numId w:val="3"/>
      </w:numPr>
      <w:tabs>
        <w:tab w:val="left" w:pos="709" w:leader="none"/>
      </w:tabs>
    </w:pPr>
    <w:rPr>
      <w:rFonts w:ascii="宋体" w:hAnsi="宋体" w:eastAsia="宋体" w:cs="Times New Roman"/>
      <w:szCs w:val="21"/>
    </w:rPr>
  </w:style>
  <w:style w:type="paragraph" w:styleId="991">
    <w:name w:val="font6"/>
    <w:basedOn w:val="894"/>
    <w:next w:val="991"/>
    <w:link w:val="894"/>
    <w:pPr>
      <w:jc w:val="left"/>
      <w:spacing w:before="100" w:beforeAutospacing="1" w:after="100" w:afterAutospacing="1"/>
      <w:widowControl/>
    </w:pPr>
    <w:rPr>
      <w:rFonts w:hint="eastAsia" w:ascii="宋体" w:hAnsi="宋体" w:eastAsia="宋体" w:cs="Times New Roman"/>
      <w:sz w:val="28"/>
      <w:szCs w:val="28"/>
      <w:u w:val="single"/>
    </w:rPr>
  </w:style>
  <w:style w:type="paragraph" w:styleId="992">
    <w:name w:val="xl25"/>
    <w:basedOn w:val="894"/>
    <w:next w:val="992"/>
    <w:link w:val="8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4"/>
    <w:next w:val="894"/>
    <w:link w:val="89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4">
    <w:name w:val="标题3"/>
    <w:basedOn w:val="894"/>
    <w:next w:val="894"/>
    <w:link w:val="894"/>
    <w:pPr>
      <w:ind w:firstLine="624"/>
      <w:spacing w:line="590" w:lineRule="atLeast"/>
    </w:pPr>
    <w:rPr>
      <w:rFonts w:ascii="方正黑体_GBK" w:hAnsi="Times New Roman" w:eastAsia="方正黑体_GBK" w:cs="Times New Roman"/>
      <w:sz w:val="32"/>
      <w:szCs w:val="32"/>
    </w:rPr>
  </w:style>
  <w:style w:type="paragraph" w:styleId="995">
    <w:name w:val="xl24"/>
    <w:basedOn w:val="894"/>
    <w:next w:val="995"/>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xl29"/>
    <w:basedOn w:val="894"/>
    <w:next w:val="996"/>
    <w:link w:val="89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7">
    <w:name w:val="Char Char Char Char Char Char Char Char"/>
    <w:basedOn w:val="894"/>
    <w:next w:val="997"/>
    <w:link w:val="894"/>
    <w:pPr>
      <w:jc w:val="left"/>
      <w:spacing w:after="160" w:line="240" w:lineRule="exact"/>
      <w:widowControl/>
    </w:pPr>
    <w:rPr>
      <w:rFonts w:ascii="Verdana" w:hAnsi="Verdana" w:eastAsia="宋体" w:cs="Times New Roman"/>
      <w:sz w:val="20"/>
      <w:szCs w:val="20"/>
      <w:lang w:eastAsia="en-US"/>
    </w:rPr>
  </w:style>
  <w:style w:type="paragraph" w:styleId="998">
    <w:name w:val="xl28"/>
    <w:basedOn w:val="894"/>
    <w:next w:val="998"/>
    <w:link w:val="8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9">
    <w:name w:val=" Char Char Char Char Char Char Char Char"/>
    <w:basedOn w:val="894"/>
    <w:next w:val="999"/>
    <w:link w:val="894"/>
    <w:pPr>
      <w:jc w:val="left"/>
      <w:spacing w:after="160" w:line="240" w:lineRule="exact"/>
      <w:widowControl/>
    </w:pPr>
    <w:rPr>
      <w:rFonts w:ascii="Verdana" w:hAnsi="Verdana" w:eastAsia="宋体" w:cs="Times New Roman"/>
      <w:sz w:val="20"/>
      <w:szCs w:val="20"/>
      <w:lang w:eastAsia="en-US"/>
    </w:rPr>
  </w:style>
  <w:style w:type="paragraph" w:styleId="1000">
    <w:name w:val="xl30"/>
    <w:basedOn w:val="894"/>
    <w:next w:val="1000"/>
    <w:link w:val="894"/>
    <w:pPr>
      <w:jc w:val="center"/>
      <w:spacing w:before="100" w:beforeAutospacing="1" w:after="100" w:afterAutospacing="1"/>
      <w:widowControl/>
    </w:pPr>
    <w:rPr>
      <w:rFonts w:ascii="宋体" w:hAnsi="宋体" w:eastAsia="宋体" w:cs="Times New Roman"/>
      <w:b/>
      <w:bCs/>
      <w:sz w:val="36"/>
      <w:szCs w:val="36"/>
    </w:rPr>
  </w:style>
  <w:style w:type="paragraph" w:styleId="1001">
    <w:name w:val="Char Char Char Char"/>
    <w:basedOn w:val="919"/>
    <w:next w:val="1001"/>
    <w:link w:val="894"/>
    <w:pPr>
      <w:spacing w:line="360" w:lineRule="auto"/>
    </w:pPr>
    <w:rPr>
      <w:rFonts w:ascii="Tahoma" w:hAnsi="Tahoma"/>
      <w:sz w:val="24"/>
      <w:szCs w:val="24"/>
    </w:rPr>
  </w:style>
  <w:style w:type="paragraph" w:styleId="1002">
    <w:name w:val="table_1stline"/>
    <w:basedOn w:val="894"/>
    <w:next w:val="1002"/>
    <w:link w:val="894"/>
    <w:pPr>
      <w:jc w:val="left"/>
      <w:spacing w:before="120"/>
      <w:widowControl/>
    </w:pPr>
    <w:rPr>
      <w:rFonts w:ascii="Times New Roman" w:hAnsi="Times New Roman" w:eastAsia="宋体" w:cs="Times New Roman"/>
      <w:bCs/>
      <w:sz w:val="20"/>
      <w:szCs w:val="20"/>
      <w:lang w:val="de-DE" w:eastAsia="de-DE"/>
    </w:rPr>
  </w:style>
  <w:style w:type="paragraph" w:styleId="1003">
    <w:name w:val="font5"/>
    <w:basedOn w:val="894"/>
    <w:next w:val="1003"/>
    <w:link w:val="894"/>
    <w:pPr>
      <w:jc w:val="left"/>
      <w:spacing w:before="100" w:beforeAutospacing="1" w:after="100" w:afterAutospacing="1"/>
      <w:widowControl/>
    </w:pPr>
    <w:rPr>
      <w:rFonts w:hint="eastAsia" w:ascii="宋体" w:hAnsi="宋体" w:eastAsia="宋体" w:cs="Times New Roman"/>
      <w:sz w:val="28"/>
      <w:szCs w:val="28"/>
    </w:rPr>
  </w:style>
  <w:style w:type="paragraph" w:styleId="1004">
    <w:name w:val="标题1"/>
    <w:basedOn w:val="894"/>
    <w:next w:val="894"/>
    <w:link w:val="89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5">
    <w:name w:val="修订"/>
    <w:next w:val="1005"/>
    <w:link w:val="894"/>
    <w:uiPriority w:val="99"/>
    <w:semiHidden/>
    <w:rPr>
      <w:rFonts w:ascii="Times New Roman" w:hAnsi="Times New Roman"/>
      <w:sz w:val="21"/>
      <w:szCs w:val="21"/>
      <w:lang w:val="en-US" w:eastAsia="zh-CN" w:bidi="ar-SA"/>
    </w:rPr>
  </w:style>
  <w:style w:type="paragraph" w:styleId="1006">
    <w:name w:val="无间隔"/>
    <w:next w:val="1006"/>
    <w:link w:val="894"/>
    <w:uiPriority w:val="99"/>
    <w:qFormat/>
    <w:pPr>
      <w:jc w:val="both"/>
      <w:widowControl w:val="off"/>
    </w:pPr>
    <w:rPr>
      <w:rFonts w:ascii="Times New Roman" w:hAnsi="Times New Roman"/>
      <w:sz w:val="21"/>
      <w:szCs w:val="21"/>
      <w:lang w:val="en-US" w:eastAsia="zh-CN" w:bidi="ar-SA"/>
    </w:rPr>
  </w:style>
  <w:style w:type="paragraph" w:styleId="1007">
    <w:name w:val="AONormal"/>
    <w:next w:val="1007"/>
    <w:link w:val="894"/>
    <w:qFormat/>
    <w:pPr>
      <w:ind w:firstLine="440"/>
      <w:spacing w:line="400" w:lineRule="exact"/>
    </w:pPr>
    <w:rPr>
      <w:rFonts w:ascii="华文楷体" w:hAnsi="华文楷体" w:eastAsia="华文楷体" w:cs="华文楷体"/>
      <w:sz w:val="22"/>
      <w:szCs w:val="21"/>
      <w:lang w:val="en-US" w:eastAsia="zh-CN" w:bidi="ar-SA"/>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8</cp:revision>
  <dcterms:created xsi:type="dcterms:W3CDTF">2023-03-27T07:28:00Z</dcterms:created>
  <dcterms:modified xsi:type="dcterms:W3CDTF">2026-08-10T06:16:43Z</dcterms:modified>
</cp:coreProperties>
</file>