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6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69"/>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color w:val="auto"/>
          <w:sz w:val="84"/>
          <w:szCs w:val="84"/>
          <w:highlight w:val="none"/>
        </w:rPr>
        <w:t xml:space="preserve">招 标 文 件</w:t>
      </w:r>
      <w:r/>
    </w:p>
    <w:p>
      <w:pPr>
        <w:pStyle w:val="769"/>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bCs/>
          <w:color w:val="auto"/>
          <w:sz w:val="84"/>
          <w:szCs w:val="84"/>
          <w:highlight w:val="none"/>
        </w:rPr>
      </w:r>
      <w:r/>
    </w:p>
    <w:p>
      <w:pPr>
        <w:pStyle w:val="769"/>
        <w:ind w:firstLine="643"/>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2026年盐都区农村地区智慧安防村居建设项目（</w:t>
      </w:r>
      <w:r>
        <w:rPr>
          <w:rFonts w:hint="eastAsia" w:ascii="Arial" w:hAnsi="Arial" w:cs="Arial"/>
          <w:b/>
          <w:color w:val="auto"/>
          <w:sz w:val="32"/>
          <w:szCs w:val="32"/>
          <w:highlight w:val="none"/>
          <w:lang w:val="en-US" w:eastAsia="zh-CN"/>
        </w:rPr>
        <w:t xml:space="preserve">包二</w:t>
      </w:r>
      <w:r>
        <w:rPr>
          <w:rFonts w:hint="eastAsia" w:ascii="Arial" w:hAnsi="Arial" w:cs="Arial"/>
          <w:b/>
          <w:color w:val="auto"/>
          <w:sz w:val="32"/>
          <w:szCs w:val="32"/>
          <w:highlight w:val="none"/>
          <w:lang w:eastAsia="zh-CN"/>
        </w:rPr>
        <w:t xml:space="preserve">）</w:t>
      </w:r>
      <w:r/>
    </w:p>
    <w:p>
      <w:pPr>
        <w:pStyle w:val="769"/>
        <w:ind w:firstLine="643"/>
        <w:jc w:val="both"/>
        <w:spacing w:before="120" w:beforeAutospacing="0" w:after="120" w:afterAutospacing="0" w:line="360" w:lineRule="auto"/>
        <w:rPr>
          <w:rFonts w:hint="default" w:ascii="Arial" w:hAnsi="Arial" w:cs="Arial"/>
          <w:b/>
          <w:color w:val="auto"/>
          <w:sz w:val="32"/>
          <w:szCs w:val="32"/>
          <w:highlight w:val="none"/>
          <w:lang w:val="en-US" w:eastAsia="zh-CN"/>
        </w:rPr>
      </w:pPr>
      <w:r>
        <w:rPr>
          <w:rFonts w:ascii="Arial" w:hAnsi="Arial" w:cs="Arial"/>
          <w:b/>
          <w:color w:val="auto"/>
          <w:sz w:val="32"/>
          <w:szCs w:val="32"/>
          <w:highlight w:val="none"/>
        </w:rPr>
        <w:t xml:space="preserve">项目</w:t>
      </w:r>
      <w:r>
        <w:rPr>
          <w:rFonts w:hint="eastAsia" w:ascii="Arial" w:hAnsi="Arial" w:cs="Arial"/>
          <w:b/>
          <w:bCs/>
          <w:color w:val="auto"/>
          <w:sz w:val="32"/>
          <w:szCs w:val="32"/>
          <w:highlight w:val="none"/>
          <w:lang w:eastAsia="zh-CN"/>
        </w:rPr>
        <w:t xml:space="preserve">编</w:t>
      </w:r>
      <w:r>
        <w:rPr>
          <w:rFonts w:hint="eastAsia" w:ascii="Arial" w:hAnsi="Arial" w:cs="Arial"/>
          <w:b/>
          <w:color w:val="auto"/>
          <w:sz w:val="32"/>
          <w:szCs w:val="32"/>
          <w:highlight w:val="none"/>
          <w:lang w:eastAsia="zh-CN"/>
        </w:rPr>
        <w:t xml:space="preserve">号：JSZC-320903-JSCS-G2026-0007</w:t>
      </w:r>
      <w:r/>
    </w:p>
    <w:p>
      <w:pPr>
        <w:pStyle w:val="769"/>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盐城市公安局盐都分局</w:t>
      </w:r>
      <w:r/>
    </w:p>
    <w:p>
      <w:pPr>
        <w:pStyle w:val="769"/>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ascii="Arial" w:hAnsi="Arial" w:cs="Arial"/>
          <w:b/>
          <w:color w:val="auto"/>
          <w:sz w:val="32"/>
          <w:szCs w:val="32"/>
          <w:highlight w:val="none"/>
        </w:rPr>
        <w:t xml:space="preserve">月</w:t>
      </w:r>
      <w:r/>
    </w:p>
    <w:p>
      <w:pPr>
        <w:pStyle w:val="76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69"/>
        <w:jc w:val="center"/>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480" w:lineRule="auto"/>
        <w:rPr>
          <w:rFonts w:ascii="Times New Roman" w:hAnsi="Times New Roman"/>
          <w:color w:val="auto"/>
          <w:sz w:val="21"/>
          <w:szCs w:val="21"/>
          <w:highlight w:val="none"/>
        </w:rPr>
      </w:pPr>
      <w:r/>
      <w:bookmarkStart w:id="0" w:name="_Toc16938516"/>
      <w:r/>
      <w:bookmarkStart w:id="1" w:name="_Toc513029200"/>
      <w:r/>
      <w:bookmarkStart w:id="2" w:name="_Toc20823272"/>
      <w:r/>
      <w:bookmarkStart w:id="3" w:name="_Toc120614210"/>
      <w:r/>
      <w:bookmarkStart w:id="4" w:name="_Toc523127445"/>
      <w:r/>
      <w:bookmarkStart w:id="5" w:name="_Toc479757206"/>
      <w:r/>
      <w:r/>
    </w:p>
    <w:p>
      <w:pPr>
        <w:pStyle w:val="76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6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69"/>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69"/>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76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76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76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45</w:t>
      </w:r>
      <w:r/>
    </w:p>
    <w:p>
      <w:pPr>
        <w:pStyle w:val="76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76</w:t>
      </w:r>
      <w:r/>
    </w:p>
    <w:p>
      <w:pPr>
        <w:pStyle w:val="76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83</w:t>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招标公告</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2026年盐都区农村地区智慧安防村居建设项目JSZC-320903-JSCS-G2026-0007</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28359002"/>
      <w:r/>
      <w:bookmarkStart w:id="8" w:name="_Toc35393790"/>
      <w:r/>
      <w:bookmarkStart w:id="9" w:name="_Toc28359079"/>
      <w:r/>
      <w:bookmarkStart w:id="10" w:name="_Hlk24379207"/>
      <w:r/>
      <w:bookmarkStart w:id="11" w:name="_Toc35393621"/>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69"/>
        <w:ind w:firstLine="480"/>
        <w:jc w:val="both"/>
        <w:spacing w:beforeAutospacing="0" w:afterAutospacing="0" w:line="360" w:lineRule="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1.项目编号：JSZC-320903-JSCS-G2026-0007</w:t>
      </w:r>
      <w:r/>
    </w:p>
    <w:p>
      <w:pPr>
        <w:pStyle w:val="769"/>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u w:val="none"/>
          <w:lang w:val="en-US" w:eastAsia="zh-CN"/>
        </w:rPr>
        <w:t xml:space="preserve">包二</w:t>
      </w:r>
      <w:r>
        <w:rPr>
          <w:rFonts w:hint="eastAsia" w:ascii="宋体" w:hAnsi="宋体" w:eastAsia="宋体" w:cs="宋体"/>
          <w:color w:val="auto"/>
          <w:sz w:val="24"/>
          <w:szCs w:val="24"/>
          <w:highlight w:val="none"/>
          <w:u w:val="none"/>
          <w:lang w:eastAsia="zh-CN"/>
        </w:rPr>
        <w:t xml:space="preserve">）；</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69"/>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shd w:val="clear" w:color="auto" w:fill="auto"/>
          <w:lang w:val="en-US" w:eastAsia="zh-CN"/>
        </w:rPr>
        <w:t xml:space="preserve">650.0000万元</w:t>
      </w:r>
      <w:r/>
    </w:p>
    <w:p>
      <w:pPr>
        <w:pStyle w:val="769"/>
        <w:ind w:firstLine="480"/>
        <w:jc w:val="both"/>
        <w:spacing w:beforeAutospacing="0" w:afterAutospacing="0"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val="en-US" w:eastAsia="zh-CN"/>
        </w:rPr>
        <w:t xml:space="preserve">5.最高限价：645.4760万元</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u w:val="none"/>
          <w:lang w:val="en-US" w:eastAsia="zh-CN"/>
        </w:rPr>
        <w:t xml:space="preserve">包二</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shd w:val="clear" w:color="auto" w:fill="auto"/>
        </w:rPr>
        <w:t xml:space="preserve">具体采购范围及所应达到的具体要求，以本招标文件中项目需求的相应要求为准。（详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769"/>
        <w:ind w:firstLine="480"/>
        <w:jc w:val="both"/>
        <w:spacing w:beforeAutospacing="0" w:afterAutospacing="0"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60日历天内必须完成供货并安装、调试并满足试运行要求，试运行及验收合格后交付甲方使用直至质保期满；</w:t>
      </w:r>
      <w:r/>
    </w:p>
    <w:p>
      <w:pPr>
        <w:pStyle w:val="769"/>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35393622"/>
      <w:r/>
      <w:bookmarkStart w:id="14" w:name="_Toc28359080"/>
      <w:r/>
      <w:bookmarkStart w:id="15" w:name="_Toc28359003"/>
      <w:r/>
      <w:bookmarkStart w:id="16" w:name="_Toc38985264"/>
      <w:r/>
      <w:bookmarkStart w:id="17" w:name="_Toc35393791"/>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9"/>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给予小微型企业、监狱企业或残疾人福利性单位报价给予20%的扣除，用扣除后的价格参加评审。供应商所投货物须为符合《关于印发中小企业划型标准规定的通知》（工信部联企业[2011]300号）文件的小微企业；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769"/>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3.1投标人须具有建设行政主管部门核发的电子与智能化工程专业承包二级及以上施工资质。</w:t>
      </w:r>
      <w:r/>
    </w:p>
    <w:p>
      <w:pPr>
        <w:pStyle w:val="769"/>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3.2投标人须具有建设行政主管部门核发的安全生产许可证。</w:t>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5393793"/>
      <w:r/>
      <w:bookmarkStart w:id="20" w:name="_Toc28359082"/>
      <w:r/>
      <w:bookmarkStart w:id="21" w:name="_Toc38985266"/>
      <w:r/>
      <w:bookmarkStart w:id="22" w:name="_Toc28359005"/>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b/>
          <w:bCs/>
          <w:i w:val="0"/>
          <w:iCs w:val="0"/>
          <w:caps w:val="0"/>
          <w:color w:val="auto"/>
          <w:spacing w:val="0"/>
          <w:sz w:val="24"/>
          <w:szCs w:val="24"/>
          <w:highlight w:val="none"/>
          <w:u w:val="single"/>
          <w:shd w:val="clear" w:color="auto" w:fill="auto"/>
        </w:rPr>
        <w:t xml:space="preserve">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8</w:t>
      </w:r>
      <w:r>
        <w:rPr>
          <w:rFonts w:hint="eastAsia" w:ascii="宋体" w:hAnsi="宋体" w:eastAsia="宋体" w:cs="宋体"/>
          <w:b/>
          <w:bCs/>
          <w:i w:val="0"/>
          <w:iCs w:val="0"/>
          <w:caps w:val="0"/>
          <w:color w:val="auto"/>
          <w:spacing w:val="0"/>
          <w:sz w:val="24"/>
          <w:szCs w:val="24"/>
          <w:highlight w:val="none"/>
          <w:u w:val="single"/>
          <w:shd w:val="clear" w:color="auto" w:fill="auto"/>
        </w:rPr>
        <w:t xml:space="preserve">月</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19</w:t>
      </w:r>
      <w:r>
        <w:rPr>
          <w:rFonts w:hint="eastAsia" w:ascii="宋体" w:hAnsi="宋体" w:eastAsia="宋体" w:cs="宋体"/>
          <w:b/>
          <w:bCs/>
          <w:i w:val="0"/>
          <w:iCs w:val="0"/>
          <w:caps w:val="0"/>
          <w:color w:val="auto"/>
          <w:spacing w:val="0"/>
          <w:sz w:val="24"/>
          <w:szCs w:val="24"/>
          <w:highlight w:val="none"/>
          <w:u w:val="single"/>
          <w:shd w:val="clear" w:color="auto" w:fill="auto"/>
        </w:rPr>
        <w:t xml:space="preserve">日</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9时00分</w:t>
      </w:r>
      <w:r>
        <w:rPr>
          <w:rFonts w:hint="eastAsia" w:ascii="宋体" w:hAnsi="宋体" w:eastAsia="宋体" w:cs="宋体"/>
          <w:color w:val="auto"/>
          <w:sz w:val="24"/>
          <w:szCs w:val="24"/>
          <w:highlight w:val="none"/>
          <w:shd w:val="clear" w:color="auto" w:fill="auto"/>
        </w:rPr>
        <w:t xml:space="preserve">（北京时间）</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8985267"/>
      <w:r/>
      <w:bookmarkStart w:id="24" w:name="_Toc35393625"/>
      <w:r/>
      <w:bookmarkStart w:id="25" w:name="_Toc28359084"/>
      <w:r/>
      <w:bookmarkStart w:id="26" w:name="_Toc2835900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w:t>
      </w:r>
      <w:r/>
    </w:p>
    <w:p>
      <w:pPr>
        <w:pStyle w:val="769"/>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2.3采购文件（后缀名为“.kedt”）、供应商操作手册及政府采购客户端工具可通过“苏采云”系统相应链接进行下载。</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w:t>
      </w:r>
      <w:r/>
    </w:p>
    <w:p>
      <w:pPr>
        <w:pStyle w:val="769"/>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3.有关本次招标的事项若存在变动或修改，敬请及时关注采购人在“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38"/>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称：盐城市公安局盐都分局</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址：</w:t>
      </w:r>
      <w:r>
        <w:rPr>
          <w:rFonts w:hint="eastAsia" w:asciiTheme="minorEastAsia" w:hAnsiTheme="minorEastAsia" w:eastAsiaTheme="minorEastAsia" w:cstheme="minorEastAsia"/>
          <w:color w:val="auto"/>
          <w:sz w:val="24"/>
          <w:szCs w:val="24"/>
          <w:highlight w:val="none"/>
        </w:rPr>
        <w:t xml:space="preserve">盐城市盐都区新都路630号</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联系人：徐</w:t>
      </w:r>
      <w:r>
        <w:rPr>
          <w:rFonts w:hint="eastAsia" w:asciiTheme="minorEastAsia" w:hAnsiTheme="minorEastAsia" w:cstheme="minorEastAsia"/>
          <w:color w:val="auto"/>
          <w:sz w:val="24"/>
          <w:szCs w:val="24"/>
          <w:highlight w:val="none"/>
          <w:lang w:val="en-US" w:eastAsia="zh-CN"/>
        </w:rPr>
        <w:t xml:space="preserve">警官</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联系方式：15195140992       </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2.采购代理机构信息</w:t>
      </w:r>
      <w:r/>
    </w:p>
    <w:p>
      <w:pPr>
        <w:pStyle w:val="769"/>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 称：江苏创盛项目管理有限公司</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 址：</w:t>
      </w:r>
      <w:r>
        <w:rPr>
          <w:rFonts w:hint="eastAsia" w:asciiTheme="minorEastAsia" w:hAnsiTheme="minorEastAsia" w:eastAsiaTheme="minorEastAsia" w:cstheme="minorEastAsia"/>
          <w:color w:val="auto"/>
          <w:sz w:val="24"/>
          <w:szCs w:val="24"/>
          <w:highlight w:val="none"/>
        </w:rPr>
        <w:t xml:space="preserve">江苏省盐城市盐都区新都西路29号紫金大厦13楼</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周工</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w:t>
      </w:r>
      <w:bookmarkStart w:id="32" w:name="_Toc28359010"/>
      <w:r/>
      <w:bookmarkStart w:id="33" w:name="_Toc28359087"/>
      <w:r>
        <w:rPr>
          <w:rFonts w:hint="eastAsia" w:asciiTheme="minorEastAsia" w:hAnsiTheme="minorEastAsia" w:cstheme="minorEastAsia"/>
          <w:color w:val="auto"/>
          <w:sz w:val="24"/>
          <w:szCs w:val="24"/>
          <w:highlight w:val="none"/>
          <w:lang w:val="en-US" w:eastAsia="zh-CN"/>
        </w:rPr>
        <w:t xml:space="preserve">18914640777</w:t>
      </w:r>
      <w:bookmarkEnd w:id="32"/>
      <w:r/>
      <w:bookmarkEnd w:id="33"/>
      <w:r>
        <w:rPr>
          <w:rFonts w:hint="eastAsia" w:asciiTheme="minorEastAsia" w:hAnsiTheme="minorEastAsia" w:eastAsiaTheme="minorEastAsia" w:cstheme="minorEastAsia"/>
          <w:color w:val="auto"/>
          <w:sz w:val="24"/>
          <w:szCs w:val="24"/>
          <w:highlight w:val="none"/>
          <w:lang w:val="en-US" w:eastAsia="zh-CN"/>
        </w:rPr>
        <w:t xml:space="preserve">            </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Theme="minorEastAsia" w:hAnsiTheme="minorEastAsia" w:eastAsiaTheme="minorEastAsia" w:cstheme="minorEastAsia"/>
          <w:color w:val="auto"/>
          <w:sz w:val="24"/>
          <w:szCs w:val="24"/>
          <w:highlight w:val="none"/>
          <w:lang w:val="en-US" w:eastAsia="zh-CN"/>
        </w:rPr>
        <w:t xml:space="preserve">3.</w:t>
      </w:r>
      <w:bookmarkEnd w:id="34"/>
      <w:r>
        <w:rPr>
          <w:rFonts w:hint="eastAsia" w:asciiTheme="minorEastAsia" w:hAnsiTheme="minorEastAsia" w:eastAsiaTheme="minorEastAsia" w:cstheme="minorEastAsia"/>
          <w:color w:val="auto"/>
          <w:sz w:val="24"/>
          <w:szCs w:val="24"/>
          <w:highlight w:val="none"/>
          <w:lang w:val="en-US" w:eastAsia="zh-CN"/>
        </w:rPr>
        <w:t xml:space="preserve">项目联系方式</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项目联系人：</w:t>
      </w:r>
      <w:r>
        <w:rPr>
          <w:rFonts w:hint="eastAsia" w:asciiTheme="minorEastAsia" w:hAnsiTheme="minorEastAsia" w:cstheme="minorEastAsia"/>
          <w:color w:val="auto"/>
          <w:sz w:val="24"/>
          <w:szCs w:val="24"/>
          <w:highlight w:val="none"/>
          <w:lang w:val="en-US" w:eastAsia="zh-CN"/>
        </w:rPr>
        <w:t xml:space="preserve">周工 </w:t>
      </w:r>
      <w:r/>
    </w:p>
    <w:p>
      <w:pPr>
        <w:pStyle w:val="769"/>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18914640777</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769"/>
        <w:numPr>
          <w:ilvl w:val="0"/>
          <w:numId w:val="1"/>
        </w:numPr>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cstheme="minorEastAsia"/>
          <w:color w:val="auto"/>
          <w:sz w:val="24"/>
          <w:szCs w:val="24"/>
          <w:highlight w:val="none"/>
          <w:lang w:val="en-US" w:eastAsia="zh-CN"/>
        </w:rPr>
        <w:t xml:space="preserve">监督人员</w:t>
      </w:r>
      <w:r/>
    </w:p>
    <w:p>
      <w:pPr>
        <w:pStyle w:val="769"/>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苏警官</w:t>
      </w:r>
      <w:r/>
    </w:p>
    <w:p>
      <w:pPr>
        <w:pStyle w:val="769"/>
        <w:numPr>
          <w:ilvl w:val="0"/>
          <w:numId w:val="0"/>
        </w:numPr>
        <w:ind w:left="560" w:right="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18862016007</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769"/>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16938518"/>
      <w:r/>
      <w:bookmarkStart w:id="38" w:name="_Toc20823274"/>
      <w:r/>
      <w:bookmarkStart w:id="39" w:name="_Toc513029202"/>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769"/>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20823275"/>
      <w:r/>
      <w:bookmarkStart w:id="41" w:name="_Toc513029203"/>
      <w:r/>
      <w:bookmarkStart w:id="42" w:name="_Toc16938519"/>
      <w:r/>
      <w:bookmarkStart w:id="43" w:name="_Toc120614214"/>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2" w:name="_Toc20823278"/>
      <w:r/>
      <w:bookmarkStart w:id="53" w:name="_Toc16938522"/>
      <w:r/>
      <w:bookmarkStart w:id="54" w:name="_Toc513029206"/>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5" w:name="_Toc513029207"/>
      <w:r/>
      <w:bookmarkStart w:id="56" w:name="_Toc462564067"/>
      <w:r/>
      <w:bookmarkStart w:id="57" w:name="_Toc16938523"/>
      <w:r/>
      <w:bookmarkStart w:id="58" w:name="_Toc20823279"/>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（以下简称采购中心）在任何情况下均无义务和责任承担这些费用。</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w:t>
      </w:r>
      <w:r/>
    </w:p>
    <w:p>
      <w:pPr>
        <w:ind w:firstLine="480"/>
        <w:spacing w:line="440" w:lineRule="exac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4.3本次招标代理费用由中标单位支付，</w:t>
      </w:r>
      <w:r>
        <w:rPr>
          <w:rFonts w:hint="eastAsia" w:ascii="宋体" w:hAnsi="宋体"/>
          <w:color w:val="auto"/>
          <w:sz w:val="24"/>
          <w:highlight w:val="none"/>
        </w:rPr>
        <w:t xml:space="preserve">招标代理：按照《江苏省政府采购代理服务收费指导意见》(苏政采协【2024】20号)规定标准的</w:t>
      </w:r>
      <w:r>
        <w:rPr>
          <w:rFonts w:hint="eastAsia" w:ascii="宋体" w:hAnsi="宋体"/>
          <w:color w:val="auto"/>
          <w:sz w:val="24"/>
          <w:highlight w:val="none"/>
          <w:u w:val="single"/>
          <w:lang w:val="en-US" w:eastAsia="zh-CN"/>
        </w:rPr>
        <w:t xml:space="preserve">43.5</w:t>
      </w:r>
      <w:r>
        <w:rPr>
          <w:rFonts w:hint="eastAsia" w:ascii="宋体" w:hAnsi="宋体"/>
          <w:color w:val="auto"/>
          <w:sz w:val="24"/>
          <w:highlight w:val="none"/>
        </w:rPr>
        <w:t xml:space="preserve">%计取</w:t>
      </w:r>
      <w:r>
        <w:rPr>
          <w:rFonts w:hint="eastAsia" w:ascii="宋体" w:hAnsi="宋体"/>
          <w:color w:val="auto"/>
          <w:sz w:val="24"/>
          <w:highlight w:val="none"/>
          <w:lang w:eastAsia="zh-CN"/>
        </w:rPr>
        <w:t xml:space="preserve">。投标人在投标时应将此费用自行考虑在投标报价中，不单列，由中标供应商在领取中标通知书前直接将以上服务费向招标代理公司一次性以现金或转账方式付清。</w:t>
      </w:r>
      <w:r/>
    </w:p>
    <w:p>
      <w:pPr>
        <w:numPr>
          <w:ilvl w:val="0"/>
          <w:numId w:val="2"/>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招标文件的约束力</w:t>
      </w:r>
      <w:r/>
    </w:p>
    <w:p>
      <w:pPr>
        <w:numPr>
          <w:ilvl w:val="0"/>
          <w:numId w:val="0"/>
        </w:numPr>
        <w:ind w:left="479" w:firstLine="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bookmarkStart w:id="59" w:name="_Toc120614215"/>
      <w:r/>
      <w:bookmarkStart w:id="60" w:name="_Toc513029209"/>
      <w:r/>
      <w:bookmarkStart w:id="61" w:name="_Toc20823281"/>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bookmarkStart w:id="63" w:name="_Toc16938526"/>
      <w:r/>
      <w:bookmarkStart w:id="64" w:name="_Toc513029210"/>
      <w:r/>
      <w:bookmarkStart w:id="65" w:name="_Toc20823282"/>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6、招标文件构成</w:t>
      </w:r>
      <w:bookmarkEnd w:id="63"/>
      <w:r/>
      <w:bookmarkEnd w:id="64"/>
      <w:r/>
      <w:bookmarkEnd w:id="65"/>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numPr>
          <w:ilvl w:val="0"/>
          <w:numId w:val="0"/>
        </w:numPr>
        <w:ind w:left="479" w:firstLine="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66" w:name="_Toc20823283"/>
      <w:r/>
      <w:bookmarkStart w:id="67" w:name="_Toc513029211"/>
      <w:r/>
      <w:bookmarkStart w:id="68" w:name="_Toc16938527"/>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w:t>
      </w:r>
      <w:r>
        <w:rPr>
          <w:rFonts w:hint="eastAsia" w:ascii="宋体" w:hAnsi="宋体" w:eastAsia="宋体" w:cs="宋体"/>
          <w:b/>
          <w:bCs/>
          <w:color w:val="auto"/>
          <w:sz w:val="24"/>
          <w:szCs w:val="24"/>
          <w:highlight w:val="none"/>
        </w:rPr>
        <w:t xml:space="preserve">应在投标截止期十日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0" w:name="_Toc16938528"/>
      <w:r/>
      <w:bookmarkStart w:id="71" w:name="_Toc462564071"/>
      <w:r/>
      <w:bookmarkStart w:id="72" w:name="_Toc20823284"/>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462564072"/>
      <w:r/>
      <w:bookmarkStart w:id="75" w:name="_Toc120614216"/>
      <w:r/>
      <w:bookmarkStart w:id="76" w:name="_Toc513029213"/>
      <w:r/>
      <w:bookmarkStart w:id="77" w:name="_Toc20823285"/>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9" w:name="_Toc20823286"/>
      <w:r/>
      <w:bookmarkStart w:id="80" w:name="_Toc16938530"/>
      <w:r/>
      <w:bookmarkStart w:id="81" w:name="_Toc462564073"/>
      <w:r/>
      <w:bookmarkStart w:id="82" w:name="_Toc513029214"/>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9.1投标人提交的投标文件以及投标人与采购中心就有关投标的所有来往通知、函件和文件均应使用简体中文。</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3" w:name="_Toc513029215"/>
      <w:r/>
      <w:bookmarkStart w:id="84" w:name="_Toc462564074"/>
      <w:r/>
      <w:bookmarkStart w:id="85" w:name="_Toc16938531"/>
      <w:r/>
      <w:bookmarkStart w:id="86" w:name="_Toc20823287"/>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发布的招标文件为准。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7" w:name="_Toc14577354"/>
      <w:r/>
      <w:bookmarkStart w:id="88" w:name="_Toc49090508"/>
      <w:r/>
      <w:bookmarkStart w:id="89" w:name="_Toc14577355"/>
      <w:r/>
      <w:bookmarkStart w:id="90" w:name="_Toc49090507"/>
      <w:r/>
      <w:bookmarkStart w:id="91" w:name="_Toc513029219"/>
      <w:r/>
      <w:bookmarkStart w:id="92" w:name="_Toc513029216"/>
      <w:r/>
      <w:bookmarkStart w:id="93" w:name="_Toc14577357"/>
      <w:r/>
      <w:bookmarkStart w:id="94" w:name="_Toc49090509"/>
      <w:r/>
      <w:bookmarkStart w:id="95" w:name="_Hlt26668975"/>
      <w:r/>
      <w:bookmarkStart w:id="96" w:name="_Hlt26954838"/>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11.1投标人应按照招标文件要求提交证明文件，证明其及投标标的符合招标文件规定。</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98" w:name="_Hlt26954848"/>
      <w:r/>
      <w:bookmarkStart w:id="99" w:name="_Hlt26670482"/>
      <w:r/>
      <w:bookmarkStart w:id="100" w:name="_Hlt26670486"/>
      <w:r/>
      <w:bookmarkStart w:id="101" w:name="_Hlt26954846"/>
      <w:r/>
      <w:bookmarkStart w:id="10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rPr>
        <w:t xml:space="preserve">16、投标有效期</w:t>
      </w:r>
      <w:bookmarkEnd w:id="105"/>
      <w:r/>
      <w:bookmarkEnd w:id="106"/>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120614217"/>
      <w:r/>
      <w:bookmarkStart w:id="108" w:name="_Toc513029224"/>
      <w:r/>
      <w:bookmarkStart w:id="109" w:name="_Toc16938540"/>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bookmarkStart w:id="113" w:name="_Toc513029225"/>
      <w:r/>
      <w:bookmarkStart w:id="114" w:name="_Toc16938541"/>
      <w:r/>
      <w:bookmarkStart w:id="115" w:name="_Toc20823297"/>
      <w:r/>
      <w:bookmarkStart w:id="116" w:name="_Toc462564084"/>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bookmarkStart w:id="120" w:name="_Toc16938543"/>
      <w:r/>
      <w:bookmarkStart w:id="121" w:name="_Toc513029227"/>
      <w:r/>
      <w:bookmarkStart w:id="122" w:name="_Toc20823299"/>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bookmarkStart w:id="123" w:name="_Toc16938544"/>
      <w:r/>
      <w:bookmarkStart w:id="124" w:name="_Toc20823300"/>
      <w:r/>
      <w:bookmarkStart w:id="125" w:name="_Toc513029228"/>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r/>
    </w:p>
    <w:p>
      <w:pPr>
        <w:pStyle w:val="7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20823301"/>
      <w:r/>
      <w:bookmarkStart w:id="127" w:name="_Toc120614218"/>
      <w:r/>
      <w:bookmarkStart w:id="128" w:name="_Toc513029229"/>
      <w:r/>
      <w:bookmarkStart w:id="129" w:name="_Toc16938545"/>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0" w:name="_Toc513029230"/>
      <w:r/>
      <w:bookmarkStart w:id="131" w:name="_Toc20823302"/>
      <w:r/>
      <w:bookmarkStart w:id="132" w:name="_Toc16938546"/>
      <w:r>
        <w:rPr>
          <w:rFonts w:hint="eastAsia" w:ascii="宋体" w:hAnsi="宋体" w:eastAsia="宋体" w:cs="宋体"/>
          <w:color w:val="auto"/>
          <w:sz w:val="24"/>
          <w:szCs w:val="24"/>
          <w:highlight w:val="none"/>
        </w:rPr>
        <w:t xml:space="preserve">22、开标</w:t>
      </w:r>
      <w:bookmarkEnd w:id="130"/>
      <w:r/>
      <w:bookmarkEnd w:id="131"/>
      <w:r/>
      <w:bookmarkEnd w:id="132"/>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22.1采购中心将在招标公告中规定的时间和地点组织公开开标。投标人应当按照《操作手册》规定，参加开标活动和在苏采云系统规定的时间内对投标文件进行解密。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3" w:name="_Toc513029231"/>
      <w:r/>
      <w:bookmarkStart w:id="134" w:name="_Toc16938547"/>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24.3采购中心和评标委员会不向未中标的投标人解释未中标原因，也不公布评标过程中的相关细节。</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bookmarkStart w:id="136" w:name="_Toc16938548"/>
      <w:r/>
      <w:bookmarkStart w:id="137" w:name="_Toc513029232"/>
      <w:r/>
      <w:bookmarkStart w:id="138" w:name="_Toc20823304"/>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9" w:name="_Toc513029233"/>
      <w:r/>
      <w:bookmarkStart w:id="140" w:name="_Toc16938549"/>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16938550"/>
      <w:r/>
      <w:bookmarkStart w:id="143" w:name="_Toc513029234"/>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69"/>
        <w:ind w:firstLine="420"/>
        <w:jc w:val="both"/>
        <w:keepLines/>
        <w:keepNext/>
        <w:spacing w:beforeAutospacing="0" w:afterAutospacing="0" w:line="360" w:lineRule="auto"/>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769"/>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69"/>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9"/>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69"/>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69"/>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69"/>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69"/>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69"/>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69"/>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69"/>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bookmarkStart w:id="149" w:name="_Toc20823310"/>
      <w:r/>
      <w:bookmarkStart w:id="150" w:name="_Toc513029238"/>
      <w:r/>
      <w:bookmarkStart w:id="151" w:name="_Toc16938554"/>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28.3采购中心将在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发布中标公告，公告期限为1个工作日。</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受理处，联系地址：盐城市府西路1号市公共资源交易中心522，联系电话：0515-86665052。</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69"/>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20823308"/>
      <w:r/>
      <w:bookmarkStart w:id="154" w:name="_Toc16938552"/>
      <w:r/>
      <w:bookmarkStart w:id="155" w:name="_Toc120614220"/>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bookmarkStart w:id="157" w:name="_Toc20823309"/>
      <w:r/>
      <w:bookmarkStart w:id="158" w:name="_Toc513029237"/>
      <w:r/>
      <w:bookmarkStart w:id="159" w:name="_Toc16938553"/>
      <w:r>
        <w:rPr>
          <w:rFonts w:hint="eastAsia" w:ascii="宋体" w:hAnsi="宋体" w:eastAsia="宋体" w:cs="宋体"/>
          <w:color w:val="auto"/>
          <w:sz w:val="24"/>
          <w:szCs w:val="24"/>
          <w:highlight w:val="none"/>
        </w:rPr>
        <w:t xml:space="preserve">31.签订合同</w:t>
      </w:r>
      <w:bookmarkEnd w:id="157"/>
      <w:r/>
      <w:bookmarkEnd w:id="158"/>
      <w:r/>
      <w:bookmarkEnd w:id="159"/>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33.5绿色包装</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33.6政府采购创新产品</w:t>
      </w:r>
      <w:r/>
    </w:p>
    <w:p>
      <w:pPr>
        <w:pStyle w:val="769"/>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33.7绿色数据中心政策</w:t>
      </w:r>
      <w:r/>
    </w:p>
    <w:p>
      <w:pPr>
        <w:pStyle w:val="769"/>
        <w:ind w:firstLine="480"/>
        <w:jc w:val="both"/>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28"/>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76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jc w:val="center"/>
        <w:spacing w:line="360" w:lineRule="auto"/>
        <w:widowControl/>
        <w:rPr>
          <w:rFonts w:hint="eastAsia" w:eastAsiaTheme="minorEastAsia"/>
          <w:color w:val="auto"/>
          <w:sz w:val="36"/>
          <w:szCs w:val="44"/>
          <w:highlight w:val="none"/>
          <w:lang w:eastAsia="zh-CN"/>
        </w:rPr>
      </w:pPr>
      <w:r/>
      <w:bookmarkStart w:id="160" w:name="_Toc16938590"/>
      <w:r/>
      <w:bookmarkStart w:id="161" w:name="_Hlt16619350"/>
      <w:r/>
      <w:bookmarkStart w:id="162" w:name="_Toc479757211"/>
      <w:r/>
      <w:bookmarkStart w:id="163" w:name="_Toc462564139"/>
      <w:r/>
      <w:bookmarkStart w:id="164" w:name="_Toc20823346"/>
      <w:r/>
      <w:bookmarkStart w:id="165" w:name="_Toc120614244"/>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3"/>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一、货物内容</w:t>
      </w:r>
      <w:r/>
    </w:p>
    <w:p>
      <w:pPr>
        <w:pStyle w:val="769"/>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主要包含后端存储等相关设备及配件的供货、安装、调试、验收、技术培训、维保、售前、售后等相关伴随服务，具体要求详见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769"/>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769"/>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二、合同金额</w:t>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30"/>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四、知识产权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4.2定制软件研发成果，其知识产权全部归甲方所有。</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六、履约保证金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七、转包或分包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八、质保期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工期60日历天内必须完成供货并安装、调试并满足试运行要求。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十、服务费支付及结算</w:t>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十一、税费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rPr>
          <w:rFonts w:hint="eastAsia" w:ascii="宋体" w:hAnsi="宋体" w:eastAsia="宋体" w:cs="宋体"/>
          <w:b/>
          <w:color w:val="auto"/>
          <w:sz w:val="24"/>
          <w:highlight w:val="none"/>
        </w:rPr>
        <w:t xml:space="preserve">十二、质量保证及售后服务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30"/>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30"/>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30"/>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系统所有软件功能、智能算法、联动机制、数据统计等全部满足招标文件、投标文件及合同约定需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所有前端点位在线率和合格率达98%，后台录像存储有效率达100%，软件应用全部符合招标需求</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16.1</w:t>
      </w: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ind w:left="0" w:right="0" w:firstLine="480"/>
        <w:keepLines w:val="0"/>
        <w:keepNext w:val="0"/>
        <w:pageBreakBefore w:val="0"/>
        <w:spacing w:line="500" w:lineRule="exact"/>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16.2运维人员考核：</w:t>
      </w:r>
      <w:r>
        <w:rPr>
          <w:rFonts w:hint="eastAsia" w:asciiTheme="minorEastAsia" w:hAnsiTheme="minorEastAsia" w:eastAsiaTheme="minorEastAsia" w:cstheme="minorEastAsia"/>
          <w:color w:val="auto"/>
          <w:sz w:val="24"/>
          <w:szCs w:val="24"/>
          <w:highlight w:val="none"/>
        </w:rPr>
        <w:t xml:space="preserve">在岗专职人员数量不足3人</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每缺少1人当月扣6000元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人员跨项目兼职查实</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单人单次扣10000元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且须在</w:t>
      </w:r>
      <w:r>
        <w:rPr>
          <w:rFonts w:hint="eastAsia" w:asciiTheme="minorEastAsia" w:hAnsiTheme="minorEastAsia" w:eastAsiaTheme="minorEastAsia" w:cstheme="minorEastAsia"/>
          <w:color w:val="auto"/>
          <w:sz w:val="24"/>
          <w:szCs w:val="24"/>
          <w:highlight w:val="none"/>
        </w:rPr>
        <w:t xml:space="preserve">24小时内更换合格人员；同一人员二次兼职追加扣</w:t>
      </w:r>
      <w:r>
        <w:rPr>
          <w:rFonts w:hint="eastAsia" w:asciiTheme="minorEastAsia" w:hAnsi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核心人员无甲方书面许可私自替换</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无故缺勤、脱岗、未报备离岗</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单日扣500元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消极抵触甲方合理工作安排</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首次书面警告不扣款</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二次扣3000元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三次扣8000元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上述人员考核扣款</w:t>
      </w:r>
      <w:r>
        <w:rPr>
          <w:rFonts w:hint="eastAsia" w:asciiTheme="minorEastAsia" w:hAnsiTheme="minorEastAsia" w:eastAsiaTheme="minorEastAsia" w:cstheme="minorEastAsia"/>
          <w:color w:val="auto"/>
          <w:sz w:val="24"/>
          <w:szCs w:val="24"/>
          <w:highlight w:val="none"/>
        </w:rPr>
        <w:t xml:space="preserve">判定依据以</w:t>
      </w:r>
      <w:r>
        <w:rPr>
          <w:rFonts w:hint="eastAsia" w:asciiTheme="minorEastAsia" w:hAnsiTheme="minorEastAsia" w:cstheme="minorEastAsia"/>
          <w:color w:val="auto"/>
          <w:sz w:val="24"/>
          <w:szCs w:val="24"/>
          <w:highlight w:val="none"/>
          <w:lang w:val="en-US" w:eastAsia="zh-CN"/>
        </w:rPr>
        <w:t xml:space="preserve">甲方考勤记录及</w:t>
      </w:r>
      <w:r>
        <w:rPr>
          <w:rFonts w:hint="eastAsia" w:asciiTheme="minorEastAsia" w:hAnsiTheme="minorEastAsia" w:eastAsiaTheme="minorEastAsia" w:cstheme="minorEastAsia"/>
          <w:color w:val="auto"/>
          <w:sz w:val="24"/>
          <w:szCs w:val="24"/>
          <w:highlight w:val="none"/>
        </w:rPr>
        <w:t xml:space="preserve">工作联系单为准</w:t>
      </w:r>
      <w:r>
        <w:rPr>
          <w:rFonts w:hint="eastAsia" w:asciiTheme="minorEastAsia" w:hAnsiTheme="minorEastAsia" w:cstheme="minorEastAsia"/>
          <w:color w:val="auto"/>
          <w:sz w:val="24"/>
          <w:szCs w:val="24"/>
          <w:highlight w:val="none"/>
          <w:lang w:eastAsia="zh-CN"/>
        </w:rPr>
        <w:t xml:space="preserve">。</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31"/>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ascii="宋体" w:hAnsi="宋体" w:eastAsia="宋体" w:cs="Courier New"/>
          <w:color w:val="auto"/>
          <w:sz w:val="24"/>
          <w:szCs w:val="24"/>
          <w:highlight w:val="none"/>
          <w:lang w:val="en-US" w:eastAsia="zh-CN"/>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Courier New"/>
          <w:color w:val="auto"/>
          <w:sz w:val="24"/>
          <w:szCs w:val="24"/>
          <w:highlight w:val="none"/>
          <w:lang w:val="en-US" w:eastAsia="zh-CN"/>
        </w:rPr>
        <w:t xml:space="preserve">签订日期：                            签订日期：</w:t>
      </w:r>
      <w:bookmarkEnd w:id="160"/>
      <w:r/>
      <w:bookmarkEnd w:id="161"/>
      <w:r/>
      <w:bookmarkEnd w:id="162"/>
      <w:r/>
      <w:bookmarkEnd w:id="163"/>
      <w:r/>
      <w:bookmarkEnd w:id="164"/>
      <w:r/>
      <w:bookmarkEnd w:id="165"/>
      <w:r/>
      <w:r/>
    </w:p>
    <w:p>
      <w:pPr>
        <w:rPr>
          <w:rFonts w:hint="eastAsia" w:asciiTheme="minorEastAsia" w:hAnsiTheme="minorEastAsia" w:eastAsiaTheme="minorEastAsia" w:cstheme="minorEastAsia"/>
          <w:color w:val="auto"/>
          <w:sz w:val="24"/>
          <w:szCs w:val="24"/>
          <w:highlight w:val="none"/>
          <w:lang w:val="en-US" w:eastAsia="zh-CN"/>
        </w:rPr>
      </w:pPr>
      <w:r/>
      <w:bookmarkStart w:id="167" w:name="_Toc120614281"/>
      <w:r/>
      <w:r/>
    </w:p>
    <w:p>
      <w:pPr>
        <w:pStyle w:val="769"/>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第四章 采购需求</w:t>
      </w:r>
      <w:r/>
    </w:p>
    <w:p>
      <w:pPr>
        <w:pStyle w:val="932"/>
        <w:ind w:left="0" w:firstLine="482"/>
        <w:jc w:val="left"/>
        <w:keepLines w:val="0"/>
        <w:pageBreakBefore w:val="0"/>
        <w:spacing w:line="50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650.00万元</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最高限价：645.4760万元</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：合同签订后60日</w:t>
      </w:r>
      <w:r>
        <w:rPr>
          <w:rFonts w:hint="eastAsia" w:asciiTheme="minorEastAsia" w:hAnsiTheme="minorEastAsia" w:eastAsiaTheme="minorEastAsia" w:cstheme="minorEastAsia"/>
          <w:bCs/>
          <w:color w:val="auto"/>
          <w:sz w:val="24"/>
          <w:szCs w:val="24"/>
          <w:highlight w:val="none"/>
          <w:u w:val="none"/>
          <w:lang w:val="en-US" w:eastAsia="zh-CN"/>
        </w:rPr>
        <w:t xml:space="preserve">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w:t>
      </w:r>
      <w:r>
        <w:rPr>
          <w:rFonts w:hint="eastAsia" w:asciiTheme="minorEastAsia" w:hAnsiTheme="minorEastAsia" w:eastAsiaTheme="minorEastAsia" w:cstheme="minorEastAsia"/>
          <w:bCs/>
          <w:color w:val="auto"/>
          <w:sz w:val="24"/>
          <w:szCs w:val="24"/>
          <w:highlight w:val="none"/>
          <w:u w:val="none"/>
          <w:lang w:val="en-US" w:eastAsia="zh-CN"/>
        </w:rPr>
        <w:t xml:space="preserve">，采购标的中的核心产品为</w:t>
      </w:r>
      <w:r>
        <w:rPr>
          <w:rFonts w:hint="eastAsia" w:asciiTheme="minorEastAsia" w:hAnsiTheme="minorEastAsia" w:eastAsiaTheme="minorEastAsia" w:cstheme="minorEastAsia"/>
          <w:bCs/>
          <w:color w:val="auto"/>
          <w:sz w:val="24"/>
          <w:szCs w:val="24"/>
          <w:highlight w:val="yellow"/>
          <w:u w:val="single"/>
          <w:lang w:val="en-US" w:eastAsia="zh-CN"/>
        </w:rPr>
        <w:t xml:space="preserve">云存储节点</w:t>
      </w:r>
      <w:r>
        <w:rPr>
          <w:rFonts w:hint="eastAsia" w:asciiTheme="minorEastAsia" w:hAnsiTheme="minorEastAsia" w:eastAsiaTheme="minorEastAsia" w:cstheme="minorEastAsia"/>
          <w:bCs/>
          <w:color w:val="auto"/>
          <w:sz w:val="24"/>
          <w:szCs w:val="24"/>
          <w:highlight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34"/>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33"/>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33"/>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36"/>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36"/>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投标人的现场踏勘行为有任何责任须自行承担，不得因此使采购人承担有关的责任和蒙受损失。</w:t>
      </w:r>
      <w:r/>
    </w:p>
    <w:p>
      <w:pPr>
        <w:pStyle w:val="769"/>
        <w:ind w:firstLine="480"/>
        <w:jc w:val="both"/>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pStyle w:val="769"/>
        <w:ind w:firstLine="480"/>
        <w:jc w:val="both"/>
        <w:spacing w:beforeAutospacing="0" w:afterAutospacing="0" w:line="440" w:lineRule="exact"/>
        <w:rPr>
          <w:rFonts w:hint="default" w:asciiTheme="minorEastAsia" w:hAnsiTheme="minorEastAsia" w:cstheme="minorEastAsia"/>
          <w:b/>
          <w:bCs w:val="0"/>
          <w:color w:val="auto"/>
          <w:sz w:val="24"/>
          <w:szCs w:val="24"/>
          <w:highlight w:val="yellow"/>
          <w:lang w:val="en-US" w:eastAsia="zh-CN"/>
        </w:rPr>
      </w:pPr>
      <w:r>
        <w:rPr>
          <w:rFonts w:hint="eastAsia" w:asciiTheme="minorEastAsia" w:hAnsiTheme="minorEastAsia" w:cstheme="minorEastAsia"/>
          <w:b/>
          <w:bCs w:val="0"/>
          <w:color w:val="auto"/>
          <w:sz w:val="24"/>
          <w:szCs w:val="24"/>
          <w:highlight w:val="yellow"/>
          <w:lang w:val="en-US" w:eastAsia="zh-CN"/>
        </w:rPr>
        <w:t xml:space="preserve">5</w:t>
      </w:r>
      <w:r>
        <w:rPr>
          <w:rFonts w:hint="eastAsia" w:asciiTheme="minorEastAsia" w:hAnsiTheme="minorEastAsia" w:cstheme="minorEastAsia"/>
          <w:b/>
          <w:bCs w:val="0"/>
          <w:color w:val="auto"/>
          <w:sz w:val="24"/>
          <w:szCs w:val="24"/>
          <w:highlight w:val="yellow"/>
          <w:lang w:eastAsia="zh-CN"/>
        </w:rPr>
        <w:t xml:space="preserve">、</w:t>
      </w:r>
      <w:r>
        <w:rPr>
          <w:rFonts w:hint="eastAsia" w:asciiTheme="minorEastAsia" w:hAnsiTheme="minorEastAsia" w:cstheme="minorEastAsia"/>
          <w:b/>
          <w:bCs w:val="0"/>
          <w:color w:val="auto"/>
          <w:sz w:val="24"/>
          <w:szCs w:val="24"/>
          <w:highlight w:val="yellow"/>
          <w:lang w:val="en-US" w:eastAsia="zh-CN"/>
        </w:rPr>
        <w:t xml:space="preserve">包二项目清单第4条驻场研发运维服务，此项为不可竞争费用，计1260000.00元，投标人投标时须按此价格报价，否则按无效标处理。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60日历天内必须完成供货并安装、调试，验收合格后交付采购人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27"/>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769"/>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六、视频演示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要求投标人需逐项对照演示功能采用原系统录屏方式录制演示视频，每个投标人视频演示介绍总时间不超过10分钟，通过演示视频展示投标人研发平台功能完整性、整体集成性、操作简便性、效果流畅性和页面设计美观性，具体演示内容如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yellow"/>
          <w:lang w:val="en-US" w:eastAsia="zh-CN"/>
        </w:rPr>
        <w:t xml:space="preserve">1、智能综合研判分析演示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yellow"/>
          <w:lang w:val="en-US" w:eastAsia="zh-CN"/>
        </w:rPr>
        <w:t xml:space="preserve">（1）融合时空档案：演示以身份证号或姓名发起检索，系统秒级关联展示身份信息、住宿记录、感知抓拍等数据，自动整合生成</w:t>
      </w:r>
      <w:bookmarkStart w:id="191" w:name="_GoBack"/>
      <w:r/>
      <w:bookmarkEnd w:id="191"/>
      <w:r>
        <w:rPr>
          <w:rFonts w:hint="eastAsia" w:asciiTheme="minorEastAsia" w:hAnsiTheme="minorEastAsia" w:eastAsiaTheme="minorEastAsia" w:cstheme="minorEastAsia"/>
          <w:color w:val="auto"/>
          <w:sz w:val="24"/>
          <w:szCs w:val="24"/>
          <w:highlight w:val="yellow"/>
          <w:lang w:val="en-US" w:eastAsia="zh-CN"/>
        </w:rPr>
        <w:t xml:space="preserve">人员时空档案与多维画像。</w:t>
      </w:r>
      <w:r>
        <w:rPr>
          <w:rFonts w:hint="eastAsia" w:asciiTheme="minorEastAsia" w:hAnsiTheme="minorEastAsia" w:eastAsiaTheme="minorEastAsia" w:cstheme="minorEastAsia"/>
          <w:color w:val="auto"/>
          <w:sz w:val="24"/>
          <w:szCs w:val="24"/>
          <w:highlight w:val="none"/>
          <w:lang w:val="en-US" w:eastAsia="zh-CN"/>
        </w:rPr>
        <w:t xml:space="preserve"> </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yellow"/>
          <w:lang w:val="en-US" w:eastAsia="zh-CN"/>
        </w:rPr>
        <w:t xml:space="preserve">（2）关联碰撞预警：演示系统自动聚合关联警情、历史涉案、同行人等信息，开展多维碰撞分析，实时呈现风险积分、关系图谱和异常轨迹预警。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yellow"/>
          <w:lang w:val="en-US" w:eastAsia="zh-CN"/>
        </w:rPr>
        <w:t xml:space="preserve">（3）智能研判报告：演示人工智能引擎基于检索结果，即时生成涵盖基本信息、人员标签、行为规律、异常预警的综合研判报告，支持一键导出与多格式分享研判报告。</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yellow"/>
          <w:lang w:val="en-US" w:eastAsia="zh-CN"/>
        </w:rPr>
        <w:t xml:space="preserve">（4）二次精准分析：演示用户对研判结果提出追问后，AI自动聚焦追问要点，发起针对性二次深度分析，挖掘潜在关联与风险线索，动态更新研判逻辑和研判结论。</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2.安保实战管理平台演示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（1）警力资源调阅：演示调用安保活动周边监控摄像头、执法记录仪视频、350M电台定位等各类一线警力资源；实现活动现场态势实时可视化展示，全域精准掌握在岗警力位置、布防分布。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（2）安保路线规划：演示针对安保任务规划通行、疏散、应急多条勤务路线，依托电子地图完成点位标注可视化展示；实现沿线视频监控、勤务路线、值守警力资源一体化联动绑定。</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（3）编制安保预案：在地图上直接标注安保分区、封控圈、执勤点位、应急救援点、分流通道，绑定警力、装备、视频、350M电台；实现标绘布防、应急处置一体化图上作战指挥。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（4）街面警情分析：演示自动归集、研判辖区各类街面警情数据；自动生成警情质态分析报告、内部工作通报，同步触发各类重大风险警情分级预警。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（5）勤务指令推送：演示向各片区、各勤务组下发安保任务、现场处置指令，多渠道直达一线执勤终端；后台自动汇总、实时统计全体执勤人员到岗履职数据。</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3.实战模型平台演示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（1）数据实战模型：演示平台累计建设的模型总量、总预警次数，并按人员类、警情类、案件类、车辆类等业务维度，分类展示对应领域的模型数量与预警总量。实现直观呈现平台的建设规模与基础成效。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（2）单模型业务能力：演示单个模型，实现模型的实战能力。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（3）平台个性化配置：演示日常高频使用、重点跟进的模型加入收藏；实现在「我的关注」标签页，快速调取已收藏的模型。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4.警务大模型基础能力（智能体）演示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多模态警情智能解析：演示输入一段报警录音或模糊警情描述，实现大模型自动完成警情分类、要素提取（时间、地点、涉事人、事件类型）、风险分级，输出结构化警务标准格式，触发大模型自动解析，精准提取事发时间、地点、涉事主体、核心事件等全量要素；</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（2）智能体编排工作台：演示依托算力平台，进入智能体编排工作台，通过拖拽组合界面预置的能力组件（如自然语言理解、图像识别、数据查询等），实现智能体的快速搭建；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（3）权限配置：演示不同角色（如民警、管理员）的操作权限差异，实现智能体的权限配置（如数据访问范围、API调用限制）；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（4）智能体发布：演示将智能体发布到能力市场，第三方开发者通过SDK调用已发布的智能体，快速集成到自有系统；实现警务大模型为可复用的智能体服务。</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七、企业实力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w:t>
      </w:r>
      <w:r>
        <w:rPr>
          <w:rFonts w:hint="eastAsia" w:asciiTheme="minorEastAsia" w:hAnsiTheme="minorEastAsia" w:eastAsiaTheme="minorEastAsia" w:cstheme="minorEastAsia"/>
          <w:b w:val="0"/>
          <w:bCs w:val="0"/>
          <w:color w:val="auto"/>
          <w:sz w:val="24"/>
          <w:szCs w:val="24"/>
          <w:highlight w:val="none"/>
          <w:lang w:val="en-US" w:eastAsia="zh-CN"/>
        </w:rPr>
        <w:t xml:space="preserve">体系，直接影响项目实施的规范性、稳定性和可持续性。供应商具有有效且通过年检的环境管理体系认证证书、职业健康安全管理体系认证证书、质量管理体系认证证书、人工智能管理体系认证证书、</w:t>
      </w:r>
      <w:r>
        <w:rPr>
          <w:rFonts w:hint="eastAsia" w:asciiTheme="minorEastAsia" w:hAnsiTheme="minorEastAsia" w:eastAsiaTheme="minorEastAsia" w:cstheme="minorEastAsia"/>
          <w:b w:val="0"/>
          <w:bCs w:val="0"/>
          <w:color w:val="auto"/>
          <w:sz w:val="24"/>
          <w:szCs w:val="24"/>
          <w:highlight w:val="none"/>
        </w:rPr>
        <w:t xml:space="preserve">信息技术服务管理体系认证证书、</w:t>
      </w:r>
      <w:r>
        <w:rPr>
          <w:rFonts w:hint="eastAsia" w:asciiTheme="minorEastAsia" w:hAnsiTheme="minorEastAsia" w:eastAsiaTheme="minorEastAsia" w:cstheme="minorEastAsia"/>
          <w:b w:val="0"/>
          <w:bCs w:val="0"/>
          <w:color w:val="auto"/>
          <w:sz w:val="24"/>
          <w:szCs w:val="24"/>
          <w:highlight w:val="none"/>
          <w:lang w:val="en-US" w:eastAsia="zh-CN"/>
        </w:rPr>
        <w:t xml:space="preserve">信息安全管理体系认证</w:t>
      </w:r>
      <w:r>
        <w:rPr>
          <w:rFonts w:hint="eastAsia" w:asciiTheme="minorEastAsia" w:hAnsiTheme="minorEastAsia" w:eastAsiaTheme="minorEastAsia" w:cstheme="minorEastAsia"/>
          <w:b w:val="0"/>
          <w:bCs w:val="0"/>
          <w:color w:val="auto"/>
          <w:sz w:val="24"/>
          <w:szCs w:val="24"/>
          <w:highlight w:val="none"/>
        </w:rPr>
        <w:t xml:space="preserve">证书</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八、团队实力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对供应商的团队实力提出了较高要求。项目团队的资质水平、专业配置及关键人员的从业经验，是确保运维服务质量的核心要素。项目经理具有信息系统项目管理师、数字经济（电子信息类）高级工程师职称证书、系统分析师、通信工程师、注册信息安全专业人员（CISP）证书、网络信息安全管理员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项目项目技术负责人（与项目经理非同一人）具有高级工程师、系统规划与管理师、信息与通信工程师、注册信息安全专业人员（CISP）证书的优先。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val="en-US" w:eastAsia="zh-CN"/>
        </w:rPr>
        <w:t xml:space="preserve">项目组成员</w:t>
      </w:r>
      <w:r>
        <w:rPr>
          <w:rFonts w:hint="eastAsia" w:asciiTheme="minorEastAsia" w:hAnsiTheme="minorEastAsia" w:eastAsiaTheme="minorEastAsia" w:cstheme="minorEastAsia"/>
          <w:color w:val="auto"/>
          <w:sz w:val="24"/>
          <w:szCs w:val="24"/>
          <w:highlight w:val="none"/>
          <w:lang w:val="en-US" w:eastAsia="zh-CN"/>
        </w:rPr>
        <w:t xml:space="preserve">（除项目经理、技术负责人外）具备网络工程师、系统集成项目管理工程师、通信工程师、信息安全保障人员认证证书（CISAW）的优先。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九、供应商业绩要求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bidi="ar-SA"/>
        </w:rPr>
        <w:t xml:space="preserve">本项目服务内容专业性强、运维要求高，对</w:t>
      </w:r>
      <w:r>
        <w:rPr>
          <w:rFonts w:hint="eastAsia" w:asciiTheme="minorEastAsia" w:hAnsiTheme="minorEastAsia" w:eastAsiaTheme="minorEastAsia" w:cstheme="minorEastAsia"/>
          <w:b w:val="0"/>
          <w:bCs/>
          <w:color w:val="auto"/>
          <w:sz w:val="24"/>
          <w:szCs w:val="24"/>
          <w:highlight w:val="none"/>
          <w:lang w:val="en-US" w:eastAsia="zh-CN"/>
        </w:rPr>
        <w:t xml:space="preserve">供应商</w:t>
      </w:r>
      <w:r>
        <w:rPr>
          <w:rFonts w:hint="eastAsia" w:asciiTheme="minorEastAsia" w:hAnsiTheme="minorEastAsia" w:eastAsiaTheme="minorEastAsia" w:cstheme="minorEastAsia"/>
          <w:b w:val="0"/>
          <w:bCs/>
          <w:color w:val="auto"/>
          <w:sz w:val="24"/>
          <w:szCs w:val="24"/>
          <w:highlight w:val="none"/>
          <w:lang w:val="en-US" w:eastAsia="zh-CN" w:bidi="ar-SA"/>
        </w:rPr>
        <w:t xml:space="preserve">的系统保障能力、运维服务能力提出了较高要求。所以供应商自2023年1月1日（以合同签订日期为准）以来，</w:t>
      </w:r>
      <w:r>
        <w:rPr>
          <w:rFonts w:hint="eastAsia" w:asciiTheme="minorEastAsia" w:hAnsiTheme="minorEastAsia" w:eastAsiaTheme="minorEastAsia" w:cstheme="minorEastAsia"/>
          <w:b w:val="0"/>
          <w:bCs w:val="0"/>
          <w:color w:val="auto"/>
          <w:sz w:val="24"/>
          <w:szCs w:val="24"/>
          <w:highlight w:val="none"/>
          <w:lang w:val="en-US" w:eastAsia="zh-CN"/>
        </w:rPr>
        <w:t xml:space="preserve">承接过类似项目业绩</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的优先。</w:t>
      </w:r>
      <w:r/>
    </w:p>
    <w:p>
      <w:pPr>
        <w:numPr>
          <w:ilvl w:val="0"/>
          <w:numId w:val="4"/>
        </w:num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技术方案要求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1.货物采购方案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（1）分批次供货计划，明确算力、存储、</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、机器人、工作站等到货时序；</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（2）原厂正品保障、授权及5年质保、硬盘不返还承诺；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（3）设备出厂检测报告、资质文件随货交付管理；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（4）到货开箱检验、不合格设备退换货应急措施；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（5）精密设备仓储、防尘防潮成品保护措施。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2.安装施工方案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（1）机房算力/存储/UPS、</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、报告厅声学、350M通信分区域施工流程；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（2）机柜布线、</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吊装、吸音材料铺设、设备接线标准化工艺；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（3）原有</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拆除利旧、机房错峰施工、公安现场文明及成品保护措施；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（4）施工对接、现场协调管理机制。</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3.资源安排</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质量控制及工期保障方案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（1）人员配置：项目负责人、软硬件工程师、3名专职研发人员、现场施工班组、安全员及岗位职责、在岗保障；</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（2）施工检测仪器、备用备件清单；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（3）60天总工期分段横道计划，明确设备到货、机房施工、软件部署、联调关键节点；</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）设备进场、施工工序、软件研发三级质检流程；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）算力集群、</w:t>
      </w:r>
      <w:r>
        <w:rPr>
          <w:rFonts w:hint="eastAsia" w:asciiTheme="minorEastAsia" w:hAnsiTheme="minorEastAsia" w:cstheme="minorEastAsia"/>
          <w:color w:val="auto"/>
          <w:sz w:val="24"/>
          <w:szCs w:val="24"/>
          <w:highlight w:val="none"/>
          <w:lang w:val="en-US" w:eastAsia="zh-CN"/>
        </w:rPr>
        <w:t xml:space="preserve">显示设备终端</w:t>
      </w:r>
      <w:r>
        <w:rPr>
          <w:rFonts w:hint="eastAsia" w:asciiTheme="minorEastAsia" w:hAnsiTheme="minorEastAsia" w:eastAsiaTheme="minorEastAsia" w:cstheme="minorEastAsia"/>
          <w:color w:val="auto"/>
          <w:sz w:val="24"/>
          <w:szCs w:val="24"/>
          <w:highlight w:val="none"/>
          <w:lang w:val="en-US" w:eastAsia="zh-CN"/>
        </w:rPr>
        <w:t xml:space="preserve">、平台功能验收质量标准；</w:t>
      </w:r>
      <w:r/>
    </w:p>
    <w:p>
      <w:pPr>
        <w:numPr>
          <w:ilvl w:val="0"/>
          <w:numId w:val="5"/>
        </w:num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供货滞后、施工冲突、开发延期等抢工补救措施。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4.应急</w:t>
      </w:r>
      <w:r>
        <w:rPr>
          <w:rFonts w:hint="eastAsia" w:asciiTheme="minorEastAsia" w:hAnsiTheme="minorEastAsia" w:cstheme="minorEastAsia"/>
          <w:b/>
          <w:bCs/>
          <w:color w:val="auto"/>
          <w:sz w:val="24"/>
          <w:szCs w:val="24"/>
          <w:highlight w:val="none"/>
          <w:lang w:val="en-US" w:eastAsia="zh-CN"/>
        </w:rPr>
        <w:t xml:space="preserve">及安全保障</w:t>
      </w:r>
      <w:r>
        <w:rPr>
          <w:rFonts w:hint="eastAsia" w:asciiTheme="minorEastAsia" w:hAnsiTheme="minorEastAsia" w:eastAsiaTheme="minorEastAsia" w:cstheme="minorEastAsia"/>
          <w:b/>
          <w:bCs/>
          <w:color w:val="auto"/>
          <w:sz w:val="24"/>
          <w:szCs w:val="24"/>
          <w:highlight w:val="none"/>
          <w:lang w:val="en-US" w:eastAsia="zh-CN"/>
        </w:rPr>
        <w:t xml:space="preserve">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（1）突发应急：供货故障、机房断电、算力宕机、软件bug、安保活动设备抢修处置方案。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）机房带电、高空吊装、蓄电池施工安全操作规范；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）公安内外网隔离、一机两用管控、警情数据保密制度；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）施工现场防火、临时用电、特种作业安全管理。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lang w:val="en-US" w:eastAsia="zh-CN"/>
        </w:rPr>
        <w:t xml:space="preserve">.系统调试及验收方案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（1）硬件单机、集群互联、大屏音频、通信设备分步调试步骤；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（2）算力、存储与公安现有视图库对接调试流程；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（3）软件平台、智能体、实战模型功能调试；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（4）到货、分项、6个月试运行、整体四级验收流程，不合格整改闭环要求。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lang w:val="en-US" w:eastAsia="zh-CN"/>
        </w:rPr>
        <w:t xml:space="preserve">.运维</w:t>
      </w:r>
      <w:r>
        <w:rPr>
          <w:rFonts w:hint="eastAsia" w:asciiTheme="minorEastAsia" w:hAnsiTheme="minorEastAsia" w:cstheme="minorEastAsia"/>
          <w:b/>
          <w:bCs/>
          <w:color w:val="auto"/>
          <w:sz w:val="24"/>
          <w:szCs w:val="24"/>
          <w:highlight w:val="none"/>
          <w:lang w:val="en-US" w:eastAsia="zh-CN"/>
        </w:rPr>
        <w:t xml:space="preserve">及售后</w:t>
      </w:r>
      <w:r>
        <w:rPr>
          <w:rFonts w:hint="eastAsia" w:asciiTheme="minorEastAsia" w:hAnsiTheme="minorEastAsia" w:eastAsiaTheme="minorEastAsia" w:cstheme="minorEastAsia"/>
          <w:b/>
          <w:bCs/>
          <w:color w:val="auto"/>
          <w:sz w:val="24"/>
          <w:szCs w:val="24"/>
          <w:highlight w:val="none"/>
          <w:lang w:val="en-US" w:eastAsia="zh-CN"/>
        </w:rPr>
        <w:t xml:space="preserve">服务方案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（1）2年：3人驻场研发</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12台专用工作站、年度平台/模型交付管控；</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（2）2研发完成后3年软件运维：99.5%系统可用率、分级故障响应、定期模型优化；</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（3）硬件全周期5年原厂质保、故障上门更换机制；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（4）月度巡检、重大活动现场保障、运维台账管理。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）各设备厂家7×24小时原厂技术支撑；</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）硬件运维、平台管理员、民警实操分层培训计划；</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）全套竣工图纸、软件文档、操作手册交付；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）质保期满成本维修、软件长期小幅免费升级承诺。</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lang w:val="en-US" w:eastAsia="zh-CN"/>
        </w:rPr>
        <w:t xml:space="preserve">.算力本地化部署方案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（1）国产算力机柜布局、200G高速互联、机房供电散热整体架构；</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（2）服务器上架、集群搭建、国产软硬件适配实施步骤；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（3）算力负载均衡、高峰资源调度策略；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（4）分级权限、数据加密、内外网隔离安全部署；</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（5）算力监控告警、与区级公安云存储/视图库对接方案。</w:t>
      </w:r>
      <w:r/>
    </w:p>
    <w:p>
      <w:pPr>
        <w:numPr>
          <w:ilvl w:val="0"/>
          <w:numId w:val="0"/>
        </w:numPr>
        <w:ind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rPr>
        <w:t xml:space="preserve">研发与驻场运维服务考核管理要求</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（一）考核说明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研发与驻场运维服务考核金额：12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服务周期：2年驻场研发服务，年度研发成果试运行验收合格后进入</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年软件运维服务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合同1年一签，考核合格可续签1年。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KPI权重：人员履约20%、研发成果交付70%、成果运维5%、工作站资产5%。</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基础要求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服务模式：乙方派驻专职团队驻场研发，研发周期2年，研发验收通过后接续提供</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年运维保障。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转运维硬性条件：全部研发成果满足招标文件技术要求、匹配甲方实际使用需求，完成试运行且出具甲方合格验收意见后方可进入运维服务期。</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硬性约束条款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（1）配置专职人员3名，所有人员仅为本项目服务，禁止跨项目兼职；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（2）配置</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套全新专属工作站，仅限本项目开发、调试、运维使用，服务到期全部移交甲方处置；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（3）年度交付清单：平台级应用≥2套、定制智能体≥10个、实战分析模型≥30个。</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驻场研发期KPI权重分值及对应金额表</w:t>
      </w:r>
      <w:r/>
    </w:p>
    <w:tbl>
      <w:tblPr>
        <w:tblStyle w:val="747"/>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063"/>
        <w:gridCol w:w="1447"/>
        <w:gridCol w:w="1642"/>
        <w:gridCol w:w="4674"/>
      </w:tblGrid>
      <w:tr>
        <w:trPr>
          <w:tblCellSpacing w:w="15" w:type="dxa"/>
          <w:tblHeader/>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考核维度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权重占比</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对应金额</w:t>
            </w:r>
            <w:r/>
          </w:p>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tc>
        <w:tc>
          <w:tcPr>
            <w:tcW w:w="234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核心考核内容</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人员专职履约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3人全员驻场、无兼职、人员稳定、出勤合规、配合度达标</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研发成果交付</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93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平台软件、智能体、实战模型、全套技术文档、试运行验收进度与质量</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成果运维</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运维服务（每年度10%）</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工作站资产配置</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套为全新设备、硬件配置达标、台账完整、到期完整移交</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考核结算通用规则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扣款封顶约束：累计扣款最高不超过该维度对应总金额，重大违约情形不受下限限制；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不合格情况：（直接判定当期考核不合格、不予验收、拒付款项）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（1）查实项目工作人员在其他项目兼职；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（2）工作站使用二手、翻新设备或混用其他项目设备，非全新专用机型；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（3）核心交付物完全未产出（平台、智能体、模型数量不达标）；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（4）拒不配合试运行、无故拖延验收；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（5）发生数据泄露、系统重大安全事故、涉密违规事件。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优化版扣款细则</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年度人员履约考核</w:t>
      </w:r>
      <w:r/>
    </w:p>
    <w:tbl>
      <w:tblPr>
        <w:tblStyle w:val="747"/>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50"/>
        <w:gridCol w:w="3392"/>
        <w:gridCol w:w="4284"/>
      </w:tblGrid>
      <w:tr>
        <w:trPr>
          <w:tblCellSpacing w:w="15" w:type="dxa"/>
          <w:tblHeader/>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违规情形</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扣款标准</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补充约束说明</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在岗专职人员数量不足3人</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每缺少1人当月扣6000元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人员跨项目兼职查实</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单人单次扣10000元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24小时内更换合格人员；同一人员二次兼职追加扣8000元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核心人员无甲方书面许可私自替换</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无故缺勤、脱岗、未报备离岗</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单日扣500元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消极抵触甲方合理工作安排</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首次书面警告不扣款；二次扣3000元；三次扣8000元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判定依据以双方签字沟通记录、工作联系单为准</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年度研发成果交付板块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平台级应用软件（最低交付2套）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单套平台大面积功能不匹配招标及业务需求、无法试运行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扣款50000元/套；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单套仅少量功能缺陷，7日内可整改修复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扣款8000元/套；整改超7天未修复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扣款</w:t>
      </w:r>
      <w:r>
        <w:rPr>
          <w:rFonts w:hint="eastAsia" w:asciiTheme="minorEastAsia" w:hAnsiTheme="minorEastAsia" w:eastAsiaTheme="minorEastAsia" w:cstheme="minorEastAsia"/>
          <w:color w:val="auto"/>
          <w:sz w:val="24"/>
          <w:szCs w:val="24"/>
          <w:highlight w:val="none"/>
        </w:rPr>
        <w:t xml:space="preserve">25000元/套；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两套平台全部无法达标交付，启动全额封顶扣减处置，本项不予验收。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定制场景智能体（最低交付10个）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单个智能体无法部署运行、无业务适配能力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扣款20000元/个；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智能体运行卡顿、逻辑输出偏差，小幅调试可修复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扣款6000元/个。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总数不足10个或无法达标交付模型数达到4个，启动全额封顶扣减处置，本项不予验收。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实战模型（最低交付30个）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实战模型质量：模型运算失真、失效，每个扣2000元；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模型总数不足30个或无法达标交付模型数达到10个，启动全额封顶扣减处置，本项目不予验收。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交付文档与验收进度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需求说明书、详细设计、测试报告、部署手册、培训手册、验收资料六大类文档，每缺失一类扣2000元；文档粗制滥造无法使用视同缺失；</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工作站资产板块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未采用全新专用工作站、使用二手/混用其他项目设备：全额扣除资产对应</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0000元，另支付违约金15000元；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设备数量不足</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套：每少1套扣10000元；设备总数低于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套，全额扣除资产对应款项；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硬件配置达不到开发、运维标准：单次扣5000元，3日内完成硬件升级，逾期未整改扣款翻倍；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服务期内人为损坏、丢失设备：按采购原值全额赔偿；自然硬件损耗由乙方免费维保维修；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（5）2年</w:t>
      </w:r>
      <w:r>
        <w:rPr>
          <w:rFonts w:hint="eastAsia" w:asciiTheme="minorEastAsia" w:hAnsiTheme="minorEastAsia" w:eastAsiaTheme="minorEastAsia" w:cstheme="minorEastAsia"/>
          <w:color w:val="auto"/>
          <w:sz w:val="24"/>
          <w:szCs w:val="24"/>
          <w:highlight w:val="none"/>
        </w:rPr>
        <w:t xml:space="preserve">服务期满未完整移交</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套工作站、无规范资产台账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每套扣6000元；补齐台账并实物移交完成后可退还50%对应扣款。</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运维服务期专项扣款（验收合格后</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年运维阶段）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系统全年综合可用率低于99.5%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每下降0.1%当月扣1500元；可用率低于98%判定运维重大瑕疵，强制全面整改；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系统大面积中断、模型瘫痪、智能体整体宕机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单次扣款4000元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20000元（按故障时长、影响业务范围分级）；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故障响应超时</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未在约定时效对接处置单次扣1200元；修复超时每小时叠加扣800元；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月度巡检记录、数据备份日志、系统运行日志、运维月报任意一项缺失</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单次扣1500元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连续两月缺失扣款翻倍；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已上线模型、智能体性能衰减，乙方拒绝调优修复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单个模型扣2000元，单个智能体扣5000元。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整改减免机制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乙方收到书面整改通知后24小时启动整改、7日内全部整改核验通过，可申请减免本次扣款金额的30%；</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因甲方重大需求变更、甲方数据源中断、甲方场地/网络故障等甲方责任造成交付延期、功能瑕疵，不计乙方扣款，双方签署书面免责确认单留存归档。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项目负责人及</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名专职服务人员岗位职责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项目总体负责人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统筹项目全周期进度、质量、范围管控、风险识别处置，衔接研发、试运行、运维交接全流程；</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对接甲方对接人，组织需求评审、变更确认、里程碑评审、验收材料编制提交；</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严格管控团队人员在岗状态，保证</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人全程专职无兼职、人员稳定；</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牵头组织问题闭环、整改落实、考核对接、资产台账统筹管理。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平台研发工程师（1人）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全权负责不少于2套平台级应用软件的需求拆解、代码开发、单元测试、联调适配；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完成平台业务流程、权限体系、接口交互、页面功能、数据存储逻辑开发实现；</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全程配合系统试运行、缺陷迭代修复、验收测试、交付文档编制。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智能体/模型算法工程师（</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负责2套定制场景智能体的框架搭建、逻辑开发、场景适配、部署上线；</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完成30个及以上实战分析模型设计、样本训练、效果验证、部署调优，优先保障重点人员管控、流动人口分析两大核心模型精度；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研发期持续迭代优化模型准确率；运维期按需对衰减模型重新训练调参。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年度验收合格标准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交付≥2套平台级应用软件，全部功能满足招标文件技术条款与甲方实际业务使用需求；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交付≥10个定制场景智能体，部署上线、业务流程可正常闭环运行；</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交付≥30个实战分析模型，重点人员管控、流动人口分析模型验证有效、输出结果满足实战要求；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系统完成3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6个月试运行周期，整体运行稳定、无持续性重大功能缺陷、数据计算准确；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3名专职人员全程履约在岗，无兼职、无大面积擅自离岗更换情况；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（6）12</w:t>
      </w:r>
      <w:r>
        <w:rPr>
          <w:rFonts w:hint="eastAsia" w:asciiTheme="minorEastAsia" w:hAnsiTheme="minorEastAsia" w:eastAsiaTheme="minorEastAsia" w:cstheme="minorEastAsia"/>
          <w:color w:val="auto"/>
          <w:sz w:val="24"/>
          <w:szCs w:val="24"/>
          <w:highlight w:val="none"/>
        </w:rPr>
        <w:t xml:space="preserve">套全新专用工作站全部配置到位，硬件满足开发运维需求，设备台账清晰完整；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全套纸质+电子交付文档齐全规范，甲方出具盖章版《竣工验收意见书》。</w:t>
      </w:r>
      <w:r/>
    </w:p>
    <w:p>
      <w:pPr>
        <w:pStyle w:val="753"/>
        <w:spacing w:line="360" w:lineRule="auto"/>
        <w:rPr>
          <w:rFonts w:hint="eastAsia" w:asciiTheme="minorEastAsia" w:hAnsiTheme="minorEastAsia" w:eastAsiaTheme="minorEastAsia" w:cstheme="minorEastAsia"/>
          <w:color w:val="auto"/>
          <w:sz w:val="24"/>
          <w:szCs w:val="24"/>
          <w:highlight w:val="none"/>
          <w:lang w:val="en-US" w:eastAsia="zh-CN"/>
        </w:rPr>
        <w:sectPr>
          <w:footerReference w:type="default" r:id="rId11"/>
          <w:footnotePr/>
          <w:endnotePr/>
          <w:type w:val="nextPage"/>
          <w:pgSz w:w="11906" w:h="16838" w:orient="portrait"/>
          <w:pgMar w:top="1270" w:right="1080" w:bottom="1270" w:left="1080" w:header="851" w:footer="992" w:gutter="0"/>
          <w:cols w:num="1" w:sep="0" w:space="1701" w:equalWidth="1"/>
          <w:docGrid w:linePitch="360"/>
        </w:sect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包二招标清单及技术参数要求</w:t>
      </w:r>
      <w:r/>
    </w:p>
    <w:tbl>
      <w:tblPr>
        <w:tblStyle w:val="74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4"/>
        <w:gridCol w:w="690"/>
        <w:gridCol w:w="5856"/>
        <w:gridCol w:w="494"/>
        <w:gridCol w:w="494"/>
        <w:gridCol w:w="494"/>
      </w:tblGrid>
      <w:tr>
        <w:trPr>
          <w:trHeight w:val="521"/>
          <w:tblHeader/>
        </w:trPr>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Borders>
              <w:top w:val="single" w:color="auto" w:sz="4" w:space="0"/>
              <w:left w:val="single" w:color="auto" w:sz="4" w:space="0"/>
              <w:bottom w:val="single" w:color="000000" w:sz="4" w:space="0"/>
              <w:right w:val="single" w:color="auto" w:sz="4" w:space="0"/>
            </w:tcBorders>
            <w:tcW w:w="692" w:type="dxa"/>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项目</w:t>
            </w:r>
            <w:r>
              <w:rPr>
                <w:rFonts w:ascii="黑体" w:hAnsi="黑体" w:eastAsia="黑体" w:cs="宋体"/>
                <w:color w:val="auto"/>
                <w:sz w:val="21"/>
                <w:szCs w:val="21"/>
                <w:highlight w:val="none"/>
                <w14:ligatures w14:val="none"/>
              </w:rPr>
              <w:t xml:space="preserve">名称</w:t>
            </w:r>
            <w:r/>
          </w:p>
        </w:tc>
        <w:tc>
          <w:tcPr>
            <w:tcBorders>
              <w:top w:val="single" w:color="auto" w:sz="4" w:space="0"/>
              <w:left w:val="single" w:color="auto" w:sz="4" w:space="0"/>
              <w:bottom w:val="single" w:color="000000" w:sz="4" w:space="0"/>
              <w:right w:val="single" w:color="auto" w:sz="4" w:space="0"/>
            </w:tcBorders>
            <w:tcW w:w="5856" w:type="dxa"/>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w:t>
            </w:r>
            <w:r>
              <w:rPr>
                <w:rFonts w:ascii="黑体" w:hAnsi="黑体" w:eastAsia="黑体" w:cs="宋体"/>
                <w:color w:val="auto"/>
                <w:sz w:val="21"/>
                <w:szCs w:val="21"/>
                <w:highlight w:val="none"/>
                <w14:ligatures w14:val="none"/>
              </w:rPr>
              <w:t xml:space="preserve">量</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一</w:t>
            </w:r>
            <w:r>
              <w:rPr>
                <w:rFonts w:ascii="宋体" w:hAnsi="宋体" w:eastAsia="宋体" w:cs="宋体"/>
                <w:b/>
                <w:bCs/>
                <w:color w:val="auto"/>
                <w:sz w:val="16"/>
                <w:szCs w:val="16"/>
                <w:highlight w:val="none"/>
                <w14:ligatures w14:val="none"/>
              </w:rPr>
              <w:t xml:space="preserve">、应用系统建设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算法应用处理终端</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1、配置2颗CPU，核数≥10核，主频≥2.4GHz；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2、内存：配置内存≥128GDDR4；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3、硬盘：配置≥4块480GSSD硬盘；</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4、阵列卡：配置SAS_HBA卡，支持RAID0/1/10；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5、PCIE扩展：≥6个PCIE扩展插槽；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6、网口：板载2个千兆电口，2个万兆光口；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7、其他接口：1个RJ45管理接口，后置2个USB3.0接口，前置2个USB2.0接口，1个VGA接口；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8、电源：550W（1+1）高效铂金CRPS冗余电源。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算力服务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★租赁算力服务器总算力（FP16）不低于4PFLOPS，并配置满足使用需求的相应网络设备，部署于盐都公安机房使用。</w:t>
            </w:r>
            <w:r/>
          </w:p>
          <w:p>
            <w:pPr>
              <w:jc w:val="left"/>
              <w:spacing w:after="0" w:line="240" w:lineRule="auto"/>
              <w:widowControl/>
              <w:rPr>
                <w:rFonts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提供承诺函加盖投标人公章或电子签章扫描上传至电子投标文件</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14:ligatures w14:val="none"/>
              </w:rPr>
              <w:t xml:space="preserve">国产品牌，机架式服务器，</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设备配置≥4颗国产化ARM架构CPU处理器，单颗处理器物理核心数≥48核，主频≥2.6GHz，CPU符合安全可靠测评要求</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单台</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FP16算力≥2.24P</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14:ligatures w14:val="none"/>
              </w:rPr>
              <w:t xml:space="preserve">配置≥8块AI处理器，单AI处理器显存配置≥64GB HBM，单AI处理器FP16算力≥280TFLOPS，FP32算力≥75TFLOPS，AI处理器间互联带宽≥390GB/s。</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val="0"/>
                <w:bCs w:val="0"/>
                <w:color w:val="auto"/>
                <w:sz w:val="16"/>
                <w:szCs w:val="16"/>
                <w:highlight w:val="none"/>
                <w14:ligatures w14:val="none"/>
              </w:rPr>
              <w:t xml:space="preserve">3</w:t>
            </w:r>
            <w:r>
              <w:rPr>
                <w:rFonts w:hint="eastAsia" w:ascii="宋体" w:hAnsi="宋体" w:eastAsia="宋体" w:cs="宋体"/>
                <w:b w:val="0"/>
                <w:bCs w:val="0"/>
                <w:color w:val="auto"/>
                <w:sz w:val="16"/>
                <w:szCs w:val="16"/>
                <w:highlight w:val="none"/>
                <w:lang w:eastAsia="zh-CN"/>
                <w14:ligatures w14:val="none"/>
              </w:rPr>
              <w:t xml:space="preserve">、</w:t>
            </w:r>
            <w:r>
              <w:rPr>
                <w:rFonts w:hint="eastAsia" w:ascii="宋体" w:hAnsi="宋体" w:eastAsia="宋体" w:cs="宋体"/>
                <w:b w:val="0"/>
                <w:bCs w:val="0"/>
                <w:color w:val="auto"/>
                <w:sz w:val="16"/>
                <w:szCs w:val="16"/>
                <w:highlight w:val="none"/>
                <w14:ligatures w14:val="none"/>
              </w:rPr>
              <w:t xml:space="preserve">内存配置≥512GB；</w:t>
            </w:r>
            <w:r>
              <w:rPr>
                <w:rFonts w:ascii="宋体" w:hAnsi="宋体" w:eastAsia="宋体" w:cs="宋体"/>
                <w:b/>
                <w:bCs/>
                <w:color w:val="auto"/>
                <w:sz w:val="16"/>
                <w:szCs w:val="16"/>
                <w:highlight w:val="none"/>
                <w14:ligatures w14:val="none"/>
              </w:rPr>
              <w:br/>
            </w:r>
            <w:r>
              <w:rPr>
                <w:rFonts w:hint="eastAsia" w:ascii="宋体" w:hAnsi="宋体" w:eastAsia="宋体" w:cs="宋体"/>
                <w:color w:val="auto"/>
                <w:sz w:val="16"/>
                <w:szCs w:val="16"/>
                <w:highlight w:val="none"/>
                <w14:ligatures w14:val="none"/>
              </w:rPr>
              <w:t xml:space="preserve">4、AI处理器间支持8卡fullmesh全互联；</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5、服务器管理系统支持国产自研管理芯片，管理芯片厂家为国产厂家；</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6、</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支持热插拔SATA/NVMe/SSD硬盘，硬盘配置：2块480G SSD企业级硬盘，2块3840G NV</w:t>
            </w:r>
            <w:r>
              <w:rPr>
                <w:rFonts w:hint="eastAsia" w:ascii="宋体" w:hAnsi="宋体" w:eastAsia="宋体" w:cs="宋体"/>
                <w:color w:val="auto"/>
                <w:sz w:val="16"/>
                <w:szCs w:val="16"/>
                <w:highlight w:val="none"/>
                <w:lang w:val="en-US" w:eastAsia="zh-CN"/>
                <w14:ligatures w14:val="none"/>
              </w:rPr>
              <w:t xml:space="preserve">M</w:t>
            </w:r>
            <w:r>
              <w:rPr>
                <w:rFonts w:hint="eastAsia" w:ascii="宋体" w:hAnsi="宋体" w:eastAsia="宋体" w:cs="宋体"/>
                <w:color w:val="auto"/>
                <w:sz w:val="16"/>
                <w:szCs w:val="16"/>
                <w:highlight w:val="none"/>
                <w14:ligatures w14:val="none"/>
              </w:rPr>
              <w:t xml:space="preserve">e SSD企业级硬盘；</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7、</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配置磁盘阵列卡，支持RAID 0/1/10/5/50/6/60，缓存≥2G，配置掉电保护电容；</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8、</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支持AI处理器直出200G ROCE网络接口保证节点间互联带宽；</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9、服务器具备产品质量检测能力，包含CPU检测、内存检测、硬盘检测、网卡PCIe外设检测、电源功耗管理、BMC故障检测等；</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0</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配置≥8个200Gb光口（含200G光模块）；≥4个25Gb光口（含25G光模块）；</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1</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配置≥4块2600W交流电源模块，支持2+2冗余；</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2</w:t>
            </w:r>
            <w:r>
              <w:rPr>
                <w:rFonts w:hint="eastAsia" w:ascii="宋体" w:hAnsi="宋体" w:eastAsia="宋体" w:cs="宋体"/>
                <w:color w:val="auto"/>
                <w:sz w:val="16"/>
                <w:szCs w:val="16"/>
                <w:highlight w:val="none"/>
                <w14:ligatures w14:val="none"/>
              </w:rPr>
              <w:t xml:space="preserve">、为保证处理器间的兼容性最佳（生态、性能、软件兼容性等）和国产自主可控，CPU、AI处理器使用同厂家国产自研芯片</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lang w:val="en-US"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3</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提供本地化部署服务、通用大模型适配服务、网络适配、运维服务、存储介质保留服务。</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云存储节点</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6"/>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器配置：≥2颗64位多核处理器，≥64GB内存，内存支持扩展到≥256GB，内置不少于三块960GBSSD固态硬盘，内置≥2个千兆数据网口，≥2个万兆数据光口，≥1个千兆管理口配置，≥6个风扇，支持风扇热插拔冗余温控调速风扇，支持热插拔1+1AC220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2、可接入2T/3T/4T/6T/8T/10T/12T/14T/16T/18T/20T/25T/26TSATA/SAS硬盘；支持NL-SAS硬盘、HDD硬盘、SSD硬盘、氦气硬盘、空气硬盘；支持CMR或SMR硬盘；支持硬盘交错/分时启动，节省功耗；</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★3、具有不低于48块硬盘热插拔插槽，内置企业级硬盘总容量不低于800TB；支持硬盘热插拔设备在读写数据时，热插拔设备内的任意块硬盘，设备正常运行不宕机，硬盘不损坏，数据不丢失，业务不中断；</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7"/>
              </w:numPr>
              <w:ind w:left="0" w:firstLine="320"/>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支持集群管理功能，包括集群单元弹性扩容、负载均衡、故障迁移等；支持集群节点生命周期管理，支持集群节点服务启动/停止，集群节点服务组建、扩展、删除；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5、支持存储实时视频、视频片段、图片及伴生的智能结构化数据，支持根据结构化数据的类型检索视频，检索条件包括前端点位ID、时间段、视频目标类型；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11、具备一键快速部署能力，存储节点并行部署，互不影响，单台部署时间150秒内完成。快速部署过程中，自动检测节点是否符合配置要求，当检测到当前节点的配置与预期有差距时给予报警提示；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★13、投标人所投视频云存储服务器设备需与盐都区公安原云存储管理系统及公安视频图像信息应用平台无缝对接，对接过程中产生的额外费用由投标人自行承担。</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none" w:color="000000"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驻场研发运维服务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8"/>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服务2年（研发成果满足招标文件及招标人使用需求，并通过试运行合格验收后，进入运维服务期，服务期3年），年度建设内容包括不限于：不少于2个的平台级应用软件、10个定制场景的智能体开发，重点人员管控、流动人口分析等不少于30个的实战分析模型；</w:t>
            </w:r>
            <w:r/>
          </w:p>
          <w:p>
            <w:pPr>
              <w:numPr>
                <w:ilvl w:val="0"/>
                <w:numId w:val="8"/>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不少于3人为本项目提供专职驻场服务，不得在其他项目兼职。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3、需配置满足开发及运维使用需求的全新专用研发/运维工作站，要求不少于12套，满足设计及实际使用需求，服务期满后资产交由甲方处理。</w:t>
            </w:r>
            <w:r>
              <w:rPr>
                <w:rFonts w:ascii="宋体" w:hAnsi="宋体" w:eastAsia="宋体" w:cs="宋体"/>
                <w:color w:val="auto"/>
                <w:sz w:val="16"/>
                <w:szCs w:val="16"/>
                <w:highlight w:val="none"/>
                <w14:ligatures w14:val="none"/>
              </w:rPr>
              <w:br/>
            </w: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救援机器人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9"/>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机器人规格：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1、机器人采用内置摄像头设计，可以实时回传图像至遥控器显示；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2、传感器设计：机器人具有正反面识别和入水开机2组传感器感知检测；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3、救援抓握把手：具有大于或等于4个可握持把手，以保障最多的救援能力；</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4、抓握绳索：索孔位分布于机器人两侧，数量不低于6个，绳索直径≥8mm，破断拉力≥700kg；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▲5、拖曳能力：≥1000kg；</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6、有效浮力：将不小于32kg的重物放置在机器人主体上，机器人；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7、依然能在水中漂浮；</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8、承载重量：≥300kg；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9、拉力：≥23kg(230N)；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10、防护等级：≥IP67；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11、最大抗风浪等级：空载下不低于5级风浪，载人时不低于4级风浪；</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12、机器人具备失联返航和一键返航，触发返航功能后，机器人返航至入水点，返航精度不超过1m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13、低电量返航：机器人电量低至20%时，触发低电量返航功能，具备强制取消返航功能。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14、控制距离：≥1500m（水平高度不低于10米）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15、续航时间：≥90min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16、空载下航速需25km/h以上，载人速度需9km/h以上（承载80kg人体）；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▲17、入水自动扶正功能：机器人具备正面朝上姿态检测功能，并具备自动翻转功能，入水自动翻转扶正时间不超过1.7s；</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二、遥控器规格：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1、遥控器的防护等级：遥控器的防护等级不低于IP67。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2、遥控器显示屏规格：尺寸：≥35×17（mm），分辨率：≥160×80（ppi）</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3、遥控器可调节机器人速度、推进器跑偏矫正、自扶正开关、屏幕亮度、机器人休眠设置等参数。</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4、遥控器防沉性能：遥控器掉入水中不沉，处于漂浮状态。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5、遥控器显示：遥控器屏幕具备机器人信号强度、操作模式、自扶正是否开启、定位、机器人电量、功率、电池电压、电池温度、机器人航行速度显示（精确到0.1m/s）、遥控器电量、遥控操纵方向显示。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6、遥控器续航：≥10h</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7、定速巡航：遥控器具备一键定速巡航功能，可随时按下按键，保持现有航速航行。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8、对码功能：遥控器具备与机器人快速对码功能，并操控对应机器人。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9、遥控器扩展图传屏幕：遥控器可外接图传屏幕，具备实时接收摄像头图传视频。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三、含照明灯、喊话器、充电支架，遥控器无线充电及设备航空箱。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二</w:t>
            </w:r>
            <w:r>
              <w:rPr>
                <w:rFonts w:ascii="宋体" w:hAnsi="宋体" w:eastAsia="宋体" w:cs="宋体"/>
                <w:b/>
                <w:bCs/>
                <w:color w:val="auto"/>
                <w:sz w:val="16"/>
                <w:szCs w:val="16"/>
                <w:highlight w:val="none"/>
                <w14:ligatures w14:val="none"/>
              </w:rPr>
              <w:t xml:space="preserve">、指挥通信保障建设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基站信道机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★满足分局现有350M电台基站接入及使用需求。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总体指标：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（1）频率范围：330MHz～400MHz;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（2）工作电压：13.6V±15%DC；</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（3）电流消耗：≤1.4（待机）≤12A（发射）；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（4）最大功耗：135W；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（5）信道间隔：12.5kHz；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（6）占用带宽：≤8.5kHz@-3dB；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（7）工作循环：100%；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（8）工作温度：-30℃～+60℃；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（9）储存温度：-40℃～+85℃。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（1）工作频段：360.8MHz～366.2MHz；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（2）载波频率稳定度：≤±0.5ppm；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（3）功率：5W～50W（连续可调）；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（4）最大输出功率：47dBm±1.5；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（5）发射电流：≤12A（50W）；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（6）邻道功率：≥60dB@12.5kHz；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（7）传导/辐射杂散：9kHz—1GHz：≤-36dBm（运行）/；≤-57dBm（待机）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（8）互调衰减：≤-60dB；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收信机指标：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（1）工作频段：350.8MHz～356.2MHz；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（2）最大数字接收灵敏度：≤-118dBm@BER5%；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（3）数字接收基本灵敏度：≤-85dBm@BER0%；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（4）共信道抑制：-12dB～0dB；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（5）邻道选择性：≥60dB@12.5kHz；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（6）杂散响应抗干扰/互调杂散：≥70dB；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（7）阻塞：≥84dB；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（8）传导/辐射杂散：9KHz～1GHz:≤-57dBm；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加密卡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SIM卡通信加密芯片，满足商用密码认证要求；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★2、根据实际终端机型配置，满足盐都分局现有移动警务系统兼容性要求。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数据交换安全介质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16GB容量，满足公安网双向数据交换。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机房UPS主机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1、双变换高频纯在线主机三进三出，容量不低于40KVA；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2、输入电压支持380/400/415VAC，输入频率：50/60HZ，输入功率因数≥0.99；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3、输出电压支持380/400/415VAC；输出功率因数：不低于0.9；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4、外接电池组电压可调：若未来遭遇个别电池故障，需要维护、更换时，可现场灵活调节电池组的只数；在配置12V电池的情况下，可根据现场电池节数从32/34/36/38/40节调整，无须整组更换；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5、输入电压为额定值，输出接额定阻性负载，系统效率：100%阻性负载≥95.4%，50%阻性负载≥95.6%，30%阻性负载≥95.4%；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6、输入电压为额定值，输出为阻性负载，调节输出电流，使输出功率为额定值的125%时，机器正常工作时间应≥10min；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7、输入电流谐波成份：100％额定非线性负载≤4.7%，50％额定非线性负载≤7.0%，30％额定非线性负载≤10.7%。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蓄电池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1、采用阀控式密封铅酸蓄电池，单节蓄电池标称电压12V，单节蓄电池容量：≥200Ah，含电池连接线；</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2、低温敏感性：完全充电的蓄电池以10A电流放电至单体蓄电池电压为1.80V时终止；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3、气体析出：在20℃及单体蓄电池电压为Uflo(V)浮充条件下Ge≤0.007mL，在20℃及单体蓄电池电压为2.4(V)充电条件下Ge≤0.03mL；</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4、阻燃性能：蓄电池壳、盖、安全阀、连接条保护罩应符合GB/T2408-2021标准的要求。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电池柜</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定制电池柜（架），每台电池柜（架）可安装1组蓄电池，每组蓄电池应配套独立的蓄电池开关、蓄电池间的连接线缆、电池组到UPS主机的连接线缆、散力架底座，满足电池安装使用需求。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电力电缆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ZCYJV-4*25+1*16国标电力电缆，含主辅材满足使用需求。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显示终端设备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1"/>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主体规格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倒装COB封装全彩色高清LED显示一体机，像素点间距≤1.25mm，像素点密度≥640000点/平方米；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发光像素RGB比例为1:1:1，不接受虚拟像素、像素引擎、动态像素，大屏幕显示尺寸长6.6米，高≥2.025米，显示面积≥13.365平方米；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1、像素组成：采用全倒装COB封装芯片，全彩1R1G1B全倒装显示；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2、支持电源、模块、系统完全前/后维护；箱体材质采用全压铸铝材质，箱体、后壳一次性整体压铸成型，符合GB/T15115-2009标准，抗拉强度不小于270mpa，屈服强度不小于150mpa，硬度不小于70HBS；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3、整屏失控率小于百万分之一，出厂时为0，连续失控点为0；对比度不小于15000：1；灰度等级不小于65536级；屏幕水平视角及垂直视角大于170度；刷新频率不小于3840Hz，换帧频率不小于60Hz；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屏幕亮度0~800cd/㎡无级可调，支持手动/自动/程控调节，扩展支持根据环境照度变化自动调节亮度；显示屏具备低亮高灰高刷特性，50%~100%亮度时为16bits灰度，20%亮度时为15bits灰度，且刷新率不低于3840Hz，在低亮度情况下仍然能保持高刷新率及灰度；显示屏具备1000~15000K可调色温范围，色域≥126%NTSC，提供大屏幕色域色温可视化调节系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产品采用自主研发的技术先进的防尘降噪散热设计，具备优良的防护特性，产品达到IP65防护等级，具备良好的降噪散热性能，使得显示屏平均无故障工作时间不小于10万小时、使用寿命不小于12万小时、可用度不小于0.9999999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6、显示屏采用自主研发的平整度调节机构，使得相邻模组间、箱体间及整屏平整度≤0.1mm；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7、LED显示屏支持单点逐点亮度及色度校正，支持出厂校正及现场校正；模组、单元箱体及整屏亮度均匀性不小于99.5%、色度均匀性±0.0015Cx,Cy以内；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按照SJ/T11590-2016《LED显示屏图像质量主观评价方法》的要求，大屏静态图像清晰度、运动图像清晰度、大面积色彩还原、图像均匀性、拼装精度、灰阶表现力1（亮度鉴别等级）、灰阶表现力2（伪轮廓现象）、回扫线或频闪现象、虚影现象、图像稳定性评价等级均为优；</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依据IEC/TR62778-2014标准，视网膜蓝光危害LB≤3W/(m²·sr)，在10000s内不造成对视网膜蓝光危害(LB)。进行光生物安全评估检测，光生物安全检测属无危害类:30000s曝辐中不造成光化学紫外危害(ES)，在1000s内不造成近紫外危害并在10s内不造成对视网膜热危害(LR)，在1000s内不造成对眼睛的红外辐射危害(EIR)。</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二、视频传输（满足本项目使用需求）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1路DVI视频源输入，1路HDMI视频源输入，1路音频输入6路千兆网口输出，每个网口最大支持65万像素，1路DVI视频源输出，可用于级联或监视，1路HDMI视频源输出，可用于级联或监视，1路方口USB控制接口，2路UART网口控制接口，可用于设备级联，最大支持20台设备级联，支持逐点亮色度校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三、安装支架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支持前维护（挂墙安装），根据现场情况利旧结构安装。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控制系统设备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2"/>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1、图像拼接控制器采用全硬件结构设计，无需Windows/Linux等操作系统，完全杜绝计算机病毒侵扰；各个图像处理板卡及功能模块均为插卡设计；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2、每张输入/输出板卡独立工作，任意板卡故障不影响其他板卡或模块正常工作，不会对系统整体功能造成影响；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3、支持8路HDMI输入、8路HDMI输出，支持扩展DP、SDI、DL DVI、HDMI、IP视频、DVI、VGA、YPbPr、S-Video、RGB、CVBS、HDBaseT等信号输出，支持自定义分辨率输出，可手动设置非标准输出分辨率；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4、单个信号开窗操作瞬时执行，单窗口开窗速度小于15ms，场景调取响应速度小于15ms，支持输入端到输出端延时小于30ms；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▲5、图像拼接控制器具有分布式通道管理功能，输出通道与显示单元可以任意连接，无需遵循既定连接次序，通过软件拖放信号至任意通道即可实现任意窗口、整屏拼接显示。</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b/>
                <w:bCs/>
                <w:color w:val="auto"/>
                <w:sz w:val="16"/>
                <w:szCs w:val="16"/>
                <w:highlight w:val="none"/>
                <w14:ligatures w14:val="none"/>
              </w:rPr>
              <w:br/>
            </w:r>
            <w:r>
              <w:rPr>
                <w:rFonts w:ascii="宋体" w:hAnsi="宋体" w:eastAsia="宋体" w:cs="宋体"/>
                <w:color w:val="auto"/>
                <w:sz w:val="16"/>
                <w:szCs w:val="16"/>
                <w:highlight w:val="none"/>
                <w14:ligatures w14:val="none"/>
              </w:rPr>
              <w:t xml:space="preserve">二、播控软件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支持信号输入源的管理功能，支持M×N拼接显示，所有信号窗口与应用窗口可以在全墙任意位置、任意大小、任意顺序进行缩放、拖动、叠加、漫游显示，在LED显示屏的任意位置、任意窗口大小开窗，支持任意信号窗口的置顶，屏上的窗口支持一键铺满单元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2.多个用户可以使用客户端或浏览器（包括IE等）同时登陆管理设备，扩展支持远程多鼠标控制功能，不同网络客户端可通过自己的鼠标登录处理器，实现对处理器桌面应用窗口的操作控制；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3.允许同一用户账号在多台工作站同时在线对大屏幕进行操作；允许多台控制终端同时对大屏幕进行操作，互不影响，每个用户可在本地工作站显示器运用大屏幕操作管理界面直接进行各个窗口的所有操作；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4.具备完整的二次开发API接口，提供对其他系统的控制接口，以支持实现与集中控制系统、中控系统等第三方系统或设备的集成与二次开发，满足用户特别控制需要及大屏幕应用的二次开发需要。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三、配电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1、功率15KW，所有硬件设备符合电子专业相关国家、国际标准；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输入接线方式：国家3相5线制，标准配置屏体到配电箱设备3米内电缆；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输入电压（V）：3相380V；输入频率（HZ）：50/60Hz；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2、含PLC智能模块配套PLC智能配电管理系统软件，远程电脑控制，实时状态显示，标配功能：1、本地手动逐级上电2、远程控制3、状态监测4、远程定时控制5、温度探测器。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显示系统移装</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1、原LED显示系统部分设备拆除移装；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2、根据现场情况和显示面积定制钢结构安装支架及包边；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3、显示系统配电箱1套及用电接入；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4、含配套扩声设备1套、后端控制设备1套，满足设计及实际使用需求。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环保声学改造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一、建筑声学专项深化报告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1、根据报告厅</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lang w:val="en-US" w:eastAsia="zh-CN"/>
                <w14:ligatures w14:val="none"/>
              </w:rPr>
              <w:t xml:space="preserve">讯（询）问室</w:t>
            </w:r>
            <w:r>
              <w:rPr>
                <w:rFonts w:ascii="宋体" w:hAnsi="宋体" w:eastAsia="宋体" w:cs="宋体"/>
                <w:color w:val="auto"/>
                <w:sz w:val="16"/>
                <w:szCs w:val="16"/>
                <w:highlight w:val="none"/>
                <w14:ligatures w14:val="none"/>
              </w:rPr>
              <w:t xml:space="preserve">主要使用需求，现场测试声音数据，确定各项建筑声学设计技术指标；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2、根据资料及文件(项目建筑图纸、装修修图、设备技术指标等)制作建筑模型；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3、声学模拟软件进行声学深化仿真模拟计算：包括不限于SPL声场不均匀度模拟、RT30混响时间、D50声场模拟、STI模拟等；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4、根据模拟情况，对室内精装需要修改的部分进行提资，确保厅堂满足使用要求；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5、出具专业声学模拟报告</w:t>
            </w:r>
            <w:r>
              <w:rPr>
                <w:rFonts w:ascii="宋体" w:hAnsi="宋体" w:eastAsia="宋体" w:cs="宋体"/>
                <w:b w:val="0"/>
                <w:bCs w:val="0"/>
                <w:color w:val="auto"/>
                <w:sz w:val="16"/>
                <w:szCs w:val="16"/>
                <w:highlight w:val="none"/>
                <w14:ligatures w14:val="none"/>
              </w:rPr>
              <w:t xml:space="preserve">（要求为第三方专业检测机构报告）</w:t>
            </w:r>
            <w:r>
              <w:rPr>
                <w:rFonts w:ascii="宋体" w:hAnsi="宋体" w:eastAsia="宋体" w:cs="宋体"/>
                <w:color w:val="auto"/>
                <w:sz w:val="16"/>
                <w:szCs w:val="16"/>
                <w:highlight w:val="none"/>
                <w14:ligatures w14:val="none"/>
              </w:rPr>
              <w:t xml:space="preserve">，包括不限于室内混响时间、清晰度、明晰度等内容；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6、协助业主正确选择声学材料，审核声学供应商提供的专业产品的声学性能；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7、配合业主关于会场改造相关会议，协助参与设计和施工中的有关声学的工作。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二、会场建筑声学改造</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1、防火等级：声学基材及框体结构为A级不燃；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2、有效规格：厚度≥30mm，单幅尺寸根据会场情况定制，总面积≥110㎡；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3、基材：定制声学材料，满足会场使用需求，零甲醛环保棉符合国际标准的E0环保；</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4、边框：轻质高强度框体。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调音台</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1、显示屏：9”高清晰彩色TFT液晶显示屏，电容触摸屏,1024*600，支持多点触摸操作；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2、音频输入：共20路输入，其中12路Mic/Line，2组立体声输入、2组数字立体声输入（USB盘播放、USB声卡）；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3、音频输出：共14路输出，1组L/R立体声主输出（XLR平衡接口），6路BUS输出（XLR平衡接口），1组立体声监听输出（1/4”TRS立体声接口），2组立体声数字输出（USB盘录音、USB声卡）；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4、输入通道处理：所有输入通道具备独立的低切、PEQ、压缩器、噪声门、相位处理；所有麦克风输入通道具有可编程数字式增益控制及独立的幻象电源控制；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出通道处理：所有BUS输出通道具有独立的分频器、PEQ、压缩器、延时器处理，并支持2个独立可插入式31段GEQ处理功能；立体声主输出通道具有独立的分频器、PEQ、压缩器、延时器处理，并具有独立的31段GEQ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6、所有的输入通道或BUS输出通道都可以自由LINK为立体声状态；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7、所有通道标号可自定义名称及颜色，所有输入输出通道可支持任意的自定义复制；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8、所有输入、输出通道的均衡器、压缩器、噪声门具有独立的预设存储调用功能，并支持U盘导入及导出；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9、所有输入、输出通道具有独立的通道预设功能，支持通道预设的存储和调用，并支持U盘导入及导出；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10、内置U盘播放器，支持实时的立体声录音及播放功能；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11、内置USB声卡，支持与PC连接的实时录音及播放功能；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12、编组：8路独立的可编程DCA编组（带静音），3个Mute Groups静音编组；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13、效果：2个专业效果器，具有独立发送总线、多种效果类型可选；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14、支持立体声双模蓝牙V5.0输入、兼容蓝牙V4.2和V2.1+EDR，输入音量可以控制；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15、支持用户场景存储及调用功能，所有场景支持通过U盘导入和导出；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16、独立的管理员密码及可自定义的用户密码保护功能，可对系统实现分权限管理，管理员密码保护对本地操作及移动端访问同时有效；</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17、内置基于HTML5技术的web服务器，自带Wi-Fi热点，跨平台支持IOS、Android、Windows等各种移动端的访问，支持多屏互动、全功能操作。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反馈声抑制器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1、具有两个独立的音频处理通道，每通道24个独立的全自动式数字陷波滤波器；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2、频率响应：20Hz～20kHz，±0.3dB；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3、总谐波失真：0.005%；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4、动态范围：&gt;105dB，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5、滤波器数量不小于：24x2；</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6、输入阻抗：40KΩ；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7、输出阻抗：150Ω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数字音频处理器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1、不少于18x16通道的全混音矩阵。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2、不少于8路平衡输入、8路平衡输出、32位DSP芯片处理，96kHz采样率，24bit AD/DA转换。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3、带有+48V幻象电源。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4、每个输入通道独享（含Close）共5级反馈抑制能力，针对单个音源抑制处理而不影响整个系统链路原始音色。</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5、具备输入、输出两组独立的数字调音台DCA功能。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6、12个用户预设，整机状态和每个预设都可以单独存储和调用ID设置功能可以级联控制250台机器。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7、符合AoIP网络音频流传输框架，全面支持AES67跨协议、跨网段传输。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8、DSP具备信号发生器功能，可系统信号检测、校准工作，内置AEC远程声学回声消除模块，具备自动混音、自动增益控制、自动反馈抑制、噪声抑制等功能。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9、可扩展Dante网络音频传输卡，具备网络音频传输能力。</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音柱音箱</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1、中音单元：不少于4个4〞中音单元，高音单元：不少于12个0.75〞高音单元；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2、一带三同轴结构，拥有更好的离轴响应；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3、中音单元采用复合碳纤维振膜，高音单元采用纳米碳纤维振膜；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4、15°固定垂直覆盖角，100°水平指向，准确指向，可减少声反射，实现语言清晰度得到优化的功能；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5、频率响应：不劣于80Hz-20kHz（±3dB）/60Hz-25kHz（-10dB）；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6、灵敏度：≥98dB；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7、标称阻抗：8 Ohm；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8、额定功率：≥200W（AES）；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9、标称覆盖角：≥100°（H）×15°（V）；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10、最大声压级：≥121dB SPL ，129dB SPL peak。</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二通道功率放大器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3"/>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立体声功放≥:400W×2（8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），600W×2（4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），700W×2（2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），桥接模式：1000W（1x8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），1200W（1x4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 </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2、总谐波失真：&lt;0.5dB；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3、频率响应不劣于20Hz to 20kHz,+/-1dB；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4、输入阻抗：20K/10K；</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5、输入灵敏度：32dB、1.0V、0.775V；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6、信噪比：&gt;95dB（20Hz-20KHz）；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7、转换速率：&gt;30V/us；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8、阻尼系数：&gt;500；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9、输出级：Class D；</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10、输出阻抗：≥2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11、带OLED显示屏，显示设备温度、音量大小及模式；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12、保护功能：软启动、直流、短路、削波、失真、过热、过温等；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13、采用智能温控调速散热系统，保证机器的高稳定性；</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14、采用功率智能恒定技术，输出功率智能控制；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15、采用谐振软开关技术，杜绝电源开关产生的冲击；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一拖四无线会议话筒</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1、四通道的接收设计，可连接四支无线会议话筒；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2、内置20组预设频率模组，纯自动选讯接收方式；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3、红外数据自动同步功能：4个独立的红外对频按键，一键自动对频；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4、UHF530-670MHz频段载波；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5、带2.4寸高亮度IPS TFT显示屏，可显示话筒频点、电量、开关状态；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6、话筒带发言计时功能；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7、方形麦克风，可调俯仰角度。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数字会议主机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1、支持专用电缆手拉手连接或Cat5e线缆手拉手连接；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2、系统主机双CPU架构的核心处理IC，控制DSP和AD/DA转换IC提供两路音频线路输入输出和录音输入输出功能；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3、会议主机采用全数字音频传输技术（包括控制数据和音频数据），采用专用的高性能DSP进行处理，支持48kHz音频采样频率；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4、主机音频模式：普通模式、远程会议模式和外部处理模式可选；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5、内置自动通讯终止功能，防止系统中某段线缆被拔掉而导致整个系统崩溃；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6、具备≥2.8"LCD屏显示状态和配置信息，步进式旋钮可快速选择和设置LCD菜单；</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7、具有警报接口，短接可实现警报功能；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8、系统主机具有软开关按键和机械开关按键，软开关按键关机需多重确认且可通过网络UDP的方式控制主机关机；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9、系统主机内置高通滤波器低切开关，方便在需要时切去声音中的低频成分；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主机支持双机热备份功能，系统主机与扩展主机之间支持“环形手拉手”功能，一台扩展主机的故障或更换不会影响到系统中其它扩展主机的工作，扩展主机间出现一处连线故障也不会影响到系统工作。保证会议无间断顺利进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11、系统最大开启数量≥8支会议单元，支持≥5种发言模式；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12、系统主机可以独立调节话筒增益和均衡（≥5段），可针对不同的发言者声音特点调节不同的音量和频响；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13、系统支持Web页面控制以及后台控制电脑操作软件控制；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web控制功能，可通过任何内置网页浏览器的电脑、手机或平板电脑，访问主机IP地址以查看并控制主机，包括主机状态、设备参数、音频输出、单元设置、视频矩阵、预置位、话筒控制、资产管理、系统测试、主机语言翻译、分机升级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16、信噪比≥100dBA；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17、总谐波失真≤0.05%。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方短杆会议主席单元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2、主席单元具有优先权按键及会议控制功能；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方短杆会议代表单元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4"/>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延长线缆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1、用于系统主机与会议单元延长连接线，30米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电源时序器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1、通道数量：≥8路；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2、电源输入：≥32A空开保护；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3、电源输出：≥8路，每路≥13A，采用带安全防护门多功能插座，整机最大负载≥40A；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4、可设置长通通道，可设置回路间延时开/关时间；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5、交流电输入：180V~260V；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6、标准负载功率≥2200W/通道；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7、每步时间：≥1s；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8、RS232中RS485控制。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安装用辅材、线材、接插件</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1、线材：国标纯铜，屏蔽抗干扰，满足系统传输要求；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2、接插件：接触可靠，镀金/镀镍，适配对应接口；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3、安装辅材：符合国标规格，满足安装固定需求。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PDU</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符合国标6位10A 250VAC五孔插座的电源插排，电气性能符合CCC认证标准。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bl>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ind w:firstLine="482"/>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本项目采用综合评分法。</w:t>
      </w:r>
      <w:r>
        <w:rPr>
          <w:rFonts w:hint="eastAsia" w:ascii="宋体" w:hAnsi="宋体" w:eastAsia="宋体" w:cs="宋体"/>
          <w:bCs/>
          <w:color w:val="auto"/>
          <w:sz w:val="24"/>
          <w:szCs w:val="24"/>
          <w:highlight w:val="none"/>
          <w:lang w:val="en-US" w:eastAsia="zh-CN"/>
        </w:rPr>
        <w:t xml:space="preserve">本项目为2个包。已中标包一项目的投标人不作为包二中标候选人推荐，</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得分且投标报价相同的</w:t>
      </w:r>
      <w:r>
        <w:rPr>
          <w:rFonts w:hint="eastAsia" w:ascii="宋体" w:hAnsi="宋体" w:eastAsia="宋体" w:cs="宋体"/>
          <w:bCs/>
          <w:color w:val="auto"/>
          <w:sz w:val="24"/>
          <w:szCs w:val="24"/>
          <w:highlight w:val="none"/>
          <w:lang w:val="en-US" w:eastAsia="zh-CN"/>
        </w:rPr>
        <w:t xml:space="preserve">并列</w:t>
      </w:r>
      <w:r>
        <w:rPr>
          <w:rFonts w:hint="eastAsia" w:ascii="宋体" w:hAnsi="宋体" w:eastAsia="宋体" w:cs="宋体"/>
          <w:bCs/>
          <w:color w:val="auto"/>
          <w:sz w:val="24"/>
          <w:szCs w:val="24"/>
          <w:highlight w:val="none"/>
        </w:rPr>
        <w:t xml:space="preserve">。投标文件满足招标文件全部实质性要求，且按照评审因素的量化指标评审得分最高的投标人为排名第一的中标候选人。</w:t>
      </w:r>
      <w:r/>
    </w:p>
    <w:p>
      <w:pPr>
        <w:pStyle w:val="769"/>
        <w:ind w:firstLine="441"/>
        <w:keepLines w:val="0"/>
        <w:keepNext w:val="0"/>
        <w:pageBreakBefore w:val="0"/>
        <w:spacing w:before="120" w:beforeAutospacing="0" w:after="120" w:afterAutospacing="0"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（1）本项目若不专门面向中小企业采购，对</w:t>
      </w:r>
      <w:r>
        <w:rPr>
          <w:rFonts w:hint="eastAsia" w:ascii="宋体" w:hAnsi="宋体" w:eastAsia="宋体" w:cs="宋体"/>
          <w:bCs/>
          <w:color w:val="auto"/>
          <w:sz w:val="24"/>
          <w:szCs w:val="24"/>
          <w:highlight w:val="none"/>
          <w:lang w:val="en-US" w:eastAsia="zh-CN"/>
        </w:rPr>
        <w:t xml:space="preserve">符合规定的</w:t>
      </w:r>
      <w:r>
        <w:rPr>
          <w:rFonts w:hint="eastAsia" w:ascii="宋体" w:hAnsi="宋体" w:eastAsia="宋体" w:cs="宋体"/>
          <w:bCs/>
          <w:color w:val="auto"/>
          <w:sz w:val="24"/>
          <w:szCs w:val="24"/>
          <w:highlight w:val="none"/>
        </w:rPr>
        <w:t xml:space="preserve">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）文件规定自行填写。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（1）本项目对残疾人福利性单位视同小型、微型企业，给予20%的价格扣除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（1）本项目对监狱和戒毒企业（简称监狱企业）视同小型、微型企业，给予20%的价格扣除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769"/>
        <w:ind w:firstLine="482"/>
        <w:keepLines w:val="0"/>
        <w:keepNext w:val="0"/>
        <w:pageBreakBefore w:val="0"/>
        <w:spacing w:before="120" w:beforeAutospacing="0" w:after="120" w:afterAutospacing="0" w:line="2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评标方法与评标标准</w:t>
      </w:r>
      <w:r/>
    </w:p>
    <w:tbl>
      <w:tblPr>
        <w:tblStyle w:val="747"/>
        <w:tblW w:w="8895"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160"/>
        <w:gridCol w:w="6279"/>
        <w:gridCol w:w="752"/>
      </w:tblGrid>
      <w:tr>
        <w:trPr>
          <w:jc w:val="center"/>
          <w:trHeight w:val="45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69"/>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769"/>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报价</w:t>
            </w:r>
            <w:r/>
          </w:p>
          <w:p>
            <w:pPr>
              <w:pStyle w:val="769"/>
              <w:ind w:firstLine="480"/>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69"/>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有效投标报价：是指通过“投标文件初审”的投标人的经商务性评审（修正、小微企业扣除等）后的评标总价；</w:t>
            </w:r>
            <w:r/>
          </w:p>
          <w:p>
            <w:pPr>
              <w:pStyle w:val="769"/>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评标基准价=有效投标报价中的最低投标报价；</w:t>
            </w:r>
            <w:r/>
          </w:p>
          <w:p>
            <w:pPr>
              <w:pStyle w:val="769"/>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当投标人的评标总价等于评标基准价的得</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w:t>
            </w:r>
            <w:r/>
          </w:p>
          <w:p>
            <w:pPr>
              <w:pStyle w:val="769"/>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其他投标人的价格分按照下列公式计算：评标总价得分=（评标基准价/评标总价）*</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分（计算结果保留2位小数，第三位四舍五入）。</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i w:val="0"/>
                <w:iCs w:val="0"/>
                <w:color w:val="auto"/>
                <w:sz w:val="21"/>
                <w:szCs w:val="21"/>
                <w:highlight w:val="none"/>
                <w:lang w:val="en-US" w:eastAsia="zh-CN" w:bidi="ar"/>
              </w:rPr>
              <w:t xml:space="preserve">30分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i w:val="0"/>
                <w:iCs w:val="0"/>
                <w:color w:val="auto"/>
                <w:sz w:val="21"/>
                <w:szCs w:val="21"/>
                <w:highlight w:val="none"/>
                <w:lang w:bidi="ar"/>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eastAsia="zh-CN" w:bidi="ar"/>
              </w:rPr>
            </w:pPr>
            <w:r>
              <w:rPr>
                <w:rFonts w:hint="eastAsia" w:asciiTheme="minorEastAsia" w:hAnsiTheme="minorEastAsia" w:cstheme="minorEastAsia"/>
                <w:i w:val="0"/>
                <w:iCs w:val="0"/>
                <w:color w:val="auto"/>
                <w:sz w:val="21"/>
                <w:szCs w:val="21"/>
                <w:highlight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 xml:space="preserve">其中“★”为必须满足项，如任意项有负偏离，</w:t>
            </w:r>
            <w:r>
              <w:rPr>
                <w:rFonts w:hint="eastAsia" w:eastAsia="宋体" w:asciiTheme="minorEastAsia" w:hAnsiTheme="minorEastAsia" w:cstheme="minorEastAsia"/>
                <w:color w:val="auto"/>
                <w:sz w:val="21"/>
                <w:szCs w:val="21"/>
                <w:highlight w:val="yellow"/>
                <w:lang w:val="en-US" w:eastAsia="zh-CN"/>
              </w:rPr>
              <w:t xml:space="preserve">本项技术参数整体评分不得分</w:t>
            </w:r>
            <w:r>
              <w:rPr>
                <w:rFonts w:hint="eastAsia" w:asciiTheme="minorEastAsia" w:hAnsiTheme="minorEastAsia" w:eastAsiaTheme="minorEastAsia" w:cstheme="minorEastAsia"/>
                <w:color w:val="auto"/>
                <w:sz w:val="21"/>
                <w:szCs w:val="21"/>
                <w:highlight w:val="yellow"/>
              </w:rPr>
              <w:t xml:space="preserve">。</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分，扣完为止；</w:t>
            </w:r>
            <w:r/>
          </w:p>
          <w:p>
            <w:pPr>
              <w:ind w:firstLine="21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分，扣完为止。</w:t>
            </w:r>
            <w:r/>
          </w:p>
          <w:p>
            <w:pPr>
              <w:pStyle w:val="769"/>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cstheme="minorEastAsia"/>
                <w:i w:val="0"/>
                <w:iCs w:val="0"/>
                <w:color w:val="auto"/>
                <w:sz w:val="21"/>
                <w:szCs w:val="21"/>
                <w:highlight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投标人需逐项对照演示功能</w:t>
            </w:r>
            <w:r>
              <w:rPr>
                <w:rFonts w:hint="eastAsia" w:asciiTheme="minorEastAsia" w:hAnsiTheme="minorEastAsia" w:cstheme="minorEastAsia"/>
                <w:color w:val="auto"/>
                <w:sz w:val="21"/>
                <w:szCs w:val="21"/>
                <w:highlight w:val="none"/>
                <w:lang w:val="en-US" w:eastAsia="zh-CN"/>
              </w:rPr>
              <w:t xml:space="preserve">展示投标人开发过的类似软件功能，</w:t>
            </w:r>
            <w:r>
              <w:rPr>
                <w:rFonts w:hint="eastAsia" w:asciiTheme="minorEastAsia" w:hAnsiTheme="minorEastAsia" w:eastAsiaTheme="minorEastAsia" w:cstheme="minorEastAsia"/>
                <w:color w:val="auto"/>
                <w:sz w:val="21"/>
                <w:szCs w:val="21"/>
                <w:highlight w:val="none"/>
                <w:lang w:val="en-US" w:eastAsia="zh-CN"/>
              </w:rPr>
              <w:t xml:space="preserve">采用录屏方式进行演示，每个投标人视频演示介绍</w:t>
            </w:r>
            <w:r>
              <w:rPr>
                <w:rFonts w:hint="eastAsia" w:asciiTheme="minorEastAsia" w:hAnsiTheme="minorEastAsia" w:cstheme="minorEastAsia"/>
                <w:color w:val="auto"/>
                <w:sz w:val="21"/>
                <w:szCs w:val="21"/>
                <w:highlight w:val="none"/>
                <w:lang w:val="en-US" w:eastAsia="zh-CN"/>
              </w:rPr>
              <w:t xml:space="preserve">总</w:t>
            </w:r>
            <w:r>
              <w:rPr>
                <w:rFonts w:hint="eastAsia" w:asciiTheme="minorEastAsia" w:hAnsiTheme="minorEastAsia" w:eastAsiaTheme="minorEastAsia" w:cstheme="minorEastAsia"/>
                <w:color w:val="auto"/>
                <w:sz w:val="21"/>
                <w:szCs w:val="21"/>
                <w:highlight w:val="none"/>
                <w:lang w:val="en-US" w:eastAsia="zh-CN"/>
              </w:rPr>
              <w:t xml:space="preserve">时间不超过10分钟，</w:t>
            </w:r>
            <w:r>
              <w:rPr>
                <w:rFonts w:hint="eastAsia" w:asciiTheme="minorEastAsia" w:hAnsiTheme="minorEastAsia" w:cstheme="minorEastAsia"/>
                <w:color w:val="auto"/>
                <w:sz w:val="21"/>
                <w:szCs w:val="21"/>
                <w:highlight w:val="none"/>
                <w:lang w:val="en-US" w:eastAsia="zh-CN"/>
              </w:rPr>
              <w:t xml:space="preserve">评委</w:t>
            </w:r>
            <w:r>
              <w:rPr>
                <w:rFonts w:hint="eastAsia" w:asciiTheme="minorEastAsia" w:hAnsiTheme="minorEastAsia" w:eastAsiaTheme="minorEastAsia" w:cstheme="minorEastAsia"/>
                <w:color w:val="auto"/>
                <w:sz w:val="21"/>
                <w:szCs w:val="21"/>
                <w:highlight w:val="none"/>
                <w:lang w:val="en-US" w:eastAsia="zh-CN"/>
              </w:rPr>
              <w:t xml:space="preserve">根据演示内容的功能完整性、整体集成性、操作简便性、效果流畅性和页面设计美观性等进行评分</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演示总分</w:t>
            </w:r>
            <w:r>
              <w:rPr>
                <w:rFonts w:hint="eastAsia" w:asciiTheme="minorEastAsia" w:hAnsiTheme="minorEastAsia" w:cstheme="minorEastAsia"/>
                <w:color w:val="auto"/>
                <w:sz w:val="21"/>
                <w:szCs w:val="21"/>
                <w:highlight w:val="none"/>
                <w:lang w:val="en-US" w:eastAsia="zh-CN"/>
              </w:rPr>
              <w:t xml:space="preserve">16</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cstheme="minorEastAsia"/>
                <w:color w:val="auto"/>
                <w:sz w:val="21"/>
                <w:szCs w:val="21"/>
                <w:highlight w:val="none"/>
                <w:lang w:val="en-US" w:eastAsia="zh-CN"/>
              </w:rPr>
              <w:t xml:space="preserve">功能演示</w:t>
            </w:r>
            <w:r>
              <w:rPr>
                <w:rFonts w:hint="default" w:asciiTheme="minorEastAsia" w:hAnsiTheme="minorEastAsia" w:eastAsiaTheme="minorEastAsia" w:cstheme="minorEastAsia"/>
                <w:color w:val="auto"/>
                <w:sz w:val="21"/>
                <w:szCs w:val="21"/>
                <w:highlight w:val="none"/>
                <w:lang w:val="zh-CN" w:eastAsia="zh-CN"/>
              </w:rPr>
              <w:t xml:space="preserve">内容每有一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w:t>
            </w:r>
            <w:r>
              <w:rPr>
                <w:rFonts w:hint="eastAsia" w:asciiTheme="minorEastAsia" w:hAnsiTheme="minorEastAsia" w:eastAsiaTheme="minorEastAsia" w:cstheme="minorEastAsia"/>
                <w:color w:val="auto"/>
                <w:sz w:val="21"/>
                <w:szCs w:val="21"/>
                <w:highlight w:val="none"/>
                <w:lang w:val="en-US" w:eastAsia="zh-CN"/>
              </w:rPr>
              <w:t xml:space="preserve">功能完整性</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整体集成性、操作简便性、效果流畅性和页面设计美观性</w:t>
            </w:r>
            <w:r>
              <w:rPr>
                <w:rFonts w:hint="eastAsia" w:asciiTheme="minorEastAsia" w:hAnsiTheme="minorEastAsia" w:cstheme="minorEastAsia"/>
                <w:color w:val="auto"/>
                <w:sz w:val="21"/>
                <w:szCs w:val="21"/>
                <w:highlight w:val="none"/>
                <w:lang w:val="en-US" w:eastAsia="zh-CN"/>
              </w:rPr>
              <w:t xml:space="preserve">不足</w:t>
            </w:r>
            <w:r>
              <w:rPr>
                <w:rFonts w:hint="default" w:asciiTheme="minorEastAsia" w:hAnsiTheme="minorEastAsia" w:eastAsiaTheme="minorEastAsia" w:cstheme="minorEastAsia"/>
                <w:color w:val="auto"/>
                <w:sz w:val="21"/>
                <w:szCs w:val="21"/>
                <w:highlight w:val="none"/>
                <w:lang w:val="zh-CN" w:eastAsia="zh-CN"/>
              </w:rPr>
              <w:t xml:space="preserve">等任意一种情形）的扣</w:t>
            </w:r>
            <w:r>
              <w:rPr>
                <w:rFonts w:hint="eastAsia" w:asciiTheme="minorEastAsia" w:hAnsiTheme="minorEastAsia" w:cstheme="minorEastAsia"/>
                <w:color w:val="auto"/>
                <w:sz w:val="21"/>
                <w:szCs w:val="21"/>
                <w:highlight w:val="none"/>
                <w:lang w:val="en-US" w:eastAsia="zh-CN"/>
              </w:rPr>
              <w:t xml:space="preserve">0.5</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w:t>
            </w:r>
            <w:r>
              <w:rPr>
                <w:rFonts w:hint="eastAsia" w:asciiTheme="minorEastAsia" w:hAnsiTheme="minorEastAsia" w:eastAsiaTheme="minorEastAsia" w:cstheme="minorEastAsia"/>
                <w:color w:val="auto"/>
                <w:sz w:val="21"/>
                <w:szCs w:val="21"/>
                <w:highlight w:val="none"/>
                <w:lang w:val="en-US" w:eastAsia="zh-CN"/>
              </w:rPr>
              <w:t xml:space="preserve">采用PPT讲解方式演示</w:t>
            </w:r>
            <w:r>
              <w:rPr>
                <w:rFonts w:hint="eastAsia" w:asciiTheme="minorEastAsia" w:hAnsiTheme="minorEastAsia" w:cstheme="minorEastAsia"/>
                <w:color w:val="auto"/>
                <w:sz w:val="21"/>
                <w:szCs w:val="21"/>
                <w:highlight w:val="none"/>
                <w:lang w:val="en-US" w:eastAsia="zh-CN"/>
              </w:rPr>
              <w:t xml:space="preserve">或</w:t>
            </w:r>
            <w:r>
              <w:rPr>
                <w:rFonts w:hint="default" w:asciiTheme="minorEastAsia" w:hAnsiTheme="minorEastAsia" w:eastAsiaTheme="minorEastAsia" w:cstheme="minorEastAsia"/>
                <w:color w:val="auto"/>
                <w:sz w:val="21"/>
                <w:szCs w:val="21"/>
                <w:highlight w:val="none"/>
                <w:lang w:val="zh-CN" w:eastAsia="zh-CN"/>
              </w:rPr>
              <w:t xml:space="preserve">不提供</w:t>
            </w:r>
            <w:r>
              <w:rPr>
                <w:rFonts w:hint="eastAsia" w:asciiTheme="minorEastAsia" w:hAnsiTheme="minorEastAsia" w:eastAsiaTheme="minorEastAsia" w:cstheme="minorEastAsia"/>
                <w:color w:val="auto"/>
                <w:sz w:val="21"/>
                <w:szCs w:val="21"/>
                <w:highlight w:val="none"/>
                <w:lang w:val="en-US" w:eastAsia="zh-CN"/>
              </w:rPr>
              <w:t xml:space="preserve">的</w:t>
            </w:r>
            <w:r>
              <w:rPr>
                <w:rFonts w:hint="default" w:asciiTheme="minorEastAsia" w:hAnsiTheme="minorEastAsia" w:eastAsiaTheme="minorEastAsia" w:cstheme="minorEastAsia"/>
                <w:color w:val="auto"/>
                <w:sz w:val="21"/>
                <w:szCs w:val="21"/>
                <w:highlight w:val="none"/>
                <w:lang w:val="zh-CN" w:eastAsia="zh-CN"/>
              </w:rPr>
              <w:t xml:space="preserve">不得分。</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yellow"/>
              </w:rPr>
            </w:pPr>
            <w:r>
              <w:rPr>
                <w:rFonts w:hint="eastAsia" w:asciiTheme="minorEastAsia" w:hAnsiTheme="minorEastAsia" w:cstheme="minorEastAsia"/>
                <w:b/>
                <w:bCs/>
                <w:color w:val="auto"/>
                <w:sz w:val="21"/>
                <w:szCs w:val="21"/>
                <w:highlight w:val="yellow"/>
                <w:lang w:val="en-US" w:eastAsia="zh-CN"/>
              </w:rPr>
              <w:t xml:space="preserve">1、</w:t>
            </w:r>
            <w:r>
              <w:rPr>
                <w:rFonts w:hint="eastAsia" w:asciiTheme="minorEastAsia" w:hAnsiTheme="minorEastAsia" w:eastAsiaTheme="minorEastAsia" w:cstheme="minorEastAsia"/>
                <w:b/>
                <w:bCs/>
                <w:color w:val="auto"/>
                <w:sz w:val="21"/>
                <w:szCs w:val="21"/>
                <w:highlight w:val="yellow"/>
                <w:lang w:val="en-US" w:eastAsia="zh-CN"/>
              </w:rPr>
              <w:t xml:space="preserve">智能综合研判分析演示</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（1）</w:t>
            </w:r>
            <w:r>
              <w:rPr>
                <w:rFonts w:hint="eastAsia" w:asciiTheme="minorEastAsia" w:hAnsiTheme="minorEastAsia" w:eastAsiaTheme="minorEastAsia" w:cstheme="minorEastAsia"/>
                <w:color w:val="auto"/>
                <w:sz w:val="21"/>
                <w:szCs w:val="21"/>
                <w:highlight w:val="yellow"/>
                <w:lang w:val="en-US" w:eastAsia="zh-CN"/>
              </w:rPr>
              <w:t xml:space="preserve">融合时空档案：演示以身份证号或姓名发起检索，系统秒级关联展示身份信息、住宿记录、感知抓拍等数据，自动整合生成人员时空档案与多维画像。</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（2）</w:t>
            </w:r>
            <w:r>
              <w:rPr>
                <w:rFonts w:hint="eastAsia" w:asciiTheme="minorEastAsia" w:hAnsiTheme="minorEastAsia" w:eastAsiaTheme="minorEastAsia" w:cstheme="minorEastAsia"/>
                <w:color w:val="auto"/>
                <w:sz w:val="21"/>
                <w:szCs w:val="21"/>
                <w:highlight w:val="yellow"/>
                <w:lang w:val="en-US" w:eastAsia="zh-CN"/>
              </w:rPr>
              <w:t xml:space="preserve">关联碰撞预警：演示系统自动聚合关联警情、历史涉案、同行人等信息，开展多维碰撞分析，实时呈现风险积分、关系图谱和异常轨迹预警。</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（3）</w:t>
            </w:r>
            <w:r>
              <w:rPr>
                <w:rFonts w:hint="eastAsia" w:asciiTheme="minorEastAsia" w:hAnsiTheme="minorEastAsia" w:eastAsiaTheme="minorEastAsia" w:cstheme="minorEastAsia"/>
                <w:color w:val="auto"/>
                <w:sz w:val="21"/>
                <w:szCs w:val="21"/>
                <w:highlight w:val="yellow"/>
                <w:lang w:val="en-US" w:eastAsia="zh-CN"/>
              </w:rPr>
              <w:t xml:space="preserve">智能研判报告：演示人工智能引擎基于检索结果，即时生成涵盖基本信息、人员标签、行为规律、异常预警的综合研判报告，支持一键导出与多格式分享研判报告。</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（4）</w:t>
            </w:r>
            <w:r>
              <w:rPr>
                <w:rFonts w:hint="eastAsia" w:asciiTheme="minorEastAsia" w:hAnsiTheme="minorEastAsia" w:eastAsiaTheme="minorEastAsia" w:cstheme="minorEastAsia"/>
                <w:color w:val="auto"/>
                <w:sz w:val="21"/>
                <w:szCs w:val="21"/>
                <w:highlight w:val="yellow"/>
                <w:lang w:val="en-US" w:eastAsia="zh-CN"/>
              </w:rPr>
              <w:t xml:space="preserve">二次精准分析：演示用户对研判结果提出追问后，AI自动聚焦追问要点，发起针对性二次深度分析，挖掘潜在关联与风险线索，动态更新研判逻辑和研判结论。</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安保实战管理</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（1）警力资源调阅：演示调用安保活动周边监控摄像头、执法记录仪视频、350M电台定位等各类一线警力资源</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实现活动现场</w:t>
            </w:r>
            <w:r>
              <w:rPr>
                <w:rFonts w:hint="eastAsia" w:asciiTheme="minorEastAsia" w:hAnsiTheme="minorEastAsia" w:cstheme="minorEastAsia"/>
                <w:color w:val="auto"/>
                <w:sz w:val="21"/>
                <w:szCs w:val="21"/>
                <w:highlight w:val="none"/>
                <w:lang w:val="en-US" w:eastAsia="zh-CN"/>
              </w:rPr>
              <w:t xml:space="preserve">安保力量</w:t>
            </w:r>
            <w:r>
              <w:rPr>
                <w:rFonts w:hint="eastAsia" w:asciiTheme="minorEastAsia" w:hAnsiTheme="minorEastAsia" w:eastAsiaTheme="minorEastAsia" w:cstheme="minorEastAsia"/>
                <w:color w:val="auto"/>
                <w:sz w:val="21"/>
                <w:szCs w:val="21"/>
                <w:highlight w:val="none"/>
                <w:lang w:val="en-US" w:eastAsia="zh-CN"/>
              </w:rPr>
              <w:t xml:space="preserve">实时可视化展示，掌握在岗警力位置、布防分布。</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（2）安保路线规划：演示针对安保任务规划通行、疏散、应急勤务路线，依托电子地图完成点位标注可视化展示。</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（3）编制安保预案：</w:t>
            </w:r>
            <w:r>
              <w:rPr>
                <w:rFonts w:hint="eastAsia" w:asciiTheme="minorEastAsia" w:hAnsiTheme="minorEastAsia" w:cstheme="minorEastAsia"/>
                <w:color w:val="auto"/>
                <w:sz w:val="21"/>
                <w:szCs w:val="21"/>
                <w:highlight w:val="none"/>
                <w:lang w:val="en-US" w:eastAsia="zh-CN"/>
              </w:rPr>
              <w:t xml:space="preserve">在地图上直接标注安保分区、封控圈、执勤点位、应急救援点、分流通道，绑定警力、装备、视频、350M电台</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（4）街面警情分析：演示自动归集、研判辖区各类街面警情数据；自动生成警情质态分析报告、内部工作通报，同步触发各类重大风险警情分级预警。</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（5）勤务指令推送：演示向各片区、各勤务组下发安保任务、现场处置指令，多渠道直达一线执勤终端；后台自动汇总、实时统计全体执勤人员到岗履职数据。</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实战模型</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数据实战模型</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平台累计建设的模型总量、总预警次数，并按人员类、警情类、案件类、车辆类等业务维度，分类展示对应领域的模型数量与预警总量。</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单模型业务能力</w:t>
            </w:r>
            <w:r>
              <w:rPr>
                <w:rFonts w:hint="eastAsia" w:asciiTheme="minorEastAsia" w:hAnsiTheme="minorEastAsia" w:cstheme="minorEastAsia"/>
                <w:color w:val="auto"/>
                <w:sz w:val="21"/>
                <w:szCs w:val="21"/>
                <w:highlight w:val="none"/>
                <w:lang w:val="en-US" w:eastAsia="zh-CN"/>
              </w:rPr>
              <w:t xml:space="preserve">：演示单个</w:t>
            </w:r>
            <w:r>
              <w:rPr>
                <w:rFonts w:hint="eastAsia" w:asciiTheme="minorEastAsia" w:hAnsiTheme="minorEastAsia" w:eastAsiaTheme="minorEastAsia" w:cstheme="minorEastAsia"/>
                <w:color w:val="auto"/>
                <w:sz w:val="21"/>
                <w:szCs w:val="21"/>
                <w:highlight w:val="none"/>
                <w:lang w:val="en-US" w:eastAsia="zh-CN"/>
              </w:rPr>
              <w:t xml:space="preserve">模型</w:t>
            </w:r>
            <w:r>
              <w:rPr>
                <w:rFonts w:hint="eastAsia" w:asciiTheme="minorEastAsia" w:hAnsiTheme="minorEastAsia" w:cstheme="minorEastAsia"/>
                <w:color w:val="auto"/>
                <w:sz w:val="21"/>
                <w:szCs w:val="21"/>
                <w:highlight w:val="none"/>
                <w:lang w:val="en-US" w:eastAsia="zh-CN"/>
              </w:rPr>
              <w:t xml:space="preserve">功能</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（3）平台个性化配置：</w:t>
            </w:r>
            <w:r>
              <w:rPr>
                <w:rFonts w:hint="eastAsia" w:asciiTheme="minorEastAsia" w:hAnsiTheme="minorEastAsia" w:eastAsiaTheme="minorEastAsia" w:cstheme="minorEastAsia"/>
                <w:color w:val="auto"/>
                <w:sz w:val="21"/>
                <w:szCs w:val="21"/>
                <w:highlight w:val="none"/>
                <w:lang w:val="en-US" w:eastAsia="zh-CN"/>
              </w:rPr>
              <w:t xml:space="preserve">演示日常高频使用、重点跟进的模型加入</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w:t>
            </w:r>
            <w:r>
              <w:rPr>
                <w:rFonts w:hint="eastAsia" w:asciiTheme="minorEastAsia" w:hAnsiTheme="minorEastAsia" w:cstheme="minorEastAsia"/>
                <w:color w:val="auto"/>
                <w:sz w:val="21"/>
                <w:szCs w:val="21"/>
                <w:highlight w:val="none"/>
                <w:lang w:val="en-US" w:eastAsia="zh-CN"/>
              </w:rPr>
              <w:t xml:space="preserve">，实现在关注或收藏</w:t>
            </w:r>
            <w:r>
              <w:rPr>
                <w:rFonts w:hint="eastAsia" w:asciiTheme="minorEastAsia" w:hAnsiTheme="minorEastAsia" w:eastAsiaTheme="minorEastAsia" w:cstheme="minorEastAsia"/>
                <w:color w:val="auto"/>
                <w:sz w:val="21"/>
                <w:szCs w:val="21"/>
                <w:highlight w:val="none"/>
                <w:lang w:val="en-US" w:eastAsia="zh-CN"/>
              </w:rPr>
              <w:t xml:space="preserve">标签页</w:t>
            </w:r>
            <w:r>
              <w:rPr>
                <w:rFonts w:hint="eastAsia" w:asciiTheme="minorEastAsia" w:hAnsi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lang w:val="en-US" w:eastAsia="zh-CN"/>
              </w:rPr>
              <w:t xml:space="preserve">，快速调取已</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收藏的模型。</w:t>
            </w:r>
            <w:r/>
          </w:p>
          <w:p>
            <w:pPr>
              <w:pStyle w:val="769"/>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警务大模型基础能力</w:t>
            </w:r>
            <w:r>
              <w:rPr>
                <w:rFonts w:hint="eastAsia" w:asciiTheme="minorEastAsia" w:hAnsiTheme="minorEastAsia" w:cstheme="minorEastAsia"/>
                <w:b/>
                <w:bCs/>
                <w:color w:val="auto"/>
                <w:sz w:val="21"/>
                <w:szCs w:val="21"/>
                <w:highlight w:val="none"/>
                <w:lang w:val="en-US" w:eastAsia="zh-CN"/>
              </w:rPr>
              <w:t xml:space="preserve">（智能体）</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多模态警情智能解析：</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输入一段报警录音</w:t>
            </w:r>
            <w:r>
              <w:rPr>
                <w:rFonts w:hint="eastAsia" w:asciiTheme="minorEastAsia" w:hAnsi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lang w:val="en-US" w:eastAsia="zh-CN"/>
              </w:rPr>
              <w:t xml:space="preserve">模糊警情描述，实现大模型自动完成警情分类、要素提取（时间、地点、涉事人、事件类型）、风险分级，输出结构化警务标准格式，触发大模型自动解析，精准提取事发时间、地点、涉事主体、核心事件等全量要素</w:t>
            </w:r>
            <w:r>
              <w:rPr>
                <w:rFonts w:hint="eastAsia" w:asciiTheme="minorEastAsia" w:hAnsiTheme="minorEastAsia" w:cstheme="minorEastAsia"/>
                <w:color w:val="auto"/>
                <w:sz w:val="21"/>
                <w:szCs w:val="21"/>
                <w:highlight w:val="none"/>
                <w:lang w:val="en-US" w:eastAsia="zh-CN"/>
              </w:rPr>
              <w:t xml:space="preserve">；</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（2）智能体编排工作台：</w:t>
            </w:r>
            <w:r>
              <w:rPr>
                <w:rFonts w:hint="eastAsia" w:asciiTheme="minorEastAsia" w:hAnsiTheme="minorEastAsia" w:eastAsiaTheme="minorEastAsia" w:cstheme="minorEastAsia"/>
                <w:color w:val="auto"/>
                <w:sz w:val="21"/>
                <w:szCs w:val="21"/>
                <w:highlight w:val="none"/>
                <w:lang w:val="en-US" w:eastAsia="zh-CN"/>
              </w:rPr>
              <w:t xml:space="preserve">演示依托算力平台，进入智能体编排工作台，</w:t>
            </w:r>
            <w:r>
              <w:rPr>
                <w:rFonts w:hint="eastAsia" w:asciiTheme="minorEastAsia" w:hAnsiTheme="minorEastAsia" w:cstheme="minorEastAsia"/>
                <w:color w:val="auto"/>
                <w:sz w:val="21"/>
                <w:szCs w:val="21"/>
                <w:highlight w:val="none"/>
                <w:lang w:val="en-US" w:eastAsia="zh-CN"/>
              </w:rPr>
              <w:t xml:space="preserve">通过</w:t>
            </w:r>
            <w:r>
              <w:rPr>
                <w:rFonts w:hint="eastAsia" w:asciiTheme="minorEastAsia" w:hAnsiTheme="minorEastAsia" w:eastAsiaTheme="minorEastAsia" w:cstheme="minorEastAsia"/>
                <w:color w:val="auto"/>
                <w:sz w:val="21"/>
                <w:szCs w:val="21"/>
                <w:highlight w:val="none"/>
                <w:lang w:val="en-US" w:eastAsia="zh-CN"/>
              </w:rPr>
              <w:t xml:space="preserve">拖拽</w:t>
            </w:r>
            <w:r>
              <w:rPr>
                <w:rFonts w:hint="eastAsia" w:asciiTheme="minorEastAsia" w:hAnsiTheme="minorEastAsia" w:cstheme="minorEastAsia"/>
                <w:color w:val="auto"/>
                <w:sz w:val="21"/>
                <w:szCs w:val="21"/>
                <w:highlight w:val="none"/>
                <w:lang w:val="en-US" w:eastAsia="zh-CN"/>
              </w:rPr>
              <w:t xml:space="preserve">组合</w:t>
            </w:r>
            <w:r>
              <w:rPr>
                <w:rFonts w:hint="eastAsia" w:asciiTheme="minorEastAsia" w:hAnsiTheme="minorEastAsia" w:eastAsiaTheme="minorEastAsia" w:cstheme="minorEastAsia"/>
                <w:color w:val="auto"/>
                <w:sz w:val="21"/>
                <w:szCs w:val="21"/>
                <w:highlight w:val="none"/>
                <w:lang w:val="en-US" w:eastAsia="zh-CN"/>
              </w:rPr>
              <w:t xml:space="preserve">界面预置的能力组件（如自然语言理解、图像识别、数据查询等），</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快速搭建</w:t>
            </w:r>
            <w:r>
              <w:rPr>
                <w:rFonts w:hint="eastAsia" w:asciiTheme="minorEastAsia" w:hAnsiTheme="minorEastAsia" w:cstheme="minorEastAsia"/>
                <w:color w:val="auto"/>
                <w:sz w:val="21"/>
                <w:szCs w:val="21"/>
                <w:highlight w:val="none"/>
                <w:lang w:val="en-US" w:eastAsia="zh-CN"/>
              </w:rPr>
              <w:t xml:space="preserve">；</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（3）权限配置：</w:t>
            </w:r>
            <w:r>
              <w:rPr>
                <w:rFonts w:hint="eastAsia" w:asciiTheme="minorEastAsia" w:hAnsiTheme="minorEastAsia" w:eastAsiaTheme="minorEastAsia" w:cstheme="minorEastAsia"/>
                <w:color w:val="auto"/>
                <w:sz w:val="21"/>
                <w:szCs w:val="21"/>
                <w:highlight w:val="none"/>
                <w:lang w:val="en-US" w:eastAsia="zh-CN"/>
              </w:rPr>
              <w:t xml:space="preserve">演示不同角色（如民警、管理员）的操作权限差异</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智能体的权限配置（如数据访问范围、API调用限制）</w:t>
            </w:r>
            <w:r>
              <w:rPr>
                <w:rFonts w:hint="eastAsia" w:asciiTheme="minorEastAsia" w:hAnsiTheme="minorEastAsia" w:cstheme="minorEastAsia"/>
                <w:color w:val="auto"/>
                <w:sz w:val="21"/>
                <w:szCs w:val="21"/>
                <w:highlight w:val="none"/>
                <w:lang w:val="en-US" w:eastAsia="zh-CN"/>
              </w:rPr>
              <w:t xml:space="preserve">；</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（4）智能体发布：</w:t>
            </w:r>
            <w:r>
              <w:rPr>
                <w:rFonts w:hint="eastAsia" w:asciiTheme="minorEastAsia" w:hAnsiTheme="minorEastAsia" w:eastAsiaTheme="minorEastAsia" w:cstheme="minorEastAsia"/>
                <w:color w:val="auto"/>
                <w:sz w:val="21"/>
                <w:szCs w:val="21"/>
                <w:highlight w:val="none"/>
                <w:lang w:val="en-US" w:eastAsia="zh-CN"/>
              </w:rPr>
              <w:t xml:space="preserve">演示</w:t>
            </w:r>
            <w:r>
              <w:rPr>
                <w:rFonts w:hint="eastAsia" w:asciiTheme="minorEastAsia" w:hAnsiTheme="minorEastAsia" w:cstheme="minorEastAsia"/>
                <w:color w:val="auto"/>
                <w:sz w:val="21"/>
                <w:szCs w:val="21"/>
                <w:highlight w:val="none"/>
                <w:lang w:val="en-US" w:eastAsia="zh-CN"/>
              </w:rPr>
              <w:t xml:space="preserve">将智能体</w:t>
            </w:r>
            <w:r>
              <w:rPr>
                <w:rFonts w:hint="eastAsia" w:asciiTheme="minorEastAsia" w:hAnsiTheme="minorEastAsia" w:eastAsiaTheme="minorEastAsia" w:cstheme="minorEastAsia"/>
                <w:color w:val="auto"/>
                <w:sz w:val="21"/>
                <w:szCs w:val="21"/>
                <w:highlight w:val="none"/>
                <w:lang w:val="en-US" w:eastAsia="zh-CN"/>
              </w:rPr>
              <w:t xml:space="preserve">发布到能力市场</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第三方开发者通过SDK调用已发布的智能体，快速集成到自有系统</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警务大模型为可复用的智能体服务</w:t>
            </w:r>
            <w:r>
              <w:rPr>
                <w:rFonts w:hint="eastAsia" w:asciiTheme="minorEastAsia" w:hAnsi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16分</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企业</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69"/>
              <w:numPr>
                <w:ilvl w:val="0"/>
                <w:numId w:val="15"/>
              </w:numPr>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投标人具有有效期内的第三方机构颁发的，且在全国认证认可信息服务平台查询状态必须是合格状态的</w:t>
            </w:r>
            <w:r>
              <w:rPr>
                <w:rFonts w:hint="eastAsia" w:asciiTheme="minorEastAsia" w:hAnsiTheme="minorEastAsia" w:eastAsiaTheme="minorEastAsia" w:cstheme="minorEastAsia"/>
                <w:b/>
                <w:bCs/>
                <w:color w:val="auto"/>
                <w:sz w:val="21"/>
                <w:szCs w:val="21"/>
                <w:highlight w:val="none"/>
                <w:lang w:val="en-US" w:eastAsia="zh-CN"/>
              </w:rPr>
              <w:t xml:space="preserve">环境管理体系认证证书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职业健康安全管理体系认证证书、质量管理体系认证证书、人工智能管理体系认证证书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信息技术服务管理体系认证证书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信息安全管理体系认证</w:t>
            </w:r>
            <w:r>
              <w:rPr>
                <w:rFonts w:hint="eastAsia" w:asciiTheme="minorEastAsia" w:hAnsiTheme="minorEastAsia" w:eastAsiaTheme="minorEastAsia" w:cstheme="minorEastAsia"/>
                <w:b/>
                <w:bCs/>
                <w:color w:val="auto"/>
                <w:sz w:val="21"/>
                <w:szCs w:val="21"/>
                <w:highlight w:val="none"/>
              </w:rPr>
              <w:t xml:space="preserve">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color w:val="auto"/>
                <w:sz w:val="21"/>
                <w:szCs w:val="21"/>
                <w:highlight w:val="none"/>
              </w:rPr>
              <w:t xml:space="preserve">一项得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本项</w:t>
            </w:r>
            <w:r>
              <w:rPr>
                <w:rFonts w:hint="eastAsia" w:asciiTheme="minorEastAsia" w:hAnsiTheme="minorEastAsia" w:eastAsiaTheme="minorEastAsia" w:cstheme="minorEastAsia"/>
                <w:color w:val="auto"/>
                <w:sz w:val="21"/>
                <w:szCs w:val="21"/>
                <w:highlight w:val="none"/>
              </w:rPr>
              <w:t xml:space="preserve">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pStyle w:val="769"/>
              <w:numPr>
                <w:ilvl w:val="0"/>
                <w:numId w:val="0"/>
              </w:numPr>
              <w:ind w:firstLine="21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6</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团队</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1、本项目项目经理同时具有数字经济（电子信息）工程专业高级工程师、信息系统项目管理师、信创集成项目管理师、系统分析师证书，每提供1种证书得0.5分，本项最高得2分，未提供不得分。</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2、本项目项目技术负责人（与项目经理非同一人）同时具有高级工程师、系统规划与管理师、信息与通信工程师、注册信息安全专业人员（CISP）证书的，每提供1种证书得0.5分，本项最高得2分，未提供不得分。</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驻场研发人员</w:t>
            </w:r>
            <w:r>
              <w:rPr>
                <w:rFonts w:hint="eastAsia" w:asciiTheme="minorEastAsia" w:hAnsiTheme="minorEastAsia" w:eastAsiaTheme="minorEastAsia" w:cstheme="minorEastAsia"/>
                <w:color w:val="auto"/>
                <w:sz w:val="21"/>
                <w:szCs w:val="21"/>
                <w:highlight w:val="none"/>
                <w:lang w:val="en-US" w:eastAsia="zh-CN"/>
              </w:rPr>
              <w:t xml:space="preserve">（除项目经理、技术负责人外）分别具备网络规划设计师、通信工程师、注册信息安全专业人员（CISP）</w:t>
            </w:r>
            <w:r>
              <w:rPr>
                <w:rFonts w:hint="eastAsia" w:asciiTheme="minorEastAsia" w:hAnsiTheme="minorEastAsia" w:cstheme="minorEastAsia"/>
                <w:color w:val="auto"/>
                <w:sz w:val="21"/>
                <w:szCs w:val="21"/>
                <w:highlight w:val="none"/>
                <w:lang w:val="en-US" w:eastAsia="zh-CN"/>
              </w:rPr>
              <w:t xml:space="preserve">、系统集成项目管理工程师证书的</w:t>
            </w:r>
            <w:r>
              <w:rPr>
                <w:rFonts w:hint="eastAsia" w:asciiTheme="minorEastAsia" w:hAnsiTheme="minorEastAsia" w:eastAsiaTheme="minorEastAsia" w:cstheme="minorEastAsia"/>
                <w:color w:val="auto"/>
                <w:sz w:val="21"/>
                <w:szCs w:val="21"/>
                <w:highlight w:val="none"/>
                <w:lang w:val="en-US" w:eastAsia="zh-CN"/>
              </w:rPr>
              <w:t xml:space="preserve">，每提供1种证书得0.5分，本项最高得2分，一人多证只计一次不重复得分，未提供不得分。</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注：投标时须提供加盖公章的证书扫描件和本单位为其缴纳的近3个月（不含投标当月）任意一个月的社保证明扫描件，否则不得分。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12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69"/>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投标人2023年1月1日以来承接过</w:t>
            </w:r>
            <w:r>
              <w:rPr>
                <w:rFonts w:hint="eastAsia" w:asciiTheme="minorEastAsia" w:hAnsiTheme="minorEastAsia" w:eastAsiaTheme="minorEastAsia" w:cstheme="minorEastAsia"/>
                <w:b/>
                <w:bCs/>
                <w:color w:val="auto"/>
                <w:sz w:val="21"/>
                <w:szCs w:val="21"/>
                <w:highlight w:val="none"/>
                <w:lang w:val="en-US" w:eastAsia="zh-CN"/>
              </w:rPr>
              <w:t xml:space="preserve">类似项目业绩</w:t>
            </w:r>
            <w:r>
              <w:rPr>
                <w:rFonts w:hint="eastAsia" w:asciiTheme="minorEastAsia" w:hAnsiTheme="minorEastAsia" w:eastAsiaTheme="minorEastAsia" w:cstheme="minorEastAsia"/>
                <w:color w:val="auto"/>
                <w:sz w:val="21"/>
                <w:szCs w:val="21"/>
                <w:highlight w:val="none"/>
                <w:lang w:val="en-US" w:eastAsia="zh-CN"/>
              </w:rPr>
              <w:t xml:space="preserve">的，每提供一项得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分，最高得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分。（投标时需须同时提供</w:t>
            </w:r>
            <w:r>
              <w:rPr>
                <w:rFonts w:hint="eastAsia" w:asciiTheme="minorEastAsia" w:hAnsiTheme="minorEastAsia" w:cstheme="minorEastAsia"/>
                <w:color w:val="auto"/>
                <w:sz w:val="21"/>
                <w:szCs w:val="21"/>
                <w:highlight w:val="none"/>
                <w:lang w:val="en-US" w:eastAsia="zh-CN"/>
              </w:rPr>
              <w:t xml:space="preserve">中标通知书、</w:t>
            </w:r>
            <w:r>
              <w:rPr>
                <w:rFonts w:hint="eastAsia" w:asciiTheme="minorEastAsia" w:hAnsiTheme="minorEastAsia" w:eastAsiaTheme="minorEastAsia" w:cstheme="minorEastAsia"/>
                <w:color w:val="auto"/>
                <w:sz w:val="21"/>
                <w:szCs w:val="21"/>
                <w:highlight w:val="none"/>
                <w:lang w:val="en-US" w:eastAsia="zh-CN"/>
              </w:rPr>
              <w:t xml:space="preserve">验收报告扫描件、合同扫描件，缺一项不得分）。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2</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69"/>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val="zh-CN" w:eastAsia="zh-CN"/>
              </w:rPr>
              <w:t xml:space="preserve">根据第四章</w:t>
            </w:r>
            <w:r>
              <w:rPr>
                <w:rFonts w:hint="eastAsia" w:asciiTheme="minorEastAsia" w:hAnsiTheme="minorEastAsia" w:eastAsiaTheme="minorEastAsia" w:cstheme="minorEastAsia"/>
                <w:color w:val="auto"/>
                <w:sz w:val="21"/>
                <w:szCs w:val="21"/>
                <w:highlight w:val="none"/>
                <w:lang w:val="en-US" w:eastAsia="zh-CN"/>
              </w:rPr>
              <w:t xml:space="preserve">采购需求编制技术服务方案，</w:t>
            </w:r>
            <w:r>
              <w:rPr>
                <w:rFonts w:hint="eastAsia" w:asciiTheme="minorEastAsia" w:hAnsiTheme="minorEastAsia" w:eastAsiaTheme="minorEastAsia" w:cstheme="minorEastAsia"/>
                <w:color w:val="auto"/>
                <w:sz w:val="21"/>
                <w:szCs w:val="21"/>
                <w:highlight w:val="none"/>
                <w:lang w:val="zh-CN" w:eastAsia="zh-CN"/>
              </w:rPr>
              <w:t xml:space="preserve">至少要包括（</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货物采购方案；（2）安装施工方案；（3）资源安排</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质量控制及工期保障方案；（4）应急</w:t>
            </w:r>
            <w:r>
              <w:rPr>
                <w:rFonts w:hint="eastAsia" w:asciiTheme="minorEastAsia" w:hAnsiTheme="minorEastAsia" w:cstheme="minorEastAsia"/>
                <w:color w:val="auto"/>
                <w:sz w:val="21"/>
                <w:szCs w:val="21"/>
                <w:highlight w:val="none"/>
                <w:lang w:val="en-US" w:eastAsia="zh-CN"/>
              </w:rPr>
              <w:t xml:space="preserve">及安全保障</w:t>
            </w:r>
            <w:r>
              <w:rPr>
                <w:rFonts w:hint="eastAsia" w:asciiTheme="minorEastAsia" w:hAnsiTheme="minorEastAsia" w:eastAsiaTheme="minorEastAsia" w:cstheme="minorEastAsia"/>
                <w:color w:val="auto"/>
                <w:sz w:val="21"/>
                <w:szCs w:val="21"/>
                <w:highlight w:val="none"/>
                <w:lang w:val="en-US" w:eastAsia="zh-CN"/>
              </w:rPr>
              <w:t xml:space="preserve">方案；（5）系统调试及验收方案；（</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en-US" w:eastAsia="zh-CN"/>
              </w:rPr>
              <w:t xml:space="preserve">）运维</w:t>
            </w:r>
            <w:r>
              <w:rPr>
                <w:rFonts w:hint="eastAsia" w:asciiTheme="minorEastAsia" w:hAnsiTheme="minorEastAsia" w:cstheme="minorEastAsia"/>
                <w:color w:val="auto"/>
                <w:sz w:val="21"/>
                <w:szCs w:val="21"/>
                <w:highlight w:val="none"/>
                <w:lang w:val="en-US" w:eastAsia="zh-CN"/>
              </w:rPr>
              <w:t xml:space="preserve">及售后</w:t>
            </w:r>
            <w:r>
              <w:rPr>
                <w:rFonts w:hint="eastAsia" w:asciiTheme="minorEastAsia" w:hAnsiTheme="minorEastAsia" w:eastAsiaTheme="minorEastAsia" w:cstheme="minorEastAsia"/>
                <w:color w:val="auto"/>
                <w:sz w:val="21"/>
                <w:szCs w:val="21"/>
                <w:highlight w:val="none"/>
                <w:lang w:val="en-US" w:eastAsia="zh-CN"/>
              </w:rPr>
              <w:t xml:space="preserve">服务方案；（</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）算力本地化部署方案。</w:t>
            </w:r>
            <w:r/>
          </w:p>
          <w:p>
            <w:pPr>
              <w:pStyle w:val="769"/>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14</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2</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numPr>
                <w:ilvl w:val="0"/>
                <w:numId w:val="0"/>
              </w:numPr>
              <w:jc w:val="cente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14</w:t>
            </w:r>
            <w:r>
              <w:rPr>
                <w:rFonts w:hint="eastAsia" w:asciiTheme="minorEastAsia" w:hAnsiTheme="minorEastAsia" w:eastAsiaTheme="minorEastAsia" w:cstheme="minorEastAsia"/>
                <w:b w:val="0"/>
                <w:bCs w:val="0"/>
                <w:color w:val="auto"/>
                <w:sz w:val="21"/>
                <w:szCs w:val="21"/>
                <w:highlight w:val="none"/>
                <w:lang w:val="en-US" w:eastAsia="zh-CN"/>
              </w:rPr>
              <w:t xml:space="preserve">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69"/>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69"/>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节能</w:t>
            </w:r>
            <w:r/>
          </w:p>
          <w:p>
            <w:pPr>
              <w:pStyle w:val="769"/>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69"/>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69"/>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69"/>
        <w:jc w:val="center"/>
        <w:spacing w:beforeAutospacing="0" w:afterAutospacing="0"/>
        <w:rPr>
          <w:color w:val="auto"/>
          <w:highlight w:val="none"/>
        </w:rPr>
      </w:pPr>
      <w:r/>
      <w:bookmarkStart w:id="168" w:name="_Toc120614282"/>
      <w:r/>
      <w:bookmarkEnd w:id="168"/>
      <w:r/>
      <w:bookmarkStart w:id="169" w:name="_Toc49090576"/>
      <w:r/>
      <w:bookmarkEnd w:id="169"/>
      <w:r/>
      <w:bookmarkStart w:id="170" w:name="_Hlt26671244"/>
      <w:r/>
      <w:bookmarkStart w:id="171" w:name="_Hlt26955039"/>
      <w:r/>
      <w:bookmarkStart w:id="172" w:name="_Toc26554094"/>
      <w:r>
        <w:rPr>
          <w:rFonts w:hint="eastAsia" w:ascii="宋体" w:hAnsi="宋体" w:eastAsia="宋体" w:cs="宋体"/>
          <w:b/>
          <w:color w:val="auto"/>
          <w:sz w:val="72"/>
          <w:szCs w:val="72"/>
          <w:highlight w:val="none"/>
        </w:rPr>
        <w:t xml:space="preserve">投 标 文 件</w:t>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名 称：</w:t>
      </w:r>
      <w:r/>
    </w:p>
    <w:p>
      <w:pPr>
        <w:pStyle w:val="769"/>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编 号：</w:t>
      </w:r>
      <w:r/>
    </w:p>
    <w:p>
      <w:pPr>
        <w:pStyle w:val="76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769"/>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日 期 ：</w:t>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color w:val="auto"/>
          <w:highlight w:val="none"/>
        </w:rPr>
      </w:pPr>
      <w:r>
        <w:rPr>
          <w:color w:val="auto"/>
          <w:highlight w:val="none"/>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769"/>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7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69"/>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69"/>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769"/>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769"/>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769"/>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769"/>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769"/>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color w:val="auto"/>
          <w:highlight w:val="none"/>
        </w:rPr>
      </w:pPr>
      <w:r>
        <w:rPr>
          <w:color w:val="auto"/>
          <w:highlight w:val="none"/>
        </w:rPr>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6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6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6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6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69"/>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69"/>
        <w:jc w:val="both"/>
        <w:spacing w:beforeAutospacing="0" w:afterAutospacing="0" w:line="0" w:lineRule="atLeas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769"/>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69"/>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76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69"/>
        <w:jc w:val="center"/>
        <w:spacing w:beforeAutospacing="0" w:afterAutospacing="0"/>
        <w:rPr>
          <w:rFonts w:ascii="黑体" w:hAnsi="宋体" w:eastAsia="黑体" w:cs="黑体"/>
          <w:i/>
          <w:color w:val="auto"/>
          <w:sz w:val="32"/>
          <w:szCs w:val="32"/>
          <w:highlight w:val="none"/>
          <w:u w:val="single"/>
        </w:rPr>
      </w:pPr>
      <w:r/>
      <w:bookmarkStart w:id="173" w:name="_Toc120614284"/>
      <w:r/>
      <w:r/>
    </w:p>
    <w:p>
      <w:pPr>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br w:type="page" w:clear="all"/>
      </w:r>
      <w:r/>
    </w:p>
    <w:p>
      <w:pPr>
        <w:pStyle w:val="76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6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7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69"/>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69"/>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69"/>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69"/>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74" w:name="_格式3__银行出具的资信证明"/>
      <w:r/>
      <w:bookmarkStart w:id="175" w:name="_Hlt26671380"/>
      <w:r/>
      <w:bookmarkStart w:id="176" w:name="_Hlt26955070"/>
      <w:r>
        <w:rPr>
          <w:rFonts w:ascii="Times New Roman" w:hAnsi="Times New Roman"/>
          <w:color w:val="auto"/>
          <w:highlight w:val="none"/>
          <w:u w:val="single"/>
        </w:rPr>
        <w:t xml:space="preserve"> </w:t>
      </w:r>
      <w:r/>
    </w:p>
    <w:p>
      <w:pPr>
        <w:pStyle w:val="769"/>
        <w:ind w:firstLine="42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769"/>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（采购人名称）</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69"/>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69"/>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769"/>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769"/>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color w:val="auto"/>
          <w:highlight w:val="none"/>
        </w:rPr>
      </w:pPr>
      <w:r>
        <w:rPr>
          <w:color w:val="auto"/>
          <w:highlight w:val="none"/>
        </w:rPr>
      </w:r>
      <w:r/>
    </w:p>
    <w:p>
      <w:pPr>
        <w:pStyle w:val="769"/>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eastAsia="宋体"/>
          <w:color w:val="auto"/>
          <w:sz w:val="24"/>
          <w:highlight w:val="none"/>
          <w:u w:val="single"/>
          <w:lang w:val="en-US" w:eastAsia="zh-CN"/>
        </w:rPr>
        <w:t xml:space="preserve">               （采购人名称）</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69"/>
        <w:ind w:right="72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69"/>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69"/>
        <w:ind w:firstLine="36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769"/>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7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6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rPr>
          <w:color w:val="auto"/>
          <w:highlight w:val="none"/>
        </w:rPr>
      </w:pPr>
      <w:r>
        <w:rPr>
          <w:rFonts w:hint="eastAsia" w:ascii="黑体" w:hAnsi="宋体" w:eastAsia="黑体" w:cs="黑体"/>
          <w:b/>
          <w:color w:val="auto"/>
          <w:sz w:val="32"/>
          <w:szCs w:val="32"/>
          <w:highlight w:val="none"/>
        </w:rPr>
        <w:br w:type="page" w:clear="all"/>
      </w:r>
      <w:r/>
    </w:p>
    <w:p>
      <w:pPr>
        <w:pStyle w:val="769"/>
        <w:jc w:val="center"/>
        <w:spacing w:beforeAutospacing="0" w:afterAutospacing="0" w:line="0" w:lineRule="atLeast"/>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t xml:space="preserve">十、残疾人福利性单位声明函</w:t>
      </w:r>
      <w:r/>
    </w:p>
    <w:p>
      <w:pPr>
        <w:pStyle w:val="7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69"/>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769"/>
        <w:ind w:firstLine="624"/>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69"/>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spacing w:val="27"/>
          <w:sz w:val="39"/>
          <w:szCs w:val="39"/>
          <w:highlight w:val="none"/>
        </w:rPr>
      </w:pPr>
      <w:r>
        <w:rPr>
          <w:color w:val="auto"/>
          <w:spacing w:val="27"/>
          <w:sz w:val="39"/>
          <w:szCs w:val="39"/>
          <w:highlight w:val="none"/>
        </w:rPr>
        <w:br w:type="page" w:clear="all"/>
      </w:r>
      <w:r/>
    </w:p>
    <w:p>
      <w:pPr>
        <w:pStyle w:val="769"/>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val="en-US" w:eastAsia="zh-CN"/>
        </w:rPr>
        <w:t xml:space="preserve">一</w:t>
      </w:r>
      <w:r>
        <w:rPr>
          <w:rFonts w:ascii="黑体" w:hAnsi="宋体" w:eastAsia="黑体" w:cs="黑体"/>
          <w:b/>
          <w:bCs/>
          <w:color w:val="ff0000"/>
          <w:sz w:val="32"/>
          <w:szCs w:val="32"/>
        </w:rPr>
        <w:t xml:space="preserve">、 关于符合本国产品标准的声明函</w:t>
      </w:r>
      <w:r/>
    </w:p>
    <w:p>
      <w:pPr>
        <w:pStyle w:val="769"/>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769"/>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9"/>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769"/>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769"/>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769"/>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769"/>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769"/>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769"/>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769"/>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69"/>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69"/>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w:t>
      </w:r>
      <w:r/>
    </w:p>
    <w:tbl>
      <w:tblPr>
        <w:tblStyle w:val="74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74"/>
        <w:gridCol w:w="1383"/>
        <w:gridCol w:w="1176"/>
        <w:gridCol w:w="1559"/>
        <w:gridCol w:w="1528"/>
        <w:gridCol w:w="1151"/>
      </w:tblGrid>
      <w:tr>
        <w:trPr>
          <w:tblCellSpacing w:w="0" w:type="dxa"/>
          <w:trHeight w:val="81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769"/>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769"/>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769"/>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69"/>
              <w:jc w:val="center"/>
              <w:spacing w:beforeAutospacing="0" w:afterAutospacing="0" w:line="0" w:lineRule="atLeast"/>
              <w:rPr>
                <w:rFonts w:hint="eastAsia" w:eastAsia="宋体" w:cs="Times New Roman" w:asciiTheme="minorHAnsi" w:hAnsiTheme="minorHAnsi"/>
                <w:color w:val="auto"/>
                <w:sz w:val="24"/>
                <w:szCs w:val="24"/>
                <w:highlight w:val="none"/>
                <w:lang w:val="en-US" w:eastAsia="zh-CN" w:bidi="ar-SA"/>
              </w:rPr>
            </w:pPr>
            <w:r>
              <w:rPr>
                <w:rFonts w:hint="eastAsia" w:ascii="宋体" w:hAnsi="宋体" w:eastAsia="宋体" w:cs="宋体"/>
                <w:color w:val="auto"/>
                <w:highlight w:val="none"/>
              </w:rPr>
              <w:t xml:space="preserve">分项单价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69"/>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分项总价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品牌</w:t>
            </w:r>
            <w:r/>
          </w:p>
        </w:tc>
      </w:tr>
      <w:tr>
        <w:trPr>
          <w:tblCellSpacing w:w="0" w:type="dxa"/>
          <w:trHeight w:val="51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769"/>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769"/>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769"/>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69"/>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69"/>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center"/>
              <w:spacing w:beforeAutospacing="0" w:afterAutospacing="0" w:line="0" w:lineRule="atLeast"/>
              <w:rPr>
                <w:color w:val="auto"/>
                <w:highlight w:val="none"/>
              </w:rPr>
            </w:pPr>
            <w:r>
              <w:rPr>
                <w:color w:val="auto"/>
                <w:highlight w:val="none"/>
              </w:rPr>
            </w:r>
            <w:r/>
          </w:p>
        </w:tc>
      </w:tr>
      <w:tr>
        <w:trPr>
          <w:tblCellSpacing w:w="0" w:type="dxa"/>
          <w:trHeight w:val="505"/>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72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3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ascii="宋体" w:hAnsi="宋体" w:eastAsia="宋体" w:cs="宋体"/>
                <w:color w:val="auto"/>
                <w:sz w:val="16"/>
                <w:szCs w:val="16"/>
                <w:highlight w:val="none"/>
                <w14:ligatures w14:val="none"/>
              </w:rPr>
              <w:t xml:space="preserve">驻场研发运维服务</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769"/>
              <w:jc w:val="both"/>
              <w:spacing w:beforeAutospacing="0" w:afterAutospacing="0" w:line="0" w:lineRule="atLeast"/>
              <w:rPr>
                <w:rFonts w:hint="eastAsia" w:ascii="宋体" w:hAnsi="宋体" w:eastAsia="宋体" w:cs="宋体"/>
                <w:b/>
                <w:bCs/>
                <w:color w:val="auto"/>
                <w:sz w:val="16"/>
                <w:szCs w:val="16"/>
                <w:highlight w:val="yellow"/>
                <w:lang w:val="en-US" w:eastAsia="zh-CN"/>
                <w14:ligatures w14:val="none"/>
              </w:rPr>
            </w:pPr>
            <w:r>
              <w:rPr>
                <w:rFonts w:hint="eastAsia" w:ascii="宋体" w:hAnsi="宋体" w:eastAsia="宋体" w:cs="宋体"/>
                <w:b/>
                <w:bCs/>
                <w:color w:val="auto"/>
                <w:sz w:val="16"/>
                <w:szCs w:val="16"/>
                <w:highlight w:val="yellow"/>
                <w:lang w:val="en-US" w:eastAsia="zh-CN"/>
                <w14:ligatures w14:val="none"/>
              </w:rPr>
            </w:r>
            <w:r/>
          </w:p>
          <w:p>
            <w:pPr>
              <w:pStyle w:val="769"/>
              <w:jc w:val="both"/>
              <w:spacing w:beforeAutospacing="0" w:afterAutospacing="0" w:line="0" w:lineRule="atLeast"/>
              <w:rPr>
                <w:rFonts w:hint="default" w:ascii="宋体" w:hAnsi="宋体" w:eastAsia="宋体" w:cs="宋体"/>
                <w:b/>
                <w:bCs/>
                <w:color w:val="auto"/>
                <w:sz w:val="16"/>
                <w:szCs w:val="16"/>
                <w:highlight w:val="yellow"/>
                <w:lang w:val="en-US" w:eastAsia="zh-CN"/>
                <w14:ligatures w14:val="none"/>
              </w:rPr>
            </w:pPr>
            <w:r>
              <w:rPr>
                <w:rFonts w:hint="eastAsia" w:ascii="宋体" w:hAnsi="宋体" w:eastAsia="宋体" w:cs="宋体"/>
                <w:b/>
                <w:bCs/>
                <w:color w:val="auto"/>
                <w:sz w:val="16"/>
                <w:szCs w:val="16"/>
                <w:highlight w:val="yellow"/>
                <w:lang w:val="en-US" w:eastAsia="zh-CN"/>
                <w14:ligatures w14:val="none"/>
              </w:rPr>
              <w:t xml:space="preserve">...</w:t>
            </w:r>
            <w:r/>
          </w:p>
          <w:p>
            <w:pPr>
              <w:pStyle w:val="769"/>
              <w:jc w:val="both"/>
              <w:spacing w:beforeAutospacing="0" w:afterAutospacing="0" w:line="0" w:lineRule="atLeast"/>
              <w:rPr>
                <w:rFonts w:hint="eastAsia" w:eastAsiaTheme="minorEastAsia"/>
                <w:color w:val="auto"/>
                <w:highlight w:val="none"/>
                <w:lang w:eastAsia="zh-CN"/>
              </w:rPr>
            </w:pP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80"/>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76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6"/>
            <w:shd w:val="clear" w:color="auto" w:fill="auto"/>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769"/>
              <w:jc w:val="both"/>
              <w:spacing w:beforeAutospacing="0" w:afterAutospacing="0"/>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76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769"/>
        <w:numPr>
          <w:ilvl w:val="0"/>
          <w:numId w:val="16"/>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69"/>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769"/>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7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769"/>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color w:val="auto"/>
          <w:highlight w:val="none"/>
        </w:rPr>
      </w:pPr>
      <w:r>
        <w:rPr>
          <w:color w:val="auto"/>
          <w:highlight w:val="none"/>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highlight w:val="none"/>
        </w:rPr>
      </w:pPr>
      <w:r>
        <w:rPr>
          <w:rFonts w:hint="eastAsia" w:ascii="黑体" w:hAnsi="宋体" w:eastAsia="黑体" w:cs="黑体"/>
          <w:b/>
          <w:color w:val="auto"/>
          <w:sz w:val="32"/>
          <w:szCs w:val="32"/>
          <w:highlight w:val="none"/>
        </w:rPr>
        <w:br w:type="page" w:clear="all"/>
      </w:r>
      <w:r/>
    </w:p>
    <w:p>
      <w:pPr>
        <w:pStyle w:val="769"/>
        <w:jc w:val="center"/>
        <w:spacing w:beforeAutospacing="0" w:afterAutospacing="0"/>
        <w:rPr>
          <w:rFonts w:hint="eastAsia" w:ascii="黑体" w:hAnsi="宋体" w:eastAsia="黑体" w:cs="黑体"/>
          <w:b/>
          <w:bCs/>
          <w:color w:val="auto"/>
          <w:sz w:val="32"/>
          <w:szCs w:val="32"/>
          <w:highlight w:val="none"/>
        </w:rPr>
      </w:pPr>
      <w:r/>
      <w:bookmarkStart w:id="177"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7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color w:val="auto"/>
                <w:highlight w:val="none"/>
              </w:rPr>
            </w:pPr>
            <w:r/>
            <w:bookmarkStart w:id="178" w:name="_Hlt26580838"/>
            <w:r/>
            <w:bookmarkStart w:id="179" w:name="_Hlt26782999"/>
            <w:r/>
            <w:bookmarkStart w:id="180" w:name="_Hlt24879081"/>
            <w:r/>
            <w:bookmarkStart w:id="181" w:name="_Hlt26955064"/>
            <w:r/>
            <w:bookmarkStart w:id="182" w:name="_Hlt26671343"/>
            <w:r/>
            <w:bookmarkStart w:id="183" w:name="_Hlt26671372"/>
            <w:r/>
            <w:bookmarkStart w:id="184" w:name="_Hlt26609391"/>
            <w:r/>
            <w:bookmarkStart w:id="185" w:name="_Hlt26955056"/>
            <w:r>
              <w:rPr>
                <w:rFonts w:hint="eastAsia" w:ascii="宋体" w:hAnsi="宋体" w:eastAsia="宋体" w:cs="宋体"/>
                <w:color w:val="auto"/>
                <w:highlight w:val="none"/>
              </w:rPr>
              <w:t xml:space="preserve">序号</w:t>
            </w:r>
            <w:bookmarkEnd w:id="178"/>
            <w:r/>
            <w:bookmarkEnd w:id="179"/>
            <w:r/>
            <w:bookmarkEnd w:id="180"/>
            <w:r/>
            <w:bookmarkEnd w:id="181"/>
            <w:r/>
            <w:bookmarkEnd w:id="182"/>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9"/>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769"/>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769"/>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bookmarkStart w:id="186" w:name="_格式2__法定代表人授权书"/>
      <w:r/>
      <w:bookmarkStart w:id="187" w:name="_Hlt26609389"/>
      <w:r/>
      <w:bookmarkStart w:id="188" w:name="_Hlt26671374"/>
      <w:r/>
      <w:bookmarkStart w:id="189" w:name="_Hlt26955066"/>
      <w:r/>
      <w:bookmarkStart w:id="190" w:name="_Toc462564146"/>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color w:val="auto"/>
          <w:highlight w:val="none"/>
        </w:rPr>
      </w:pPr>
      <w:r>
        <w:rPr>
          <w:color w:val="auto"/>
          <w:highlight w:val="none"/>
        </w:rPr>
      </w:r>
      <w:r/>
    </w:p>
    <w:p>
      <w:pPr>
        <w:pStyle w:val="769"/>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69"/>
        <w:jc w:val="center"/>
        <w:spacing w:beforeAutospacing="0" w:afterAutospacing="0"/>
        <w:rPr>
          <w:color w:val="auto"/>
          <w:highlight w:val="none"/>
        </w:rPr>
      </w:pPr>
      <w:r>
        <w:rPr>
          <w:color w:val="auto"/>
          <w:highlight w:val="none"/>
        </w:rPr>
      </w:r>
      <w:r/>
    </w:p>
    <w:p>
      <w:pPr>
        <w:pStyle w:val="769"/>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rPr>
          <w:bCs w:val="0"/>
          <w:i w:val="0"/>
          <w:color w:val="auto"/>
          <w:highlight w:val="none"/>
          <w:u w:val="none"/>
        </w:rPr>
      </w:pPr>
      <w:r>
        <w:rPr>
          <w:rFonts w:hint="eastAsia" w:ascii="黑体" w:hAnsi="宋体" w:eastAsia="黑体" w:cs="黑体"/>
          <w:b/>
          <w:i w:val="0"/>
          <w:iCs/>
          <w:color w:val="auto"/>
          <w:sz w:val="32"/>
          <w:szCs w:val="32"/>
          <w:highlight w:val="none"/>
          <w:u w:val="none"/>
        </w:rPr>
        <w:br w:type="page" w:clear="all"/>
      </w:r>
      <w:r/>
    </w:p>
    <w:p>
      <w:pPr>
        <w:pStyle w:val="769"/>
        <w:jc w:val="center"/>
        <w:spacing w:beforeAutospacing="0" w:afterAutospacing="0"/>
        <w:rPr>
          <w:rFonts w:hint="eastAsia" w:ascii="黑体" w:hAnsi="宋体" w:eastAsia="黑体" w:cs="黑体"/>
          <w:b/>
          <w:bCs w:val="0"/>
          <w:i w:val="0"/>
          <w:iCs/>
          <w:color w:val="auto"/>
          <w:sz w:val="32"/>
          <w:szCs w:val="32"/>
          <w:highlight w:val="none"/>
          <w:u w:val="none"/>
          <w:shd w:val="clear" w:color="auto" w:fill="auto"/>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、开标一览表</w:t>
      </w:r>
      <w:r/>
    </w:p>
    <w:p>
      <w:pPr>
        <w:pStyle w:val="769"/>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769"/>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76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769"/>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74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9"/>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9"/>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69"/>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69"/>
              <w:spacing w:beforeAutospacing="0" w:afterAutospacing="0" w:line="0" w:lineRule="atLeast"/>
              <w:rPr>
                <w:highlight w:val="none"/>
              </w:rPr>
            </w:pPr>
            <w:r>
              <w:rPr>
                <w:highlight w:val="none"/>
              </w:rPr>
              <w:t xml:space="preserve"> </w:t>
            </w:r>
            <w:r/>
          </w:p>
        </w:tc>
      </w:tr>
    </w:tbl>
    <w:p>
      <w:pPr>
        <w:pStyle w:val="769"/>
        <w:jc w:val="both"/>
        <w:spacing w:beforeAutospacing="0" w:afterAutospacing="0"/>
        <w:rPr>
          <w:highlight w:val="none"/>
        </w:rPr>
      </w:pPr>
      <w:r>
        <w:rPr>
          <w:highlight w:val="none"/>
        </w:rPr>
        <w:t xml:space="preserve"> </w:t>
      </w:r>
      <w:r/>
    </w:p>
    <w:p>
      <w:pPr>
        <w:pStyle w:val="76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69"/>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769"/>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pStyle w:val="769"/>
        <w:jc w:val="center"/>
        <w:spacing w:beforeAutospacing="0" w:afterAutospacing="0"/>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、技术方案、服务承诺、培训承诺等</w:t>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69"/>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七</w:t>
      </w:r>
      <w:r>
        <w:rPr>
          <w:rFonts w:hint="eastAsia" w:ascii="黑体" w:hAnsi="宋体" w:eastAsia="黑体" w:cs="黑体"/>
          <w:b/>
          <w:i w:val="0"/>
          <w:iCs/>
          <w:color w:val="auto"/>
          <w:sz w:val="32"/>
          <w:szCs w:val="32"/>
          <w:highlight w:val="none"/>
          <w:u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67"/>
      <w:r/>
      <w:bookmarkEnd w:id="170"/>
      <w:r/>
      <w:bookmarkEnd w:id="171"/>
      <w:r/>
      <w:bookmarkEnd w:id="172"/>
      <w:r/>
      <w:bookmarkEnd w:id="173"/>
      <w:r/>
      <w:bookmarkEnd w:id="174"/>
      <w:r/>
      <w:bookmarkEnd w:id="175"/>
      <w:r/>
      <w:bookmarkEnd w:id="176"/>
      <w:r/>
      <w:bookmarkEnd w:id="177"/>
      <w:r/>
      <w:bookmarkEnd w:id="186"/>
      <w:r/>
      <w:bookmarkEnd w:id="187"/>
      <w:r/>
      <w:bookmarkEnd w:id="188"/>
      <w:r/>
      <w:bookmarkEnd w:id="189"/>
      <w:r/>
      <w:bookmarkEnd w:id="190"/>
      <w:r/>
      <w:r/>
    </w:p>
    <w:p>
      <w:pPr>
        <w:pStyle w:val="769"/>
        <w:jc w:val="center"/>
        <w:spacing w:beforeAutospacing="0" w:afterAutospacing="0"/>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6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69"/>
        <w:jc w:val="both"/>
        <w:spacing w:before="290"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69"/>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69"/>
        <w:jc w:val="both"/>
        <w:spacing w:beforeAutospacing="0" w:afterAutospacing="0" w:line="24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69"/>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69"/>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9"/>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69"/>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69"/>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69"/>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69"/>
        <w:spacing w:beforeAutospacing="0" w:afterAutospacing="0" w:line="24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楷体_GB2312">
    <w:panose1 w:val="02010609060101010101"/>
  </w:font>
  <w:font w:name="等线">
    <w:panose1 w:val="02010600030101010101"/>
  </w:font>
  <w:font w:name="Microsoft Himalaya">
    <w:panose1 w:val="0101010001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t xml:space="preserve">1</w:t>
    </w:r>
    <w: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t xml:space="preserve">1</w:t>
    </w:r>
    <w:r>
      <w:fldChar w:fldCharType="end"/>
    </w:r>
    <w:r/>
  </w:p>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7">
    <w:name w:val="Heading 1"/>
    <w:basedOn w:val="736"/>
    <w:next w:val="736"/>
    <w:link w:val="77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9">
    <w:name w:val="Heading 3"/>
    <w:basedOn w:val="736"/>
    <w:next w:val="736"/>
    <w:link w:val="77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8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qFormat/>
    <w:pPr>
      <w:ind w:firstLine="420"/>
    </w:pPr>
  </w:style>
  <w:style w:type="paragraph" w:styleId="750">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annotation text"/>
    <w:basedOn w:val="736"/>
    <w:uiPriority w:val="0"/>
    <w:qFormat/>
    <w:pPr>
      <w:jc w:val="left"/>
    </w:pPr>
  </w:style>
  <w:style w:type="paragraph" w:styleId="752">
    <w:name w:val="Body Text"/>
    <w:basedOn w:val="736"/>
    <w:next w:val="753"/>
    <w:uiPriority w:val="0"/>
    <w:unhideWhenUsed/>
    <w:qFormat/>
    <w:pPr>
      <w:spacing w:after="120"/>
    </w:pPr>
    <w:rPr>
      <w:rFonts w:ascii="Calibri" w:hAnsi="Calibri"/>
      <w:szCs w:val="22"/>
    </w:rPr>
  </w:style>
  <w:style w:type="paragraph" w:styleId="753" w:customStyle="1">
    <w:name w:val="Default"/>
    <w:basedOn w:val="736"/>
    <w:uiPriority w:val="0"/>
    <w:semiHidden/>
    <w:qFormat/>
    <w:pPr>
      <w:jc w:val="left"/>
    </w:pPr>
    <w:rPr>
      <w:rFonts w:ascii="宋体" w:hAnsi="Calibri" w:cs="宋体"/>
      <w:color w:val="000000"/>
      <w:sz w:val="24"/>
    </w:rPr>
  </w:style>
  <w:style w:type="paragraph" w:styleId="754">
    <w:name w:val="toc 5"/>
    <w:basedOn w:val="736"/>
    <w:next w:val="736"/>
    <w:uiPriority w:val="39"/>
    <w:unhideWhenUsed/>
    <w:qFormat/>
    <w:pPr>
      <w:ind w:left="1134" w:right="0" w:firstLine="0"/>
      <w:spacing w:after="57"/>
    </w:pPr>
  </w:style>
  <w:style w:type="paragraph" w:styleId="755">
    <w:name w:val="toc 3"/>
    <w:basedOn w:val="736"/>
    <w:next w:val="736"/>
    <w:uiPriority w:val="39"/>
    <w:unhideWhenUsed/>
    <w:qFormat/>
    <w:pPr>
      <w:ind w:left="567" w:right="0" w:firstLine="0"/>
      <w:spacing w:after="57"/>
    </w:pPr>
  </w:style>
  <w:style w:type="paragraph" w:styleId="756">
    <w:name w:val="Plain Text"/>
    <w:basedOn w:val="736"/>
    <w:uiPriority w:val="0"/>
    <w:unhideWhenUsed/>
    <w:qFormat/>
    <w:rPr>
      <w:rFonts w:ascii="宋体" w:hAnsi="Courier New" w:cs="Courier New"/>
      <w:szCs w:val="21"/>
    </w:rPr>
  </w:style>
  <w:style w:type="paragraph" w:styleId="757">
    <w:name w:val="toc 8"/>
    <w:basedOn w:val="736"/>
    <w:next w:val="736"/>
    <w:uiPriority w:val="39"/>
    <w:unhideWhenUsed/>
    <w:qFormat/>
    <w:pPr>
      <w:ind w:left="1984" w:right="0" w:firstLine="0"/>
      <w:spacing w:after="57"/>
    </w:pPr>
  </w:style>
  <w:style w:type="paragraph" w:styleId="758">
    <w:name w:val="endnote text"/>
    <w:basedOn w:val="736"/>
    <w:link w:val="921"/>
    <w:uiPriority w:val="99"/>
    <w:semiHidden/>
    <w:unhideWhenUsed/>
    <w:qFormat/>
    <w:pPr>
      <w:spacing w:after="0" w:line="240" w:lineRule="auto"/>
    </w:pPr>
    <w:rPr>
      <w:sz w:val="20"/>
    </w:rPr>
  </w:style>
  <w:style w:type="paragraph" w:styleId="759">
    <w:name w:val="Footer"/>
    <w:basedOn w:val="736"/>
    <w:link w:val="924"/>
    <w:uiPriority w:val="0"/>
    <w:qFormat/>
    <w:pPr>
      <w:jc w:val="left"/>
      <w:tabs>
        <w:tab w:val="center" w:pos="4153" w:leader="none"/>
        <w:tab w:val="right" w:pos="8306" w:leader="none"/>
      </w:tabs>
    </w:pPr>
    <w:rPr>
      <w:sz w:val="18"/>
      <w:szCs w:val="18"/>
    </w:rPr>
  </w:style>
  <w:style w:type="paragraph" w:styleId="760">
    <w:name w:val="Header"/>
    <w:basedOn w:val="736"/>
    <w:link w:val="923"/>
    <w:uiPriority w:val="0"/>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36"/>
    <w:next w:val="736"/>
    <w:uiPriority w:val="39"/>
    <w:unhideWhenUsed/>
    <w:qFormat/>
    <w:pPr>
      <w:ind w:left="0" w:right="0" w:firstLine="0"/>
      <w:spacing w:after="57"/>
    </w:pPr>
  </w:style>
  <w:style w:type="paragraph" w:styleId="762">
    <w:name w:val="toc 4"/>
    <w:basedOn w:val="736"/>
    <w:next w:val="736"/>
    <w:uiPriority w:val="39"/>
    <w:unhideWhenUsed/>
    <w:qFormat/>
    <w:pPr>
      <w:ind w:left="850" w:right="0" w:firstLine="0"/>
      <w:spacing w:after="57"/>
    </w:pPr>
  </w:style>
  <w:style w:type="paragraph" w:styleId="763">
    <w:name w:val="Subtitle"/>
    <w:basedOn w:val="736"/>
    <w:next w:val="736"/>
    <w:link w:val="787"/>
    <w:uiPriority w:val="11"/>
    <w:qFormat/>
    <w:pPr>
      <w:spacing w:before="200" w:after="200"/>
    </w:pPr>
    <w:rPr>
      <w:sz w:val="24"/>
      <w:szCs w:val="24"/>
    </w:rPr>
  </w:style>
  <w:style w:type="paragraph" w:styleId="764">
    <w:name w:val="footnote text"/>
    <w:basedOn w:val="736"/>
    <w:link w:val="920"/>
    <w:uiPriority w:val="99"/>
    <w:semiHidden/>
    <w:unhideWhenUsed/>
    <w:qFormat/>
    <w:pPr>
      <w:spacing w:after="40" w:line="240" w:lineRule="auto"/>
    </w:pPr>
    <w:rPr>
      <w:sz w:val="18"/>
    </w:rPr>
  </w:style>
  <w:style w:type="paragraph" w:styleId="765">
    <w:name w:val="toc 6"/>
    <w:basedOn w:val="736"/>
    <w:next w:val="736"/>
    <w:uiPriority w:val="39"/>
    <w:unhideWhenUsed/>
    <w:qFormat/>
    <w:pPr>
      <w:ind w:left="1417" w:right="0" w:firstLine="0"/>
      <w:spacing w:after="57"/>
    </w:pPr>
  </w:style>
  <w:style w:type="paragraph" w:styleId="766">
    <w:name w:val="table of figures"/>
    <w:basedOn w:val="736"/>
    <w:next w:val="736"/>
    <w:uiPriority w:val="99"/>
    <w:unhideWhenUsed/>
    <w:qFormat/>
    <w:pPr>
      <w:spacing w:after="0" w:afterAutospacing="0"/>
    </w:pPr>
  </w:style>
  <w:style w:type="paragraph" w:styleId="767">
    <w:name w:val="toc 2"/>
    <w:basedOn w:val="736"/>
    <w:next w:val="736"/>
    <w:uiPriority w:val="39"/>
    <w:unhideWhenUsed/>
    <w:qFormat/>
    <w:pPr>
      <w:ind w:left="283" w:right="0" w:firstLine="0"/>
      <w:spacing w:after="57"/>
    </w:pPr>
  </w:style>
  <w:style w:type="paragraph" w:styleId="768">
    <w:name w:val="toc 9"/>
    <w:basedOn w:val="736"/>
    <w:next w:val="736"/>
    <w:uiPriority w:val="39"/>
    <w:unhideWhenUsed/>
    <w:qFormat/>
    <w:pPr>
      <w:ind w:left="2268" w:right="0" w:firstLine="0"/>
      <w:spacing w:after="57"/>
    </w:pPr>
  </w:style>
  <w:style w:type="paragraph" w:styleId="769">
    <w:name w:val="Normal (Web)"/>
    <w:basedOn w:val="736"/>
    <w:uiPriority w:val="0"/>
    <w:qFormat/>
    <w:pPr>
      <w:jc w:val="left"/>
      <w:spacing w:beforeAutospacing="1" w:afterAutospacing="1"/>
    </w:pPr>
    <w:rPr>
      <w:rFonts w:cs="Times New Roman"/>
      <w:sz w:val="24"/>
    </w:rPr>
  </w:style>
  <w:style w:type="paragraph" w:styleId="770">
    <w:name w:val="Title"/>
    <w:basedOn w:val="736"/>
    <w:next w:val="736"/>
    <w:link w:val="786"/>
    <w:uiPriority w:val="10"/>
    <w:qFormat/>
    <w:pPr>
      <w:contextualSpacing/>
      <w:spacing w:before="300" w:after="200"/>
    </w:pPr>
    <w:rPr>
      <w:sz w:val="48"/>
      <w:szCs w:val="48"/>
    </w:rPr>
  </w:style>
  <w:style w:type="table" w:styleId="771">
    <w:name w:val="Table Grid"/>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endnote reference"/>
    <w:basedOn w:val="746"/>
    <w:uiPriority w:val="99"/>
    <w:semiHidden/>
    <w:unhideWhenUsed/>
    <w:qFormat/>
    <w:rPr>
      <w:vertAlign w:val="superscript"/>
    </w:rPr>
  </w:style>
  <w:style w:type="character" w:styleId="773">
    <w:name w:val="Emphasis"/>
    <w:uiPriority w:val="0"/>
    <w:qFormat/>
    <w:rPr>
      <w:i/>
    </w:rPr>
  </w:style>
  <w:style w:type="character" w:styleId="774">
    <w:name w:val="Hyperlink"/>
    <w:uiPriority w:val="99"/>
    <w:unhideWhenUsed/>
    <w:qFormat/>
    <w:rPr>
      <w:color w:val="0563c1" w:themeColor="hyperlink"/>
      <w:u w:val="single"/>
      <w14:textFill>
        <w14:solidFill>
          <w14:schemeClr w14:val="hlink"/>
        </w14:solidFill>
      </w14:textFill>
    </w:rPr>
  </w:style>
  <w:style w:type="character" w:styleId="775">
    <w:name w:val="footnote reference"/>
    <w:basedOn w:val="746"/>
    <w:uiPriority w:val="99"/>
    <w:unhideWhenUsed/>
    <w:qFormat/>
    <w:rPr>
      <w:vertAlign w:val="superscript"/>
    </w:rPr>
  </w:style>
  <w:style w:type="character" w:styleId="776" w:customStyle="1">
    <w:name w:val="Heading 1 Char"/>
    <w:basedOn w:val="746"/>
    <w:link w:val="737"/>
    <w:uiPriority w:val="9"/>
    <w:qFormat/>
    <w:rPr>
      <w:rFonts w:ascii="Arial" w:hAnsi="Arial" w:eastAsia="Arial" w:cs="Arial"/>
      <w:sz w:val="40"/>
      <w:szCs w:val="40"/>
    </w:rPr>
  </w:style>
  <w:style w:type="character" w:styleId="777" w:customStyle="1">
    <w:name w:val="Heading 2 Char"/>
    <w:basedOn w:val="746"/>
    <w:uiPriority w:val="9"/>
    <w:qFormat/>
    <w:rPr>
      <w:rFonts w:ascii="Arial" w:hAnsi="Arial" w:eastAsia="Arial" w:cs="Arial"/>
      <w:sz w:val="34"/>
    </w:rPr>
  </w:style>
  <w:style w:type="character" w:styleId="778" w:customStyle="1">
    <w:name w:val="Heading 3 Char"/>
    <w:basedOn w:val="746"/>
    <w:link w:val="739"/>
    <w:uiPriority w:val="9"/>
    <w:qFormat/>
    <w:rPr>
      <w:rFonts w:ascii="Arial" w:hAnsi="Arial" w:eastAsia="Arial" w:cs="Arial"/>
      <w:sz w:val="30"/>
      <w:szCs w:val="30"/>
    </w:rPr>
  </w:style>
  <w:style w:type="character" w:styleId="779" w:customStyle="1">
    <w:name w:val="Heading 4 Char"/>
    <w:basedOn w:val="746"/>
    <w:link w:val="740"/>
    <w:uiPriority w:val="9"/>
    <w:qFormat/>
    <w:rPr>
      <w:rFonts w:ascii="Arial" w:hAnsi="Arial" w:eastAsia="Arial" w:cs="Arial"/>
      <w:b/>
      <w:bCs/>
      <w:sz w:val="26"/>
      <w:szCs w:val="26"/>
    </w:rPr>
  </w:style>
  <w:style w:type="character" w:styleId="780" w:customStyle="1">
    <w:name w:val="Heading 5 Char"/>
    <w:basedOn w:val="746"/>
    <w:link w:val="741"/>
    <w:uiPriority w:val="9"/>
    <w:qFormat/>
    <w:rPr>
      <w:rFonts w:ascii="Arial" w:hAnsi="Arial" w:eastAsia="Arial" w:cs="Arial"/>
      <w:b/>
      <w:bCs/>
      <w:sz w:val="24"/>
      <w:szCs w:val="24"/>
    </w:rPr>
  </w:style>
  <w:style w:type="character" w:styleId="781" w:customStyle="1">
    <w:name w:val="Heading 6 Char"/>
    <w:basedOn w:val="746"/>
    <w:link w:val="742"/>
    <w:uiPriority w:val="9"/>
    <w:qFormat/>
    <w:rPr>
      <w:rFonts w:ascii="Arial" w:hAnsi="Arial" w:eastAsia="Arial" w:cs="Arial"/>
      <w:b/>
      <w:bCs/>
      <w:sz w:val="22"/>
      <w:szCs w:val="22"/>
    </w:rPr>
  </w:style>
  <w:style w:type="character" w:styleId="782" w:customStyle="1">
    <w:name w:val="Heading 7 Char"/>
    <w:basedOn w:val="746"/>
    <w:link w:val="743"/>
    <w:uiPriority w:val="9"/>
    <w:qFormat/>
    <w:rPr>
      <w:rFonts w:ascii="Arial" w:hAnsi="Arial" w:eastAsia="Arial" w:cs="Arial"/>
      <w:b/>
      <w:bCs/>
      <w:i/>
      <w:iCs/>
      <w:sz w:val="22"/>
      <w:szCs w:val="22"/>
    </w:rPr>
  </w:style>
  <w:style w:type="character" w:styleId="783" w:customStyle="1">
    <w:name w:val="Heading 8 Char"/>
    <w:basedOn w:val="746"/>
    <w:link w:val="744"/>
    <w:uiPriority w:val="9"/>
    <w:qFormat/>
    <w:rPr>
      <w:rFonts w:ascii="Arial" w:hAnsi="Arial" w:eastAsia="Arial" w:cs="Arial"/>
      <w:i/>
      <w:iCs/>
      <w:sz w:val="22"/>
      <w:szCs w:val="22"/>
    </w:rPr>
  </w:style>
  <w:style w:type="character" w:styleId="784" w:customStyle="1">
    <w:name w:val="Heading 9 Char"/>
    <w:basedOn w:val="746"/>
    <w:link w:val="745"/>
    <w:uiPriority w:val="9"/>
    <w:qFormat/>
    <w:rPr>
      <w:rFonts w:ascii="Arial" w:hAnsi="Arial" w:eastAsia="Arial" w:cs="Arial"/>
      <w:i/>
      <w:iCs/>
      <w:sz w:val="21"/>
      <w:szCs w:val="21"/>
    </w:r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basedOn w:val="746"/>
    <w:link w:val="770"/>
    <w:uiPriority w:val="10"/>
    <w:qFormat/>
    <w:rPr>
      <w:sz w:val="48"/>
      <w:szCs w:val="48"/>
    </w:rPr>
  </w:style>
  <w:style w:type="character" w:styleId="787" w:customStyle="1">
    <w:name w:val="Subtitle Char"/>
    <w:basedOn w:val="746"/>
    <w:link w:val="763"/>
    <w:uiPriority w:val="11"/>
    <w:qFormat/>
    <w:rPr>
      <w:sz w:val="24"/>
      <w:szCs w:val="24"/>
    </w:rPr>
  </w:style>
  <w:style w:type="paragraph" w:styleId="788">
    <w:name w:val="Quote"/>
    <w:basedOn w:val="736"/>
    <w:next w:val="736"/>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36"/>
    <w:next w:val="73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basedOn w:val="746"/>
    <w:uiPriority w:val="99"/>
    <w:qFormat/>
  </w:style>
  <w:style w:type="character" w:styleId="793" w:customStyle="1">
    <w:name w:val="Footer Char"/>
    <w:basedOn w:val="746"/>
    <w:uiPriority w:val="99"/>
    <w:qFormat/>
  </w:style>
  <w:style w:type="character" w:styleId="794" w:customStyle="1">
    <w:name w:val="Caption Char"/>
    <w:uiPriority w:val="99"/>
    <w:qFormat/>
  </w:style>
  <w:style w:type="table" w:styleId="795"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4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74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1"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2"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3"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4"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5"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6"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4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0"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4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4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4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4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4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4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74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4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4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1"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4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4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8"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4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4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4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4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4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4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4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Bordered &amp; Lined - Accent 5"/>
    <w:basedOn w:val="74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5"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6"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7"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8" w:customStyle="1">
    <w:name w:val="Bordered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9"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0" w:customStyle="1">
    <w:name w:val="Footnote Text Char"/>
    <w:link w:val="764"/>
    <w:uiPriority w:val="99"/>
    <w:qFormat/>
    <w:rPr>
      <w:sz w:val="18"/>
    </w:rPr>
  </w:style>
  <w:style w:type="character" w:styleId="921" w:customStyle="1">
    <w:name w:val="Endnote Text Char"/>
    <w:link w:val="758"/>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character" w:styleId="923" w:customStyle="1">
    <w:name w:val="页眉 Char"/>
    <w:basedOn w:val="746"/>
    <w:link w:val="760"/>
    <w:uiPriority w:val="0"/>
    <w:qFormat/>
    <w:rPr>
      <w:rFonts w:asciiTheme="minorHAnsi" w:hAnsiTheme="minorHAnsi" w:eastAsiaTheme="minorEastAsia" w:cstheme="minorBidi"/>
      <w:sz w:val="18"/>
      <w:szCs w:val="18"/>
    </w:rPr>
  </w:style>
  <w:style w:type="character" w:styleId="924" w:customStyle="1">
    <w:name w:val="页脚 Char"/>
    <w:basedOn w:val="746"/>
    <w:link w:val="759"/>
    <w:uiPriority w:val="0"/>
    <w:qFormat/>
    <w:rPr>
      <w:rFonts w:asciiTheme="minorHAnsi" w:hAnsiTheme="minorHAnsi" w:eastAsiaTheme="minorEastAsia" w:cstheme="minorBidi"/>
      <w:sz w:val="18"/>
      <w:szCs w:val="18"/>
    </w:rPr>
  </w:style>
  <w:style w:type="paragraph" w:styleId="9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6" w:customStyle="1">
    <w:name w:val="页脚1"/>
    <w:basedOn w:val="736"/>
    <w:uiPriority w:val="99"/>
    <w:unhideWhenUsed/>
    <w:qFormat/>
    <w:pPr>
      <w:jc w:val="left"/>
      <w:tabs>
        <w:tab w:val="center" w:pos="4153" w:leader="none"/>
        <w:tab w:val="right" w:pos="8306" w:leader="none"/>
      </w:tabs>
    </w:pPr>
    <w:rPr>
      <w:sz w:val="18"/>
      <w:szCs w:val="18"/>
    </w:rPr>
  </w:style>
  <w:style w:type="paragraph" w:styleId="927" w:customStyle="1">
    <w:name w:val="普通正文"/>
    <w:basedOn w:val="736"/>
    <w:uiPriority w:val="0"/>
    <w:qFormat/>
    <w:pPr>
      <w:ind w:firstLine="480"/>
      <w:jc w:val="left"/>
      <w:spacing w:before="120" w:after="120" w:line="360" w:lineRule="auto"/>
    </w:pPr>
    <w:rPr>
      <w:rFonts w:ascii="Arial" w:hAnsi="Arial" w:eastAsia="等线" w:cs="Arial"/>
      <w:sz w:val="24"/>
      <w:szCs w:val="24"/>
    </w:rPr>
  </w:style>
  <w:style w:type="paragraph" w:styleId="928" w:customStyle="1">
    <w:name w:val="正文首行缩进 21"/>
    <w:basedOn w:val="929"/>
    <w:next w:val="736"/>
    <w:uiPriority w:val="0"/>
    <w:qFormat/>
    <w:pPr>
      <w:ind w:firstLine="420"/>
    </w:pPr>
  </w:style>
  <w:style w:type="paragraph" w:styleId="929" w:customStyle="1">
    <w:name w:val="正文文本缩进1"/>
    <w:basedOn w:val="736"/>
    <w:uiPriority w:val="0"/>
    <w:qFormat/>
    <w:pPr>
      <w:ind w:left="420"/>
      <w:spacing w:after="120"/>
    </w:pPr>
  </w:style>
  <w:style w:type="paragraph" w:styleId="930" w:customStyle="1">
    <w:name w:val="纯文本1"/>
    <w:basedOn w:val="736"/>
    <w:uiPriority w:val="0"/>
    <w:qFormat/>
    <w:rPr>
      <w:rFonts w:ascii="宋体" w:hAnsi="Courier New" w:cs="Courier New"/>
    </w:rPr>
  </w:style>
  <w:style w:type="paragraph" w:styleId="931" w:customStyle="1">
    <w:name w:val="正文首行缩进1"/>
    <w:basedOn w:val="736"/>
    <w:uiPriority w:val="99"/>
    <w:qFormat/>
    <w:pPr>
      <w:ind w:firstLine="200"/>
      <w:spacing w:line="360" w:lineRule="auto"/>
    </w:pPr>
  </w:style>
  <w:style w:type="paragraph" w:styleId="932" w:customStyle="1">
    <w:name w:val="标题 11"/>
    <w:basedOn w:val="736"/>
    <w:next w:val="736"/>
    <w:uiPriority w:val="0"/>
    <w:qFormat/>
    <w:pPr>
      <w:jc w:val="center"/>
      <w:keepNext/>
      <w:outlineLvl w:val="0"/>
    </w:pPr>
    <w:rPr>
      <w:rFonts w:ascii="楷体_GB2312" w:eastAsia="楷体_GB2312"/>
      <w:sz w:val="28"/>
      <w:szCs w:val="28"/>
    </w:rPr>
  </w:style>
  <w:style w:type="paragraph" w:styleId="933" w:customStyle="1">
    <w:name w:val="普通(网站)1"/>
    <w:basedOn w:val="736"/>
    <w:uiPriority w:val="99"/>
    <w:qFormat/>
    <w:pPr>
      <w:spacing w:before="100" w:beforeAutospacing="1" w:after="100" w:afterAutospacing="1"/>
      <w:widowControl/>
    </w:pPr>
    <w:rPr>
      <w:sz w:val="24"/>
    </w:rPr>
  </w:style>
  <w:style w:type="table" w:styleId="934" w:customStyle="1">
    <w:name w:val="网格型1"/>
    <w:basedOn w:val="935"/>
    <w:uiPriority w:val="99"/>
    <w:qFormat/>
    <w:tblPr/>
  </w:style>
  <w:style w:type="table" w:styleId="935" w:customStyle="1">
    <w:name w:val="普通表格1"/>
    <w:uiPriority w:val="99"/>
    <w:unhideWhenUsed/>
    <w:qFormat/>
    <w:tblPr/>
  </w:style>
  <w:style w:type="paragraph" w:styleId="936" w:customStyle="1">
    <w:name w:val="段"/>
    <w:next w:val="73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37">
    <w:name w:val="List Paragraph"/>
    <w:basedOn w:val="736"/>
    <w:uiPriority w:val="34"/>
    <w:qFormat/>
    <w:pPr>
      <w:contextualSpacing/>
      <w:ind w:left="720"/>
    </w:pPr>
  </w:style>
  <w:style w:type="paragraph" w:styleId="938" w:customStyle="1">
    <w:name w:val="正文文本缩进11"/>
    <w:basedOn w:val="736"/>
    <w:next w:val="928"/>
    <w:uiPriority w:val="0"/>
    <w:unhideWhenUsed/>
    <w:qFormat/>
    <w:pPr>
      <w:ind w:left="420"/>
      <w:spacing w:after="120"/>
    </w:pPr>
  </w:style>
  <w:style w:type="numbering" w:styleId="12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周畅</cp:lastModifiedBy>
  <cp:revision>129</cp:revision>
  <dcterms:created xsi:type="dcterms:W3CDTF">2014-10-29T12:08:00Z</dcterms:created>
  <dcterms:modified xsi:type="dcterms:W3CDTF">2026-07-31T06:46:53Z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AB34D8E244F646D0A30E4F301E871273_13</vt:lpwstr>
  </property>
  <property fmtid="{D5CDD505-2E9C-101B-9397-08002B2CF9AE}" pid="4" name="KSOTemplateDocerSaveRecord">
    <vt:lpwstr>eyJoZGlkIjoiNjA2NzZjZjgzZWEzYjNhMjQxYTViNDY4MTBhNGZkYjEiLCJ1c2VySWQiOiI1MjAyNTAxMTMifQ==</vt:lpwstr>
  </property>
</Properties>
</file>