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jc w:val="center"/>
        <w:spacing w:before="240" w:beforeAutospacing="0" w:after="24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765"/>
        <w:jc w:val="center"/>
        <w:spacing w:before="240" w:beforeAutospacing="0" w:after="240" w:afterAutospacing="0"/>
        <w:rPr>
          <w:color w:val="000000" w:themeColor="text1"/>
          <w14:textFill>
            <w14:solidFill>
              <w14:schemeClr w14:val="tx1"/>
            </w14:solidFill>
          </w14:textFill>
        </w:rPr>
      </w:pPr>
      <w:r>
        <w:rPr>
          <w:rFonts w:ascii="黑体" w:hAnsi="宋体" w:eastAsia="黑体" w:cs="黑体"/>
          <w:b/>
          <w:bCs/>
          <w:color w:val="000000" w:themeColor="text1"/>
          <w:sz w:val="84"/>
          <w:szCs w:val="84"/>
          <w14:textFill>
            <w14:solidFill>
              <w14:schemeClr w14:val="tx1"/>
            </w14:solidFill>
          </w14:textFill>
        </w:rPr>
        <w:t xml:space="preserve">招 标 文 件</w:t>
      </w:r>
      <w:r/>
    </w:p>
    <w:p>
      <w:pPr>
        <w:pStyle w:val="765"/>
        <w:jc w:val="center"/>
        <w:spacing w:before="240" w:beforeAutospacing="0" w:after="24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center"/>
        <w:spacing w:before="240" w:beforeAutospacing="0" w:after="24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center"/>
        <w:spacing w:before="240" w:beforeAutospacing="0" w:after="24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center"/>
        <w:spacing w:before="240" w:beforeAutospacing="0" w:after="24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center"/>
        <w:spacing w:before="240" w:beforeAutospacing="0" w:after="24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center"/>
        <w:spacing w:before="240" w:beforeAutospacing="0" w:after="24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ind w:firstLine="1285"/>
        <w:jc w:val="both"/>
        <w:spacing w:before="240" w:beforeAutospacing="0" w:after="240" w:afterAutospacing="0"/>
        <w:rPr>
          <w:rFonts w:hint="eastAsia" w:eastAsia="宋体"/>
          <w:color w:val="000000" w:themeColor="text1"/>
          <w:lang w:eastAsia="zh-CN"/>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项目名称：</w:t>
      </w:r>
      <w:r>
        <w:rPr>
          <w:rFonts w:hint="eastAsia" w:ascii="宋体" w:hAnsi="宋体" w:eastAsia="宋体" w:cs="宋体"/>
          <w:b/>
          <w:bCs/>
          <w:color w:val="000000" w:themeColor="text1"/>
          <w:sz w:val="32"/>
          <w:szCs w:val="32"/>
          <w:lang w:eastAsia="zh-CN"/>
          <w14:textFill>
            <w14:solidFill>
              <w14:schemeClr w14:val="tx1"/>
            </w14:solidFill>
          </w14:textFill>
        </w:rPr>
        <w:t xml:space="preserve">扬州市广陵区卫健委健康管理型医院基层能力提升暨绩效体系建设项目</w:t>
      </w:r>
      <w:r/>
    </w:p>
    <w:p>
      <w:pPr>
        <w:pStyle w:val="765"/>
        <w:ind w:firstLine="128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项目编号</w:t>
      </w:r>
      <w:r>
        <w:rPr>
          <w:rFonts w:hint="eastAsia" w:ascii="宋体" w:hAnsi="宋体" w:eastAsia="宋体" w:cs="宋体"/>
          <w:b/>
          <w:bCs/>
          <w:color w:val="000000" w:themeColor="text1"/>
          <w:sz w:val="32"/>
          <w:szCs w:val="32"/>
          <w14:textFill>
            <w14:solidFill>
              <w14:schemeClr w14:val="tx1"/>
            </w14:solidFill>
          </w14:textFill>
        </w:rPr>
        <w:t xml:space="preserve">：</w:t>
      </w:r>
      <w:r>
        <w:rPr>
          <w:rFonts w:hint="eastAsia" w:ascii="宋体" w:hAnsi="宋体" w:eastAsia="宋体" w:cs="宋体"/>
          <w:b/>
          <w:bCs/>
          <w:color w:val="000000" w:themeColor="text1"/>
          <w:sz w:val="32"/>
          <w:szCs w:val="32"/>
          <w:lang w:val="en-US" w:eastAsia="zh-CN"/>
          <w14:textFill>
            <w14:solidFill>
              <w14:schemeClr w14:val="tx1"/>
            </w14:solidFill>
          </w14:textFill>
        </w:rPr>
        <w:t xml:space="preserve">JSZC-321002-JZCG-G2026-0003</w:t>
      </w:r>
      <w:r>
        <w:rPr>
          <w:rFonts w:ascii="宋体" w:hAnsi="宋体" w:eastAsia="宋体" w:cs="宋体"/>
          <w:b/>
          <w:bCs/>
          <w:color w:val="000000" w:themeColor="text1"/>
          <w14:textFill>
            <w14:solidFill>
              <w14:schemeClr w14:val="tx1"/>
            </w14:solidFill>
          </w14:textFill>
        </w:rPr>
        <w:t xml:space="preserve"> </w:t>
      </w:r>
      <w:r/>
    </w:p>
    <w:p>
      <w:pPr>
        <w:pStyle w:val="765"/>
        <w:ind w:firstLine="128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ind w:firstLine="128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Autospacing="0"/>
        <w:tabs>
          <w:tab w:val="left" w:pos="5808" w:leader="none"/>
        </w:tabs>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rPr>
          <w:rFonts w:ascii="Times New Roman" w:hAnsi="Times New Roman"/>
          <w:color w:val="000000" w:themeColor="text1"/>
          <w:sz w:val="21"/>
          <w:szCs w:val="21"/>
          <w14:textFill>
            <w14:solidFill>
              <w14:schemeClr w14:val="tx1"/>
            </w14:solidFill>
          </w14:textFill>
        </w:rPr>
        <w:tab/>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922"/>
        <w:ind w:firstLine="0"/>
        <w:jc w:val="center"/>
        <w:rPr>
          <w:b/>
          <w:bCs/>
          <w:color w:val="000000" w:themeColor="text1"/>
          <w:sz w:val="32"/>
          <w14:textFill>
            <w14:solidFill>
              <w14:schemeClr w14:val="tx1"/>
            </w14:solidFill>
          </w14:textFill>
        </w:rPr>
      </w:pPr>
      <w:r>
        <w:rPr>
          <w:rFonts w:hint="eastAsia"/>
          <w:b/>
          <w:bCs/>
          <w:color w:val="000000" w:themeColor="text1"/>
          <w:sz w:val="32"/>
          <w14:textFill>
            <w14:solidFill>
              <w14:schemeClr w14:val="tx1"/>
            </w14:solidFill>
          </w14:textFill>
        </w:rPr>
        <w:t xml:space="preserve">扬州市公共资源交易中心广陵分中心</w:t>
      </w:r>
      <w:r/>
    </w:p>
    <w:p>
      <w:pPr>
        <w:pStyle w:val="765"/>
        <w:jc w:val="center"/>
        <w:spacing w:before="240" w:beforeAutospacing="0" w:after="24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765"/>
        <w:jc w:val="center"/>
        <w:spacing w:before="240" w:beforeAutospacing="0" w:after="240" w:afterAutospacing="0"/>
        <w:rPr>
          <w:color w:val="000000" w:themeColor="text1"/>
          <w14:textFill>
            <w14:solidFill>
              <w14:schemeClr w14:val="tx1"/>
            </w14:solidFill>
          </w14:textFill>
        </w:rPr>
      </w:pPr>
      <w:r>
        <w:rPr>
          <w:rFonts w:hint="eastAsia" w:ascii="宋体" w:hAnsi="宋体" w:eastAsia="宋体" w:cs="宋体"/>
          <w:b/>
          <w:bCs/>
          <w:color w:val="000000" w:themeColor="text1"/>
          <w:sz w:val="32"/>
          <w:szCs w:val="32"/>
          <w:u w:val="single"/>
          <w14:textFill>
            <w14:solidFill>
              <w14:schemeClr w14:val="tx1"/>
            </w14:solidFill>
          </w14:textFill>
        </w:rPr>
        <w:t xml:space="preserve">2026</w:t>
      </w:r>
      <w:r>
        <w:rPr>
          <w:rFonts w:ascii="宋体" w:hAnsi="宋体" w:eastAsia="宋体" w:cs="宋体"/>
          <w:b/>
          <w:bCs/>
          <w:color w:val="000000" w:themeColor="text1"/>
          <w:sz w:val="32"/>
          <w:szCs w:val="32"/>
          <w14:textFill>
            <w14:solidFill>
              <w14:schemeClr w14:val="tx1"/>
            </w14:solidFill>
          </w14:textFill>
        </w:rPr>
        <w:t xml:space="preserve">年</w:t>
      </w:r>
      <w:r>
        <w:rPr>
          <w:rFonts w:hint="eastAsia" w:ascii="宋体" w:hAnsi="宋体" w:eastAsia="宋体" w:cs="宋体"/>
          <w:b/>
          <w:bCs/>
          <w:color w:val="000000" w:themeColor="text1"/>
          <w:sz w:val="32"/>
          <w:szCs w:val="32"/>
          <w:u w:val="single"/>
          <w14:textFill>
            <w14:solidFill>
              <w14:schemeClr w14:val="tx1"/>
            </w14:solidFill>
          </w14:textFill>
        </w:rPr>
        <w:t xml:space="preserve">7</w:t>
      </w:r>
      <w:r>
        <w:rPr>
          <w:rFonts w:ascii="宋体" w:hAnsi="宋体" w:eastAsia="宋体" w:cs="宋体"/>
          <w:b/>
          <w:bCs/>
          <w:color w:val="000000" w:themeColor="text1"/>
          <w:sz w:val="32"/>
          <w:szCs w:val="32"/>
          <w14:textFill>
            <w14:solidFill>
              <w14:schemeClr w14:val="tx1"/>
            </w14:solidFill>
          </w14:textFill>
        </w:rPr>
        <w:t xml:space="preserve">月</w:t>
      </w:r>
      <w:r>
        <w:rPr>
          <w:rFonts w:ascii="Times New Roman" w:hAnsi="Times New Roman"/>
          <w:color w:val="000000" w:themeColor="text1"/>
          <w:sz w:val="21"/>
          <w:szCs w:val="21"/>
          <w14:textFill>
            <w14:solidFill>
              <w14:schemeClr w14:val="tx1"/>
            </w14:solidFill>
          </w14:textFill>
        </w:rPr>
        <w:t xml:space="preserve"> </w:t>
      </w:r>
      <w:r/>
    </w:p>
    <w:p>
      <w:pPr>
        <w:pStyle w:val="765"/>
        <w:jc w:val="center"/>
        <w:spacing w:beforeAutospacing="0" w:afterAutospacing="0"/>
        <w:rPr>
          <w:rFonts w:ascii="黑体" w:hAnsi="宋体" w:eastAsia="黑体" w:cs="黑体"/>
          <w:b/>
          <w:bCs/>
          <w:color w:val="000000" w:themeColor="text1"/>
          <w:sz w:val="44"/>
          <w:szCs w:val="44"/>
          <w14:textFill>
            <w14:solidFill>
              <w14:schemeClr w14:val="tx1"/>
            </w14:solidFill>
          </w14:textFill>
        </w:rPr>
      </w:pPr>
      <w:r>
        <w:rPr>
          <w:rFonts w:ascii="黑体" w:hAnsi="宋体" w:eastAsia="黑体" w:cs="黑体"/>
          <w:b/>
          <w:bCs/>
          <w:color w:val="000000" w:themeColor="text1"/>
          <w:sz w:val="44"/>
          <w:szCs w:val="44"/>
          <w14:textFill>
            <w14:solidFill>
              <w14:schemeClr w14:val="tx1"/>
            </w14:solidFill>
          </w14:textFill>
        </w:rPr>
      </w:r>
      <w:r/>
    </w:p>
    <w:p>
      <w:pPr>
        <w:pStyle w:val="765"/>
        <w:jc w:val="center"/>
        <w:pageBreakBefore/>
        <w:spacing w:beforeAutospacing="0" w:afterAutospacing="0"/>
        <w:rPr>
          <w:color w:val="000000" w:themeColor="text1"/>
          <w14:textFill>
            <w14:solidFill>
              <w14:schemeClr w14:val="tx1"/>
            </w14:solidFill>
          </w14:textFill>
        </w:rPr>
      </w:pPr>
      <w:r>
        <w:rPr>
          <w:rFonts w:ascii="黑体" w:hAnsi="宋体" w:eastAsia="黑体" w:cs="黑体"/>
          <w:b/>
          <w:bCs/>
          <w:color w:val="000000" w:themeColor="text1"/>
          <w:sz w:val="44"/>
          <w:szCs w:val="44"/>
          <w14:textFill>
            <w14:solidFill>
              <w14:schemeClr w14:val="tx1"/>
            </w14:solidFill>
          </w14:textFill>
        </w:rPr>
        <w:t xml:space="preserve">总目录</w:t>
      </w:r>
      <w:r/>
    </w:p>
    <w:p>
      <w:pPr>
        <w:pStyle w:val="765"/>
        <w:jc w:val="both"/>
        <w:spacing w:beforeAutospacing="0" w:afterAutospacing="0"/>
        <w:rPr>
          <w:color w:val="000000" w:themeColor="text1"/>
          <w14:textFill>
            <w14:solidFill>
              <w14:schemeClr w14:val="tx1"/>
            </w14:solidFill>
          </w14:textFill>
        </w:rPr>
      </w:pPr>
      <w:r>
        <w:rPr>
          <w:rFonts w:ascii="仿宋" w:hAnsi="仿宋" w:eastAsia="仿宋" w:cs="仿宋"/>
          <w:b/>
          <w:bCs/>
          <w:color w:val="000000" w:themeColor="text1"/>
          <w:sz w:val="28"/>
          <w:szCs w:val="28"/>
          <w14:textFill>
            <w14:solidFill>
              <w14:schemeClr w14:val="tx1"/>
            </w14:solidFill>
          </w14:textFill>
        </w:rPr>
        <w:t xml:space="preserve"> </w:t>
      </w:r>
      <w:r/>
    </w:p>
    <w:p>
      <w:pPr>
        <w:numPr>
          <w:ilvl w:val="0"/>
          <w:numId w:val="2"/>
        </w:numPr>
        <w:spacing w:line="480" w:lineRule="auto"/>
        <w:rPr>
          <w:rFonts w:ascii="黑体" w:hAnsi="Showcard Gothic" w:eastAsia="黑体"/>
          <w:color w:val="000000" w:themeColor="text1"/>
          <w:sz w:val="32"/>
          <w14:textFill>
            <w14:solidFill>
              <w14:schemeClr w14:val="tx1"/>
            </w14:solidFill>
          </w14:textFill>
        </w:rPr>
        <w:outlineLvl w:val="0"/>
      </w:pPr>
      <w:r>
        <w:rPr>
          <w:rFonts w:hint="eastAsia" w:ascii="黑体" w:hAnsi="宋体" w:eastAsia="黑体"/>
          <w:color w:val="000000" w:themeColor="text1"/>
          <w:sz w:val="36"/>
          <w14:textFill>
            <w14:solidFill>
              <w14:schemeClr w14:val="tx1"/>
            </w14:solidFill>
          </w14:textFill>
        </w:rPr>
        <w:t xml:space="preserve">投标邀请</w:t>
      </w:r>
      <w:r>
        <w:rPr>
          <w:rFonts w:hint="eastAsia" w:ascii="黑体" w:hAnsi="Showcard Gothic" w:eastAsia="黑体"/>
          <w:color w:val="000000" w:themeColor="text1"/>
          <w:sz w:val="36"/>
          <w14:textFill>
            <w14:solidFill>
              <w14:schemeClr w14:val="tx1"/>
            </w14:solidFill>
          </w14:textFill>
        </w:rPr>
        <w:t xml:space="preserve">……………………………………3 </w:t>
      </w:r>
      <w:r/>
    </w:p>
    <w:p>
      <w:pPr>
        <w:numPr>
          <w:ilvl w:val="0"/>
          <w:numId w:val="2"/>
        </w:numPr>
        <w:spacing w:line="480" w:lineRule="auto"/>
        <w:rPr>
          <w:rFonts w:ascii="黑体" w:hAnsi="Showcard Gothic" w:eastAsia="黑体"/>
          <w:color w:val="000000" w:themeColor="text1"/>
          <w:sz w:val="36"/>
          <w14:textFill>
            <w14:solidFill>
              <w14:schemeClr w14:val="tx1"/>
            </w14:solidFill>
          </w14:textFill>
        </w:rPr>
        <w:outlineLvl w:val="0"/>
      </w:pPr>
      <w:r>
        <w:rPr>
          <w:rFonts w:hint="eastAsia" w:ascii="黑体" w:hAnsi="宋体" w:eastAsia="黑体"/>
          <w:bCs/>
          <w:color w:val="000000" w:themeColor="text1"/>
          <w:sz w:val="36"/>
          <w:szCs w:val="36"/>
          <w14:textFill>
            <w14:solidFill>
              <w14:schemeClr w14:val="tx1"/>
            </w14:solidFill>
          </w14:textFill>
        </w:rPr>
        <w:t xml:space="preserve">投标人须知</w:t>
      </w:r>
      <w:r>
        <w:rPr>
          <w:rFonts w:hint="eastAsia" w:ascii="黑体" w:hAnsi="Showcard Gothic" w:eastAsia="黑体"/>
          <w:color w:val="000000" w:themeColor="text1"/>
          <w:sz w:val="36"/>
          <w:szCs w:val="36"/>
          <w14:textFill>
            <w14:solidFill>
              <w14:schemeClr w14:val="tx1"/>
            </w14:solidFill>
          </w14:textFill>
        </w:rPr>
        <w:t xml:space="preserve">…</w:t>
      </w:r>
      <w:r>
        <w:rPr>
          <w:rFonts w:hint="eastAsia" w:ascii="黑体" w:hAnsi="Showcard Gothic" w:eastAsia="黑体"/>
          <w:color w:val="000000" w:themeColor="text1"/>
          <w:sz w:val="36"/>
          <w14:textFill>
            <w14:solidFill>
              <w14:schemeClr w14:val="tx1"/>
            </w14:solidFill>
          </w14:textFill>
        </w:rPr>
        <w:t xml:space="preserve">………………………………</w:t>
      </w:r>
      <w:r>
        <w:rPr>
          <w:rFonts w:hint="eastAsia" w:ascii="黑体" w:hAnsi="Showcard Gothic" w:eastAsia="黑体"/>
          <w:color w:val="000000" w:themeColor="text1"/>
          <w:sz w:val="36"/>
          <w:lang w:val="en-US" w:eastAsia="zh-CN"/>
          <w14:textFill>
            <w14:solidFill>
              <w14:schemeClr w14:val="tx1"/>
            </w14:solidFill>
          </w14:textFill>
        </w:rPr>
        <w:t xml:space="preserve">7</w:t>
      </w:r>
      <w:r>
        <w:rPr>
          <w:rFonts w:hint="eastAsia" w:ascii="黑体" w:hAnsi="Showcard Gothic" w:eastAsia="黑体"/>
          <w:color w:val="000000" w:themeColor="text1"/>
          <w:sz w:val="36"/>
          <w14:textFill>
            <w14:solidFill>
              <w14:schemeClr w14:val="tx1"/>
            </w14:solidFill>
          </w14:textFill>
        </w:rPr>
        <w:t xml:space="preserve">  </w:t>
      </w:r>
      <w:bookmarkStart w:id="0" w:name="_GoBack"/>
      <w:r/>
      <w:bookmarkEnd w:id="0"/>
      <w:r/>
      <w:r/>
    </w:p>
    <w:p>
      <w:pPr>
        <w:numPr>
          <w:ilvl w:val="0"/>
          <w:numId w:val="2"/>
        </w:numPr>
        <w:spacing w:line="480" w:lineRule="auto"/>
        <w:rPr>
          <w:rFonts w:ascii="黑体" w:hAnsi="Showcard Gothic" w:eastAsia="黑体"/>
          <w:color w:val="000000" w:themeColor="text1"/>
          <w:sz w:val="36"/>
          <w14:textFill>
            <w14:solidFill>
              <w14:schemeClr w14:val="tx1"/>
            </w14:solidFill>
          </w14:textFill>
        </w:rPr>
        <w:outlineLvl w:val="0"/>
      </w:pPr>
      <w:r>
        <w:rPr>
          <w:rFonts w:hint="eastAsia" w:ascii="黑体" w:hAnsi="宋体" w:eastAsia="黑体"/>
          <w:color w:val="000000" w:themeColor="text1"/>
          <w:sz w:val="36"/>
          <w14:textFill>
            <w14:solidFill>
              <w14:schemeClr w14:val="tx1"/>
            </w14:solidFill>
          </w14:textFill>
        </w:rPr>
        <w:t xml:space="preserve">合同文本</w:t>
      </w:r>
      <w:r>
        <w:rPr>
          <w:rFonts w:hint="eastAsia" w:ascii="黑体" w:hAnsi="Showcard Gothic" w:eastAsia="黑体"/>
          <w:color w:val="000000" w:themeColor="text1"/>
          <w:sz w:val="36"/>
          <w14:textFill>
            <w14:solidFill>
              <w14:schemeClr w14:val="tx1"/>
            </w14:solidFill>
          </w14:textFill>
        </w:rPr>
        <w:t xml:space="preserve">……………………………………1</w:t>
      </w:r>
      <w:r>
        <w:rPr>
          <w:rFonts w:hint="eastAsia" w:ascii="黑体" w:hAnsi="Showcard Gothic" w:eastAsia="黑体"/>
          <w:color w:val="000000" w:themeColor="text1"/>
          <w:sz w:val="36"/>
          <w:lang w:val="en-US" w:eastAsia="zh-CN"/>
          <w14:textFill>
            <w14:solidFill>
              <w14:schemeClr w14:val="tx1"/>
            </w14:solidFill>
          </w14:textFill>
        </w:rPr>
        <w:t xml:space="preserve">7</w:t>
      </w:r>
      <w:r/>
    </w:p>
    <w:p>
      <w:pPr>
        <w:numPr>
          <w:ilvl w:val="0"/>
          <w:numId w:val="2"/>
        </w:numPr>
        <w:spacing w:line="480" w:lineRule="auto"/>
        <w:rPr>
          <w:rFonts w:ascii="黑体" w:hAnsi="Showcard Gothic" w:eastAsia="黑体"/>
          <w:color w:val="000000" w:themeColor="text1"/>
          <w:sz w:val="36"/>
          <w14:textFill>
            <w14:solidFill>
              <w14:schemeClr w14:val="tx1"/>
            </w14:solidFill>
          </w14:textFill>
        </w:rPr>
        <w:outlineLvl w:val="0"/>
      </w:pPr>
      <w:r>
        <w:rPr>
          <w:rFonts w:hint="eastAsia" w:ascii="黑体" w:hAnsi="宋体" w:eastAsia="黑体"/>
          <w:color w:val="000000" w:themeColor="text1"/>
          <w:sz w:val="36"/>
          <w14:textFill>
            <w14:solidFill>
              <w14:schemeClr w14:val="tx1"/>
            </w14:solidFill>
          </w14:textFill>
        </w:rPr>
        <w:t xml:space="preserve">采购需求</w:t>
      </w:r>
      <w:r>
        <w:rPr>
          <w:rFonts w:hint="eastAsia" w:ascii="黑体" w:hAnsi="Showcard Gothic" w:eastAsia="黑体"/>
          <w:color w:val="000000" w:themeColor="text1"/>
          <w:sz w:val="36"/>
          <w14:textFill>
            <w14:solidFill>
              <w14:schemeClr w14:val="tx1"/>
            </w14:solidFill>
          </w14:textFill>
        </w:rPr>
        <w:t xml:space="preserve">……………………………………20</w:t>
      </w:r>
      <w:r/>
    </w:p>
    <w:p>
      <w:pPr>
        <w:numPr>
          <w:ilvl w:val="0"/>
          <w:numId w:val="2"/>
        </w:numPr>
        <w:spacing w:line="480" w:lineRule="auto"/>
        <w:rPr>
          <w:rFonts w:ascii="黑体" w:hAnsi="Showcard Gothic" w:eastAsia="黑体"/>
          <w:color w:val="000000" w:themeColor="text1"/>
          <w:sz w:val="36"/>
          <w14:textFill>
            <w14:solidFill>
              <w14:schemeClr w14:val="tx1"/>
            </w14:solidFill>
          </w14:textFill>
        </w:rPr>
        <w:outlineLvl w:val="0"/>
      </w:pPr>
      <w:r>
        <w:rPr>
          <w:rFonts w:hint="eastAsia" w:ascii="黑体" w:hAnsi="宋体" w:eastAsia="黑体"/>
          <w:bCs/>
          <w:color w:val="000000" w:themeColor="text1"/>
          <w:sz w:val="36"/>
          <w:szCs w:val="36"/>
          <w14:textFill>
            <w14:solidFill>
              <w14:schemeClr w14:val="tx1"/>
            </w14:solidFill>
          </w14:textFill>
        </w:rPr>
        <w:t xml:space="preserve">评标方法与评标标准</w:t>
      </w:r>
      <w:r>
        <w:rPr>
          <w:rFonts w:hint="eastAsia" w:ascii="黑体" w:hAnsi="Showcard Gothic" w:eastAsia="黑体"/>
          <w:color w:val="000000" w:themeColor="text1"/>
          <w:sz w:val="36"/>
          <w14:textFill>
            <w14:solidFill>
              <w14:schemeClr w14:val="tx1"/>
            </w14:solidFill>
          </w14:textFill>
        </w:rPr>
        <w:t xml:space="preserve">………………………</w:t>
      </w:r>
      <w:r>
        <w:rPr>
          <w:rFonts w:hint="eastAsia" w:ascii="黑体" w:hAnsi="Showcard Gothic" w:eastAsia="黑体"/>
          <w:color w:val="000000" w:themeColor="text1"/>
          <w:sz w:val="36"/>
          <w:lang w:val="en-US" w:eastAsia="zh-CN"/>
          <w14:textFill>
            <w14:solidFill>
              <w14:schemeClr w14:val="tx1"/>
            </w14:solidFill>
          </w14:textFill>
        </w:rPr>
        <w:t xml:space="preserve">62</w:t>
      </w:r>
      <w:r/>
    </w:p>
    <w:p>
      <w:pPr>
        <w:numPr>
          <w:ilvl w:val="0"/>
          <w:numId w:val="2"/>
        </w:numPr>
        <w:spacing w:line="480" w:lineRule="auto"/>
        <w:rPr>
          <w:rFonts w:ascii="黑体" w:hAnsi="Showcard Gothic" w:eastAsia="黑体"/>
          <w:color w:val="000000" w:themeColor="text1"/>
          <w:sz w:val="36"/>
          <w14:textFill>
            <w14:solidFill>
              <w14:schemeClr w14:val="tx1"/>
            </w14:solidFill>
          </w14:textFill>
        </w:rPr>
        <w:outlineLvl w:val="0"/>
      </w:pPr>
      <w:r>
        <w:rPr>
          <w:rFonts w:hint="eastAsia" w:ascii="黑体" w:hAnsi="宋体" w:eastAsia="黑体"/>
          <w:color w:val="000000" w:themeColor="text1"/>
          <w:sz w:val="36"/>
          <w14:textFill>
            <w14:solidFill>
              <w14:schemeClr w14:val="tx1"/>
            </w14:solidFill>
          </w14:textFill>
        </w:rPr>
        <w:t xml:space="preserve">投标文件格式</w:t>
      </w:r>
      <w:r>
        <w:rPr>
          <w:rFonts w:hint="eastAsia" w:ascii="黑体" w:hAnsi="Showcard Gothic" w:eastAsia="黑体"/>
          <w:color w:val="000000" w:themeColor="text1"/>
          <w:sz w:val="36"/>
          <w14:textFill>
            <w14:solidFill>
              <w14:schemeClr w14:val="tx1"/>
            </w14:solidFill>
          </w14:textFill>
        </w:rPr>
        <w:t xml:space="preserve">………………………………</w:t>
      </w:r>
      <w:r>
        <w:rPr>
          <w:rFonts w:hint="eastAsia" w:ascii="黑体" w:hAnsi="Showcard Gothic" w:eastAsia="黑体"/>
          <w:color w:val="000000" w:themeColor="text1"/>
          <w:sz w:val="36"/>
          <w:lang w:val="en-US" w:eastAsia="zh-CN"/>
          <w14:textFill>
            <w14:solidFill>
              <w14:schemeClr w14:val="tx1"/>
            </w14:solidFill>
          </w14:textFill>
        </w:rPr>
        <w:t xml:space="preserve">69</w:t>
      </w:r>
      <w:r/>
    </w:p>
    <w:p>
      <w:pPr>
        <w:spacing w:beforeAutospacing="1" w:afterAutospacing="1"/>
        <w:widowControl/>
        <w:rPr>
          <w:color w:val="000000" w:themeColor="text1"/>
          <w14:textFill>
            <w14:solidFill>
              <w14:schemeClr w14:val="tx1"/>
            </w14:solidFill>
          </w14:textFill>
        </w:rPr>
      </w:pPr>
      <w:r>
        <w:rPr>
          <w:color w:val="000000" w:themeColor="text1"/>
          <w14:textFill>
            <w14:solidFill>
              <w14:schemeClr w14:val="tx1"/>
            </w14:solidFill>
          </w14:textFill>
        </w:rPr>
      </w:r>
      <w:r/>
    </w:p>
    <w:p>
      <w:pPr>
        <w:pStyle w:val="765"/>
        <w:jc w:val="both"/>
        <w:spacing w:before="210" w:beforeAutospacing="0" w:after="57"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center"/>
        <w:keepNext/>
        <w:spacing w:beforeAutospacing="0" w:afterAutospacing="0"/>
        <w:rPr>
          <w:color w:val="000000" w:themeColor="text1"/>
          <w14:textFill>
            <w14:solidFill>
              <w14:schemeClr w14:val="tx1"/>
            </w14:solidFill>
          </w14:textFill>
        </w:rPr>
      </w:pPr>
      <w:r>
        <w:rPr>
          <w:rFonts w:ascii="黑体" w:hAnsi="宋体" w:eastAsia="黑体" w:cs="黑体"/>
          <w:color w:val="000000" w:themeColor="text1"/>
          <w:sz w:val="44"/>
          <w:szCs w:val="44"/>
          <w14:textFill>
            <w14:solidFill>
              <w14:schemeClr w14:val="tx1"/>
            </w14:solidFill>
          </w14:textFill>
        </w:rPr>
        <w:t xml:space="preserve">第一章 投标邀请</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受</w:t>
      </w:r>
      <w:r>
        <w:rPr>
          <w:rFonts w:hint="eastAsia" w:ascii="宋体" w:hAnsi="宋体" w:eastAsia="宋体" w:cs="宋体"/>
          <w:color w:val="000000" w:themeColor="text1"/>
          <w14:textFill>
            <w14:solidFill>
              <w14:schemeClr w14:val="tx1"/>
            </w14:solidFill>
          </w14:textFill>
        </w:rPr>
        <w:t xml:space="preserve">扬州市广陵区卫生健康委员会</w:t>
      </w:r>
      <w:r>
        <w:rPr>
          <w:rFonts w:ascii="宋体" w:hAnsi="宋体" w:eastAsia="宋体" w:cs="宋体"/>
          <w:color w:val="000000" w:themeColor="text1"/>
          <w14:textFill>
            <w14:solidFill>
              <w14:schemeClr w14:val="tx1"/>
            </w14:solidFill>
          </w14:textFill>
        </w:rPr>
        <w:t xml:space="preserve">的委托，</w:t>
      </w:r>
      <w:r>
        <w:rPr>
          <w:rFonts w:hint="eastAsia" w:ascii="宋体" w:hAnsi="宋体" w:eastAsia="宋体" w:cs="宋体"/>
          <w:color w:val="000000" w:themeColor="text1"/>
          <w14:textFill>
            <w14:solidFill>
              <w14:schemeClr w14:val="tx1"/>
            </w14:solidFill>
          </w14:textFill>
        </w:rPr>
        <w:t xml:space="preserve">扬州市公共资源交易中心广陵分中心</w:t>
      </w:r>
      <w:r>
        <w:rPr>
          <w:rFonts w:ascii="宋体" w:hAnsi="宋体" w:eastAsia="宋体" w:cs="宋体"/>
          <w:color w:val="000000" w:themeColor="text1"/>
          <w14:textFill>
            <w14:solidFill>
              <w14:schemeClr w14:val="tx1"/>
            </w14:solidFill>
          </w14:textFill>
        </w:rPr>
        <w:t xml:space="preserve">就</w:t>
      </w:r>
      <w:r>
        <w:rPr>
          <w:rFonts w:hint="eastAsia" w:ascii="宋体" w:hAnsi="宋体" w:eastAsia="宋体" w:cs="宋体"/>
          <w:color w:val="000000" w:themeColor="text1"/>
          <w:lang w:eastAsia="zh-CN"/>
          <w14:textFill>
            <w14:solidFill>
              <w14:schemeClr w14:val="tx1"/>
            </w14:solidFill>
          </w14:textFill>
        </w:rPr>
        <w:t xml:space="preserve">扬州市广陵区卫健委健康管理型医院基层能力提升暨绩效体系建设项目</w:t>
      </w:r>
      <w:r>
        <w:rPr>
          <w:rFonts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eastAsia="zh-CN"/>
          <w14:textFill>
            <w14:solidFill>
              <w14:schemeClr w14:val="tx1"/>
            </w14:solidFill>
          </w14:textFill>
        </w:rPr>
        <w:t xml:space="preserve">JSZC-321002-JZCG-G2026-0003</w:t>
      </w:r>
      <w:r>
        <w:rPr>
          <w:rFonts w:ascii="宋体" w:hAnsi="宋体" w:eastAsia="宋体" w:cs="宋体"/>
          <w:color w:val="000000" w:themeColor="text1"/>
          <w14:textFill>
            <w14:solidFill>
              <w14:schemeClr w14:val="tx1"/>
            </w14:solidFill>
          </w14:textFill>
        </w:rPr>
        <w:t xml:space="preserve">)项目进行公开招标采购，欢迎符合条件的供应商投标。</w:t>
      </w:r>
      <w:r/>
    </w:p>
    <w:p>
      <w:pPr>
        <w:pStyle w:val="765"/>
        <w:ind w:firstLine="480"/>
        <w:jc w:val="both"/>
        <w:spacing w:beforeAutospacing="0" w:afterAutospacing="0" w:line="360" w:lineRule="auto"/>
        <w:rPr>
          <w:color w:val="000000" w:themeColor="text1"/>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themeColor="text1"/>
          <w14:textFill>
            <w14:solidFill>
              <w14:schemeClr w14:val="tx1"/>
            </w14:solidFill>
          </w14:textFill>
        </w:rPr>
        <w:t xml:space="preserve">项目概况</w:t>
      </w:r>
      <w:r/>
    </w:p>
    <w:p>
      <w:pPr>
        <w:pStyle w:val="765"/>
        <w:ind w:firstLine="480"/>
        <w:jc w:val="both"/>
        <w:spacing w:beforeAutospacing="0" w:afterAutospacing="0" w:line="360" w:lineRule="auto"/>
        <w:rPr>
          <w:color w:val="000000" w:themeColor="text1"/>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lang w:eastAsia="zh-CN"/>
          <w14:textFill>
            <w14:solidFill>
              <w14:schemeClr w14:val="tx1"/>
            </w14:solidFill>
          </w14:textFill>
        </w:rPr>
        <w:t xml:space="preserve">扬州市广陵区卫健委健康管理型医院基层能力提升暨绩效体系建设项目</w:t>
      </w:r>
      <w:r>
        <w:rPr>
          <w:rFonts w:ascii="宋体" w:hAnsi="宋体" w:eastAsia="宋体" w:cs="宋体"/>
          <w:color w:val="000000" w:themeColor="text1"/>
          <w14:textFill>
            <w14:solidFill>
              <w14:schemeClr w14:val="tx1"/>
            </w14:solidFill>
          </w14:textFill>
        </w:rPr>
        <w:t xml:space="preserve">的潜在投标人可在</w:t>
      </w:r>
      <w:r>
        <w:rPr>
          <w:rFonts w:ascii="宋体" w:hAnsi="宋体" w:eastAsia="宋体" w:cs="宋体"/>
          <w:color w:val="000000" w:themeColor="text1"/>
          <w:u w:val="single"/>
          <w14:textFill>
            <w14:solidFill>
              <w14:schemeClr w14:val="tx1"/>
            </w14:solidFill>
          </w14:textFill>
        </w:rPr>
        <w:t xml:space="preserve">“江苏政府采购网”“扬州市政府采购网”</w:t>
      </w:r>
      <w:r>
        <w:rPr>
          <w:rFonts w:ascii="宋体" w:hAnsi="宋体" w:eastAsia="宋体" w:cs="宋体"/>
          <w:color w:val="000000" w:themeColor="text1"/>
          <w14:textFill>
            <w14:solidFill>
              <w14:schemeClr w14:val="tx1"/>
            </w14:solidFill>
          </w14:textFill>
        </w:rPr>
        <w:t xml:space="preserve">自行免费下载招标文件，并于</w:t>
      </w:r>
      <w:r>
        <w:rPr>
          <w:rFonts w:hint="eastAsia" w:ascii="宋体" w:hAnsi="宋体" w:eastAsia="宋体" w:cs="宋体"/>
          <w:color w:val="000000" w:themeColor="text1"/>
          <w:u w:val="single"/>
          <w14:textFill>
            <w14:solidFill>
              <w14:schemeClr w14:val="tx1"/>
            </w14:solidFill>
          </w14:textFill>
        </w:rPr>
        <w:t xml:space="preserve">2026</w:t>
      </w:r>
      <w:r>
        <w:rPr>
          <w:rFonts w:ascii="宋体" w:hAnsi="宋体" w:eastAsia="宋体" w:cs="宋体"/>
          <w:color w:val="000000" w:themeColor="text1"/>
          <w:u w:val="single"/>
          <w14:textFill>
            <w14:solidFill>
              <w14:schemeClr w14:val="tx1"/>
            </w14:solidFill>
          </w14:textFill>
        </w:rPr>
        <w:t xml:space="preserve">年</w:t>
      </w:r>
      <w:r>
        <w:rPr>
          <w:rFonts w:hint="eastAsia" w:ascii="宋体" w:hAnsi="宋体" w:eastAsia="宋体" w:cs="宋体"/>
          <w:color w:val="000000" w:themeColor="text1"/>
          <w:u w:val="single"/>
          <w14:textFill>
            <w14:solidFill>
              <w14:schemeClr w14:val="tx1"/>
            </w14:solidFill>
          </w14:textFill>
        </w:rPr>
        <w:t xml:space="preserve">8月</w:t>
      </w:r>
      <w:r>
        <w:rPr>
          <w:rFonts w:hint="eastAsia" w:ascii="宋体" w:hAnsi="宋体" w:eastAsia="宋体" w:cs="宋体"/>
          <w:color w:val="000000" w:themeColor="text1"/>
          <w:u w:val="single"/>
          <w:lang w:val="en-US" w:eastAsia="zh-CN"/>
          <w14:textFill>
            <w14:solidFill>
              <w14:schemeClr w14:val="tx1"/>
            </w14:solidFill>
          </w14:textFill>
        </w:rPr>
        <w:t xml:space="preserve">20</w:t>
      </w:r>
      <w:r>
        <w:rPr>
          <w:rFonts w:ascii="宋体" w:hAnsi="宋体" w:eastAsia="宋体" w:cs="宋体"/>
          <w:color w:val="000000" w:themeColor="text1"/>
          <w:u w:val="single"/>
          <w14:textFill>
            <w14:solidFill>
              <w14:schemeClr w14:val="tx1"/>
            </w14:solidFill>
          </w14:textFill>
        </w:rPr>
        <w:t xml:space="preserve">日9点30分（</w:t>
      </w:r>
      <w:r>
        <w:rPr>
          <w:rFonts w:ascii="宋体" w:hAnsi="宋体" w:eastAsia="宋体" w:cs="宋体"/>
          <w:color w:val="000000" w:themeColor="text1"/>
          <w14:textFill>
            <w14:solidFill>
              <w14:schemeClr w14:val="tx1"/>
            </w14:solidFill>
          </w14:textFill>
        </w:rPr>
        <w:t xml:space="preserve">北京时间）前递交投标文件。</w:t>
      </w:r>
      <w:r/>
    </w:p>
    <w:p>
      <w:pPr>
        <w:pStyle w:val="765"/>
        <w:ind w:firstLine="498"/>
        <w:jc w:val="both"/>
        <w:spacing w:before="145" w:beforeAutospacing="0" w:after="145" w:afterAutospacing="0" w:line="360" w:lineRule="auto"/>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一、项目基本情况</w:t>
      </w:r>
      <w:r/>
    </w:p>
    <w:p>
      <w:pPr>
        <w:pStyle w:val="765"/>
        <w:ind w:firstLine="480"/>
        <w:jc w:val="both"/>
        <w:spacing w:beforeAutospacing="0" w:afterAutospacing="0" w:line="360" w:lineRule="auto"/>
        <w:rPr>
          <w:rFonts w:hint="eastAsia" w:ascii="宋体" w:hAnsi="宋体" w:eastAsia="宋体" w:cs="宋体"/>
          <w:color w:val="000000" w:themeColor="text1"/>
          <w:lang w:val="en-US" w:eastAsia="zh-CN"/>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1.项目编号：</w:t>
      </w:r>
      <w:r>
        <w:rPr>
          <w:rFonts w:hint="eastAsia" w:ascii="宋体" w:hAnsi="宋体" w:eastAsia="宋体" w:cs="宋体"/>
          <w:color w:val="000000" w:themeColor="text1"/>
          <w:lang w:val="en-US" w:eastAsia="zh-CN"/>
          <w14:textFill>
            <w14:solidFill>
              <w14:schemeClr w14:val="tx1"/>
            </w14:solidFill>
          </w14:textFill>
        </w:rPr>
        <w:t xml:space="preserve">JSZC-321002-JZCG-G2026-0003</w:t>
      </w:r>
      <w:r/>
    </w:p>
    <w:p>
      <w:pPr>
        <w:pStyle w:val="765"/>
        <w:ind w:firstLine="480"/>
        <w:jc w:val="both"/>
        <w:spacing w:beforeAutospacing="0" w:afterAutospacing="0" w:line="360" w:lineRule="auto"/>
        <w:rPr>
          <w:rFonts w:eastAsia="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2.项目名称：</w:t>
      </w:r>
      <w:r>
        <w:rPr>
          <w:rFonts w:hint="eastAsia" w:ascii="宋体" w:hAnsi="宋体" w:eastAsia="宋体" w:cs="宋体"/>
          <w:color w:val="000000" w:themeColor="text1"/>
          <w14:textFill>
            <w14:solidFill>
              <w14:schemeClr w14:val="tx1"/>
            </w14:solidFill>
          </w14:textFill>
        </w:rPr>
        <w:t xml:space="preserve">扬州市广陵区</w:t>
      </w:r>
      <w:r>
        <w:rPr>
          <w:rFonts w:hint="eastAsia" w:ascii="宋体" w:hAnsi="宋体" w:eastAsia="宋体" w:cs="宋体"/>
          <w:color w:val="000000" w:themeColor="text1"/>
          <w:lang w:val="en-US" w:eastAsia="zh-CN"/>
          <w14:textFill>
            <w14:solidFill>
              <w14:schemeClr w14:val="tx1"/>
            </w14:solidFill>
          </w14:textFill>
        </w:rPr>
        <w:t xml:space="preserve">卫健委</w:t>
      </w:r>
      <w:r>
        <w:rPr>
          <w:rFonts w:hint="eastAsia" w:ascii="宋体" w:hAnsi="宋体" w:eastAsia="宋体" w:cs="宋体"/>
          <w:color w:val="000000" w:themeColor="text1"/>
          <w14:textFill>
            <w14:solidFill>
              <w14:schemeClr w14:val="tx1"/>
            </w14:solidFill>
          </w14:textFill>
        </w:rPr>
        <w:t xml:space="preserve">健康管理型医院基层能力提升暨绩效体系建设项目</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3.预算金额：</w:t>
      </w:r>
      <w:r>
        <w:rPr>
          <w:rFonts w:hint="eastAsia" w:ascii="宋体" w:hAnsi="宋体" w:eastAsia="宋体" w:cs="宋体"/>
          <w:color w:val="000000" w:themeColor="text1"/>
          <w14:textFill>
            <w14:solidFill>
              <w14:schemeClr w14:val="tx1"/>
            </w14:solidFill>
          </w14:textFill>
        </w:rPr>
        <w:t xml:space="preserve">350万元</w:t>
      </w:r>
      <w:r/>
    </w:p>
    <w:p>
      <w:pPr>
        <w:pStyle w:val="765"/>
        <w:ind w:firstLine="48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4.最高限价：</w:t>
      </w:r>
      <w:r>
        <w:rPr>
          <w:rFonts w:hint="eastAsia" w:ascii="宋体" w:hAnsi="宋体" w:eastAsia="宋体" w:cs="宋体"/>
          <w:color w:val="000000" w:themeColor="text1"/>
          <w14:textFill>
            <w14:solidFill>
              <w14:schemeClr w14:val="tx1"/>
            </w14:solidFill>
          </w14:textFill>
        </w:rPr>
        <w:t xml:space="preserve">本项目设定最高限价350万元，最后报价超过最高限价的为无效报价，按照无效响应处理。</w:t>
      </w:r>
      <w:r>
        <w:rPr>
          <w:rFonts w:ascii="宋体" w:hAnsi="宋体" w:eastAsia="宋体" w:cs="宋体"/>
          <w:color w:val="000000" w:themeColor="text1"/>
          <w14:textFill>
            <w14:solidFill>
              <w14:schemeClr w14:val="tx1"/>
            </w14:solidFill>
          </w14:textFill>
        </w:rPr>
        <w:t xml:space="preserve">    </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5.采购需求（简介）：</w:t>
      </w:r>
      <w:r>
        <w:rPr>
          <w:rFonts w:hint="eastAsia" w:ascii="宋体" w:hAnsi="宋体" w:cs="宋体"/>
          <w:color w:val="000000" w:themeColor="text1"/>
          <w:shd w:val="clear" w:color="auto" w:fill="ffffff"/>
          <w14:textFill>
            <w14:solidFill>
              <w14:schemeClr w14:val="tx1"/>
            </w14:solidFill>
          </w14:textFill>
        </w:rPr>
        <w:t xml:space="preserve">通过信息化的手段来解决基础健康档案的质量和信息采集来源路径问题。</w:t>
      </w:r>
      <w:r>
        <w:rPr>
          <w:rFonts w:ascii="宋体" w:hAnsi="宋体" w:eastAsia="宋体" w:cs="宋体"/>
          <w:color w:val="000000" w:themeColor="text1"/>
          <w14:textFill>
            <w14:solidFill>
              <w14:schemeClr w14:val="tx1"/>
            </w14:solidFill>
          </w14:textFill>
        </w:rPr>
        <w:t xml:space="preserve">（详细内容见本招标文件第四章）</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6.合同履行期限：</w:t>
      </w:r>
      <w:r>
        <w:rPr>
          <w:rFonts w:hint="eastAsia"/>
          <w:color w:val="000000" w:themeColor="text1"/>
          <w14:textFill>
            <w14:solidFill>
              <w14:schemeClr w14:val="tx1"/>
            </w14:solidFill>
          </w14:textFill>
        </w:rPr>
        <w:t xml:space="preserve">合同签订之日起4个月内完成建设。</w:t>
      </w:r>
      <w:r/>
    </w:p>
    <w:p>
      <w:pPr>
        <w:pStyle w:val="765"/>
        <w:ind w:firstLine="498"/>
        <w:jc w:val="both"/>
        <w:spacing w:before="145" w:beforeAutospacing="0" w:after="145" w:afterAutospacing="0" w:line="360" w:lineRule="auto"/>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二、申请人的资格要求：</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（一）通用资格要求</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1.满足《中华人民共和国政府采购法》第二十二条规定，并提供下列材料：</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 法人或者其他组织的营业执照等证明文件，自然人的身份证明；</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1.2 上一年度的财务状况报告（成立不满一年无需提供）；</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1.4具备履行合同所必需的设备和专业技术能力的书面声明；</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1.5参加政府采购活动前3年内在经营活动中没有重大违法记录的书面声明。</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1.6 供应商信用承诺函。</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765"/>
        <w:ind w:firstLine="480"/>
        <w:jc w:val="both"/>
        <w:spacing w:beforeAutospacing="0" w:afterAutospacing="0" w:line="400" w:lineRule="atLeast"/>
        <w:rPr>
          <w:b w:val="0"/>
          <w:bCs w:val="0"/>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3.落实政府采购政策需满足的</w:t>
      </w:r>
      <w:r>
        <w:rPr>
          <w:rFonts w:ascii="宋体" w:hAnsi="宋体" w:eastAsia="宋体" w:cs="宋体"/>
          <w:color w:val="000000" w:themeColor="text1"/>
          <w:highlight w:val="white"/>
          <w14:textFill>
            <w14:solidFill>
              <w14:schemeClr w14:val="tx1"/>
            </w14:solidFill>
          </w14:textFill>
        </w:rPr>
        <w:t xml:space="preserve">资格要求：</w:t>
      </w:r>
      <w:r>
        <w:rPr>
          <w:rFonts w:hint="eastAsia" w:ascii="宋体" w:hAnsi="宋体" w:eastAsia="宋体" w:cs="宋体"/>
          <w:b w:val="0"/>
          <w:bCs w:val="0"/>
          <w:color w:val="000000" w:themeColor="text1"/>
          <w:highlight w:val="white"/>
          <w14:textFill>
            <w14:solidFill>
              <w14:schemeClr w14:val="tx1"/>
            </w14:solidFill>
          </w14:textFill>
        </w:rPr>
        <w:t xml:space="preserve">本项目</w:t>
      </w:r>
      <w:r>
        <w:rPr>
          <w:rFonts w:ascii="宋体" w:hAnsi="宋体" w:eastAsia="宋体" w:cs="宋体"/>
          <w:b w:val="0"/>
          <w:bCs w:val="0"/>
          <w:color w:val="000000" w:themeColor="text1"/>
          <w14:textFill>
            <w14:solidFill>
              <w14:schemeClr w14:val="tx1"/>
            </w14:solidFill>
          </w14:textFill>
        </w:rPr>
        <w:t xml:space="preserve">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pStyle w:val="765"/>
        <w:ind w:firstLine="480"/>
        <w:jc w:val="both"/>
        <w:spacing w:beforeAutospacing="0" w:afterAutospacing="0" w:line="360" w:lineRule="auto"/>
        <w:rPr>
          <w:rFonts w:ascii="宋体" w:hAnsi="宋体" w:eastAsia="宋体" w:cs="宋体"/>
          <w:color w:val="000000" w:themeColor="text1"/>
          <w:highlight w:val="white"/>
          <w14:textFill>
            <w14:solidFill>
              <w14:schemeClr w14:val="tx1"/>
            </w14:solidFill>
          </w14:textFill>
        </w:rPr>
      </w:pPr>
      <w:r>
        <w:rPr>
          <w:rFonts w:ascii="宋体" w:hAnsi="宋体" w:eastAsia="宋体" w:cs="宋体"/>
          <w:color w:val="000000" w:themeColor="text1"/>
          <w:highlight w:val="white"/>
          <w14:textFill>
            <w14:solidFill>
              <w14:schemeClr w14:val="tx1"/>
            </w14:solidFill>
          </w14:textFill>
        </w:rPr>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4.联合体投标</w:t>
      </w:r>
      <w:r/>
    </w:p>
    <w:tbl>
      <w:tblPr>
        <w:tblStyle w:val="747"/>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1210"/>
        <w:gridCol w:w="3469"/>
        <w:gridCol w:w="3880"/>
      </w:tblGrid>
      <w:tr>
        <w:trPr>
          <w:tblCellSpacing w:w="0" w:type="dxa"/>
        </w:trPr>
        <w:tc>
          <w:tcPr>
            <w:tcBorders>
              <w:top w:val="single" w:color="000000" w:sz="8" w:space="0"/>
              <w:left w:val="single" w:color="000000" w:sz="8" w:space="0"/>
              <w:bottom w:val="single" w:color="000000" w:sz="8" w:space="0"/>
              <w:right w:val="single" w:color="000000" w:sz="8" w:space="0"/>
            </w:tcBorders>
            <w:tcW w:w="707" w:type="pct"/>
            <w:vAlign w:val="center"/>
            <w:textDirection w:val="lrTb"/>
            <w:noWrap w:val="false"/>
          </w:tcPr>
          <w:p>
            <w:pPr>
              <w:pStyle w:val="765"/>
              <w:jc w:val="center"/>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W w:w="2026" w:type="pct"/>
            <w:vAlign w:val="center"/>
            <w:textDirection w:val="lrTb"/>
            <w:noWrap w:val="false"/>
          </w:tcPr>
          <w:p>
            <w:pPr>
              <w:pStyle w:val="765"/>
              <w:jc w:val="center"/>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W w:w="2266" w:type="pct"/>
            <w:vAlign w:val="center"/>
            <w:textDirection w:val="lrTb"/>
            <w:noWrap w:val="false"/>
          </w:tcPr>
          <w:p>
            <w:pPr>
              <w:pStyle w:val="765"/>
              <w:jc w:val="center"/>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该采购包中联合体成员数量上限</w:t>
            </w:r>
            <w:r/>
          </w:p>
        </w:tc>
      </w:tr>
      <w:tr>
        <w:trPr>
          <w:tblCellSpacing w:w="0" w:type="dxa"/>
        </w:trPr>
        <w:tc>
          <w:tcPr>
            <w:tcBorders>
              <w:top w:val="none" w:color="000000" w:sz="4" w:space="0"/>
              <w:left w:val="single" w:color="000000" w:sz="8" w:space="0"/>
              <w:bottom w:val="single" w:color="000000" w:sz="8" w:space="0"/>
              <w:right w:val="single" w:color="000000" w:sz="8" w:space="0"/>
            </w:tcBorders>
            <w:tcW w:w="707" w:type="pct"/>
            <w:vAlign w:val="center"/>
            <w:textDirection w:val="lrTb"/>
            <w:noWrap w:val="false"/>
          </w:tcPr>
          <w:p>
            <w:pPr>
              <w:pStyle w:val="765"/>
              <w:jc w:val="center"/>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2026" w:type="pct"/>
            <w:vAlign w:val="center"/>
            <w:textDirection w:val="lrTb"/>
            <w:noWrap w:val="false"/>
          </w:tcPr>
          <w:p>
            <w:pPr>
              <w:pStyle w:val="765"/>
              <w:jc w:val="center"/>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否</w:t>
            </w:r>
            <w:r/>
          </w:p>
        </w:tc>
        <w:tc>
          <w:tcPr>
            <w:tcBorders>
              <w:top w:val="none" w:color="000000" w:sz="4" w:space="0"/>
              <w:left w:val="none" w:color="000000" w:sz="4" w:space="0"/>
              <w:bottom w:val="single" w:color="000000" w:sz="8" w:space="0"/>
              <w:right w:val="single" w:color="000000" w:sz="8" w:space="0"/>
            </w:tcBorders>
            <w:tcW w:w="2266" w:type="pct"/>
            <w:vAlign w:val="center"/>
            <w:textDirection w:val="lrTb"/>
            <w:noWrap w:val="false"/>
          </w:tcPr>
          <w:p>
            <w:pPr>
              <w:pStyle w:val="765"/>
              <w:jc w:val="center"/>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w:t>
            </w:r>
            <w:r/>
          </w:p>
        </w:tc>
      </w:tr>
    </w:tbl>
    <w:p>
      <w:pPr>
        <w:pStyle w:val="765"/>
        <w:ind w:left="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5.进口产品投标</w:t>
      </w:r>
      <w:r/>
    </w:p>
    <w:tbl>
      <w:tblPr>
        <w:tblStyle w:val="747"/>
        <w:tblW w:w="8522" w:type="dxa"/>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2101"/>
        <w:gridCol w:w="6421"/>
      </w:tblGrid>
      <w:tr>
        <w:trPr>
          <w:tblCellSpacing w:w="0" w:type="dxa"/>
          <w:trHeight w:val="372"/>
        </w:trPr>
        <w:tc>
          <w:tcPr>
            <w:tcBorders>
              <w:top w:val="single" w:color="000000" w:sz="8" w:space="0"/>
              <w:left w:val="single" w:color="000000" w:sz="8" w:space="0"/>
              <w:bottom w:val="single" w:color="000000" w:sz="8" w:space="0"/>
              <w:right w:val="single" w:color="000000" w:sz="8" w:space="0"/>
            </w:tcBorders>
            <w:tcW w:w="2101"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W w:w="6421"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是否接受进口产品投标（是/否）</w:t>
            </w:r>
            <w:r/>
          </w:p>
        </w:tc>
      </w:tr>
      <w:tr>
        <w:trPr>
          <w:tblCellSpacing w:w="0" w:type="dxa"/>
        </w:trPr>
        <w:tc>
          <w:tcPr>
            <w:tcBorders>
              <w:top w:val="none" w:color="000000" w:sz="4" w:space="0"/>
              <w:left w:val="single" w:color="000000" w:sz="8" w:space="0"/>
              <w:bottom w:val="single" w:color="000000" w:sz="8" w:space="0"/>
              <w:right w:val="single" w:color="000000" w:sz="8" w:space="0"/>
            </w:tcBorders>
            <w:tcW w:w="2101"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6421"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否</w:t>
            </w:r>
            <w:r/>
          </w:p>
        </w:tc>
      </w:tr>
    </w:tbl>
    <w:p>
      <w:pPr>
        <w:pStyle w:val="765"/>
        <w:ind w:firstLine="24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（二）本项目的特定资格要求</w:t>
      </w:r>
      <w:r/>
    </w:p>
    <w:tbl>
      <w:tblPr>
        <w:tblStyle w:val="747"/>
        <w:tblW w:w="8522" w:type="dxa"/>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3583"/>
        <w:gridCol w:w="4939"/>
      </w:tblGrid>
      <w:tr>
        <w:trPr>
          <w:tblCellSpacing w:w="0" w:type="dxa"/>
        </w:trPr>
        <w:tc>
          <w:tcPr>
            <w:tcBorders>
              <w:top w:val="single" w:color="000000" w:sz="8" w:space="0"/>
              <w:left w:val="single" w:color="000000" w:sz="8" w:space="0"/>
              <w:bottom w:val="single" w:color="000000" w:sz="8" w:space="0"/>
              <w:right w:val="single" w:color="000000" w:sz="8" w:space="0"/>
            </w:tcBorders>
            <w:tcW w:w="3583" w:type="dxa"/>
            <w:vAlign w:val="center"/>
            <w:textDirection w:val="lrTb"/>
            <w:noWrap w:val="false"/>
          </w:tcPr>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W w:w="4939"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特定资格要求</w:t>
            </w:r>
            <w:r/>
          </w:p>
        </w:tc>
      </w:tr>
      <w:tr>
        <w:trPr>
          <w:tblCellSpacing w:w="0" w:type="dxa"/>
        </w:trPr>
        <w:tc>
          <w:tcPr>
            <w:tcBorders>
              <w:top w:val="none" w:color="000000" w:sz="4" w:space="0"/>
              <w:left w:val="single" w:color="000000" w:sz="8" w:space="0"/>
              <w:bottom w:val="single" w:color="000000" w:sz="8" w:space="0"/>
              <w:right w:val="single" w:color="000000" w:sz="8" w:space="0"/>
            </w:tcBorders>
            <w:tcW w:w="3583"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4939"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无</w:t>
            </w:r>
            <w:r/>
          </w:p>
        </w:tc>
      </w:tr>
    </w:tbl>
    <w:p>
      <w:pPr>
        <w:pStyle w:val="765"/>
        <w:ind w:firstLine="498"/>
        <w:jc w:val="both"/>
        <w:spacing w:before="145" w:beforeAutospacing="0" w:after="145" w:afterAutospacing="0" w:line="360" w:lineRule="auto"/>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三、获取招标文件</w:t>
      </w:r>
      <w:r/>
    </w:p>
    <w:p>
      <w:pPr>
        <w:pStyle w:val="765"/>
        <w:ind w:firstLine="54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1.时间：自招标文件公告发布之日起5个工作日。</w:t>
      </w:r>
      <w:r/>
    </w:p>
    <w:p>
      <w:pPr>
        <w:pStyle w:val="765"/>
        <w:ind w:firstLine="54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2.方式：在“江苏政府采购网、扬州市政府采购网”自行免费下载招标文件。</w:t>
      </w:r>
      <w:r/>
    </w:p>
    <w:p>
      <w:pPr>
        <w:pStyle w:val="765"/>
        <w:ind w:firstLine="498"/>
        <w:jc w:val="both"/>
        <w:spacing w:before="145" w:beforeAutospacing="0" w:after="145" w:afterAutospacing="0" w:line="360" w:lineRule="auto"/>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四、提交投标文件截止时间、开标时间和地点</w:t>
      </w:r>
      <w:r/>
    </w:p>
    <w:p>
      <w:pPr>
        <w:pStyle w:val="765"/>
        <w:ind w:firstLine="48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w:t>
      </w:r>
      <w:r>
        <w:rPr>
          <w:rFonts w:ascii="宋体" w:hAnsi="宋体" w:eastAsia="宋体" w:cs="宋体"/>
          <w:color w:val="000000" w:themeColor="text1"/>
          <w:u w:val="single"/>
          <w14:textFill>
            <w14:solidFill>
              <w14:schemeClr w14:val="tx1"/>
            </w14:solidFill>
          </w14:textFill>
        </w:rPr>
        <w:t xml:space="preserve"> 202</w:t>
      </w:r>
      <w:r>
        <w:rPr>
          <w:rFonts w:hint="eastAsia" w:ascii="宋体" w:hAnsi="宋体" w:eastAsia="宋体" w:cs="宋体"/>
          <w:color w:val="000000" w:themeColor="text1"/>
          <w:u w:val="single"/>
          <w14:textFill>
            <w14:solidFill>
              <w14:schemeClr w14:val="tx1"/>
            </w14:solidFill>
          </w14:textFill>
        </w:rPr>
        <w:t xml:space="preserve">6</w:t>
      </w:r>
      <w:r>
        <w:rPr>
          <w:rFonts w:ascii="宋体" w:hAnsi="宋体" w:eastAsia="宋体" w:cs="宋体"/>
          <w:color w:val="000000" w:themeColor="text1"/>
          <w:u w:val="single"/>
          <w14:textFill>
            <w14:solidFill>
              <w14:schemeClr w14:val="tx1"/>
            </w14:solidFill>
          </w14:textFill>
        </w:rPr>
        <w:t xml:space="preserve">年</w:t>
      </w:r>
      <w:r>
        <w:rPr>
          <w:rFonts w:hint="eastAsia" w:ascii="宋体" w:hAnsi="宋体" w:eastAsia="宋体" w:cs="宋体"/>
          <w:color w:val="000000" w:themeColor="text1"/>
          <w:u w:val="single"/>
          <w14:textFill>
            <w14:solidFill>
              <w14:schemeClr w14:val="tx1"/>
            </w14:solidFill>
          </w14:textFill>
        </w:rPr>
        <w:t xml:space="preserve">8</w:t>
      </w:r>
      <w:r>
        <w:rPr>
          <w:rFonts w:ascii="宋体" w:hAnsi="宋体" w:eastAsia="宋体" w:cs="宋体"/>
          <w:color w:val="000000" w:themeColor="text1"/>
          <w:u w:val="single"/>
          <w14:textFill>
            <w14:solidFill>
              <w14:schemeClr w14:val="tx1"/>
            </w14:solidFill>
          </w14:textFill>
        </w:rPr>
        <w:t xml:space="preserve">月</w:t>
      </w:r>
      <w:r>
        <w:rPr>
          <w:rFonts w:hint="eastAsia" w:ascii="宋体" w:hAnsi="宋体" w:eastAsia="宋体" w:cs="宋体"/>
          <w:color w:val="000000" w:themeColor="text1"/>
          <w:u w:val="single"/>
          <w:lang w:val="en-US" w:eastAsia="zh-CN"/>
          <w14:textFill>
            <w14:solidFill>
              <w14:schemeClr w14:val="tx1"/>
            </w14:solidFill>
          </w14:textFill>
        </w:rPr>
        <w:t xml:space="preserve">20</w:t>
      </w:r>
      <w:r>
        <w:rPr>
          <w:rFonts w:ascii="宋体" w:hAnsi="宋体" w:eastAsia="宋体" w:cs="宋体"/>
          <w:color w:val="000000" w:themeColor="text1"/>
          <w:u w:val="single"/>
          <w14:textFill>
            <w14:solidFill>
              <w14:schemeClr w14:val="tx1"/>
            </w14:solidFill>
          </w14:textFill>
        </w:rPr>
        <w:t xml:space="preserve">日</w:t>
      </w:r>
      <w:r>
        <w:rPr>
          <w:rFonts w:hint="eastAsia" w:ascii="宋体" w:hAnsi="宋体" w:eastAsia="宋体" w:cs="宋体"/>
          <w:color w:val="000000" w:themeColor="text1"/>
          <w:u w:val="single"/>
          <w14:textFill>
            <w14:solidFill>
              <w14:schemeClr w14:val="tx1"/>
            </w14:solidFill>
          </w14:textFill>
        </w:rPr>
        <w:t xml:space="preserve">9</w:t>
      </w:r>
      <w:r>
        <w:rPr>
          <w:rFonts w:ascii="宋体" w:hAnsi="宋体" w:eastAsia="宋体" w:cs="宋体"/>
          <w:color w:val="000000" w:themeColor="text1"/>
          <w:u w:val="single"/>
          <w14:textFill>
            <w14:solidFill>
              <w14:schemeClr w14:val="tx1"/>
            </w14:solidFill>
          </w14:textFill>
        </w:rPr>
        <w:t xml:space="preserve">点</w:t>
      </w:r>
      <w:r>
        <w:rPr>
          <w:rFonts w:hint="eastAsia" w:ascii="宋体" w:hAnsi="宋体" w:eastAsia="宋体" w:cs="宋体"/>
          <w:color w:val="000000" w:themeColor="text1"/>
          <w:u w:val="single"/>
          <w14:textFill>
            <w14:solidFill>
              <w14:schemeClr w14:val="tx1"/>
            </w14:solidFill>
          </w14:textFill>
        </w:rPr>
        <w:t xml:space="preserve">30</w:t>
      </w:r>
      <w:r>
        <w:rPr>
          <w:rFonts w:ascii="宋体" w:hAnsi="宋体" w:eastAsia="宋体" w:cs="宋体"/>
          <w:color w:val="000000" w:themeColor="text1"/>
          <w:u w:val="single"/>
          <w14:textFill>
            <w14:solidFill>
              <w14:schemeClr w14:val="tx1"/>
            </w14:solidFill>
          </w14:textFill>
        </w:rPr>
        <w:t xml:space="preserve">分</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（北京时间）</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2.地点：“苏采云”政府采购交易系统。</w:t>
      </w:r>
      <w:r/>
    </w:p>
    <w:p>
      <w:pPr>
        <w:pStyle w:val="765"/>
        <w:ind w:firstLine="498"/>
        <w:jc w:val="both"/>
        <w:spacing w:before="145" w:beforeAutospacing="0" w:after="145" w:afterAutospacing="0" w:line="360" w:lineRule="auto"/>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五、公告期限</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自本公告发布之日起5个工作日。</w:t>
      </w:r>
      <w:r/>
    </w:p>
    <w:p>
      <w:pPr>
        <w:pStyle w:val="765"/>
        <w:ind w:firstLine="498"/>
        <w:jc w:val="both"/>
        <w:spacing w:before="145" w:beforeAutospacing="0" w:after="145" w:afterAutospacing="0" w:line="360" w:lineRule="auto"/>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六、其他补充事宜</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无</w:t>
      </w:r>
      <w:r/>
    </w:p>
    <w:p>
      <w:pPr>
        <w:pStyle w:val="765"/>
        <w:ind w:firstLine="498"/>
        <w:jc w:val="both"/>
        <w:spacing w:before="145" w:beforeAutospacing="0" w:after="145" w:afterAutospacing="0" w:line="360" w:lineRule="auto"/>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七、本次招标联系方式</w:t>
      </w:r>
      <w:r/>
    </w:p>
    <w:p>
      <w:pPr>
        <w:pStyle w:val="765"/>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1.</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信息</w:t>
      </w:r>
      <w:r/>
    </w:p>
    <w:p>
      <w:pPr>
        <w:pStyle w:val="765"/>
        <w:ind w:left="709"/>
        <w:jc w:val="both"/>
        <w:spacing w:beforeAutospacing="0" w:afterAutospacing="0" w:line="360" w:lineRule="auto"/>
        <w:rPr>
          <w:rFonts w:eastAsia="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名 称：</w:t>
      </w:r>
      <w:r>
        <w:rPr>
          <w:rFonts w:hint="eastAsia" w:ascii="宋体" w:hAnsi="宋体" w:eastAsia="宋体" w:cs="宋体"/>
          <w:color w:val="000000" w:themeColor="text1"/>
          <w:u w:val="single"/>
          <w14:textFill>
            <w14:solidFill>
              <w14:schemeClr w14:val="tx1"/>
            </w14:solidFill>
          </w14:textFill>
        </w:rPr>
        <w:t xml:space="preserve">扬州市广陵区卫生健康委员会   </w:t>
      </w:r>
      <w:r/>
    </w:p>
    <w:p>
      <w:pPr>
        <w:pStyle w:val="765"/>
        <w:ind w:left="709"/>
        <w:jc w:val="both"/>
        <w:spacing w:beforeAutospacing="0" w:afterAutospacing="0" w:line="360" w:lineRule="auto"/>
        <w:rPr>
          <w:rFonts w:ascii="宋体" w:hAnsi="宋体" w:eastAsia="宋体" w:cs="宋体"/>
          <w:color w:val="000000" w:themeColor="text1"/>
          <w:u w:val="single"/>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地 址：</w:t>
      </w:r>
      <w:r>
        <w:rPr>
          <w:rFonts w:hint="eastAsia" w:ascii="宋体" w:hAnsi="宋体" w:eastAsia="宋体" w:cs="宋体"/>
          <w:color w:val="000000" w:themeColor="text1"/>
          <w:u w:val="single"/>
          <w14:textFill>
            <w14:solidFill>
              <w14:schemeClr w14:val="tx1"/>
            </w14:solidFill>
          </w14:textFill>
        </w:rPr>
        <w:t xml:space="preserve">江苏省扬州市广陵区文昌东路12号泰达Y-MSD12栋16层</w:t>
      </w:r>
      <w:r/>
    </w:p>
    <w:p>
      <w:pPr>
        <w:pStyle w:val="765"/>
        <w:ind w:firstLine="787"/>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联系人：曹审</w:t>
      </w:r>
      <w:r/>
    </w:p>
    <w:p>
      <w:pPr>
        <w:pStyle w:val="765"/>
        <w:ind w:firstLine="787"/>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联系方式：0514-80826089</w:t>
      </w:r>
      <w:r/>
    </w:p>
    <w:p>
      <w:pPr>
        <w:pStyle w:val="765"/>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2.</w:t>
      </w:r>
      <w:r>
        <w:rPr>
          <w:rFonts w:hint="eastAsia" w:ascii="宋体" w:hAnsi="宋体" w:eastAsia="宋体" w:cs="宋体"/>
          <w:color w:val="000000" w:themeColor="text1"/>
          <w14:textFill>
            <w14:solidFill>
              <w14:schemeClr w14:val="tx1"/>
            </w14:solidFill>
          </w14:textFill>
        </w:rPr>
        <w:t xml:space="preserve">扬州市公共资源交易中心广陵分中心</w:t>
      </w:r>
      <w:r/>
    </w:p>
    <w:p>
      <w:pPr>
        <w:pStyle w:val="765"/>
        <w:ind w:left="709"/>
        <w:jc w:val="both"/>
        <w:spacing w:beforeAutospacing="0" w:afterAutospacing="0" w:line="360" w:lineRule="auto"/>
        <w:rPr>
          <w:rFonts w:ascii="宋体" w:hAnsi="宋体" w:eastAsia="宋体" w:cs="宋体"/>
          <w:color w:val="000000" w:themeColor="text1"/>
          <w:u w:val="single"/>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地 址：</w:t>
      </w:r>
      <w:r>
        <w:rPr>
          <w:rFonts w:hint="eastAsia"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扬州市广陵区观潮路1030号八楼  </w:t>
      </w:r>
      <w:r/>
    </w:p>
    <w:p>
      <w:pPr>
        <w:pStyle w:val="765"/>
        <w:ind w:left="709"/>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联系人：</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李鑫</w:t>
      </w:r>
      <w:r>
        <w:rPr>
          <w:rFonts w:ascii="宋体" w:hAnsi="宋体" w:eastAsia="宋体" w:cs="宋体"/>
          <w:color w:val="000000" w:themeColor="text1"/>
          <w:u w:val="single"/>
          <w14:textFill>
            <w14:solidFill>
              <w14:schemeClr w14:val="tx1"/>
            </w14:solidFill>
          </w14:textFill>
        </w:rPr>
        <w:t xml:space="preserve">   </w:t>
      </w:r>
      <w:r/>
    </w:p>
    <w:p>
      <w:pPr>
        <w:pStyle w:val="765"/>
        <w:ind w:left="709"/>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联系方式：</w:t>
      </w:r>
      <w:r>
        <w:rPr>
          <w:rFonts w:hint="eastAsia" w:ascii="宋体" w:hAnsi="宋体" w:eastAsia="宋体" w:cs="宋体"/>
          <w:color w:val="000000" w:themeColor="text1"/>
          <w:u w:val="single"/>
          <w14:textFill>
            <w14:solidFill>
              <w14:schemeClr w14:val="tx1"/>
            </w14:solidFill>
          </w14:textFill>
        </w:rPr>
        <w:t xml:space="preserve">0514-82812618  </w:t>
      </w:r>
      <w:r/>
    </w:p>
    <w:p>
      <w:pPr>
        <w:pStyle w:val="765"/>
        <w:ind w:firstLine="498"/>
        <w:jc w:val="both"/>
        <w:spacing w:before="145" w:beforeAutospacing="0" w:after="145" w:afterAutospacing="0" w:line="360" w:lineRule="auto"/>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八、其他</w:t>
      </w:r>
      <w:r/>
    </w:p>
    <w:p>
      <w:pPr>
        <w:pStyle w:val="765"/>
        <w:ind w:firstLine="480"/>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bCs/>
          <w:color w:val="000000" w:themeColor="text1"/>
          <w14:textFill>
            <w14:solidFill>
              <w14:schemeClr w14:val="tx1"/>
            </w14:solidFill>
          </w14:textFill>
        </w:rPr>
        <w:t xml:space="preserve">具体办理指南和操作手册见链接：http://zfcg.yangzhou.gov.cn/xzzx/art/2023/art_4d7de1f7865f4a2894fc22bc452f94d8.html，请按《操作手册》要求制作、上传电子投标文件。</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领取CA和办理电子签章（请至扬州市文昌东路9号广陵新城市民中心1号楼5楼办理，具体联系方式：18952716110）。</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 有关本次招标的事项若存在变动或修改，敬请及时关注扬州市公共资源交易中心在“江苏政府采购网”、“扬州市政府采购网”发布的更正公告。</w:t>
      </w:r>
      <w:r/>
    </w:p>
    <w:p>
      <w:pPr>
        <w:pStyle w:val="765"/>
        <w:ind w:firstLine="480"/>
        <w:jc w:val="both"/>
        <w:spacing w:beforeAutospacing="0" w:afterAutospacing="0" w:line="360" w:lineRule="auto"/>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 本次招标不收取投标保证金。</w:t>
      </w:r>
      <w:r/>
    </w:p>
    <w:p>
      <w:pPr>
        <w:pStyle w:val="765"/>
        <w:ind w:right="840"/>
        <w:jc w:val="both"/>
        <w:spacing w:beforeAutospacing="0" w:afterAutospacing="0" w:line="360" w:lineRule="auto"/>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br w:type="page" w:clear="all"/>
      </w:r>
      <w:r/>
    </w:p>
    <w:p>
      <w:pPr>
        <w:pStyle w:val="737"/>
        <w:jc w:val="center"/>
        <w:keepLines/>
        <w:keepNext/>
        <w:spacing w:before="480" w:beforeAutospacing="0" w:after="200" w:afterAutospacing="0"/>
        <w:rPr>
          <w:rFonts w:hint="default"/>
          <w:color w:val="000000" w:themeColor="text1"/>
          <w14:textFill>
            <w14:solidFill>
              <w14:schemeClr w14:val="tx1"/>
            </w14:solidFill>
          </w14:textFill>
        </w:rPr>
      </w:pPr>
      <w:r>
        <w:rPr>
          <w:rFonts w:ascii="黑体" w:eastAsia="黑体" w:cs="黑体"/>
          <w:color w:val="000000" w:themeColor="text1"/>
          <w:sz w:val="44"/>
          <w:szCs w:val="44"/>
          <w14:textFill>
            <w14:solidFill>
              <w14:schemeClr w14:val="tx1"/>
            </w14:solidFill>
          </w14:textFill>
        </w:rPr>
        <w:t xml:space="preserve">第二章 投标人须知</w:t>
      </w:r>
      <w:r/>
    </w:p>
    <w:p>
      <w:pPr>
        <w:pStyle w:val="765"/>
        <w:ind w:firstLine="498"/>
        <w:jc w:val="both"/>
        <w:spacing w:before="145" w:beforeAutospacing="0" w:after="145"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一、总则</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1、招标方式</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 本次招标采取公开招标方式，本招标文件仅适用于招标公告中所述项目。</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2、合格的投标人</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2.1满足招标公告中供应商的资格要求的规定。</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 满足本文件实质性要求的规定。</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3、适用法律</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3.1 本次招标及由此产生的合同受中华人民共和国有关的法律法规制约和保护。</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4、投标费用</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4.1 投标人应自行承担所有与参加投标有关的费用，无论投标过程中的做法和结果如何，</w:t>
      </w:r>
      <w:r>
        <w:rPr>
          <w:rFonts w:hint="eastAsia" w:ascii="宋体" w:hAnsi="宋体" w:eastAsia="宋体" w:cs="宋体"/>
          <w:color w:val="000000" w:themeColor="text1"/>
          <w14:textFill>
            <w14:solidFill>
              <w14:schemeClr w14:val="tx1"/>
            </w14:solidFill>
          </w14:textFill>
        </w:rPr>
        <w:t xml:space="preserve">扬州市公共资源交易中心广陵分中心</w:t>
      </w:r>
      <w:r>
        <w:rPr>
          <w:rFonts w:ascii="宋体" w:hAnsi="宋体" w:eastAsia="宋体" w:cs="宋体"/>
          <w:color w:val="000000" w:themeColor="text1"/>
          <w14:textFill>
            <w14:solidFill>
              <w14:schemeClr w14:val="tx1"/>
            </w14:solidFill>
          </w14:textFill>
        </w:rPr>
        <w:t xml:space="preserve">（以下简称交易中心）在任何情况下均无义务和责任承担这些费用。</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4.2本次招标交易中心和</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不收取标书工本费与中标服务费。</w:t>
      </w:r>
      <w:r/>
    </w:p>
    <w:p>
      <w:pPr>
        <w:pStyle w:val="765"/>
        <w:ind w:firstLine="602"/>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b/>
          <w:bCs/>
          <w:color w:val="000000" w:themeColor="text1"/>
          <w:sz w:val="30"/>
          <w:szCs w:val="30"/>
          <w14:textFill>
            <w14:solidFill>
              <w14:schemeClr w14:val="tx1"/>
            </w14:solidFill>
          </w14:textFill>
        </w:rPr>
        <w:t xml:space="preserve">5、</w:t>
      </w:r>
      <w:r>
        <w:rPr>
          <w:rFonts w:ascii="黑体" w:hAnsi="宋体" w:eastAsia="黑体" w:cs="黑体"/>
          <w:color w:val="000000" w:themeColor="text1"/>
          <w:sz w:val="28"/>
          <w:szCs w:val="28"/>
          <w14:textFill>
            <w14:solidFill>
              <w14:schemeClr w14:val="tx1"/>
            </w14:solidFill>
          </w14:textFill>
        </w:rPr>
        <w:t xml:space="preserve">招标文件的约束力</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5.1 投标人一旦参加本项目采购活动，即被认为接受了本招标文件的规定和约束。</w:t>
      </w:r>
      <w:r/>
    </w:p>
    <w:p>
      <w:pPr>
        <w:pStyle w:val="765"/>
        <w:ind w:firstLine="321"/>
        <w:jc w:val="both"/>
        <w:spacing w:before="145" w:beforeAutospacing="0" w:after="145"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二、招标文件</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6、招标文件构成</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6.1 招标文件由以下部分组成：</w:t>
      </w:r>
      <w:r/>
    </w:p>
    <w:p>
      <w:pPr>
        <w:pStyle w:val="765"/>
        <w:ind w:firstLine="36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（1）投标邀请</w:t>
      </w:r>
      <w:r/>
    </w:p>
    <w:p>
      <w:pPr>
        <w:pStyle w:val="765"/>
        <w:ind w:firstLine="36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（2）投标人须知</w:t>
      </w:r>
      <w:r/>
    </w:p>
    <w:p>
      <w:pPr>
        <w:pStyle w:val="765"/>
        <w:ind w:firstLine="36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（3）合同文本</w:t>
      </w:r>
      <w:r/>
    </w:p>
    <w:p>
      <w:pPr>
        <w:pStyle w:val="765"/>
        <w:ind w:firstLine="36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（4）采购需求</w:t>
      </w:r>
      <w:r/>
    </w:p>
    <w:p>
      <w:pPr>
        <w:pStyle w:val="765"/>
        <w:ind w:firstLine="36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（5）评标方法与评标标准</w:t>
      </w:r>
      <w:r/>
    </w:p>
    <w:p>
      <w:pPr>
        <w:pStyle w:val="765"/>
        <w:ind w:firstLine="36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（6）投标文件格式</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请仔细检查招标文件是否齐全，如有缺漏请立即与交易中心联系解决。</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5"/>
        <w:ind w:firstLine="560"/>
        <w:jc w:val="both"/>
        <w:spacing w:beforeAutospacing="0" w:afterAutospacing="0" w:line="400" w:lineRule="atLeast"/>
        <w:rPr>
          <w:color w:val="000000" w:themeColor="text1"/>
          <w14:textFill>
            <w14:solidFill>
              <w14:schemeClr w14:val="tx1"/>
            </w14:solidFill>
          </w14:textFill>
        </w:rPr>
      </w:pPr>
      <w:r>
        <w:rPr>
          <w:rFonts w:ascii="Arial" w:hAnsi="Arial" w:cs="Arial"/>
          <w:color w:val="000000" w:themeColor="text1"/>
          <w:sz w:val="28"/>
          <w:szCs w:val="28"/>
          <w14:textFill>
            <w14:solidFill>
              <w14:schemeClr w14:val="tx1"/>
            </w14:solidFill>
          </w14:textFill>
        </w:rPr>
        <w:t xml:space="preserve">7</w:t>
      </w:r>
      <w:r>
        <w:rPr>
          <w:rFonts w:ascii="黑体" w:hAnsi="宋体" w:eastAsia="黑体" w:cs="黑体"/>
          <w:color w:val="000000" w:themeColor="text1"/>
          <w:sz w:val="28"/>
          <w:szCs w:val="28"/>
          <w14:textFill>
            <w14:solidFill>
              <w14:schemeClr w14:val="tx1"/>
            </w14:solidFill>
          </w14:textFill>
        </w:rPr>
        <w:t xml:space="preserve">、招标文件的修改</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7.1 在投标截止时间前，交易中心可以对招标文件进行修改。</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7.2 交易中心有权按照法定的要求推迟投标截止日期和开标日期。</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7.3 招标文件的修改将在江苏政府采购网、扬州市政府采购网公布，补充文件将作为招标文件的组成部分，并对投标人具有约束力。</w:t>
      </w:r>
      <w:r/>
    </w:p>
    <w:p>
      <w:pPr>
        <w:pStyle w:val="765"/>
        <w:ind w:firstLine="482"/>
        <w:jc w:val="both"/>
        <w:spacing w:before="145" w:beforeAutospacing="0" w:after="145"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三、投标文件的编制</w:t>
      </w:r>
      <w:r/>
    </w:p>
    <w:p>
      <w:pPr>
        <w:pStyle w:val="765"/>
        <w:ind w:firstLine="560"/>
        <w:jc w:val="both"/>
        <w:spacing w:beforeAutospacing="0" w:afterAutospacing="0" w:line="400" w:lineRule="atLeast"/>
        <w:rPr>
          <w:color w:val="000000" w:themeColor="text1"/>
          <w14:textFill>
            <w14:solidFill>
              <w14:schemeClr w14:val="tx1"/>
            </w14:solidFill>
          </w14:textFill>
        </w:rPr>
      </w:pPr>
      <w:r>
        <w:rPr>
          <w:rFonts w:ascii="Arial" w:hAnsi="Arial" w:cs="Arial"/>
          <w:color w:val="000000" w:themeColor="text1"/>
          <w:sz w:val="28"/>
          <w:szCs w:val="28"/>
          <w14:textFill>
            <w14:solidFill>
              <w14:schemeClr w14:val="tx1"/>
            </w14:solidFill>
          </w14:textFill>
        </w:rPr>
        <w:t xml:space="preserve">8</w:t>
      </w:r>
      <w:r>
        <w:rPr>
          <w:rFonts w:ascii="黑体" w:hAnsi="宋体" w:eastAsia="黑体" w:cs="黑体"/>
          <w:color w:val="000000" w:themeColor="text1"/>
          <w:sz w:val="28"/>
          <w:szCs w:val="28"/>
          <w14:textFill>
            <w14:solidFill>
              <w14:schemeClr w14:val="tx1"/>
            </w14:solidFill>
          </w14:textFill>
        </w:rPr>
        <w:t xml:space="preserve">、投标文件的语言及度量衡单位</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8.1 投标人提交的投标文件以及投标人与交易中心就有关投标的所有来往通知、函件和文件均应使用</w:t>
      </w:r>
      <w:r>
        <w:rPr>
          <w:rFonts w:ascii="宋体" w:hAnsi="宋体" w:eastAsia="宋体" w:cs="宋体"/>
          <w:b/>
          <w:bCs/>
          <w:color w:val="000000" w:themeColor="text1"/>
          <w14:textFill>
            <w14:solidFill>
              <w14:schemeClr w14:val="tx1"/>
            </w14:solidFill>
          </w14:textFill>
        </w:rPr>
        <w:t xml:space="preserve">简体中文</w:t>
      </w:r>
      <w:r>
        <w:rPr>
          <w:rFonts w:ascii="宋体" w:hAnsi="宋体" w:eastAsia="宋体" w:cs="宋体"/>
          <w:color w:val="000000" w:themeColor="text1"/>
          <w14:textFill>
            <w14:solidFill>
              <w14:schemeClr w14:val="tx1"/>
            </w14:solidFill>
          </w14:textFill>
        </w:rPr>
        <w:t xml:space="preserve">。</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8.2 除技术性能另有规定外，投标文件所使用的度量衡单位，均须采用国家法定计量单位。</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Arial" w:hAnsi="Arial" w:cs="Arial"/>
          <w:color w:val="000000" w:themeColor="text1"/>
          <w:sz w:val="28"/>
          <w:szCs w:val="28"/>
          <w14:textFill>
            <w14:solidFill>
              <w14:schemeClr w14:val="tx1"/>
            </w14:solidFill>
          </w14:textFill>
        </w:rPr>
        <w:t xml:space="preserve">9</w:t>
      </w:r>
      <w:r>
        <w:rPr>
          <w:rFonts w:ascii="黑体" w:hAnsi="宋体" w:eastAsia="黑体" w:cs="黑体"/>
          <w:color w:val="000000" w:themeColor="text1"/>
          <w:sz w:val="28"/>
          <w:szCs w:val="28"/>
          <w14:textFill>
            <w14:solidFill>
              <w14:schemeClr w14:val="tx1"/>
            </w14:solidFill>
          </w14:textFill>
        </w:rPr>
        <w:t xml:space="preserve">、投标文件构成</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9.1 投标人编写的投标文件应包括基本目录、资格审查内容、符合性审查内容、价格扣除证明文件等部分。</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9.2 如标书制作工具中格式和内容与“江苏政府采购网、扬州市政府采购网”发布的招标文件不一致，请以“江苏政府采购网、扬州市政府采购网”发布的招标文件为准。</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1</w:t>
      </w:r>
      <w:r>
        <w:rPr>
          <w:rFonts w:ascii="Arial" w:hAnsi="Arial" w:cs="Arial"/>
          <w:color w:val="000000" w:themeColor="text1"/>
          <w:sz w:val="28"/>
          <w:szCs w:val="28"/>
          <w14:textFill>
            <w14:solidFill>
              <w14:schemeClr w14:val="tx1"/>
            </w14:solidFill>
          </w14:textFill>
        </w:rPr>
        <w:t xml:space="preserve">0</w:t>
      </w:r>
      <w:r>
        <w:rPr>
          <w:rFonts w:ascii="黑体" w:hAnsi="宋体" w:eastAsia="黑体" w:cs="黑体"/>
          <w:color w:val="000000" w:themeColor="text1"/>
          <w:sz w:val="28"/>
          <w:szCs w:val="28"/>
          <w14:textFill>
            <w14:solidFill>
              <w14:schemeClr w14:val="tx1"/>
            </w14:solidFill>
          </w14:textFill>
        </w:rPr>
        <w:t xml:space="preserve">、证明投标人及投标标的符合招标文件规定的文件</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10.1 投标人应按照招标文件要求提交证明文件，证明其投标标的符合招标文件规定。</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10.2招标文件对证明文件无明确形式要求的，证明文件可以以文字资料、图纸和数据等形式提交。</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1</w:t>
      </w:r>
      <w:r>
        <w:rPr>
          <w:rFonts w:ascii="Arial" w:hAnsi="Arial" w:cs="Arial"/>
          <w:color w:val="000000" w:themeColor="text1"/>
          <w:sz w:val="28"/>
          <w:szCs w:val="28"/>
          <w14:textFill>
            <w14:solidFill>
              <w14:schemeClr w14:val="tx1"/>
            </w14:solidFill>
          </w14:textFill>
        </w:rPr>
        <w:t xml:space="preserve">1</w:t>
      </w:r>
      <w:r>
        <w:rPr>
          <w:rFonts w:ascii="黑体" w:hAnsi="宋体" w:eastAsia="黑体" w:cs="黑体"/>
          <w:color w:val="000000" w:themeColor="text1"/>
          <w:sz w:val="28"/>
          <w:szCs w:val="28"/>
          <w14:textFill>
            <w14:solidFill>
              <w14:schemeClr w14:val="tx1"/>
            </w14:solidFill>
          </w14:textFill>
        </w:rPr>
        <w:t xml:space="preserve">、投标分项报价表</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11.1 投标人按照招标文件规定格式填报投标分项报价表。</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11.2投标货币。投标文件中的单价和总价无特殊规定的采用人民币报价，以元为单位标注。招标文件中另有规定的按规定执行。</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1</w:t>
      </w:r>
      <w:r>
        <w:rPr>
          <w:rFonts w:ascii="Arial" w:hAnsi="Arial" w:cs="Arial"/>
          <w:color w:val="000000" w:themeColor="text1"/>
          <w:sz w:val="28"/>
          <w:szCs w:val="28"/>
          <w14:textFill>
            <w14:solidFill>
              <w14:schemeClr w14:val="tx1"/>
            </w14:solidFill>
          </w14:textFill>
        </w:rPr>
        <w:t xml:space="preserve">2</w:t>
      </w:r>
      <w:r>
        <w:rPr>
          <w:rFonts w:ascii="黑体" w:hAnsi="宋体" w:eastAsia="黑体" w:cs="黑体"/>
          <w:color w:val="000000" w:themeColor="text1"/>
          <w:sz w:val="28"/>
          <w:szCs w:val="28"/>
          <w14:textFill>
            <w14:solidFill>
              <w14:schemeClr w14:val="tx1"/>
            </w14:solidFill>
          </w14:textFill>
        </w:rPr>
        <w:t xml:space="preserve">、技术要求响应及偏离表、商务要求响应及偏离表</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12.1 投标人需对招标文件中的技术要求与商务要求逐项作出响应或偏离，并说明原因。</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12.2 投标人需按照招标文件要求，在投标文件中提供与技术要求和商务要求相关的证明材料。</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1</w:t>
      </w:r>
      <w:r>
        <w:rPr>
          <w:rFonts w:ascii="Arial" w:hAnsi="Arial" w:cs="Arial"/>
          <w:color w:val="000000" w:themeColor="text1"/>
          <w:sz w:val="28"/>
          <w:szCs w:val="28"/>
          <w14:textFill>
            <w14:solidFill>
              <w14:schemeClr w14:val="tx1"/>
            </w14:solidFill>
          </w14:textFill>
        </w:rPr>
        <w:t xml:space="preserve">3</w:t>
      </w:r>
      <w:r>
        <w:rPr>
          <w:rFonts w:ascii="黑体" w:hAnsi="宋体" w:eastAsia="黑体" w:cs="黑体"/>
          <w:color w:val="000000" w:themeColor="text1"/>
          <w:sz w:val="28"/>
          <w:szCs w:val="28"/>
          <w14:textFill>
            <w14:solidFill>
              <w14:schemeClr w14:val="tx1"/>
            </w14:solidFill>
          </w14:textFill>
        </w:rPr>
        <w:t xml:space="preserve">、投标函和开标一览表</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13.1 投标人应按照招标文件中提供的格式完整、正确填写投标函、开标一览表。</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bCs/>
          <w:color w:val="000000" w:themeColor="text1"/>
          <w14:textFill>
            <w14:solidFill>
              <w14:schemeClr w14:val="tx1"/>
            </w14:solidFill>
          </w14:textFill>
        </w:rPr>
        <w:t xml:space="preserve">。</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1</w:t>
      </w:r>
      <w:r>
        <w:rPr>
          <w:rFonts w:ascii="Arial" w:hAnsi="Arial" w:cs="Arial"/>
          <w:color w:val="000000" w:themeColor="text1"/>
          <w:sz w:val="28"/>
          <w:szCs w:val="28"/>
          <w14:textFill>
            <w14:solidFill>
              <w14:schemeClr w14:val="tx1"/>
            </w14:solidFill>
          </w14:textFill>
        </w:rPr>
        <w:t xml:space="preserve">4</w:t>
      </w:r>
      <w:r>
        <w:rPr>
          <w:rFonts w:ascii="黑体" w:hAnsi="宋体" w:eastAsia="黑体" w:cs="黑体"/>
          <w:color w:val="000000" w:themeColor="text1"/>
          <w:sz w:val="28"/>
          <w:szCs w:val="28"/>
          <w14:textFill>
            <w14:solidFill>
              <w14:schemeClr w14:val="tx1"/>
            </w14:solidFill>
          </w14:textFill>
        </w:rPr>
        <w:t xml:space="preserve">、投标有效期</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14.1 投标有效期为交易中心规定的开标之日后</w:t>
      </w:r>
      <w:r>
        <w:rPr>
          <w:rFonts w:ascii="宋体" w:hAnsi="宋体" w:eastAsia="宋体" w:cs="宋体"/>
          <w:b/>
          <w:bCs/>
          <w:color w:val="000000" w:themeColor="text1"/>
          <w:u w:val="single"/>
          <w14:textFill>
            <w14:solidFill>
              <w14:schemeClr w14:val="tx1"/>
            </w14:solidFill>
          </w14:textFill>
        </w:rPr>
        <w:t xml:space="preserve">六十（60）天</w:t>
      </w:r>
      <w:r>
        <w:rPr>
          <w:rFonts w:ascii="宋体" w:hAnsi="宋体" w:eastAsia="宋体" w:cs="宋体"/>
          <w:color w:val="000000" w:themeColor="text1"/>
          <w14:textFill>
            <w14:solidFill>
              <w14:schemeClr w14:val="tx1"/>
            </w14:solidFill>
          </w14:textFill>
        </w:rPr>
        <w:t xml:space="preserve">。投标有效期比规定短的将被视为未实质性响应招标文件而予以拒绝。</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1</w:t>
      </w:r>
      <w:r>
        <w:rPr>
          <w:rFonts w:ascii="Arial" w:hAnsi="Arial" w:cs="Arial"/>
          <w:color w:val="000000" w:themeColor="text1"/>
          <w:sz w:val="28"/>
          <w:szCs w:val="28"/>
          <w14:textFill>
            <w14:solidFill>
              <w14:schemeClr w14:val="tx1"/>
            </w14:solidFill>
          </w14:textFill>
        </w:rPr>
        <w:t xml:space="preserve">5</w:t>
      </w:r>
      <w:r>
        <w:rPr>
          <w:rFonts w:ascii="黑体" w:hAnsi="宋体" w:eastAsia="黑体" w:cs="黑体"/>
          <w:color w:val="000000" w:themeColor="text1"/>
          <w:sz w:val="28"/>
          <w:szCs w:val="28"/>
          <w14:textFill>
            <w14:solidFill>
              <w14:schemeClr w14:val="tx1"/>
            </w14:solidFill>
          </w14:textFill>
        </w:rPr>
        <w:t xml:space="preserve">、投标有效期的延长</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765"/>
        <w:ind w:firstLine="482"/>
        <w:jc w:val="both"/>
        <w:spacing w:before="145" w:beforeAutospacing="0" w:after="145"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四、投标文件的递交</w:t>
      </w:r>
      <w:r/>
    </w:p>
    <w:p>
      <w:pPr>
        <w:pStyle w:val="765"/>
        <w:ind w:firstLine="56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1</w:t>
      </w:r>
      <w:r>
        <w:rPr>
          <w:rFonts w:ascii="Arial" w:hAnsi="Arial" w:cs="Arial"/>
          <w:color w:val="000000" w:themeColor="text1"/>
          <w:sz w:val="28"/>
          <w:szCs w:val="28"/>
          <w14:textFill>
            <w14:solidFill>
              <w14:schemeClr w14:val="tx1"/>
            </w14:solidFill>
          </w14:textFill>
        </w:rPr>
        <w:t xml:space="preserve">6</w:t>
      </w:r>
      <w:r>
        <w:rPr>
          <w:rFonts w:ascii="黑体" w:hAnsi="宋体" w:eastAsia="黑体" w:cs="黑体"/>
          <w:color w:val="000000" w:themeColor="text1"/>
          <w:sz w:val="28"/>
          <w:szCs w:val="28"/>
          <w14:textFill>
            <w14:solidFill>
              <w14:schemeClr w14:val="tx1"/>
            </w14:solidFill>
          </w14:textFill>
        </w:rPr>
        <w:t xml:space="preserve">、电子投标文件的递交</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16.1 投标人应当按照《操作手册》规定，在投标截止时间前制作并上传电子投标文件。</w:t>
      </w:r>
      <w:r/>
    </w:p>
    <w:p>
      <w:pPr>
        <w:pStyle w:val="765"/>
        <w:ind w:firstLine="420"/>
        <w:jc w:val="both"/>
        <w:spacing w:before="240" w:beforeAutospacing="0" w:after="24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1</w:t>
      </w:r>
      <w:r>
        <w:rPr>
          <w:rFonts w:ascii="Arial" w:hAnsi="Arial" w:cs="Arial"/>
          <w:color w:val="000000" w:themeColor="text1"/>
          <w:sz w:val="28"/>
          <w:szCs w:val="28"/>
          <w14:textFill>
            <w14:solidFill>
              <w14:schemeClr w14:val="tx1"/>
            </w14:solidFill>
          </w14:textFill>
        </w:rPr>
        <w:t xml:space="preserve">7</w:t>
      </w:r>
      <w:r>
        <w:rPr>
          <w:rFonts w:ascii="黑体" w:hAnsi="宋体" w:eastAsia="黑体" w:cs="黑体"/>
          <w:color w:val="000000" w:themeColor="text1"/>
          <w:sz w:val="28"/>
          <w:szCs w:val="28"/>
          <w14:textFill>
            <w14:solidFill>
              <w14:schemeClr w14:val="tx1"/>
            </w14:solidFill>
          </w14:textFill>
        </w:rPr>
        <w:t xml:space="preserve">、投标截止时间</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17.1 投标人上传电子投标文件的时间不得迟于招标公告中规定的投标截止时间。</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投标人应充分考虑到网络环境、网络带宽等风险因素，如因投标人自身原因造成的电子投标文件上传不成功的按照本招标文件第二章第25.1.2条规定做无效投标处理。</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17.2 交易中心可以按照规定，通过修改招标文件酌情延长投标截止时间，在此情况下，投标人的所有权利和义务以及投标人受制的截止时间均应以延长后新的截止时间为准。</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1</w:t>
      </w:r>
      <w:r>
        <w:rPr>
          <w:rFonts w:ascii="Arial" w:hAnsi="Arial" w:cs="Arial"/>
          <w:color w:val="000000" w:themeColor="text1"/>
          <w:sz w:val="28"/>
          <w:szCs w:val="28"/>
          <w14:textFill>
            <w14:solidFill>
              <w14:schemeClr w14:val="tx1"/>
            </w14:solidFill>
          </w14:textFill>
        </w:rPr>
        <w:t xml:space="preserve">8</w:t>
      </w:r>
      <w:r>
        <w:rPr>
          <w:rFonts w:ascii="黑体" w:hAnsi="宋体" w:eastAsia="黑体" w:cs="黑体"/>
          <w:color w:val="000000" w:themeColor="text1"/>
          <w:sz w:val="28"/>
          <w:szCs w:val="28"/>
          <w14:textFill>
            <w14:solidFill>
              <w14:schemeClr w14:val="tx1"/>
            </w14:solidFill>
          </w14:textFill>
        </w:rPr>
        <w:t xml:space="preserve">、投标文件的拒收</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18.1交易中心拒绝接收在其规定的投标截止时间后上传的任何投标文件。</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Arial" w:hAnsi="Arial" w:cs="Arial"/>
          <w:color w:val="000000" w:themeColor="text1"/>
          <w:sz w:val="28"/>
          <w:szCs w:val="28"/>
          <w14:textFill>
            <w14:solidFill>
              <w14:schemeClr w14:val="tx1"/>
            </w14:solidFill>
          </w14:textFill>
        </w:rPr>
        <w:t xml:space="preserve">19</w:t>
      </w:r>
      <w:r>
        <w:rPr>
          <w:rFonts w:ascii="黑体" w:hAnsi="宋体" w:eastAsia="黑体" w:cs="黑体"/>
          <w:color w:val="000000" w:themeColor="text1"/>
          <w:sz w:val="28"/>
          <w:szCs w:val="28"/>
          <w14:textFill>
            <w14:solidFill>
              <w14:schemeClr w14:val="tx1"/>
            </w14:solidFill>
          </w14:textFill>
        </w:rPr>
        <w:t xml:space="preserve">、投标文件的撤回和修改</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19.1 投标文件的撤回</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19.1.1 电子投标文件的撤回</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投标人可在投标截止时间前，撤回其电子投标文件，具体操作方法见《操作手册》。</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19.1.2 投标人撤回电子投标文件，则认为其不再参与本项目投标活动。</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19.2 投标文件的修改</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19.2.1投标人可在投标截止时间前，对其电子投标文件进行修改，具体操作方法见《操作手册》。</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19.2.2 在投标截止时间之后，投标人不得对其电子投标文件作任何修改。</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19.3 在投标截止时间至招标文件中规定的投标有效期满之间的这段时间内，投标人不得撤回其投标。</w:t>
      </w:r>
      <w:r/>
    </w:p>
    <w:p>
      <w:pPr>
        <w:pStyle w:val="765"/>
        <w:ind w:firstLine="482"/>
        <w:jc w:val="both"/>
        <w:spacing w:before="145" w:beforeAutospacing="0" w:after="145"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五、开标与评标</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2</w:t>
      </w:r>
      <w:r>
        <w:rPr>
          <w:rFonts w:ascii="Arial" w:hAnsi="Arial" w:cs="Arial"/>
          <w:color w:val="000000" w:themeColor="text1"/>
          <w:sz w:val="28"/>
          <w:szCs w:val="28"/>
          <w14:textFill>
            <w14:solidFill>
              <w14:schemeClr w14:val="tx1"/>
            </w14:solidFill>
          </w14:textFill>
        </w:rPr>
        <w:t xml:space="preserve">0</w:t>
      </w:r>
      <w:r>
        <w:rPr>
          <w:rFonts w:ascii="黑体" w:hAnsi="宋体" w:eastAsia="黑体" w:cs="黑体"/>
          <w:color w:val="000000" w:themeColor="text1"/>
          <w:sz w:val="28"/>
          <w:szCs w:val="28"/>
          <w14:textFill>
            <w14:solidFill>
              <w14:schemeClr w14:val="tx1"/>
            </w14:solidFill>
          </w14:textFill>
        </w:rPr>
        <w:t xml:space="preserve">、开标</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20.1 交易中心将在招标公告中规定的时间和地点组织公开开标。投标人应当按照《操作手册》规定，参加开标活动和在苏采云系统规定的时间内对投标文件进行解密。</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20.2开标仪式由交易中心组织。苏采云系统将自动对项目进行开标，并展示各投标人名称和投标价格。</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20.3投标人在开标过程中涉及到的投标文件解密、开标结果确认等工作，应按照《操作手册》规定执行。</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20.4投标人如果对开标过程和开标记录有疑义，应当根据《操作手册》规定提出，如苏采云系统中《开标记录表》宣布后5分钟内未提出的，视同认可开标结果。</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2</w:t>
      </w:r>
      <w:r>
        <w:rPr>
          <w:rFonts w:ascii="Arial" w:hAnsi="Arial" w:cs="Arial"/>
          <w:color w:val="000000" w:themeColor="text1"/>
          <w:sz w:val="28"/>
          <w:szCs w:val="28"/>
          <w14:textFill>
            <w14:solidFill>
              <w14:schemeClr w14:val="tx1"/>
            </w14:solidFill>
          </w14:textFill>
        </w:rPr>
        <w:t xml:space="preserve">1</w:t>
      </w:r>
      <w:r>
        <w:rPr>
          <w:rFonts w:ascii="黑体" w:hAnsi="宋体" w:eastAsia="黑体" w:cs="黑体"/>
          <w:color w:val="000000" w:themeColor="text1"/>
          <w:sz w:val="28"/>
          <w:szCs w:val="28"/>
          <w14:textFill>
            <w14:solidFill>
              <w14:schemeClr w14:val="tx1"/>
            </w14:solidFill>
          </w14:textFill>
        </w:rPr>
        <w:t xml:space="preserve">、评标委员会</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21.1开标后，交易中心将立即组织评标委员会（以下简称评委会）进行评标。</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21.2评委会由</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代表和有关技术、经济等方面的专家组成，且人员构成符合政府采购有关规定。</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21.3评委会独立工作，负责评审所有投标文件并确定中标候选人。</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22、评标过程的保密与公正</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22.1凡是与审查、澄清、评价和比较投标的有关资料以及授标建议等，</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、评委、交易中心均不得向投标人或与评标无关的其他人员透露。</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22.2在评标过程中，投标人不得以任何行为影响评标过程，否则其投标文件将被作为无效投标文件。</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22.3 交易中心和评委会不向未中标的投标人解释未中标原因，也不公布评标过程中的相关细节。</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22.4 采用综合评分法的项目，未中标的投标人可于中标结果公告期限届满之日起通过苏采云系统查看自己的评审得分及排序情况。</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2</w:t>
      </w:r>
      <w:r>
        <w:rPr>
          <w:rFonts w:ascii="Arial" w:hAnsi="Arial" w:cs="Arial"/>
          <w:color w:val="000000" w:themeColor="text1"/>
          <w:sz w:val="28"/>
          <w:szCs w:val="28"/>
          <w14:textFill>
            <w14:solidFill>
              <w14:schemeClr w14:val="tx1"/>
            </w14:solidFill>
          </w14:textFill>
        </w:rPr>
        <w:t xml:space="preserve">3</w:t>
      </w:r>
      <w:r>
        <w:rPr>
          <w:rFonts w:ascii="黑体" w:hAnsi="宋体" w:eastAsia="黑体" w:cs="黑体"/>
          <w:color w:val="000000" w:themeColor="text1"/>
          <w:sz w:val="28"/>
          <w:szCs w:val="28"/>
          <w14:textFill>
            <w14:solidFill>
              <w14:schemeClr w14:val="tx1"/>
            </w14:solidFill>
          </w14:textFill>
        </w:rPr>
        <w:t xml:space="preserve">、投标文件的澄清</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23.1评标期间，评委会对投标文件中含义不明确、同类问题表述不一致或者有明显文字和计算错误的内容，有权要求投标人作出必要的澄清、说明或者补正。</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投标人的澄清、说明或者补正不得超出投标文件的范围或者改变投标文件的实质性内容。</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评委会并非对每个投标人都做澄清要求。</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23.3接到评委会澄清、说明和补正要求的投标人如未按规定做出澄清、说明和补正，其风险由投标人自行承担。</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2</w:t>
      </w:r>
      <w:r>
        <w:rPr>
          <w:rFonts w:ascii="Arial" w:hAnsi="Arial" w:cs="Arial"/>
          <w:color w:val="000000" w:themeColor="text1"/>
          <w:sz w:val="28"/>
          <w:szCs w:val="28"/>
          <w14:textFill>
            <w14:solidFill>
              <w14:schemeClr w14:val="tx1"/>
            </w14:solidFill>
          </w14:textFill>
        </w:rPr>
        <w:t xml:space="preserve">4</w:t>
      </w:r>
      <w:r>
        <w:rPr>
          <w:rFonts w:ascii="黑体" w:hAnsi="宋体" w:eastAsia="黑体" w:cs="黑体"/>
          <w:color w:val="000000" w:themeColor="text1"/>
          <w:sz w:val="28"/>
          <w:szCs w:val="28"/>
          <w14:textFill>
            <w14:solidFill>
              <w14:schemeClr w14:val="tx1"/>
            </w14:solidFill>
          </w14:textFill>
        </w:rPr>
        <w:t xml:space="preserve">、对投标文件的初审</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24.1投标文件初审分为资格审查和符合性审查。</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24.1.1 资格审查：依据法律法规和招标文件的规定，由</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对投标文件中的资格证明文件进行审查。资格审查的结论，</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以书面形式向评委会进行反馈。</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在进行资格性审查的同时，将在“信用中国”网站（www.creditchina.gov.cn）和“中国政府采购网"(www.ccgp.gov.cn)查询投标人的信用记录，以确定投标人是否具备投标资格,查询结果留存并归档。</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24.1.2 符合性审查：依据招标文件的规定，由评委会从投标文件的有效性、完整性和对招标文件的响应程度进行审查，以确定是否对招标文件的实质性要求作出响应。</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24.3如果投标文件实质上没有响应招标文件的要求，评委会将予以拒绝，投标人不得通过修改或撤销不合要求的偏离或保留而使其投标成为实质性响应的投标。</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24.4评委会将对确定为实质性响应的投标进行进一步审核，是否有计算上或累加上的算术错误，修正错误的原则如下：</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（1）投标文件中开标一览表内容与投标文件中相应内容不一致的，以开标一览表为准。</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（2）大写金额和小写金额不一致的，以大写金额为准。</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（3）单价金额小数点或者百分比有明显错位的，以开标一览表的总价为准，并修改单价。</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（4）总价金额与按单价汇总金额不一致的，以单价金额计算结果为准。</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同时出现两种以上错误的，按照前款规定的顺序修正。</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24.6投标人在开、评标全过程中应保持通讯畅通，及时登录苏采云系统查阅、答复相关信息，并安排专人与交易中心及评委会联系。</w:t>
      </w:r>
      <w:r/>
    </w:p>
    <w:p>
      <w:pPr>
        <w:pStyle w:val="765"/>
        <w:ind w:firstLine="42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2</w:t>
      </w:r>
      <w:r>
        <w:rPr>
          <w:rFonts w:ascii="Arial" w:hAnsi="Arial" w:cs="Arial"/>
          <w:color w:val="000000" w:themeColor="text1"/>
          <w:sz w:val="28"/>
          <w:szCs w:val="28"/>
          <w14:textFill>
            <w14:solidFill>
              <w14:schemeClr w14:val="tx1"/>
            </w14:solidFill>
          </w14:textFill>
        </w:rPr>
        <w:t xml:space="preserve">5</w:t>
      </w:r>
      <w:r>
        <w:rPr>
          <w:rFonts w:ascii="黑体" w:hAnsi="宋体" w:eastAsia="黑体" w:cs="黑体"/>
          <w:color w:val="000000" w:themeColor="text1"/>
          <w:sz w:val="28"/>
          <w:szCs w:val="28"/>
          <w14:textFill>
            <w14:solidFill>
              <w14:schemeClr w14:val="tx1"/>
            </w14:solidFill>
          </w14:textFill>
        </w:rPr>
        <w:t xml:space="preserve">、无效投标条款和废标条款</w:t>
      </w:r>
      <w:r/>
    </w:p>
    <w:p>
      <w:pPr>
        <w:pStyle w:val="765"/>
        <w:ind w:left="479"/>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25.1无效投标条款</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25.1.1 投标人在苏采云系统规定的时间内未成功解密电子投标文件的。</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25.1.2 投标人未按照招标文件要求上传电子投标文件的。</w:t>
      </w:r>
      <w:r/>
    </w:p>
    <w:p>
      <w:pPr>
        <w:pStyle w:val="765"/>
        <w:ind w:left="479"/>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25.1.3 投标人同一采购包提交两个（含两个）以上不同的投标报价的。</w:t>
      </w:r>
      <w:r/>
    </w:p>
    <w:p>
      <w:pPr>
        <w:pStyle w:val="765"/>
        <w:ind w:left="479"/>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25.1.4投标人不具备招标文件中规定资格要求的。</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25.1.5投标人的报价超过了采购预算或最高限价的。</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25.1.6未通过符合性审查的。</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25.1.7不符合招标文件中规定的实质性要求的（本招标文件中斜体且有下划线部分为实质性要求）</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25.1.9 投标文件含有</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不能接受的附加条件的。</w:t>
      </w:r>
      <w:r/>
    </w:p>
    <w:p>
      <w:pPr>
        <w:pStyle w:val="765"/>
        <w:ind w:firstLine="480"/>
        <w:jc w:val="both"/>
        <w:spacing w:beforeAutospacing="0" w:afterAutospacing="0" w:line="400" w:lineRule="atLeas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25.1.10 异常低价投标（响应）</w:t>
      </w:r>
      <w:r/>
    </w:p>
    <w:p>
      <w:pPr>
        <w:pStyle w:val="765"/>
        <w:ind w:firstLine="480"/>
        <w:jc w:val="both"/>
        <w:spacing w:beforeAutospacing="0" w:afterAutospacing="0" w:line="400" w:lineRule="atLeas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25.1.10.1投标（响应）报价低于全部通过符合性审查供应商投标（响应）报价平均值50%的，即投标（响应）报价&lt;全部通过符合性审查供应商投标（响应）报价平均值×50%；</w:t>
      </w:r>
      <w:r/>
    </w:p>
    <w:p>
      <w:pPr>
        <w:pStyle w:val="765"/>
        <w:ind w:firstLine="480"/>
        <w:jc w:val="both"/>
        <w:spacing w:beforeAutospacing="0" w:afterAutospacing="0" w:line="400" w:lineRule="atLeas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25.1.10.2投标（响应）报价低于通过符合性审查的次低报价供应商投标（响应）报价50%的，即投标（响应）报价&lt;通过符合性审查的次低报价供应商投标（响应）报价×50%；</w:t>
      </w:r>
      <w:r/>
    </w:p>
    <w:p>
      <w:pPr>
        <w:pStyle w:val="765"/>
        <w:ind w:firstLine="480"/>
        <w:jc w:val="both"/>
        <w:spacing w:beforeAutospacing="0" w:afterAutospacing="0" w:line="400" w:lineRule="atLeas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25.1.10.3投标（响应）报价低于采购项目最高限价 45% 的，即投标（响应）报价&lt;采购项目最高限价×45% ；</w:t>
      </w:r>
      <w:r/>
    </w:p>
    <w:p>
      <w:pPr>
        <w:pStyle w:val="765"/>
        <w:ind w:firstLine="480"/>
        <w:jc w:val="both"/>
        <w:spacing w:beforeAutospacing="0" w:afterAutospacing="0" w:line="400" w:lineRule="atLeas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25.1.10.4评审委员会认定的供应商报价过低、有可能影响产品质量或者不能诚信履约的其他情形。</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25.1.10.5评审委员会启动异常低价投标（响</w:t>
      </w:r>
      <w:r>
        <w:rPr>
          <w:rFonts w:ascii="宋体" w:hAnsi="宋体" w:eastAsia="宋体" w:cs="宋体"/>
          <w:color w:val="000000" w:themeColor="text1"/>
          <w:shd w:val="clear" w:color="auto" w:fill="ffffff"/>
          <w14:textFill>
            <w14:solidFill>
              <w14:schemeClr w14:val="tx1"/>
            </w14:solidFill>
          </w14:textFill>
        </w:rPr>
        <w:t xml:space="preserve">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shd w:val="clear" w:color="auto" w:fill="ffffff"/>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shd w:val="clear" w:color="auto" w:fill="ffffff"/>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25.1.11 投标文件未按照招标文件要求加盖CA电子公章的。</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25.1.12其他法律、法规及本招标文件规定的属无效投标的情形。</w:t>
      </w:r>
      <w:r/>
    </w:p>
    <w:p>
      <w:pPr>
        <w:pStyle w:val="765"/>
        <w:ind w:left="479"/>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25.2废标条款</w:t>
      </w:r>
      <w:r/>
    </w:p>
    <w:p>
      <w:pPr>
        <w:pStyle w:val="765"/>
        <w:ind w:left="479"/>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25.2.1符合专业条件的供应商或者对招标文件作实质响应的供应商不足三家的。</w:t>
      </w:r>
      <w:r/>
    </w:p>
    <w:p>
      <w:pPr>
        <w:pStyle w:val="765"/>
        <w:ind w:left="479"/>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25.2.2出现影响采购公正的违法、违规行为的。</w:t>
      </w:r>
      <w:r/>
    </w:p>
    <w:p>
      <w:pPr>
        <w:pStyle w:val="765"/>
        <w:ind w:left="479"/>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25.2.3因重大变故，采购任务取消的。</w:t>
      </w:r>
      <w:r/>
    </w:p>
    <w:p>
      <w:pPr>
        <w:pStyle w:val="765"/>
        <w:ind w:left="479"/>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25.2.4评委会认定招标文件存在歧义、重大缺陷导致评审工作无法进行。</w:t>
      </w:r>
      <w:r/>
    </w:p>
    <w:p>
      <w:pPr>
        <w:pStyle w:val="765"/>
        <w:ind w:left="479"/>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25.2.5 因苏采云系统系统故障原因造成开标不成功的。</w:t>
      </w:r>
      <w:r/>
    </w:p>
    <w:p>
      <w:pPr>
        <w:pStyle w:val="765"/>
        <w:ind w:left="479"/>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25.3 投标截止时间结束后参加投标的供应商不足三家的处理：</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25.3.1如出现投标截止时间结束后参加投标的供应商或者在评标期间对招标文件做出实质响应的供应商不足三家情况，按政府采购相关规定执行。</w:t>
      </w:r>
      <w:r/>
    </w:p>
    <w:p>
      <w:pPr>
        <w:pStyle w:val="765"/>
        <w:ind w:firstLine="482"/>
        <w:jc w:val="both"/>
        <w:spacing w:before="145" w:beforeAutospacing="0" w:after="145"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六、定标</w:t>
      </w:r>
      <w:r/>
    </w:p>
    <w:p>
      <w:pPr>
        <w:pStyle w:val="765"/>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30"/>
          <w:szCs w:val="30"/>
          <w14:textFill>
            <w14:solidFill>
              <w14:schemeClr w14:val="tx1"/>
            </w14:solidFill>
          </w14:textFill>
        </w:rPr>
        <w:t xml:space="preserve">   26、确定中标单位</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26.1中标候选人的选取原则和数量见招标文件第五章规定。 </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26.2 </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应根据评委会推荐的中标候选人确定中标供应商。</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26.3 交易中心将在“江苏政府采购网、扬州市政府采购网”发布中标公告，公告期限为1个工作日。</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26.4  若有充分证据证明，中标供应商出现下列情况之一的，一经查实，将被取消中标资格：</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26.4.1提供虚假材料谋取中标的。</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26.4.2向</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、交易中心行贿或者提供其他不正当利益的。</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26.4.3属于本文件规定的无效条件，但在评标过程中又未被评委会发现的。</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26.4.4与</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或者其他供应商恶意串通的。</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26.4.5采取不正当手段诋毁、排挤其他供应商的。</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26.5 有下列情形之一的，视为投标人串通投标，投标无效：</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26.5.1不同投标人的投标文件由同一单位或者个人编制。</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经查实，不同投标人的电子投标文件出自同一台电脑的：不同投标人的标书制作工具客户端标识码存在一致的；不同投标人从同一互联网协议地址上传投标文件的。</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26.5.2不同投标人委托同一单位或者个人办理投标事宜。</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26.5.3 不同投标人的投标文件载明的项目管理成员或者联系人员为同一人。</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26.5.4不同投标人的投标文件异常一致或者投标报价呈规律性差异。</w:t>
      </w:r>
      <w:r/>
    </w:p>
    <w:p>
      <w:pPr>
        <w:pStyle w:val="765"/>
        <w:ind w:firstLine="480"/>
        <w:jc w:val="both"/>
        <w:spacing w:beforeAutospacing="0" w:afterAutospacing="0" w:line="40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65"/>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30"/>
          <w:szCs w:val="30"/>
          <w14:textFill>
            <w14:solidFill>
              <w14:schemeClr w14:val="tx1"/>
            </w14:solidFill>
          </w14:textFill>
        </w:rPr>
        <w:t xml:space="preserve">   27、质疑处理</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27.1 提出质疑的供应商应当是参与所质疑项目采购活动的供应商。潜在供应商依法获取其可质疑的采购文件的，可以对采购文件提出质疑。</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27.2供应商认为采购文件、采购过程和采购结果使自己的权益受到损害的，可以在知道或应知其权益受到损害之日起七个工作日内，以书面形式根据下述27.4条款的规定向交易中心或</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提出质疑。上述应知其权益受到损害之日，是指：</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27.2.1对可以质疑的采购文件提出质疑的，为收到采购文件之日或者采购文件公告期限届满之日；</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27.2.2对采购过程提出质疑的，为各采购程序环节结束之日；</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27.2.3对中标或者成交结果提出质疑的，为中标或者成交结果公告期限届满之日。</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供应商应当在法定质疑期内一次性提出针对同一采购程序环节的质疑。供应商如在法定期限内对同一采购程序环节提出多次质疑的，交易中心、</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将只对供应商第一次质疑作出答复。</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765"/>
        <w:ind w:firstLine="480"/>
        <w:jc w:val="both"/>
        <w:spacing w:beforeAutospacing="0" w:afterAutospacing="0" w:line="400" w:lineRule="atLeas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27.4供应商（含潜在供应商）对采购方式、招标文件中采购需求、供应商资格条件、评标方法与评标标准、合同文本及资格审查结果的询问、质疑请向</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提出，由</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负责答复。供应商对其他事项的询问、质疑请向交易中心提出，由交易中心负责答复。</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及交易中心只接收以纸质原件形式送达的质疑,建议供应商尽量通过邮寄方式提交质疑（</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和交易中心不接受无快递运单号的快递）。</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质疑接收人及联系方式见招标文件第一章。</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27.5 以下情形的质疑不予受理</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27.5.1 内容不符合《政府采购质疑和投诉办法》第十二条规定的质疑。</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27.5.2 超出政府采购法定期限的质疑。</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27.5.3 以传真、电子邮件等方式递交的非原件形式的质疑。</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27.5.4未参加投标活动的供应商或在投标活动中自身权益未受到损害的供应商所提出的质疑。</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27.5.5供应商组成联合体参加投标，联合体中任何一方或多方未按要求签字、盖章、加盖公章的质疑。</w:t>
      </w:r>
      <w:r/>
    </w:p>
    <w:p>
      <w:pPr>
        <w:pStyle w:val="765"/>
        <w:ind w:firstLine="468"/>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65"/>
        <w:ind w:firstLine="60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30"/>
          <w:szCs w:val="30"/>
          <w14:textFill>
            <w14:solidFill>
              <w14:schemeClr w14:val="tx1"/>
            </w14:solidFill>
          </w14:textFill>
        </w:rPr>
        <w:t xml:space="preserve">28、中标通知书</w:t>
      </w:r>
      <w:r/>
    </w:p>
    <w:p>
      <w:pPr>
        <w:pStyle w:val="765"/>
        <w:ind w:firstLine="60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765"/>
        <w:ind w:firstLine="60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28.2中标通知书将是合同的一个组成部分。对</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和中标供应商均具有法律效力。中标通知书发出后，</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改变中标结果的，或者中标供应商放弃中标项目的，应当依法承担法律责任。</w:t>
      </w:r>
      <w:r/>
    </w:p>
    <w:p>
      <w:pPr>
        <w:pStyle w:val="765"/>
        <w:jc w:val="both"/>
        <w:spacing w:before="145" w:beforeAutospacing="0" w:after="145"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七、授予合同</w:t>
      </w:r>
      <w:r/>
    </w:p>
    <w:p>
      <w:pPr>
        <w:pStyle w:val="765"/>
        <w:ind w:firstLine="60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30"/>
          <w:szCs w:val="30"/>
          <w14:textFill>
            <w14:solidFill>
              <w14:schemeClr w14:val="tx1"/>
            </w14:solidFill>
          </w14:textFill>
        </w:rPr>
        <w:t xml:space="preserve">29、签订合同</w:t>
      </w:r>
      <w:r/>
    </w:p>
    <w:p>
      <w:pPr>
        <w:pStyle w:val="765"/>
        <w:ind w:firstLine="60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29.l中标供应商应当在中标通知书发出之日起三十日内，按照招标文件确定的事项与</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签订政府采购合同。</w:t>
      </w:r>
      <w:r/>
    </w:p>
    <w:p>
      <w:pPr>
        <w:pStyle w:val="765"/>
        <w:ind w:firstLine="60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29.2招标文件、中标供应商的投标文件及招标过程中有关澄清、承诺文件均应作为合同附件。</w:t>
      </w:r>
      <w:r/>
    </w:p>
    <w:p>
      <w:pPr>
        <w:pStyle w:val="765"/>
        <w:ind w:firstLine="60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29.3 签订合同后，中标供应商不得将合同标的进行转包。未经</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同意，中标供应商也不得采用分包的形式履行合同，否则</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有权终止合同。转包或分包造成</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损失的，中标供应商应承担相应赔偿责任。</w:t>
      </w:r>
      <w:r/>
    </w:p>
    <w:p>
      <w:pPr>
        <w:pStyle w:val="765"/>
        <w:ind w:firstLine="600"/>
        <w:jc w:val="both"/>
        <w:spacing w:beforeAutospacing="0" w:afterAutospacing="0" w:line="400" w:lineRule="atLeast"/>
        <w:rPr>
          <w:color w:val="000000" w:themeColor="text1"/>
          <w14:textFill>
            <w14:solidFill>
              <w14:schemeClr w14:val="tx1"/>
            </w14:solidFill>
          </w14:textFill>
        </w:rPr>
      </w:pPr>
      <w:r>
        <w:rPr>
          <w:rFonts w:ascii="黑体" w:hAnsi="宋体" w:eastAsia="黑体" w:cs="黑体"/>
          <w:color w:val="000000" w:themeColor="text1"/>
          <w:sz w:val="30"/>
          <w:szCs w:val="30"/>
          <w14:textFill>
            <w14:solidFill>
              <w14:schemeClr w14:val="tx1"/>
            </w14:solidFill>
          </w14:textFill>
        </w:rPr>
        <w:t xml:space="preserve">30、政府采购履约资金扶持政策</w:t>
      </w:r>
      <w:r/>
    </w:p>
    <w:p>
      <w:pPr>
        <w:pStyle w:val="765"/>
        <w:ind w:firstLine="60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中标供应商可凭政府采购合同办理融资贷款，详情请见江苏政府采购网“政采贷”专栏。</w:t>
      </w:r>
      <w:r/>
    </w:p>
    <w:p>
      <w:pPr>
        <w:pStyle w:val="765"/>
        <w:jc w:val="both"/>
        <w:spacing w:before="240" w:beforeAutospacing="0" w:after="24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rPr>
          <w:rFonts w:ascii="黑体" w:hAnsi="宋体" w:eastAsia="黑体" w:cs="黑体"/>
          <w:b/>
          <w:bCs/>
          <w:color w:val="000000" w:themeColor="text1"/>
          <w:sz w:val="44"/>
          <w:szCs w:val="44"/>
          <w14:textFill>
            <w14:solidFill>
              <w14:schemeClr w14:val="tx1"/>
            </w14:solidFill>
          </w14:textFill>
        </w:rPr>
      </w:pPr>
      <w:r>
        <w:rPr>
          <w:rFonts w:ascii="黑体" w:hAnsi="宋体" w:eastAsia="黑体" w:cs="黑体"/>
          <w:b/>
          <w:bCs/>
          <w:color w:val="000000" w:themeColor="text1"/>
          <w:sz w:val="44"/>
          <w:szCs w:val="44"/>
          <w14:textFill>
            <w14:solidFill>
              <w14:schemeClr w14:val="tx1"/>
            </w14:solidFill>
          </w14:textFill>
        </w:rPr>
        <w:br w:type="page" w:clear="all"/>
      </w:r>
      <w:r/>
    </w:p>
    <w:p>
      <w:pPr>
        <w:pStyle w:val="737"/>
        <w:jc w:val="center"/>
        <w:keepLines/>
        <w:keepNext/>
        <w:spacing w:before="480" w:beforeAutospacing="0" w:after="200" w:afterAutospacing="0"/>
        <w:rPr>
          <w:rFonts w:hint="default"/>
          <w:color w:val="000000" w:themeColor="text1"/>
          <w14:textFill>
            <w14:solidFill>
              <w14:schemeClr w14:val="tx1"/>
            </w14:solidFill>
          </w14:textFill>
        </w:rPr>
      </w:pPr>
      <w:r>
        <w:rPr>
          <w:rFonts w:ascii="黑体" w:eastAsia="黑体" w:cs="黑体"/>
          <w:color w:val="000000" w:themeColor="text1"/>
          <w:sz w:val="44"/>
          <w:szCs w:val="44"/>
          <w14:textFill>
            <w14:solidFill>
              <w14:schemeClr w14:val="tx1"/>
            </w14:solidFill>
          </w14:textFill>
        </w:rPr>
        <w:t xml:space="preserve">第三章 合同文本</w:t>
      </w:r>
      <w:r/>
    </w:p>
    <w:p>
      <w:pPr>
        <w:pStyle w:val="765"/>
        <w:jc w:val="center"/>
        <w:spacing w:before="145" w:beforeAutospacing="0" w:after="145" w:afterAutospacing="0"/>
        <w:rPr>
          <w:color w:val="000000" w:themeColor="text1"/>
          <w14:textFill>
            <w14:solidFill>
              <w14:schemeClr w14:val="tx1"/>
            </w14:solidFill>
          </w14:textFill>
        </w:rPr>
      </w:pPr>
      <w:r>
        <w:rPr>
          <w:rFonts w:ascii="宋体" w:hAnsi="宋体" w:eastAsia="宋体" w:cs="宋体"/>
          <w:b/>
          <w:bCs/>
          <w:color w:val="000000" w:themeColor="text1"/>
          <w:sz w:val="30"/>
          <w:szCs w:val="30"/>
          <w14:textFill>
            <w14:solidFill>
              <w14:schemeClr w14:val="tx1"/>
            </w14:solidFill>
          </w14:textFill>
        </w:rPr>
        <w:t xml:space="preserve"> </w:t>
      </w:r>
      <w:r/>
    </w:p>
    <w:p>
      <w:pPr>
        <w:pStyle w:val="765"/>
        <w:jc w:val="center"/>
        <w:spacing w:before="145" w:beforeAutospacing="0" w:after="145" w:afterAutospacing="0"/>
        <w:rPr>
          <w:color w:val="000000" w:themeColor="text1"/>
          <w14:textFill>
            <w14:solidFill>
              <w14:schemeClr w14:val="tx1"/>
            </w14:solidFill>
          </w14:textFill>
        </w:rPr>
      </w:pPr>
      <w:r>
        <w:rPr>
          <w:rFonts w:ascii="宋体" w:hAnsi="宋体" w:eastAsia="宋体" w:cs="宋体"/>
          <w:b/>
          <w:bCs/>
          <w:color w:val="000000" w:themeColor="text1"/>
          <w:sz w:val="30"/>
          <w:szCs w:val="30"/>
          <w14:textFill>
            <w14:solidFill>
              <w14:schemeClr w14:val="tx1"/>
            </w14:solidFill>
          </w14:textFill>
        </w:rPr>
        <w:t xml:space="preserve">江苏省政府采购合同（服务）（合同编号）</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项目名称：</w:t>
      </w:r>
      <w:r>
        <w:rPr>
          <w:rFonts w:hint="eastAsia" w:ascii="宋体" w:hAnsi="宋体" w:eastAsia="宋体" w:cs="宋体"/>
          <w:color w:val="000000" w:themeColor="text1"/>
          <w:lang w:eastAsia="zh-CN"/>
          <w14:textFill>
            <w14:solidFill>
              <w14:schemeClr w14:val="tx1"/>
            </w14:solidFill>
          </w14:textFill>
        </w:rPr>
        <w:t xml:space="preserve">扬州市广陵区卫健委健康管理型医院基层能力提升暨绩效体系建设项目</w:t>
      </w:r>
      <w:r>
        <w:rPr>
          <w:rFonts w:ascii="宋体" w:hAnsi="宋体" w:eastAsia="宋体" w:cs="宋体"/>
          <w:color w:val="000000" w:themeColor="text1"/>
          <w14:textFill>
            <w14:solidFill>
              <w14:schemeClr w14:val="tx1"/>
            </w14:solidFill>
          </w14:textFill>
        </w:rPr>
        <w:t xml:space="preserve">              </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项目编号：*****             </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采购包号：*****</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甲方：（买方/</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）_________</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乙方：（卖方/中标供应商）_________</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甲、乙双方根据扬州市公共资源交易中心</w:t>
      </w:r>
      <w:r>
        <w:rPr>
          <w:rFonts w:hint="eastAsia" w:ascii="宋体" w:hAnsi="宋体" w:eastAsia="宋体" w:cs="宋体"/>
          <w:color w:val="000000" w:themeColor="text1"/>
          <w14:textFill>
            <w14:solidFill>
              <w14:schemeClr w14:val="tx1"/>
            </w14:solidFill>
          </w14:textFill>
        </w:rPr>
        <w:t xml:space="preserve">广陵分中心</w:t>
      </w:r>
      <w:r>
        <w:rPr>
          <w:rFonts w:hint="eastAsia" w:ascii="宋体" w:hAnsi="宋体" w:eastAsia="宋体" w:cs="宋体"/>
          <w:color w:val="000000" w:themeColor="text1"/>
          <w:lang w:eastAsia="zh-CN"/>
          <w14:textFill>
            <w14:solidFill>
              <w14:schemeClr w14:val="tx1"/>
            </w14:solidFill>
          </w14:textFill>
        </w:rPr>
        <w:t xml:space="preserve">扬州市广陵区卫健委健康管理型医院基层能力提升暨绩效体系建设项目</w:t>
      </w:r>
      <w:r>
        <w:rPr>
          <w:rFonts w:ascii="宋体" w:hAnsi="宋体" w:eastAsia="宋体" w:cs="宋体"/>
          <w:color w:val="000000" w:themeColor="text1"/>
          <w14:textFill>
            <w14:solidFill>
              <w14:schemeClr w14:val="tx1"/>
            </w14:solidFill>
          </w14:textFill>
        </w:rPr>
        <w:t xml:space="preserve">公开招标的结果，签署本合同。</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一、合同内容</w:t>
      </w:r>
      <w:r/>
    </w:p>
    <w:p>
      <w:pPr>
        <w:pStyle w:val="765"/>
        <w:jc w:val="both"/>
        <w:spacing w:before="120" w:beforeAutospacing="0" w:after="120" w:afterAutospacing="0"/>
        <w:rPr>
          <w:rFonts w:hint="eastAsia"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 标的名称：</w:t>
      </w:r>
      <w:r>
        <w:rPr>
          <w:rFonts w:hint="eastAsia" w:ascii="宋体" w:hAnsi="宋体" w:eastAsia="宋体" w:cs="宋体"/>
          <w:color w:val="000000" w:themeColor="text1"/>
          <w:lang w:eastAsia="zh-CN"/>
          <w14:textFill>
            <w14:solidFill>
              <w14:schemeClr w14:val="tx1"/>
            </w14:solidFill>
          </w14:textFill>
        </w:rPr>
        <w:t xml:space="preserve">扬州市广陵区卫健委健康管理型医院基层能力提升暨绩效体系建设项目</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1.2标的质量：</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1.3 标的数量（规模）：</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1.4 履行时间（期限）：</w:t>
      </w:r>
      <w:r/>
    </w:p>
    <w:p>
      <w:pPr>
        <w:pStyle w:val="765"/>
        <w:jc w:val="both"/>
        <w:spacing w:before="120" w:beforeAutospacing="0" w:after="120" w:afterAutospacing="0"/>
        <w:rPr>
          <w:rFonts w:eastAsia="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1.5 履行地点：</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1.6 履行方式：</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二、合同金额</w:t>
      </w:r>
      <w:r/>
    </w:p>
    <w:p>
      <w:pPr>
        <w:pStyle w:val="765"/>
        <w:ind w:left="410" w:hanging="41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2.1 本合同金额为（大写）：________圆（________元）人民币或其他币种。</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三、技术资料</w:t>
      </w:r>
      <w:r/>
    </w:p>
    <w:p>
      <w:pPr>
        <w:pStyle w:val="765"/>
        <w:ind w:left="410" w:hanging="41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3.1乙方应按招标文件规定的时间向甲方提供服务（包含与服务相关的货物）的有关技术资料。</w:t>
      </w:r>
      <w:r/>
    </w:p>
    <w:p>
      <w:pPr>
        <w:pStyle w:val="765"/>
        <w:ind w:left="410" w:hanging="41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5"/>
        <w:ind w:left="412" w:hanging="412"/>
        <w:jc w:val="both"/>
        <w:spacing w:before="120" w:beforeAutospacing="0" w:after="12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四、知识产权</w:t>
      </w:r>
      <w:r/>
    </w:p>
    <w:p>
      <w:pPr>
        <w:pStyle w:val="765"/>
        <w:ind w:left="408" w:hanging="408"/>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五、产权担保</w:t>
      </w:r>
      <w:r/>
    </w:p>
    <w:p>
      <w:pPr>
        <w:pStyle w:val="765"/>
        <w:ind w:left="408" w:hanging="408"/>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5.1乙方保证所交付的服务（包含与服务相关的货物）的所有权完全属于乙方且无任何抵押、查封等产权瑕疵。</w:t>
      </w:r>
      <w:r/>
    </w:p>
    <w:p>
      <w:pPr>
        <w:pStyle w:val="765"/>
        <w:ind w:left="410" w:hanging="410"/>
        <w:jc w:val="both"/>
        <w:spacing w:before="120" w:beforeAutospacing="0" w:after="12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六、履约保证金</w:t>
      </w:r>
      <w:r/>
    </w:p>
    <w:p>
      <w:pPr>
        <w:pStyle w:val="765"/>
        <w:ind w:left="408" w:hanging="408"/>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6.1乙方交纳人民币</w:t>
      </w:r>
      <w:r>
        <w:rPr>
          <w:rFonts w:ascii="宋体" w:hAnsi="宋体" w:eastAsia="宋体" w:cs="宋体"/>
          <w:color w:val="000000" w:themeColor="text1"/>
          <w:u w:val="single"/>
          <w14:textFill>
            <w14:solidFill>
              <w14:schemeClr w14:val="tx1"/>
            </w14:solidFill>
          </w14:textFill>
        </w:rPr>
        <w:t xml:space="preserve"> 零 </w:t>
      </w:r>
      <w:r>
        <w:rPr>
          <w:rFonts w:ascii="宋体" w:hAnsi="宋体" w:eastAsia="宋体" w:cs="宋体"/>
          <w:color w:val="000000" w:themeColor="text1"/>
          <w:u w:val="single"/>
          <w14:textFill>
            <w14:solidFill>
              <w14:schemeClr w14:val="tx1"/>
            </w14:solidFill>
          </w14:textFill>
        </w:rPr>
      </w:r>
      <w:r>
        <w:rPr>
          <w:rFonts w:ascii="宋体" w:hAnsi="宋体" w:eastAsia="宋体" w:cs="宋体"/>
          <w:color w:val="000000" w:themeColor="text1"/>
          <w14:textFill>
            <w14:solidFill>
              <w14:schemeClr w14:val="tx1"/>
            </w14:solidFill>
          </w14:textFill>
        </w:rPr>
        <w:t xml:space="preserve">元作为本合同的履约保证金</w:t>
      </w:r>
      <w:r>
        <w:rPr>
          <w:rFonts w:ascii="宋体" w:hAnsi="宋体" w:eastAsia="宋体" w:cs="宋体"/>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不得超过合同金额的10%）</w:t>
      </w:r>
      <w:r/>
    </w:p>
    <w:p>
      <w:pPr>
        <w:pStyle w:val="765"/>
        <w:ind w:left="408" w:hanging="408"/>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6.2合同履行结束后，甲方应及时退还交纳的履约保证金。</w:t>
      </w:r>
      <w:r/>
    </w:p>
    <w:p>
      <w:pPr>
        <w:pStyle w:val="765"/>
        <w:ind w:left="408" w:hanging="408"/>
        <w:jc w:val="both"/>
        <w:spacing w:before="120" w:beforeAutospacing="0" w:after="120" w:afterAutospacing="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6.2.1履约保证金退还方式：无</w:t>
      </w:r>
      <w:r/>
    </w:p>
    <w:p>
      <w:pPr>
        <w:pStyle w:val="765"/>
        <w:ind w:left="408" w:hanging="408"/>
        <w:jc w:val="both"/>
        <w:spacing w:before="120" w:beforeAutospacing="0" w:after="120" w:afterAutospacing="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6.2.2履约保证金退还时间：无</w:t>
      </w:r>
      <w:r/>
    </w:p>
    <w:p>
      <w:pPr>
        <w:pStyle w:val="765"/>
        <w:ind w:left="408" w:hanging="408"/>
        <w:jc w:val="both"/>
        <w:spacing w:before="120" w:beforeAutospacing="0" w:after="120" w:afterAutospacing="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6.2.3履约保证金退还条件：无</w:t>
      </w:r>
      <w:r/>
    </w:p>
    <w:p>
      <w:pPr>
        <w:pStyle w:val="765"/>
        <w:ind w:left="408" w:hanging="408"/>
        <w:jc w:val="both"/>
        <w:spacing w:before="120" w:beforeAutospacing="0" w:after="120" w:afterAutospacing="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6.2.4履约保证金不予退还的情形：无</w:t>
      </w:r>
      <w:r/>
    </w:p>
    <w:p>
      <w:pPr>
        <w:pStyle w:val="765"/>
        <w:ind w:left="408" w:hanging="408"/>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6.2.5履约保证金逾期退还的违约责任：无</w:t>
      </w:r>
      <w:r/>
    </w:p>
    <w:p>
      <w:pPr>
        <w:pStyle w:val="765"/>
        <w:jc w:val="both"/>
        <w:spacing w:before="145" w:beforeAutospacing="0" w:after="145"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七、合同转包或分包</w:t>
      </w:r>
      <w:r/>
    </w:p>
    <w:p>
      <w:pPr>
        <w:pStyle w:val="765"/>
        <w:jc w:val="both"/>
        <w:spacing w:before="145" w:beforeAutospacing="0" w:after="145"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7.1乙方不得将合同标的转包给他人履行。</w:t>
      </w:r>
      <w:r/>
    </w:p>
    <w:p>
      <w:pPr>
        <w:pStyle w:val="765"/>
        <w:jc w:val="both"/>
        <w:spacing w:before="145" w:beforeAutospacing="0" w:after="145"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7.2乙方不得将合同标的分包给他人履行。</w:t>
      </w:r>
      <w:r/>
    </w:p>
    <w:p>
      <w:pPr>
        <w:pStyle w:val="765"/>
        <w:jc w:val="both"/>
        <w:spacing w:before="145" w:beforeAutospacing="0" w:after="145"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7.3乙方如有转包或未经甲方同意的分包行为，甲方有权解除合同。</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八、合同款项支付</w:t>
      </w:r>
      <w:r/>
    </w:p>
    <w:p>
      <w:pPr>
        <w:pStyle w:val="765"/>
        <w:jc w:val="both"/>
        <w:spacing w:before="145" w:beforeAutospacing="0" w:after="145"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8.1合同款项的支付方式及进度安排</w:t>
      </w:r>
      <w:r/>
    </w:p>
    <w:p>
      <w:pPr>
        <w:pStyle w:val="765"/>
        <w:ind w:firstLine="24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u w:val="single"/>
          <w14:textFill>
            <w14:solidFill>
              <w14:schemeClr w14:val="tx1"/>
            </w14:solidFill>
          </w14:textFill>
        </w:rPr>
        <w:t xml:space="preserve">预付款支付时间：合同签订，甲方自收到发票后10个工作日内，支付合同金额</w:t>
      </w:r>
      <w:r>
        <w:rPr>
          <w:rFonts w:hint="eastAsia" w:ascii="宋体" w:hAnsi="宋体" w:eastAsia="宋体" w:cs="宋体"/>
          <w:color w:val="000000" w:themeColor="text1"/>
          <w:u w:val="single"/>
          <w14:textFill>
            <w14:solidFill>
              <w14:schemeClr w14:val="tx1"/>
            </w14:solidFill>
          </w14:textFill>
        </w:rPr>
        <w:t xml:space="preserve">3</w:t>
      </w:r>
      <w:r>
        <w:rPr>
          <w:rFonts w:ascii="宋体" w:hAnsi="宋体" w:eastAsia="宋体" w:cs="宋体"/>
          <w:color w:val="000000" w:themeColor="text1"/>
          <w:u w:val="single"/>
          <w14:textFill>
            <w14:solidFill>
              <w14:schemeClr w14:val="tx1"/>
            </w14:solidFill>
          </w14:textFill>
        </w:rPr>
        <w:t xml:space="preserve">0%的预付款。尾款支付时间：</w:t>
      </w:r>
      <w:r>
        <w:rPr>
          <w:rFonts w:hint="eastAsia" w:ascii="宋体" w:hAnsi="宋体" w:eastAsia="宋体" w:cs="宋体"/>
          <w:color w:val="000000" w:themeColor="text1"/>
          <w:u w:val="single"/>
          <w14:textFill>
            <w14:solidFill>
              <w14:schemeClr w14:val="tx1"/>
            </w14:solidFill>
          </w14:textFill>
        </w:rPr>
        <w:t xml:space="preserve">项目整体验收通过后</w:t>
      </w:r>
      <w:r>
        <w:rPr>
          <w:rFonts w:hint="eastAsia" w:ascii="宋体" w:hAnsi="宋体" w:eastAsia="宋体" w:cs="宋体"/>
          <w:color w:val="000000" w:themeColor="text1"/>
          <w:u w:val="single"/>
          <w:lang w:val="en-US" w:eastAsia="zh-CN"/>
          <w14:textFill>
            <w14:solidFill>
              <w14:schemeClr w14:val="tx1"/>
            </w14:solidFill>
          </w14:textFill>
        </w:rPr>
        <w:t xml:space="preserve">自甲方收到发票后10个工作</w:t>
      </w:r>
      <w:r>
        <w:rPr>
          <w:rFonts w:hint="eastAsia" w:ascii="宋体" w:hAnsi="宋体" w:eastAsia="宋体" w:cs="宋体"/>
          <w:color w:val="000000" w:themeColor="text1"/>
          <w:u w:val="single"/>
          <w14:textFill>
            <w14:solidFill>
              <w14:schemeClr w14:val="tx1"/>
            </w14:solidFill>
          </w14:textFill>
        </w:rPr>
        <w:t xml:space="preserve">日内支付至</w:t>
      </w:r>
      <w:r>
        <w:rPr>
          <w:rFonts w:ascii="宋体" w:hAnsi="宋体" w:eastAsia="宋体" w:cs="宋体"/>
          <w:color w:val="000000" w:themeColor="text1"/>
          <w:u w:val="single"/>
          <w14:textFill>
            <w14:solidFill>
              <w14:schemeClr w14:val="tx1"/>
            </w14:solidFill>
          </w14:textFill>
        </w:rPr>
        <w:t xml:space="preserve">合同金额</w:t>
      </w:r>
      <w:r>
        <w:rPr>
          <w:rFonts w:hint="eastAsia" w:ascii="宋体" w:hAnsi="宋体" w:eastAsia="宋体" w:cs="宋体"/>
          <w:color w:val="000000" w:themeColor="text1"/>
          <w:u w:val="single"/>
          <w14:textFill>
            <w14:solidFill>
              <w14:schemeClr w14:val="tx1"/>
            </w14:solidFill>
          </w14:textFill>
        </w:rPr>
        <w:t xml:space="preserve">的100%。</w:t>
      </w:r>
      <w:r/>
    </w:p>
    <w:p>
      <w:pPr>
        <w:pStyle w:val="765"/>
        <w:jc w:val="both"/>
        <w:spacing w:before="145" w:beforeAutospacing="0" w:after="145"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九、税费</w:t>
      </w:r>
      <w:r/>
    </w:p>
    <w:p>
      <w:pPr>
        <w:pStyle w:val="765"/>
        <w:jc w:val="both"/>
        <w:spacing w:before="145" w:beforeAutospacing="0" w:after="145"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9.1本合同执行中相关的一切税费均由乙方负担。</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十、项目验收</w:t>
      </w:r>
      <w:r/>
    </w:p>
    <w:p>
      <w:pPr>
        <w:pStyle w:val="765"/>
        <w:ind w:left="480" w:hanging="48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10.1甲方依法组织履约验收工作。</w:t>
      </w:r>
      <w:r/>
    </w:p>
    <w:p>
      <w:pPr>
        <w:pStyle w:val="765"/>
        <w:ind w:left="480" w:hanging="48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5"/>
        <w:ind w:left="480" w:hanging="48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10.3对于实际使用人和甲方分离的项目，甲方邀请实际使用人参与验收。</w:t>
      </w:r>
      <w:r/>
    </w:p>
    <w:p>
      <w:pPr>
        <w:pStyle w:val="765"/>
        <w:ind w:left="480" w:hanging="48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10.4如有必要，甲方邀请参加本项目的其他供应商或第三方专业机构及专家参与验收，相关意见将作为验收书的参考资料。</w:t>
      </w:r>
      <w:r/>
    </w:p>
    <w:p>
      <w:pPr>
        <w:pStyle w:val="765"/>
        <w:ind w:left="480" w:hanging="48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65"/>
        <w:ind w:left="480" w:hanging="48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十一、违约责任</w:t>
      </w:r>
      <w:r/>
    </w:p>
    <w:p>
      <w:pPr>
        <w:pStyle w:val="765"/>
        <w:ind w:left="410" w:hanging="41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11.1甲方无正当理由拒绝接受乙方提供服务的，甲方向乙方偿付拒绝接受服务合同价款总值</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违约金。</w:t>
      </w:r>
      <w:r/>
    </w:p>
    <w:p>
      <w:pPr>
        <w:pStyle w:val="765"/>
        <w:ind w:left="708" w:hanging="708"/>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11.2甲方无故逾期验收和办理合同款项支付手续的,甲方应按逾期付款总额</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每日向乙方支付违约金。</w:t>
      </w:r>
      <w:r/>
    </w:p>
    <w:p>
      <w:pPr>
        <w:pStyle w:val="765"/>
        <w:ind w:left="410" w:hanging="41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的违约金，如造成甲方损失超过违约金的，超出部分由乙方继续承担赔偿责任。 </w:t>
      </w:r>
      <w:r/>
    </w:p>
    <w:p>
      <w:pPr>
        <w:pStyle w:val="765"/>
        <w:ind w:left="410" w:hanging="41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11.4 乙方所提供服务的标准不符合合同规定及招标文件规定标准的，甲方有权拒绝接受服务，并可单方面解除合同。</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十二、不可抗力事件处理</w:t>
      </w:r>
      <w:r/>
    </w:p>
    <w:p>
      <w:pPr>
        <w:pStyle w:val="765"/>
        <w:ind w:left="480" w:hanging="48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12.1在合同有效期内，任何一方因不可抗力事件导致不能履行合同，则合同履行期可延长，其延长期与不可抗力影响期相同。</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12.2不可抗力事件发生后，应立即通知对方，并寄送有关权威机构出具的证明。</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12.3不可抗力事件延续120天以上，双方应通过友好协商，确定是否继续履行合同。</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十三、解决争议的方法</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13.1双方在签订、履行合同中所发生的一切争议，应通过友好协商解决。如协商不成，由甲方住所地人民法院管辖。</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十四、合同生效及其它</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14.1合同经双方法定代表人或授权委托代表人签字并加盖单位公章后生效。</w:t>
      </w:r>
      <w:r/>
    </w:p>
    <w:p>
      <w:pPr>
        <w:pStyle w:val="765"/>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14.2本合同未尽事宜，遵照中华人民共和国现行法律法规有关条文执行。</w:t>
      </w:r>
      <w:r/>
    </w:p>
    <w:p>
      <w:pPr>
        <w:pStyle w:val="765"/>
        <w:ind w:left="480" w:hanging="480"/>
        <w:jc w:val="both"/>
        <w:spacing w:before="120" w:beforeAutospacing="0" w:after="12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14.3本合同正本一式两份，具有同等法律效力，甲方、乙方各执一份。</w:t>
      </w:r>
      <w:r/>
    </w:p>
    <w:tbl>
      <w:tblPr>
        <w:tblStyle w:val="747"/>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86"/>
        <w:gridCol w:w="4236"/>
      </w:tblGrid>
      <w:tr>
        <w:trPr>
          <w:jc w:val="center"/>
          <w:tblCellSpacing w:w="0" w:type="dxa"/>
        </w:trPr>
        <w:tc>
          <w:tcPr>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765"/>
              <w:ind w:firstLine="480"/>
              <w:keepLines w:val="0"/>
              <w:keepNext w:val="0"/>
              <w:pageBreakBefore w:val="0"/>
              <w:spacing w:beforeAutospacing="0" w:afterAutospacing="0"/>
              <w:widowControl w:val="off"/>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甲方：</w:t>
            </w:r>
            <w:r/>
          </w:p>
        </w:tc>
        <w:tc>
          <w:tcPr>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765"/>
              <w:ind w:firstLine="480"/>
              <w:keepLines w:val="0"/>
              <w:keepNext w:val="0"/>
              <w:pageBreakBefore w:val="0"/>
              <w:spacing w:beforeAutospacing="0" w:afterAutospacing="0"/>
              <w:widowControl w:val="off"/>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乙方：</w:t>
            </w:r>
            <w:r/>
          </w:p>
        </w:tc>
      </w:tr>
      <w:tr>
        <w:trPr>
          <w:jc w:val="center"/>
          <w:tblCellSpacing w:w="0" w:type="dxa"/>
        </w:trPr>
        <w:tc>
          <w:tcPr>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765"/>
              <w:ind w:firstLine="480"/>
              <w:keepLines w:val="0"/>
              <w:keepNext w:val="0"/>
              <w:pageBreakBefore w:val="0"/>
              <w:spacing w:beforeAutospacing="0" w:afterAutospacing="0"/>
              <w:widowControl w:val="off"/>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地址： </w:t>
            </w:r>
            <w:r/>
          </w:p>
        </w:tc>
        <w:tc>
          <w:tcPr>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765"/>
              <w:ind w:firstLine="480"/>
              <w:keepLines w:val="0"/>
              <w:keepNext w:val="0"/>
              <w:pageBreakBefore w:val="0"/>
              <w:spacing w:beforeAutospacing="0" w:afterAutospacing="0"/>
              <w:widowControl w:val="off"/>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地址：</w:t>
            </w:r>
            <w:r/>
          </w:p>
        </w:tc>
      </w:tr>
      <w:tr>
        <w:trPr>
          <w:jc w:val="center"/>
          <w:tblCellSpacing w:w="0" w:type="dxa"/>
        </w:trPr>
        <w:tc>
          <w:tcPr>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765"/>
              <w:ind w:firstLine="480"/>
              <w:keepLines w:val="0"/>
              <w:keepNext w:val="0"/>
              <w:pageBreakBefore w:val="0"/>
              <w:spacing w:beforeAutospacing="0" w:afterAutospacing="0"/>
              <w:widowControl w:val="off"/>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765"/>
              <w:ind w:firstLine="480"/>
              <w:keepLines w:val="0"/>
              <w:keepNext w:val="0"/>
              <w:pageBreakBefore w:val="0"/>
              <w:spacing w:beforeAutospacing="0" w:afterAutospacing="0"/>
              <w:widowControl w:val="off"/>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法定代表人或授权代表：</w:t>
            </w:r>
            <w:r/>
          </w:p>
        </w:tc>
      </w:tr>
      <w:tr>
        <w:trPr>
          <w:jc w:val="center"/>
          <w:tblCellSpacing w:w="0" w:type="dxa"/>
          <w:trHeight w:val="156"/>
        </w:trPr>
        <w:tc>
          <w:tcPr>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765"/>
              <w:ind w:firstLine="480"/>
              <w:keepLines w:val="0"/>
              <w:keepNext w:val="0"/>
              <w:pageBreakBefore w:val="0"/>
              <w:spacing w:beforeAutospacing="0" w:afterAutospacing="0"/>
              <w:widowControl w:val="off"/>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联系电话：    </w:t>
            </w:r>
            <w:r/>
          </w:p>
        </w:tc>
        <w:tc>
          <w:tcPr>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pStyle w:val="765"/>
              <w:ind w:firstLine="480"/>
              <w:keepLines w:val="0"/>
              <w:keepNext w:val="0"/>
              <w:pageBreakBefore w:val="0"/>
              <w:spacing w:beforeAutospacing="0" w:afterAutospacing="0"/>
              <w:widowControl w:val="off"/>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联系电话：</w:t>
            </w:r>
            <w:r/>
          </w:p>
        </w:tc>
      </w:tr>
    </w:tbl>
    <w:p>
      <w:pPr>
        <w:pStyle w:val="765"/>
        <w:jc w:val="left"/>
        <w:spacing w:before="120" w:beforeAutospacing="0" w:after="120" w:afterAutospacing="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签订日期：</w:t>
      </w:r>
      <w:r>
        <w:rPr>
          <w:rFonts w:hint="eastAsia" w:ascii="宋体" w:hAnsi="宋体" w:eastAsia="宋体" w:cs="宋体"/>
          <w:color w:val="000000" w:themeColor="text1"/>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年 月 日</w:t>
      </w:r>
      <w:r/>
    </w:p>
    <w:p>
      <w:pPr>
        <w:pStyle w:val="765"/>
        <w:jc w:val="center"/>
        <w:spacing w:before="120" w:beforeAutospacing="0" w:after="120" w:afterAutospacing="0"/>
        <w:rPr>
          <w:rFonts w:hint="default"/>
          <w:color w:val="000000" w:themeColor="text1"/>
          <w14:textFill>
            <w14:solidFill>
              <w14:schemeClr w14:val="tx1"/>
            </w14:solidFill>
          </w14:textFill>
        </w:rPr>
      </w:pPr>
      <w:r>
        <w:rPr>
          <w:rFonts w:ascii="黑体" w:eastAsia="黑体" w:cs="黑体"/>
          <w:color w:val="000000" w:themeColor="text1"/>
          <w:sz w:val="44"/>
          <w:szCs w:val="44"/>
          <w14:textFill>
            <w14:solidFill>
              <w14:schemeClr w14:val="tx1"/>
            </w14:solidFill>
          </w14:textFill>
        </w:rPr>
        <w:t xml:space="preserve">第四章 采购需求</w:t>
      </w:r>
      <w:r/>
    </w:p>
    <w:p>
      <w:pPr>
        <w:pStyle w:val="765"/>
        <w:ind w:left="495" w:hanging="495"/>
        <w:jc w:val="both"/>
        <w:spacing w:beforeAutospacing="0" w:afterAutospacing="0" w:line="360" w:lineRule="auto"/>
        <w:rPr>
          <w:color w:val="000000" w:themeColor="text1"/>
          <w:sz w:val="21"/>
          <w:szCs w:val="21"/>
          <w14:textFill>
            <w14:solidFill>
              <w14:schemeClr w14:val="tx1"/>
            </w14:solidFill>
          </w14:textFill>
        </w:rPr>
      </w:pPr>
      <w:r>
        <w:rPr>
          <w:rFonts w:ascii="宋体" w:hAnsi="宋体" w:eastAsia="宋体" w:cs="宋体"/>
          <w:b/>
          <w:bCs/>
          <w:color w:val="000000" w:themeColor="text1"/>
          <w:sz w:val="21"/>
          <w:szCs w:val="21"/>
          <w14:textFill>
            <w14:solidFill>
              <w14:schemeClr w14:val="tx1"/>
            </w14:solidFill>
          </w14:textFill>
        </w:rPr>
        <w:t xml:space="preserve">一、项目属性:服务类项目</w:t>
      </w:r>
      <w:r/>
    </w:p>
    <w:p>
      <w:pPr>
        <w:pStyle w:val="765"/>
        <w:ind w:firstLine="480"/>
        <w:jc w:val="both"/>
        <w:spacing w:beforeAutospacing="0" w:afterAutospacing="0" w:line="360" w:lineRule="auto"/>
        <w:rPr>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1</w:t>
      </w:r>
      <w:r>
        <w:rPr>
          <w:rFonts w:ascii="Times New Roman" w:hAnsi="Times New Roman"/>
          <w:color w:val="000000" w:themeColor="text1"/>
          <w:sz w:val="21"/>
          <w:szCs w:val="21"/>
          <w14:textFill>
            <w14:solidFill>
              <w14:schemeClr w14:val="tx1"/>
            </w14:solidFill>
          </w14:textFill>
        </w:rPr>
        <w:t xml:space="preserve">.</w:t>
      </w:r>
      <w:r>
        <w:rPr>
          <w:rFonts w:ascii="宋体" w:hAnsi="宋体" w:eastAsia="宋体" w:cs="宋体"/>
          <w:color w:val="000000" w:themeColor="text1"/>
          <w:sz w:val="21"/>
          <w:szCs w:val="21"/>
          <w14:textFill>
            <w14:solidFill>
              <w14:schemeClr w14:val="tx1"/>
            </w14:solidFill>
          </w14:textFill>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themeColor="text1"/>
          <w:sz w:val="21"/>
          <w:szCs w:val="21"/>
          <w:shd w:val="clear" w:color="auto" w:fill="ffff00"/>
          <w14:textFill>
            <w14:solidFill>
              <w14:schemeClr w14:val="tx1"/>
            </w14:solidFill>
          </w14:textFill>
        </w:rPr>
        <w:t xml:space="preserve">本项目强制节能产品有：</w:t>
      </w:r>
      <w:r>
        <w:rPr>
          <w:rFonts w:ascii="宋体" w:hAnsi="宋体" w:eastAsia="宋体" w:cs="宋体"/>
          <w:color w:val="000000" w:themeColor="text1"/>
          <w:sz w:val="21"/>
          <w:szCs w:val="21"/>
          <w:u w:val="single"/>
          <w14:textFill>
            <w14:solidFill>
              <w14:schemeClr w14:val="tx1"/>
            </w14:solidFill>
          </w14:textFill>
        </w:rPr>
        <w:t xml:space="preserve"> </w:t>
      </w:r>
      <w:r>
        <w:rPr>
          <w:rFonts w:hint="eastAsia" w:ascii="Times New Roman" w:hAnsi="Times New Roman" w:eastAsia="宋体"/>
          <w:color w:val="000000" w:themeColor="text1"/>
          <w:sz w:val="21"/>
          <w:szCs w:val="21"/>
          <w:u w:val="single"/>
          <w14:textFill>
            <w14:solidFill>
              <w14:schemeClr w14:val="tx1"/>
            </w14:solidFill>
          </w14:textFill>
        </w:rPr>
        <w:t xml:space="preserve">无</w:t>
      </w:r>
      <w:r>
        <w:rPr>
          <w:rFonts w:ascii="宋体" w:hAnsi="宋体" w:eastAsia="宋体" w:cs="宋体"/>
          <w:color w:val="000000" w:themeColor="text1"/>
          <w:sz w:val="21"/>
          <w:szCs w:val="21"/>
          <w:u w:val="single"/>
          <w14:textFill>
            <w14:solidFill>
              <w14:schemeClr w14:val="tx1"/>
            </w14:solidFill>
          </w14:textFill>
        </w:rPr>
        <w:t xml:space="preserve"> </w:t>
      </w:r>
      <w:r>
        <w:rPr>
          <w:rFonts w:ascii="宋体" w:hAnsi="宋体" w:eastAsia="宋体" w:cs="宋体"/>
          <w:color w:val="000000" w:themeColor="text1"/>
          <w:sz w:val="21"/>
          <w:szCs w:val="21"/>
          <w14:textFill>
            <w14:solidFill>
              <w14:schemeClr w14:val="tx1"/>
            </w14:solidFill>
          </w14:textFill>
        </w:rPr>
        <w:t xml:space="preserve">。</w:t>
      </w:r>
      <w:r/>
    </w:p>
    <w:p>
      <w:pPr>
        <w:pStyle w:val="765"/>
        <w:ind w:firstLine="480"/>
        <w:jc w:val="both"/>
        <w:spacing w:beforeAutospacing="0" w:afterAutospacing="0"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 xml:space="preserve">采购人</w:t>
      </w:r>
      <w:r>
        <w:rPr>
          <w:rFonts w:ascii="宋体" w:hAnsi="宋体" w:eastAsia="宋体" w:cs="宋体"/>
          <w:i w:val="0"/>
          <w:iCs w:val="0"/>
          <w:color w:val="000000" w:themeColor="text1"/>
          <w:sz w:val="21"/>
          <w:szCs w:val="21"/>
          <w:u w:val="none"/>
          <w14:textFill>
            <w14:solidFill>
              <w14:schemeClr w14:val="tx1"/>
            </w14:solidFill>
          </w14:textFill>
        </w:rPr>
        <w:t xml:space="preserve">采购数据中心相关设备、运维服务的，采购需求应当符合《财政部生态环境部工业和信息化部关于印发</w:t>
      </w:r>
      <w:r>
        <w:rPr>
          <w:rFonts w:ascii="宋体" w:hAnsi="宋体" w:eastAsia="宋体" w:cs="宋体"/>
          <w:color w:val="000000" w:themeColor="text1"/>
          <w:sz w:val="24"/>
          <w:szCs w:val="24"/>
          <w14:textFill>
            <w14:solidFill>
              <w14:schemeClr w14:val="tx1"/>
            </w14:solidFill>
          </w14:textFill>
        </w:rPr>
        <w:t xml:space="preserve">《</w:t>
      </w:r>
      <w:r>
        <w:rPr>
          <w:rFonts w:ascii="宋体" w:hAnsi="宋体" w:eastAsia="宋体" w:cs="宋体"/>
          <w:i w:val="0"/>
          <w:iCs w:val="0"/>
          <w:color w:val="000000" w:themeColor="text1"/>
          <w:sz w:val="21"/>
          <w:szCs w:val="21"/>
          <w:u w:val="none"/>
          <w14:textFill>
            <w14:solidFill>
              <w14:schemeClr w14:val="tx1"/>
            </w14:solidFill>
          </w14:textFill>
        </w:rPr>
        <w:t xml:space="preserve">绿色数据中心政府采购需求标准（试行）</w:t>
      </w:r>
      <w:r>
        <w:rPr>
          <w:rFonts w:ascii="宋体" w:hAnsi="宋体" w:eastAsia="宋体" w:cs="宋体"/>
          <w:color w:val="000000" w:themeColor="text1"/>
          <w:sz w:val="24"/>
          <w:szCs w:val="24"/>
          <w14:textFill>
            <w14:solidFill>
              <w14:schemeClr w14:val="tx1"/>
            </w14:solidFill>
          </w14:textFill>
        </w:rPr>
        <w:t xml:space="preserve">》</w:t>
      </w:r>
      <w:r>
        <w:rPr>
          <w:rFonts w:ascii="宋体" w:hAnsi="宋体" w:eastAsia="宋体" w:cs="宋体"/>
          <w:i w:val="0"/>
          <w:iCs w:val="0"/>
          <w:color w:val="000000" w:themeColor="text1"/>
          <w:sz w:val="21"/>
          <w:szCs w:val="21"/>
          <w:u w:val="none"/>
          <w14:textFill>
            <w14:solidFill>
              <w14:schemeClr w14:val="tx1"/>
            </w14:solidFill>
          </w14:textFill>
        </w:rPr>
        <w:t xml:space="preserve">的通知》（财库〔2023〕7号）规定</w:t>
      </w:r>
      <w:r>
        <w:rPr>
          <w:rFonts w:hint="eastAsia" w:ascii="宋体" w:hAnsi="宋体" w:eastAsia="宋体" w:cs="宋体"/>
          <w:b/>
          <w:bCs/>
          <w:i/>
          <w:iCs/>
          <w:color w:val="000000" w:themeColor="text1"/>
          <w:sz w:val="21"/>
          <w:szCs w:val="21"/>
          <w:u w:val="single"/>
          <w14:textFill>
            <w14:solidFill>
              <w14:schemeClr w14:val="tx1"/>
            </w14:solidFill>
          </w14:textFill>
        </w:rPr>
        <w:t xml:space="preserve">（供应商须提供承诺函，承诺相关产品满足</w:t>
      </w:r>
      <w:r>
        <w:rPr>
          <w:rFonts w:ascii="宋体" w:hAnsi="宋体" w:eastAsia="宋体" w:cs="宋体"/>
          <w:b/>
          <w:bCs/>
          <w:i/>
          <w:iCs/>
          <w:color w:val="000000" w:themeColor="text1"/>
          <w:sz w:val="21"/>
          <w:szCs w:val="21"/>
          <w:u w:val="single"/>
          <w14:textFill>
            <w14:solidFill>
              <w14:schemeClr w14:val="tx1"/>
            </w14:solidFill>
          </w14:textFill>
        </w:rPr>
        <w:t xml:space="preserve">绿色数据中心政府采购需求标准（试行）</w:t>
      </w:r>
      <w:r>
        <w:rPr>
          <w:rFonts w:hint="eastAsia" w:ascii="宋体" w:hAnsi="宋体" w:eastAsia="宋体" w:cs="宋体"/>
          <w:b/>
          <w:bCs/>
          <w:i/>
          <w:iCs/>
          <w:color w:val="000000" w:themeColor="text1"/>
          <w:sz w:val="21"/>
          <w:szCs w:val="21"/>
          <w:u w:val="single"/>
          <w14:textFill>
            <w14:solidFill>
              <w14:schemeClr w14:val="tx1"/>
            </w14:solidFill>
          </w14:textFill>
        </w:rPr>
        <w:t xml:space="preserve">的相关要求）</w:t>
      </w:r>
      <w:r/>
    </w:p>
    <w:p>
      <w:pPr>
        <w:pStyle w:val="765"/>
        <w:ind w:firstLine="480"/>
        <w:jc w:val="both"/>
        <w:spacing w:beforeAutospacing="0" w:afterAutospacing="0" w:line="360" w:lineRule="auto"/>
        <w:rPr>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2.</w:t>
      </w:r>
      <w:r>
        <w:rPr>
          <w:rFonts w:ascii="宋体" w:hAnsi="宋体" w:eastAsia="宋体" w:cs="宋体"/>
          <w:color w:val="000000" w:themeColor="text1"/>
          <w:sz w:val="21"/>
          <w:szCs w:val="21"/>
          <w14:textFill>
            <w14:solidFill>
              <w14:schemeClr w14:val="tx1"/>
            </w14:solidFill>
          </w14:textFill>
        </w:rPr>
        <w:t xml:space="preserve">供应商对于投标产品的包装应按照“财办库〔</w:t>
      </w:r>
      <w:r>
        <w:rPr>
          <w:rFonts w:ascii="Times New Roman" w:hAnsi="Times New Roman"/>
          <w:color w:val="000000" w:themeColor="text1"/>
          <w:sz w:val="21"/>
          <w:szCs w:val="21"/>
          <w14:textFill>
            <w14:solidFill>
              <w14:schemeClr w14:val="tx1"/>
            </w14:solidFill>
          </w14:textFill>
        </w:rPr>
        <w:t xml:space="preserve">2020</w:t>
      </w:r>
      <w:r>
        <w:rPr>
          <w:rFonts w:ascii="宋体" w:hAnsi="宋体" w:eastAsia="宋体" w:cs="宋体"/>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123</w:t>
      </w:r>
      <w:r>
        <w:rPr>
          <w:rFonts w:ascii="宋体" w:hAnsi="宋体" w:eastAsia="宋体" w:cs="宋体"/>
          <w:color w:val="000000" w:themeColor="text1"/>
          <w:sz w:val="21"/>
          <w:szCs w:val="21"/>
          <w14:textFill>
            <w14:solidFill>
              <w14:schemeClr w14:val="tx1"/>
            </w14:solidFill>
          </w14:textFill>
        </w:rPr>
        <w:t xml:space="preserve">号《关于印发《商品包装政府采购需求标准（试行）》、《快递包装政府采购需求标准（试行）》的通知》”执行。</w:t>
      </w:r>
      <w:r/>
    </w:p>
    <w:p>
      <w:pPr>
        <w:pStyle w:val="765"/>
        <w:ind w:firstLine="480"/>
        <w:jc w:val="both"/>
        <w:spacing w:beforeAutospacing="0" w:afterAutospacing="0" w:line="360" w:lineRule="auto"/>
        <w:rPr>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3.采购标的清单</w:t>
      </w:r>
      <w:r/>
    </w:p>
    <w:tbl>
      <w:tblPr>
        <w:tblStyle w:val="747"/>
        <w:tblW w:w="4998"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7"/>
        <w:gridCol w:w="2838"/>
        <w:gridCol w:w="4734"/>
      </w:tblGrid>
      <w:tr>
        <w:trPr>
          <w:tblCellSpacing w:w="0" w:type="dxa"/>
        </w:trPr>
        <w:tc>
          <w:tcPr>
            <w:tcW w:w="566" w:type="pct"/>
            <w:vAlign w:val="center"/>
            <w:textDirection w:val="lrTb"/>
            <w:noWrap w:val="false"/>
          </w:tcPr>
          <w:p>
            <w:pPr>
              <w:pStyle w:val="765"/>
              <w:jc w:val="center"/>
              <w:spacing w:beforeAutospacing="0" w:afterAutospacing="0"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序号</w:t>
            </w:r>
            <w:r/>
          </w:p>
        </w:tc>
        <w:tc>
          <w:tcPr>
            <w:tcW w:w="1661" w:type="pct"/>
            <w:vAlign w:val="center"/>
            <w:textDirection w:val="lrTb"/>
            <w:noWrap w:val="false"/>
          </w:tcPr>
          <w:p>
            <w:pPr>
              <w:pStyle w:val="765"/>
              <w:jc w:val="center"/>
              <w:spacing w:beforeAutospacing="0" w:afterAutospacing="0"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采购标的</w:t>
            </w:r>
            <w:r/>
          </w:p>
        </w:tc>
        <w:tc>
          <w:tcPr>
            <w:tcW w:w="2771" w:type="pct"/>
            <w:vAlign w:val="center"/>
            <w:textDirection w:val="lrTb"/>
            <w:noWrap w:val="false"/>
          </w:tcPr>
          <w:p>
            <w:pPr>
              <w:pStyle w:val="765"/>
              <w:jc w:val="center"/>
              <w:spacing w:beforeAutospacing="0" w:afterAutospacing="0"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对应中小企业划分标准所属行业</w:t>
            </w:r>
            <w:r/>
          </w:p>
        </w:tc>
      </w:tr>
      <w:tr>
        <w:trPr>
          <w:tblCellSpacing w:w="0" w:type="dxa"/>
          <w:trHeight w:val="578"/>
        </w:trPr>
        <w:tc>
          <w:tcPr>
            <w:tcW w:w="566" w:type="pct"/>
            <w:vAlign w:val="center"/>
            <w:textDirection w:val="lrTb"/>
            <w:noWrap w:val="false"/>
          </w:tcPr>
          <w:p>
            <w:pPr>
              <w:pStyle w:val="765"/>
              <w:jc w:val="center"/>
              <w:spacing w:beforeAutospacing="0" w:afterAutospacing="0"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W w:w="1661" w:type="pct"/>
            <w:vAlign w:val="center"/>
            <w:textDirection w:val="lrTb"/>
            <w:noWrap w:val="false"/>
          </w:tcPr>
          <w:p>
            <w:pPr>
              <w:jc w:val="center"/>
              <w:spacing w:line="360" w:lineRule="auto"/>
              <w:widowControl/>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扬州市广陵区卫健委健康管理型医院基层能力提升暨绩效体系建设项目</w:t>
            </w:r>
            <w:r/>
          </w:p>
        </w:tc>
        <w:tc>
          <w:tcPr>
            <w:tcW w:w="2771" w:type="pct"/>
            <w:vAlign w:val="center"/>
            <w:textDirection w:val="lrTb"/>
            <w:noWrap w:val="false"/>
          </w:tcPr>
          <w:p>
            <w:pPr>
              <w:pStyle w:val="765"/>
              <w:jc w:val="center"/>
              <w:spacing w:beforeAutospacing="0" w:afterAutospacing="0"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软件和信息技术服务业</w:t>
            </w:r>
            <w:r/>
          </w:p>
        </w:tc>
      </w:tr>
    </w:tbl>
    <w:p>
      <w:pPr>
        <w:pStyle w:val="765"/>
        <w:jc w:val="both"/>
        <w:spacing w:beforeAutospacing="0" w:afterAutospacing="0" w:line="360" w:lineRule="auto"/>
        <w:rPr>
          <w:color w:val="000000" w:themeColor="text1"/>
          <w:sz w:val="21"/>
          <w:szCs w:val="21"/>
          <w14:textFill>
            <w14:solidFill>
              <w14:schemeClr w14:val="tx1"/>
            </w14:solidFill>
          </w14:textFill>
        </w:rPr>
      </w:pPr>
      <w:r>
        <w:rPr>
          <w:rFonts w:ascii="宋体" w:hAnsi="宋体" w:eastAsia="宋体" w:cs="宋体"/>
          <w:b/>
          <w:bCs/>
          <w:color w:val="000000" w:themeColor="text1"/>
          <w:sz w:val="21"/>
          <w:szCs w:val="21"/>
          <w14:textFill>
            <w14:solidFill>
              <w14:schemeClr w14:val="tx1"/>
            </w14:solidFill>
          </w14:textFill>
        </w:rPr>
        <w:t xml:space="preserve">二、技术要求</w:t>
      </w:r>
      <w:r/>
    </w:p>
    <w:p>
      <w:pPr>
        <w:pStyle w:val="765"/>
        <w:ind w:firstLine="420"/>
        <w:jc w:val="both"/>
        <w:spacing w:beforeAutospacing="0" w:afterAutospacing="0"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技术要求是指对采购标的功能和质量要求，包括性能、材料、结构、外观、安全，或者服务内容和标准等。其中</w:t>
      </w:r>
      <w:r>
        <w:rPr>
          <w:rFonts w:hint="eastAsia" w:ascii="宋体" w:hAnsi="宋体" w:eastAsia="宋体" w:cs="宋体"/>
          <w:b/>
          <w:bCs/>
          <w:i/>
          <w:iCs/>
          <w:color w:val="000000" w:themeColor="text1"/>
          <w:sz w:val="21"/>
          <w:szCs w:val="21"/>
          <w:u w:val="single"/>
          <w14:textFill>
            <w14:solidFill>
              <w14:schemeClr w14:val="tx1"/>
            </w14:solidFill>
          </w14:textFill>
        </w:rPr>
        <w:t xml:space="preserve">斜体且有下划线部分</w:t>
      </w:r>
      <w:r>
        <w:rPr>
          <w:rFonts w:hint="eastAsia" w:ascii="宋体" w:hAnsi="宋体" w:eastAsia="宋体" w:cs="宋体"/>
          <w:b/>
          <w:bCs/>
          <w:color w:val="000000" w:themeColor="text1"/>
          <w:sz w:val="21"/>
          <w:szCs w:val="21"/>
          <w14:textFill>
            <w14:solidFill>
              <w14:schemeClr w14:val="tx1"/>
            </w14:solidFill>
          </w14:textFill>
        </w:rPr>
        <w:t xml:space="preserve">为实质性要求。</w:t>
      </w:r>
      <w:r/>
    </w:p>
    <w:p>
      <w:pPr>
        <w:pStyle w:val="738"/>
        <w:ind w:left="-431"/>
        <w:rPr>
          <w:color w:val="000000" w:themeColor="text1"/>
          <w14:textFill>
            <w14:solidFill>
              <w14:schemeClr w14:val="tx1"/>
            </w14:solidFill>
          </w14:textFill>
        </w:rPr>
      </w:pPr>
      <w:r>
        <w:rPr>
          <w:rFonts w:hint="eastAsia" w:ascii="宋体" w:hAnsi="宋体" w:eastAsia="宋体" w:cs="Times New Roman"/>
          <w:b/>
          <w:bCs/>
          <w:color w:val="000000" w:themeColor="text1"/>
          <w:szCs w:val="48"/>
          <w14:textFill>
            <w14:solidFill>
              <w14:schemeClr w14:val="tx1"/>
            </w14:solidFill>
          </w14:textFill>
        </w:rPr>
        <w:t xml:space="preserve">（一）</w:t>
      </w:r>
      <w:r>
        <w:rPr>
          <w:color w:val="000000" w:themeColor="text1"/>
          <w14:textFill>
            <w14:solidFill>
              <w14:schemeClr w14:val="tx1"/>
            </w14:solidFill>
          </w14:textFill>
        </w:rPr>
        <w:t xml:space="preserve">建设背景</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2023年3月6日，健康中国行动推进委员会办公室进一步在《健康中国行动2023 年工作要点》中明确将“加强高血压、糖尿病等慢性病患者健康管理，推进医防融合，提升服务质量”列为年度任务。</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扬州市卫健委紧扣《健康管理型医院建设规范》相关要求</w:t>
      </w:r>
      <w:r>
        <w:rPr>
          <w:rFonts w:hint="eastAsia" w:ascii="宋体" w:hAnsi="宋体" w:cs="宋体"/>
          <w:color w:val="000000" w:themeColor="text1"/>
          <w:szCs w:val="21"/>
          <w14:textFill>
            <w14:solidFill>
              <w14:schemeClr w14:val="tx1"/>
            </w14:solidFill>
          </w14:textFill>
        </w:rPr>
        <w:t xml:space="preserve">，积极开展辖区居民全过程健康管理工作，其中基层能力建设是根基，绩效考核改革是关键驱动，二者协同破解基层健康管理困境。基层能力建设需对标规范：一是融入“市、县、乡、村四级健康管理网络”，依托医联体纵向联动、联合疾控中心等横向协作，建“防、筛、治、管、康”服务链；二是配齐资源，设健康管理门诊/专职团队，保障专项资金建设一体化预检分诊等设施，解决“服务能力不足”问题；三是强化技术支撑，打通信息共享通道，使用智能化工具，依托“培训中心”提升人员筛查、干预能力，同时建专病工作站，牵头区域性家庭医生联盟，落实连续管理。</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绩效考核改革需落地规范要求：按“制度绩效”规定，将慢病签约率、随访达标率等核心指标纳入考核，与评奖评优挂钩，倒逼基层从“重治疗”转“重管理”；对接“服务质效”要求，加入患者满意度、健康管理业务人次占比等质量指标，确保服务连续；与“分级评价”联动，对达1级（提供5种以上慢病服务）、3级（建工作站集群）的基层，分别提高绩效资金、给予专项奖励。</w:t>
      </w:r>
      <w:r/>
    </w:p>
    <w:p>
      <w:pPr>
        <w:pStyle w:val="738"/>
        <w:ind w:left="-431"/>
        <w:rPr>
          <w:color w:val="000000" w:themeColor="text1"/>
          <w14:textFill>
            <w14:solidFill>
              <w14:schemeClr w14:val="tx1"/>
            </w14:solidFill>
          </w14:textFill>
        </w:rPr>
      </w:pPr>
      <w:r>
        <w:rPr>
          <w:rFonts w:hint="eastAsia" w:ascii="宋体" w:hAnsi="宋体" w:eastAsia="宋体" w:cs="Times New Roman"/>
          <w:b/>
          <w:bCs/>
          <w:color w:val="000000" w:themeColor="text1"/>
          <w:szCs w:val="48"/>
          <w14:textFill>
            <w14:solidFill>
              <w14:schemeClr w14:val="tx1"/>
            </w14:solidFill>
          </w14:textFill>
        </w:rPr>
        <w:t xml:space="preserve">（二）</w:t>
      </w:r>
      <w:r>
        <w:rPr>
          <w:color w:val="000000" w:themeColor="text1"/>
          <w14:textFill>
            <w14:solidFill>
              <w14:schemeClr w14:val="tx1"/>
            </w14:solidFill>
          </w14:textFill>
        </w:rPr>
        <w:t xml:space="preserve">建设目标</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筑牢基层服务根基：融入“市、县、乡、村四级健康管理网络”，依托医联体纵向联动与疾控中心、社区横向协作，推动基层医疗机构按要求设立健康管理一体化门诊或中心，配备专职健康管理人员及临床专病团队，保障专项资金用于一体化预检分诊、健康管理宣教体验区等设施建设，解决基层慢病管理“资源不足”问题，实现“防、筛、治、管、康”服务向基层延伸。通过信息系统对医防融合路径化能力建设项目实现有效赋能。</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完善数据驱动服务能力建设：推动基层运用信息技术打通健康管理信息整合通道，实现慢病患者健康档案、随访数据、诊疗信息跨机构共享；提升基层人员健康筛查、用药指导、生活方式干预能力。用数据驱动业务增长和能力建设。需要对接全民健康信息平台的HIS、LIS、PACS、公卫数据、其他医疗相关数据等全量的健康数据，生成以人为单元的9大类44子集的数据中心。</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建立全市统一的监管平台为导向性绩效体系提供工具：按“制度绩效”要求，将慢病患者的签约率、随访达标率、筛查覆盖率等核心指标纳入基层考核，与评奖评优挂钩；通过全市建设统一的监管平台，帮助各级医疗机构系统性进行辅助管理。为全市提供医防融合过程中的任务量、工作量、健康人群管理进行统计分析。</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建成居民健康行为任务清单：构建全维度健康人群活动画像并纳入平台管理，同时深度融合基层医院绩效评价体系，推动医疗服务从“被动响应”向“主动关怀”转型。画像数据维度涵盖居民健康管理关键行为：每年定期体检完成情况、半年一次高血压检测、基础健康指标定期监测、健康生活方式践行情况等，形成动态更新的个人健康行为档案。</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全专联合，上下转诊：围绕“转诊中枢”打造区域一体化的上下转诊通道。统一转诊列表，集中展示待转、在转、已转全程状态；医生一键新增转诊，自动带入患者详情、既往就诊记录及用药信息。系统内置公卫触发引擎：当随访表单出现药物不良反应、连续两次控制不满意或合并症加重时，即时生成待转诊记录。可查看历次就诊、检查、用药详情操作记录全程留痕，支持追溯。形成闭环管理，实现“基层首诊、双向转诊、急慢分治、上下联动”。</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本项目旨在构建以人为本的以基层能力建设与绩效考核改革为核心的扬州整合型慢病管理体系构建，医防融合一体化绩效考核系统，结合市级特色慢病专科赋能，加强基层卫生能力建设，创新式突破扬州“健康馆、管健康”管理模式落地，提高卫生服务的规范性和服务质量，实现“资源梯度利用、服务连续协同”的目标，最终改善居民健康状况。</w:t>
      </w:r>
      <w:r/>
    </w:p>
    <w:p>
      <w:pPr>
        <w:pStyle w:val="738"/>
        <w:ind w:left="-431"/>
        <w:rPr>
          <w:color w:val="000000" w:themeColor="text1"/>
          <w14:textFill>
            <w14:solidFill>
              <w14:schemeClr w14:val="tx1"/>
            </w14:solidFill>
          </w14:textFill>
        </w:rPr>
      </w:pPr>
      <w:r>
        <w:rPr>
          <w:rFonts w:hint="eastAsia" w:ascii="宋体" w:hAnsi="宋体" w:eastAsia="宋体" w:cs="Times New Roman"/>
          <w:b/>
          <w:bCs/>
          <w:color w:val="000000" w:themeColor="text1"/>
          <w:szCs w:val="48"/>
          <w14:textFill>
            <w14:solidFill>
              <w14:schemeClr w14:val="tx1"/>
            </w14:solidFill>
          </w14:textFill>
        </w:rPr>
        <w:t xml:space="preserve">（三）</w:t>
      </w:r>
      <w:r>
        <w:rPr>
          <w:color w:val="000000" w:themeColor="text1"/>
          <w14:textFill>
            <w14:solidFill>
              <w14:schemeClr w14:val="tx1"/>
            </w14:solidFill>
          </w14:textFill>
        </w:rPr>
        <w:t xml:space="preserve">技术规范</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《健康信息学 HL7 V3 参考信息模型》（标准号GB/T 30107-2013）</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《疾病分类与代码》（标准号GB/T 14396-2016）</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《卫生健康信息基本数据集编制标准》（标准号WS/T 370-2022）</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《医疗服务基本数据集》（标准号WS 373-2012）</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《医院信息平台交互规范》（标准号WS/T 846）</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《卫生健康信息数据元值域代码》（标准号WS/T364—2023）</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《卫生信息共享文档编制规范》（标准号WS/T 482-2016）</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《国家基层高血压防治管理指南（2025版）》</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《国家基层糖尿病防治管理指南（2022版）》</w:t>
      </w:r>
      <w:r/>
    </w:p>
    <w:p>
      <w:pPr>
        <w:ind w:firstLine="560"/>
        <w:spacing w:line="360" w:lineRule="auto"/>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《中国血脂管理指南（基层2024版）》</w:t>
      </w:r>
      <w:r/>
    </w:p>
    <w:p>
      <w:pPr>
        <w:pStyle w:val="738"/>
        <w:ind w:left="-431"/>
        <w:rPr>
          <w:color w:val="000000" w:themeColor="text1"/>
          <w14:textFill>
            <w14:solidFill>
              <w14:schemeClr w14:val="tx1"/>
            </w14:solidFill>
          </w14:textFill>
        </w:rPr>
      </w:pPr>
      <w:r>
        <w:rPr>
          <w:rFonts w:hint="eastAsia" w:ascii="宋体" w:hAnsi="宋体" w:eastAsia="宋体" w:cs="Times New Roman"/>
          <w:b/>
          <w:bCs/>
          <w:color w:val="000000" w:themeColor="text1"/>
          <w:szCs w:val="48"/>
          <w14:textFill>
            <w14:solidFill>
              <w14:schemeClr w14:val="tx1"/>
            </w14:solidFill>
          </w14:textFill>
        </w:rPr>
        <w:t xml:space="preserve">（四）</w:t>
      </w:r>
      <w:r>
        <w:rPr>
          <w:color w:val="000000" w:themeColor="text1"/>
          <w14:textFill>
            <w14:solidFill>
              <w14:schemeClr w14:val="tx1"/>
            </w14:solidFill>
          </w14:textFill>
        </w:rPr>
        <w:t xml:space="preserve">建设内容及要求</w:t>
      </w:r>
      <w:r/>
    </w:p>
    <w:p>
      <w:pPr>
        <w:pStyle w:val="739"/>
        <w:numPr>
          <w:ilvl w:val="2"/>
          <w:numId w:val="0"/>
        </w:numPr>
        <w:ind w:firstLine="241"/>
        <w:spacing w:before="156" w:after="156"/>
        <w:rPr>
          <w:color w:val="000000" w:themeColor="text1"/>
          <w:szCs w:val="21"/>
          <w14:textFill>
            <w14:solidFill>
              <w14:schemeClr w14:val="tx1"/>
            </w14:solidFill>
          </w14:textFill>
        </w:rPr>
      </w:pPr>
      <w:r>
        <w:rPr>
          <w:rFonts w:cs="宋体"/>
          <w:color w:val="000000" w:themeColor="text1"/>
          <w:szCs w:val="21"/>
          <w14:textFill>
            <w14:solidFill>
              <w14:schemeClr w14:val="tx1"/>
            </w14:solidFill>
          </w14:textFill>
        </w:rPr>
        <w:t xml:space="preserve">4.1. 系统总体设计</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1）系统总体设计</w:t>
      </w:r>
      <w:r>
        <w:rPr>
          <w:rFonts w:hint="eastAsia" w:ascii="宋体" w:hAnsi="宋体" w:cs="宋体"/>
          <w:color w:val="000000" w:themeColor="text1"/>
          <w:szCs w:val="21"/>
          <w14:textFill>
            <w14:solidFill>
              <w14:schemeClr w14:val="tx1"/>
            </w14:solidFill>
          </w14:textFill>
        </w:rPr>
        <w:t xml:space="preserve">方案：</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系统设计需遵</w:t>
      </w:r>
      <w:r>
        <w:rPr>
          <w:rFonts w:hint="eastAsia" w:ascii="宋体" w:hAnsi="宋体" w:cs="宋体"/>
          <w:color w:val="000000" w:themeColor="text1"/>
          <w:szCs w:val="21"/>
          <w14:textFill>
            <w14:solidFill>
              <w14:schemeClr w14:val="tx1"/>
            </w14:solidFill>
          </w14:textFill>
        </w:rPr>
        <w:t xml:space="preserve">循实用性优先、模块化架构、可扩展性、安全性合规、低成本运维原则，功能上感知层要兼容多设备采集数据且支持离线缓存，网络层需适配多网络并保障传输安全，平台层构建“数据+业务”两中台支撑数据处理与流程配置，应用层涵盖政府监管（特殊作业审批、安全巡查闭环等），用户层实现多端适配与权限分级；性能上需满足响应速度、并发能力、稳定性及数据处理要求，安全上确保数据存储访问安全、网络防护合规，同时兼顾硬件软件兼容性与简易运维，交付需提供完整交付物并通过功能、性能、安全验收，以适配镇政府监管、企业办事场景，且预留未来扩展接口。</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（2）系统架构要求：</w:t>
      </w:r>
      <w:r/>
    </w:p>
    <w:p>
      <w:pPr>
        <w:ind w:firstLine="56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系统采用分层、分域的混合架构，分为</w:t>
      </w:r>
      <w:r>
        <w:rPr>
          <w:rFonts w:ascii="宋体" w:hAnsi="宋体" w:cs="宋体"/>
          <w:b/>
          <w:bCs/>
          <w:color w:val="000000" w:themeColor="text1"/>
          <w:szCs w:val="21"/>
          <w14:textFill>
            <w14:solidFill>
              <w14:schemeClr w14:val="tx1"/>
            </w14:solidFill>
          </w14:textFill>
        </w:rPr>
        <w:t xml:space="preserve">基础设施层</w:t>
      </w:r>
      <w:r>
        <w:rPr>
          <w:rFonts w:ascii="宋体" w:hAnsi="宋体" w:cs="宋体"/>
          <w:color w:val="000000" w:themeColor="text1"/>
          <w:szCs w:val="21"/>
          <w14:textFill>
            <w14:solidFill>
              <w14:schemeClr w14:val="tx1"/>
            </w14:solidFill>
          </w14:textFill>
        </w:rPr>
        <w:t xml:space="preserve">、</w:t>
      </w:r>
      <w:r>
        <w:rPr>
          <w:rFonts w:ascii="宋体" w:hAnsi="宋体" w:cs="宋体"/>
          <w:b/>
          <w:bCs/>
          <w:color w:val="000000" w:themeColor="text1"/>
          <w:szCs w:val="21"/>
          <w14:textFill>
            <w14:solidFill>
              <w14:schemeClr w14:val="tx1"/>
            </w14:solidFill>
          </w14:textFill>
        </w:rPr>
        <w:t xml:space="preserve">数据层</w:t>
      </w:r>
      <w:r>
        <w:rPr>
          <w:rFonts w:ascii="宋体" w:hAnsi="宋体" w:cs="宋体"/>
          <w:color w:val="000000" w:themeColor="text1"/>
          <w:szCs w:val="21"/>
          <w14:textFill>
            <w14:solidFill>
              <w14:schemeClr w14:val="tx1"/>
            </w14:solidFill>
          </w14:textFill>
        </w:rPr>
        <w:t xml:space="preserve">、</w:t>
      </w:r>
      <w:r>
        <w:rPr>
          <w:rFonts w:ascii="宋体" w:hAnsi="宋体" w:cs="宋体"/>
          <w:b/>
          <w:bCs/>
          <w:color w:val="000000" w:themeColor="text1"/>
          <w:szCs w:val="21"/>
          <w14:textFill>
            <w14:solidFill>
              <w14:schemeClr w14:val="tx1"/>
            </w14:solidFill>
          </w14:textFill>
        </w:rPr>
        <w:t xml:space="preserve">服务层</w:t>
      </w:r>
      <w:r>
        <w:rPr>
          <w:rFonts w:ascii="宋体" w:hAnsi="宋体" w:cs="宋体"/>
          <w:color w:val="000000" w:themeColor="text1"/>
          <w:szCs w:val="21"/>
          <w14:textFill>
            <w14:solidFill>
              <w14:schemeClr w14:val="tx1"/>
            </w14:solidFill>
          </w14:textFill>
        </w:rPr>
        <w:t xml:space="preserve">和</w:t>
      </w:r>
      <w:r>
        <w:rPr>
          <w:rFonts w:ascii="宋体" w:hAnsi="宋体" w:cs="宋体"/>
          <w:b/>
          <w:bCs/>
          <w:color w:val="000000" w:themeColor="text1"/>
          <w:szCs w:val="21"/>
          <w14:textFill>
            <w14:solidFill>
              <w14:schemeClr w14:val="tx1"/>
            </w14:solidFill>
          </w14:textFill>
        </w:rPr>
        <w:t xml:space="preserve">展现层</w:t>
      </w:r>
      <w:r>
        <w:rPr>
          <w:rFonts w:ascii="宋体" w:hAnsi="宋体" w:cs="宋体"/>
          <w:color w:val="000000" w:themeColor="text1"/>
          <w:szCs w:val="21"/>
          <w14:textFill>
            <w14:solidFill>
              <w14:schemeClr w14:val="tx1"/>
            </w14:solidFill>
          </w14:textFill>
        </w:rPr>
        <w:t xml:space="preserve">。</w:t>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基础设施层</w:t>
      </w:r>
      <w:r/>
    </w:p>
    <w:p>
      <w:pPr>
        <w:numPr>
          <w:ilvl w:val="0"/>
          <w:numId w:val="3"/>
        </w:num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支撑系统运行所需的环境，具备可靠性、安全性。</w:t>
      </w:r>
      <w:r>
        <w:rPr>
          <w:rFonts w:ascii="宋体" w:hAnsi="宋体" w:cs="宋体"/>
          <w:color w:val="000000" w:themeColor="text1"/>
          <w:szCs w:val="21"/>
          <w14:textFill>
            <w14:solidFill>
              <w14:schemeClr w14:val="tx1"/>
            </w14:solidFill>
          </w14:textFill>
        </w:rPr>
        <w:t xml:space="preserve">。</w:t>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数据层</w:t>
      </w:r>
      <w:r/>
    </w:p>
    <w:p>
      <w:pPr>
        <w:numPr>
          <w:ilvl w:val="1"/>
          <w:numId w:val="0"/>
        </w:numPr>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在线事务集群：</w:t>
      </w:r>
      <w:r>
        <w:rPr>
          <w:rFonts w:hint="eastAsia" w:ascii="宋体" w:hAnsi="宋体" w:cs="宋体"/>
          <w:color w:val="000000" w:themeColor="text1"/>
          <w:szCs w:val="21"/>
          <w14:textFill>
            <w14:solidFill>
              <w14:schemeClr w14:val="tx1"/>
            </w14:solidFill>
          </w14:textFill>
        </w:rPr>
        <w:t xml:space="preserve">核心业务搭载国产关系型存储引擎，保障事务一致性及复杂查询能力。</w:t>
      </w:r>
      <w:r/>
    </w:p>
    <w:p>
      <w:pPr>
        <w:numPr>
          <w:ilvl w:val="1"/>
          <w:numId w:val="0"/>
        </w:numPr>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缓存集群</w:t>
      </w:r>
      <w:r>
        <w:rPr>
          <w:rFonts w:hint="eastAsia" w:ascii="宋体" w:hAnsi="宋体" w:cs="宋体"/>
          <w:color w:val="000000" w:themeColor="text1"/>
          <w:szCs w:val="21"/>
          <w14:textFill>
            <w14:solidFill>
              <w14:schemeClr w14:val="tx1"/>
            </w14:solidFill>
          </w14:textFill>
        </w:rPr>
        <w:t xml:space="preserve">：采用高性能键值存储组件承担分布式缓存与会话存储职能，提升热点数据访问速度与系统并发能力。</w:t>
      </w:r>
      <w:r/>
    </w:p>
    <w:p>
      <w:pPr>
        <w:ind w:left="720" w:hanging="360"/>
        <w:spacing w:line="360" w:lineRule="auto"/>
        <w:rPr>
          <w:rFonts w:ascii="宋体" w:hAnsi="宋体" w:cs="宋体"/>
          <w:color w:val="000000" w:themeColor="text1"/>
          <w:szCs w:val="21"/>
          <w14:textFill>
            <w14:solidFill>
              <w14:schemeClr w14:val="tx1"/>
            </w14:solidFill>
          </w14:textFill>
        </w:rPr>
      </w:pPr>
      <w:r>
        <w:rPr>
          <w:rFonts w:ascii="Symbol" w:hAnsi="Symbol" w:cs="宋体"/>
          <w:color w:val="000000" w:themeColor="text1"/>
          <w:sz w:val="20"/>
          <w:szCs w:val="21"/>
          <w14:textFill>
            <w14:solidFill>
              <w14:schemeClr w14:val="tx1"/>
            </w14:solidFill>
          </w14:textFill>
        </w:rPr>
        <w:t xml:space="preserve"></w:t>
      </w:r>
      <w:r>
        <w:rPr>
          <w:rFonts w:ascii="宋体" w:hAnsi="宋体" w:cs="宋体"/>
          <w:b/>
          <w:bCs/>
          <w:color w:val="000000" w:themeColor="text1"/>
          <w:szCs w:val="21"/>
          <w14:textFill>
            <w14:solidFill>
              <w14:schemeClr w14:val="tx1"/>
            </w14:solidFill>
          </w14:textFill>
        </w:rPr>
        <w:t xml:space="preserve">大数据存储与计算平台</w:t>
      </w:r>
      <w:r>
        <w:rPr>
          <w:rFonts w:ascii="宋体" w:hAnsi="宋体" w:cs="宋体"/>
          <w:color w:val="000000" w:themeColor="text1"/>
          <w:szCs w:val="21"/>
          <w14:textFill>
            <w14:solidFill>
              <w14:schemeClr w14:val="tx1"/>
            </w14:solidFill>
          </w14:textFill>
        </w:rPr>
        <w:t xml:space="preserve">：</w:t>
      </w:r>
      <w:r/>
    </w:p>
    <w:p>
      <w:pPr>
        <w:numPr>
          <w:ilvl w:val="1"/>
          <w:numId w:val="0"/>
        </w:numPr>
        <w:ind w:firstLine="400"/>
        <w:spacing w:line="360" w:lineRule="auto"/>
        <w:rPr>
          <w:rFonts w:ascii="宋体" w:hAnsi="宋体" w:cs="宋体"/>
          <w:color w:val="000000" w:themeColor="text1"/>
          <w:szCs w:val="21"/>
          <w14:textFill>
            <w14:solidFill>
              <w14:schemeClr w14:val="tx1"/>
            </w14:solidFill>
          </w14:textFill>
        </w:rPr>
      </w:pPr>
      <w:r>
        <w:rPr>
          <w:rFonts w:ascii="Courier New" w:hAnsi="Courier New" w:cs="宋体"/>
          <w:color w:val="000000" w:themeColor="text1"/>
          <w:sz w:val="20"/>
          <w:szCs w:val="21"/>
          <w14:textFill>
            <w14:solidFill>
              <w14:schemeClr w14:val="tx1"/>
            </w14:solidFill>
          </w14:textFill>
        </w:rPr>
        <w:t xml:space="preserve">o</w:t>
      </w:r>
      <w:r>
        <w:rPr>
          <w:rFonts w:ascii="宋体" w:hAnsi="宋体" w:cs="宋体"/>
          <w:b/>
          <w:bCs/>
          <w:color w:val="000000" w:themeColor="text1"/>
          <w:szCs w:val="21"/>
          <w14:textFill>
            <w14:solidFill>
              <w14:schemeClr w14:val="tx1"/>
            </w14:solidFill>
          </w14:textFill>
        </w:rPr>
        <w:t xml:space="preserve">存储</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分布式文件系统</w:t>
      </w:r>
      <w:r>
        <w:rPr>
          <w:rFonts w:ascii="宋体" w:hAnsi="宋体" w:cs="宋体"/>
          <w:color w:val="000000" w:themeColor="text1"/>
          <w:szCs w:val="21"/>
          <w14:textFill>
            <w14:solidFill>
              <w14:schemeClr w14:val="tx1"/>
            </w14:solidFill>
          </w14:textFill>
        </w:rPr>
        <w:t xml:space="preserve">作为海量原始数据的低成本、高可靠存储底座。</w:t>
      </w:r>
      <w:r/>
    </w:p>
    <w:p>
      <w:pPr>
        <w:numPr>
          <w:ilvl w:val="1"/>
          <w:numId w:val="0"/>
        </w:numPr>
        <w:ind w:firstLine="400"/>
        <w:spacing w:line="360" w:lineRule="auto"/>
        <w:rPr>
          <w:rFonts w:ascii="宋体" w:hAnsi="宋体" w:cs="宋体"/>
          <w:color w:val="000000" w:themeColor="text1"/>
          <w:szCs w:val="21"/>
          <w14:textFill>
            <w14:solidFill>
              <w14:schemeClr w14:val="tx1"/>
            </w14:solidFill>
          </w14:textFill>
        </w:rPr>
      </w:pPr>
      <w:r>
        <w:rPr>
          <w:rFonts w:ascii="Courier New" w:hAnsi="Courier New" w:cs="宋体"/>
          <w:color w:val="000000" w:themeColor="text1"/>
          <w:sz w:val="20"/>
          <w:szCs w:val="21"/>
          <w14:textFill>
            <w14:solidFill>
              <w14:schemeClr w14:val="tx1"/>
            </w14:solidFill>
          </w14:textFill>
        </w:rPr>
        <w:t xml:space="preserve">o</w:t>
      </w:r>
      <w:r>
        <w:rPr>
          <w:rFonts w:ascii="宋体" w:hAnsi="宋体" w:cs="宋体"/>
          <w:b/>
          <w:bCs/>
          <w:color w:val="000000" w:themeColor="text1"/>
          <w:szCs w:val="21"/>
          <w14:textFill>
            <w14:solidFill>
              <w14:schemeClr w14:val="tx1"/>
            </w14:solidFill>
          </w14:textFill>
        </w:rPr>
        <w:t xml:space="preserve">数据仓库</w:t>
      </w:r>
      <w:r>
        <w:rPr>
          <w:rFonts w:ascii="宋体" w:hAnsi="宋体" w:cs="宋体"/>
          <w:color w:val="000000" w:themeColor="text1"/>
          <w:szCs w:val="21"/>
          <w14:textFill>
            <w14:solidFill>
              <w14:schemeClr w14:val="tx1"/>
            </w14:solidFill>
          </w14:textFill>
        </w:rPr>
        <w:t xml:space="preserve">：用于构建传统的数据仓库，支持基于</w:t>
      </w:r>
      <w:r>
        <w:rPr>
          <w:rFonts w:hint="eastAsia" w:ascii="宋体" w:hAnsi="宋体" w:cs="宋体"/>
          <w:color w:val="000000" w:themeColor="text1"/>
          <w:szCs w:val="21"/>
          <w14:textFill>
            <w14:solidFill>
              <w14:schemeClr w14:val="tx1"/>
            </w14:solidFill>
          </w14:textFill>
        </w:rPr>
        <w:t xml:space="preserve">分布式计算框架/分布式计算模型</w:t>
      </w:r>
      <w:r>
        <w:rPr>
          <w:rFonts w:ascii="宋体" w:hAnsi="宋体" w:cs="宋体"/>
          <w:color w:val="000000" w:themeColor="text1"/>
          <w:szCs w:val="21"/>
          <w14:textFill>
            <w14:solidFill>
              <w14:schemeClr w14:val="tx1"/>
            </w14:solidFill>
          </w14:textFill>
        </w:rPr>
        <w:t xml:space="preserve">的离线分析。</w:t>
      </w:r>
      <w:r/>
    </w:p>
    <w:p>
      <w:pPr>
        <w:numPr>
          <w:ilvl w:val="1"/>
          <w:numId w:val="0"/>
        </w:numPr>
        <w:ind w:firstLine="600"/>
        <w:spacing w:line="360" w:lineRule="auto"/>
        <w:rPr>
          <w:rFonts w:ascii="宋体" w:hAnsi="宋体" w:cs="宋体"/>
          <w:color w:val="000000" w:themeColor="text1"/>
          <w:szCs w:val="21"/>
          <w14:textFill>
            <w14:solidFill>
              <w14:schemeClr w14:val="tx1"/>
            </w14:solidFill>
          </w14:textFill>
        </w:rPr>
      </w:pPr>
      <w:r>
        <w:rPr>
          <w:rFonts w:ascii="Courier New" w:hAnsi="Courier New" w:cs="宋体"/>
          <w:color w:val="000000" w:themeColor="text1"/>
          <w:sz w:val="20"/>
          <w:szCs w:val="21"/>
          <w14:textFill>
            <w14:solidFill>
              <w14:schemeClr w14:val="tx1"/>
            </w14:solidFill>
          </w14:textFill>
        </w:rPr>
        <w:t xml:space="preserve">o</w:t>
      </w:r>
      <w:r>
        <w:rPr>
          <w:rFonts w:ascii="宋体" w:hAnsi="宋体" w:cs="宋体"/>
          <w:b/>
          <w:bCs/>
          <w:color w:val="000000" w:themeColor="text1"/>
          <w:szCs w:val="21"/>
          <w14:textFill>
            <w14:solidFill>
              <w14:schemeClr w14:val="tx1"/>
            </w14:solidFill>
          </w14:textFill>
        </w:rPr>
        <w:t xml:space="preserve">资源协调</w:t>
      </w:r>
      <w:r>
        <w:rPr>
          <w:rFonts w:ascii="宋体" w:hAnsi="宋体" w:cs="宋体"/>
          <w:color w:val="000000" w:themeColor="text1"/>
          <w:szCs w:val="21"/>
          <w14:textFill>
            <w14:solidFill>
              <w14:schemeClr w14:val="tx1"/>
            </w14:solidFill>
          </w14:textFill>
        </w:rPr>
        <w:t xml:space="preserve">：提供分布式协调服务。</w:t>
      </w:r>
      <w:r/>
    </w:p>
    <w:p>
      <w:pPr>
        <w:ind w:left="720" w:hanging="360"/>
        <w:spacing w:line="360" w:lineRule="auto"/>
        <w:rPr>
          <w:rFonts w:ascii="宋体" w:hAnsi="宋体" w:cs="宋体"/>
          <w:color w:val="000000" w:themeColor="text1"/>
          <w:szCs w:val="21"/>
          <w14:textFill>
            <w14:solidFill>
              <w14:schemeClr w14:val="tx1"/>
            </w14:solidFill>
          </w14:textFill>
        </w:rPr>
      </w:pPr>
      <w:r>
        <w:rPr>
          <w:rFonts w:ascii="Symbol" w:hAnsi="Symbol" w:cs="宋体"/>
          <w:color w:val="000000" w:themeColor="text1"/>
          <w:sz w:val="20"/>
          <w:szCs w:val="21"/>
          <w14:textFill>
            <w14:solidFill>
              <w14:schemeClr w14:val="tx1"/>
            </w14:solidFill>
          </w14:textFill>
        </w:rPr>
        <w:t xml:space="preserve"></w:t>
      </w:r>
      <w:r>
        <w:rPr>
          <w:rFonts w:ascii="宋体" w:hAnsi="宋体" w:cs="宋体"/>
          <w:b/>
          <w:bCs/>
          <w:color w:val="000000" w:themeColor="text1"/>
          <w:szCs w:val="21"/>
          <w14:textFill>
            <w14:solidFill>
              <w14:schemeClr w14:val="tx1"/>
            </w14:solidFill>
          </w14:textFill>
        </w:rPr>
        <w:t xml:space="preserve">数据集成工具</w:t>
      </w:r>
      <w:r>
        <w:rPr>
          <w:rFonts w:ascii="宋体" w:hAnsi="宋体" w:cs="宋体"/>
          <w:color w:val="000000" w:themeColor="text1"/>
          <w:szCs w:val="21"/>
          <w14:textFill>
            <w14:solidFill>
              <w14:schemeClr w14:val="tx1"/>
            </w14:solidFill>
          </w14:textFill>
        </w:rPr>
        <w:t xml:space="preserve">：</w:t>
      </w:r>
      <w:r/>
    </w:p>
    <w:p>
      <w:pPr>
        <w:numPr>
          <w:ilvl w:val="1"/>
          <w:numId w:val="0"/>
        </w:numPr>
        <w:ind w:left="1440" w:hanging="36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实现异构数据源间的高效、稳定数据同步。</w:t>
      </w:r>
      <w:r/>
    </w:p>
    <w:p>
      <w:pPr>
        <w:numPr>
          <w:ilvl w:val="1"/>
          <w:numId w:val="0"/>
        </w:numPr>
        <w:ind w:left="1440" w:hanging="3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实现</w:t>
      </w:r>
      <w:r>
        <w:rPr>
          <w:rFonts w:ascii="宋体" w:hAnsi="宋体" w:cs="宋体"/>
          <w:color w:val="000000" w:themeColor="text1"/>
          <w:szCs w:val="21"/>
          <w14:textFill>
            <w14:solidFill>
              <w14:schemeClr w14:val="tx1"/>
            </w14:solidFill>
          </w14:textFill>
        </w:rPr>
        <w:t xml:space="preserve">在</w:t>
      </w:r>
      <w:r>
        <w:rPr>
          <w:rFonts w:hint="eastAsia" w:ascii="宋体" w:hAnsi="宋体" w:cs="宋体"/>
          <w:color w:val="000000" w:themeColor="text1"/>
          <w:szCs w:val="21"/>
          <w14:textFill>
            <w14:solidFill>
              <w14:schemeClr w14:val="tx1"/>
            </w14:solidFill>
          </w14:textFill>
        </w:rPr>
        <w:t xml:space="preserve">数据库的存算</w:t>
      </w:r>
      <w:r>
        <w:rPr>
          <w:rFonts w:ascii="宋体" w:hAnsi="宋体" w:cs="宋体"/>
          <w:color w:val="000000" w:themeColor="text1"/>
          <w:szCs w:val="21"/>
          <w14:textFill>
            <w14:solidFill>
              <w14:schemeClr w14:val="tx1"/>
            </w14:solidFill>
          </w14:textFill>
        </w:rPr>
        <w:t xml:space="preserve">迁移。</w:t>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服务层</w:t>
      </w:r>
      <w:r/>
    </w:p>
    <w:p>
      <w:pPr>
        <w:numPr>
          <w:ilvl w:val="0"/>
          <w:numId w:val="4"/>
        </w:numPr>
        <w:spacing w:line="360" w:lineRule="auto"/>
        <w:rPr>
          <w:rFonts w:ascii="宋体" w:hAnsi="宋体" w:cs="宋体"/>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应用中间件</w:t>
      </w:r>
      <w:r>
        <w:rPr>
          <w:rFonts w:ascii="宋体" w:hAnsi="宋体" w:cs="宋体"/>
          <w:color w:val="000000" w:themeColor="text1"/>
          <w:szCs w:val="21"/>
          <w14:textFill>
            <w14:solidFill>
              <w14:schemeClr w14:val="tx1"/>
            </w14:solidFill>
          </w14:textFill>
        </w:rPr>
        <w:t xml:space="preserve">：提供高并发、高可用的部署、管理、监控与集群化支持。</w:t>
      </w:r>
      <w:r/>
    </w:p>
    <w:p>
      <w:pPr>
        <w:numPr>
          <w:ilvl w:val="0"/>
          <w:numId w:val="4"/>
        </w:numPr>
        <w:spacing w:line="360" w:lineRule="auto"/>
        <w:rPr>
          <w:rFonts w:ascii="宋体" w:hAnsi="宋体" w:cs="宋体"/>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后端框架</w:t>
      </w:r>
      <w:r>
        <w:rPr>
          <w:rFonts w:ascii="宋体" w:hAnsi="宋体" w:cs="宋体"/>
          <w:color w:val="000000" w:themeColor="text1"/>
          <w:szCs w:val="21"/>
          <w14:textFill>
            <w14:solidFill>
              <w14:schemeClr w14:val="tx1"/>
            </w14:solidFill>
          </w14:textFill>
        </w:rPr>
        <w:t xml:space="preserve">：</w:t>
      </w:r>
      <w:r/>
    </w:p>
    <w:p>
      <w:pPr>
        <w:numPr>
          <w:ilvl w:val="1"/>
          <w:numId w:val="4"/>
        </w:num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提供自动配置、监控、安全等开箱即用的特性。</w:t>
      </w:r>
      <w:r/>
    </w:p>
    <w:p>
      <w:pPr>
        <w:numPr>
          <w:ilvl w:val="1"/>
          <w:numId w:val="4"/>
        </w:num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简化对数据库的</w:t>
      </w:r>
      <w:r>
        <w:rPr>
          <w:rFonts w:hint="eastAsia" w:ascii="宋体" w:hAnsi="宋体" w:cs="宋体"/>
          <w:color w:val="000000" w:themeColor="text1"/>
          <w:szCs w:val="21"/>
          <w14:textFill>
            <w14:solidFill>
              <w14:schemeClr w14:val="tx1"/>
            </w14:solidFill>
          </w14:textFill>
        </w:rPr>
        <w:t xml:space="preserve">封装操作</w:t>
      </w:r>
      <w:r>
        <w:rPr>
          <w:rFonts w:ascii="宋体" w:hAnsi="宋体" w:cs="宋体"/>
          <w:color w:val="000000" w:themeColor="text1"/>
          <w:szCs w:val="21"/>
          <w14:textFill>
            <w14:solidFill>
              <w14:schemeClr w14:val="tx1"/>
            </w14:solidFill>
          </w14:textFill>
        </w:rPr>
        <w:t xml:space="preserve">，提升开发效率。</w:t>
      </w:r>
      <w:r/>
    </w:p>
    <w:p>
      <w:pPr>
        <w:numPr>
          <w:ilvl w:val="0"/>
          <w:numId w:val="4"/>
        </w:numPr>
        <w:spacing w:line="360" w:lineRule="auto"/>
        <w:rPr>
          <w:rFonts w:ascii="宋体" w:hAnsi="宋体" w:cs="宋体"/>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任务调度</w:t>
      </w:r>
      <w:r>
        <w:rPr>
          <w:rFonts w:ascii="宋体" w:hAnsi="宋体" w:cs="宋体"/>
          <w:color w:val="000000" w:themeColor="text1"/>
          <w:szCs w:val="21"/>
          <w14:textFill>
            <w14:solidFill>
              <w14:schemeClr w14:val="tx1"/>
            </w14:solidFill>
          </w14:textFill>
        </w:rPr>
        <w:t xml:space="preserve">：分布式可视化工作流任务调度平台，统一管理和监控所有数据开发ETL任务、数据分析任务及后端批处理任务。</w:t>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展现层</w:t>
      </w:r>
      <w:r/>
    </w:p>
    <w:p>
      <w:pPr>
        <w:numPr>
          <w:ilvl w:val="0"/>
          <w:numId w:val="5"/>
        </w:numPr>
        <w:spacing w:line="360" w:lineRule="auto"/>
        <w:rPr>
          <w:rFonts w:ascii="宋体" w:hAnsi="宋体" w:cs="宋体"/>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前端框架</w:t>
      </w:r>
      <w:r>
        <w:rPr>
          <w:rFonts w:ascii="宋体" w:hAnsi="宋体" w:cs="宋体"/>
          <w:color w:val="000000" w:themeColor="text1"/>
          <w:szCs w:val="21"/>
          <w14:textFill>
            <w14:solidFill>
              <w14:schemeClr w14:val="tx1"/>
            </w14:solidFill>
          </w14:textFill>
        </w:rPr>
        <w:t xml:space="preserve">：基于渐进式框架，实现快速的冷启动和热更新。</w:t>
      </w:r>
      <w:r/>
    </w:p>
    <w:p>
      <w:pPr>
        <w:numPr>
          <w:ilvl w:val="0"/>
          <w:numId w:val="5"/>
        </w:numPr>
        <w:spacing w:line="360" w:lineRule="auto"/>
        <w:rPr>
          <w:rFonts w:ascii="宋体" w:hAnsi="宋体" w:cs="宋体"/>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开发语言</w:t>
      </w:r>
      <w:r>
        <w:rPr>
          <w:rFonts w:ascii="宋体" w:hAnsi="宋体" w:cs="宋体"/>
          <w:color w:val="000000" w:themeColor="text1"/>
          <w:szCs w:val="21"/>
          <w14:textFill>
            <w14:solidFill>
              <w14:schemeClr w14:val="tx1"/>
            </w14:solidFill>
          </w14:textFill>
        </w:rPr>
        <w:t xml:space="preserve">：使用现代Web标准，构建响应式、跨平台的企业级Web应用。</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（3）系统性能要求:</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可用性：功能正常使用率&gt;95%，界面友好，符合操作习惯，布局一致美观。并发要求：在线并发用户&gt;100。故障恢复：每周7*24小时连续运行，出现故障应能及时告警。系统故障恢复应具备自动或手动恢复措施，以便在发生错误时能够快速地恢复正常运行。软件系统故障时，自动恢复时间&lt;15分钟，手动恢复时间&lt;3小时。关键性能指标：页面操作响应&lt;2秒，GIS操作响应&lt;5秒；页面结果返回&lt;5秒，GIS结果返回&lt;10秒。</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（4）系统部署要求</w:t>
      </w:r>
      <w:r/>
    </w:p>
    <w:p>
      <w:pPr>
        <w:ind w:firstLine="560"/>
        <w:spacing w:line="360" w:lineRule="auto"/>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系统采用公有云/私有云云平台技术，平台软件的主体部分和重要数据搭建在云服务器上，安全上考虑选用当前各种安全技术体系构架保障整个系统安全。重要数据要进行多重安全备份，确保数据安全。</w:t>
      </w:r>
      <w:r/>
    </w:p>
    <w:p>
      <w:pPr>
        <w:pStyle w:val="739"/>
        <w:numPr>
          <w:ilvl w:val="2"/>
          <w:numId w:val="0"/>
        </w:numPr>
        <w:ind w:firstLine="241"/>
        <w:spacing w:before="156" w:after="156"/>
        <w:rPr>
          <w:rFonts w:cs="宋体"/>
          <w:color w:val="000000" w:themeColor="text1"/>
          <w:szCs w:val="21"/>
          <w14:textFill>
            <w14:solidFill>
              <w14:schemeClr w14:val="tx1"/>
            </w14:solidFill>
          </w14:textFill>
        </w:rPr>
      </w:pPr>
      <w:r>
        <w:rPr>
          <w:rFonts w:cs="宋体"/>
          <w:color w:val="000000" w:themeColor="text1"/>
          <w:szCs w:val="21"/>
          <w14:textFill>
            <w14:solidFill>
              <w14:schemeClr w14:val="tx1"/>
            </w14:solidFill>
          </w14:textFill>
        </w:rPr>
        <w:t xml:space="preserve">4.2. 数据对接</w:t>
      </w:r>
      <w:r>
        <w:rPr>
          <w:rFonts w:hint="eastAsia" w:cs="宋体"/>
          <w:color w:val="000000" w:themeColor="text1"/>
          <w:szCs w:val="21"/>
          <w14:textFill>
            <w14:solidFill>
              <w14:schemeClr w14:val="tx1"/>
            </w14:solidFill>
          </w14:textFill>
        </w:rPr>
        <w:t xml:space="preserve">方案</w:t>
      </w:r>
      <w:r/>
    </w:p>
    <w:p>
      <w:pPr>
        <w:ind w:firstLine="48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结合扬州市广陵区健康管理型医院基层能力提升暨绩效体系的现有系统运行状态，开展系统对接方案设计，对区域内现有数据资源进行规范化整合利用。方案需覆盖数据清洗、数据转换等核心流程，最终构建形成统一数据资源池，且需分别给出结构化数据与非结构化数据的专业处理方案。在此基础上构建标准化数据层，完成历史脏数据清洗工作，最终形成真实可靠的可用数据集。</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4.2.1. 数据资源汇聚要求</w:t>
      </w:r>
      <w:r/>
    </w:p>
    <w:p>
      <w:pPr>
        <w:ind w:left="420" w:firstLine="56"/>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w:t>
      </w:r>
      <w:r>
        <w:rPr>
          <w:rFonts w:hint="eastAsia" w:ascii="宋体" w:hAnsi="宋体" w:cs="宋体"/>
          <w:color w:val="000000" w:themeColor="text1"/>
          <w:szCs w:val="21"/>
          <w14:textFill>
            <w14:solidFill>
              <w14:schemeClr w14:val="tx1"/>
            </w14:solidFill>
          </w14:textFill>
        </w:rPr>
        <w:t xml:space="preserve">供应商应建设统一的数据资源汇聚平台，实现以下数据源的全面接入：</w:t>
      </w:r>
      <w:r>
        <w:rPr>
          <w:rFonts w:hint="eastAsia" w:ascii="宋体" w:hAnsi="宋体" w:cs="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（1）数据源接入范围</w:t>
      </w:r>
      <w:r/>
    </w:p>
    <w:p>
      <w:pPr>
        <w:ind w:firstLine="480"/>
        <w:jc w:val="left"/>
        <w:spacing w:line="360" w:lineRule="auto"/>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HIS系统：</w:t>
      </w:r>
      <w:r/>
    </w:p>
    <w:p>
      <w:pPr>
        <w:ind w:firstLine="48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门诊就诊记录、诊断明细、处方明细、费用明细、检验报告、检验结果指标明细、影像检查报告、诊断结论、体检报告首页、分科结论、明细指标数据</w:t>
      </w:r>
      <w:r/>
    </w:p>
    <w:p>
      <w:pPr>
        <w:ind w:firstLine="480"/>
        <w:jc w:val="left"/>
        <w:spacing w:line="360" w:lineRule="auto"/>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公卫系统：</w:t>
      </w:r>
      <w:r/>
    </w:p>
    <w:p>
      <w:pPr>
        <w:ind w:firstLine="48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健康档案、签约服务、老年人体检、随访记录</w:t>
      </w:r>
      <w:r/>
    </w:p>
    <w:p>
      <w:pPr>
        <w:ind w:left="420" w:firstLine="56"/>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（2）标准数据层建设要求</w:t>
      </w:r>
      <w:r>
        <w:rPr>
          <w:rFonts w:hint="eastAsia" w:ascii="宋体" w:hAnsi="宋体" w:cs="宋体"/>
          <w:color w:val="000000" w:themeColor="text1"/>
          <w:szCs w:val="21"/>
          <w14:textFill>
            <w14:solidFill>
              <w14:schemeClr w14:val="tx1"/>
            </w14:solidFill>
          </w14:textFill>
        </w:rPr>
        <w:br/>
      </w:r>
      <w:r>
        <w:rPr>
          <w:rFonts w:hint="eastAsia" w:ascii="宋体" w:hAnsi="宋体" w:eastAsia="宋体" w:cs="宋体"/>
          <w:color w:val="000000" w:themeColor="text1"/>
          <w:szCs w:val="21"/>
          <w14:textFill>
            <w14:solidFill>
              <w14:schemeClr w14:val="tx1"/>
            </w14:solidFill>
          </w14:textFill>
        </w:rPr>
        <w:t xml:space="preserve">投标</w:t>
      </w:r>
      <w:r>
        <w:rPr>
          <w:rFonts w:hint="eastAsia" w:ascii="宋体" w:hAnsi="宋体" w:cs="宋体"/>
          <w:color w:val="000000" w:themeColor="text1"/>
          <w:szCs w:val="21"/>
          <w14:textFill>
            <w14:solidFill>
              <w14:schemeClr w14:val="tx1"/>
            </w14:solidFill>
          </w14:textFill>
        </w:rPr>
        <w:t xml:space="preserve">供应商应建设四级标准数据分层体系：</w:t>
      </w:r>
      <w:r/>
    </w:p>
    <w:p>
      <w:pPr>
        <w:ind w:firstLine="48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ODS层（操作数据存储）：按源系统结构镜像存储原始数据，保留历史变更记录</w:t>
      </w:r>
      <w:r/>
    </w:p>
    <w:p>
      <w:pPr>
        <w:ind w:firstLine="48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DWD层（明细数据层）：完成数据标准化清洗， </w:t>
      </w:r>
      <w:r/>
    </w:p>
    <w:p>
      <w:pPr>
        <w:ind w:firstLine="48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DWS层（汇总数据层）：按慢病管理业务场景汇总</w:t>
      </w:r>
      <w:r/>
    </w:p>
    <w:p>
      <w:pPr>
        <w:ind w:firstLine="48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ADS层（应用数据层）：按业务应用需求输出</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4.2.2. 数据清洗与质量治理要求</w:t>
      </w:r>
      <w:r/>
    </w:p>
    <w:p>
      <w:pPr>
        <w:ind w:firstLine="48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w:t>
      </w:r>
      <w:r>
        <w:rPr>
          <w:rFonts w:hint="eastAsia" w:ascii="宋体" w:hAnsi="宋体" w:cs="宋体"/>
          <w:color w:val="000000" w:themeColor="text1"/>
          <w:szCs w:val="21"/>
          <w14:textFill>
            <w14:solidFill>
              <w14:schemeClr w14:val="tx1"/>
            </w14:solidFill>
          </w14:textFill>
        </w:rPr>
        <w:t xml:space="preserve">供应商应提供完整的数据清洗与质量治理方案，具备基于慢病管理业务规则的数据清洗能力，具备对非结构化医疗数据的智能处理能力</w:t>
      </w:r>
      <w:r/>
    </w:p>
    <w:p>
      <w:pPr>
        <w:pStyle w:val="739"/>
        <w:numPr>
          <w:ilvl w:val="2"/>
          <w:numId w:val="0"/>
        </w:numPr>
        <w:spacing w:before="156" w:after="156"/>
        <w:rPr>
          <w:rFonts w:cs="宋体"/>
          <w:color w:val="000000" w:themeColor="text1"/>
          <w:szCs w:val="21"/>
          <w14:textFill>
            <w14:solidFill>
              <w14:schemeClr w14:val="tx1"/>
            </w14:solidFill>
          </w14:textFill>
        </w:rPr>
      </w:pPr>
      <w:r>
        <w:rPr>
          <w:rFonts w:cs="宋体"/>
          <w:color w:val="000000" w:themeColor="text1"/>
          <w:szCs w:val="21"/>
          <w14:textFill>
            <w14:solidFill>
              <w14:schemeClr w14:val="tx1"/>
            </w14:solidFill>
          </w14:textFill>
        </w:rPr>
        <w:t xml:space="preserve">4.3. </w:t>
      </w:r>
      <w:r>
        <w:rPr>
          <w:rFonts w:hint="eastAsia" w:cs="宋体"/>
          <w:color w:val="000000" w:themeColor="text1"/>
          <w:szCs w:val="21"/>
          <w14:textFill>
            <w14:solidFill>
              <w14:schemeClr w14:val="tx1"/>
            </w14:solidFill>
          </w14:textFill>
        </w:rPr>
        <w:t xml:space="preserve">定制软件开发方案</w:t>
      </w:r>
      <w:r/>
    </w:p>
    <w:p>
      <w:pPr>
        <w:ind w:firstLine="420"/>
        <w:spacing w:line="360" w:lineRule="auto"/>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建设内容主要包括以下八个部分：市级健康管理整合型医院基层能力辅助决策系统建设、市级健康型医院数据治理中心建设、广陵区医防融合数据监管治理系统建设、健康管理型医院一体化助手系统建设、AI健康助手－居民端建设、检后追踪系统建设、健康积分模块建设、</w:t>
      </w:r>
      <w:r>
        <w:rPr>
          <w:rFonts w:ascii="宋体" w:hAnsi="宋体" w:cs="宋体"/>
          <w:color w:val="000000" w:themeColor="text1"/>
          <w:szCs w:val="21"/>
          <w14:textFill>
            <w14:solidFill>
              <w14:schemeClr w14:val="tx1"/>
            </w14:solidFill>
          </w14:textFill>
        </w:rPr>
        <w:t xml:space="preserve">医保信息数据采集及统计</w:t>
      </w:r>
      <w:r>
        <w:rPr>
          <w:rFonts w:hint="eastAsia" w:ascii="宋体" w:hAnsi="宋体" w:cs="宋体"/>
          <w:color w:val="000000" w:themeColor="text1"/>
          <w:szCs w:val="21"/>
          <w14:textFill>
            <w14:solidFill>
              <w14:schemeClr w14:val="tx1"/>
            </w14:solidFill>
          </w14:textFill>
        </w:rPr>
        <w:t xml:space="preserve">建设。具体功能需求如下：</w:t>
      </w:r>
      <w:r/>
    </w:p>
    <w:tbl>
      <w:tblPr>
        <w:tblStyle w:val="747"/>
        <w:tblW w:w="5441" w:type="pct"/>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131"/>
        <w:gridCol w:w="1856"/>
        <w:gridCol w:w="5386"/>
      </w:tblGrid>
      <w:tr>
        <w:trPr>
          <w:trHeight w:val="292"/>
        </w:trPr>
        <w:tc>
          <w:tcPr>
            <w:tcW w:w="485" w:type="pct"/>
            <w:vAlign w:val="center"/>
            <w:textDirection w:val="lrTb"/>
            <w:noWrap w:val="false"/>
          </w:tcPr>
          <w:p>
            <w:pPr>
              <w:jc w:val="center"/>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系统</w:t>
            </w:r>
            <w:r/>
          </w:p>
        </w:tc>
        <w:tc>
          <w:tcPr>
            <w:tcW w:w="609" w:type="pct"/>
            <w:vAlign w:val="center"/>
            <w:textDirection w:val="lrTb"/>
            <w:noWrap w:val="false"/>
          </w:tcPr>
          <w:p>
            <w:pPr>
              <w:jc w:val="center"/>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功能模块</w:t>
            </w:r>
            <w:r/>
          </w:p>
        </w:tc>
        <w:tc>
          <w:tcPr>
            <w:tcW w:w="1001" w:type="pct"/>
            <w:vAlign w:val="center"/>
            <w:textDirection w:val="lrTb"/>
            <w:noWrap w:val="false"/>
          </w:tcPr>
          <w:p>
            <w:pPr>
              <w:jc w:val="center"/>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子模块</w:t>
            </w:r>
            <w:r/>
          </w:p>
        </w:tc>
        <w:tc>
          <w:tcPr>
            <w:tcW w:w="2903" w:type="pct"/>
            <w:vAlign w:val="center"/>
            <w:textDirection w:val="lrTb"/>
            <w:noWrap w:val="false"/>
          </w:tcPr>
          <w:p>
            <w:pPr>
              <w:jc w:val="center"/>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技术参数</w:t>
            </w:r>
            <w:r/>
          </w:p>
        </w:tc>
      </w:tr>
      <w:tr>
        <w:trPr>
          <w:trHeight w:val="292"/>
        </w:trPr>
        <w:tc>
          <w:tcPr>
            <w:tcW w:w="485" w:type="pct"/>
            <w:vAlign w:val="center"/>
            <w:vMerge w:val="restart"/>
            <w:textDirection w:val="lrTb"/>
            <w:noWrap w:val="false"/>
          </w:tcPr>
          <w:p>
            <w:pPr>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市级健康管理整合型医院基层能力辅助决策系统</w:t>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工作台</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时间区域切换</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可根据月、季、年切换数据大屏时间维度，全屏数据联动。</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可通过组件选择月份，数据时间显示该月1日到月底的数据。</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季可通过组件选择季度，数据时间显示该季1日到季底的数据。</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年可通过组件选择年度，数据时间显示该年1日到年底的数据。</w:t>
            </w:r>
            <w:r/>
          </w:p>
        </w:tc>
      </w:tr>
      <w:tr>
        <w:trPr>
          <w:trHeight w:val="277"/>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任务量&amp;工作量</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★责任医生以高血压、糖尿病管理路径各节点的纳管患者，统计各节点的任务量。</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可通过模式切换展示维度模式和流程模式的路径化过程节点明细。</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点击详情可进入详情页，可统览所有路径节点任务量和工作量的详情。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点击任务量每个节点应完成的具体数值，可查看每个节点任务量的应完成详情。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点击任务量每个节点已完成的具体数值，可查看每个节点任务量的已完成详情。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点击任务量每个节点未完成的具体数值，可查看每个节点任务量的未完成详情。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任务量详情页，支持条件筛选。如状态原因、完成状态、患者详情等。</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点击可进入详情，查询每个患者单路径节点的完成情况，完成次数，完成时间。</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点击显示所有，展示该患者周期内（如年度）所有节点的完成情况，完成次数和完成时间。</w:t>
            </w:r>
            <w:r/>
          </w:p>
        </w:tc>
      </w:tr>
      <w:tr>
        <w:trPr>
          <w:trHeight w:val="277"/>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★就诊医生以高血压、糖尿病管理路径各节点的纳管患者，统计各节点的工作量。</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点击工作量每个节点全部的具体数值，可查看每个节点工作量的全部的详情。</w:t>
            </w:r>
            <w:r/>
          </w:p>
        </w:tc>
      </w:tr>
      <w:tr>
        <w:trPr>
          <w:trHeight w:val="277"/>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点击工作量每个节点有效的具体数值，可查看每个节点工作量的有效的详情。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点击工作量每个节点无效的具体数值，可查看每个节点工作量的无效的详情。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工作量详情页，支持条件筛选。如状态原因、完成状态、患者详情等。</w:t>
            </w:r>
            <w:r/>
          </w:p>
        </w:tc>
      </w:tr>
      <w:tr>
        <w:trPr>
          <w:trHeight w:val="277"/>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点击可进入详情，查询每个患者单路径节点的工作量完成情况，完成时间，是否有效，无效原因。</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点击显示所有，展示该患者周期内（如年度）所有节点的工作量完成情况，完成时间，是否有效，无效原因。</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检验检查</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首页统计展示医生所管患者该周期的检验检测任务量，完成率、未完成数。</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点击详情可查看按患者维度该周期内的检验检测完成详情。</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★待办提醒</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待办提醒：提示医生未完成的路径节点。包含待随访、随访同步、异常待处理、待转诊、年度体检、患者召回。</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指标统计</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★慢病管理指数</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显示责任医生所管理的患者的本期慢病管理指数所在机构的排名，所在机构的最低分，最高分，平均分。</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显示责任医生所管的患者的本期慢病管理指数分，上期分。点击可进入详情页</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慢病管理过程</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显示责任医生所管的患者的慢病管理过程分，点击可进入详情页</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慢病管理结果</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显示责任医生所管理的患者的慢病管理结果分，点击可进入详情页</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高血压年度统计</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显示责任医生所管的患者的公卫高血压规范管理率、公卫高血压控制率、AI系统高血压规范管理率、AI系统高血压控制率</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糖尿病年度统计</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显示责任医生所管理的患者的公卫糖尿病规范管理率、糖尿病高血压控制率、AI系统糖尿病规范管理率、AI系统糖尿病控制率</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患者总人数</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统计高血压和糖尿病的总人数和人数分布</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就诊&amp;签约情况统计</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统计责任医生所管理患者的就诊情况</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统计责任医生所管理患者的签约情况</w:t>
            </w:r>
            <w:r/>
          </w:p>
        </w:tc>
      </w:tr>
      <w:tr>
        <w:trPr>
          <w:trHeight w:val="277"/>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★患者心血管健康分统计</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统计责任医生所管理患者的自我管理8因素各单项分值。</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诊前管理</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基础信息</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患者在诊前刷卡后显示患者基本信息。如未完善信息，支持跳转完成信息完善。</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支持基础信息按基本信息、疾病信息、病种档案信息分类展示。</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根据专档的档案信息，展示随访相关信息，在随访周期内提示本次需做随访。</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基础信息可扩展多病种，并且诊前按患者不同病种显示不同模板。</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★体征数据</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支持手写、填充、自动带入等多种数据写入方式（身高、体重、血压、心率、腰围、体温等）</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体征数据支持组件显示上一次记录，点击该值可自动带入本次。</w:t>
            </w:r>
            <w:r/>
          </w:p>
        </w:tc>
      </w:tr>
      <w:tr>
        <w:trPr>
          <w:trHeight w:val="277"/>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疾病状态</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根据高血压、糖尿病管理要求采集对应的当前疾病控制情况，根据不同病种展示不同模板。</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可根据病种定制化扩展。支持选中疾病症状在上方显示（无症状、头痛头晕、恶心呕吐、眼花耳鸣、呼吸困难、心悸胸闷等，病史采集）。</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生活方式</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支持诊前生活方式采集：支持吸烟量、日饮酒量、日主食量、运动频次、睡眠情况、摄盐状况、摄油情况、摄糖情况、饮食结构、心理调整、遵医行为等</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慢阻肺呼吸康复治疗</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支持填写家庭持续氧疗情况、无创呼吸机使用情况、其他呼吸治疗、服药依从性、吸入装置技术掌握、药物不良反应。</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辅助检查</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支持慢病辅助检查，根据病种配置。糖尿病支持空腹血糖和餐后血糖以及足背动脉检查。</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血糖测试支持仪器带入，支持历史值显示及带入，空腹和餐后血糖值支持转换，二选一填写。</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设备采集</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支持一体机设备对接，对接后数据可自动带入诊前表单。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支持其他设备对接，设备对接后可确认批量带入诊前表单。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支持查看已经做过诊前表单各患者的历史记录。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评估筛查</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支持对患者健康问卷的信息采集，问卷评估，筛查等，可按需配置。</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采集历史</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记录每次诊前数据采集情况，可显示日期及对应身份信息，能够查询对应的记录。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点击单条记录显示该患者的采集历史记录详情。</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诊中管理</w:t>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★随访任务</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近期（前后t天，可配置）需要随访的待处理任务列表，随访列表页面显示患者信息包括姓名、签约标识、责任标识、高血压标识、糖尿病标识、慢阻肺、血脂异常标识等。</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患者列表</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显示患者列表清单：包括患者名字，相关标签，最近就诊时间，年龄、性别、异常值指标。按照刷卡时间倒序。</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患者列表可以根据标签筛选患者，包含（最近弹窗、我签约、我管理、未完善及自定义标签等）。</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多为患者刷卡支持患者切换，默认按刷卡时间倒序排序。</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患者搜索</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可在搜索区根据患者姓名进行搜索快速定位，支持模糊匹配。</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后台导航</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可通过图标点击进入管理后台。</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极简模式</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诊中面板点击最小化可触发极简模式，只展示患者的基本信息和档案标识。</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基本信息</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展示患者的基本信息，包含姓名、年龄，性别，最近就诊时间等。</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展示患者的专病管理等级，如高血压三级，糖尿病普通。展示定级时间和建议等级。</w:t>
            </w:r>
            <w:r/>
          </w:p>
        </w:tc>
      </w:tr>
      <w:tr>
        <w:trPr>
          <w:trHeight w:val="450"/>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展示患者的签约标签、责任医生标签。灰色展示有签约，但不是我的签约患者。高亮展示表示签约医生是我。责任医生同理。</w:t>
            </w:r>
            <w:r/>
          </w:p>
        </w:tc>
      </w:tr>
      <w:tr>
        <w:trPr>
          <w:trHeight w:val="277"/>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支持无签约医生的患者，提醒该患者去签约。</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支撑识别首诊患者无基档，可链接公卫建档页面，完成快捷建档。</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展示患者的慢病专档标签。灰色表示为专病人群，但公卫未建立专档；高亮表示已经建立专档。</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当体检时间临期时，展示上次体检时间提醒，点击知道了后该提醒隐藏。</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快速纳管建档</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支持对全新患者进行纳管，纳管后进入慢病管理系统。首诊无基档的患者，识别后支持跳转公卫界面。</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根据管理规则，如患者未在AI建档，支持自动抓取患者信息，完善患者档案</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诊间辅助</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支持医生查看患者诊前的基本信息，如未填可在此输入诊前信息。</w:t>
            </w:r>
            <w:r/>
          </w:p>
        </w:tc>
      </w:tr>
      <w:tr>
        <w:trPr>
          <w:trHeight w:val="277"/>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★检验检查</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根据高血压、糖尿病管理指南推荐，年度检验检查：高血压为16项，糖尿病为13项，高血压及糖尿病为18项</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查检查既往90天，当检查项有异常值时会显示警告标签。</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既往90天检查异常值前置，默认只显示3条，多余项目折叠，点击可展开。</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点击具体的项目可查看该项检验检查详细的历史记录。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未来检验检查按月-季-半年-年分类显示，默认只显示3条，多余项目折叠，点击可展开。</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点击具体的项目可查看详情，未来90天显示展开近一年的检查结果。</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评估疾病及合并症</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当患者数据通过区域平台汇集，慢病系统取到新的两慢病相关诊断时，诊中面板提醒医生确认。</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评估详情中展示患者新增诊断的时间、机构等信息。</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并发症评估支持是、否、不确定三个选项。</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并发症评估支持场景批量评估。</w:t>
            </w:r>
            <w:r/>
          </w:p>
        </w:tc>
      </w:tr>
      <w:tr>
        <w:trPr>
          <w:trHeight w:val="277"/>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诊中随访</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根据患者随访时间智能提醒随访，支持医生完成诊中随访表单的填写工作。</w:t>
            </w:r>
            <w:r/>
          </w:p>
        </w:tc>
      </w:tr>
      <w:tr>
        <w:trPr>
          <w:trHeight w:val="70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系统基于患者专档管理等级智能生成随访任务，高血压一级&amp;糖尿病普通：≥4次诊中；高血压二级：≥4次诊中+2次任意（总数≥6次）；高血压三级&amp;糖尿病强化：≥4次诊中+8次任意（总数≥12次）</w:t>
            </w:r>
            <w:r/>
          </w:p>
        </w:tc>
      </w:tr>
      <w:tr>
        <w:trPr>
          <w:trHeight w:val="277"/>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诊中面板的随访支持根据不同病种分别进入填写随访表单。</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★诊中面板随访表单样式根据随访周期时间不同分别展示。当未到随访周期时，置灰展示；当在随访周期内，黑色展示；当超过随访超期，红色展示并显示超期天数。</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诊中随访表单根据数据来源优先级逐级自动抓取并生成随访表单。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诊中随访表单根据数据来源可手动选择就诊记录、诊前采集记录来填充诊中表单。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诊中随访入口进入随访方式默认为门诊（诊间），可手动修改。</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支持系统推荐算法自动设定体重目标值、BMI目标值、腰围目标值、吸烟目标值、饮酒目标值等，可手动修改。</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随访表单填写页面，如未获取当日就诊记录提示用户。</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新增并发症的诊断自动带入诊中随访，并联动此次随访分类。</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用药情况支持手动新增、修改、删除用药记录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用药情况支持引用HIS用药记录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随访表单中是否转诊默认为否，当点击是时展示转诊信息和转诊回访的相关信息。</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支持其他设备对接，设备对接后可确认批量带入随访表单。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健康指导</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支持医生诊间管理中点击健康指导对患者进行健康教育并打印个人健康处方。</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根据患者的情况医生可推荐选择慢病系统知识库中的高血压、糖尿病相关文章，支持多选。</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患教文章根据疾病相关分类，便于医生快速找到相关文章。</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文章可根据未推送和已推送展示，未推送展示文章更新时间，已推送展示最近一次推送时间及推送次数。</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针对患者数据和画像出特有的个性化处方。</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新引入患者心血管健康管理分，展示当前的心血管健康分及上期的得分比较</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展示患者当前ASCVD风险。</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展示患者个性化四类主要健康问题：异常指标、异常体征、不健康生活方式、新增并发症。</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★指导建议针对患者的主要健康问题一一对应给予建议。</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预约下次复诊时间并展示要复查项目。</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扫码可查看医生勾选的科普文章。</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健康评估报告</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按照管理要求支持医生完成患者健康评估报告的打印。</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支持按季度和按年度打印评估报告。</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展示患者的基本信息，包含姓名、性别、身高、体重、BMI、腰围、腰臀比等，异常信息给予提醒。</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展示本周期和上周期的心血管健康分，并对对比给予个性化建议。</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展示本周期心血管健康分明细，包含健康八因素管理分详情。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展示患者心血管风险评估，并通过评估结果给于分析。</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展示患者本自然年（本季度）的血脂（低密度脂蛋白）趋势图。</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展示患者本自然年（本季度）的体重趋势图，最高值和最低值高亮展示。</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展示患者本自然年（本季度）的血压（收缩压、舒张压）趋势图。</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展示患者本自然年（本季度）的血糖（糖化血红蛋白、空腹血糖、餐后血糖）趋势图。</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指标趋势图的最高值和最低值高亮展示。鼠标悬浮和查看具体值。</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趋势图中的某项具体指标可点击显示或隐藏。</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每个指标趋势图根据结果给予分析和解读。</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展示患者个性化四类主要健康问题：异常指标、异常体征、不健康生活方式、新增并发症。</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针对异常指标、异常体征、不健康生活方式、新增并发症四类主要问题分别对应给予建议。</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★展示患者本年度所获得的服务小结，通过图示展示每月所做的随访、检验检查、体检等服务。</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展示本年度小结的文字总结，如就诊次数、随访次数、相关检验检查、新增并发症情况等。</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展示患者该自然年度（该季度）的用药记录。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通过责任医生口径，以给患者的一封信的形式展示对患者的本自然年的慢病管理情况做总结。</w:t>
            </w:r>
            <w:r/>
          </w:p>
        </w:tc>
      </w:tr>
      <w:tr>
        <w:trPr>
          <w:trHeight w:val="277"/>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★评估与辅助决策</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支持医生诊中辅助决策，展示系统自动计算的患者ascvd风险评估值。</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展示系统自动计算的患者高血压、糖尿病的疾病风险评估。</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根据目前患者的用药情况，根据指南推荐用药到大类的辅助决策。</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患者健康详情</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通过面板详情按钮进入患者详情页面，可查看患者详细信息。（患者基础信息、全生命周期管理流程、待办任务、慢病监测指标、管理路径等。）</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展示患者最近一年内的血压（收缩压、舒张压）趋势图。点击单指标可显示、隐藏。</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展示患者最近一年内的血糖（糖化血红蛋白、空腹血糖、餐后血糖）趋势图。点击单指标可显示、隐藏。</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展示患者最近一年内的血脂（低密度脂蛋白）趋势图。点击单指标可显示、隐藏。</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展示患者最近一年内的肝功能趋势图。点击单指标可显示、隐藏。</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展示患者最近一年内的肾功能趋势图。点击单指标可显示、隐藏。</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展示患者最近一年内的尿酸趋势图。点击单指标可显示、隐藏。</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展示患者最近一年内的同型半胱氨酸趋势图。点击单指标可显示、隐藏。</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可通过患者详情评估报告tab页展示评估报告模块。</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可通过患者详情患教推送tab页展示评估报告模块。</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接诊回顾</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支持医生在该页面查看今日所有刷卡就诊的患者列表。</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支持切换刷卡就诊日期查看当日所有刷卡就诊的患者列表。</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支持以患者姓名或身份号好搜索特定患者。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支持切换“我的”和“我及团队的”查看当日刷卡就诊的患者列表。</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支持切换“我的-接诊”、“我的-管理”、“我及团队的-接诊”、“我及团队的-管理”查看关联患者刷卡就诊列表和责任患者刷卡就诊列表。</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支持点击“更多”展开其他标签筛选项，筛选当日刷卡就诊的 已随访或已诊前的患者列表。</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支持点击任意一个患者，在右侧查看当天接诊为该患者填写的诊前采集。</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支持点击任意一个患者，在右侧查看该患者当天往前的所有就诊记录。</w:t>
            </w:r>
            <w:r/>
          </w:p>
        </w:tc>
      </w:tr>
      <w:tr>
        <w:trPr>
          <w:trHeight w:val="690"/>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任意一个患者，在右侧查看该患者既往90天内检验检查、未来90天内必做、可选的检验检查。既往90天内检验检查中血压、血糖、血脂点击可查看对应指标趋势图，涵盖历史所有数值。未来90天内可选的检验检查，点击可填写相关表单。</w:t>
            </w:r>
            <w:r/>
          </w:p>
        </w:tc>
      </w:tr>
      <w:tr>
        <w:trPr>
          <w:trHeight w:val="690"/>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任意一个患者，在右侧查看当天接诊为该患者填写的[随访日期]为当天的诊中随访记录。当天如果填写了多种疾病的随访，可点击[随访记录列表]进行切换查看。支持对应填写但未填写随访的在此处显示提示。</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支持点击任意一个患者，在右侧查看当天接诊为该患者打印的健康处方快照。</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支持点击任意一个患者，在右侧查看当天接诊为该患者打印的管理评估报告快照。</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诊后任务-异常待追溯</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支持多平台采集、匹配、识别并统计我及我团队的责任患者检验检查中的异常。</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支持医生在该页面查看近30天内检验检查有异常项待追溯的责任患者列表。</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支持责任医生、患者姓名等条件进行筛选异常待追溯列表。</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支持根据检验检查异常识别时间自动计算并展示完成期限日期，支持完成期限正序排列。</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支持点击“追踪”按钮，医生可进入详情抽屉查看患者检验检查的异常数据。</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详情抽屉展示患者的基本信息和近30天内未追溯的检验检查异常详情。</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支持根据系统所得到的患者全局数据，对每个患者的检验检查异常情况进行高度怀疑新增并发症的系统智能提醒。</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支持对每个患者的检验检查异常情况按照检验、检查进行分类展示。</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检验类的异常项统计展示异常条目数量，进行是否慢病相关的区分。慢病相关检验异常默认展开，其他检验异常默认折叠。</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检查类的异常项统计展示异常条目数量，默认展开查看异常明细项及具体结果。</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支持检验、检查项点击查看异常的完整原始报告单。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原始报告单中支持高亮展示异常指标。</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自动抓取最近一次His诊断内容，支持医生补充描述患者疾病情况。</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支持当医生判断该患者无需处理，点击“不处理”按钮，将该条待办任务完成。</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当医生点击“已处理”按钮，支持选择或填写对该患者的处理方式，保存完成此条待办任务相应完成。</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支持医生点击“转诊”按钮，跳出转诊单弹窗，转诊单填写完毕后此条待办任务相应完成。</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支持当医生认为此患者需要召回复查，可点击“推给医助”按钮，跳出推给医助的弹窗。</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支持医生选择通知模版或输入通知内容。</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支持医生选择服务医助，可设置为本人或其他医助。</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支持医助配置添加多人，可选择默认医助进行通知。</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支持在【异常值追溯】“已完成”tab下查看已追溯的详情、通知状态和通知结果。</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诊后任务-接诊待随访</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支持医生在该页面查看今日接诊且在随访周期内或已超期的待随访患者列表。</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支持以患者姓名/身份证号/手机号搜索特定患者。</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支持切换“最近就诊”和“我管理”tab查看刷卡接诊的关联患者待随访列表和责任患者待随访列表。</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支持点击“更多”展开其他标签筛选项，筛选待随访患者列表。</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支持同一个患者分疾病显示待随访任务。</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支持标识已超期的随访任务。</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支持点击任意一个患者待随访任务条目的“随访”按钮，在右侧填写对应疾病的随访表单。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支持随访表单自动一键抓取数据，填充符合规则的数据。</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诊后任务-待随访列表</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支持医生在该页面查看计划随访日期为今天的患者待随访列表。</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支持多条件筛选过滤，如计划日期、责任医生、疾病随访类型、患者标签等。支持以患者姓名或身份证号搜索特定患者。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支持取消计划日期时，列表按[计划日期]正序排列，展示所有责任患者的待随访列表。</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支持取消责任医生选择时，列表展示计划日期内我及我团队的所有患者待随访列表。</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支持点击“随访”按钮，跳转随访表单填写页面。</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支持随访表单自动一键抓取数据，填充符合规则的数据。</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支持已对接电话盒子的用户，点击“拨号”按钮，通过电话预约患者前来就诊或者完成电话随访。</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诊后任务-随访待同步</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支持医生在该页面查看随访表单尚未同步给公卫系统或同步失败的随访列表。</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支持多条件筛选过滤，如随访模版、随访类别、同步状态、随访方式、随访日期、责任医生、同步人员等。支持以患者姓名或身份证号搜索特定患者。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支持取消责任医生选择时，列表展示我及我团队的随访待同步列表。</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支持点击“查看”按钮，跳转随访表单详情页面，可查看可编辑可保存。</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支持点击“同步”按钮，一键同步随访表单至公卫，同步成功从当前列表消失，同步失败显示[同步状态]为：同步异常。</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诊后任务-待转诊</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支持医生在此页面查看系统触发生成的尚未处置的转诊记录。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支持对待转诊任务统计，并对各转诊原因进行分类统计。点击统计可对下方列表进行筛选。</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支持同系统内上下级转诊打通、信息及状态可实时查询。</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支持对接双向转诊系统，实现区域内上下级转诊打通、信息及状态可查询。</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支持公卫触发条件（即随访表单中新增或加重合并症、连续两次控制不满意、连续两次药物不良反应难以控制），系统自动生成待转诊记录。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支持危急值高血压危象触发生成待转诊记录。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支持危急值糖尿病急性并发症触发生成待转诊记录。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支持监测指标血压控制不佳生成待转诊记录。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支持监测指标血糖控制不佳生成待转诊记录。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支持监测指标血脂控制不佳生成待转诊记录。</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支持多条件筛选过滤，如转诊状态、转诊类型、转诊原因、转入医院、任务生产时间等。支持以患者姓名或身份证号搜索特定患者。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支持随访触发的待办点击查看随访来源详情，并高亮展示。</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支持指标异常的待办点击查看原因及详情。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点击“转诊”按钮，可查看患者的详情，包含就诊记录和转诊单详情。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转诊详情中可查看该条记录的历史操作记录。</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医生综合判断后患者情况暂时不需要转诊，点击“暂不处理”按钮，确定后此条待办任务相应完成。</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医生询问患者后，患者拒绝，点击“患者拒绝”按钮，填写拒绝原因后此条待办任务相应完成。</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医生结合患者实际情况，填写转诊单并点击“确定转诊”按钮，转诊成功后此条待办任务相应完成。</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诊后任务-待召回通知</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支持切换“异常值追溯”tab，查看本自然年内需要执行召回通知的检验检查异常患者列表。</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支持切换“随访超期”tab，查看计划随访日期为今天的患者待随访列表。</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支持切换“失管列表”tab，查看公卫有专档且状态正常，是我的责任患者，但是超过1年未到本机构就诊的患者列表。</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支持每个tab页面多条件筛选过滤，如任务下发日期、完成期限、通知状态、推送医助、责任医生等。支持以患者姓名或身份证号搜索特定患者。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支持点击“查看”按钮，医生/医助可进入详情抽屉查看患者检验检查的异常数据、推送通知内容。</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支持医助在通知患者后，选择“已通知”、“联系失败”、“患者拒绝”等模版快速填充通知结果，支持手动编辑通知结果。点击确认完成任务，系统支持自动同步通知状态给医生。</w:t>
            </w:r>
            <w:r/>
          </w:p>
        </w:tc>
      </w:tr>
      <w:tr>
        <w:trPr>
          <w:trHeight w:val="690"/>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支持手动拨号通知患者，点击“输入通知结果”按钮，选择“已通知”、“联系失败”、“患者拒绝”等模版快速填充通知结果，支持手动编辑通知结果。点击确认完成任务，系统支持自动同步通知状态给医生。</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患者管理</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注册人群</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注册人群代表已在AI系统内进行过注册的患者，医生可以查看到注册人群中我及我团队的责任患者和我及我团队接诊过的。</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注册方式分为手动注册和自动注册两种，手动注册为待管人群点击注册按钮进行注册，自动注册为系统根据区县要求对部分/全部待管人群进行批量自动注册。</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支持对注册人群按照疾病维度和是否已建专档维度进行统计。</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注册列表展示患者基本信息、确诊疾病、AI管理等级、AI专档状态、公卫管理等级、公卫专档状态等信息。</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待建专档的注册人群展示「建档」按钮，点击可以选择疾病建立AI专档。</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对已注册的患者，可以进行“不注册”操作，操作后进入“不注册”列表，并且支持再次注册。</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高血压人群</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高血压专档人群：公卫系统或AI系统内有高血压专档的患者。可以对患者进行不注册操作。</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糖尿病人群</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糖尿病专档人群：公卫系统或AI系统内有糖尿病专档的患者。可以对患者进行不注册操作。</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慢阻肺人群</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慢阻肺专档人群：AI系统内有慢阻肺专档的患者。可以对患者进行不注册操作。</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患者详情</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支持通过患者列表行按钮点击进入查看患者详情。</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展示患者全量的基本信息，包括姓名、年龄、性别、身高、体重、联系人、上次就诊时间、身份证号、联系地址、疾病标签等。</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展示高血压管理路径详情。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展示糖尿病管理路径详情。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展示患者历史的风险指标、理想目标值及临床意义。</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通过随访记录tab展示患者的随访情况，可进行随访管理操作。</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通过评估报告tab页展示患者的辅助决策报告和健康评估报告。</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通过健康教育tab页展示患者的健康患教详情。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通过物联设备tab对患者进行物理设备的绑定。</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通过家庭监测设备tab对患者进行家庭监测。</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随访管理</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★待随访</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支持显示待随访的管理列表，根据默认计划时间过滤，可查看当前时间段的有哪些需要做随访的待办任务。</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默认计划时间为当前日期的前T（10）天，后T（10）天。</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支持根据不同病种随访模版过滤。</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支持高血压、糖尿病的两周回访模块，列表中高亮显示。</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点击随访进入随访表单填写，支持诊间、电话、家庭、其他等。取到当日就诊记录的，默认为诊间，未取到的默认为电话。支持手动修改。</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待同步</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列表展示填写完成，但尚未同步到公卫系统的随访表单。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通过列表同步按钮，可以将随访表单同步到公卫系统。（系统对接调通）</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可以将不需要同步的随访表单移入「废纸篓」，移入「废纸篓」的随访表单支持恢复。</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已随访</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填写完保存的随访表单，通过已随访页面可查询。</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支持已随访的列表根据条件筛选，包含随访时间（规则同前10后10）、随访模版、同步人员、同步状态等。</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通过列表行按钮可以查看或编辑随访表单。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通过列表同步按钮，可以将随访表单同步到公卫系统。</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同步异常状态的随访可重新同步。</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智能预警</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物联设备</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支持家庭5G血压计绑定和数据传输。</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支持家庭5G血糖仪绑定和数据传输。</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通过物理设备列表页，查看设备的整体情况，支持条件筛选。</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家庭监测设备</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设备出现危险值时，系统进行预警。</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可对5G设备的监测频率进行设置，如每日两次、每日一次、两日一次等。</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当5G设备连续N天（可自行调整）时，改变监测频率策略。</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可对血压仪的提醒规则进行调整，默认为收缩压&gt;=130或&lt;90mmHg，舒张压&gt;=80或&lt;60mmHg。</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可对血糖仪的提醒规则进行调整，默认为空腹血糖&gt;=7.2mmol/L或&lt;5.0mmol/L。</w:t>
            </w:r>
            <w:r/>
          </w:p>
        </w:tc>
      </w:tr>
      <w:tr>
        <w:trPr>
          <w:trHeight w:val="465"/>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转诊管理</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转诊列表</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支持公卫触发条件（即随访表单中药物不良反应、连续两次控制不满意、合并症加重），系统自动生成待转诊记录。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支持危急值高血压危象触发生成待转诊记录。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支持危急值糖尿病急性并发症触发生成待转诊记录。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支持监测指标血压控制不佳生成待转诊记录。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支持监测指标血糖控制不佳生成待转诊记录。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支持监测指标血脂控制不佳生成待转诊记录。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支持个性化条件筛选所有转诊记录。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支持随访触发的待办点击查看随访来源详情，并高亮展示。</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支持指标异常的待办点击查看原因及详情。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点击可查看患者的详情，包含就诊记录和转诊单详情。</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转诊详情中可查看该条记录的历史操作记录。</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支持同系统内上下级转诊打通、信息及状态可实时查询。</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如上级医院未配置上级医院模板，支持下级医院转出为完成的小闭环。</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新增转诊</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支持医生自主发起转诊，填写新增转诊单，可选择医院、科室和预约时间。</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转诊单中医院支持模糊搜索，若无医院名称可手动新增。</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支持体检异常人群来源的转诊和五色异常的转诊原因进行转诊。</w:t>
            </w:r>
            <w:r/>
          </w:p>
        </w:tc>
      </w:tr>
      <w:tr>
        <w:trPr>
          <w:trHeight w:val="277"/>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★转诊操作</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医生综合判断后患者情况暂时不需要转诊，可进行暂不处理操作。</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医生可在转诊操作中，可选择患者拒绝来完成待转诊状态。</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医生可通过转诊按钮查看患者详情，通过确认转诊完成转诊操作。</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其他配置</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标签管理</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通过个性化标签，可对患者进行个性化分类管理</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支持疾病标签、患者标签、分类标签、自定义标签等。</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自动登录</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可以根据HIS系统登入自动登入AI系统</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系统登录</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用户登录</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支持用户通过账号密码登录AI慢病助手系统。</w:t>
            </w:r>
            <w:r/>
          </w:p>
        </w:tc>
      </w:tr>
      <w:tr>
        <w:trPr>
          <w:trHeight w:val="292"/>
        </w:trPr>
        <w:tc>
          <w:tcPr>
            <w:tcW w:w="485" w:type="pct"/>
            <w:vAlign w:val="center"/>
            <w:vMerge w:val="continue"/>
            <w:textDirection w:val="lrTb"/>
            <w:noWrap w:val="false"/>
          </w:tcPr>
          <w:p>
            <w:pP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AI机器人图标支持：随访任务数量、无随访任务、网络异常三种状态。</w:t>
            </w:r>
            <w:r/>
          </w:p>
        </w:tc>
      </w:tr>
      <w:tr>
        <w:trPr>
          <w:trHeight w:val="465"/>
        </w:trPr>
        <w:tc>
          <w:tcPr>
            <w:tcW w:w="485" w:type="pct"/>
            <w:vAlign w:val="center"/>
            <w:vMerge w:val="restart"/>
            <w:textDirection w:val="lrTb"/>
            <w:noWrap w:val="false"/>
          </w:tcPr>
          <w:p>
            <w:pPr>
              <w:jc w:val="center"/>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市级健康型医院数据治理中心</w:t>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基线数据汇集系统</w:t>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全生命周期数据仓模块</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按慢病管理全生命周期管理要求，卫生经济学评价体系，可视化智能报表系统要求，对业务数据进行有效存储</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公卫数据（健康档案）汇集数据仓模块</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电子健康档案/签约服务/老年人体检等系统完成对接，实现“业务流”与“数据流”整合</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医疗数据（HIS、LIS、PASS等）汇集数据仓模块</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HIS系统内医疗数据的汇集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慢病人群健康行为数据仓模块</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根据患者慢病状态，提供个性化健康促进方案，供家庭医生进行即时干预决策</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慢病人群患者标签数据仓模块</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给患者定义标签规则，动态分析统计患者状态</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设备数据采集数据仓模块</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即时的检验检测数据采集汇集存储模块，实现诊前、诊中、诊后服务</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AI慢病管理路径节点数据仓模块</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执行医防融合多个节点的关键数据执行情况进行采集，如：医生、护士工作量采集，打印健康处方等医防融合节点数据采集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数据治理/质控系统</w:t>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数据来源资料抽取</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向院方申请数据源，确认数据源访问方式</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数据源连通性测试</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对来源数据库或来源数据接口连通性及性能进行测试</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分析数据可用性</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对来源数据可用性进行分析</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分析数据规模</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对来源数据规模进行分析，预估数据处理工作量及时间</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分析数据结构</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对来源数据结构进行分析，确认按要求提供所有数据项</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制定数据抽取方案</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根据数据源类型、数据规模制定数据抽取方案</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来源参数配置</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设置来源数据参数</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元数据配置</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根据来源数据，对元数据进行配置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数据抽取任务配置</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配置数据抽取任务，设定数据抽取时间、频率等参数</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任务监控</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对数据抽取任务进行监控</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性能监控</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对数据抽取任务性能进行监控</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方案优化</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根据对数据抽取任务的监控，对数据抽取方案进行优化</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数据校验</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对抽取后的数据进行校验，确认数据是否有异常</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数据完整性分析</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对抽取后的数据完整性进行分析</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制定数据清洗方案</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对抽取后的数据进行分析，并制定数据清洗方案</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数据筛选</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根据对数据分析的结果，制定数据筛选条件</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数据清洗</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对数据进行清洗处理，包括去重、检查数据一致性，处理无效值和缺失值等。</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数据集成</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对数据进行整理集成</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数据存储</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将集成后的数据进行存储</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数据质量评估</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对数据质量进行评估</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制定数据治理方案</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根据数据评估结果制定数据治理方案</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数据治理监控</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对数据治理过程进行监控，并记录问题</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数据治理参数调优</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对数据治理参数进行调整、优化</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数据建模分析输出系统</w:t>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选择算法模型</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根据数据分析结果，选择计算模型</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数据运算</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对数据进行运算处理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运行监控</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对数据运算过程进行监控，并记录监控日志</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验证计算和存储</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保存计算结果，并进行验证和存储</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制定数据输出方案</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根据应用场景，制定数据输出方案</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测试数据输出接口</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测试数据输出接口稳定性及性能</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数据输出方案优化</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对数据输出方案进行调整及优化</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数据输出监控</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对数据输出情况进行监控，并记录问题</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数据输出权限管理</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对数据输出接口权限进行管理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制定数据安全管理方案</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制定数据安全管理方案</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安全抽取</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根据数据安全管理方案进行数据抽取</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安全存储</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根据数据安全管理方案进行数据存储</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安全计算</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根据数据安全管理方案对数据进行计算</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安全输出</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根据数据安全管理方案管理数据输出</w:t>
            </w:r>
            <w:r/>
          </w:p>
        </w:tc>
      </w:tr>
      <w:tr>
        <w:trPr>
          <w:trHeight w:val="277"/>
        </w:trPr>
        <w:tc>
          <w:tcPr>
            <w:tcW w:w="485" w:type="pct"/>
            <w:vAlign w:val="center"/>
            <w:vMerge w:val="restart"/>
            <w:textDirection w:val="lrTb"/>
            <w:noWrap w:val="false"/>
          </w:tcPr>
          <w:p>
            <w:pPr>
              <w:jc w:val="center"/>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广陵区医防融合数据监管治理系统</w:t>
            </w:r>
            <w:r/>
          </w:p>
        </w:tc>
        <w:tc>
          <w:tcPr>
            <w:tcW w:w="609"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数据大屏</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时间区域切换</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可根据月、季、年切换数据大屏时间维度，全屏数据联动。</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月可通过组件选择月份，数据时间显示该月1日到月底的数据。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季可通过组件选择季度，数据时间显示该季1日到季底的数据。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年可通过组件选择年度，数据时间显示该年1日到年底的数据。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w:t>
            </w:r>
            <w:r>
              <w:rPr>
                <w:rStyle w:val="927"/>
                <w:rFonts w:hint="default" w:ascii="宋体" w:hAnsi="宋体" w:eastAsia="宋体" w:cs="宋体"/>
                <w:color w:val="000000" w:themeColor="text1"/>
                <w:sz w:val="21"/>
                <w:szCs w:val="21"/>
                <w:lang w:bidi="ar"/>
                <w14:textFill>
                  <w14:solidFill>
                    <w14:schemeClr w14:val="tx1"/>
                  </w14:solidFill>
                </w14:textFill>
              </w:rPr>
              <w:t xml:space="preserve">心血管健康</w:t>
            </w:r>
            <w:r>
              <w:rPr>
                <w:rFonts w:hint="eastAsia" w:ascii="宋体" w:hAnsi="宋体" w:cs="宋体"/>
                <w:color w:val="000000" w:themeColor="text1"/>
                <w:lang w:bidi="ar"/>
                <w14:textFill>
                  <w14:solidFill>
                    <w14:schemeClr w14:val="tx1"/>
                  </w14:solidFill>
                </w14:textFill>
              </w:rPr>
              <w:t xml:space="preserve">分</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显示该区域患者</w:t>
            </w:r>
            <w:r>
              <w:rPr>
                <w:rStyle w:val="927"/>
                <w:rFonts w:hint="default" w:ascii="宋体" w:hAnsi="宋体" w:eastAsia="宋体" w:cs="宋体"/>
                <w:color w:val="000000" w:themeColor="text1"/>
                <w:sz w:val="21"/>
                <w:szCs w:val="21"/>
                <w:lang w:bidi="ar"/>
                <w14:textFill>
                  <w14:solidFill>
                    <w14:schemeClr w14:val="tx1"/>
                  </w14:solidFill>
                </w14:textFill>
              </w:rPr>
              <w:t xml:space="preserve">心血管健康</w:t>
            </w:r>
            <w:r>
              <w:rPr>
                <w:rFonts w:hint="eastAsia" w:ascii="宋体" w:hAnsi="宋体" w:cs="宋体"/>
                <w:color w:val="000000" w:themeColor="text1"/>
                <w:lang w:bidi="ar"/>
                <w14:textFill>
                  <w14:solidFill>
                    <w14:schemeClr w14:val="tx1"/>
                  </w14:solidFill>
                </w14:textFill>
              </w:rPr>
              <w:t xml:space="preserve">每项的平均分，并用蛛网图展示8个维度。</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患者人口构成</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显示该区域患者的性别，年龄组成的数量及百分比。</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患者疾病分布</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显示该区域高血压、糖尿病、高血压及糖尿病的患者人数及百分比。</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★并发症分布</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显示该区域两慢患者并发症的发生率（有并发症的人数 /纳管人数）</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显示该区域两慢患者并发症的新发率（本期有并发症人数/上期有并发症的人数-1）</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显示该区域两慢患者各并发症的人数分布</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管理等级分布</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显示该区域管理的各管理等级的高血压人数、百分比</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显示该区域管理的各管理等级的糖尿病人数、百分比</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达标率</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显示该区域AI系统中高血压规范管理率</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显示该区域AI系统中高血压控制率</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显示该区域AI系统中糖尿病规范管理率</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显示该区域AI系统中糖尿病控制率</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管理指数</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时间区域切换</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可根据月、季、年切换数据大屏时间维度，全屏数据联动。</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可通过组件选择月份，数据时间显示该月1日到月底的数据。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季可通过组件选择季度，数据时间显示该季1日到季底的数据。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年可通过组件选择年度，数据时间显示该年1日到年底的数据。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支持管理指数的同比和环比切换。</w:t>
            </w:r>
            <w:r/>
          </w:p>
        </w:tc>
      </w:tr>
      <w:tr>
        <w:trPr>
          <w:trHeight w:val="277"/>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管理指数及趋势</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显示该区域管理指数的本期分数，上期比较分数，点击分数可查看各机构管理指数排名。</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显示该区域管理过程的本期分数，上期比较分数，点击分数可查看各机构管理过程排名。</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显示该区域管理结果的本期分数，上期比较分数，点击分数可查看各机构管理结果排名。</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显示该区域管理指数、管理过程、管理结果的本期趋势和上期趋势图，可点击切换。</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★管理过程得分</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可通过模式切换展示不同模式的路径化过程节点明细。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显示该区域路径每个节点的管理过程得分率、满分值、实际得分，得分率低于60%的橙色显示。</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点击管理过程中的详情，可查看该区域各个机构的管理过程分及各个过程节点的得分。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点击管理过程中的导出，可导出该区域各个机构的管理过程分及各个过程节点的得分。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点击单个节点的实际得分，可查看该节点各个机构的排名详情、完成率等数据。</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管理过程详情页</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按管理过程得分或单个节点（单个节点页面）查看该区域各个机构的管理过程分及各个过程节点的得分。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将各节点得分偏低模块（&lt;60%）单独展示在页面上方。</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支持通过按钮切换仅展示得分偏低模块。</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列表各字段支持单独顺序、倒序。</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列表各字段可自定义个性化条件进行筛选。</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自定义筛选方案可保存，并应用为默认视图。</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★管理结果得分</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显示该区域路径每个节点的管理过程得分率、满分值、实际得分，得分率低于60%的橙色显示。</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点击管理结果中的详情，可查看该区域各个机构的管理结果分及各个中间指标和成果指标的得分。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点击管理结果中的导出，可导出该区域各个机构的管理结果分及各个中间指标和成果指标的得分。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点击单个节点的实际得分，可查看该指标各个机构的排名详情数据。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管理结果详情页</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按管理结果得分或单个结果（单个节点页面）查看该区域各个机构的管理结果分。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将各节点得分偏低模块（&lt;60%）单独展示在页面上方。</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支持通过按钮切换仅展示得分偏低模块。</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管理指数-机构排名</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显示该区域内各机构的管理指数排名，前三名展示金、银、铜样式，并可选择正序和倒序。</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点击详情可查看该区域内各个机构的管理指数、管理过程、管理结果等排名及分数。</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点击导出可导出该区域内各个机构的管理指数、管理过程、管理结果等排名及分数。</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可点击切换展示管理指数、管理过程、管理结果的排名。</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点击单个机构可进入管理指数、管理过程、管理结果的详情。</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管理指数-医生排名</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显示该区域内各医生的管理指数排名，默认展示前十名，前三名展示金、银、铜样式，并可选择正序和倒序。</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点击详情可查看该区域内各个医生的管理指数、管理过程、管理结果、</w:t>
            </w:r>
            <w:r>
              <w:rPr>
                <w:rStyle w:val="927"/>
                <w:rFonts w:hint="default" w:ascii="宋体" w:hAnsi="宋体" w:eastAsia="宋体" w:cs="宋体"/>
                <w:color w:val="000000" w:themeColor="text1"/>
                <w:sz w:val="21"/>
                <w:szCs w:val="21"/>
                <w:lang w:bidi="ar"/>
                <w14:textFill>
                  <w14:solidFill>
                    <w14:schemeClr w14:val="tx1"/>
                  </w14:solidFill>
                </w14:textFill>
              </w:rPr>
              <w:t xml:space="preserve">心血管健康</w:t>
            </w:r>
            <w:r>
              <w:rPr>
                <w:rFonts w:hint="eastAsia" w:ascii="宋体" w:hAnsi="宋体" w:cs="宋体"/>
                <w:color w:val="000000" w:themeColor="text1"/>
                <w:lang w:bidi="ar"/>
                <w14:textFill>
                  <w14:solidFill>
                    <w14:schemeClr w14:val="tx1"/>
                  </w14:solidFill>
                </w14:textFill>
              </w:rPr>
              <w:t xml:space="preserve">分等排名及分数。</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点击导出可导出该区域内各个机构的管理指数、管理过程、管理结果、</w:t>
            </w:r>
            <w:r>
              <w:rPr>
                <w:rStyle w:val="927"/>
                <w:rFonts w:hint="default" w:ascii="宋体" w:hAnsi="宋体" w:eastAsia="宋体" w:cs="宋体"/>
                <w:color w:val="000000" w:themeColor="text1"/>
                <w:sz w:val="21"/>
                <w:szCs w:val="21"/>
                <w:lang w:bidi="ar"/>
                <w14:textFill>
                  <w14:solidFill>
                    <w14:schemeClr w14:val="tx1"/>
                  </w14:solidFill>
                </w14:textFill>
              </w:rPr>
              <w:t xml:space="preserve">心血管健康</w:t>
            </w:r>
            <w:r>
              <w:rPr>
                <w:rFonts w:hint="eastAsia" w:ascii="宋体" w:hAnsi="宋体" w:cs="宋体"/>
                <w:color w:val="000000" w:themeColor="text1"/>
                <w:lang w:bidi="ar"/>
                <w14:textFill>
                  <w14:solidFill>
                    <w14:schemeClr w14:val="tx1"/>
                  </w14:solidFill>
                </w14:textFill>
              </w:rPr>
              <w:t xml:space="preserve">分等排名及分数。</w:t>
            </w:r>
            <w:r/>
          </w:p>
        </w:tc>
      </w:tr>
      <w:tr>
        <w:trPr>
          <w:trHeight w:val="90"/>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可点击切换展示管理指数、管理过程、管理结果的排名。</w:t>
            </w:r>
            <w:r/>
          </w:p>
        </w:tc>
      </w:tr>
      <w:tr>
        <w:trPr>
          <w:trHeight w:val="417"/>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两慢病人群</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时间区域及机构切换</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可根据月、季、年切换数据大屏时间维度，全屏数据联动。</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可通过组件选择月份，数据时间显示该月1日到月底的数据。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季可通过组件选择季度，数据时间显示该季1日到季底的数据。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年可通过组件选择年度，数据时间显示该年1日到年底的数据。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可点击服务中心选择单个服务中心，页面数据根据选择组织联动变化，默认为空，展示全区数据。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★规范管理率</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显示选择组织的（空为全区）高血压公卫规范管理率本期数据、上期数据、变化值。</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显示选择组织的高血压AI规范管理率本期数据、上期数据、变化值。</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显示选择组织的糖尿病公卫规范管理率本期数据、上期数据、变化值。</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显示选择组织的糖尿病AI规范管理率本期数据、上期数据、变化值。</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★控制率</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显示选择组织的高血压公卫控制率本期数据、上期数据、变化值。</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显示选择组织的高血压AI控制率本期数据、上期数据、变化值。</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显示选择组织的糖尿病公卫控制率本期数据、上期数据、变化值。</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显示选择组织的糖尿病AI控制率本期数据、上期数据、变化值。</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变化趋势分析</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显示规范管理率公卫与AI系统的趋势对比图</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显示控制率公卫与AI系统的趋势对比图</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数据来源</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显示规范管理率公卫系统和AI系统的数据来源分析</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显示控制率公卫系统和AI系统的数据来源分析</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管理等级分布</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显示该组织管理的各管理等级的高血压人数、百分比</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显示该组织管理的各管理等级的糖尿病人数、百分比</w:t>
            </w:r>
            <w:r/>
          </w:p>
        </w:tc>
      </w:tr>
      <w:tr>
        <w:trPr>
          <w:trHeight w:val="277"/>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两慢病管理签约</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显示该组织纳管患者的签约数、目标签约数、已签约进度。</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显示该组织高血压纳管患者的签约数、目标签约数、已签约进度。</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显示该组织糖尿病纳管患者的签约数、目标签约数、已签约进度。</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两慢病随访情况</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显示该组织高血压随访人次的本期值、上期值、变化数</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显示该组织高血压平均随访完成率本期值、上期值、变化数</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显示该组织糖尿病随访人次的本期值、上期值、变化数</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显示该组织高血压平均随访完成率本期值、上期值、变化数</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患者总数</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显示该组织管理的高血压、糖尿病、高血压合并糖尿病人数、百分比</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并发症分布</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显示该组织纳管人群的并发症发生率</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显示该组织纳管人群的并发症新发率</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显示该组织纳管人群的每个并发症人次数</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显示该组织纳管人群的每个并发症人次数占比及分布</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ASVCD风险等级</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显示该组织纳管人群的ascvd风险等级人数、百分比</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疾病风险分层</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显示该组织纳管人群的疾病风险等级人数、百分比，可切换高血压和糖尿病</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生活方式危险因素</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显示该组织纳管人群有生活方式危险因素的人数占比本期值、上期值，变化率。</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两慢患者数据</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时间区域及机构切换</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可根据月、季、年切换数据大屏时间维度，全屏数据联动。</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可通过组件选择月份，数据时间显示该月1日到月底的数据。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季可通过组件选择季度，数据时间显示该季1日到季底的数据。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年可通过组件选择年度，数据时间显示该年1日到年底的数据。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可点击服务中心选择单个服务中心，页面数据根据选择组织联动变化，默认为空，展示全区数据。</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就诊情况</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显示该组织纳管人数、新纳管人数、基层就诊率、就诊人数、人均就诊次数、人均就诊频率、等级医院就诊率</w:t>
            </w:r>
            <w:r/>
          </w:p>
        </w:tc>
      </w:tr>
      <w:tr>
        <w:trPr>
          <w:trHeight w:val="277"/>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★患者心血管健康分及趋势</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显示该组织的患者的</w:t>
            </w:r>
            <w:r>
              <w:rPr>
                <w:rStyle w:val="927"/>
                <w:rFonts w:hint="default" w:ascii="宋体" w:hAnsi="宋体" w:eastAsia="宋体" w:cs="宋体"/>
                <w:color w:val="000000" w:themeColor="text1"/>
                <w:sz w:val="21"/>
                <w:szCs w:val="21"/>
                <w:lang w:bidi="ar"/>
                <w14:textFill>
                  <w14:solidFill>
                    <w14:schemeClr w14:val="tx1"/>
                  </w14:solidFill>
                </w14:textFill>
              </w:rPr>
              <w:t xml:space="preserve">心血管健康</w:t>
            </w:r>
            <w:r>
              <w:rPr>
                <w:rFonts w:hint="eastAsia" w:ascii="宋体" w:hAnsi="宋体" w:cs="宋体"/>
                <w:color w:val="000000" w:themeColor="text1"/>
                <w:lang w:bidi="ar"/>
                <w14:textFill>
                  <w14:solidFill>
                    <w14:schemeClr w14:val="tx1"/>
                  </w14:solidFill>
                </w14:textFill>
              </w:rPr>
              <w:t xml:space="preserve">分的本期值及上期值，通过八因素雷达图展示。</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显示该组织的患者的</w:t>
            </w:r>
            <w:r>
              <w:rPr>
                <w:rStyle w:val="927"/>
                <w:rFonts w:hint="default" w:ascii="宋体" w:hAnsi="宋体" w:eastAsia="宋体" w:cs="宋体"/>
                <w:color w:val="000000" w:themeColor="text1"/>
                <w:sz w:val="21"/>
                <w:szCs w:val="21"/>
                <w:lang w:bidi="ar"/>
                <w14:textFill>
                  <w14:solidFill>
                    <w14:schemeClr w14:val="tx1"/>
                  </w14:solidFill>
                </w14:textFill>
              </w:rPr>
              <w:t xml:space="preserve">心血管健康</w:t>
            </w:r>
            <w:r>
              <w:rPr>
                <w:rFonts w:hint="eastAsia" w:ascii="宋体" w:hAnsi="宋体" w:cs="宋体"/>
                <w:color w:val="000000" w:themeColor="text1"/>
                <w:lang w:bidi="ar"/>
                <w14:textFill>
                  <w14:solidFill>
                    <w14:schemeClr w14:val="tx1"/>
                  </w14:solidFill>
                </w14:textFill>
              </w:rPr>
              <w:t xml:space="preserve">分每项的管理分的本期值、上期值、趋势图。</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点击可切换显示不同患者人群，显示</w:t>
            </w:r>
            <w:r>
              <w:rPr>
                <w:rStyle w:val="927"/>
                <w:rFonts w:hint="default" w:ascii="宋体" w:hAnsi="宋体" w:eastAsia="宋体" w:cs="宋体"/>
                <w:color w:val="000000" w:themeColor="text1"/>
                <w:sz w:val="21"/>
                <w:szCs w:val="21"/>
                <w:lang w:bidi="ar"/>
                <w14:textFill>
                  <w14:solidFill>
                    <w14:schemeClr w14:val="tx1"/>
                  </w14:solidFill>
                </w14:textFill>
              </w:rPr>
              <w:t xml:space="preserve">心血管健康分</w:t>
            </w:r>
            <w:r>
              <w:rPr>
                <w:rFonts w:hint="eastAsia" w:ascii="宋体" w:hAnsi="宋体" w:cs="宋体"/>
                <w:color w:val="000000" w:themeColor="text1"/>
                <w:lang w:bidi="ar"/>
                <w14:textFill>
                  <w14:solidFill>
                    <w14:schemeClr w14:val="tx1"/>
                  </w14:solidFill>
                </w14:textFill>
              </w:rPr>
              <w:t xml:space="preserve">中每项的管理分的本期值、上期值、趋势图。</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显示该组织的患者的主</w:t>
            </w:r>
            <w:r>
              <w:rPr>
                <w:rStyle w:val="927"/>
                <w:rFonts w:hint="default" w:ascii="宋体" w:hAnsi="宋体" w:eastAsia="宋体" w:cs="宋体"/>
                <w:color w:val="000000" w:themeColor="text1"/>
                <w:sz w:val="21"/>
                <w:szCs w:val="21"/>
                <w:lang w:bidi="ar"/>
                <w14:textFill>
                  <w14:solidFill>
                    <w14:schemeClr w14:val="tx1"/>
                  </w14:solidFill>
                </w14:textFill>
              </w:rPr>
              <w:t xml:space="preserve">心血管健康</w:t>
            </w:r>
            <w:r>
              <w:rPr>
                <w:rFonts w:hint="eastAsia" w:ascii="宋体" w:hAnsi="宋体" w:cs="宋体"/>
                <w:color w:val="000000" w:themeColor="text1"/>
                <w:lang w:bidi="ar"/>
                <w14:textFill>
                  <w14:solidFill>
                    <w14:schemeClr w14:val="tx1"/>
                  </w14:solidFill>
                </w14:textFill>
              </w:rPr>
              <w:t xml:space="preserve">分的管理分的本期趋势图、上期趋势图。</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患者心血管健康分-机构排名</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展示该区各机构的患者管理分排名及每项分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点击更多查看各机构的患者管理分排名及每项分，支持导出。</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患者心血管健康分-医生排名</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展示该区（该机构中心）各医生的患者管理分排名及每项分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点击更多查看各医生的患者管理分排名及每项分，支持导出。</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患者人口结构</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显示该区域患者的性别，年龄组成的数量及百分比。</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患者分布</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显示该区域高血压、糖尿病、高血压及糖尿病的患者人数及百分比。</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服药依从性</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显示该区域纳管患者服药依从性的人数分布及百分比。</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业务统计</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时间区域切换</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可根据月、季、年切换数据大屏时间维度，全屏数据联动。</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可通过组件选择月份，数据时间显示该月1日到月底的数据。</w:t>
            </w:r>
            <w:r/>
          </w:p>
        </w:tc>
      </w:tr>
      <w:tr>
        <w:trPr>
          <w:trHeight w:val="277"/>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★路径节点执行情况</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展示该区域总体各节点任务量的完成率、应完成数、已完成数、未完成数</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展示该区域总体各节点工作量的全部数、有效数、无效数。</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可通过模式切换展示不同模式的路径化过程节点明细。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点击详情可查看各机构路径节点的排名，包含任务量和工作量的明细。</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详情页支持服务中心和医生的过滤筛选。</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详情页支持历史数据的快照查看模式。</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详情页支持详细数据导出。</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点击任务量单个节点，可查看单个节点的任务量详情。</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点击工作量单个节点，可查看单个节点的工作量详情。</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检验检查</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展示该区域两慢路径中检验检查的完成率、完成数及排名。</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点击详情可查看各责任医生下全部患者的两慢病检验检查详情，包含已完成、未完成，支持导出。</w:t>
            </w:r>
            <w:r/>
          </w:p>
        </w:tc>
      </w:tr>
      <w:tr>
        <w:trPr>
          <w:trHeight w:val="292"/>
        </w:trPr>
        <w:tc>
          <w:tcPr>
            <w:tcW w:w="485"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健康管理型医院一体化助手系统</w:t>
            </w:r>
            <w:r/>
          </w:p>
        </w:tc>
        <w:tc>
          <w:tcPr>
            <w:tcW w:w="609"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系统登录</w:t>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用户登录</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支持用户通过账号密码登录</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诊前采集</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叫号列表</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支持按科室筛选挂号患者。</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展示患者列表(含姓名、纳管标签、慢病标签、转诊标签、挂号信息等)。按挂号时间倒序排列。</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支持查看本次就诊推荐做的检验检查数量。</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支持点击任意患者，将患者的身份证号填充进入左侧表单。</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患者信息识别</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支持身份证号输入/刷卡识别患者，自动显示患者基本信息（姓名、性别、年龄、纳管状态、慢病情况、ASCVD风险分级、在管疾病等）。</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本院纳管：橙色“管”字标签。本人纳管：紫色“管”字标签。未纳管：不显示“管”字标签。</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慢病情况：采集到患者既往疾病诊断符合36种慢病中任意一种就显示。</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ASCVD风险分级：系统参考2023版血脂指南及2024版社区血脂共识自动评估 患者心血管风险分层：低危、中危、高危、极高危。</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在管疾病：本院纳管了该患者的所患的疾病。</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表单填写</w:t>
            </w:r>
            <w:r/>
          </w:p>
        </w:tc>
        <w:tc>
          <w:tcPr>
            <w:tcW w:w="2903" w:type="pct"/>
            <w:vAlign w:val="center"/>
            <w:textDirection w:val="lrTb"/>
            <w:noWrap/>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就诊科室默认带出HIS挂号科室</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体征数据采集包括：收缩压、舒张压、心率、体重、身高、BMI、腰围、体温。</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支持对接设备后自动采集填充。</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支持手动输入。</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支持对数据进行规则校验。</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在输入框右侧显示上次非今日的诊前数值。</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吸烟状况问询：吸烟/从未吸烟/已戒烟。</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根据选项动态显示日吸烟量或戒烟年数。</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吸烟状况支持默认选中上次选项。</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日吸烟量自动填充上次诊前数值，可修改。</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戒烟年数自动填充上次诊前数值，可修改。</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系统自动对数据进行规则校验</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诊前历史</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支持按姓名或身份证号搜索特定患者诊前填写记录。</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展示当前账号为患者填写的所有历史记录。按操作时间倒序排列。</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支持折叠/展开同一天同一个患者的多次诊前填写记录。每一次都显示操作时间和操作人。</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支持按角色（医生/护士）权限看不同的患者诊前填写历史。护士可查看当前账号为患者填写的所有历史记录。医生可查看就诊科室为本科室的所有诊前填写记录。</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设备采集</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支持对接不同设备厂商及型号的设备。</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支持绑定多种医疗设备（血压计、血糖仪、身高体重秤等）。</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支持解除绑定设备。</w:t>
            </w:r>
            <w:r/>
          </w:p>
        </w:tc>
      </w:tr>
      <w:tr>
        <w:trPr>
          <w:trHeight w:val="473"/>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展示设备列表。已绑定的设备显示设备类型、设备编号。未绑定的设备显示“去绑定设备”入口，点击可在弹窗中填写设备厂商和设备编号，填写成功后完成设备绑定。</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支持开关控制设备自动读取数据。</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提供自动读取、手动读取两种种设备采集数据方式。</w:t>
            </w:r>
            <w:r/>
          </w:p>
        </w:tc>
      </w:tr>
      <w:tr>
        <w:trPr>
          <w:trHeight w:val="473"/>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自动读取：打开自动读取后，设备绑定且患者在设备处完成测量后，系统实时监测设备数据，自动同步之设备模块，点击“填充数据”完成采集。</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手动读取：关闭自动读取后，可点击对应设备下的“读取”按钮，手动触发数据获取。</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支持展示不同设备采集的不同数据。</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血压计：收缩压、舒张压、心率。</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血糖仪：空腹血糖。支持切换成空腹血糖。</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身高体重秤：身高、体重。</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支持一键将设备数据填充进左侧表单。支持点击“清空数据”，清空系统读取到的设备数据。</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待管患者</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本院患者列表</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系统自动计算并从全院就诊/住院过的患者中筛选出患有本科室关注的重点疾病的患者列表，医生可从中挑选重点患者进行纳管。</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重点疾病包含：高血压、糖尿病、慢阻肺、冠心病、脑卒中、慢性肾病等常见慢性病。</w:t>
            </w:r>
            <w:r/>
          </w:p>
        </w:tc>
      </w:tr>
      <w:tr>
        <w:trPr>
          <w:trHeight w:val="690"/>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展示患者最近在本院的就诊时间、就诊类型、就诊科室、本次诊断、患者姓名、性别、年龄、患者标签、重点疾病、本院总门诊就诊次数、本科总门诊就诊次数、纳管医生、主管医生，并支持根据多重条件进行检索，医生可根据患者疾病类型、依从性等关键信息初步判断患者是否适合进行纳管。</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支持查看患者360操作，方便医生全面了解患者就医数据，进而做出是否纳管的决策。</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支持对患者进行排除操作，填写排除原因后患者归入排除列表，方便医生排除暂时不适合进行纳管的患者。</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支持对患者进行纳管操作，选择纳管科室及纳管医生，系统默认带入本人并支持修改，方便医助为其他医生纳管患者。</w:t>
            </w:r>
            <w:r/>
          </w:p>
        </w:tc>
      </w:tr>
      <w:tr>
        <w:trPr>
          <w:trHeight w:val="899"/>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ascii="宋体" w:hAnsi="宋体" w:cs="宋体"/>
                <w:b/>
                <w:bCs/>
                <w:color w:val="000000" w:themeColor="text1"/>
                <w:u w:val="single"/>
                <w:lang w:bidi="ar"/>
                <w14:textFill>
                  <w14:solidFill>
                    <w14:schemeClr w14:val="tx1"/>
                  </w14:solidFill>
                </w14:textFill>
              </w:rPr>
              <w:t xml:space="preserve">纳管患者时可以为患者选择加入一条管理路径，如果暂时无法决策也可以先不选择，后续在患者360页面再进行选择。加入管理路径后会自动生成后续的周期性管理计划。</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本科门诊患者列表</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系统自动计算并筛选出历史所有在本科室刷卡就诊过的患者，列表默认展示今日往前3个月内在本科室就诊过的患者，方便医生从中挑选重点患者进行纳管。</w:t>
            </w:r>
            <w:r/>
          </w:p>
        </w:tc>
      </w:tr>
      <w:tr>
        <w:trPr>
          <w:trHeight w:val="690"/>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展示就诊时间、本次诊断、患者姓名、性别、年龄、患者标签、重点疾病、本院总门诊就诊次数、本科总门诊就诊次数、纳管医生、主管医生，并支持根据多重条件进行检索，方便医生根据患者疾病类型、依从性等关键信息初步判断患者是否适合进行纳管。</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支持查看患者360操作，方便医生全面了解患者就医数据，进而做出是否纳管的决策。</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支持对患者进行排除操作，填写排除原因后患者归入排除列表，方便医生排除暂时不适合进行纳管的患者。</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支持对患者进行纳管操作，选择纳管科室及纳管医生，系统默认带入本人并支持修改，方便医助为其他医生纳管患者。</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纳管患者时可以为患者设置复诊周期，也可以后续在患者360页面再进行设置，复诊周期设置后系统会自动计算并生成下次复诊时间，支持后续在复诊召回功能中对即将复诊的患者进行召回。</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本科在院患者列表</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系统自动计算并筛选出在本科室正在住院的患者列表，方便医生从中挑选重点患者进行纳管。</w:t>
            </w:r>
            <w:r/>
          </w:p>
        </w:tc>
      </w:tr>
      <w:tr>
        <w:trPr>
          <w:trHeight w:val="690"/>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展示入院时间、本次诊断、患者姓名、性别、年龄、患者标签、重点疾病、本院总门诊就诊次数、本科总门诊就诊次数、纳管医生、主管医生，并支持根据多重条件进行检索，方便医生根据患者疾病类型、依从性等关键信息初步判断患者是否适合进行纳管。</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支持查看患者360操作，方便医生全面了解患者就医数据，进而做出是否纳管的决策。</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支持对患者进行排除操作，填写排除原因后患者归入排除列表，方便医生排除暂时不适合进行纳管的患者。</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支持对患者进行纳管操作，选择纳管科室及纳管医生，系统默认带入本人并支持修改，方便医助为其他医生纳管患者。</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纳管患者时可以为患者设置复诊周期，也可以后续在患者360页面再进行设置，复诊周期设置后系统会自动计算并生成下次复诊时间，支持后续在复诊召回功能中对即将复诊的患者进行召回。</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本科出院患者列表</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系统自动计算并筛选出历史所有在本科室住过院但目前已出院的患者，列表默认展示今日往前3个月内出院的患者，方便医生从中挑选重点患者进行纳管。</w:t>
            </w:r>
            <w:r/>
          </w:p>
        </w:tc>
      </w:tr>
      <w:tr>
        <w:trPr>
          <w:trHeight w:val="690"/>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展示出院时间、出院诊断、患者姓名、性别、年龄、患者标签、重点疾病、本院总门诊就诊次数、本科总门诊就诊次数、纳管医生、主管医生，并支持根据多重条件进行检索，方便医生根据患者疾病类型、依从性等关键信息初步判断患者是否适合进行纳管。</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支持查看患者360操作，方便医生全面了解患者就医数据，进而做出是否纳管的决策。</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支持对患者进行排除操作，填写排除原因后患者归入排除列表，医生可排除暂时不适合进行纳管的患者。</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支持对患者进行纳管操作，选择纳管科室及纳管医生，系统默认带入本人并支持修改，方便医助为其他医生纳管患者。</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本院线索患者列表</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系统基于临床指南和专家共识预设医学规则，从全院就诊/住院过的所有患者中，识别出没有明确疾病诊断、但存在高风险因素的潜在高价值患者。</w:t>
            </w:r>
            <w:r/>
          </w:p>
        </w:tc>
      </w:tr>
      <w:tr>
        <w:trPr>
          <w:trHeight w:val="690"/>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支持科室（高血压、糖尿病、高血脂、慢阻肺、慢性肾病、冠心病）根据自己的专业特点和管理重点，自主选择开启或关闭相应的线索条件。系统会根据这些配置，实时筛选并展示符合条件的患者。</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列表默认展示今日往前3个月内有就诊/住院且有慢病线索的患者。列表按最近就诊时间倒序排列。</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支持多条件筛选列表。筛选条件有：就诊时间、详细线索、疑似疾病 、纳管医生、本科总门诊就诊次数、就诊类型、就诊科室、患者搜索。</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其中详细线索、疑似疾病的选项根据后台科室配置来显示/隐藏。</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系统根据[详细线索]自动识别匹配患者可能有的疾病。</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系统从检验检查中采集并显示线索来源。</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支持点击“患者360”查看患者详细健康全景。</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支持点击“纳管”，在弹窗中选择纳管科室、纳管医生和复诊周期(非必填)，完成纳管。</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纳管科室默认填充当前账号所属科室。支持手动修改。</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纳管医生默认填充当前账号。支持手动修改。</w:t>
            </w:r>
            <w:r/>
          </w:p>
        </w:tc>
      </w:tr>
      <w:tr>
        <w:trPr>
          <w:trHeight w:val="480"/>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支持当医生认为患者不适合纳管时，点击“排除”，在弹窗中手动输入排除原因，将该患者从“本院线索”患者列表移动至【排除】患者列表。</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排除患者列表</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展示医生从各个待管患者列表中操作了排除的患者列表，方便医生后续进行回顾查找，再次判断患者是否适合纳管。</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列表展示患者姓名、性别、年龄、患者标签、重点疾病、本院总门诊就诊次数、本科总门诊就诊次数、纳管医生，支持查看患者360数据。</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支持对患者进行纳管操作，选择纳管科室及纳管医生，系统默认带入本人并支持修改，方便医助为其他医生纳管患者。</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纳管患者</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我的纳管</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展示医生从各个待管患者列表中操作了纳管的患者列表，方便医生后续对患者进行慢病管理。</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列表展示纳管时间、患者姓名、性别、年龄、患者标签、重点疾病、纳管医生、本院最近就诊时间、全区最近就诊时间，方便医生回忆患者的基本信息，了解患者近况。</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支持查看患者360操作，方便医生全面了解患者就医数据以及当前的管理路径。</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支持对患者进行取消纳管操作，当患者因为依从性不好、搬迁、死亡等原因不再适合纳管时，可以取消对患者的纳管。</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科室纳管</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展示同科室医生纳管但本人未纳管的患者列表，方便医生了解同科室医生对患者的纳管情况。</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列表展示患者姓名、性别、年龄、患者标签、重点疾病、纳管医生、本院最近就诊时间、全区最近就诊时间，支持查看患者360数据。</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患者360</w:t>
            </w:r>
            <w:r/>
          </w:p>
        </w:tc>
        <w:tc>
          <w:tcPr>
            <w:tcW w:w="1001" w:type="pct"/>
            <w:vAlign w:val="center"/>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患者标签</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展示患者标签，包括慢病标签、纳管标签、转诊标签和ASCVD风险等级。帮助医生快速获取患者关键信息。</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纳管信息</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展示本院纳管患者的医生和本科纳管患者的医生，方便判断患者的重要程度，可以对患者进行纳管/取消纳管操作。</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患者画像</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系统自动计算并提取患者的关键信息形成患者综合画像，包括体征数据、重点疾病、历史诊断。医生可快速了解患者关键的健康信息，对患者形成一个基本了解。</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复诊计划</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展示患者本科上次就诊时间、当前的复诊周期和下次复诊时间，可以对复诊周期和下次复诊时间进行编辑调整。</w:t>
            </w:r>
            <w:r/>
          </w:p>
        </w:tc>
      </w:tr>
      <w:tr>
        <w:trPr>
          <w:trHeight w:val="690"/>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备忘tips</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支持所有医生对患者添加备忘tips，备忘内容可以选择公开范围为仅本人可见/本科室可见/所有人可见，在医生有关键信息需要告知其他协作医生时、或者仅需要自己备忘时都可以快速添加备忘内容。</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本人创建的备忘tips支持修改/删除，随时可以对备忘内容进行调整。</w:t>
            </w:r>
            <w:r/>
          </w:p>
        </w:tc>
      </w:tr>
      <w:tr>
        <w:trPr>
          <w:trHeight w:val="390"/>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管理路径</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以时间轴的形式综合呈现患者身上的历史事件和未来将会发生的事件，包括：历史的门诊就诊、入院、出院、复诊召回记录、以及未来的复诊和复查，让医生可以按照时间顺序清晰查看患者的就医相关事件。</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时间轴默认只展示未来半年的复诊和复查事件，方便医生优先关注未来要做的事情。</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时间轴的时间查询范围支持切换过去一年/未来一年</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门诊支持查看就诊医院、就诊科室、接诊医生和主诊断，快速了解本次门诊的关键信息。</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入院支持查看住院医院、住院科室、主治医生和入院诊断，快速了解本次入院的关键信息。</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出院支持查看住院医院、住院科室、主治医生和出院诊断，快速了解本次出院的关键信息。</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召回记录支持查看通知结果、操作人及科室，本人记录的通知结果。</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召回记录如果对接了电话盒子的情况下支持查看通话时间和通话录音回放。</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复诊支持查看复诊时间和复诊科室，全院的复诊计划都支持查看。</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复查支持查看复查时间和复查项目，全院的复查计划都支持查看。</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报告查看</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支持查看系统对接范围内的全部检验检查报告，以时间轴的形式展示开单记录，点击可以展开查看详情。</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检验项目支持查看关键指标的历史趋势，方便医生快速了解患者某个关键指标的变化情况，从而对患者的健康情况做出快速判断。</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检查项目支持报告结果中的查看检查所见及诊断意见。</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支持根据项目名称、开单时间、门诊/住院开单查询检验检查项目，方便医生快速定位某一类或者某个具体的项目。</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★就诊历史</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展示患者最近1年在系统对接范围内的就诊轨迹，每个医疗机构的就诊次数。方便医生快速了解患者的就医依从性。</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就诊历史按照门诊、住院分别展示，以时间轴的形式呈现过往历次就诊记录的时间、地点、科室。</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支持检索本科接诊/本人接诊的就诊记录，医生可快速过滤与自己相关的就诊记录。</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支持查看科室关注的重点疾病相关的就诊记录，系统自动计算、匹配诊断，医生可只查看与科室疾病相关的就诊记录，提高诊间查阅效率。</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用药记录</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用药记录按照门诊、住院分别展示，以时间轴的形式呈现过每次开药的就诊记录的时间、地点、科室。</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支持根据药品名称、开药时间查询用药记录，医生可快速定位某一类或者某个具体药品。</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药品支持查看过往配药记录，展示最近一年的配药记录数量以及每次配药详情。方便医生了解某个药品的用药习惯。</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复诊召回</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待召回列表</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列表展示患者最近就诊时间，用户可对比下次复诊时间，查看患者是否已经来源就诊，筛选出真正需要召回的患者。</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列表展示最近通知时间和通知结果，护士可了解最近是否已经对患者进行过召回，避免频繁打扰患者。</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电话盒子对接</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支持对接电话盒子，一键拨号联络患者，方便护士高效执行召回任务。</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支持展示通话记录以及通话录音，保证护士按照标准规范对患者进行召回，以及在有投诉纠纷发生时进行证据回溯。</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支持填写通知结果，对每次通话进行关键信息整理，方便后续联络患者时进行回溯。</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转诊管理</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转诊列表</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支持查看下级根据特定转诊指征触发操作待转诊的转诊记录以及下级医生主动添加转诊的转诊记录。</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支持个性化条件筛选所有转诊记录，展示上级转诊状态包括：待接收、已预约、已就诊、未就诊、患者拒绝。方便医生快速分类查询，定位某类转诊记录。</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点击可查看患者的详情，包含转诊单详情。医生可查看患者过往的医疗数据，判断是否接收患者。</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转诊操作</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支持操作转诊接收，并为患者预约就诊时间。在确认接收患者后可以为患者预约来上级医院就诊的时间。</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支持操作患者拒绝，并记录拒绝原因。在因为患者自身原因拒绝转诊时上级医院可以进行标记。</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今日就诊</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患者列表</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展示今日在本人处刷卡就诊过的患者列表，列表展示患者姓名、性别、年龄、患者标签和刷卡时间。</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列表按照刷卡时间倒序展示，方便医生根据就医顺序回溯患者。</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列表支持根据患者姓名、身份证号查找患者，方便医生快速定位某个确定的患者。</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只看我管理的</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列表支持一件筛选只看我管理的患者，筛选出我纳管的患者列表，对重点关注的患者进行回溯。</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去后台</w:t>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去后台</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支持从诊中面板一键跳转至管理后台，在有需要使用后台功能时点击去后台按钮，可以节省打开浏览器查询管理后台页面的时间。</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患者主页</w:t>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基本信息</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展示患者姓名、性别、年龄、以及最近一次在本院的就诊时间。</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患者360</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支持查看患者360数据，方便医生对患者全部就医数据进行系统查看，从而做出更加精准的医疗决策。</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患者标签</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展示患者标签，包括慢病标签、纳管标签、转诊标签和ASCVD风险等级。帮助医生快速获取患者关键信息。</w:t>
            </w:r>
            <w:r/>
          </w:p>
        </w:tc>
      </w:tr>
      <w:tr>
        <w:trPr>
          <w:trHeight w:val="91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下次复诊时间</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下次复诊时间，如果患者当前有复诊周期，会根据复诊周期设置自动计算下次复诊时间并展示，支持编辑修改；如果患者当前没有设置复诊周期，也支持医生手动设置下次复诊时间。设置了下次复诊时间后，护士可以在复诊召回列表中查看，并对临近复诊的患者进行召回，避免患者遗忘复诊，提升患者就医依从性。</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纳管提醒</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当患者所患重点疾病中有我科关注的重点疾病，并且我当前没有纳管患者，则会出现纳管提醒，提醒医生在诊间可以酌情对患者进行纳管。</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点击纳管，系统默认带入本人作为纳管医生，方便医生快速纳管。</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上转提醒</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由基层上转上来的患者，在患者主页会出现上转提醒，并同时出现转诊标签，让医生一目了然知晓患者是转诊患者。</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支持查看转诊单，包括诊断、转诊来源、转诊原因等，让医生了解患者关键信息。</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支持查看发生转诊当次的基层就诊记录，方便医生深入了解当次就诊的详细信息。</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转科提醒</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当患者所患重点疾病中有其他科关注的重点疾病，则会提示可将患者转科至相关科室，方便患者一次到院诊治多个疾病，辅助医院进行全院管理，延长服务链条。</w:t>
            </w:r>
            <w:r/>
          </w:p>
        </w:tc>
      </w:tr>
      <w:tr>
        <w:trPr>
          <w:trHeight w:val="690"/>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备忘tips</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支持所有医生对患者添加备忘tips，备忘内容可以选择公开范围为仅本人可见/本科室可见/所有人可见，在医生有关键信息需要告知其他协作医生时、或者仅需要自己备忘时都可以快速添加备忘内容。</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本人创建的备忘tips支持修改/删除，随时可以对备忘内容进行调整。</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检验检查推荐</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系统根据关键病种的指南要求，展示患相关疾病的患者推荐要做的检验检查列表，方便医生快速跟做，检测自己是否有漏查项目。</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未来应做中每个检验检查项目都会展示推荐频率，如年度/季度。</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系统自动匹配患者过往的检验检查记录，并根据检验检查频率自动计算出下次应该做每个项目的时间，精确到月份。</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当月要做的项目进行展示，方便医生快速关注到本次可能需要开单的项目，提高决策效率。</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当月要做的项目支持查看过往开单记录，佐证系统的推荐逻辑，让医生可以对系统的辅助决策能力更加信服。</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报告查看</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支持查看系统对接范围内的全部检验检查报告，以时间轴的形式展示开单记录，点击可以展开查看详情。</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检验项目支持查看关键指标的历史趋势，方便医生快速了解患者某个关键指标的变化情况，从而对患者的健康情况做出快速判断。</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检查项目支持报告结果中的所见及诊断意见。</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支持根据项目名称、开单时间、门诊/住院开单查询检验检查项目，方便医生快速定位某一类或者某个具体的项目。</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就诊历史</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展示患者最近1年在系统对接范围内的就诊轨迹，每个医疗机构的就诊次数。方便医生快速了解患者的就医依从性。</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就诊历史按照门诊、住院分别展示，以时间轴的形式呈现过往历次就诊记录的时间、地点、科室。</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支持检索本科接诊/本人接诊的就诊记录，方便医生快速过滤与自己相关的就诊记录。</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支持查看科室关注的重点疾病相关的就诊记录，系统自动计算、匹配诊断，方便医生只查看与科室疾病相关的就诊记录，提高诊间查阅效率。</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用药记录</w:t>
            </w:r>
            <w:r/>
          </w:p>
        </w:tc>
        <w:tc>
          <w:tcPr>
            <w:tcW w:w="2903" w:type="pct"/>
            <w:vAlign w:val="center"/>
            <w:textDirection w:val="lrTb"/>
            <w:noWrap/>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用药记录按照门诊、住院分别展示，以时间轴的形式呈现过每次开药的就诊记录的时间、地点、科室。</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支持根据药品名称、开药时间查询用药情况，方便医生快速定位某一类或者某个具体药品。</w:t>
            </w:r>
            <w:r/>
          </w:p>
        </w:tc>
      </w:tr>
      <w:tr>
        <w:trPr>
          <w:trHeight w:val="465"/>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支持查看过往配药记录，展示最近一年的配药记录数量以及每次配药详情。方便医生了解某个药品的用药习惯。</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诊前体征</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支持查看不同科室的患者当日的诊前记录。按操作时间倒序排列。</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每个科室的诊前记录都显示该科室最新一条患者诊前记录的详细数据。</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支持点击“+”新增诊前记录。</w:t>
            </w:r>
            <w:r/>
          </w:p>
        </w:tc>
      </w:tr>
      <w:tr>
        <w:trPr>
          <w:trHeight w:val="292"/>
        </w:trPr>
        <w:tc>
          <w:tcPr>
            <w:tcW w:w="485"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表单内容和规则同后台诊前采集。</w:t>
            </w:r>
            <w:r/>
          </w:p>
        </w:tc>
      </w:tr>
      <w:tr>
        <w:trPr>
          <w:trHeight w:val="277"/>
        </w:trPr>
        <w:tc>
          <w:tcPr>
            <w:tcW w:w="485" w:type="pct"/>
            <w:vAlign w:val="center"/>
            <w:vMerge w:val="restart"/>
            <w:textDirection w:val="lrTb"/>
            <w:noWrap w:val="false"/>
          </w:tcPr>
          <w:p>
            <w:pPr>
              <w:jc w:val="center"/>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AI健康助手-居民端</w:t>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健康全景</w:t>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基本信息</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展示患者当前的体重状况、高血压疾病状况以及糖尿病疾病状况。</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慢病管理等级</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对于已经在管的慢病，展示各个病种的管理等级，以及该管理等级的随访周期、健康注意事项等信息，促进患者规律复诊。</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体重指数BMI</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展示患者当前的BMI数值以及所属区间对应的体重状态，包括偏瘦、正常、超重、肥胖。</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动脉粥样硬化性心血管疾病ASCVD</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展示患者当前的ASCVD风险等级以及含义解读，包括：低危、中危、高危、极高危。</w:t>
            </w:r>
            <w:r/>
          </w:p>
        </w:tc>
      </w:tr>
      <w:tr>
        <w:trPr>
          <w:trHeight w:val="52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危险因素表</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BMI、腰围、高密度脂蛋白、胆固醇、低密度脂蛋白、胆固醇、丙氨酸氨基转、移酶、天门冬氨酸氨、基转氨酶、肌酐、尿酸等慢病相关的危险因素指标，通过列表形式呈现患者每个指标的最新数值以及理想区间范围，超出理想区间标红展示，方便患者了解自身关键的指标异常，进行有针对性地改善。</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★指标趋势</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展示血压、血糖、血脂、肝肾功能、同型半胱氨酸、体重等关键指标的历史测量趋势，包含检验检测、智能监测等多种数据来源。方便患者根据趋势图一目了然地看出指标变化情况。</w:t>
            </w:r>
            <w:r/>
          </w:p>
        </w:tc>
      </w:tr>
      <w:tr>
        <w:trPr>
          <w:trHeight w:val="277"/>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用药情况</w:t>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用药记录</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支持查看过往历次就诊记录中的开药记录。</w:t>
            </w:r>
            <w:r/>
          </w:p>
        </w:tc>
      </w:tr>
      <w:tr>
        <w:trPr>
          <w:trHeight w:val="277"/>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智能监测</w:t>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血压</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支持绑定智能设备对血压进行监测。</w:t>
            </w:r>
            <w:r/>
          </w:p>
        </w:tc>
      </w:tr>
      <w:tr>
        <w:trPr>
          <w:trHeight w:val="277"/>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展示智能设备历次的测量时间及测量结果数值。</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支持查看舒张压和收缩压两条指标趋势。方便患者根据趋势图一目了然地看出指标变化情况。</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血糖</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支持绑定智能设备对血糖进行监测。</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展示智能设备历次的测量时间及测量结果数值。</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支持查看血糖指标趋势。方便患者根据趋势图一目了然地看出指标变化情况。</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血脂</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支持绑定智能设备对血脂进行监测。</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展示智能设备历次的测量时间及测量结果数值。</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支持查看血脂指标趋势。方便患者根据趋势图一目了然地看出指标变化情况。</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体重</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支持绑定智能设备对体重进行监测。</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展示智能设备历次的测量时间及测量结果数值。</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支持查看体重指标趋势。方便患者根据趋势图一目了然地看出指标变化情况。</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我的报告</w:t>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报告列表</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按照医生打印健康处方的时间倒序呈现患者所获得的健康报告列表，包括两慢和慢阻肺的年度/季度评估报告。便于患者按照时间线检索某一次的健康报告。</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报告详情</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展示健康报告的电子版详情。便于患者在纸质版丢失时查阅。</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我的处方</w:t>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处方列表</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按照医生打印健康处方的时间倒序呈现患者所获得的健康处方列表，便于患者按照时间线检索某一次的健康处方。</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处方详情</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展示健康处方的电子版详情。便于患者在纸质版丢失时查阅。</w:t>
            </w:r>
            <w:r/>
          </w:p>
        </w:tc>
      </w:tr>
      <w:tr>
        <w:trPr>
          <w:trHeight w:val="465"/>
        </w:trPr>
        <w:tc>
          <w:tcPr>
            <w:tcW w:w="485" w:type="pct"/>
            <w:vAlign w:val="center"/>
            <w:vMerge w:val="restart"/>
            <w:textDirection w:val="lrTb"/>
            <w:noWrap w:val="false"/>
          </w:tcPr>
          <w:p>
            <w:pPr>
              <w:jc w:val="center"/>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检后追</w:t>
            </w:r>
            <w:r>
              <w:rPr>
                <w:rFonts w:ascii="宋体" w:hAnsi="宋体" w:cs="宋体"/>
                <w:b/>
                <w:bCs/>
                <w:color w:val="000000" w:themeColor="text1"/>
                <w14:textFill>
                  <w14:solidFill>
                    <w14:schemeClr w14:val="tx1"/>
                  </w14:solidFill>
                </w14:textFill>
              </w:rPr>
            </w:r>
            <w:r>
              <w:rPr>
                <w:rFonts w:hint="eastAsia" w:ascii="宋体" w:hAnsi="宋体" w:cs="宋体"/>
                <w:b/>
                <w:bCs/>
                <w:color w:val="000000" w:themeColor="text1"/>
                <w:lang w:bidi="ar"/>
                <w14:textFill>
                  <w14:solidFill>
                    <w14:schemeClr w14:val="tx1"/>
                  </w14:solidFill>
                </w14:textFill>
              </w:rPr>
            </w:r>
            <w:r/>
          </w:p>
          <w:p>
            <w:pPr>
              <w:jc w:val="center"/>
              <w:widowControl/>
              <w:rPr>
                <w:rFonts w:ascii="宋体" w:hAnsi="宋体" w:cs="宋体"/>
                <w:b/>
                <w:bCs/>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踪系统</w:t>
            </w: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体检人群</w:t>
            </w:r>
            <w:r/>
          </w:p>
        </w:tc>
        <w:tc>
          <w:tcPr>
            <w:tcW w:w="1001"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已检人群</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支持对本区域内各医疗机构不同的体检套餐名称、检查单名称、检验细项名称进行映射、归集到对应的目标数据表，实现在页面上同项目以一致的格式展现数据。</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支持对居民体检的实验室检验项目异常情况进行分层分级，可细分到每个检验项目下的各独立指标项。</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根据检验异常情况进行分层分级，以五色（红、橙、黄、蓝、绿）对应异常情况的严重级别从高到低进行标示。</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支持对居民心电、超声、放射科检查项目的报告结论进行文本识别，并进行分层分级，以黄色表示异常，以绿色表示正常。</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支持对居民异常检验、检查指标的五色分类聚合后以人为单位展示其最高级别的颜色。</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支持以居民五色分组统计人数和占比并展示。</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支持多条件筛选过滤，如体检日期、五色分层、体检套餐等。支持以患者姓名或身份证号搜索特定居民。</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体检人群列表支持展示患者基础信息、五色标签等，系统在数据湖中检测到的该居民已被诊断的慢病。</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支持通过体检人群列表点击任意一个居民进入查看详情。</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未检人群</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支持医助在该页面查看所有未体检居民的列表，支持体检日期、患者姓名等条件进行筛选。</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未检人群列表支持展示患者基础信息，上次体检信息，通知信息等，系统在数据湖中检测到的该居民已被诊断的慢病。</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支持点击“拨号”，通过电话盒子拨号联系未体检居民，自动保存沟通录音。</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支持医助在通知患者后，可通过已通知、未接通、患者拒绝等模版快速填充通知结果，支持手动编辑通知结果。点击确认完成通知，系统自动生成通知记录留存证据。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支持点击“查看”通知记录。</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居民详情</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展示居民全量的基本信息，包括姓名、年龄、性别、身高、体重、联系人、上次就诊时间、身份证号、联系地址、疾病标签等。</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展示居民近三年的体检数据，通过历年体检数据对比评估居民健康指标的变化。</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历年体检数据页面支持展示患者的基础信息、患者标签和体检各项指标数据对比。</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历年体检数据默认按照今年检验检查的异常级别红、橙、黄、蓝、绿的优先级进行排序展示。</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支持往年数据遵守五色分类规则以不同颜色展示具体数值。</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支持鼠标移动到异常值，浮窗展示该异常项的常见发生原因的医学解释和建议处理方式。</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支持按照体检套餐内的各项目进行筛选查看历年数据。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支持点击任意一个颜色分类进行筛选查看历年数据。</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检后追踪</w:t>
            </w:r>
            <w:r/>
          </w:p>
        </w:tc>
        <w:tc>
          <w:tcPr>
            <w:tcW w:w="1001"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检后追踪</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支持多条件筛选过滤，如任务完成期限、体检报告日期、五色分层等。支持以患者姓名或身份证好搜索特定居民。</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支持不同颜色级别任务完成期限自动计算并展示完成期限日期，支持完成期限倒序或正序排列。</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支持点击某个居民，医生可进入详情页查看居民详细的异常数据。</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详情页展示患者的基本信息和该任务的完成期限。</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支持异常数据按照检验、检查进行分类展示。</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检验类的异常项根据项目聚合，并根据五色分别统计异常条目的数量，点击展开可查看异常明细项的具体数值。</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检查类的异常项根据项目聚合，并根据黄色和绿色统计展示异常条目数量，点击展开可查看异常明细项及具体结果。</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支持检验、检查项点击查看异常项的完整原始报告单。</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原始报告单中支持高亮展示异常指标。</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每条异常指标明细项，支持点击查看该异常项的常见发生原因的医学解释和建议处理方式。</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支持点击3年体检数据详情，快速跳转到居民历年体检数据对比的详情页面。</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支持当医生判断该患者无需处理，点击无需处理按钮，将该条待办任务完成。</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当医生点击已处理，支持选择或填写对该居民的处理方式。</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支持点击转诊按钮，自动转到转诊页面，转诊单填写完毕后此条待办任务相应完成。</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支持当医生认为此患者需要持续观察，可点击持续追踪按钮，弹出持续追踪新建提醒的页面。</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持续追踪-新建提醒支持快速点选复查日期（7天、14天、一个月、三个月、六个月），自动计算居民复查具体日期，并支持手工修改。</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支持选择要提醒的人员，可设置为本人或其他医助。</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支持医助配置添加多人，可选择默认医助进行通知。</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系统会根据设定的复查时间，提前提醒医生该备忘事件。</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支持体检居民列表按照不同的处理方式(待处理、持续追踪、已转诊、无需处理、已处理）进行分组展示，点击对应的组别按钮，快速定位到该处理方式的居民列表。</w:t>
            </w:r>
            <w:r/>
          </w:p>
        </w:tc>
      </w:tr>
      <w:tr>
        <w:trPr>
          <w:trHeight w:val="91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持续追踪组，该组居民列表展示包含复查日期、最近追踪日期、医助是否已通知召回居民的状态、异常健康指标按五色分类统计的数量等。支持点击任意一个居民可查看其体检异常指标详情、通知患者后医助记录的通知结果和追踪过程的操作日志记录，并支持在该页面继续执行追踪任务。</w:t>
            </w:r>
            <w:r/>
          </w:p>
        </w:tc>
      </w:tr>
      <w:tr>
        <w:trPr>
          <w:trHeight w:val="690"/>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已转诊组，该组居民列表展示包含处理日期、转诊医院等信息。支持点击任意一个居民可查看转诊单详情、该居民在本区县各医疗机构的历史就诊记录、转诊状态变更记录、体检异常指标详情和操作日志记录。</w:t>
            </w:r>
            <w:r/>
          </w:p>
        </w:tc>
      </w:tr>
      <w:tr>
        <w:trPr>
          <w:trHeight w:val="690"/>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支持点击已处理组，该组居民列表展示包含处理日期、选择已处理的原因、异常健康指标按五色分类统计的数量等信息。支持点击任意一个居民可查看体检异常指标详情、已处理原因和操作日志记录。</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召回通知</w:t>
            </w:r>
            <w:r/>
          </w:p>
        </w:tc>
        <w:tc>
          <w:tcPr>
            <w:tcW w:w="1001"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召回通知</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支持医助在该页面查看所有待处理任务患者列表，支持按照通知状态、提醒日期、五色分层、患者姓名等条件进行筛选。</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支持点击任意一个居民查看，弹出居民的体检异常详情页和需要通知居民的内容。</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支持点击“拨号”，通过电话盒子拨号联系未体检居民，自动保存沟通录音。</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支持医助在通知患者后，可通过已通知、未接通、患者拒绝等模版快速填充通知结果，支持手动编辑通知结果。点击确认完成任务，系统支持自动同步追踪状态给医生。</w:t>
            </w:r>
            <w:r/>
          </w:p>
        </w:tc>
      </w:tr>
      <w:tr>
        <w:trPr>
          <w:trHeight w:val="473"/>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支持未对接AI电话盒子的用户，手动拨号通知患者后，点击“输入通知结果”按钮，通过已通知、未接通、患者拒绝等模版快速填充通知结果或手动编辑通知结果。</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支持通知后，点击“查看”通知记录。</w:t>
            </w:r>
            <w:r/>
          </w:p>
        </w:tc>
      </w:tr>
      <w:tr>
        <w:trPr>
          <w:trHeight w:val="277"/>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检后统计</w:t>
            </w:r>
            <w:r/>
          </w:p>
        </w:tc>
        <w:tc>
          <w:tcPr>
            <w:tcW w:w="1001" w:type="pct"/>
            <w:vAlign w:val="center"/>
            <w:vMerge w:val="restart"/>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★检后统计</w:t>
            </w:r>
            <w:r>
              <w:rPr>
                <w:rFonts w:hint="eastAsia" w:ascii="宋体" w:hAnsi="宋体" w:cs="宋体"/>
                <w:b/>
                <w:bCs/>
                <w:color w:val="000000" w:themeColor="text1"/>
                <w:lang w:bidi="ar"/>
                <w14:textFill>
                  <w14:solidFill>
                    <w14:schemeClr w14:val="tx1"/>
                  </w14:solidFill>
                </w14:textFill>
              </w:rPr>
              <w:t xml:space="preserve">（须提供系统功能界面清晰截图）</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统计并展示本年度体检居民应体检人数和已完成体检人数，计算完成进度百分比并展示。</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支持按月统计体检人数，并以折线图展示每月变化趋势。</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统计五色任务的总体完成数和处置率，并按五色分类展示数量和进度百分比。</w:t>
            </w:r>
            <w:r/>
          </w:p>
        </w:tc>
      </w:tr>
      <w:tr>
        <w:trPr>
          <w:trHeight w:val="465"/>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根据处置方式分组（转诊、追踪观察、无需处理、已处理）统计每种处置方式五色人群的占比，以堆积图形式展示。</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统计五色人群的数量和占比分布，以环形图展示分布情况。</w:t>
            </w:r>
            <w:r/>
          </w:p>
        </w:tc>
      </w:tr>
      <w:tr>
        <w:trPr>
          <w:trHeight w:val="698"/>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处置时效分析支持以按时完成、超期≤7天、超期1-2周、超期2-4周、超期＞1个月这5组进行统计分析，每组以堆积图形式展示五色人群的占比。鼠标悬浮在柱形上，弹出浮窗展示具体五色的人数和比例。</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支持统计并展示五色人群检后追踪任务的平均完成的时间。</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支持按照体检套餐的检验检查项目分类，以五色分层统计各颜色的异常指标数量和比例。</w:t>
            </w:r>
            <w:r/>
          </w:p>
        </w:tc>
      </w:tr>
      <w:tr>
        <w:trPr>
          <w:trHeight w:val="292"/>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vMerge w:val="continue"/>
            <w:textDirection w:val="lrTb"/>
            <w:noWrap/>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支持以人为中心分析检验检查项目的异常检出率、检查人数、异常人数。</w:t>
            </w:r>
            <w:r/>
          </w:p>
        </w:tc>
      </w:tr>
      <w:tr>
        <w:trPr>
          <w:trHeight w:val="277"/>
        </w:trPr>
        <w:tc>
          <w:tcPr>
            <w:tcW w:w="485" w:type="pct"/>
            <w:vAlign w:val="center"/>
            <w:vMerge w:val="continue"/>
            <w:textDirection w:val="lrTb"/>
            <w:noWrap w:val="false"/>
          </w:tcPr>
          <w:p>
            <w:pPr>
              <w:jc w:val="center"/>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五色标准配置</w:t>
            </w:r>
            <w:r/>
          </w:p>
        </w:tc>
        <w:tc>
          <w:tcPr>
            <w:tcW w:w="1001" w:type="pct"/>
            <w:vAlign w:val="center"/>
            <w:textDirection w:val="lrTb"/>
            <w:noWrap/>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五色标准配置</w:t>
            </w:r>
            <w:r/>
          </w:p>
        </w:tc>
        <w:tc>
          <w:tcPr>
            <w:tcW w:w="2903" w:type="pct"/>
            <w:vAlign w:val="center"/>
            <w:textDirection w:val="lrTb"/>
            <w:noWrap w:val="false"/>
          </w:tcPr>
          <w:p>
            <w:pP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支持按照体检的检验和检查各项目五色划分标准进行展示。</w:t>
            </w:r>
            <w:r/>
          </w:p>
        </w:tc>
      </w:tr>
      <w:tr>
        <w:trPr>
          <w:trHeight w:val="465"/>
        </w:trPr>
        <w:tc>
          <w:tcPr>
            <w:tcW w:w="485" w:type="pct"/>
            <w:vAlign w:val="center"/>
            <w:vMerge w:val="restart"/>
            <w:textDirection w:val="lrTb"/>
            <w:noWrap w:val="false"/>
          </w:tcPr>
          <w:p>
            <w:pPr>
              <w:jc w:val="left"/>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健康积分模块</w:t>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管理端</w:t>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积分项目规则管理</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结合慢病系统对应管理路径，设定对应的积分规则，在按照管理路径进行执行时，确保患者可以获得对应的积分</w:t>
            </w:r>
            <w:r/>
          </w:p>
        </w:tc>
      </w:tr>
      <w:tr>
        <w:trPr>
          <w:trHeight w:val="277"/>
        </w:trPr>
        <w:tc>
          <w:tcPr>
            <w:tcW w:w="485" w:type="pct"/>
            <w:vAlign w:val="center"/>
            <w:vMerge w:val="continue"/>
            <w:textDirection w:val="lrTb"/>
            <w:noWrap w:val="false"/>
          </w:tcPr>
          <w:p>
            <w:pPr>
              <w:jc w:val="lef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患者积分管理</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以患者为维度，针对患者在慢病管理过程中的各节点，结合相关数据予以对应积分</w:t>
            </w:r>
            <w:r/>
          </w:p>
        </w:tc>
      </w:tr>
      <w:tr>
        <w:trPr>
          <w:trHeight w:val="277"/>
        </w:trPr>
        <w:tc>
          <w:tcPr>
            <w:tcW w:w="485" w:type="pct"/>
            <w:vAlign w:val="center"/>
            <w:vMerge w:val="continue"/>
            <w:textDirection w:val="lrTb"/>
            <w:noWrap w:val="false"/>
          </w:tcPr>
          <w:p>
            <w:pPr>
              <w:jc w:val="lef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商品管理</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对健康积分所能兑换的商品进行对应管理，允许进行商品的增、删、改、发布等相关操作</w:t>
            </w:r>
            <w:r/>
          </w:p>
        </w:tc>
      </w:tr>
      <w:tr>
        <w:trPr>
          <w:trHeight w:val="277"/>
        </w:trPr>
        <w:tc>
          <w:tcPr>
            <w:tcW w:w="485" w:type="pct"/>
            <w:vAlign w:val="center"/>
            <w:vMerge w:val="continue"/>
            <w:textDirection w:val="lrTb"/>
            <w:noWrap w:val="false"/>
          </w:tcPr>
          <w:p>
            <w:pPr>
              <w:jc w:val="lef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兑换规则管理</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对积分兑换进行相对应的规则设定，使其满足一定条件下的积分兑换</w:t>
            </w:r>
            <w:r/>
          </w:p>
        </w:tc>
      </w:tr>
      <w:tr>
        <w:trPr>
          <w:trHeight w:val="465"/>
        </w:trPr>
        <w:tc>
          <w:tcPr>
            <w:tcW w:w="485" w:type="pct"/>
            <w:vAlign w:val="center"/>
            <w:vMerge w:val="continue"/>
            <w:textDirection w:val="lrTb"/>
            <w:noWrap w:val="false"/>
          </w:tcPr>
          <w:p>
            <w:pPr>
              <w:jc w:val="lef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订单管理</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对当前机构下的患者所进行的积分兑换以订单的概念进行管理，使医生在患者前往线下进行兑换时，可通过订单进行确认；同时可提供对应的订单统计相关数据</w:t>
            </w:r>
            <w:r/>
          </w:p>
        </w:tc>
      </w:tr>
      <w:tr>
        <w:trPr>
          <w:trHeight w:val="465"/>
        </w:trPr>
        <w:tc>
          <w:tcPr>
            <w:tcW w:w="485" w:type="pct"/>
            <w:vAlign w:val="center"/>
            <w:vMerge w:val="continue"/>
            <w:textDirection w:val="lrTb"/>
            <w:noWrap w:val="false"/>
          </w:tcPr>
          <w:p>
            <w:pPr>
              <w:jc w:val="lef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b/>
                <w:bCs/>
                <w:color w:val="000000" w:themeColor="text1"/>
                <w:lang w:bidi="ar"/>
                <w14:textFill>
                  <w14:solidFill>
                    <w14:schemeClr w14:val="tx1"/>
                  </w14:solidFill>
                </w14:textFill>
              </w:rPr>
            </w:pPr>
            <w:r>
              <w:rPr>
                <w:rFonts w:ascii="宋体" w:hAnsi="宋体" w:cs="宋体"/>
                <w:b/>
                <w:bCs/>
                <w:color w:val="000000" w:themeColor="text1"/>
                <w:lang w:bidi="ar"/>
                <w14:textFill>
                  <w14:solidFill>
                    <w14:schemeClr w14:val="tx1"/>
                  </w14:solidFill>
                </w14:textFill>
              </w:rPr>
              <w:t xml:space="preserve">数据统计分析</w:t>
            </w:r>
            <w:r/>
          </w:p>
        </w:tc>
        <w:tc>
          <w:tcPr>
            <w:tcW w:w="2903" w:type="pct"/>
            <w:vAlign w:val="center"/>
            <w:textDirection w:val="lrTb"/>
            <w:noWrap w:val="false"/>
          </w:tcPr>
          <w:p>
            <w:pPr>
              <w:jc w:val="left"/>
              <w:widowControl/>
              <w:rPr>
                <w:rFonts w:ascii="宋体" w:hAnsi="宋体" w:cs="宋体"/>
                <w:b/>
                <w:bCs/>
                <w:color w:val="000000" w:themeColor="text1"/>
                <w:lang w:bidi="ar"/>
                <w14:textFill>
                  <w14:solidFill>
                    <w14:schemeClr w14:val="tx1"/>
                  </w14:solidFill>
                </w14:textFill>
              </w:rPr>
            </w:pPr>
            <w:r>
              <w:rPr>
                <w:rFonts w:ascii="宋体" w:hAnsi="宋体" w:cs="宋体"/>
                <w:b/>
                <w:bCs/>
                <w:color w:val="000000" w:themeColor="text1"/>
                <w:lang w:bidi="ar"/>
                <w14:textFill>
                  <w14:solidFill>
                    <w14:schemeClr w14:val="tx1"/>
                  </w14:solidFill>
                </w14:textFill>
              </w:rPr>
              <w:t xml:space="preserve">统计区域居民各类性健康行为对应的积分获取、累积及兑换数据，多维度汇总呈现，为优化积分规则、调配服务资源提供数据支撑。</w:t>
            </w:r>
            <w:r/>
          </w:p>
        </w:tc>
      </w:tr>
      <w:tr>
        <w:trPr>
          <w:trHeight w:val="277"/>
        </w:trPr>
        <w:tc>
          <w:tcPr>
            <w:tcW w:w="485" w:type="pct"/>
            <w:vAlign w:val="center"/>
            <w:vMerge w:val="continue"/>
            <w:textDirection w:val="lrTb"/>
            <w:noWrap w:val="false"/>
          </w:tcPr>
          <w:p>
            <w:pPr>
              <w:jc w:val="lef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患者端</w:t>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积分健康银行</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展示健康积分所能兑换的商品/服务</w:t>
            </w:r>
            <w:r/>
          </w:p>
        </w:tc>
      </w:tr>
      <w:tr>
        <w:trPr>
          <w:trHeight w:val="277"/>
        </w:trPr>
        <w:tc>
          <w:tcPr>
            <w:tcW w:w="485" w:type="pct"/>
            <w:vAlign w:val="center"/>
            <w:vMerge w:val="continue"/>
            <w:textDirection w:val="lrTb"/>
            <w:noWrap w:val="false"/>
          </w:tcPr>
          <w:p>
            <w:pPr>
              <w:jc w:val="lef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widowControl/>
              <w:rPr>
                <w:rFonts w:ascii="宋体" w:hAnsi="宋体" w:cs="宋体"/>
                <w:color w:val="000000" w:themeColor="text1"/>
                <w:lang w:bidi="ar"/>
                <w14:textFill>
                  <w14:solidFill>
                    <w14:schemeClr w14:val="tx1"/>
                  </w14:solidFill>
                </w14:textFill>
              </w:rPr>
            </w:pPr>
            <w:r>
              <w:rPr>
                <w:rFonts w:ascii="宋体" w:hAnsi="宋体" w:cs="宋体"/>
                <w:color w:val="000000" w:themeColor="text1"/>
                <w:lang w:bidi="ar"/>
                <w14:textFill>
                  <w14:solidFill>
                    <w14:schemeClr w14:val="tx1"/>
                  </w14:solidFill>
                </w14:textFill>
              </w:rPr>
            </w:r>
            <w:r/>
          </w:p>
        </w:tc>
        <w:tc>
          <w:tcPr>
            <w:tcW w:w="1001" w:type="pct"/>
            <w:vAlign w:val="center"/>
            <w:textDirection w:val="lrTb"/>
            <w:noWrap w:val="false"/>
          </w:tcPr>
          <w:p>
            <w:pPr>
              <w:jc w:val="center"/>
              <w:widowControl/>
              <w:rPr>
                <w:rFonts w:ascii="宋体" w:hAnsi="宋体" w:cs="宋体"/>
                <w:b/>
                <w:bCs/>
                <w:color w:val="000000" w:themeColor="text1"/>
                <w:lang w:bidi="ar"/>
                <w14:textFill>
                  <w14:solidFill>
                    <w14:schemeClr w14:val="tx1"/>
                  </w14:solidFill>
                </w14:textFill>
              </w:rPr>
            </w:pPr>
            <w:r>
              <w:rPr>
                <w:rFonts w:ascii="宋体" w:hAnsi="宋体" w:cs="宋体"/>
                <w:b/>
                <w:bCs/>
                <w:color w:val="000000" w:themeColor="text1"/>
                <w:lang w:bidi="ar"/>
                <w14:textFill>
                  <w14:solidFill>
                    <w14:schemeClr w14:val="tx1"/>
                  </w14:solidFill>
                </w14:textFill>
              </w:rPr>
              <w:t xml:space="preserve">积分账户</w:t>
            </w:r>
            <w:r/>
          </w:p>
        </w:tc>
        <w:tc>
          <w:tcPr>
            <w:tcW w:w="2903" w:type="pct"/>
            <w:vAlign w:val="center"/>
            <w:textDirection w:val="lrTb"/>
            <w:noWrap w:val="false"/>
          </w:tcPr>
          <w:p>
            <w:pPr>
              <w:jc w:val="left"/>
              <w:widowControl/>
              <w:rPr>
                <w:rFonts w:ascii="宋体" w:hAnsi="宋体" w:cs="宋体"/>
                <w:b/>
                <w:bCs/>
                <w:color w:val="000000" w:themeColor="text1"/>
                <w:lang w:bidi="ar"/>
                <w14:textFill>
                  <w14:solidFill>
                    <w14:schemeClr w14:val="tx1"/>
                  </w14:solidFill>
                </w14:textFill>
              </w:rPr>
            </w:pPr>
            <w:r>
              <w:rPr>
                <w:rFonts w:ascii="宋体" w:hAnsi="宋体" w:cs="宋体"/>
                <w:b/>
                <w:bCs/>
                <w:color w:val="000000" w:themeColor="text1"/>
                <w:lang w:bidi="ar"/>
                <w14:textFill>
                  <w14:solidFill>
                    <w14:schemeClr w14:val="tx1"/>
                  </w14:solidFill>
                </w14:textFill>
              </w:rPr>
              <w:t xml:space="preserve">展示健康积分获取相关数据</w:t>
            </w:r>
            <w:r/>
          </w:p>
        </w:tc>
      </w:tr>
      <w:tr>
        <w:trPr>
          <w:trHeight w:val="277"/>
        </w:trPr>
        <w:tc>
          <w:tcPr>
            <w:tcW w:w="485" w:type="pct"/>
            <w:vAlign w:val="center"/>
            <w:vMerge w:val="continue"/>
            <w:textDirection w:val="lrTb"/>
            <w:noWrap w:val="false"/>
          </w:tcPr>
          <w:p>
            <w:pPr>
              <w:jc w:val="lef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积分兑换</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通过兑换功能，兑换健康积分所能提供的 商品及服务</w:t>
            </w:r>
            <w:r/>
          </w:p>
        </w:tc>
      </w:tr>
      <w:tr>
        <w:trPr>
          <w:trHeight w:val="277"/>
        </w:trPr>
        <w:tc>
          <w:tcPr>
            <w:tcW w:w="485" w:type="pct"/>
            <w:vAlign w:val="center"/>
            <w:vMerge w:val="continue"/>
            <w:textDirection w:val="lrTb"/>
            <w:noWrap w:val="false"/>
          </w:tcPr>
          <w:p>
            <w:pPr>
              <w:jc w:val="lef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restart"/>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医生端</w:t>
            </w:r>
            <w:r/>
          </w:p>
        </w:tc>
        <w:tc>
          <w:tcPr>
            <w:tcW w:w="1001" w:type="pct"/>
            <w:vAlign w:val="center"/>
            <w:textDirection w:val="lrTb"/>
            <w:noWrap w:val="false"/>
          </w:tcPr>
          <w:p>
            <w:pPr>
              <w:jc w:val="center"/>
              <w:widowControl/>
              <w:rPr>
                <w:rFonts w:ascii="宋体" w:hAnsi="宋体" w:cs="宋体"/>
                <w:b/>
                <w:bCs/>
                <w:color w:val="000000" w:themeColor="text1"/>
                <w:lang w:bidi="ar"/>
                <w14:textFill>
                  <w14:solidFill>
                    <w14:schemeClr w14:val="tx1"/>
                  </w14:solidFill>
                </w14:textFill>
              </w:rPr>
            </w:pPr>
            <w:r>
              <w:rPr>
                <w:rFonts w:ascii="宋体" w:hAnsi="宋体" w:cs="宋体"/>
                <w:b/>
                <w:bCs/>
                <w:color w:val="000000" w:themeColor="text1"/>
                <w:lang w:bidi="ar"/>
                <w14:textFill>
                  <w14:solidFill>
                    <w14:schemeClr w14:val="tx1"/>
                  </w14:solidFill>
                </w14:textFill>
              </w:rPr>
              <w:t xml:space="preserve">积分审核</w:t>
            </w:r>
            <w:r/>
          </w:p>
        </w:tc>
        <w:tc>
          <w:tcPr>
            <w:tcW w:w="2903" w:type="pct"/>
            <w:vAlign w:val="center"/>
            <w:textDirection w:val="lrTb"/>
            <w:noWrap w:val="false"/>
          </w:tcPr>
          <w:p>
            <w:pPr>
              <w:jc w:val="left"/>
              <w:widowControl/>
              <w:rPr>
                <w:rFonts w:ascii="宋体" w:hAnsi="宋体" w:cs="宋体"/>
                <w:b/>
                <w:bCs/>
                <w:color w:val="000000" w:themeColor="text1"/>
                <w:lang w:bidi="ar"/>
                <w14:textFill>
                  <w14:solidFill>
                    <w14:schemeClr w14:val="tx1"/>
                  </w14:solidFill>
                </w14:textFill>
              </w:rPr>
            </w:pPr>
            <w:r>
              <w:rPr>
                <w:rFonts w:ascii="宋体" w:hAnsi="宋体" w:cs="宋体"/>
                <w:b/>
                <w:bCs/>
                <w:color w:val="000000" w:themeColor="text1"/>
                <w:lang w:bidi="ar"/>
                <w14:textFill>
                  <w14:solidFill>
                    <w14:schemeClr w14:val="tx1"/>
                  </w14:solidFill>
                </w14:textFill>
              </w:rPr>
              <w:t xml:space="preserve">医生可以查看和审核患者的健康行为。</w:t>
            </w:r>
            <w:r/>
          </w:p>
        </w:tc>
      </w:tr>
      <w:tr>
        <w:trPr>
          <w:trHeight w:val="277"/>
        </w:trPr>
        <w:tc>
          <w:tcPr>
            <w:tcW w:w="485" w:type="pct"/>
            <w:vAlign w:val="center"/>
            <w:vMerge w:val="continue"/>
            <w:textDirection w:val="lrTb"/>
            <w:noWrap w:val="false"/>
          </w:tcPr>
          <w:p>
            <w:pPr>
              <w:jc w:val="lef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center"/>
              <w:widowControl/>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001" w:type="pct"/>
            <w:vAlign w:val="center"/>
            <w:textDirection w:val="lrTb"/>
            <w:noWrap w:val="false"/>
          </w:tcPr>
          <w:p>
            <w:pPr>
              <w:jc w:val="center"/>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兑换确认</w:t>
            </w:r>
            <w:r/>
          </w:p>
        </w:tc>
        <w:tc>
          <w:tcPr>
            <w:tcW w:w="2903" w:type="pct"/>
            <w:vAlign w:val="center"/>
            <w:textDirection w:val="lrTb"/>
            <w:noWrap w:val="false"/>
          </w:tcPr>
          <w:p>
            <w:pPr>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患者自主通过患者端进行积分兑换，兑换完成后到责任医生处，由责任医生进行兑换确认</w:t>
            </w:r>
            <w:r/>
          </w:p>
        </w:tc>
      </w:tr>
      <w:tr>
        <w:trPr>
          <w:trHeight w:val="277"/>
        </w:trPr>
        <w:tc>
          <w:tcPr>
            <w:tcW w:w="485" w:type="pct"/>
            <w:vAlign w:val="center"/>
            <w:vMerge w:val="restart"/>
            <w:textDirection w:val="lrTb"/>
            <w:noWrap w:val="false"/>
          </w:tcPr>
          <w:p>
            <w:pPr>
              <w:jc w:val="lef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医保信息数据采集及统计</w:t>
            </w:r>
            <w:r/>
          </w:p>
        </w:tc>
        <w:tc>
          <w:tcPr>
            <w:tcW w:w="609" w:type="pct"/>
            <w:vAlign w:val="center"/>
            <w:vMerge w:val="restart"/>
            <w:textDirection w:val="lrTb"/>
            <w:noWrap w:val="false"/>
          </w:tcPr>
          <w:p>
            <w:pPr>
              <w:jc w:val="left"/>
              <w:widowControl/>
              <w:rPr>
                <w:rFonts w:ascii="宋体" w:hAnsi="宋体" w:cs="宋体"/>
                <w:color w:val="000000" w:themeColor="text1"/>
                <w:lang w:bidi="ar"/>
                <w14:textFill>
                  <w14:solidFill>
                    <w14:schemeClr w14:val="tx1"/>
                  </w14:solidFill>
                </w14:textFill>
              </w:rPr>
            </w:pPr>
            <w:r>
              <w:rPr>
                <w:rFonts w:ascii="宋体" w:hAnsi="宋体" w:cs="宋体"/>
                <w:color w:val="000000" w:themeColor="text1"/>
                <w:lang w:bidi="ar"/>
                <w14:textFill>
                  <w14:solidFill>
                    <w14:schemeClr w14:val="tx1"/>
                  </w14:solidFill>
                </w14:textFill>
              </w:rPr>
              <w:t xml:space="preserve">医保信息数据采集及统计</w:t>
            </w:r>
            <w:r/>
          </w:p>
        </w:tc>
        <w:tc>
          <w:tcPr>
            <w:tcW w:w="1001" w:type="pct"/>
            <w:vAlign w:val="center"/>
            <w:textDirection w:val="lrTb"/>
            <w:noWrap w:val="false"/>
          </w:tcPr>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患者就诊</w:t>
            </w:r>
            <w:r/>
          </w:p>
        </w:tc>
        <w:tc>
          <w:tcPr>
            <w:tcW w:w="2903" w:type="pct"/>
            <w:vAlign w:val="center"/>
            <w:textDirection w:val="lrTb"/>
            <w:noWrap w:val="false"/>
          </w:tcPr>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基本信息：姓名、家庭住址、身份证号码</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医疗类型：职工、居民</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患者类型：慢性病人群、非慢性病人群</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医疗费用：医疗总费用、医保报销费用</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住院费用情况：住院总费用、医保报销费用、药品费用、其它费用</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门诊费用情况：门诊总费用、医保报销费用、药品费用、其它费用</w:t>
            </w:r>
            <w:r/>
          </w:p>
        </w:tc>
      </w:tr>
      <w:tr>
        <w:trPr>
          <w:trHeight w:val="277"/>
        </w:trPr>
        <w:tc>
          <w:tcPr>
            <w:tcW w:w="485" w:type="pct"/>
            <w:vAlign w:val="center"/>
            <w:vMerge w:val="continue"/>
            <w:textDirection w:val="lrTb"/>
            <w:noWrap w:val="false"/>
          </w:tcPr>
          <w:p>
            <w:pPr>
              <w:jc w:val="lef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left"/>
              <w:widowControl/>
              <w:rPr>
                <w:rFonts w:ascii="宋体" w:hAnsi="宋体" w:cs="宋体"/>
                <w:color w:val="000000" w:themeColor="text1"/>
                <w:lang w:bidi="ar"/>
                <w14:textFill>
                  <w14:solidFill>
                    <w14:schemeClr w14:val="tx1"/>
                  </w14:solidFill>
                </w14:textFill>
              </w:rPr>
            </w:pPr>
            <w:r>
              <w:rPr>
                <w:rFonts w:ascii="宋体" w:hAnsi="宋体" w:cs="宋体"/>
                <w:color w:val="000000" w:themeColor="text1"/>
                <w:lang w:bidi="ar"/>
                <w14:textFill>
                  <w14:solidFill>
                    <w14:schemeClr w14:val="tx1"/>
                  </w14:solidFill>
                </w14:textFill>
              </w:rPr>
            </w:r>
            <w:r/>
          </w:p>
        </w:tc>
        <w:tc>
          <w:tcPr>
            <w:tcW w:w="1001" w:type="pct"/>
            <w:vAlign w:val="center"/>
            <w:textDirection w:val="lrTb"/>
            <w:noWrap w:val="false"/>
          </w:tcPr>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基层医疗机构就诊</w:t>
            </w:r>
            <w:r/>
          </w:p>
        </w:tc>
        <w:tc>
          <w:tcPr>
            <w:tcW w:w="2903" w:type="pct"/>
            <w:vAlign w:val="center"/>
            <w:textDirection w:val="lrTb"/>
            <w:noWrap w:val="false"/>
          </w:tcPr>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医疗费用：医疗总费用、医保报销费用</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住院费用情况：住院总费用、医保报销费用、药品费用、其它费用</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门诊费用情况：门诊总费用、医保报销费用、药品费用、其它费用</w:t>
            </w:r>
            <w:r/>
          </w:p>
        </w:tc>
      </w:tr>
      <w:tr>
        <w:trPr>
          <w:trHeight w:val="277"/>
        </w:trPr>
        <w:tc>
          <w:tcPr>
            <w:tcW w:w="485" w:type="pct"/>
            <w:vAlign w:val="center"/>
            <w:vMerge w:val="continue"/>
            <w:textDirection w:val="lrTb"/>
            <w:noWrap w:val="false"/>
          </w:tcPr>
          <w:p>
            <w:pPr>
              <w:jc w:val="lef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left"/>
              <w:widowControl/>
              <w:rPr>
                <w:rFonts w:ascii="宋体" w:hAnsi="宋体" w:cs="宋体"/>
                <w:color w:val="000000" w:themeColor="text1"/>
                <w:lang w:bidi="ar"/>
                <w14:textFill>
                  <w14:solidFill>
                    <w14:schemeClr w14:val="tx1"/>
                  </w14:solidFill>
                </w14:textFill>
              </w:rPr>
            </w:pPr>
            <w:r>
              <w:rPr>
                <w:rFonts w:ascii="宋体" w:hAnsi="宋体" w:cs="宋体"/>
                <w:color w:val="000000" w:themeColor="text1"/>
                <w:lang w:bidi="ar"/>
                <w14:textFill>
                  <w14:solidFill>
                    <w14:schemeClr w14:val="tx1"/>
                  </w14:solidFill>
                </w14:textFill>
              </w:rPr>
            </w:r>
            <w:r/>
          </w:p>
        </w:tc>
        <w:tc>
          <w:tcPr>
            <w:tcW w:w="1001" w:type="pct"/>
            <w:vAlign w:val="center"/>
            <w:textDirection w:val="lrTb"/>
            <w:noWrap w:val="false"/>
          </w:tcPr>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其他二级及以上医疗机构就诊</w:t>
            </w:r>
            <w:r/>
          </w:p>
        </w:tc>
        <w:tc>
          <w:tcPr>
            <w:tcW w:w="2903" w:type="pct"/>
            <w:vAlign w:val="center"/>
            <w:textDirection w:val="lrTb"/>
            <w:noWrap w:val="false"/>
          </w:tcPr>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医疗费用：医疗总费用、医保报销费用</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住院费用情况：住院总费用、医保报销费用、药品费用、其它费用</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门诊费用情况：门诊总费用、医保报销费用、药品费用、其它费用</w:t>
            </w:r>
            <w:r/>
          </w:p>
        </w:tc>
      </w:tr>
      <w:tr>
        <w:trPr>
          <w:trHeight w:val="277"/>
        </w:trPr>
        <w:tc>
          <w:tcPr>
            <w:tcW w:w="485" w:type="pct"/>
            <w:vAlign w:val="center"/>
            <w:vMerge w:val="continue"/>
            <w:textDirection w:val="lrTb"/>
            <w:noWrap w:val="false"/>
          </w:tcPr>
          <w:p>
            <w:pPr>
              <w:jc w:val="lef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609" w:type="pct"/>
            <w:vAlign w:val="center"/>
            <w:vMerge w:val="continue"/>
            <w:textDirection w:val="lrTb"/>
            <w:noWrap w:val="false"/>
          </w:tcPr>
          <w:p>
            <w:pPr>
              <w:jc w:val="left"/>
              <w:widowControl/>
              <w:rPr>
                <w:rFonts w:ascii="宋体" w:hAnsi="宋体" w:cs="宋体"/>
                <w:color w:val="000000" w:themeColor="text1"/>
                <w:lang w:bidi="ar"/>
                <w14:textFill>
                  <w14:solidFill>
                    <w14:schemeClr w14:val="tx1"/>
                  </w14:solidFill>
                </w14:textFill>
              </w:rPr>
            </w:pPr>
            <w:r>
              <w:rPr>
                <w:rFonts w:ascii="宋体" w:hAnsi="宋体" w:cs="宋体"/>
                <w:color w:val="000000" w:themeColor="text1"/>
                <w:lang w:bidi="ar"/>
                <w14:textFill>
                  <w14:solidFill>
                    <w14:schemeClr w14:val="tx1"/>
                  </w14:solidFill>
                </w14:textFill>
              </w:rPr>
            </w:r>
            <w:r/>
          </w:p>
        </w:tc>
        <w:tc>
          <w:tcPr>
            <w:tcW w:w="1001" w:type="pct"/>
            <w:vAlign w:val="center"/>
            <w:textDirection w:val="lrTb"/>
            <w:noWrap w:val="false"/>
          </w:tcPr>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其他</w:t>
            </w:r>
            <w:r/>
          </w:p>
        </w:tc>
        <w:tc>
          <w:tcPr>
            <w:tcW w:w="2903" w:type="pct"/>
            <w:vAlign w:val="center"/>
            <w:textDirection w:val="lrTb"/>
            <w:noWrap w:val="false"/>
          </w:tcPr>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药店购药费用情况：药店购药费用情况、医保支出费用</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基层医疗机构费用情况：总费用支出占比、医保费用支出占比</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9"/>
        <w:numPr>
          <w:ilvl w:val="2"/>
          <w:numId w:val="0"/>
        </w:numPr>
        <w:spacing w:before="156" w:after="156"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4.4. 信息安全方案</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w:t>
      </w:r>
      <w:r>
        <w:rPr>
          <w:rFonts w:hint="eastAsia" w:ascii="宋体" w:hAnsi="宋体" w:cs="宋体"/>
          <w:color w:val="000000" w:themeColor="text1"/>
          <w:szCs w:val="21"/>
          <w14:textFill>
            <w14:solidFill>
              <w14:schemeClr w14:val="tx1"/>
            </w14:solidFill>
          </w14:textFill>
        </w:rPr>
        <w:t xml:space="preserve">供应商提供完整的系统安全方案，以下为安全建设的具体技术要求：</w:t>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4.4.1. 安全建设目标</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供应商需满足以下安全建设目标并提供相应的方案说明：</w:t>
      </w:r>
      <w:r/>
    </w:p>
    <w:tbl>
      <w:tblPr>
        <w:tblStyle w:val="747"/>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532"/>
        <w:gridCol w:w="6988"/>
      </w:tblGrid>
      <w:tr>
        <w:trPr>
          <w:trHeight w:val="618"/>
        </w:trPr>
        <w:tc>
          <w:tcPr>
            <w:tcBorders>
              <w:top w:val="single" w:color="000000" w:sz="8" w:space="0"/>
              <w:left w:val="single" w:color="000000" w:sz="8" w:space="0"/>
              <w:bottom w:val="single" w:color="000000" w:sz="8" w:space="0"/>
              <w:right w:val="single" w:color="000000" w:sz="8" w:space="0"/>
            </w:tcBorders>
            <w:tcW w:w="899" w:type="pct"/>
            <w:vAlign w:val="center"/>
            <w:textDirection w:val="lrTb"/>
            <w:noWrap w:val="false"/>
          </w:tcPr>
          <w:p>
            <w:pPr>
              <w:jc w:val="center"/>
              <w:spacing w:line="360" w:lineRule="auto"/>
              <w:widowControl/>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14:ligatures w14:val="standardContextual"/>
              </w:rPr>
              <w:t xml:space="preserve">安全目标</w:t>
            </w:r>
            <w:r/>
          </w:p>
        </w:tc>
        <w:tc>
          <w:tcPr>
            <w:tcBorders>
              <w:top w:val="single" w:color="000000" w:sz="8" w:space="0"/>
              <w:left w:val="single" w:color="000000" w:sz="8" w:space="0"/>
              <w:bottom w:val="single" w:color="000000" w:sz="8" w:space="0"/>
              <w:right w:val="single" w:color="000000" w:sz="8" w:space="0"/>
            </w:tcBorders>
            <w:tcW w:w="4100" w:type="pct"/>
            <w:vAlign w:val="center"/>
            <w:textDirection w:val="lrTb"/>
            <w:noWrap w:val="false"/>
          </w:tcPr>
          <w:p>
            <w:pPr>
              <w:jc w:val="center"/>
              <w:spacing w:line="360" w:lineRule="auto"/>
              <w:widowControl/>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14:ligatures w14:val="standardContextual"/>
              </w:rPr>
              <w:t xml:space="preserve">具体要求</w:t>
            </w:r>
            <w:r/>
          </w:p>
        </w:tc>
      </w:tr>
      <w:tr>
        <w:trPr>
          <w:trHeight w:val="803"/>
        </w:trPr>
        <w:tc>
          <w:tcPr>
            <w:tcBorders>
              <w:top w:val="single" w:color="000000" w:sz="8" w:space="0"/>
              <w:left w:val="single" w:color="000000" w:sz="8" w:space="0"/>
              <w:bottom w:val="single" w:color="000000" w:sz="8" w:space="0"/>
              <w:right w:val="single" w:color="000000" w:sz="8" w:space="0"/>
            </w:tcBorders>
            <w:tcW w:w="899" w:type="pct"/>
            <w:vAlign w:val="center"/>
            <w:textDirection w:val="lrTb"/>
            <w:noWrap w:val="false"/>
          </w:tcPr>
          <w:p>
            <w:pP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14:ligatures w14:val="standardContextual"/>
              </w:rPr>
              <w:t xml:space="preserve">合规性</w:t>
            </w:r>
            <w:r/>
          </w:p>
        </w:tc>
        <w:tc>
          <w:tcPr>
            <w:tcBorders>
              <w:top w:val="single" w:color="000000" w:sz="8" w:space="0"/>
              <w:left w:val="single" w:color="000000" w:sz="8" w:space="0"/>
              <w:bottom w:val="single" w:color="000000" w:sz="8" w:space="0"/>
              <w:right w:val="single" w:color="000000" w:sz="8" w:space="0"/>
            </w:tcBorders>
            <w:tcW w:w="4100" w:type="pct"/>
            <w:vAlign w:val="center"/>
            <w:textDirection w:val="lrTb"/>
            <w:noWrap w:val="false"/>
          </w:tcPr>
          <w:p>
            <w:pP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14:ligatures w14:val="standardContextual"/>
              </w:rPr>
              <w:t xml:space="preserve">满足《网络安全法》《数据安全法》《个人信息保护法》《医疗卫生机构网络安全管理办法》等法规要求</w:t>
            </w:r>
            <w:r/>
          </w:p>
        </w:tc>
      </w:tr>
      <w:tr>
        <w:trPr>
          <w:trHeight w:val="540"/>
        </w:trPr>
        <w:tc>
          <w:tcPr>
            <w:tcBorders>
              <w:top w:val="single" w:color="000000" w:sz="8" w:space="0"/>
              <w:left w:val="single" w:color="000000" w:sz="8" w:space="0"/>
              <w:bottom w:val="single" w:color="000000" w:sz="8" w:space="0"/>
              <w:right w:val="single" w:color="000000" w:sz="8" w:space="0"/>
            </w:tcBorders>
            <w:tcW w:w="899" w:type="pct"/>
            <w:vAlign w:val="center"/>
            <w:textDirection w:val="lrTb"/>
            <w:noWrap w:val="false"/>
          </w:tcPr>
          <w:p>
            <w:pP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14:ligatures w14:val="standardContextual"/>
              </w:rPr>
              <w:t xml:space="preserve">等保达标</w:t>
            </w:r>
            <w:r/>
          </w:p>
        </w:tc>
        <w:tc>
          <w:tcPr>
            <w:tcBorders>
              <w:top w:val="single" w:color="000000" w:sz="8" w:space="0"/>
              <w:left w:val="single" w:color="000000" w:sz="8" w:space="0"/>
              <w:bottom w:val="single" w:color="000000" w:sz="8" w:space="0"/>
              <w:right w:val="single" w:color="000000" w:sz="8" w:space="0"/>
            </w:tcBorders>
            <w:tcW w:w="4100" w:type="pct"/>
            <w:vAlign w:val="center"/>
            <w:textDirection w:val="lrTb"/>
            <w:noWrap w:val="false"/>
          </w:tcPr>
          <w:p>
            <w:pP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14:ligatures w14:val="standardContextual"/>
              </w:rPr>
              <w:t xml:space="preserve">系统须满足网络安全等级保护三级要求，投标人须配合完成等保测评</w:t>
            </w:r>
            <w:r/>
          </w:p>
        </w:tc>
      </w:tr>
      <w:tr>
        <w:trPr>
          <w:trHeight w:val="803"/>
        </w:trPr>
        <w:tc>
          <w:tcPr>
            <w:tcBorders>
              <w:top w:val="single" w:color="000000" w:sz="8" w:space="0"/>
              <w:left w:val="single" w:color="000000" w:sz="8" w:space="0"/>
              <w:bottom w:val="single" w:color="000000" w:sz="8" w:space="0"/>
              <w:right w:val="single" w:color="000000" w:sz="8" w:space="0"/>
            </w:tcBorders>
            <w:tcW w:w="899" w:type="pct"/>
            <w:vAlign w:val="center"/>
            <w:textDirection w:val="lrTb"/>
            <w:noWrap w:val="false"/>
          </w:tcPr>
          <w:p>
            <w:pP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14:ligatures w14:val="standardContextual"/>
              </w:rPr>
              <w:t xml:space="preserve">数据全生命周期保护</w:t>
            </w:r>
            <w:r/>
          </w:p>
        </w:tc>
        <w:tc>
          <w:tcPr>
            <w:tcBorders>
              <w:top w:val="single" w:color="000000" w:sz="8" w:space="0"/>
              <w:left w:val="single" w:color="000000" w:sz="8" w:space="0"/>
              <w:bottom w:val="single" w:color="000000" w:sz="8" w:space="0"/>
              <w:right w:val="single" w:color="000000" w:sz="8" w:space="0"/>
            </w:tcBorders>
            <w:tcW w:w="4100" w:type="pct"/>
            <w:vAlign w:val="center"/>
            <w:textDirection w:val="lrTb"/>
            <w:noWrap w:val="false"/>
          </w:tcPr>
          <w:p>
            <w:pP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14:ligatures w14:val="standardContextual"/>
              </w:rPr>
              <w:t xml:space="preserve">从数据采集、传输、存储、使用、共享到销毁的全过程安全管控</w:t>
            </w:r>
            <w:r/>
          </w:p>
        </w:tc>
      </w:tr>
    </w:tbl>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4.4.2. 数据安全管理</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（1）传输安全</w:t>
      </w:r>
      <w:r/>
    </w:p>
    <w:p>
      <w:pPr>
        <w:numPr>
          <w:ilvl w:val="0"/>
          <w:numId w:val="6"/>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API接口须支持基于Token或数字签名的身份验证机制</w:t>
      </w:r>
      <w:r/>
    </w:p>
    <w:p>
      <w:pPr>
        <w:numPr>
          <w:ilvl w:val="0"/>
          <w:numId w:val="7"/>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视图接口须限定白名单IP访问</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（2）存储安全</w:t>
      </w:r>
      <w:r/>
    </w:p>
    <w:p>
      <w:pPr>
        <w:numPr>
          <w:ilvl w:val="0"/>
          <w:numId w:val="8"/>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加密算法支持国密SM4或AES-256</w:t>
      </w:r>
      <w:r/>
    </w:p>
    <w:p>
      <w:pPr>
        <w:numPr>
          <w:ilvl w:val="0"/>
          <w:numId w:val="9"/>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数据库访问权限分级控制，支持行级/列级权限管理</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（3）隐私保护</w:t>
      </w:r>
      <w:r/>
    </w:p>
    <w:p>
      <w:pPr>
        <w:numPr>
          <w:ilvl w:val="0"/>
          <w:numId w:val="10"/>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前端页面展示默认脱敏（姓名中间字显示、身份证号显示前6后4、手机号中间4位）</w:t>
      </w:r>
      <w:r/>
    </w:p>
    <w:p>
      <w:pPr>
        <w:numPr>
          <w:ilvl w:val="0"/>
          <w:numId w:val="11"/>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批量导出患者数据需留痕审计</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（4）审计追溯</w:t>
      </w:r>
      <w:r/>
    </w:p>
    <w:p>
      <w:pPr>
        <w:numPr>
          <w:ilvl w:val="0"/>
          <w:numId w:val="12"/>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所有敏感操作记录完整审计日志（操作人、时间、操作类型、操作对象、操作结果）</w:t>
      </w:r>
      <w:r/>
    </w:p>
    <w:p>
      <w:pPr>
        <w:numPr>
          <w:ilvl w:val="0"/>
          <w:numId w:val="13"/>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审计日志存储不少于12个月，支持检索与导出</w:t>
      </w:r>
      <w:r/>
    </w:p>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4.4.3. 应用安全要求</w:t>
      </w:r>
      <w:r/>
    </w:p>
    <w:p>
      <w:pPr>
        <w:numPr>
          <w:ilvl w:val="0"/>
          <w:numId w:val="14"/>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用户权限按角色最小集分配</w:t>
      </w:r>
      <w:r/>
    </w:p>
    <w:p>
      <w:pPr>
        <w:numPr>
          <w:ilvl w:val="0"/>
          <w:numId w:val="15"/>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所有用户输入接口进行防注入（SQL注入/XSS）过滤</w:t>
      </w:r>
      <w:r/>
    </w:p>
    <w:p>
      <w:pPr>
        <w:numPr>
          <w:ilvl w:val="0"/>
          <w:numId w:val="16"/>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系统须具备完备的接口防滥用机制（接口频率限制、白名单校验、异常调用检测）</w:t>
      </w:r>
      <w:r/>
    </w:p>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4.4.4. 网络安全与基础设施</w:t>
      </w:r>
      <w:r/>
    </w:p>
    <w:p>
      <w:pPr>
        <w:numPr>
          <w:ilvl w:val="0"/>
          <w:numId w:val="17"/>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系统须部署于政务云/医疗云环境，云平台须具备等保三级资质</w:t>
      </w:r>
      <w:r/>
    </w:p>
    <w:p>
      <w:pPr>
        <w:numPr>
          <w:ilvl w:val="0"/>
          <w:numId w:val="18"/>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对外暴露的接口须通过WAF防护</w:t>
      </w:r>
      <w:r/>
    </w:p>
    <w:p>
      <w:pPr>
        <w:numPr>
          <w:ilvl w:val="0"/>
          <w:numId w:val="19"/>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系统所在地与云端之间的数据传输须通过VPN/专线加密</w:t>
      </w:r>
      <w:r/>
    </w:p>
    <w:p>
      <w:pPr>
        <w:numPr>
          <w:ilvl w:val="0"/>
          <w:numId w:val="20"/>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操作系统安全加固，关闭无关端口和服务</w:t>
      </w:r>
      <w:r/>
    </w:p>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4.4.5. 安全管理制度</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供应商须提供以下安全管理制度体系文件：</w:t>
      </w:r>
      <w:r/>
    </w:p>
    <w:p>
      <w:pPr>
        <w:numPr>
          <w:ilvl w:val="0"/>
          <w:numId w:val="21"/>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安全管理机构及岗位职责说明</w:t>
      </w:r>
      <w:r/>
    </w:p>
    <w:p>
      <w:pPr>
        <w:numPr>
          <w:ilvl w:val="0"/>
          <w:numId w:val="22"/>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人员安全管理制度（入职/离职/权限回收）</w:t>
      </w:r>
      <w:r/>
    </w:p>
    <w:p>
      <w:pPr>
        <w:numPr>
          <w:ilvl w:val="0"/>
          <w:numId w:val="23"/>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系统安全运维管理制度（补丁更新、漏洞修复、定期巡检）</w:t>
      </w:r>
      <w:r/>
    </w:p>
    <w:p>
      <w:pPr>
        <w:numPr>
          <w:ilvl w:val="0"/>
          <w:numId w:val="24"/>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数据安全事件应急预案（应急响应流程、数据恢复演练）</w:t>
      </w:r>
      <w:r/>
    </w:p>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4.4.6. 备份与恢复</w:t>
      </w:r>
      <w:r/>
    </w:p>
    <w:p>
      <w:pPr>
        <w:numPr>
          <w:ilvl w:val="0"/>
          <w:numId w:val="25"/>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每日自动</w:t>
      </w:r>
      <w:r>
        <w:rPr>
          <w:rFonts w:hint="eastAsia"/>
          <w:color w:val="000000" w:themeColor="text1"/>
          <w14:textFill>
            <w14:solidFill>
              <w14:schemeClr w14:val="tx1"/>
            </w14:solidFill>
          </w14:textFill>
        </w:rPr>
        <w:t xml:space="preserve">增</w:t>
      </w:r>
      <w:r>
        <w:rPr>
          <w:color w:val="000000" w:themeColor="text1"/>
          <w14:textFill>
            <w14:solidFill>
              <w14:schemeClr w14:val="tx1"/>
            </w14:solidFill>
          </w14:textFill>
        </w:rPr>
        <w:t xml:space="preserve">备份</w:t>
      </w:r>
      <w:r>
        <w:rPr>
          <w:rFonts w:hint="eastAsia"/>
          <w:color w:val="000000" w:themeColor="text1"/>
          <w14:textFill>
            <w14:solidFill>
              <w14:schemeClr w14:val="tx1"/>
            </w14:solidFill>
          </w14:textFill>
        </w:rPr>
        <w:t xml:space="preserve"> </w:t>
      </w:r>
      <w:r/>
    </w:p>
    <w:p>
      <w:pPr>
        <w:numPr>
          <w:ilvl w:val="0"/>
          <w:numId w:val="26"/>
        </w:num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恢复目标：RTO≤4小时，RPO≤24小时</w:t>
      </w:r>
      <w:r/>
    </w:p>
    <w:p>
      <w:pPr>
        <w:pStyle w:val="738"/>
        <w:ind w:left="-431"/>
        <w:spacing w:line="360" w:lineRule="auto"/>
        <w:rPr>
          <w:rFonts w:ascii="宋体" w:hAnsi="宋体" w:eastAsia="宋体" w:cs="Times New Roman"/>
          <w:b/>
          <w:bCs/>
          <w:color w:val="000000" w:themeColor="text1"/>
          <w:sz w:val="24"/>
          <w14:textFill>
            <w14:solidFill>
              <w14:schemeClr w14:val="tx1"/>
            </w14:solidFill>
          </w14:textFill>
        </w:rPr>
      </w:pPr>
      <w:r>
        <w:rPr>
          <w:rFonts w:hint="eastAsia" w:ascii="宋体" w:hAnsi="宋体" w:eastAsia="宋体" w:cs="Times New Roman"/>
          <w:b/>
          <w:bCs/>
          <w:color w:val="000000" w:themeColor="text1"/>
          <w:sz w:val="24"/>
          <w:szCs w:val="56"/>
          <w14:textFill>
            <w14:solidFill>
              <w14:schemeClr w14:val="tx1"/>
            </w14:solidFill>
          </w14:textFill>
        </w:rPr>
        <w:t xml:space="preserve">（五）</w:t>
      </w:r>
      <w:r>
        <w:rPr>
          <w:rFonts w:hint="eastAsia" w:ascii="宋体" w:hAnsi="宋体" w:eastAsia="宋体" w:cs="Times New Roman"/>
          <w:b/>
          <w:bCs/>
          <w:color w:val="000000" w:themeColor="text1"/>
          <w:sz w:val="24"/>
          <w14:textFill>
            <w14:solidFill>
              <w14:schemeClr w14:val="tx1"/>
            </w14:solidFill>
          </w14:textFill>
        </w:rPr>
        <w:t xml:space="preserve">项目实施管理方案</w:t>
      </w:r>
      <w:r/>
    </w:p>
    <w:p>
      <w:pPr>
        <w:ind w:firstLine="422"/>
        <w:spacing w:line="360" w:lineRule="auto"/>
        <w:rPr>
          <w:rFonts w:ascii="宋体" w:hAnsi="宋体" w:eastAsia="宋体" w:cs="宋体"/>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5.1</w:t>
      </w:r>
      <w:r>
        <w:rPr>
          <w:rFonts w:hint="eastAsia" w:ascii="宋体" w:hAnsi="宋体" w:eastAsia="宋体" w:cs="宋体"/>
          <w:b/>
          <w:bCs/>
          <w:color w:val="000000" w:themeColor="text1"/>
          <w14:textFill>
            <w14:solidFill>
              <w14:schemeClr w14:val="tx1"/>
            </w14:solidFill>
          </w14:textFill>
        </w:rPr>
        <w:t xml:space="preserve">本项目总工期</w:t>
      </w:r>
      <w:r>
        <w:rPr>
          <w:rFonts w:hint="eastAsia" w:ascii="宋体" w:hAnsi="宋体" w:eastAsia="宋体" w:cs="宋体"/>
          <w:b/>
          <w:bCs/>
          <w:color w:val="000000" w:themeColor="text1"/>
          <w:lang w:val="en-US" w:eastAsia="zh-CN"/>
          <w14:textFill>
            <w14:solidFill>
              <w14:schemeClr w14:val="tx1"/>
            </w14:solidFill>
          </w14:textFill>
        </w:rPr>
        <w:t xml:space="preserve">安排预计</w:t>
      </w:r>
      <w:r>
        <w:rPr>
          <w:rFonts w:hint="eastAsia" w:ascii="宋体" w:hAnsi="宋体" w:eastAsia="宋体" w:cs="宋体"/>
          <w:b/>
          <w:bCs/>
          <w:color w:val="000000" w:themeColor="text1"/>
          <w14:textFill>
            <w14:solidFill>
              <w14:schemeClr w14:val="tx1"/>
            </w14:solidFill>
          </w14:textFill>
        </w:rPr>
        <w:t xml:space="preserve">为</w:t>
      </w:r>
      <w:r>
        <w:rPr>
          <w:rFonts w:ascii="宋体" w:hAnsi="宋体" w:eastAsia="宋体" w:cs="宋体"/>
          <w:b/>
          <w:bCs/>
          <w:color w:val="000000" w:themeColor="text1"/>
          <w14:textFill>
            <w14:solidFill>
              <w14:schemeClr w14:val="tx1"/>
            </w14:solidFill>
          </w14:textFill>
        </w:rPr>
        <w:t xml:space="preserve">4个</w:t>
      </w:r>
      <w:r>
        <w:rPr>
          <w:rFonts w:hint="eastAsia" w:ascii="宋体" w:hAnsi="宋体" w:eastAsia="宋体" w:cs="宋体"/>
          <w:b/>
          <w:bCs/>
          <w:color w:val="000000" w:themeColor="text1"/>
          <w14:textFill>
            <w14:solidFill>
              <w14:schemeClr w14:val="tx1"/>
            </w14:solidFill>
          </w14:textFill>
        </w:rPr>
        <w:t xml:space="preserve">月，分为以下几个阶段：</w:t>
      </w:r>
      <w:r>
        <w:rPr>
          <w:rFonts w:hint="eastAsia" w:ascii="宋体" w:hAnsi="宋体" w:eastAsia="宋体" w:cs="宋体"/>
          <w:color w:val="000000" w:themeColor="text1"/>
          <w14:textFill>
            <w14:solidFill>
              <w14:schemeClr w14:val="tx1"/>
            </w14:solidFill>
          </w14:textFill>
        </w:rPr>
        <w:t xml:space="preserve"> </w:t>
      </w:r>
      <w:r/>
    </w:p>
    <w:p>
      <w:pPr>
        <w:ind w:firstLine="42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启动与规划阶段（第0.5个月）：成立项目管理小组，明确各成员职责；开展项目需求调研，深入了解医疗机构的现状、需求和痛点；制定详细的项目实施方案，包括项目目标、范围、进度计划、质量控制措施等；组织项目启动会议，向</w:t>
      </w:r>
      <w:r>
        <w:rPr>
          <w:rFonts w:hint="eastAsia" w:ascii="宋体" w:hAnsi="宋体" w:eastAsia="宋体" w:cs="宋体"/>
          <w:color w:val="000000" w:themeColor="text1"/>
          <w:lang w:val="en-US"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传达项目目标和计划，确保各方达成共识。 </w:t>
      </w:r>
      <w:r/>
    </w:p>
    <w:p>
      <w:pPr>
        <w:ind w:firstLine="42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系统设计与开发阶段（第0.5～2个月）：根据需求调研结果，进行慢病数据中心、慢病管理系统和治理监管系统的系统设计，包括架构设计、功能模块设计、数据库设计等；完成系统的开发工作，进行测试和优化，确保系统的稳定性和功能完整性。 </w:t>
      </w:r>
      <w:r/>
    </w:p>
    <w:p>
      <w:pPr>
        <w:ind w:firstLine="42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系统部署与集成阶段（第2～3个月）：在医疗机构进行系统部署安装，进行系统的联调测试，确保各个系统之间的协同工作正常。 </w:t>
      </w:r>
      <w:r/>
    </w:p>
    <w:p>
      <w:pPr>
        <w:ind w:firstLine="42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培训与试运行阶段（第3～3.5个月）：组织对医院医护人员和相关管理人员的系统操作培训，使其熟悉系统的功能和使用方法；开展系统的试运行工作，在实际业务场景中对系统进行测试和优化，及时发现并解决问题；收集用户反馈意见，对系统进行进一步的改进和完善。 </w:t>
      </w:r>
      <w:r/>
    </w:p>
    <w:p>
      <w:pPr>
        <w:ind w:firstLine="42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正式运行与项目验收阶段（第3.5～4个月）：按照项目验收标准，对项目进行全面验收，包括系统功能、性能、安全性å等方面的验收；验收合格后，项目正式投入全面运行；建立项目运维团队，负责系统的日常维护和升级工作，确保系统的持续稳定运行。</w:t>
      </w:r>
      <w:r/>
    </w:p>
    <w:p>
      <w:pPr>
        <w:ind w:firstLine="442"/>
        <w:spacing w:line="360" w:lineRule="auto"/>
        <w:rPr>
          <w:rFonts w:ascii="宋体" w:hAnsi="宋体" w:eastAsia="宋体" w:cs="宋体"/>
          <w:b/>
          <w:bCs/>
          <w:color w:val="000000" w:themeColor="text1"/>
          <w:szCs w:val="21"/>
          <w14:textFill>
            <w14:solidFill>
              <w14:schemeClr w14:val="tx1"/>
            </w14:solidFill>
          </w14:textFill>
        </w:rPr>
      </w:pPr>
      <w:r>
        <w:rPr>
          <w:rFonts w:ascii="宋体" w:hAnsi="宋体" w:eastAsia="宋体" w:cs="Times New Roman"/>
          <w:b/>
          <w:bCs/>
          <w:color w:val="000000" w:themeColor="text1"/>
          <w:sz w:val="22"/>
          <w:szCs w:val="52"/>
          <w14:textFill>
            <w14:solidFill>
              <w14:schemeClr w14:val="tx1"/>
            </w14:solidFill>
          </w14:textFill>
        </w:rPr>
        <w:t xml:space="preserve">5.2</w:t>
      </w:r>
      <w:r>
        <w:rPr>
          <w:rFonts w:hint="eastAsia" w:ascii="宋体" w:hAnsi="宋体" w:eastAsia="宋体" w:cs="宋体"/>
          <w:b/>
          <w:bCs/>
          <w:color w:val="000000" w:themeColor="text1"/>
          <w:szCs w:val="21"/>
          <w14:textFill>
            <w14:solidFill>
              <w14:schemeClr w14:val="tx1"/>
            </w14:solidFill>
          </w14:textFill>
        </w:rPr>
        <w:t xml:space="preserve">实施团队组织</w:t>
      </w:r>
      <w:r/>
    </w:p>
    <w:p>
      <w:pPr>
        <w:ind w:firstLine="42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（1）管理团队</w:t>
      </w:r>
      <w:r/>
    </w:p>
    <w:p>
      <w:pPr>
        <w:ind w:firstLine="42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职责说明：项目组长由</w:t>
      </w:r>
      <w:r>
        <w:rPr>
          <w:rFonts w:hint="eastAsia" w:ascii="宋体" w:hAnsi="宋体" w:eastAsia="宋体" w:cs="宋体"/>
          <w:color w:val="000000" w:themeColor="text1"/>
          <w:lang w:val="en-US"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负责人担任，领导和负责整个项目的协调实施，并监督项目进展及工程质量。</w:t>
      </w:r>
      <w:r>
        <w:rPr>
          <w:rFonts w:hint="eastAsia" w:ascii="宋体" w:hAnsi="宋体" w:eastAsia="宋体" w:cs="宋体"/>
          <w:color w:val="000000" w:themeColor="text1"/>
          <w:lang w:val="en-US" w:eastAsia="zh-CN"/>
          <w14:textFill>
            <w14:solidFill>
              <w14:schemeClr w14:val="tx1"/>
            </w14:solidFill>
          </w14:textFill>
        </w:rPr>
        <w:t xml:space="preserve">中标人</w:t>
      </w:r>
      <w:r>
        <w:rPr>
          <w:rFonts w:hint="eastAsia" w:ascii="宋体" w:hAnsi="宋体" w:eastAsia="宋体" w:cs="宋体"/>
          <w:color w:val="000000" w:themeColor="text1"/>
          <w14:textFill>
            <w14:solidFill>
              <w14:schemeClr w14:val="tx1"/>
            </w14:solidFill>
          </w14:textFill>
        </w:rPr>
        <w:t xml:space="preserve">项目经理承担项目交付和项目管理职责，与</w:t>
      </w:r>
      <w:r>
        <w:rPr>
          <w:rFonts w:hint="eastAsia" w:ascii="宋体" w:hAnsi="宋体" w:eastAsia="宋体" w:cs="宋体"/>
          <w:color w:val="000000" w:themeColor="text1"/>
          <w:lang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沟通进行基础数据调研，包括</w:t>
      </w:r>
      <w:r>
        <w:rPr>
          <w:rFonts w:hint="eastAsia" w:ascii="宋体" w:hAnsi="宋体" w:eastAsia="宋体" w:cs="宋体"/>
          <w:color w:val="000000" w:themeColor="text1"/>
          <w:lang w:val="en-US"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组织结构、权限调研等，并负责组织实施人员的准备工作，制定项目实施计划与实施进度。</w:t>
      </w:r>
      <w:r/>
    </w:p>
    <w:p>
      <w:pPr>
        <w:ind w:firstLine="42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（2）技术团队</w:t>
      </w:r>
      <w:r/>
    </w:p>
    <w:p>
      <w:pPr>
        <w:ind w:firstLine="42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职责说明：</w:t>
      </w:r>
      <w:r>
        <w:rPr>
          <w:rFonts w:hint="eastAsia" w:ascii="宋体" w:hAnsi="宋体" w:eastAsia="宋体" w:cs="宋体"/>
          <w:color w:val="000000" w:themeColor="text1"/>
          <w:lang w:val="en-US" w:eastAsia="zh-CN"/>
          <w14:textFill>
            <w14:solidFill>
              <w14:schemeClr w14:val="tx1"/>
            </w14:solidFill>
          </w14:textFill>
        </w:rPr>
        <w:t xml:space="preserve">中标人</w:t>
      </w:r>
      <w:r>
        <w:rPr>
          <w:rFonts w:hint="eastAsia" w:ascii="宋体" w:hAnsi="宋体" w:eastAsia="宋体" w:cs="宋体"/>
          <w:color w:val="000000" w:themeColor="text1"/>
          <w14:textFill>
            <w14:solidFill>
              <w14:schemeClr w14:val="tx1"/>
            </w14:solidFill>
          </w14:textFill>
        </w:rPr>
        <w:t xml:space="preserve">研发团队提供全生命周期技术服务，由各专业工程师协同作业。研发工程师负责系统架构设计、核心功能开发、技术攻关及定制化需求实现，持续优化产品性能与用户体验；数据工程师专注数据治理、ETL开发、数据建模与质量管控，构建安全可靠的数据资产体系；实施工程师承担系统部署、环境配置、上线切换及现场技术支持，确保项目平稳交付与高效落地；测试工程师主导测试体系建设，执行功能、性能、安全等全方位测试，严格把控产品质量。研发团队通过建立标准化交付流程与质量保障机制，全方位护航系统稳健运行。</w:t>
      </w:r>
      <w:r/>
    </w:p>
    <w:p>
      <w:pPr>
        <w:ind w:firstLine="42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（3）运维团队</w:t>
      </w:r>
      <w:r/>
    </w:p>
    <w:p>
      <w:pPr>
        <w:ind w:firstLine="420"/>
        <w:spacing w:line="360" w:lineRule="auto"/>
        <w:rPr>
          <w:rFonts w:ascii="宋体" w:hAnsi="宋体" w:eastAsia="宋体" w:cs="Times New Roman"/>
          <w:b/>
          <w:bCs/>
          <w:color w:val="000000" w:themeColor="text1"/>
          <w:sz w:val="22"/>
          <w:szCs w:val="52"/>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职责说明： </w:t>
      </w:r>
      <w:r>
        <w:rPr>
          <w:rFonts w:hint="eastAsia" w:ascii="宋体" w:hAnsi="宋体" w:eastAsia="宋体" w:cs="宋体"/>
          <w:color w:val="000000" w:themeColor="text1"/>
          <w:lang w:val="en-US" w:eastAsia="zh-CN"/>
          <w14:textFill>
            <w14:solidFill>
              <w14:schemeClr w14:val="tx1"/>
            </w14:solidFill>
          </w14:textFill>
        </w:rPr>
        <w:t xml:space="preserve">中标人</w:t>
      </w:r>
      <w:r>
        <w:rPr>
          <w:rFonts w:hint="eastAsia" w:ascii="宋体" w:hAnsi="宋体" w:eastAsia="宋体" w:cs="宋体"/>
          <w:color w:val="000000" w:themeColor="text1"/>
          <w14:textFill>
            <w14:solidFill>
              <w14:schemeClr w14:val="tx1"/>
            </w14:solidFill>
          </w14:textFill>
        </w:rPr>
        <w:t xml:space="preserve">提供专业的运维服务支持，通过电话热线、远程网络、现场驻场等多元化渠道，快速响应需求。专业技术团队为</w:t>
      </w:r>
      <w:r>
        <w:rPr>
          <w:rFonts w:hint="eastAsia" w:ascii="宋体" w:hAnsi="宋体" w:eastAsia="宋体" w:cs="宋体"/>
          <w:color w:val="000000" w:themeColor="text1"/>
          <w:lang w:val="en-US"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提供技术咨询与远程协助服务，开展操作培训与使用指导；定期执行系统巡检、性能调优与数据备份，确保平台高效稳定运行；建立主动式安全监控预警机制，实时防范潜在风险；针对突发故障提供快速诊断与应急处理服务，第一时间恢复业务正常运转，全方位保障系统稳定性与业务连续性，持续提升使用体验。</w:t>
      </w:r>
      <w:r/>
    </w:p>
    <w:p>
      <w:pPr>
        <w:pStyle w:val="738"/>
        <w:ind w:left="-431"/>
        <w:spacing w:line="360" w:lineRule="auto"/>
        <w:rPr>
          <w:rFonts w:ascii="宋体" w:hAnsi="宋体" w:eastAsia="宋体" w:cs="Times New Roman"/>
          <w:b/>
          <w:bCs/>
          <w:color w:val="000000" w:themeColor="text1"/>
          <w:szCs w:val="48"/>
          <w14:textFill>
            <w14:solidFill>
              <w14:schemeClr w14:val="tx1"/>
            </w14:solidFill>
          </w14:textFill>
        </w:rPr>
      </w:pPr>
      <w:r>
        <w:rPr>
          <w:rFonts w:hint="eastAsia" w:ascii="宋体" w:hAnsi="宋体" w:eastAsia="宋体" w:cs="Times New Roman"/>
          <w:b/>
          <w:bCs/>
          <w:color w:val="000000" w:themeColor="text1"/>
          <w:sz w:val="22"/>
          <w:szCs w:val="52"/>
          <w14:textFill>
            <w14:solidFill>
              <w14:schemeClr w14:val="tx1"/>
            </w14:solidFill>
          </w14:textFill>
        </w:rPr>
        <w:t xml:space="preserve">（六）培训方案</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（1）培训操作和使用该系统，并使</w:t>
      </w:r>
      <w:r>
        <w:rPr>
          <w:rFonts w:hint="eastAsia" w:ascii="宋体" w:hAnsi="宋体" w:eastAsia="宋体" w:cs="宋体"/>
          <w:color w:val="000000" w:themeColor="text1"/>
          <w:lang w:val="en-US"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明白使用该系统所能带来的帮助；系统培训师在项目计划阶段为</w:t>
      </w:r>
      <w:r>
        <w:rPr>
          <w:rFonts w:hint="eastAsia" w:ascii="宋体" w:hAnsi="宋体" w:eastAsia="宋体" w:cs="宋体"/>
          <w:color w:val="000000" w:themeColor="text1"/>
          <w:lang w:val="en-US"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建立符合需求的、完善的培训计划，从操作手册进行培训入手，直到</w:t>
      </w:r>
      <w:r>
        <w:rPr>
          <w:rFonts w:hint="eastAsia" w:ascii="宋体" w:hAnsi="宋体" w:eastAsia="宋体" w:cs="宋体"/>
          <w:color w:val="000000" w:themeColor="text1"/>
          <w:lang w:val="en-US"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完全熟悉软件系统。</w:t>
      </w:r>
      <w:r>
        <w:rPr>
          <w:rFonts w:hint="eastAsia" w:ascii="宋体" w:hAnsi="宋体" w:eastAsia="宋体" w:cs="宋体"/>
          <w:b/>
          <w:bCs/>
          <w:color w:val="000000" w:themeColor="text1"/>
          <w14:textFill>
            <w14:solidFill>
              <w14:schemeClr w14:val="tx1"/>
            </w14:solidFill>
          </w14:textFill>
        </w:rPr>
        <w:t xml:space="preserve">培训内容主要包括：</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6.1 系统总体框架以及模块划分介绍</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6.2 各单元模块的使用操作方法培训</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6.3 系统的安装、调试方法培训</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6.4 系统配置、使用的注意事项</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6.5 与系统相关的软硬件知识的培训和指导  </w:t>
      </w:r>
      <w:r/>
    </w:p>
    <w:p>
      <w:pPr>
        <w:pStyle w:val="928"/>
        <w:ind w:firstLine="539"/>
        <w:spacing w:line="360" w:lineRule="auto"/>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w:t>
      </w:r>
      <w:r>
        <w:rPr>
          <w:rFonts w:ascii="宋体" w:hAnsi="宋体" w:eastAsia="宋体" w:cs="宋体"/>
          <w:b/>
          <w:bCs/>
          <w:color w:val="000000" w:themeColor="text1"/>
          <w14:textFill>
            <w14:solidFill>
              <w14:schemeClr w14:val="tx1"/>
            </w14:solidFill>
          </w14:textFill>
        </w:rPr>
        <w:t xml:space="preserve">2</w:t>
      </w:r>
      <w:r>
        <w:rPr>
          <w:rFonts w:hint="eastAsia" w:ascii="宋体" w:hAnsi="宋体" w:eastAsia="宋体" w:cs="宋体"/>
          <w:b/>
          <w:bCs/>
          <w:color w:val="000000" w:themeColor="text1"/>
          <w14:textFill>
            <w14:solidFill>
              <w14:schemeClr w14:val="tx1"/>
            </w14:solidFill>
          </w14:textFill>
        </w:rPr>
        <w:t xml:space="preserve">）</w:t>
      </w:r>
      <w:r>
        <w:rPr>
          <w:rFonts w:ascii="宋体" w:hAnsi="宋体" w:eastAsia="宋体" w:cs="宋体"/>
          <w:b/>
          <w:bCs/>
          <w:color w:val="000000" w:themeColor="text1"/>
          <w14:textFill>
            <w14:solidFill>
              <w14:schemeClr w14:val="tx1"/>
            </w14:solidFill>
          </w14:textFill>
        </w:rPr>
        <w:t xml:space="preserve"> 人员培训要求</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（1）对</w:t>
      </w:r>
      <w:r>
        <w:rPr>
          <w:rFonts w:hint="eastAsia" w:ascii="宋体" w:hAnsi="宋体" w:cs="宋体"/>
          <w:color w:val="000000" w:themeColor="text1"/>
          <w:szCs w:val="21"/>
          <w:lang w:eastAsia="zh-CN"/>
          <w14:textFill>
            <w14:solidFill>
              <w14:schemeClr w14:val="tx1"/>
            </w14:solidFill>
          </w14:textFill>
        </w:rPr>
        <w:t xml:space="preserve">招标人</w:t>
      </w:r>
      <w:r>
        <w:rPr>
          <w:rFonts w:hint="eastAsia" w:ascii="宋体" w:hAnsi="宋体" w:cs="宋体"/>
          <w:color w:val="000000" w:themeColor="text1"/>
          <w:szCs w:val="21"/>
          <w14:textFill>
            <w14:solidFill>
              <w14:schemeClr w14:val="tx1"/>
            </w14:solidFill>
          </w14:textFill>
        </w:rPr>
        <w:t xml:space="preserve">系统管理人员、业务操作人员提供现场培训服务，以保证</w:t>
      </w:r>
      <w:r>
        <w:rPr>
          <w:rFonts w:hint="eastAsia" w:ascii="宋体" w:hAnsi="宋体" w:cs="宋体"/>
          <w:color w:val="000000" w:themeColor="text1"/>
          <w:szCs w:val="21"/>
          <w:lang w:eastAsia="zh-CN"/>
          <w14:textFill>
            <w14:solidFill>
              <w14:schemeClr w14:val="tx1"/>
            </w14:solidFill>
          </w14:textFill>
        </w:rPr>
        <w:t xml:space="preserve">招标人</w:t>
      </w:r>
      <w:r>
        <w:rPr>
          <w:rFonts w:hint="eastAsia" w:ascii="宋体" w:hAnsi="宋体" w:cs="宋体"/>
          <w:color w:val="000000" w:themeColor="text1"/>
          <w:szCs w:val="21"/>
          <w14:textFill>
            <w14:solidFill>
              <w14:schemeClr w14:val="tx1"/>
            </w14:solidFill>
          </w14:textFill>
        </w:rPr>
        <w:t xml:space="preserve">完全掌握应用系统的各项功能，能够胜任系统的全部运行、操作、维护以及故障分析、故障处理等日常工作。</w:t>
      </w:r>
      <w:r/>
    </w:p>
    <w:p>
      <w:pPr>
        <w:ind w:firstLine="560"/>
        <w:spacing w:line="360" w:lineRule="auto"/>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（2）提供全面、详细的培训方案。培训方案至少包括如下内容：培训计划、培训内容、培训方式等。</w:t>
      </w:r>
      <w:r/>
    </w:p>
    <w:p>
      <w:pPr>
        <w:pStyle w:val="738"/>
        <w:ind w:left="-431"/>
        <w:spacing w:line="360" w:lineRule="auto"/>
        <w:rPr>
          <w:rFonts w:ascii="宋体" w:hAnsi="宋体" w:eastAsia="宋体" w:cs="Times New Roman"/>
          <w:b/>
          <w:bCs/>
          <w:color w:val="000000" w:themeColor="text1"/>
          <w:szCs w:val="48"/>
          <w14:textFill>
            <w14:solidFill>
              <w14:schemeClr w14:val="tx1"/>
            </w14:solidFill>
          </w14:textFill>
        </w:rPr>
      </w:pPr>
      <w:r>
        <w:rPr>
          <w:rFonts w:hint="eastAsia" w:ascii="宋体" w:hAnsi="宋体" w:eastAsia="宋体" w:cs="Times New Roman"/>
          <w:b/>
          <w:bCs/>
          <w:color w:val="000000" w:themeColor="text1"/>
          <w:szCs w:val="48"/>
          <w14:textFill>
            <w14:solidFill>
              <w14:schemeClr w14:val="tx1"/>
            </w14:solidFill>
          </w14:textFill>
        </w:rPr>
        <w:t xml:space="preserve">（七）售后服务方案</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通过电话、网络、现场等多种形式提供全面的运维服务，保障系统使用的稳定性。在服务期内如出现系统运行故障，30分钟内线上远程解决，在远程无法解决的情况下，将在1小时内响应，并以最快的速度抵达现场。若8小时内无法解决问题，应在24小时内进行紧急处理，以保证系统正常使用。</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运维服务和技术支持为本系统及本系统所涉及的各种问题，内容主要包括：针对用户的技术咨询、培训服务、系统维护、软件升级、安全预警及故障诊断。</w:t>
      </w:r>
      <w:r/>
    </w:p>
    <w:p>
      <w:pPr>
        <w:ind w:firstLine="480"/>
        <w:spacing w:line="360" w:lineRule="auto"/>
        <w:rPr>
          <w:rFonts w:ascii="宋体" w:hAnsi="宋体" w:eastAsia="宋体" w:cs="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1）定期回访</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中标人须提供</w:t>
      </w:r>
      <w:r>
        <w:rPr>
          <w:rFonts w:hint="eastAsia" w:ascii="宋体" w:hAnsi="宋体" w:eastAsia="宋体" w:cs="宋体"/>
          <w:color w:val="000000" w:themeColor="text1"/>
          <w14:textFill>
            <w14:solidFill>
              <w14:schemeClr w14:val="tx1"/>
            </w14:solidFill>
          </w14:textFill>
        </w:rPr>
        <w:t xml:space="preserve">日常巡检，内容包括系统健康状态、处理的服务请求、异常事件摘要。</w:t>
      </w:r>
      <w:r/>
    </w:p>
    <w:p>
      <w:pPr>
        <w:ind w:firstLine="480"/>
        <w:spacing w:line="360" w:lineRule="auto"/>
        <w:rPr>
          <w:rFonts w:ascii="宋体" w:hAnsi="宋体" w:eastAsia="宋体" w:cs="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2）技术咨询</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在</w:t>
      </w:r>
      <w:r>
        <w:rPr>
          <w:rFonts w:hint="eastAsia" w:ascii="宋体" w:hAnsi="宋体" w:eastAsia="宋体" w:cs="宋体"/>
          <w:color w:val="000000" w:themeColor="text1"/>
          <w:lang w:val="en-US"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实际操作过程中给予帮助，并解决系统在使用过程中出现问题，同时，向</w:t>
      </w:r>
      <w:r>
        <w:rPr>
          <w:rFonts w:hint="eastAsia" w:ascii="宋体" w:hAnsi="宋体" w:eastAsia="宋体" w:cs="宋体"/>
          <w:color w:val="000000" w:themeColor="text1"/>
          <w:lang w:val="en-US"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提供解决问题的方法、建议和其他信息。主要包括：</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软件系统答疑</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系统功能介绍</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系统使用技巧</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关心的系统其他问题的答疑</w:t>
      </w:r>
      <w:r/>
    </w:p>
    <w:p>
      <w:pPr>
        <w:ind w:firstLine="480"/>
        <w:spacing w:line="360" w:lineRule="auto"/>
        <w:rPr>
          <w:rFonts w:ascii="宋体" w:hAnsi="宋体" w:eastAsia="宋体" w:cs="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3</w:t>
      </w:r>
      <w:r>
        <w:rPr>
          <w:rFonts w:hint="eastAsia" w:ascii="宋体" w:hAnsi="宋体" w:eastAsia="宋体" w:cs="宋体"/>
          <w:b/>
          <w:bCs/>
          <w:color w:val="000000" w:themeColor="text1"/>
          <w14:textFill>
            <w14:solidFill>
              <w14:schemeClr w14:val="tx1"/>
            </w14:solidFill>
          </w14:textFill>
        </w:rPr>
        <w:t xml:space="preserve">）系统维护</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系统维护工作主要包括以下主要内容：</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健康巡检：每日对服务器（CPU、内存、磁盘、网络）、数据库、中间件、应用进程进行自动化巡检。</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日志管理：每日检查应用及系统错误日志，定期归档和清理历史日志。</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备份与恢复：执行每日数据备份，并定期进行恢复演练验证备份有效性。</w:t>
      </w:r>
      <w:r/>
    </w:p>
    <w:p>
      <w:pPr>
        <w:ind w:firstLine="480"/>
        <w:spacing w:line="360" w:lineRule="auto"/>
        <w:rPr>
          <w:rFonts w:ascii="宋体" w:hAnsi="宋体" w:eastAsia="宋体" w:cs="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4</w:t>
      </w:r>
      <w:r>
        <w:rPr>
          <w:rFonts w:hint="eastAsia" w:ascii="宋体" w:hAnsi="宋体" w:eastAsia="宋体" w:cs="宋体"/>
          <w:b/>
          <w:bCs/>
          <w:color w:val="000000" w:themeColor="text1"/>
          <w14:textFill>
            <w14:solidFill>
              <w14:schemeClr w14:val="tx1"/>
            </w14:solidFill>
          </w14:textFill>
        </w:rPr>
        <w:t xml:space="preserve">）业务操作支持</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用户咨询解答： 解答</w:t>
      </w:r>
      <w:r>
        <w:rPr>
          <w:rFonts w:hint="eastAsia" w:ascii="宋体" w:hAnsi="宋体" w:eastAsia="宋体" w:cs="宋体"/>
          <w:color w:val="000000" w:themeColor="text1"/>
          <w:lang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关于系统功能使用的疑问。</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用户权限管理： 根据</w:t>
      </w:r>
      <w:r>
        <w:rPr>
          <w:rFonts w:hint="eastAsia" w:ascii="宋体" w:hAnsi="宋体" w:eastAsia="宋体" w:cs="宋体"/>
          <w:color w:val="000000" w:themeColor="text1"/>
          <w:lang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审批流程，为</w:t>
      </w:r>
      <w:r>
        <w:rPr>
          <w:rFonts w:hint="eastAsia" w:ascii="宋体" w:hAnsi="宋体" w:eastAsia="宋体" w:cs="宋体"/>
          <w:color w:val="000000" w:themeColor="text1"/>
          <w:lang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创建、修改、禁用账号和权限。</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常规数据查询： 根据授权，执行指定的数据库查询和排查工作。</w:t>
      </w:r>
      <w:r/>
    </w:p>
    <w:p>
      <w:pPr>
        <w:ind w:firstLine="480"/>
        <w:spacing w:line="360" w:lineRule="auto"/>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5</w:t>
      </w:r>
      <w:r>
        <w:rPr>
          <w:rFonts w:hint="eastAsia" w:ascii="宋体" w:hAnsi="宋体" w:eastAsia="宋体" w:cs="宋体"/>
          <w:color w:val="000000" w:themeColor="text1"/>
          <w14:textFill>
            <w14:solidFill>
              <w14:schemeClr w14:val="tx1"/>
            </w14:solidFill>
          </w14:textFill>
        </w:rPr>
        <w:t xml:space="preserve">）软件升级</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本项目三年免费维护期内，涉及第三方系统版本升级、功能改造、接口调整时，承建方需配合完成响应工作，确保各系统间数据交互正常、业务流转顺畅，若涉及研发工作量增加则另行计算费用。</w:t>
      </w:r>
      <w:r/>
    </w:p>
    <w:p>
      <w:pPr>
        <w:ind w:firstLine="480"/>
        <w:spacing w:line="360" w:lineRule="auto"/>
        <w:rPr>
          <w:rFonts w:ascii="宋体" w:hAnsi="宋体" w:eastAsia="宋体" w:cs="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6</w:t>
      </w:r>
      <w:r>
        <w:rPr>
          <w:rFonts w:hint="eastAsia" w:ascii="宋体" w:hAnsi="宋体" w:eastAsia="宋体" w:cs="宋体"/>
          <w:b/>
          <w:bCs/>
          <w:color w:val="000000" w:themeColor="text1"/>
          <w14:textFill>
            <w14:solidFill>
              <w14:schemeClr w14:val="tx1"/>
            </w14:solidFill>
          </w14:textFill>
        </w:rPr>
        <w:t xml:space="preserve">）问题处理</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对</w:t>
      </w:r>
      <w:r>
        <w:rPr>
          <w:rFonts w:hint="eastAsia" w:ascii="宋体" w:hAnsi="宋体" w:eastAsia="宋体" w:cs="宋体"/>
          <w:color w:val="000000" w:themeColor="text1"/>
          <w:lang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提出的各类问题，供应商需组织相关人员进行处理，处理方式包括</w:t>
      </w:r>
      <w:r>
        <w:rPr>
          <w:rFonts w:hint="eastAsia" w:ascii="宋体" w:hAnsi="宋体" w:eastAsia="宋体" w:cs="宋体"/>
          <w:color w:val="000000" w:themeColor="text1"/>
          <w:lang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咨询的解答、需求的改进、资源的供给等；处理内容包括系统功能操作、功能实现、相关技术问题、应用修改、功能增加等方面。</w:t>
      </w:r>
      <w:r/>
    </w:p>
    <w:p>
      <w:pPr>
        <w:ind w:left="-431" w:firstLine="688"/>
        <w:spacing w:line="360" w:lineRule="auto"/>
        <w:rPr>
          <w:rFonts w:ascii="宋体" w:hAnsi="宋体" w:eastAsia="宋体" w:cs="宋体"/>
          <w:b/>
          <w:bCs/>
          <w:color w:val="000000" w:themeColor="text1"/>
          <w:szCs w:val="2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b/>
          <w:bCs/>
          <w:color w:val="000000" w:themeColor="text1"/>
          <w:szCs w:val="21"/>
          <w14:textFill>
            <w14:solidFill>
              <w14:schemeClr w14:val="tx1"/>
            </w14:solidFill>
          </w14:textFill>
        </w:rPr>
        <w:t xml:space="preserve">人员安全管理</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（1）人员准入与权限管理</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供应商的</w:t>
      </w:r>
      <w:r>
        <w:rPr>
          <w:rFonts w:hint="eastAsia" w:ascii="宋体" w:hAnsi="宋体" w:eastAsia="宋体" w:cs="宋体"/>
          <w:color w:val="000000" w:themeColor="text1"/>
          <w:szCs w:val="21"/>
          <w14:textFill>
            <w14:solidFill>
              <w14:schemeClr w14:val="tx1"/>
            </w14:solidFill>
          </w14:textFill>
        </w:rPr>
        <w:t xml:space="preserve">运维人员、管理人员上岗前需进行背景审查，签订《安全保密协议》；并采用 “最小权限+动态调整” 原则分配权限。</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（2）安全培训与考核</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供应商的</w:t>
      </w:r>
      <w:r>
        <w:rPr>
          <w:rFonts w:hint="eastAsia" w:ascii="宋体" w:hAnsi="宋体" w:eastAsia="宋体" w:cs="宋体"/>
          <w:color w:val="000000" w:themeColor="text1"/>
          <w:szCs w:val="21"/>
          <w14:textFill>
            <w14:solidFill>
              <w14:schemeClr w14:val="tx1"/>
            </w14:solidFill>
          </w14:textFill>
        </w:rPr>
        <w:t xml:space="preserve">新员工入职培训：开展网络安全、数据安全、应急处置培训，考核合格后方可上岗；年度培训：每年组织至少1次安全培训，内容包括新型网络攻击防范、国产安全技术应用，培训后进行实操考核；安全意识宣贯：定期通过微信群、公告栏推送安全知识（如钓鱼邮件识别、密码安全），提升全员安全意识。</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（3）安全事件应急管理</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建立健全安全事件应急管理机制，明确各相关方的责任分工与响应流程，确保安全事件发生时能够快速联动、高效处置。</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针对可能出现的系统异常、数据泄露、网络攻击等安全事件，根据其影响范围和严重程度，采取针对性的应急措施，及时阻断风险、控制事态扩大，保障核心业务不受严重影响。</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事件处置完成后，组织开展复盘总结，分析事件成因与处置过程中的不足，优化应急预案与安全防护策略，持续提升系统应对安全风险的能力。</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（4）现场应急处理</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事件发生单位和现场应急处理工作组尽最大可能收集事件相关信息，明确事件类别，确定事件来源，保护证据，以便缩短应急响应时间。</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检查威胁造成的结果，评估事件带来的影响和损害：如检查系统、服务、数据的完整性、保密性或可用性，检查攻击者是否侵入了系统，以后是否能再次随意进入，损失的程度，确定暴露出的主要危险。</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抑制事件的影响进一步扩大，限制潜在的损失与破坏。可能的抑制策略一般包括：关闭服务或关闭所有的系统，从网络上断开相关系统，修改防火墙和路由器的过滤规则，封锁或删除被攻破的登录账号，阻断可疑账户得以进入网络的通路，提高系统或网络行为的监控级别，设置陷阱，启用紧急事件下的接管系统，实行特殊“防卫状态”安全警戒，反击攻击者的系统。</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在事件被抑制之后，通过对有关恶意代码或行为的分析结果，找出事件根源，明确相应的补救措施并彻底清除。</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清理系统、恢复数据、程序、服务。把所有被攻破的系统和网络设备彻底还原到正常的任务状态。另外，恢复工作中如果涉及机密数据，需要额外遵照机密系统的恢复要求。对不同任务的恢复工作的承担单位，要有不同的担保。如果攻击者获得了超级用户的访问权，一次完整地恢复应该强制性地修改所有的口令。</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（5）备份与恢复策略</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随着信息技术的广泛应用，计算机系统的可靠性对业务系统的影响越来越大。供应商作为IT服务的提供者，需仔细、全面地考虑并制订备份与恢复策略。</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操作系统备份以系统卷为主，必须建立完整的系统备份档案，保证系统宕机时能及时恢复系统原有状态，包括此系统下运行的所有相关软件的配置。应用系统的数据备份应由应用部门根据应用的实际情况列出所有相关数据的连接关系，以便制定出一份详细的数据备份计划，为数据恢复提供一份完整的依据。</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制定一份完整的系统备份方案，在日常维护的过程中有义务协助</w:t>
      </w:r>
      <w:r>
        <w:rPr>
          <w:rFonts w:hint="eastAsia" w:ascii="宋体" w:hAnsi="宋体" w:eastAsia="宋体" w:cs="宋体"/>
          <w:color w:val="000000" w:themeColor="text1"/>
          <w:szCs w:val="21"/>
          <w:lang w:eastAsia="zh-CN"/>
          <w14:textFill>
            <w14:solidFill>
              <w14:schemeClr w14:val="tx1"/>
            </w14:solidFill>
          </w14:textFill>
        </w:rPr>
        <w:t xml:space="preserve">招标人</w:t>
      </w:r>
      <w:r>
        <w:rPr>
          <w:rFonts w:hint="eastAsia" w:ascii="宋体" w:hAnsi="宋体" w:eastAsia="宋体" w:cs="宋体"/>
          <w:color w:val="000000" w:themeColor="text1"/>
          <w:szCs w:val="21"/>
          <w14:textFill>
            <w14:solidFill>
              <w14:schemeClr w14:val="tx1"/>
            </w14:solidFill>
          </w14:textFill>
        </w:rPr>
        <w:t xml:space="preserve">做好系统的数据备份工作，并提供相关的技术支持，</w:t>
      </w:r>
      <w:r>
        <w:rPr>
          <w:rFonts w:hint="eastAsia" w:ascii="宋体" w:hAnsi="宋体" w:eastAsia="宋体" w:cs="宋体"/>
          <w:color w:val="000000" w:themeColor="text1"/>
          <w:szCs w:val="21"/>
          <w:lang w:eastAsia="zh-CN"/>
          <w14:textFill>
            <w14:solidFill>
              <w14:schemeClr w14:val="tx1"/>
            </w14:solidFill>
          </w14:textFill>
        </w:rPr>
        <w:t xml:space="preserve">招标人</w:t>
      </w:r>
      <w:r>
        <w:rPr>
          <w:rFonts w:hint="eastAsia" w:ascii="宋体" w:hAnsi="宋体" w:eastAsia="宋体" w:cs="宋体"/>
          <w:color w:val="000000" w:themeColor="text1"/>
          <w:szCs w:val="21"/>
          <w14:textFill>
            <w14:solidFill>
              <w14:schemeClr w14:val="tx1"/>
            </w14:solidFill>
          </w14:textFill>
        </w:rPr>
        <w:t xml:space="preserve">备份的介质在</w:t>
      </w:r>
      <w:r>
        <w:rPr>
          <w:rFonts w:hint="eastAsia" w:ascii="宋体" w:hAnsi="宋体" w:eastAsia="宋体" w:cs="宋体"/>
          <w:color w:val="000000" w:themeColor="text1"/>
          <w:szCs w:val="21"/>
          <w:lang w:eastAsia="zh-CN"/>
          <w14:textFill>
            <w14:solidFill>
              <w14:schemeClr w14:val="tx1"/>
            </w14:solidFill>
          </w14:textFill>
        </w:rPr>
        <w:t xml:space="preserve">招标人</w:t>
      </w:r>
      <w:r>
        <w:rPr>
          <w:rFonts w:hint="eastAsia" w:ascii="宋体" w:hAnsi="宋体" w:eastAsia="宋体" w:cs="宋体"/>
          <w:color w:val="000000" w:themeColor="text1"/>
          <w:szCs w:val="21"/>
          <w14:textFill>
            <w14:solidFill>
              <w14:schemeClr w14:val="tx1"/>
            </w14:solidFill>
          </w14:textFill>
        </w:rPr>
        <w:t xml:space="preserve">处存放，以便故障的恢复。当</w:t>
      </w:r>
      <w:r>
        <w:rPr>
          <w:rFonts w:hint="eastAsia" w:ascii="宋体" w:hAnsi="宋体" w:eastAsia="宋体" w:cs="宋体"/>
          <w:color w:val="000000" w:themeColor="text1"/>
          <w:szCs w:val="21"/>
          <w:lang w:eastAsia="zh-CN"/>
          <w14:textFill>
            <w14:solidFill>
              <w14:schemeClr w14:val="tx1"/>
            </w14:solidFill>
          </w14:textFill>
        </w:rPr>
        <w:t xml:space="preserve">招标人</w:t>
      </w:r>
      <w:r>
        <w:rPr>
          <w:rFonts w:hint="eastAsia" w:ascii="宋体" w:hAnsi="宋体" w:eastAsia="宋体" w:cs="宋体"/>
          <w:color w:val="000000" w:themeColor="text1"/>
          <w:szCs w:val="21"/>
          <w14:textFill>
            <w14:solidFill>
              <w14:schemeClr w14:val="tx1"/>
            </w14:solidFill>
          </w14:textFill>
        </w:rPr>
        <w:t xml:space="preserve">系统出现故障之后，需要备份数据做系统恢复时，</w:t>
      </w:r>
      <w:r>
        <w:rPr>
          <w:rFonts w:hint="eastAsia" w:ascii="宋体" w:hAnsi="宋体" w:eastAsia="宋体" w:cs="宋体"/>
          <w:color w:val="000000" w:themeColor="text1"/>
          <w:szCs w:val="21"/>
          <w:lang w:eastAsia="zh-CN"/>
          <w14:textFill>
            <w14:solidFill>
              <w14:schemeClr w14:val="tx1"/>
            </w14:solidFill>
          </w14:textFill>
        </w:rPr>
        <w:t xml:space="preserve">招标人</w:t>
      </w:r>
      <w:r>
        <w:rPr>
          <w:rFonts w:hint="eastAsia" w:ascii="宋体" w:hAnsi="宋体" w:eastAsia="宋体" w:cs="宋体"/>
          <w:color w:val="000000" w:themeColor="text1"/>
          <w:szCs w:val="21"/>
          <w14:textFill>
            <w14:solidFill>
              <w14:schemeClr w14:val="tx1"/>
            </w14:solidFill>
          </w14:textFill>
        </w:rPr>
        <w:t xml:space="preserve">提供完整的数据备份。</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（6）应急措施</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应急维护是指系统或设备出现问题或故障时，由</w:t>
      </w:r>
      <w:r>
        <w:rPr>
          <w:rFonts w:hint="eastAsia" w:ascii="宋体" w:hAnsi="宋体" w:eastAsia="宋体" w:cs="宋体"/>
          <w:color w:val="000000" w:themeColor="text1"/>
          <w:szCs w:val="21"/>
          <w:lang w:eastAsia="zh-CN"/>
          <w14:textFill>
            <w14:solidFill>
              <w14:schemeClr w14:val="tx1"/>
            </w14:solidFill>
          </w14:textFill>
        </w:rPr>
        <w:t xml:space="preserve">招标人</w:t>
      </w:r>
      <w:r>
        <w:rPr>
          <w:rFonts w:hint="eastAsia" w:ascii="宋体" w:hAnsi="宋体" w:eastAsia="宋体" w:cs="宋体"/>
          <w:color w:val="000000" w:themeColor="text1"/>
          <w:szCs w:val="21"/>
          <w14:textFill>
            <w14:solidFill>
              <w14:schemeClr w14:val="tx1"/>
            </w14:solidFill>
          </w14:textFill>
        </w:rPr>
        <w:t xml:space="preserve">通知供应商运维人员，运维人员及时维护或维修。</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（7）报告与总结</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回顾并整理发生事件的各种相关信息，尽可能地把所有情况记录到文档中。发生重大信息安全事件的应当在事件处理完毕后5个工作日内将处理结果备案</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ind w:left="-431"/>
        <w:spacing w:line="360" w:lineRule="auto"/>
        <w:rPr>
          <w:b/>
          <w:bCs/>
          <w:color w:val="000000" w:themeColor="text1"/>
          <w:szCs w:val="21"/>
          <w14:textFill>
            <w14:solidFill>
              <w14:schemeClr w14:val="tx1"/>
            </w14:solidFill>
          </w14:textFill>
        </w:rPr>
      </w:pPr>
      <w:r>
        <w:rPr>
          <w:rFonts w:hint="eastAsia" w:ascii="宋体" w:hAnsi="宋体" w:eastAsia="宋体" w:cs="Times New Roman"/>
          <w:b/>
          <w:bCs/>
          <w:color w:val="000000" w:themeColor="text1"/>
          <w:szCs w:val="21"/>
          <w14:textFill>
            <w14:solidFill>
              <w14:schemeClr w14:val="tx1"/>
            </w14:solidFill>
          </w14:textFill>
        </w:rPr>
        <w:t xml:space="preserve">（八）</w:t>
      </w:r>
      <w:r>
        <w:rPr>
          <w:rFonts w:hint="eastAsia"/>
          <w:b/>
          <w:bCs/>
          <w:color w:val="000000" w:themeColor="text1"/>
          <w:szCs w:val="21"/>
          <w14:textFill>
            <w14:solidFill>
              <w14:schemeClr w14:val="tx1"/>
            </w14:solidFill>
          </w14:textFill>
        </w:rPr>
        <w:t xml:space="preserve">演示要求</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供应商根据招标文件要求，针对</w:t>
      </w:r>
      <w:r>
        <w:rPr>
          <w:rFonts w:hint="eastAsia" w:ascii="宋体" w:hAnsi="宋体" w:cs="宋体"/>
          <w:color w:val="000000" w:themeColor="text1"/>
          <w:szCs w:val="21"/>
          <w:lang w:eastAsia="zh-CN"/>
          <w14:textFill>
            <w14:solidFill>
              <w14:schemeClr w14:val="tx1"/>
            </w14:solidFill>
          </w14:textFill>
        </w:rPr>
        <w:t xml:space="preserve">扬州市广陵区卫健委健康管理型医院基层能力提升暨绩效体系建设项目</w:t>
      </w:r>
      <w:r>
        <w:rPr>
          <w:rFonts w:hint="eastAsia" w:ascii="宋体" w:hAnsi="宋体" w:cs="宋体"/>
          <w:color w:val="000000" w:themeColor="text1"/>
          <w:szCs w:val="21"/>
          <w14:textFill>
            <w14:solidFill>
              <w14:schemeClr w14:val="tx1"/>
            </w14:solidFill>
          </w14:textFill>
        </w:rPr>
        <w:t xml:space="preserve">相关系统功能进行演示。</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供应商需按照招标文件规定的演示内容制作演示视频文件，视频文件的格式为*.mp4或*.avi，投标人须将视频文件分段压缩为*.zip文件上传至苏采云平台，视频以专项命名（单个文件不得大于50M，所有文件总共不得大于300M）。具体演示视频上传操作请详细阅读《江苏省政府采购管理交易系统（苏采云）供应商操作指南》。上传的演示视频将作为投标文件的组成部分，系统功能演示视频需采用实际业务系统或者系统设计原型（Demo），单个专项讲解视频建议不超过2分钟，视频时长总计不超过15分钟，不提供视频的不得分。</w:t>
      </w:r>
      <w:r/>
    </w:p>
    <w:p>
      <w:pPr>
        <w:pStyle w:val="739"/>
        <w:numPr>
          <w:ilvl w:val="2"/>
          <w:numId w:val="0"/>
        </w:numPr>
        <w:ind w:firstLine="422"/>
        <w:spacing w:before="156" w:after="156" w:line="360" w:lineRule="auto"/>
        <w:rPr>
          <w:rFonts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 xml:space="preserve">8.1.市级健康管理整合型医院基层能力辅助决策系统</w:t>
      </w:r>
      <w:r/>
    </w:p>
    <w:p>
      <w:pPr>
        <w:ind w:firstLine="422"/>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（1）</w:t>
      </w:r>
      <w:r>
        <w:rPr>
          <w:b/>
          <w:bCs/>
          <w:color w:val="000000" w:themeColor="text1"/>
          <w:szCs w:val="21"/>
          <w14:textFill>
            <w14:solidFill>
              <w14:schemeClr w14:val="tx1"/>
            </w14:solidFill>
          </w14:textFill>
        </w:rPr>
        <w:t xml:space="preserve">诊前管理包括：</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 </w:t>
      </w:r>
      <w:r>
        <w:rPr>
          <w:rFonts w:ascii="宋体" w:hAnsi="宋体" w:cs="宋体"/>
          <w:color w:val="000000" w:themeColor="text1"/>
          <w:szCs w:val="21"/>
          <w14:textFill>
            <w14:solidFill>
              <w14:schemeClr w14:val="tx1"/>
            </w14:solidFill>
          </w14:textFill>
        </w:rPr>
        <w:t xml:space="preserve">系统具备诊前慢病患者身份识别及智能提醒功能。</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 </w:t>
      </w:r>
      <w:r>
        <w:rPr>
          <w:rFonts w:ascii="宋体" w:hAnsi="宋体" w:cs="宋体"/>
          <w:color w:val="000000" w:themeColor="text1"/>
          <w:szCs w:val="21"/>
          <w14:textFill>
            <w14:solidFill>
              <w14:schemeClr w14:val="tx1"/>
            </w14:solidFill>
          </w14:textFill>
        </w:rPr>
        <w:t xml:space="preserve">诊前提供体征数据、疾病症状、生活方式指导、辅助检查等数据的采集功能。</w:t>
      </w:r>
      <w:r/>
    </w:p>
    <w:p>
      <w:pPr>
        <w:ind w:firstLine="422"/>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（2）诊中管理包括：</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①系</w:t>
      </w:r>
      <w:r>
        <w:rPr>
          <w:rFonts w:hint="eastAsia" w:ascii="宋体" w:hAnsi="宋体" w:cs="宋体"/>
          <w:color w:val="000000" w:themeColor="text1"/>
          <w:szCs w:val="21"/>
          <w14:textFill>
            <w14:solidFill>
              <w14:schemeClr w14:val="tx1"/>
            </w14:solidFill>
          </w14:textFill>
        </w:rPr>
        <w:t xml:space="preserve">统具备根据国家基层两慢病防治管理指南和国家公共卫生服务规范的要求进行路径化管理，并在接诊时以路径化弹框的形式进行提醒。</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②系统需具备展示患者姓名、性别、年龄、最近就诊时间，并以标签的形式展示所纳管的慢病病种；</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系统需具备汇聚患者的诊疗与公卫数据的功能，并形成患者的健康详情，展示患者的身高、体重、身份证、联系电话、联系地址、疾病标签、患者标签等基本信息，展示全生命周期管理流程、待办任务、慢病监测指标连续监测图表，风险指标展示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④系统需具备诊间辅助功能，能够查看诊前模块采集的体征数据、疾病症状、生活方式、辅助检查等数据。</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⑤系统需具备既往</w:t>
      </w:r>
      <w:r>
        <w:rPr>
          <w:rFonts w:ascii="宋体" w:hAnsi="宋体" w:cs="宋体"/>
          <w:color w:val="000000" w:themeColor="text1"/>
          <w:szCs w:val="21"/>
          <w14:textFill>
            <w14:solidFill>
              <w14:schemeClr w14:val="tx1"/>
            </w14:solidFill>
          </w14:textFill>
        </w:rPr>
        <w:t xml:space="preserve">90</w:t>
      </w:r>
      <w:r>
        <w:rPr>
          <w:rFonts w:hint="eastAsia" w:ascii="宋体" w:hAnsi="宋体" w:cs="宋体"/>
          <w:color w:val="000000" w:themeColor="text1"/>
          <w:szCs w:val="21"/>
          <w14:textFill>
            <w14:solidFill>
              <w14:schemeClr w14:val="tx1"/>
            </w14:solidFill>
          </w14:textFill>
        </w:rPr>
        <w:t xml:space="preserve">天内检查项目模块，并能够形成连续的变化曲线；同时根据慢病管理路径要求提示该患者未来</w:t>
      </w:r>
      <w:r>
        <w:rPr>
          <w:rFonts w:ascii="宋体" w:hAnsi="宋体" w:cs="宋体"/>
          <w:color w:val="000000" w:themeColor="text1"/>
          <w:szCs w:val="21"/>
          <w14:textFill>
            <w14:solidFill>
              <w14:schemeClr w14:val="tx1"/>
            </w14:solidFill>
          </w14:textFill>
        </w:rPr>
        <w:t xml:space="preserve">90</w:t>
      </w:r>
      <w:r>
        <w:rPr>
          <w:rFonts w:hint="eastAsia" w:ascii="宋体" w:hAnsi="宋体" w:cs="宋体"/>
          <w:color w:val="000000" w:themeColor="text1"/>
          <w:szCs w:val="21"/>
          <w14:textFill>
            <w14:solidFill>
              <w14:schemeClr w14:val="tx1"/>
            </w14:solidFill>
          </w14:textFill>
        </w:rPr>
        <w:t xml:space="preserve">天内必做检验检查的项目以及未来</w:t>
      </w:r>
      <w:r>
        <w:rPr>
          <w:rFonts w:ascii="宋体" w:hAnsi="宋体" w:cs="宋体"/>
          <w:color w:val="000000" w:themeColor="text1"/>
          <w:szCs w:val="21"/>
          <w14:textFill>
            <w14:solidFill>
              <w14:schemeClr w14:val="tx1"/>
            </w14:solidFill>
          </w14:textFill>
        </w:rPr>
        <w:t xml:space="preserve">90</w:t>
      </w:r>
      <w:r>
        <w:rPr>
          <w:rFonts w:hint="eastAsia" w:ascii="宋体" w:hAnsi="宋体" w:cs="宋体"/>
          <w:color w:val="000000" w:themeColor="text1"/>
          <w:szCs w:val="21"/>
          <w14:textFill>
            <w14:solidFill>
              <w14:schemeClr w14:val="tx1"/>
            </w14:solidFill>
          </w14:textFill>
        </w:rPr>
        <w:t xml:space="preserve">天内可选检验检查项目。</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⑥系统需具备智能提醒诊中随访表填写，并且系统可以一键抓取诊前采集的各类随访信息，完成慢病随访工作。</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⑦系统需具备健康指导功能，根据患者的标签智能推荐健康教育文章，并且通过一键打印生成三高健康处方，展示患者的主要健康问题、指导建议、提醒患者建议复诊时间及建议检查项目等。</w:t>
      </w:r>
      <w:r/>
    </w:p>
    <w:p>
      <w:pPr>
        <w:ind w:firstLine="420"/>
        <w:spacing w:line="360" w:lineRule="auto"/>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⑧系统需具备健康评估报告功能，可以切换年度和季度报告，展示患者心血管健康分、</w:t>
      </w:r>
      <w:r>
        <w:rPr>
          <w:rFonts w:ascii="宋体" w:hAnsi="宋体" w:cs="宋体"/>
          <w:color w:val="000000" w:themeColor="text1"/>
          <w:szCs w:val="21"/>
          <w14:textFill>
            <w14:solidFill>
              <w14:schemeClr w14:val="tx1"/>
            </w14:solidFill>
          </w14:textFill>
        </w:rPr>
        <w:t xml:space="preserve">ASCVD</w:t>
      </w:r>
      <w:r>
        <w:rPr>
          <w:rFonts w:hint="eastAsia" w:ascii="宋体" w:hAnsi="宋体" w:cs="宋体"/>
          <w:color w:val="000000" w:themeColor="text1"/>
          <w:szCs w:val="21"/>
          <w14:textFill>
            <w14:solidFill>
              <w14:schemeClr w14:val="tx1"/>
            </w14:solidFill>
          </w14:textFill>
        </w:rPr>
        <w:t xml:space="preserve">心血管风险评估、指标趋势分析、主要健康问题、健康指导建议、服务小结。</w:t>
      </w:r>
      <w:r/>
    </w:p>
    <w:p>
      <w:pPr>
        <w:ind w:firstLine="422"/>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（3）</w:t>
      </w:r>
      <w:r>
        <w:rPr>
          <w:rFonts w:hint="eastAsia" w:ascii="宋体" w:hAnsi="宋体" w:cs="宋体"/>
          <w:b/>
          <w:bCs/>
          <w:color w:val="000000" w:themeColor="text1"/>
          <w:szCs w:val="21"/>
          <w14:textFill>
            <w14:solidFill>
              <w14:schemeClr w14:val="tx1"/>
            </w14:solidFill>
          </w14:textFill>
        </w:rPr>
        <w:t xml:space="preserve">管理平台</w:t>
      </w:r>
      <w:r>
        <w:rPr>
          <w:rFonts w:hint="eastAsia" w:ascii="宋体" w:hAnsi="宋体" w:eastAsia="宋体" w:cs="宋体"/>
          <w:b/>
          <w:bCs/>
          <w:color w:val="000000" w:themeColor="text1"/>
          <w:szCs w:val="21"/>
          <w14:textFill>
            <w14:solidFill>
              <w14:schemeClr w14:val="tx1"/>
            </w14:solidFill>
          </w14:textFill>
        </w:rPr>
        <w:t xml:space="preserve">包括</w:t>
      </w:r>
      <w:r>
        <w:rPr>
          <w:rFonts w:hint="eastAsia"/>
          <w:b/>
          <w:bCs/>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①系统需具备工作台模块，展示代办事项、路径节点执行情况、检验检查任务量等内容及详情</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②系统需具备指标统计功能，展示管理指数、高血压分级分层、糖尿病分级分层、</w:t>
      </w:r>
      <w:r>
        <w:rPr>
          <w:rFonts w:ascii="宋体" w:hAnsi="宋体" w:cs="宋体"/>
          <w:color w:val="000000" w:themeColor="text1"/>
          <w:szCs w:val="21"/>
          <w14:textFill>
            <w14:solidFill>
              <w14:schemeClr w14:val="tx1"/>
            </w14:solidFill>
          </w14:textFill>
        </w:rPr>
        <w:t xml:space="preserve">ASCVD</w:t>
      </w:r>
      <w:r>
        <w:rPr>
          <w:rFonts w:hint="eastAsia" w:ascii="宋体" w:hAnsi="宋体" w:cs="宋体"/>
          <w:color w:val="000000" w:themeColor="text1"/>
          <w:szCs w:val="21"/>
          <w14:textFill>
            <w14:solidFill>
              <w14:schemeClr w14:val="tx1"/>
            </w14:solidFill>
          </w14:textFill>
        </w:rPr>
        <w:t xml:space="preserve">风险分级、高血压管理情况、糖尿病管理情况、患者心血管健康分等数据统计及图表展示</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③系统具备对医生接诊的患者及管理的患者分别记录诊前采集、就诊记录、检验检查、诊间随访记录、健康处方、管理评估报告等内容的接诊回顾。</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④系统需具备诊后管理模块，自动生成诊后任务，包括异常待追溯、接诊待随访、待随访列表、随访待同步、待转诊、待召回通知等内容。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⑤系统需具备转诊管理模块，展示转诊列表，可以查看患者转诊详情，展示转诊单、就诊记录等内容，可以新增转诊。</w:t>
      </w:r>
      <w:r/>
    </w:p>
    <w:p>
      <w:pPr>
        <w:pStyle w:val="739"/>
        <w:numPr>
          <w:ilvl w:val="2"/>
          <w:numId w:val="0"/>
        </w:numPr>
        <w:ind w:firstLine="422"/>
        <w:spacing w:before="156" w:after="156" w:line="360" w:lineRule="auto"/>
        <w:rPr>
          <w:rFonts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 xml:space="preserve">8.2.广陵区医防融合数据监管治理系统</w:t>
      </w:r>
      <w:r/>
    </w:p>
    <w:p>
      <w:pPr>
        <w:ind w:firstLine="56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内容包括：</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①系统需具备两慢人群统计模块：包括纳管患者数、纳管就诊占比、规范管理率、控制率、数据来源、控制率变化趋势分析、高血压管理等级、糖尿病管理等级、两慢病随访情况、并发症分布、患者人数、ASCVD风险分级、疾病风险分层、生活方式危险因素等数据统计及图表展示。</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②系统需具备两慢病管理指数模块：包括管理指数及趋势、管理过程得分及详情页、管理结果得分及详情页，提供机构排名和医生排名功能。</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③系统需具备两慢病任务量统计，提供各个路径节点执行情况的完成率、应完成、已完成、未完成等数据统计，支持查看和导出</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④系统需具备工作量统计，提供各个路径节点执行情况的全部、有效、无效等数据统计，支持查看和导出。</w:t>
      </w:r>
      <w:r/>
    </w:p>
    <w:p>
      <w:pPr>
        <w:ind w:firstLine="420"/>
        <w:spacing w:line="360" w:lineRule="auto"/>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 xml:space="preserve">⑤系统需具备多病公管大屏模块，展示患者人口构成、风险因素排名、并发症分布、纳管患者总数、合并随访人次数、多病公管综合达标情况、管理等级分布达标率等内容展示</w:t>
      </w:r>
      <w:r/>
    </w:p>
    <w:p>
      <w:pPr>
        <w:pStyle w:val="738"/>
        <w:ind w:left="-431"/>
        <w:spacing w:line="360" w:lineRule="auto"/>
        <w:rPr>
          <w:color w:val="000000" w:themeColor="text1"/>
          <w14:textFill>
            <w14:solidFill>
              <w14:schemeClr w14:val="tx1"/>
            </w14:solidFill>
          </w14:textFill>
        </w:rPr>
      </w:pPr>
      <w:r>
        <w:rPr>
          <w:rFonts w:hint="eastAsia" w:ascii="宋体" w:hAnsi="宋体" w:eastAsia="宋体" w:cs="Times New Roman"/>
          <w:b/>
          <w:bCs/>
          <w:color w:val="000000" w:themeColor="text1"/>
          <w:szCs w:val="48"/>
          <w14:textFill>
            <w14:solidFill>
              <w14:schemeClr w14:val="tx1"/>
            </w14:solidFill>
          </w14:textFill>
        </w:rPr>
        <w:t xml:space="preserve">（九）</w:t>
      </w:r>
      <w:r>
        <w:rPr>
          <w:rFonts w:hint="eastAsia"/>
          <w:color w:val="000000" w:themeColor="text1"/>
          <w14:textFill>
            <w14:solidFill>
              <w14:schemeClr w14:val="tx1"/>
            </w14:solidFill>
          </w14:textFill>
        </w:rPr>
        <w:t xml:space="preserve">商务要求</w:t>
      </w:r>
      <w:r/>
    </w:p>
    <w:p>
      <w:pPr>
        <w:pStyle w:val="928"/>
        <w:ind w:firstLine="539"/>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11</w:t>
      </w:r>
      <w:r>
        <w:rPr>
          <w:rFonts w:hint="eastAsia" w:ascii="宋体" w:hAnsi="宋体" w:cs="宋体"/>
          <w:b/>
          <w:bCs/>
          <w:color w:val="000000" w:themeColor="text1"/>
          <w:szCs w:val="21"/>
          <w14:textFill>
            <w14:solidFill>
              <w14:schemeClr w14:val="tx1"/>
            </w14:solidFill>
          </w14:textFill>
        </w:rPr>
        <w:t xml:space="preserve">.</w:t>
      </w:r>
      <w:r>
        <w:rPr>
          <w:rFonts w:ascii="宋体" w:hAnsi="宋体" w:cs="宋体"/>
          <w:b/>
          <w:bCs/>
          <w:color w:val="000000" w:themeColor="text1"/>
          <w:szCs w:val="21"/>
          <w14:textFill>
            <w14:solidFill>
              <w14:schemeClr w14:val="tx1"/>
            </w14:solidFill>
          </w14:textFill>
        </w:rPr>
        <w:t xml:space="preserve">1</w:t>
      </w:r>
      <w:r>
        <w:rPr>
          <w:rFonts w:hint="eastAsia" w:ascii="宋体" w:hAnsi="宋体" w:cs="宋体"/>
          <w:b/>
          <w:bCs/>
          <w:color w:val="000000" w:themeColor="text1"/>
          <w:szCs w:val="21"/>
          <w14:textFill>
            <w14:solidFill>
              <w14:schemeClr w14:val="tx1"/>
            </w14:solidFill>
          </w14:textFill>
        </w:rPr>
        <w:t xml:space="preserve">.服务周期要求</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工期:自合同签订之日起4个月内，完成</w:t>
      </w:r>
      <w:r>
        <w:rPr>
          <w:rFonts w:hint="eastAsia" w:ascii="宋体" w:hAnsi="宋体" w:cs="宋体"/>
          <w:color w:val="000000" w:themeColor="text1"/>
          <w:szCs w:val="21"/>
          <w:lang w:eastAsia="zh-CN"/>
          <w14:textFill>
            <w14:solidFill>
              <w14:schemeClr w14:val="tx1"/>
            </w14:solidFill>
          </w14:textFill>
        </w:rPr>
        <w:t xml:space="preserve">扬州市广陵区卫健委健康管理型医院基层能力提升暨绩效体系建设项目</w:t>
      </w:r>
      <w:r>
        <w:rPr>
          <w:rFonts w:hint="eastAsia" w:ascii="宋体" w:hAnsi="宋体" w:cs="宋体"/>
          <w:color w:val="000000" w:themeColor="text1"/>
          <w:szCs w:val="21"/>
          <w14:textFill>
            <w14:solidFill>
              <w14:schemeClr w14:val="tx1"/>
            </w14:solidFill>
          </w14:textFill>
        </w:rPr>
        <w:t xml:space="preserve">开发部署服务。</w:t>
      </w:r>
      <w:r/>
    </w:p>
    <w:p>
      <w:pPr>
        <w:pStyle w:val="928"/>
        <w:ind w:firstLine="539"/>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11</w:t>
      </w:r>
      <w:r>
        <w:rPr>
          <w:rFonts w:hint="eastAsia" w:ascii="宋体" w:hAnsi="宋体" w:cs="宋体"/>
          <w:b/>
          <w:bCs/>
          <w:color w:val="000000" w:themeColor="text1"/>
          <w:szCs w:val="21"/>
          <w14:textFill>
            <w14:solidFill>
              <w14:schemeClr w14:val="tx1"/>
            </w14:solidFill>
          </w14:textFill>
        </w:rPr>
        <w:t xml:space="preserve">.</w:t>
      </w:r>
      <w:r>
        <w:rPr>
          <w:rFonts w:ascii="宋体" w:hAnsi="宋体" w:cs="宋体"/>
          <w:b/>
          <w:bCs/>
          <w:color w:val="000000" w:themeColor="text1"/>
          <w:szCs w:val="21"/>
          <w14:textFill>
            <w14:solidFill>
              <w14:schemeClr w14:val="tx1"/>
            </w14:solidFill>
          </w14:textFill>
        </w:rPr>
        <w:t xml:space="preserve">2</w:t>
      </w:r>
      <w:r>
        <w:rPr>
          <w:rFonts w:hint="eastAsia" w:ascii="宋体" w:hAnsi="宋体" w:cs="宋体"/>
          <w:b/>
          <w:bCs/>
          <w:color w:val="000000" w:themeColor="text1"/>
          <w:szCs w:val="21"/>
          <w14:textFill>
            <w14:solidFill>
              <w14:schemeClr w14:val="tx1"/>
            </w14:solidFill>
          </w14:textFill>
        </w:rPr>
        <w:t xml:space="preserve">.服务要求</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需提供售后服务承诺，软件免费维保服务3年，并能够在接到故障报修后</w:t>
      </w:r>
      <w:r>
        <w:rPr>
          <w:rFonts w:ascii="宋体" w:hAnsi="宋体" w:cs="宋体"/>
          <w:color w:val="000000" w:themeColor="text1"/>
          <w:szCs w:val="21"/>
          <w14:textFill>
            <w14:solidFill>
              <w14:schemeClr w14:val="tx1"/>
            </w14:solidFill>
          </w14:textFill>
        </w:rPr>
        <w:t xml:space="preserve">30</w:t>
      </w:r>
      <w:r>
        <w:rPr>
          <w:rFonts w:hint="eastAsia" w:ascii="宋体" w:hAnsi="宋体" w:cs="宋体"/>
          <w:color w:val="000000" w:themeColor="text1"/>
          <w:szCs w:val="21"/>
          <w14:textFill>
            <w14:solidFill>
              <w14:schemeClr w14:val="tx1"/>
            </w14:solidFill>
          </w14:textFill>
        </w:rPr>
        <w:t xml:space="preserve">分钟内响应，</w:t>
      </w:r>
      <w:r>
        <w:rPr>
          <w:rFonts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小时内解决）、服务支持方式包括但不限于电话、远程、现场。中标人负责提供本项目实施、运行所需全部硬件设备及基础软件，包括但不限于服务器、操作系统、中间件、数据库及配套运行环境。三年质保期满后按实际需求另行商议，项目涉及的业务系统和数据资产归</w:t>
      </w:r>
      <w:r>
        <w:rPr>
          <w:rFonts w:hint="eastAsia" w:ascii="宋体" w:hAnsi="宋体" w:cs="宋体"/>
          <w:color w:val="000000" w:themeColor="text1"/>
          <w:szCs w:val="21"/>
          <w:lang w:eastAsia="zh-CN"/>
          <w14:textFill>
            <w14:solidFill>
              <w14:schemeClr w14:val="tx1"/>
            </w14:solidFill>
          </w14:textFill>
        </w:rPr>
        <w:t xml:space="preserve">招标人</w:t>
      </w:r>
      <w:r>
        <w:rPr>
          <w:rFonts w:hint="eastAsia" w:ascii="宋体" w:hAnsi="宋体" w:cs="宋体"/>
          <w:color w:val="000000" w:themeColor="text1"/>
          <w:szCs w:val="21"/>
          <w14:textFill>
            <w14:solidFill>
              <w14:schemeClr w14:val="tx1"/>
            </w14:solidFill>
          </w14:textFill>
        </w:rPr>
        <w:t xml:space="preserve">所有，中标人须无条件配合</w:t>
      </w:r>
      <w:r>
        <w:rPr>
          <w:rFonts w:hint="eastAsia" w:ascii="宋体" w:hAnsi="宋体" w:cs="宋体"/>
          <w:color w:val="000000" w:themeColor="text1"/>
          <w:szCs w:val="21"/>
          <w:lang w:eastAsia="zh-CN"/>
          <w14:textFill>
            <w14:solidFill>
              <w14:schemeClr w14:val="tx1"/>
            </w14:solidFill>
          </w14:textFill>
        </w:rPr>
        <w:t xml:space="preserve">招标人</w:t>
      </w:r>
      <w:r>
        <w:rPr>
          <w:rFonts w:hint="eastAsia" w:ascii="宋体" w:hAnsi="宋体" w:cs="宋体"/>
          <w:color w:val="000000" w:themeColor="text1"/>
          <w:szCs w:val="21"/>
          <w14:textFill>
            <w14:solidFill>
              <w14:schemeClr w14:val="tx1"/>
            </w14:solidFill>
          </w14:textFill>
        </w:rPr>
        <w:t xml:space="preserve">完成系统对接、数据迁移、接口调试等全部接入工作，不承担该项费用。</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）提供的服务措施应包含定期的系统巡检计划、运维服务管理制度以及突发事件应急保障方案等。</w:t>
      </w:r>
      <w:r/>
    </w:p>
    <w:p>
      <w:pPr>
        <w:pStyle w:val="928"/>
        <w:ind w:firstLine="539"/>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11.3. 团队实力要求</w:t>
      </w:r>
      <w:r/>
    </w:p>
    <w:p>
      <w:pPr>
        <w:ind w:firstLine="56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（1）供应商拟派项目经理1名</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（2）供应商拟派项目技术团队人员具有：系统架构设计师</w:t>
      </w:r>
      <w:r>
        <w:rPr>
          <w:rFonts w:hint="eastAsia" w:ascii="宋体" w:hAnsi="宋体" w:cs="宋体"/>
          <w:color w:val="000000" w:themeColor="text1"/>
          <w:szCs w:val="21"/>
          <w:lang w:val="en-US" w:eastAsia="zh-CN"/>
          <w14:textFill>
            <w14:solidFill>
              <w14:schemeClr w14:val="tx1"/>
            </w14:solidFill>
          </w14:textFill>
        </w:rPr>
        <w:t xml:space="preserve">1名</w:t>
      </w:r>
      <w:r>
        <w:rPr>
          <w:rFonts w:hint="eastAsia" w:ascii="宋体" w:hAnsi="宋体" w:cs="宋体"/>
          <w:color w:val="000000" w:themeColor="text1"/>
          <w:szCs w:val="21"/>
          <w14:textFill>
            <w14:solidFill>
              <w14:schemeClr w14:val="tx1"/>
            </w14:solidFill>
          </w14:textFill>
        </w:rPr>
        <w:t xml:space="preserve">、信息安全管理工程师</w:t>
      </w:r>
      <w:r>
        <w:rPr>
          <w:rFonts w:hint="eastAsia" w:ascii="宋体" w:hAnsi="宋体" w:cs="宋体"/>
          <w:color w:val="000000" w:themeColor="text1"/>
          <w:szCs w:val="21"/>
          <w:lang w:val="en-US" w:eastAsia="zh-CN"/>
          <w14:textFill>
            <w14:solidFill>
              <w14:schemeClr w14:val="tx1"/>
            </w14:solidFill>
          </w14:textFill>
        </w:rPr>
        <w:t xml:space="preserve">1名</w:t>
      </w:r>
      <w:r>
        <w:rPr>
          <w:rFonts w:hint="eastAsia" w:ascii="宋体" w:hAnsi="宋体" w:cs="宋体"/>
          <w:color w:val="000000" w:themeColor="text1"/>
          <w:szCs w:val="21"/>
          <w14:textFill>
            <w14:solidFill>
              <w14:schemeClr w14:val="tx1"/>
            </w14:solidFill>
          </w14:textFill>
        </w:rPr>
        <w:t xml:space="preserve">。</w:t>
      </w:r>
      <w:r/>
    </w:p>
    <w:p>
      <w:pPr>
        <w:ind w:firstLine="560"/>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11</w:t>
      </w:r>
      <w:r>
        <w:rPr>
          <w:rFonts w:hint="eastAsia" w:ascii="宋体" w:hAnsi="宋体" w:cs="宋体"/>
          <w:b/>
          <w:bCs/>
          <w:color w:val="000000" w:themeColor="text1"/>
          <w:szCs w:val="21"/>
          <w14:textFill>
            <w14:solidFill>
              <w14:schemeClr w14:val="tx1"/>
            </w14:solidFill>
          </w14:textFill>
        </w:rPr>
        <w:t xml:space="preserve">.5 验收要求</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验收标准：</w:t>
      </w:r>
      <w:r/>
    </w:p>
    <w:p>
      <w:pPr>
        <w:ind w:firstLine="56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（1）供应商提供的服务应符合国家、地方及相关政府管理部门和行业与本项目有关的各项服务标准、规范、规章要求，并满足</w:t>
      </w:r>
      <w:r>
        <w:rPr>
          <w:rFonts w:hint="eastAsia" w:ascii="宋体" w:hAnsi="宋体" w:cs="宋体"/>
          <w:color w:val="000000" w:themeColor="text1"/>
          <w:szCs w:val="21"/>
          <w:lang w:eastAsia="zh-CN"/>
          <w14:textFill>
            <w14:solidFill>
              <w14:schemeClr w14:val="tx1"/>
            </w14:solidFill>
          </w14:textFill>
        </w:rPr>
        <w:t xml:space="preserve">招标人</w:t>
      </w:r>
      <w:r>
        <w:rPr>
          <w:rFonts w:hint="eastAsia" w:ascii="宋体" w:hAnsi="宋体" w:cs="宋体"/>
          <w:color w:val="000000" w:themeColor="text1"/>
          <w:szCs w:val="21"/>
          <w14:textFill>
            <w14:solidFill>
              <w14:schemeClr w14:val="tx1"/>
            </w14:solidFill>
          </w14:textFill>
        </w:rPr>
        <w:t xml:space="preserve">实际需求，标准、规范等不一致的，以要求高的为准。</w:t>
      </w:r>
      <w:r/>
    </w:p>
    <w:p>
      <w:pPr>
        <w:pStyle w:val="765"/>
        <w:ind w:firstLine="480"/>
        <w:jc w:val="both"/>
        <w:spacing w:beforeAutospacing="0" w:afterAutospacing="0" w:line="360" w:lineRule="auto"/>
        <w:rPr>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（2）本项目验收将由</w:t>
      </w:r>
      <w:r>
        <w:rPr>
          <w:rFonts w:hint="eastAsia" w:ascii="宋体" w:hAnsi="宋体" w:cs="宋体"/>
          <w:color w:val="000000" w:themeColor="text1"/>
          <w:sz w:val="21"/>
          <w:szCs w:val="21"/>
          <w:lang w:eastAsia="zh-CN"/>
          <w14:textFill>
            <w14:solidFill>
              <w14:schemeClr w14:val="tx1"/>
            </w14:solidFill>
          </w14:textFill>
        </w:rPr>
        <w:t xml:space="preserve">招标人</w:t>
      </w:r>
      <w:r>
        <w:rPr>
          <w:rFonts w:hint="eastAsia" w:ascii="宋体" w:hAnsi="宋体" w:cs="宋体"/>
          <w:color w:val="000000" w:themeColor="text1"/>
          <w:sz w:val="21"/>
          <w:szCs w:val="21"/>
          <w14:textFill>
            <w14:solidFill>
              <w14:schemeClr w14:val="tx1"/>
            </w14:solidFill>
          </w14:textFill>
        </w:rPr>
        <w:t xml:space="preserve">组织进行或委托第三方进行。</w:t>
      </w:r>
      <w:r/>
    </w:p>
    <w:p>
      <w:pPr>
        <w:pStyle w:val="738"/>
        <w:ind w:left="-431" w:firstLine="422"/>
        <w:rPr>
          <w:rFonts w:ascii="宋体" w:hAnsi="宋体" w:eastAsia="宋体" w:cs="Times New Roman"/>
          <w:b/>
          <w:bCs/>
          <w:color w:val="000000" w:themeColor="text1"/>
          <w:szCs w:val="48"/>
          <w14:textFill>
            <w14:solidFill>
              <w14:schemeClr w14:val="tx1"/>
            </w14:solidFill>
          </w14:textFill>
        </w:rPr>
      </w:pPr>
      <w:r>
        <w:rPr>
          <w:rFonts w:hint="eastAsia" w:ascii="宋体" w:hAnsi="宋体" w:eastAsia="宋体" w:cs="Times New Roman"/>
          <w:b/>
          <w:bCs/>
          <w:color w:val="000000" w:themeColor="text1"/>
          <w:szCs w:val="48"/>
          <w14:textFill>
            <w14:solidFill>
              <w14:schemeClr w14:val="tx1"/>
            </w14:solidFill>
          </w14:textFill>
        </w:rPr>
        <w:t xml:space="preserve">（十二）其他要求</w:t>
      </w:r>
      <w:r/>
    </w:p>
    <w:p>
      <w:pPr>
        <w:ind w:firstLine="480"/>
        <w:spacing w:line="360" w:lineRule="auto"/>
        <w:rPr>
          <w:rFonts w:ascii="宋体" w:hAnsi="宋体" w:eastAsia="宋体" w:cs="宋体"/>
          <w:bCs/>
          <w:i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themeColor="text1"/>
          <w:szCs w:val="21"/>
          <w14:textFill>
            <w14:solidFill>
              <w14:schemeClr w14:val="tx1"/>
            </w14:solidFill>
          </w14:textFill>
        </w:rPr>
        <w:t xml:space="preserve">1.本项目为交钥匙工程，项目包含制作、安装、施工、调试验收相关的技术指导和售后服务、利润、保险、税金、以及所包含的风险、责任等所有费用均包含在报价内，请各投标人认真考虑其各种风险。除合同另有规定之外，伴随服务的费用均已含在合同价款中，</w:t>
      </w:r>
      <w:r>
        <w:rPr>
          <w:rFonts w:hint="eastAsia" w:ascii="宋体" w:hAnsi="宋体" w:eastAsia="宋体" w:cs="宋体"/>
          <w:bCs/>
          <w:iCs/>
          <w:color w:val="000000" w:themeColor="text1"/>
          <w:szCs w:val="21"/>
          <w:lang w:eastAsia="zh-CN"/>
          <w14:textFill>
            <w14:solidFill>
              <w14:schemeClr w14:val="tx1"/>
            </w14:solidFill>
          </w14:textFill>
        </w:rPr>
        <w:t xml:space="preserve">招标人</w:t>
      </w:r>
      <w:r>
        <w:rPr>
          <w:rFonts w:hint="eastAsia" w:ascii="宋体" w:hAnsi="宋体" w:eastAsia="宋体" w:cs="宋体"/>
          <w:bCs/>
          <w:iCs/>
          <w:color w:val="000000" w:themeColor="text1"/>
          <w:szCs w:val="21"/>
          <w14:textFill>
            <w14:solidFill>
              <w14:schemeClr w14:val="tx1"/>
            </w14:solidFill>
          </w14:textFill>
        </w:rPr>
        <w:t xml:space="preserve">不再另行支付。</w:t>
      </w:r>
      <w:r/>
    </w:p>
    <w:p>
      <w:pPr>
        <w:ind w:firstLine="480"/>
        <w:spacing w:line="360" w:lineRule="auto"/>
        <w:rPr>
          <w:rFonts w:ascii="宋体" w:hAnsi="宋体" w:eastAsia="宋体" w:cs="宋体"/>
          <w:bCs/>
          <w:i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themeColor="text1"/>
          <w:szCs w:val="21"/>
          <w14:textFill>
            <w14:solidFill>
              <w14:schemeClr w14:val="tx1"/>
            </w14:solidFill>
          </w14:textFill>
        </w:rPr>
        <w:t xml:space="preserve">2.本项目系统对接、接入市级大数据中心及各类政务数据平台，由此产生的数据接口费、平台入驻费、资源使用费、协调实施费等全部相关费用均由中标人全额承担，</w:t>
      </w:r>
      <w:r>
        <w:rPr>
          <w:rFonts w:hint="eastAsia" w:ascii="宋体" w:hAnsi="宋体" w:eastAsia="宋体" w:cs="宋体"/>
          <w:bCs/>
          <w:iCs/>
          <w:color w:val="000000" w:themeColor="text1"/>
          <w:szCs w:val="21"/>
          <w:lang w:eastAsia="zh-CN"/>
          <w14:textFill>
            <w14:solidFill>
              <w14:schemeClr w14:val="tx1"/>
            </w14:solidFill>
          </w14:textFill>
        </w:rPr>
        <w:t xml:space="preserve">招标人</w:t>
      </w:r>
      <w:r>
        <w:rPr>
          <w:rFonts w:hint="eastAsia" w:ascii="宋体" w:hAnsi="宋体" w:eastAsia="宋体" w:cs="宋体"/>
          <w:bCs/>
          <w:iCs/>
          <w:color w:val="000000" w:themeColor="text1"/>
          <w:szCs w:val="21"/>
          <w14:textFill>
            <w14:solidFill>
              <w14:schemeClr w14:val="tx1"/>
            </w14:solidFill>
          </w14:textFill>
        </w:rPr>
        <w:t xml:space="preserve">不承担任何额外支出。</w:t>
      </w:r>
      <w:r/>
    </w:p>
    <w:p>
      <w:pPr>
        <w:ind w:firstLine="480"/>
        <w:spacing w:line="360" w:lineRule="auto"/>
        <w:rPr>
          <w:rFonts w:ascii="宋体" w:hAnsi="宋体" w:eastAsia="宋体" w:cs="宋体"/>
          <w:bCs/>
          <w:i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themeColor="text1"/>
          <w:szCs w:val="21"/>
          <w14:textFill>
            <w14:solidFill>
              <w14:schemeClr w14:val="tx1"/>
            </w14:solidFill>
          </w14:textFill>
        </w:rPr>
        <w:t xml:space="preserve">3.本项目预算350万元，费用包含首年三级等保、软件测评、密码测评、广陵区HIS、公卫系统接口费用，项目三年免费质保。</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737"/>
        <w:jc w:val="center"/>
        <w:rPr>
          <w:rFonts w:hint="default"/>
          <w:color w:val="000000" w:themeColor="text1"/>
          <w14:textFill>
            <w14:solidFill>
              <w14:schemeClr w14:val="tx1"/>
            </w14:solidFill>
          </w14:textFill>
        </w:rPr>
      </w:pPr>
      <w:r>
        <w:rPr>
          <w:color w:val="000000" w:themeColor="text1"/>
          <w14:textFill>
            <w14:solidFill>
              <w14:schemeClr w14:val="tx1"/>
            </w14:solidFill>
          </w14:textFill>
        </w:rPr>
        <w:t xml:space="preserve">第五章、评标方法与评标标准</w:t>
      </w:r>
      <w:r/>
    </w:p>
    <w:p>
      <w:pPr>
        <w:pStyle w:val="765"/>
        <w:ind w:firstLine="420"/>
        <w:jc w:val="both"/>
        <w:spacing w:beforeAutospacing="0" w:afterAutospacing="0" w:line="360" w:lineRule="auto"/>
        <w:rPr>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采用综合评分法的，评标结果按评审后得分由高到低顺序排列。得分相同的，按投标报价由低到高顺序排列。得分且投标报价相同的并列。</w:t>
      </w:r>
      <w:r/>
    </w:p>
    <w:tbl>
      <w:tblPr>
        <w:tblStyle w:val="747"/>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1339"/>
        <w:gridCol w:w="2154"/>
        <w:gridCol w:w="5066"/>
      </w:tblGrid>
      <w:tr>
        <w:trPr>
          <w:tblCellSpacing w:w="0" w:type="dxa"/>
        </w:trPr>
        <w:tc>
          <w:tcPr>
            <w:tcBorders>
              <w:top w:val="single" w:color="000000" w:sz="8" w:space="0"/>
              <w:left w:val="single" w:color="000000" w:sz="8" w:space="0"/>
              <w:bottom w:val="single" w:color="000000" w:sz="8" w:space="0"/>
              <w:right w:val="single" w:color="000000" w:sz="8" w:space="0"/>
            </w:tcBorders>
            <w:tcW w:w="782" w:type="pct"/>
            <w:vAlign w:val="center"/>
            <w:textDirection w:val="lrTb"/>
            <w:noWrap w:val="false"/>
          </w:tcPr>
          <w:p>
            <w:pPr>
              <w:pStyle w:val="765"/>
              <w:jc w:val="both"/>
              <w:spacing w:beforeAutospacing="0" w:afterAutospacing="0" w:line="360" w:lineRule="auto"/>
              <w:rPr>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W w:w="1258" w:type="pct"/>
            <w:vAlign w:val="center"/>
            <w:textDirection w:val="lrTb"/>
            <w:noWrap w:val="false"/>
          </w:tcPr>
          <w:p>
            <w:pPr>
              <w:pStyle w:val="765"/>
              <w:jc w:val="both"/>
              <w:spacing w:beforeAutospacing="0" w:afterAutospacing="0" w:line="360" w:lineRule="auto"/>
              <w:rPr>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选取中标候选人数量</w:t>
            </w:r>
            <w:r/>
          </w:p>
        </w:tc>
        <w:tc>
          <w:tcPr>
            <w:tcBorders>
              <w:top w:val="single" w:color="000000" w:sz="8" w:space="0"/>
              <w:left w:val="none" w:color="000000" w:sz="4" w:space="0"/>
              <w:bottom w:val="single" w:color="000000" w:sz="8" w:space="0"/>
              <w:right w:val="single" w:color="000000" w:sz="8" w:space="0"/>
            </w:tcBorders>
            <w:tcW w:w="2958" w:type="pct"/>
            <w:vAlign w:val="center"/>
            <w:textDirection w:val="lrTb"/>
            <w:noWrap w:val="false"/>
          </w:tcPr>
          <w:p>
            <w:pPr>
              <w:pStyle w:val="765"/>
              <w:ind w:firstLine="420"/>
              <w:jc w:val="center"/>
              <w:spacing w:beforeAutospacing="0" w:afterAutospacing="0" w:line="360" w:lineRule="auto"/>
              <w:rPr>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选取中标候选人的原则</w:t>
            </w:r>
            <w:r/>
          </w:p>
        </w:tc>
      </w:tr>
      <w:tr>
        <w:trPr>
          <w:tblCellSpacing w:w="0" w:type="dxa"/>
        </w:trPr>
        <w:tc>
          <w:tcPr>
            <w:tcBorders>
              <w:top w:val="none" w:color="000000" w:sz="4" w:space="0"/>
              <w:left w:val="single" w:color="000000" w:sz="8" w:space="0"/>
              <w:bottom w:val="single" w:color="000000" w:sz="8" w:space="0"/>
              <w:right w:val="single" w:color="000000" w:sz="8" w:space="0"/>
            </w:tcBorders>
            <w:tcW w:w="782" w:type="pct"/>
            <w:vAlign w:val="center"/>
            <w:textDirection w:val="lrTb"/>
            <w:noWrap w:val="false"/>
          </w:tcPr>
          <w:p>
            <w:pPr>
              <w:pStyle w:val="765"/>
              <w:ind w:firstLine="420"/>
              <w:jc w:val="center"/>
              <w:spacing w:beforeAutospacing="0" w:afterAutospacing="0" w:line="360" w:lineRule="auto"/>
              <w:rPr>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1258" w:type="pct"/>
            <w:vAlign w:val="center"/>
            <w:textDirection w:val="lrTb"/>
            <w:noWrap w:val="false"/>
          </w:tcPr>
          <w:p>
            <w:pPr>
              <w:pStyle w:val="765"/>
              <w:ind w:firstLine="420"/>
              <w:jc w:val="center"/>
              <w:spacing w:beforeAutospacing="0" w:afterAutospacing="0" w:line="360" w:lineRule="auto"/>
              <w:rPr>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W w:w="2958" w:type="pct"/>
            <w:vAlign w:val="center"/>
            <w:textDirection w:val="lrTb"/>
            <w:noWrap w:val="false"/>
          </w:tcPr>
          <w:p>
            <w:pPr>
              <w:pStyle w:val="765"/>
              <w:jc w:val="both"/>
              <w:spacing w:beforeAutospacing="0" w:afterAutospacing="0" w:line="360" w:lineRule="auto"/>
              <w:rPr>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满足招标文件全部实质性要求，且按照评审因素的量化指标评审得分最高的投标人为中标候选人。</w:t>
            </w:r>
            <w:r/>
          </w:p>
        </w:tc>
      </w:tr>
    </w:tbl>
    <w:p>
      <w:pPr>
        <w:pStyle w:val="765"/>
        <w:ind w:firstLine="422"/>
        <w:jc w:val="both"/>
        <w:spacing w:beforeAutospacing="0" w:afterAutospacing="0" w:line="360" w:lineRule="auto"/>
        <w:rPr>
          <w:color w:val="000000" w:themeColor="text1"/>
          <w:sz w:val="21"/>
          <w:szCs w:val="21"/>
          <w14:textFill>
            <w14:solidFill>
              <w14:schemeClr w14:val="tx1"/>
            </w14:solidFill>
          </w14:textFill>
        </w:rPr>
      </w:pPr>
      <w:r>
        <w:rPr>
          <w:rFonts w:ascii="宋体" w:hAnsi="宋体" w:eastAsia="宋体" w:cs="宋体"/>
          <w:b/>
          <w:bCs/>
          <w:color w:val="000000" w:themeColor="text1"/>
          <w:sz w:val="21"/>
          <w:szCs w:val="21"/>
          <w14:textFill>
            <w14:solidFill>
              <w14:schemeClr w14:val="tx1"/>
            </w14:solidFill>
          </w14:textFill>
        </w:rPr>
        <w:t xml:space="preserve">政府采购政策功能落实</w:t>
      </w:r>
      <w:r/>
    </w:p>
    <w:p>
      <w:pPr>
        <w:pStyle w:val="765"/>
        <w:ind w:firstLine="422"/>
        <w:jc w:val="both"/>
        <w:spacing w:beforeAutospacing="0" w:afterAutospacing="0" w:line="360" w:lineRule="auto"/>
        <w:rPr>
          <w:color w:val="000000" w:themeColor="text1"/>
          <w:sz w:val="21"/>
          <w:szCs w:val="21"/>
          <w14:textFill>
            <w14:solidFill>
              <w14:schemeClr w14:val="tx1"/>
            </w14:solidFill>
          </w14:textFill>
        </w:rPr>
      </w:pPr>
      <w:r>
        <w:rPr>
          <w:rFonts w:ascii="宋体" w:hAnsi="宋体" w:eastAsia="宋体" w:cs="宋体"/>
          <w:b/>
          <w:bCs/>
          <w:color w:val="000000" w:themeColor="text1"/>
          <w:sz w:val="21"/>
          <w:szCs w:val="21"/>
          <w14:textFill>
            <w14:solidFill>
              <w14:schemeClr w14:val="tx1"/>
            </w14:solidFill>
          </w14:textFill>
        </w:rPr>
        <w:t xml:space="preserve">本项目专门面向中小企业：</w:t>
      </w:r>
      <w:r>
        <w:rPr>
          <w:rFonts w:hint="eastAsia" w:ascii="宋体" w:hAnsi="宋体" w:eastAsia="宋体" w:cs="宋体"/>
          <w:b/>
          <w:bCs/>
          <w:color w:val="000000" w:themeColor="text1"/>
          <w:sz w:val="21"/>
          <w:szCs w:val="21"/>
          <w14:textFill>
            <w14:solidFill>
              <w14:schemeClr w14:val="tx1"/>
            </w14:solidFill>
          </w14:textFill>
        </w:rPr>
        <w:t xml:space="preserve">是</w:t>
      </w:r>
      <w:r/>
    </w:p>
    <w:p>
      <w:pPr>
        <w:ind w:firstLine="480"/>
        <w:spacing w:before="120" w:after="120"/>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1、小微型企业价格扣除</w:t>
      </w:r>
      <w:r/>
    </w:p>
    <w:p>
      <w:pPr>
        <w:ind w:firstLine="360"/>
        <w:spacing w:before="120" w:after="120"/>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（1）本项目对小型和微型企业产品给予</w:t>
      </w:r>
      <w:r>
        <w:rPr>
          <w:rFonts w:ascii="宋体" w:hAnsi="宋体" w:cs="宋体"/>
          <w:color w:val="000000" w:themeColor="text1"/>
          <w:szCs w:val="21"/>
          <w:u w:val="single"/>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的扣除价格，用扣除后的价格参与评审。</w:t>
      </w:r>
      <w:r/>
    </w:p>
    <w:p>
      <w:pPr>
        <w:ind w:firstLine="360"/>
        <w:spacing w:before="120" w:after="120"/>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（2）供应商需按照采购文件的要求提供相应的《中小企业声明函》。</w:t>
      </w:r>
      <w:r/>
    </w:p>
    <w:p>
      <w:pPr>
        <w:ind w:firstLine="360"/>
        <w:spacing w:before="240" w:after="240"/>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（3）企业标准请参照《关于印发中小企业划型标准规定的通知》（工信部联企业[2011]300号）文件规定自行填写。</w:t>
      </w:r>
      <w:r/>
    </w:p>
    <w:p>
      <w:pPr>
        <w:ind w:firstLine="480"/>
        <w:spacing w:before="120" w:after="120"/>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2、残疾人福利单位价格扣除</w:t>
      </w:r>
      <w:r/>
    </w:p>
    <w:p>
      <w:pPr>
        <w:ind w:left="120" w:firstLine="360"/>
        <w:spacing w:before="120" w:after="120"/>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（1）本项目对残疾人福利性单位视同小型、微型企业，给予</w:t>
      </w:r>
      <w:r>
        <w:rPr>
          <w:rFonts w:ascii="宋体" w:hAnsi="宋体" w:cs="宋体"/>
          <w:color w:val="000000" w:themeColor="text1"/>
          <w:szCs w:val="21"/>
          <w:u w:val="single"/>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（的价格扣除，用扣除后的价格参与评审。</w:t>
      </w:r>
      <w:r/>
    </w:p>
    <w:p>
      <w:pPr>
        <w:ind w:left="120" w:firstLine="360"/>
        <w:spacing w:before="120" w:after="120"/>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（2）残疾人福利单位需按照采购文件的要求提供《残疾人福利性单位声明函》。</w:t>
      </w:r>
      <w:r/>
    </w:p>
    <w:p>
      <w:pPr>
        <w:ind w:left="120" w:firstLine="360"/>
        <w:spacing w:before="120" w:after="120"/>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（3）残疾人福利单位标准请参照《关于促进残疾人就业政府采购政策的通知》（财库〔2017〕141号）。</w:t>
      </w:r>
      <w:r/>
    </w:p>
    <w:p>
      <w:pPr>
        <w:ind w:firstLine="480"/>
        <w:spacing w:before="120" w:after="120"/>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3、监狱和戒毒企业价格扣除</w:t>
      </w:r>
      <w:r/>
    </w:p>
    <w:p>
      <w:pPr>
        <w:ind w:firstLine="480"/>
        <w:spacing w:before="120" w:after="120"/>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（1）本项目对监狱和戒毒企业（简称监狱企业）视同小型、微型企业，给予</w:t>
      </w:r>
      <w:r>
        <w:rPr>
          <w:rFonts w:ascii="宋体" w:hAnsi="宋体" w:cs="宋体"/>
          <w:color w:val="000000" w:themeColor="text1"/>
          <w:szCs w:val="21"/>
          <w:u w:val="single"/>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的价格扣除，用扣除后的价格参与评审。</w:t>
      </w:r>
      <w:r/>
    </w:p>
    <w:p>
      <w:pPr>
        <w:ind w:firstLine="480"/>
        <w:spacing w:before="120" w:after="120"/>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（3）监狱企业标准请参照《关于政府采购支持监狱企业发展有关问题的通知》（财库〔2014〕68号）。</w:t>
      </w:r>
      <w:r/>
    </w:p>
    <w:p>
      <w:pPr>
        <w:ind w:firstLine="480"/>
        <w:spacing w:before="120" w:after="120" w:line="400" w:lineRule="atLeast"/>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4、残疾人福利单位、监狱企业属于小型、微型企业的，不重复享受政策。</w:t>
      </w:r>
      <w:r/>
    </w:p>
    <w:p>
      <w:pPr>
        <w:ind w:firstLine="480"/>
        <w:spacing w:before="120" w:after="120" w:line="400" w:lineRule="atLeast"/>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themeColor="text1"/>
          <w:szCs w:val="21"/>
          <w:u w:val="single"/>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的价格扣除，用扣除后的价格参与评审。</w:t>
      </w:r>
      <w:r/>
    </w:p>
    <w:p>
      <w:pPr>
        <w:ind w:firstLine="480"/>
        <w:spacing w:before="120" w:after="120" w:line="400" w:lineRule="atLeast"/>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6、联合体各方均为小型、微型企业（残疾人福利单位、监狱企业）的，联合体享受</w:t>
      </w:r>
      <w:r>
        <w:rPr>
          <w:rFonts w:ascii="宋体" w:hAnsi="宋体" w:cs="宋体"/>
          <w:color w:val="000000" w:themeColor="text1"/>
          <w:szCs w:val="21"/>
          <w:u w:val="single"/>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价格扣除，用扣除后的价格参与评审。</w:t>
      </w:r>
      <w:r/>
    </w:p>
    <w:p>
      <w:pPr>
        <w:pStyle w:val="765"/>
        <w:ind w:firstLine="482"/>
        <w:jc w:val="both"/>
        <w:spacing w:before="240" w:beforeAutospacing="0" w:after="240" w:afterAutospacing="0"/>
        <w:rPr>
          <w:rFonts w:ascii="宋体" w:hAnsi="宋体" w:eastAsia="宋体" w:cs="宋体"/>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评标方法与评标标准</w:t>
      </w:r>
      <w:r>
        <w:rPr>
          <w:rFonts w:ascii="宋体" w:hAnsi="宋体" w:eastAsia="宋体" w:cs="宋体"/>
          <w:color w:val="000000" w:themeColor="text1"/>
          <w14:textFill>
            <w14:solidFill>
              <w14:schemeClr w14:val="tx1"/>
            </w14:solidFill>
          </w14:textFill>
        </w:rPr>
        <w:t xml:space="preserve"> </w:t>
      </w:r>
      <w:r/>
    </w:p>
    <w:tbl>
      <w:tblPr>
        <w:tblStyle w:val="768"/>
        <w:tblW w:w="8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3"/>
        <w:gridCol w:w="1429"/>
        <w:gridCol w:w="5868"/>
      </w:tblGrid>
      <w:tr>
        <w:trPr>
          <w:jc w:val="center"/>
          <w:trHeight w:val="23"/>
        </w:trPr>
        <w:tc>
          <w:tcPr>
            <w:tcW w:w="1283" w:type="dxa"/>
            <w:vAlign w:val="center"/>
            <w:textDirection w:val="lrTb"/>
            <w:noWrap w:val="false"/>
          </w:tcPr>
          <w:p>
            <w:pPr>
              <w:pStyle w:val="922"/>
              <w:ind w:firstLine="0"/>
              <w:jc w:val="center"/>
              <w:spacing w:line="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项目</w:t>
            </w:r>
            <w:r/>
          </w:p>
        </w:tc>
        <w:tc>
          <w:tcPr>
            <w:gridSpan w:val="2"/>
            <w:tcW w:w="7297" w:type="dxa"/>
            <w:textDirection w:val="lrTb"/>
            <w:noWrap w:val="false"/>
          </w:tcPr>
          <w:p>
            <w:pPr>
              <w:pStyle w:val="922"/>
              <w:ind w:firstLine="0"/>
              <w:jc w:val="center"/>
              <w:spacing w:line="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评分标准</w:t>
            </w:r>
            <w:r/>
          </w:p>
        </w:tc>
      </w:tr>
      <w:tr>
        <w:trPr>
          <w:jc w:val="center"/>
          <w:trHeight w:val="23"/>
        </w:trPr>
        <w:tc>
          <w:tcPr>
            <w:tcW w:w="1283" w:type="dxa"/>
            <w:vAlign w:val="center"/>
            <w:textDirection w:val="lrTb"/>
            <w:noWrap w:val="false"/>
          </w:tcPr>
          <w:p>
            <w:pPr>
              <w:pStyle w:val="922"/>
              <w:ind w:firstLine="0"/>
              <w:jc w:val="center"/>
              <w:spacing w:line="24"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价格分</w:t>
            </w:r>
            <w:r/>
          </w:p>
          <w:p>
            <w:pPr>
              <w:pStyle w:val="922"/>
              <w:ind w:firstLine="0"/>
              <w:jc w:val="center"/>
              <w:spacing w:line="24"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（10分）</w:t>
            </w:r>
            <w:r/>
          </w:p>
        </w:tc>
        <w:tc>
          <w:tcPr>
            <w:gridSpan w:val="2"/>
            <w:tcW w:w="7297" w:type="dxa"/>
            <w:vAlign w:val="center"/>
            <w:textDirection w:val="lrTb"/>
            <w:noWrap w:val="false"/>
          </w:tcPr>
          <w:p>
            <w:pP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以满足招标文件要求的最低投标报价为评标基准价，得满分10分，其他投标报价得分=（评标基准价/其他投标报价）×10×100%。</w:t>
            </w:r>
            <w:r/>
          </w:p>
        </w:tc>
      </w:tr>
      <w:tr>
        <w:trPr>
          <w:jc w:val="center"/>
          <w:trHeight w:val="23"/>
        </w:trPr>
        <w:tc>
          <w:tcPr>
            <w:tcW w:w="1283" w:type="dxa"/>
            <w:vAlign w:val="center"/>
            <w:vMerge w:val="restart"/>
            <w:textDirection w:val="lrTb"/>
            <w:noWrap w:val="false"/>
          </w:tcPr>
          <w:p>
            <w:pPr>
              <w:pStyle w:val="922"/>
              <w:ind w:firstLine="0"/>
              <w:jc w:val="center"/>
              <w:spacing w:line="24"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技术性能</w:t>
            </w:r>
            <w:r/>
          </w:p>
          <w:p>
            <w:pPr>
              <w:pStyle w:val="922"/>
              <w:ind w:firstLine="0"/>
              <w:spacing w:line="24" w:lineRule="atLeast"/>
              <w:tabs>
                <w:tab w:val="left" w:pos="466" w:leader="none"/>
              </w:tabs>
              <w:rPr>
                <w:rFonts w:ascii="宋体" w:hAnsi="宋体" w:eastAsia="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24</w:t>
            </w:r>
            <w:r>
              <w:rPr>
                <w:rFonts w:hint="eastAsia" w:ascii="宋体" w:hAnsi="宋体" w:cs="宋体"/>
                <w:b/>
                <w:bCs/>
                <w:color w:val="000000" w:themeColor="text1"/>
                <w:sz w:val="21"/>
                <w:szCs w:val="21"/>
                <w14:textFill>
                  <w14:solidFill>
                    <w14:schemeClr w14:val="tx1"/>
                  </w14:solidFill>
                </w14:textFill>
              </w:rPr>
              <w:t xml:space="preserve">分）</w:t>
            </w:r>
            <w:r/>
          </w:p>
        </w:tc>
        <w:tc>
          <w:tcPr>
            <w:tcW w:w="1429" w:type="dxa"/>
            <w:vAlign w:val="center"/>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市级健康管理整合型医院基层能力辅助决策系统</w:t>
            </w:r>
            <w:r/>
          </w:p>
        </w:tc>
        <w:tc>
          <w:tcPr>
            <w:tcW w:w="586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符合招标文件中打“★”项技术参数要求的，每一</w:t>
            </w:r>
            <w:r>
              <w:rPr>
                <w:rFonts w:hint="eastAsia" w:ascii="宋体" w:hAnsi="宋体" w:cs="宋体"/>
                <w:color w:val="000000" w:themeColor="text1"/>
                <w:szCs w:val="21"/>
                <w:lang w:val="en-US" w:eastAsia="zh-CN" w:bidi="ar"/>
                <w14:textFill>
                  <w14:solidFill>
                    <w14:schemeClr w14:val="tx1"/>
                  </w14:solidFill>
                </w14:textFill>
              </w:rPr>
              <w:t xml:space="preserve">项全部满足的</w:t>
            </w:r>
            <w:r>
              <w:rPr>
                <w:rFonts w:hint="eastAsia" w:ascii="宋体" w:hAnsi="宋体" w:cs="宋体"/>
                <w:color w:val="000000" w:themeColor="text1"/>
                <w:szCs w:val="21"/>
                <w:lang w:bidi="ar"/>
                <w14:textFill>
                  <w14:solidFill>
                    <w14:schemeClr w14:val="tx1"/>
                  </w14:solidFill>
                </w14:textFill>
              </w:rPr>
              <w:t xml:space="preserve">得1分</w:t>
            </w:r>
            <w:r>
              <w:rPr>
                <w:rFonts w:hint="eastAsia" w:ascii="宋体" w:hAnsi="宋体" w:cs="宋体"/>
                <w:color w:val="000000" w:themeColor="text1"/>
                <w:szCs w:val="21"/>
                <w:lang w:eastAsia="zh-CN" w:bidi="ar"/>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共14分。</w:t>
            </w:r>
            <w:r/>
          </w:p>
          <w:p>
            <w:pPr>
              <w:jc w:val="left"/>
              <w:widowControl/>
              <w:rPr>
                <w:rFonts w:hint="eastAsia" w:ascii="宋体" w:hAnsi="宋体" w:cs="宋体" w:eastAsiaTheme="minorEastAsia"/>
                <w:color w:val="000000" w:themeColor="text1"/>
                <w:lang w:eastAsia="zh-CN"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rPr>
                <w:rFonts w:hint="eastAsia" w:ascii="宋体" w:hAnsi="宋体" w:cs="宋体"/>
                <w:b/>
                <w:bCs/>
                <w:color w:val="000000" w:themeColor="text1"/>
                <w:szCs w:val="21"/>
                <w:lang w:bidi="ar"/>
                <w14:textFill>
                  <w14:solidFill>
                    <w14:schemeClr w14:val="tx1"/>
                  </w14:solidFill>
                </w14:textFill>
              </w:rPr>
              <w:t xml:space="preserve">包括1.</w:t>
            </w:r>
            <w:r>
              <w:rPr>
                <w:rFonts w:hint="eastAsia" w:ascii="宋体" w:hAnsi="宋体" w:cs="宋体"/>
                <w:color w:val="000000" w:themeColor="text1"/>
                <w:lang w:bidi="ar"/>
                <w14:textFill>
                  <w14:solidFill>
                    <w14:schemeClr w14:val="tx1"/>
                  </w14:solidFill>
                </w14:textFill>
              </w:rPr>
              <w:t xml:space="preserve">责任医生以高血压、糖尿病管理路径各节点的纳管患者，统计各节点的任务量</w:t>
            </w:r>
            <w:r>
              <w:rPr>
                <w:rFonts w:hint="eastAsia" w:ascii="宋体" w:hAnsi="宋体" w:cs="宋体"/>
                <w:color w:val="000000" w:themeColor="text1"/>
                <w:lang w:eastAsia="zh-CN" w:bidi="ar"/>
                <w14:textFill>
                  <w14:solidFill>
                    <w14:schemeClr w14:val="tx1"/>
                  </w14:solidFill>
                </w14:textFill>
              </w:rPr>
              <w:t xml:space="preserve">。</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2.</w:t>
            </w:r>
            <w:r>
              <w:rPr>
                <w:rFonts w:hint="eastAsia" w:ascii="宋体" w:hAnsi="宋体" w:cs="宋体"/>
                <w:color w:val="000000" w:themeColor="text1"/>
                <w:lang w:bidi="ar"/>
                <w14:textFill>
                  <w14:solidFill>
                    <w14:schemeClr w14:val="tx1"/>
                  </w14:solidFill>
                </w14:textFill>
              </w:rPr>
              <w:t xml:space="preserve">就诊医生以高血压、糖尿病管理路径各节点的纳管患者，统计各节点的工作量。</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3.</w:t>
            </w:r>
            <w:r>
              <w:rPr>
                <w:rFonts w:hint="eastAsia" w:ascii="宋体" w:hAnsi="宋体" w:cs="宋体"/>
                <w:color w:val="000000" w:themeColor="text1"/>
                <w:lang w:bidi="ar"/>
                <w14:textFill>
                  <w14:solidFill>
                    <w14:schemeClr w14:val="tx1"/>
                  </w14:solidFill>
                </w14:textFill>
              </w:rPr>
              <w:t xml:space="preserve">待办提醒：提示医生未完成的路径节点</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包含待随访、随访同步、异常待处理、待转诊、年度体检、患者召回。</w:t>
            </w:r>
            <w:r/>
          </w:p>
          <w:p>
            <w:pPr>
              <w:jc w:val="left"/>
              <w:widowControl/>
              <w:rPr>
                <w:rFonts w:hint="eastAsia" w:ascii="宋体" w:hAnsi="宋体" w:cs="宋体" w:eastAsiaTheme="minorEastAsia"/>
                <w:color w:val="000000" w:themeColor="text1"/>
                <w:lang w:eastAsia="zh-CN" w:bidi="ar"/>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4.</w:t>
            </w:r>
            <w:r>
              <w:rPr>
                <w:rFonts w:hint="eastAsia" w:ascii="宋体" w:hAnsi="宋体" w:cs="宋体"/>
                <w:color w:val="000000" w:themeColor="text1"/>
                <w:lang w:bidi="ar"/>
                <w14:textFill>
                  <w14:solidFill>
                    <w14:schemeClr w14:val="tx1"/>
                  </w14:solidFill>
                </w14:textFill>
              </w:rPr>
              <w:t xml:space="preserve">慢病管理指数:显示责任医生所管理的患者的本期慢病管理指数所在机构的排名，所在机构的最低分，最高分，平均分</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显示责任医生所管的患者的本期慢病管理指数分，上期分</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点击可进入详情页</w:t>
            </w:r>
            <w:r>
              <w:rPr>
                <w:rFonts w:hint="eastAsia" w:ascii="宋体" w:hAnsi="宋体" w:cs="宋体"/>
                <w:color w:val="000000" w:themeColor="text1"/>
                <w:lang w:eastAsia="zh-CN" w:bidi="ar"/>
                <w14:textFill>
                  <w14:solidFill>
                    <w14:schemeClr w14:val="tx1"/>
                  </w14:solidFill>
                </w14:textFill>
              </w:rPr>
              <w:t xml:space="preserve">。</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5.</w:t>
            </w:r>
            <w:r>
              <w:rPr>
                <w:rFonts w:hint="eastAsia" w:ascii="宋体" w:hAnsi="宋体" w:cs="宋体"/>
                <w:color w:val="000000" w:themeColor="text1"/>
                <w:lang w:bidi="ar"/>
                <w14:textFill>
                  <w14:solidFill>
                    <w14:schemeClr w14:val="tx1"/>
                  </w14:solidFill>
                </w14:textFill>
              </w:rPr>
              <w:t xml:space="preserve">患者心血管健康分统计:统计责任医生所管理患者的自我管理8因素各单项分值。</w:t>
            </w:r>
            <w:r/>
          </w:p>
          <w:p>
            <w:pPr>
              <w:jc w:val="left"/>
              <w:widowControl/>
              <w:rPr>
                <w:rFonts w:hint="eastAsia" w:ascii="宋体" w:hAnsi="宋体" w:cs="宋体" w:eastAsiaTheme="minorEastAsia"/>
                <w:color w:val="000000" w:themeColor="text1"/>
                <w:lang w:eastAsia="zh-CN" w:bidi="ar"/>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6.</w:t>
            </w:r>
            <w:r>
              <w:rPr>
                <w:rFonts w:hint="eastAsia" w:ascii="宋体" w:hAnsi="宋体" w:cs="宋体"/>
                <w:color w:val="000000" w:themeColor="text1"/>
                <w:lang w:bidi="ar"/>
                <w14:textFill>
                  <w14:solidFill>
                    <w14:schemeClr w14:val="tx1"/>
                  </w14:solidFill>
                </w14:textFill>
              </w:rPr>
              <w:t xml:space="preserve">体征数据:支持手写、填充、自动带入等多种数据写入方式（身高、体重、血压、心率、腰围、体温等）</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体征数据支持组件显示上一次记录，点击该值可自动带入本次</w:t>
            </w:r>
            <w:r>
              <w:rPr>
                <w:rFonts w:hint="eastAsia" w:ascii="宋体" w:hAnsi="宋体" w:cs="宋体"/>
                <w:color w:val="000000" w:themeColor="text1"/>
                <w:lang w:eastAsia="zh-CN" w:bidi="ar"/>
                <w14:textFill>
                  <w14:solidFill>
                    <w14:schemeClr w14:val="tx1"/>
                  </w14:solidFill>
                </w14:textFill>
              </w:rPr>
              <w:t xml:space="preserve">。</w:t>
            </w:r>
            <w:r/>
          </w:p>
          <w:p>
            <w:pPr>
              <w:jc w:val="left"/>
              <w:widowControl/>
              <w:rPr>
                <w:rFonts w:hint="eastAsia" w:ascii="宋体" w:hAnsi="宋体" w:cs="宋体" w:eastAsiaTheme="minorEastAsia"/>
                <w:color w:val="000000" w:themeColor="text1"/>
                <w:lang w:eastAsia="zh-CN" w:bidi="ar"/>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7.</w:t>
            </w:r>
            <w:r>
              <w:rPr>
                <w:rFonts w:hint="eastAsia" w:ascii="宋体" w:hAnsi="宋体" w:cs="宋体"/>
                <w:color w:val="000000" w:themeColor="text1"/>
                <w:lang w:bidi="ar"/>
                <w14:textFill>
                  <w14:solidFill>
                    <w14:schemeClr w14:val="tx1"/>
                  </w14:solidFill>
                </w14:textFill>
              </w:rPr>
              <w:t xml:space="preserve">随访任务近期（前后t天，可配置）需要随访的待处理任务列表，随访列表页面显示患者信息包括姓名、签约标识、责任标识、高血压标识、糖尿病标识、慢阻肺、血脂异常标识等</w:t>
            </w:r>
            <w:r>
              <w:rPr>
                <w:rFonts w:hint="eastAsia" w:ascii="宋体" w:hAnsi="宋体" w:cs="宋体"/>
                <w:color w:val="000000" w:themeColor="text1"/>
                <w:lang w:eastAsia="zh-CN" w:bidi="ar"/>
                <w14:textFill>
                  <w14:solidFill>
                    <w14:schemeClr w14:val="tx1"/>
                  </w14:solidFill>
                </w14:textFill>
              </w:rPr>
              <w:t xml:space="preserve">。</w:t>
            </w:r>
            <w:r/>
          </w:p>
          <w:p>
            <w:pPr>
              <w:jc w:val="left"/>
              <w:widowControl/>
              <w:rPr>
                <w:rFonts w:hint="eastAsia" w:ascii="宋体" w:hAnsi="宋体" w:cs="宋体" w:eastAsiaTheme="minorEastAsia"/>
                <w:color w:val="000000" w:themeColor="text1"/>
                <w:lang w:eastAsia="zh-CN" w:bidi="ar"/>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8</w:t>
            </w:r>
            <w:r>
              <w:rPr>
                <w:rFonts w:hint="eastAsia" w:ascii="宋体" w:hAnsi="宋体" w:cs="宋体"/>
                <w:color w:val="000000" w:themeColor="text1"/>
                <w:lang w:bidi="ar"/>
                <w14:textFill>
                  <w14:solidFill>
                    <w14:schemeClr w14:val="tx1"/>
                  </w14:solidFill>
                </w14:textFill>
              </w:rPr>
              <w:t xml:space="preserve">.检验检查：根据高血压、糖尿病管理指南推荐，年度检验检查：高血压为16项，糖尿病为13项，高血压及糖尿病为18项查检查既往90天，当检查项有异常值时会显示警告标签</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既往90天检查异常值前置，默认只显示3条，多余项目折叠，点击可展开</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点击具体的项目可查看该项检验检查详细的历史记录</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未来检验检查按月-季-半年-年分类显示，默认只显示3条，多余项目折叠，点击可展开</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点击具体的项目可查看详情，未来90天显示展开近一年的检查结果</w:t>
            </w:r>
            <w:r>
              <w:rPr>
                <w:rFonts w:hint="eastAsia" w:ascii="宋体" w:hAnsi="宋体" w:cs="宋体"/>
                <w:color w:val="000000" w:themeColor="text1"/>
                <w:lang w:eastAsia="zh-CN" w:bidi="ar"/>
                <w14:textFill>
                  <w14:solidFill>
                    <w14:schemeClr w14:val="tx1"/>
                  </w14:solidFill>
                </w14:textFill>
              </w:rPr>
              <w:t xml:space="preserve">。</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9.</w:t>
            </w:r>
            <w:r>
              <w:rPr>
                <w:rFonts w:hint="eastAsia" w:ascii="宋体" w:hAnsi="宋体" w:cs="宋体"/>
                <w:color w:val="000000" w:themeColor="text1"/>
                <w:lang w:bidi="ar"/>
                <w14:textFill>
                  <w14:solidFill>
                    <w14:schemeClr w14:val="tx1"/>
                  </w14:solidFill>
                </w14:textFill>
              </w:rPr>
              <w:t xml:space="preserve">诊中随访：诊中面板随访表单样式根据随访周期时间不同分别展示</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当未到随访周期时，置灰展示</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当在随访周期内，黑色展示</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当超过随访超期，红色展示并显示超期天数。</w:t>
            </w:r>
            <w:r/>
          </w:p>
          <w:p>
            <w:pPr>
              <w:jc w:val="left"/>
              <w:widowControl/>
              <w:rPr>
                <w:rFonts w:hint="eastAsia" w:ascii="宋体" w:hAnsi="宋体" w:cs="宋体"/>
                <w:lang w:bidi="ar"/>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10.</w:t>
            </w:r>
            <w:r>
              <w:rPr>
                <w:rFonts w:hint="eastAsia" w:ascii="宋体" w:hAnsi="宋体" w:cs="宋体"/>
                <w:color w:val="000000" w:themeColor="text1"/>
                <w:lang w:bidi="ar"/>
                <w14:textFill>
                  <w14:solidFill>
                    <w14:schemeClr w14:val="tx1"/>
                  </w14:solidFill>
                </w14:textFill>
              </w:rPr>
              <w:t xml:space="preserve">指导建议针对患者的主要健康问题一一对应给予建议。</w:t>
            </w:r>
            <w:r>
              <w:rPr>
                <w:rFonts w:ascii="宋体" w:hAnsi="宋体" w:cs="宋体"/>
                <w:color w:val="000000" w:themeColor="text1"/>
                <w:lang w:bidi="ar"/>
                <w14:textFill>
                  <w14:solidFill>
                    <w14:schemeClr w14:val="tx1"/>
                  </w14:solidFill>
                </w14:textFill>
              </w:rPr>
            </w:r>
          </w:p>
          <w:p>
            <w:pPr>
              <w:jc w:val="left"/>
              <w:widowControl/>
              <w:rPr>
                <w:rFonts w:ascii="宋体" w:hAnsi="宋体" w:cs="宋体"/>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r>
            <w:r>
              <w:rPr>
                <w:rFonts w:hint="eastAsia" w:ascii="宋体" w:hAnsi="宋体" w:cs="宋体"/>
                <w:b/>
                <w:bCs/>
                <w:color w:val="000000" w:themeColor="text1"/>
                <w:lang w:bidi="ar"/>
                <w14:textFill>
                  <w14:solidFill>
                    <w14:schemeClr w14:val="tx1"/>
                  </w14:solidFill>
                </w14:textFill>
              </w:rPr>
              <w:t xml:space="preserve">11.</w:t>
            </w:r>
            <w:r>
              <w:rPr>
                <w:rFonts w:hint="eastAsia" w:ascii="宋体" w:hAnsi="宋体" w:cs="宋体"/>
                <w:color w:val="000000" w:themeColor="text1"/>
                <w:lang w:bidi="ar"/>
                <w14:textFill>
                  <w14:solidFill>
                    <w14:schemeClr w14:val="tx1"/>
                  </w14:solidFill>
                </w14:textFill>
              </w:rPr>
              <w:t xml:space="preserve">展示患者本年度所获得的服务小结，通过图示展示每月所做的随访、检验检查、体检等服务。</w:t>
            </w:r>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12.</w:t>
            </w:r>
            <w:r>
              <w:rPr>
                <w:rFonts w:hint="eastAsia" w:ascii="宋体" w:hAnsi="宋体" w:cs="宋体"/>
                <w:color w:val="000000" w:themeColor="text1"/>
                <w:lang w:bidi="ar"/>
                <w14:textFill>
                  <w14:solidFill>
                    <w14:schemeClr w14:val="tx1"/>
                  </w14:solidFill>
                </w14:textFill>
              </w:rPr>
              <w:t xml:space="preserve">评估与辅助决策：支持医生诊中辅助决策，展示系统自动计算的患者ascvd风险评估值</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展示系统自动计算的患者高血压、糖尿病的疾病风险评估</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根据目前患者的用药情况，根据指南推荐用药到大类的辅助决策。   </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13.</w:t>
            </w:r>
            <w:r>
              <w:rPr>
                <w:rFonts w:hint="eastAsia" w:ascii="宋体" w:hAnsi="宋体" w:cs="宋体"/>
                <w:color w:val="000000" w:themeColor="text1"/>
                <w:lang w:bidi="ar"/>
                <w14:textFill>
                  <w14:solidFill>
                    <w14:schemeClr w14:val="tx1"/>
                  </w14:solidFill>
                </w14:textFill>
              </w:rPr>
              <w:t xml:space="preserve">待随访：支持显示待随访的管理列表，根据默认计划时间过滤，可查看当前时间段的有哪些需要做随访的待办任务</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默认计划时间为当前日期的前T（10）天，后T（10）天</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支持根据不同病种随访模版过滤</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支持高血压、糖尿病的两周回访模块，列表中高亮显示</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点击随访进入随访表单填写，支持诊间、电话、家庭、其他等</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取到当日就诊记录的，默认为诊间，未取到的默认为电话</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支持手动修改。</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 xml:space="preserve">14.</w:t>
            </w:r>
            <w:r>
              <w:rPr>
                <w:rFonts w:hint="eastAsia" w:ascii="宋体" w:hAnsi="宋体" w:cs="宋体"/>
                <w:color w:val="000000" w:themeColor="text1"/>
                <w:lang w:bidi="ar"/>
                <w14:textFill>
                  <w14:solidFill>
                    <w14:schemeClr w14:val="tx1"/>
                  </w14:solidFill>
                </w14:textFill>
              </w:rPr>
              <w:t xml:space="preserve">转诊操作：医生综合判断后患者情况暂时不需要转诊，可进行暂不处理操作</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医生可在转诊操作中，可选择患者拒绝来完成待转诊状态</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医生可通过转诊按钮查看患者详情，通过确认转诊完成转诊操作。)</w:t>
            </w:r>
            <w:r>
              <w:rPr>
                <w:rFonts w:hint="eastAsia" w:ascii="宋体" w:hAnsi="宋体" w:cs="宋体"/>
                <w:color w:val="000000" w:themeColor="text1"/>
                <w:szCs w:val="21"/>
                <w:lang w:bidi="ar"/>
                <w14:textFill>
                  <w14:solidFill>
                    <w14:schemeClr w14:val="tx1"/>
                  </w14:solidFill>
                </w14:textFill>
              </w:rPr>
            </w:r>
            <w:r/>
          </w:p>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rPr>
                <w:rFonts w:hint="eastAsia" w:ascii="宋体" w:hAnsi="宋体" w:cs="宋体"/>
                <w:b/>
                <w:bCs/>
                <w:color w:val="000000" w:themeColor="text1"/>
                <w:szCs w:val="21"/>
                <w:lang w:bidi="ar"/>
                <w14:textFill>
                  <w14:solidFill>
                    <w14:schemeClr w14:val="tx1"/>
                  </w14:solidFill>
                </w14:textFill>
              </w:rPr>
              <w:t xml:space="preserve">须提供系统功能界面清晰截图</w:t>
            </w:r>
            <w:r>
              <w:rPr>
                <w:rFonts w:hint="eastAsia" w:ascii="宋体" w:hAnsi="宋体" w:cs="宋体"/>
                <w:color w:val="000000" w:themeColor="text1"/>
                <w:szCs w:val="21"/>
                <w:lang w:bidi="ar"/>
                <w14:textFill>
                  <w14:solidFill>
                    <w14:schemeClr w14:val="tx1"/>
                  </w14:solidFill>
                </w14:textFill>
              </w:rPr>
              <w:t xml:space="preserve">）注：依据招标文件里项目需求和参数要求提供证明材料的，须提供相关证明材料原件扫描上传，未提供证明材料的视为负偏离，不得分。</w:t>
            </w:r>
            <w:r/>
          </w:p>
        </w:tc>
      </w:tr>
      <w:tr>
        <w:trPr>
          <w:jc w:val="center"/>
          <w:trHeight w:val="23"/>
        </w:trPr>
        <w:tc>
          <w:tcPr>
            <w:tcW w:w="1283" w:type="dxa"/>
            <w:vAlign w:val="center"/>
            <w:vMerge w:val="continue"/>
            <w:textDirection w:val="lrTb"/>
            <w:noWrap w:val="false"/>
          </w:tcPr>
          <w:p>
            <w:pPr>
              <w:pStyle w:val="922"/>
              <w:ind w:firstLine="0"/>
              <w:jc w:val="center"/>
              <w:spacing w:line="24" w:lineRule="atLeast"/>
              <w:rPr>
                <w:rFonts w:ascii="宋体" w:hAnsi="宋体" w:cs="宋体"/>
                <w:b/>
                <w:bCs/>
                <w:color w:val="000000" w:themeColor="text1"/>
                <w:sz w:val="21"/>
                <w:szCs w:val="21"/>
                <w14:textFill>
                  <w14:solidFill>
                    <w14:schemeClr w14:val="tx1"/>
                  </w14:solidFill>
                </w14:textFill>
              </w:rPr>
            </w:pPr>
            <w:r>
              <w:rPr>
                <w:rFonts w:ascii="宋体" w:hAnsi="宋体" w:cs="宋体"/>
                <w:b/>
                <w:bCs/>
                <w:color w:val="000000" w:themeColor="text1"/>
                <w:sz w:val="21"/>
                <w:szCs w:val="21"/>
                <w14:textFill>
                  <w14:solidFill>
                    <w14:schemeClr w14:val="tx1"/>
                  </w14:solidFill>
                </w14:textFill>
              </w:rPr>
            </w:r>
            <w:r/>
          </w:p>
        </w:tc>
        <w:tc>
          <w:tcPr>
            <w:tcW w:w="1429" w:type="dxa"/>
            <w:vAlign w:val="center"/>
            <w:textDirection w:val="lrTb"/>
            <w:noWrap w:val="false"/>
          </w:tcPr>
          <w:p>
            <w:pPr>
              <w:jc w:val="left"/>
              <w:widowControl/>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广陵区医防融合数据监管治理系统</w:t>
            </w:r>
            <w:r/>
          </w:p>
        </w:tc>
        <w:tc>
          <w:tcPr>
            <w:tcW w:w="586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符合招标文件中打“★”项技术参数要求的，每一</w:t>
            </w:r>
            <w:r>
              <w:rPr>
                <w:rFonts w:hint="eastAsia" w:ascii="宋体" w:hAnsi="宋体" w:cs="宋体"/>
                <w:color w:val="000000" w:themeColor="text1"/>
                <w:szCs w:val="21"/>
                <w:lang w:val="en-US" w:eastAsia="zh-CN" w:bidi="ar"/>
                <w14:textFill>
                  <w14:solidFill>
                    <w14:schemeClr w14:val="tx1"/>
                  </w14:solidFill>
                </w14:textFill>
              </w:rPr>
              <w:t xml:space="preserve">项全部满足的</w:t>
            </w:r>
            <w:r>
              <w:rPr>
                <w:rFonts w:hint="eastAsia" w:ascii="宋体" w:hAnsi="宋体" w:cs="宋体"/>
                <w:color w:val="000000" w:themeColor="text1"/>
                <w:szCs w:val="21"/>
                <w:lang w:bidi="ar"/>
                <w14:textFill>
                  <w14:solidFill>
                    <w14:schemeClr w14:val="tx1"/>
                  </w14:solidFill>
                </w14:textFill>
              </w:rPr>
              <w:t xml:space="preserve">得1分。共7分。</w:t>
            </w:r>
            <w:r/>
          </w:p>
          <w:p>
            <w:pPr>
              <w:jc w:val="left"/>
              <w:widowControl/>
              <w:rPr>
                <w:rFonts w:hint="eastAsia" w:ascii="宋体" w:hAnsi="宋体" w:cs="宋体" w:eastAsiaTheme="minorEastAsia"/>
                <w:color w:val="000000" w:themeColor="text1"/>
                <w:lang w:eastAsia="zh-CN" w:bidi="ar"/>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（包括1</w:t>
            </w:r>
            <w:r>
              <w:rPr>
                <w:rFonts w:hint="eastAsia" w:ascii="宋体" w:hAnsi="宋体" w:cs="宋体"/>
                <w:color w:val="000000" w:themeColor="text1"/>
                <w:szCs w:val="21"/>
                <w:lang w:bidi="ar"/>
                <w14:textFill>
                  <w14:solidFill>
                    <w14:schemeClr w14:val="tx1"/>
                  </w14:solidFill>
                </w14:textFill>
              </w:rPr>
              <w:t xml:space="preserve">.并发症分布：</w:t>
            </w:r>
            <w:r>
              <w:rPr>
                <w:rFonts w:hint="eastAsia" w:ascii="宋体" w:hAnsi="宋体" w:cs="宋体"/>
                <w:color w:val="000000" w:themeColor="text1"/>
                <w:lang w:bidi="ar"/>
                <w14:textFill>
                  <w14:solidFill>
                    <w14:schemeClr w14:val="tx1"/>
                  </w14:solidFill>
                </w14:textFill>
              </w:rPr>
              <w:t xml:space="preserve">显示该区域两慢患者并发症的发生率（有并发症的人数 /纳管人数）</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显示该区域两慢患者并发症的新发率（本期有并发症人数/上期有并发症的人数-1）</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显示该区域两慢患者各并发症的人数分布</w:t>
            </w:r>
            <w:r>
              <w:rPr>
                <w:rFonts w:hint="eastAsia" w:ascii="宋体" w:hAnsi="宋体" w:cs="宋体"/>
                <w:color w:val="000000" w:themeColor="text1"/>
                <w:lang w:eastAsia="zh-CN" w:bidi="ar"/>
                <w14:textFill>
                  <w14:solidFill>
                    <w14:schemeClr w14:val="tx1"/>
                  </w14:solidFill>
                </w14:textFill>
              </w:rPr>
              <w:t xml:space="preserve">。</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2.管理过程得分</w:t>
            </w:r>
            <w:r>
              <w:rPr>
                <w:rFonts w:hint="eastAsia" w:ascii="宋体" w:hAnsi="宋体" w:cs="宋体"/>
                <w:b/>
                <w:bCs/>
                <w:color w:val="000000" w:themeColor="text1"/>
                <w:lang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可通过模式切换展示不同模式的路径化过程节点明细；显示该区域路径每个节点的管理过程得分率、满分值、实际得分，得分率低于60%的橙色显示；点击管理过程中的详情，可查看该区域各个机构的管理过程分及各个过程节点的得分</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点击管理过程中的导出，可导出该区域各个机构的管理过程分及各个过程节点的得分</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点击单个节点的实际得分，可查看该节点各个机构的排名详情、完成率等数据。</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3.管理结果得分</w:t>
            </w:r>
            <w:r>
              <w:rPr>
                <w:rFonts w:hint="eastAsia" w:ascii="宋体" w:hAnsi="宋体" w:cs="宋体"/>
                <w:b/>
                <w:bCs/>
                <w:color w:val="000000" w:themeColor="text1"/>
                <w:lang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显示该区域路径每个节点的管理过程得分率、满分值、实际得分，得分率低于60%的橙色显示</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点击管理结果中的详情，可查看该区域各个机构的管理结果分及各个中间指标和成果指标的得分</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点击管理结果中的导出，可导出该区域各个机构的管理结果分及各个中间指标和成果指标的得分</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点击单个节点的实际得分，可查看该指标各个机构的排名详情数据。</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rPr>
                <w:rFonts w:hint="eastAsia" w:ascii="宋体" w:hAnsi="宋体" w:cs="宋体"/>
                <w:color w:val="000000" w:themeColor="text1"/>
                <w:lang w:bidi="ar"/>
                <w14:textFill>
                  <w14:solidFill>
                    <w14:schemeClr w14:val="tx1"/>
                  </w14:solidFill>
                </w14:textFill>
              </w:rPr>
              <w:t xml:space="preserve">规范管理率</w:t>
            </w:r>
            <w:r>
              <w:rPr>
                <w:rFonts w:hint="eastAsia" w:ascii="宋体" w:hAnsi="宋体" w:cs="宋体"/>
                <w:b/>
                <w:bCs/>
                <w:color w:val="000000" w:themeColor="text1"/>
                <w:lang w:bidi="ar"/>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显示选择组织的（空为全区）高血压公卫规范管理率本期数据、上期数据、变化值</w:t>
            </w:r>
            <w:r>
              <w:rPr>
                <w:rFonts w:hint="eastAsia" w:ascii="宋体" w:hAnsi="宋体" w:cs="宋体"/>
                <w:color w:val="000000" w:themeColor="text1"/>
                <w:szCs w:val="21"/>
                <w:lang w:eastAsia="zh-CN" w:bidi="ar"/>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显示选择组织的高血压AI规范管理率本期数据、上期数据、变化值；显示选择组织的糖尿病公卫规范管理率本期数据、上期数据、变化值</w:t>
            </w:r>
            <w:r>
              <w:rPr>
                <w:rFonts w:hint="eastAsia" w:ascii="宋体" w:hAnsi="宋体" w:cs="宋体"/>
                <w:color w:val="000000" w:themeColor="text1"/>
                <w:szCs w:val="21"/>
                <w:lang w:eastAsia="zh-CN" w:bidi="ar"/>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显示选择组织的糖尿病AI规范管理率本期数据、上期数据、变化值。</w:t>
            </w:r>
            <w:r/>
          </w:p>
          <w:p>
            <w:pPr>
              <w:jc w:val="left"/>
              <w:widowControl/>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5.控制率</w:t>
            </w:r>
            <w:r>
              <w:rPr>
                <w:rFonts w:hint="eastAsia" w:ascii="宋体" w:hAnsi="宋体" w:cs="宋体"/>
                <w:b/>
                <w:bCs/>
                <w:color w:val="000000" w:themeColor="text1"/>
                <w:lang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显示选择组织的高血压公卫控制率本期数据、上期数据、变化值</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显示选择组织的高血压AI控制率本期数据、上期数据、变化值；显示选择组织的糖尿病公卫控制率本期数据、上期数据、变化值</w:t>
            </w:r>
            <w:r>
              <w:rPr>
                <w:rFonts w:hint="eastAsia" w:ascii="宋体" w:hAnsi="宋体" w:cs="宋体"/>
                <w:color w:val="000000" w:themeColor="text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显示选择组织的糖尿病AI控制率本期数据、上期数据、变化值。</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rPr>
                <w:rFonts w:hint="eastAsia" w:ascii="宋体" w:hAnsi="宋体" w:cs="宋体"/>
                <w:color w:val="000000" w:themeColor="text1"/>
                <w:lang w:bidi="ar"/>
                <w14:textFill>
                  <w14:solidFill>
                    <w14:schemeClr w14:val="tx1"/>
                  </w14:solidFill>
                </w14:textFill>
              </w:rPr>
              <w:t xml:space="preserve">患者心血管健康分及趋势</w:t>
            </w:r>
            <w:r>
              <w:rPr>
                <w:rFonts w:hint="eastAsia" w:ascii="宋体" w:hAnsi="宋体" w:cs="宋体"/>
                <w:b/>
                <w:bCs/>
                <w:color w:val="000000" w:themeColor="text1"/>
                <w:lang w:bidi="ar"/>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显示该组织的患者的心血管健康分的本期值及上期值，通过八因素雷达图展示</w:t>
            </w:r>
            <w:r>
              <w:rPr>
                <w:rFonts w:hint="eastAsia" w:ascii="宋体" w:hAnsi="宋体" w:cs="宋体"/>
                <w:color w:val="000000" w:themeColor="text1"/>
                <w:szCs w:val="21"/>
                <w:lang w:eastAsia="zh-CN" w:bidi="ar"/>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显示该组织的患者的心血管健康分每项的管理分的本期值、上期值、趋势图</w:t>
            </w:r>
            <w:r>
              <w:rPr>
                <w:rFonts w:hint="eastAsia" w:ascii="宋体" w:hAnsi="宋体" w:cs="宋体"/>
                <w:color w:val="000000" w:themeColor="text1"/>
                <w:szCs w:val="21"/>
                <w:lang w:eastAsia="zh-CN" w:bidi="ar"/>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点击可切换显示不同患者人群，显示心血管健康分中每项的管理分的本期值、上期值、趋势图；显示该组织的患者的主心血管健康分的管理分的本期趋势图、上期趋势图。</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7.</w:t>
            </w:r>
            <w:r>
              <w:rPr>
                <w:rFonts w:hint="eastAsia" w:ascii="宋体" w:hAnsi="宋体" w:cs="宋体"/>
                <w:color w:val="000000" w:themeColor="text1"/>
                <w:lang w:bidi="ar"/>
                <w14:textFill>
                  <w14:solidFill>
                    <w14:schemeClr w14:val="tx1"/>
                  </w14:solidFill>
                </w14:textFill>
              </w:rPr>
              <w:t xml:space="preserve">路径节点执行情况</w:t>
            </w:r>
            <w:r>
              <w:rPr>
                <w:rFonts w:hint="eastAsia" w:ascii="宋体" w:hAnsi="宋体" w:cs="宋体"/>
                <w:b/>
                <w:bCs/>
                <w:color w:val="000000" w:themeColor="text1"/>
                <w:lang w:bidi="ar"/>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展示该区域总体各节点任务量的完成率、应完成数、已完成数、未完成数展示该区域总体各节点工作量的全部数、有效数、无效数</w:t>
            </w:r>
            <w:r>
              <w:rPr>
                <w:rFonts w:hint="eastAsia" w:ascii="宋体" w:hAnsi="宋体" w:cs="宋体"/>
                <w:color w:val="000000" w:themeColor="text1"/>
                <w:szCs w:val="21"/>
                <w:lang w:eastAsia="zh-CN" w:bidi="ar"/>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可通过模式切换展示不同模式的路径化过程节点明细</w:t>
            </w:r>
            <w:r>
              <w:rPr>
                <w:rFonts w:hint="eastAsia" w:ascii="宋体" w:hAnsi="宋体" w:cs="宋体"/>
                <w:color w:val="000000" w:themeColor="text1"/>
                <w:szCs w:val="21"/>
                <w:lang w:eastAsia="zh-CN" w:bidi="ar"/>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点击详情可查看各机构路径节点的排名，包含任务量和工作量的明细</w:t>
            </w:r>
            <w:r>
              <w:rPr>
                <w:rFonts w:hint="eastAsia" w:ascii="宋体" w:hAnsi="宋体" w:cs="宋体"/>
                <w:color w:val="000000" w:themeColor="text1"/>
                <w:szCs w:val="21"/>
                <w:lang w:eastAsia="zh-CN" w:bidi="ar"/>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详情页支持服务中心和医生的过滤筛选</w:t>
            </w:r>
            <w:r>
              <w:rPr>
                <w:rFonts w:hint="eastAsia" w:ascii="宋体" w:hAnsi="宋体" w:cs="宋体"/>
                <w:color w:val="000000" w:themeColor="text1"/>
                <w:szCs w:val="21"/>
                <w:lang w:eastAsia="zh-CN" w:bidi="ar"/>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详情页支持历史数据的快照查看模式</w:t>
            </w:r>
            <w:r>
              <w:rPr>
                <w:rFonts w:hint="eastAsia" w:ascii="宋体" w:hAnsi="宋体" w:cs="宋体"/>
                <w:color w:val="000000" w:themeColor="text1"/>
                <w:szCs w:val="21"/>
                <w:lang w:eastAsia="zh-CN" w:bidi="ar"/>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详情页支持详细数据导出</w:t>
            </w:r>
            <w:r>
              <w:rPr>
                <w:rFonts w:hint="eastAsia" w:ascii="宋体" w:hAnsi="宋体" w:cs="宋体"/>
                <w:color w:val="000000" w:themeColor="text1"/>
                <w:szCs w:val="21"/>
                <w:lang w:eastAsia="zh-CN" w:bidi="ar"/>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点击任务量单个节点，可查看单个节点的任务量详情</w:t>
            </w:r>
            <w:r>
              <w:rPr>
                <w:rFonts w:hint="eastAsia" w:ascii="宋体" w:hAnsi="宋体" w:cs="宋体"/>
                <w:color w:val="000000" w:themeColor="text1"/>
                <w:szCs w:val="21"/>
                <w:lang w:eastAsia="zh-CN" w:bidi="ar"/>
                <w14:textFill>
                  <w14:solidFill>
                    <w14:schemeClr w14:val="tx1"/>
                  </w14:solidFill>
                </w14:textFill>
              </w:rPr>
              <w:t xml:space="preserve">，</w:t>
            </w:r>
            <w:r>
              <w:rPr>
                <w:rFonts w:hint="eastAsia" w:ascii="宋体" w:hAnsi="宋体" w:cs="宋体"/>
                <w:color w:val="000000" w:themeColor="text1"/>
                <w:lang w:bidi="ar"/>
                <w14:textFill>
                  <w14:solidFill>
                    <w14:schemeClr w14:val="tx1"/>
                  </w14:solidFill>
                </w14:textFill>
              </w:rPr>
              <w:t xml:space="preserve">点击工作量单个节点，可查看单个节点的工作量详情。)</w:t>
            </w:r>
            <w:r/>
          </w:p>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（须提供系统功能界面清晰截图）</w:t>
            </w:r>
            <w:r>
              <w:rPr>
                <w:rFonts w:hint="eastAsia" w:ascii="宋体" w:hAnsi="宋体" w:cs="宋体"/>
                <w:color w:val="000000" w:themeColor="text1"/>
                <w:szCs w:val="21"/>
                <w:lang w:bidi="ar"/>
                <w14:textFill>
                  <w14:solidFill>
                    <w14:schemeClr w14:val="tx1"/>
                  </w14:solidFill>
                </w14:textFill>
              </w:rPr>
              <w:t xml:space="preserve">注：依据招标文件里项目需求和参数要求提供证明材料的，须提供相关证明材料原件扫描上传，未提供证明材料的视为负偏离，不得分。</w:t>
            </w:r>
            <w:r/>
          </w:p>
        </w:tc>
      </w:tr>
      <w:tr>
        <w:trPr>
          <w:jc w:val="center"/>
          <w:trHeight w:val="23"/>
        </w:trPr>
        <w:tc>
          <w:tcPr>
            <w:tcW w:w="1283" w:type="dxa"/>
            <w:vAlign w:val="center"/>
            <w:vMerge w:val="continue"/>
            <w:textDirection w:val="lrTb"/>
            <w:noWrap w:val="false"/>
          </w:tcPr>
          <w:p>
            <w:pPr>
              <w:pStyle w:val="922"/>
              <w:ind w:firstLine="0"/>
              <w:jc w:val="center"/>
              <w:spacing w:line="24" w:lineRule="atLeast"/>
              <w:rPr>
                <w:rFonts w:ascii="宋体" w:hAnsi="宋体" w:cs="宋体"/>
                <w:b/>
                <w:bCs/>
                <w:color w:val="000000" w:themeColor="text1"/>
                <w:sz w:val="21"/>
                <w:szCs w:val="21"/>
                <w14:textFill>
                  <w14:solidFill>
                    <w14:schemeClr w14:val="tx1"/>
                  </w14:solidFill>
                </w14:textFill>
              </w:rPr>
            </w:pPr>
            <w:r>
              <w:rPr>
                <w:rFonts w:ascii="宋体" w:hAnsi="宋体" w:cs="宋体"/>
                <w:b/>
                <w:bCs/>
                <w:color w:val="000000" w:themeColor="text1"/>
                <w:sz w:val="21"/>
                <w:szCs w:val="21"/>
                <w14:textFill>
                  <w14:solidFill>
                    <w14:schemeClr w14:val="tx1"/>
                  </w14:solidFill>
                </w14:textFill>
              </w:rPr>
            </w:r>
            <w:r/>
          </w:p>
        </w:tc>
        <w:tc>
          <w:tcPr>
            <w:tcW w:w="1429" w:type="dxa"/>
            <w:vAlign w:val="center"/>
            <w:textDirection w:val="lrTb"/>
            <w:noWrap w:val="false"/>
          </w:tcPr>
          <w:p>
            <w:pPr>
              <w:jc w:val="left"/>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健康管理型医院一体化助手系统</w:t>
            </w:r>
            <w:r/>
          </w:p>
        </w:tc>
        <w:tc>
          <w:tcPr>
            <w:tcW w:w="5868"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符合招标文件中打“★”项技术参数要求的，</w:t>
            </w:r>
            <w:r>
              <w:rPr>
                <w:rFonts w:hint="eastAsia" w:ascii="宋体" w:hAnsi="宋体" w:cs="宋体"/>
                <w:color w:val="000000" w:themeColor="text1"/>
                <w:szCs w:val="21"/>
                <w:lang w:bidi="ar"/>
                <w14:textFill>
                  <w14:solidFill>
                    <w14:schemeClr w14:val="tx1"/>
                  </w14:solidFill>
                </w14:textFill>
              </w:rPr>
              <w:t xml:space="preserve">每一</w:t>
            </w:r>
            <w:r>
              <w:rPr>
                <w:rFonts w:hint="eastAsia" w:ascii="宋体" w:hAnsi="宋体" w:cs="宋体"/>
                <w:color w:val="000000" w:themeColor="text1"/>
                <w:szCs w:val="21"/>
                <w:lang w:val="en-US" w:eastAsia="zh-CN" w:bidi="ar"/>
                <w14:textFill>
                  <w14:solidFill>
                    <w14:schemeClr w14:val="tx1"/>
                  </w14:solidFill>
                </w14:textFill>
              </w:rPr>
              <w:t xml:space="preserve">项全部满足的</w:t>
            </w:r>
            <w:r>
              <w:rPr>
                <w:rFonts w:hint="eastAsia" w:ascii="宋体" w:hAnsi="宋体" w:cs="宋体"/>
                <w:color w:val="000000" w:themeColor="text1"/>
                <w:szCs w:val="21"/>
                <w14:textFill>
                  <w14:solidFill>
                    <w14:schemeClr w14:val="tx1"/>
                  </w14:solidFill>
                </w14:textFill>
              </w:rPr>
              <w:t xml:space="preserve">得1分。共1分。</w:t>
            </w:r>
            <w:r/>
          </w:p>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包括1.</w:t>
            </w:r>
            <w:r>
              <w:rPr>
                <w:rFonts w:hint="eastAsia" w:ascii="宋体" w:hAnsi="宋体" w:cs="宋体"/>
                <w:color w:val="000000" w:themeColor="text1"/>
                <w:szCs w:val="21"/>
                <w14:textFill>
                  <w14:solidFill>
                    <w14:schemeClr w14:val="tx1"/>
                  </w14:solidFill>
                </w14:textFill>
              </w:rPr>
              <w:t xml:space="preserve">展示患者最近1年在系统对接范围内的就诊轨迹，每个医疗机构的就诊次数</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方便医生快速了解患者的就医依从性；就诊历史按照门诊、住院分别展示，以时间轴的形式呈现过往历次就诊记录的时间、地点、科室</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支持检索本科接诊/本人接诊的就诊记录，医生可快速过滤与自己相关的就诊记录</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支持查看科室关注的重点疾病相关的就诊记录，系统自动计算、匹配诊断，医生可只查看与科室疾病相关的就诊记录，提高诊间查阅效率。）</w:t>
            </w:r>
            <w:r/>
          </w:p>
          <w:p>
            <w:pPr>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（须提供系统功能界面清晰截图）</w:t>
            </w:r>
            <w:r>
              <w:rPr>
                <w:rFonts w:hint="eastAsia" w:ascii="宋体" w:hAnsi="宋体" w:cs="宋体"/>
                <w:color w:val="000000" w:themeColor="text1"/>
                <w:szCs w:val="21"/>
                <w14:textFill>
                  <w14:solidFill>
                    <w14:schemeClr w14:val="tx1"/>
                  </w14:solidFill>
                </w14:textFill>
              </w:rPr>
              <w:t xml:space="preserve">注：依据招标文件里项目需求和参数要求提供证明材料的，须提供相关证明材料原件扫描上传，未提供证明材料的视为负偏离，不得分。</w:t>
            </w:r>
            <w:r/>
          </w:p>
        </w:tc>
      </w:tr>
      <w:tr>
        <w:trPr>
          <w:jc w:val="center"/>
          <w:trHeight w:val="90"/>
        </w:trPr>
        <w:tc>
          <w:tcPr>
            <w:tcW w:w="1283" w:type="dxa"/>
            <w:vAlign w:val="center"/>
            <w:vMerge w:val="continue"/>
            <w:textDirection w:val="lrTb"/>
            <w:noWrap w:val="false"/>
          </w:tcPr>
          <w:p>
            <w:pPr>
              <w:pStyle w:val="922"/>
              <w:ind w:firstLine="0"/>
              <w:jc w:val="center"/>
              <w:spacing w:line="24" w:lineRule="atLeast"/>
              <w:rPr>
                <w:rFonts w:ascii="宋体" w:hAnsi="宋体" w:cs="宋体"/>
                <w:b/>
                <w:bCs/>
                <w:color w:val="000000" w:themeColor="text1"/>
                <w:sz w:val="21"/>
                <w:szCs w:val="21"/>
                <w14:textFill>
                  <w14:solidFill>
                    <w14:schemeClr w14:val="tx1"/>
                  </w14:solidFill>
                </w14:textFill>
              </w:rPr>
            </w:pPr>
            <w:r>
              <w:rPr>
                <w:rFonts w:ascii="宋体" w:hAnsi="宋体" w:cs="宋体"/>
                <w:b/>
                <w:bCs/>
                <w:color w:val="000000" w:themeColor="text1"/>
                <w:sz w:val="21"/>
                <w:szCs w:val="21"/>
                <w14:textFill>
                  <w14:solidFill>
                    <w14:schemeClr w14:val="tx1"/>
                  </w14:solidFill>
                </w14:textFill>
              </w:rPr>
            </w:r>
            <w:r/>
          </w:p>
        </w:tc>
        <w:tc>
          <w:tcPr>
            <w:tcW w:w="1429" w:type="dxa"/>
            <w:vAlign w:val="center"/>
            <w:textDirection w:val="lrTb"/>
            <w:noWrap w:val="false"/>
          </w:tcPr>
          <w:p>
            <w:pPr>
              <w:jc w:val="left"/>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AI健康助手-居民端</w:t>
            </w:r>
            <w:r/>
          </w:p>
        </w:tc>
        <w:tc>
          <w:tcPr>
            <w:tcW w:w="5868"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符合招标文件中打“★”项技术参数要求的，每一项得1分。共1分。</w:t>
            </w:r>
            <w:r/>
          </w:p>
          <w:p>
            <w:pPr>
              <w:jc w:val="left"/>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包括1.</w:t>
            </w:r>
            <w:r>
              <w:rPr>
                <w:rFonts w:hint="eastAsia" w:ascii="宋体" w:hAnsi="宋体" w:cs="宋体"/>
                <w:color w:val="000000" w:themeColor="text1"/>
                <w:lang w:bidi="ar"/>
                <w14:textFill>
                  <w14:solidFill>
                    <w14:schemeClr w14:val="tx1"/>
                  </w14:solidFill>
                </w14:textFill>
              </w:rPr>
              <w:t xml:space="preserve">指标趋势：</w:t>
            </w:r>
            <w:r>
              <w:rPr>
                <w:rFonts w:hint="eastAsia" w:ascii="宋体" w:hAnsi="宋体" w:cs="宋体"/>
                <w:color w:val="000000" w:themeColor="text1"/>
                <w:szCs w:val="21"/>
                <w14:textFill>
                  <w14:solidFill>
                    <w14:schemeClr w14:val="tx1"/>
                  </w14:solidFill>
                </w14:textFill>
              </w:rPr>
              <w:t xml:space="preserve">展示血压、血糖、血脂、肝肾功能、同型半胱氨酸、体重等关键指标的历史测量趋势，包含检验检测、智能监测等多种数据来源</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方便患者根据趋势图一目了然地看出指标变化情况。）</w:t>
            </w:r>
            <w:r/>
          </w:p>
          <w:p>
            <w:pPr>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（须提供系统功能界面清晰截图）</w:t>
            </w:r>
            <w:r>
              <w:rPr>
                <w:rFonts w:hint="eastAsia" w:ascii="宋体" w:hAnsi="宋体" w:cs="宋体"/>
                <w:color w:val="000000" w:themeColor="text1"/>
                <w:szCs w:val="21"/>
                <w14:textFill>
                  <w14:solidFill>
                    <w14:schemeClr w14:val="tx1"/>
                  </w14:solidFill>
                </w14:textFill>
              </w:rPr>
              <w:t xml:space="preserve">注：依据招标文件里项目需求和参数要求提供证明材料的，须提供相关证明材料原件扫描上传，未提供证明材料的视为负偏离，不得分。</w:t>
            </w:r>
            <w:r/>
          </w:p>
        </w:tc>
      </w:tr>
      <w:tr>
        <w:trPr>
          <w:jc w:val="center"/>
          <w:trHeight w:val="23"/>
        </w:trPr>
        <w:tc>
          <w:tcPr>
            <w:tcW w:w="1283" w:type="dxa"/>
            <w:vAlign w:val="center"/>
            <w:vMerge w:val="continue"/>
            <w:textDirection w:val="lrTb"/>
            <w:noWrap w:val="false"/>
          </w:tcPr>
          <w:p>
            <w:pPr>
              <w:pStyle w:val="922"/>
              <w:ind w:firstLine="0"/>
              <w:jc w:val="center"/>
              <w:spacing w:line="24" w:lineRule="atLeast"/>
              <w:rPr>
                <w:rFonts w:ascii="宋体" w:hAnsi="宋体" w:cs="宋体"/>
                <w:b/>
                <w:bCs/>
                <w:color w:val="000000" w:themeColor="text1"/>
                <w:sz w:val="21"/>
                <w:szCs w:val="21"/>
                <w14:textFill>
                  <w14:solidFill>
                    <w14:schemeClr w14:val="tx1"/>
                  </w14:solidFill>
                </w14:textFill>
              </w:rPr>
            </w:pPr>
            <w:r>
              <w:rPr>
                <w:rFonts w:ascii="宋体" w:hAnsi="宋体" w:cs="宋体"/>
                <w:b/>
                <w:bCs/>
                <w:color w:val="000000" w:themeColor="text1"/>
                <w:sz w:val="21"/>
                <w:szCs w:val="21"/>
                <w14:textFill>
                  <w14:solidFill>
                    <w14:schemeClr w14:val="tx1"/>
                  </w14:solidFill>
                </w14:textFill>
              </w:rPr>
            </w:r>
            <w:r/>
          </w:p>
        </w:tc>
        <w:tc>
          <w:tcPr>
            <w:tcW w:w="1429" w:type="dxa"/>
            <w:vAlign w:val="center"/>
            <w:textDirection w:val="lrTb"/>
            <w:noWrap w:val="false"/>
          </w:tcPr>
          <w:p>
            <w:pPr>
              <w:jc w:val="left"/>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检后追踪系统</w:t>
            </w:r>
            <w:r/>
          </w:p>
        </w:tc>
        <w:tc>
          <w:tcPr>
            <w:tcW w:w="5868"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符合招标文件中打“★”项技术参数要求的，</w:t>
            </w:r>
            <w:r>
              <w:rPr>
                <w:rFonts w:hint="eastAsia" w:ascii="宋体" w:hAnsi="宋体" w:cs="宋体"/>
                <w:color w:val="000000" w:themeColor="text1"/>
                <w:szCs w:val="21"/>
                <w:lang w:bidi="ar"/>
                <w14:textFill>
                  <w14:solidFill>
                    <w14:schemeClr w14:val="tx1"/>
                  </w14:solidFill>
                </w14:textFill>
              </w:rPr>
              <w:t xml:space="preserve">每一</w:t>
            </w:r>
            <w:r>
              <w:rPr>
                <w:rFonts w:hint="eastAsia" w:ascii="宋体" w:hAnsi="宋体" w:cs="宋体"/>
                <w:color w:val="000000" w:themeColor="text1"/>
                <w:szCs w:val="21"/>
                <w:lang w:val="en-US" w:eastAsia="zh-CN" w:bidi="ar"/>
                <w14:textFill>
                  <w14:solidFill>
                    <w14:schemeClr w14:val="tx1"/>
                  </w14:solidFill>
                </w14:textFill>
              </w:rPr>
              <w:t xml:space="preserve">项全部满足的</w:t>
            </w:r>
            <w:r>
              <w:rPr>
                <w:rFonts w:hint="eastAsia" w:ascii="宋体" w:hAnsi="宋体" w:cs="宋体"/>
                <w:color w:val="000000" w:themeColor="text1"/>
                <w:szCs w:val="21"/>
                <w14:textFill>
                  <w14:solidFill>
                    <w14:schemeClr w14:val="tx1"/>
                  </w14:solidFill>
                </w14:textFill>
              </w:rPr>
              <w:t xml:space="preserve">得1分。共1分。</w:t>
            </w:r>
            <w:r/>
          </w:p>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包括1.</w:t>
            </w:r>
            <w:r>
              <w:rPr>
                <w:rFonts w:hint="eastAsia" w:ascii="宋体" w:hAnsi="宋体" w:cs="宋体"/>
                <w:color w:val="000000" w:themeColor="text1"/>
                <w:lang w:bidi="ar"/>
                <w14:textFill>
                  <w14:solidFill>
                    <w14:schemeClr w14:val="tx1"/>
                  </w14:solidFill>
                </w14:textFill>
              </w:rPr>
              <w:t xml:space="preserve">检后统计：</w:t>
            </w:r>
            <w:r>
              <w:rPr>
                <w:rFonts w:hint="eastAsia" w:ascii="宋体" w:hAnsi="宋体" w:cs="宋体"/>
                <w:color w:val="000000" w:themeColor="text1"/>
                <w:szCs w:val="21"/>
                <w14:textFill>
                  <w14:solidFill>
                    <w14:schemeClr w14:val="tx1"/>
                  </w14:solidFill>
                </w14:textFill>
              </w:rPr>
              <w:t xml:space="preserve">统计并展示本年度体检居民应体检人数和已完成体检人数，计算完成进度百分比并展示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支持按月统计体检人数，并以折线图展示每月变化趋势</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统计五色任务的总体完成数和处置率，并按五色分类展示数量和进度百分比</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根据处置方式分组（转诊、追踪观察、无需处理、已处理）统计每种处置方式五色人群的占比，以堆积图形式展示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统计五色人群的数量和占比分布，以环形图展示分布情况</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处置时效分析支持以按时完成、超期≤7天、超期1-2周、超期2-4周、超期＞1个月这5组进行统计分析，每组以堆积图形式展示五色人群的占比</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鼠标悬浮在柱形上，弹出浮窗展示具体五色的人数和比例</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支持统计并展示五色人群检后追踪任务的平均完成的时间</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支持按照体检套餐的检验检查项目分类，以五色分层统计各颜色的异常指标数量和比例；支持以人为中心分析检验检查项目的异常检出率、检查人数、异常人数。）</w:t>
            </w:r>
            <w:r/>
          </w:p>
          <w:p>
            <w:pPr>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（须提供系统功能界面清晰截图）</w:t>
            </w:r>
            <w:r>
              <w:rPr>
                <w:rFonts w:hint="eastAsia" w:ascii="宋体" w:hAnsi="宋体" w:cs="宋体"/>
                <w:color w:val="000000" w:themeColor="text1"/>
                <w:szCs w:val="21"/>
                <w14:textFill>
                  <w14:solidFill>
                    <w14:schemeClr w14:val="tx1"/>
                  </w14:solidFill>
                </w14:textFill>
              </w:rPr>
              <w:t xml:space="preserve">注：依据招标文件里项目需求和参数要求提供证明材料的，须提供相关证明材料原件扫描上传，未提供证明材料的视为负偏离，不得分。</w:t>
            </w:r>
            <w:r/>
          </w:p>
        </w:tc>
      </w:tr>
      <w:tr>
        <w:trPr>
          <w:jc w:val="center"/>
          <w:trHeight w:val="23"/>
        </w:trPr>
        <w:tc>
          <w:tcPr>
            <w:tcW w:w="1283" w:type="dxa"/>
            <w:vAlign w:val="center"/>
            <w:vMerge w:val="restart"/>
            <w:textDirection w:val="lrTb"/>
            <w:noWrap w:val="false"/>
          </w:tcPr>
          <w:p>
            <w:pPr>
              <w:pStyle w:val="922"/>
              <w:ind w:firstLine="0"/>
              <w:jc w:val="center"/>
              <w:spacing w:line="24"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技术方案（</w:t>
            </w:r>
            <w:r>
              <w:rPr>
                <w:rFonts w:ascii="宋体" w:hAnsi="宋体" w:eastAsia="宋体" w:cs="宋体"/>
                <w:b/>
                <w:bCs/>
                <w:color w:val="000000" w:themeColor="text1"/>
                <w:sz w:val="21"/>
                <w:szCs w:val="21"/>
                <w14:textFill>
                  <w14:solidFill>
                    <w14:schemeClr w14:val="tx1"/>
                  </w14:solidFill>
                </w14:textFill>
              </w:rPr>
              <w:t xml:space="preserve">2</w:t>
            </w:r>
            <w:r>
              <w:rPr>
                <w:rFonts w:hint="eastAsia" w:ascii="宋体" w:hAnsi="宋体" w:eastAsia="宋体" w:cs="宋体"/>
                <w:b/>
                <w:bCs/>
                <w:color w:val="000000" w:themeColor="text1"/>
                <w:sz w:val="21"/>
                <w:szCs w:val="21"/>
                <w14:textFill>
                  <w14:solidFill>
                    <w14:schemeClr w14:val="tx1"/>
                  </w14:solidFill>
                </w14:textFill>
              </w:rPr>
              <w:t xml:space="preserve">0</w:t>
            </w:r>
            <w:r>
              <w:rPr>
                <w:rFonts w:hint="eastAsia" w:ascii="宋体" w:hAnsi="宋体" w:cs="宋体"/>
                <w:b/>
                <w:bCs/>
                <w:color w:val="000000" w:themeColor="text1"/>
                <w:sz w:val="21"/>
                <w:szCs w:val="21"/>
                <w14:textFill>
                  <w14:solidFill>
                    <w14:schemeClr w14:val="tx1"/>
                  </w14:solidFill>
                </w14:textFill>
              </w:rPr>
              <w:t xml:space="preserve">分）</w:t>
            </w:r>
            <w:r/>
          </w:p>
        </w:tc>
        <w:tc>
          <w:tcPr>
            <w:tcW w:w="1429" w:type="dxa"/>
            <w:vAlign w:val="center"/>
            <w:textDirection w:val="lrTb"/>
            <w:noWrap w:val="false"/>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系统总体设计</w:t>
            </w:r>
            <w:r>
              <w:rPr>
                <w:rFonts w:hint="eastAsia" w:ascii="宋体" w:hAnsi="宋体" w:eastAsia="宋体" w:cs="宋体"/>
                <w:color w:val="000000" w:themeColor="text1"/>
                <w:szCs w:val="21"/>
                <w:lang w:bidi="ar"/>
                <w14:textFill>
                  <w14:solidFill>
                    <w14:schemeClr w14:val="tx1"/>
                  </w14:solidFill>
                </w14:textFill>
              </w:rPr>
              <w:t xml:space="preserve">方案</w:t>
            </w:r>
            <w:r/>
          </w:p>
        </w:tc>
        <w:tc>
          <w:tcPr>
            <w:tcW w:w="5868" w:type="dxa"/>
            <w:textDirection w:val="lrTb"/>
            <w:noWrap w:val="false"/>
          </w:tcPr>
          <w:p>
            <w:pPr>
              <w:jc w:val="left"/>
              <w:spacing w:line="360" w:lineRule="exact"/>
              <w:widowControl/>
              <w:rPr>
                <w:rFonts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投标人需提本项目的系统总体设计方案，优于招标文件的得5分，符合招标文件要求的得3分</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低于招标文件的得1分</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未提供方案的不得分。</w:t>
            </w:r>
            <w:r/>
          </w:p>
        </w:tc>
      </w:tr>
      <w:tr>
        <w:trPr>
          <w:jc w:val="center"/>
          <w:trHeight w:val="23"/>
        </w:trPr>
        <w:tc>
          <w:tcPr>
            <w:tcW w:w="1283" w:type="dxa"/>
            <w:vAlign w:val="center"/>
            <w:vMerge w:val="continue"/>
            <w:textDirection w:val="lrTb"/>
            <w:noWrap w:val="false"/>
          </w:tcPr>
          <w:p>
            <w:pPr>
              <w:pStyle w:val="922"/>
              <w:ind w:firstLine="0"/>
              <w:jc w:val="center"/>
              <w:spacing w:line="24" w:lineRule="atLeast"/>
              <w:rPr>
                <w:rFonts w:ascii="宋体" w:hAnsi="宋体" w:cs="宋体"/>
                <w:b/>
                <w:bCs/>
                <w:color w:val="000000" w:themeColor="text1"/>
                <w:sz w:val="21"/>
                <w:szCs w:val="21"/>
                <w14:textFill>
                  <w14:solidFill>
                    <w14:schemeClr w14:val="tx1"/>
                  </w14:solidFill>
                </w14:textFill>
              </w:rPr>
            </w:pPr>
            <w:r>
              <w:rPr>
                <w:rFonts w:ascii="宋体" w:hAnsi="宋体" w:cs="宋体"/>
                <w:b/>
                <w:bCs/>
                <w:color w:val="000000" w:themeColor="text1"/>
                <w:sz w:val="21"/>
                <w:szCs w:val="21"/>
                <w14:textFill>
                  <w14:solidFill>
                    <w14:schemeClr w14:val="tx1"/>
                  </w14:solidFill>
                </w14:textFill>
              </w:rPr>
            </w:r>
            <w:r/>
          </w:p>
        </w:tc>
        <w:tc>
          <w:tcPr>
            <w:tcW w:w="1429" w:type="dxa"/>
            <w:vAlign w:val="center"/>
            <w:textDirection w:val="lrTb"/>
            <w:noWrap w:val="false"/>
          </w:tcPr>
          <w:p>
            <w:pPr>
              <w:jc w:val="center"/>
              <w:spacing w:line="360" w:lineRule="exact"/>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数据对接方案</w:t>
            </w:r>
            <w:r/>
          </w:p>
        </w:tc>
        <w:tc>
          <w:tcPr>
            <w:tcW w:w="5868" w:type="dxa"/>
            <w:textDirection w:val="lrTb"/>
            <w:noWrap w:val="false"/>
          </w:tcPr>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投标人需提本项目的数据对接方案，优于招标文件的得</w:t>
            </w:r>
            <w:r>
              <w:rPr>
                <w:rFonts w:ascii="宋体" w:hAnsi="宋体" w:cs="宋体"/>
                <w:color w:val="000000" w:themeColor="text1"/>
                <w:szCs w:val="21"/>
                <w14:textFill>
                  <w14:solidFill>
                    <w14:schemeClr w14:val="tx1"/>
                  </w14:solidFill>
                </w14:textFill>
              </w:rPr>
              <w:t xml:space="preserve">5分，符合招标文件要求的得3分</w:t>
            </w:r>
            <w:r>
              <w:rPr>
                <w:rFonts w:hint="eastAsia" w:ascii="宋体" w:hAnsi="宋体" w:cs="宋体"/>
                <w:color w:val="000000" w:themeColor="text1"/>
                <w:szCs w:val="21"/>
                <w:lang w:eastAsia="zh-CN"/>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低于招标文件的得1分</w:t>
            </w:r>
            <w:r>
              <w:rPr>
                <w:rFonts w:hint="eastAsia" w:ascii="宋体" w:hAnsi="宋体" w:cs="宋体"/>
                <w:color w:val="000000" w:themeColor="text1"/>
                <w:szCs w:val="21"/>
                <w:lang w:eastAsia="zh-CN"/>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未提供方案的不得分。</w:t>
            </w:r>
            <w:r/>
          </w:p>
        </w:tc>
      </w:tr>
      <w:tr>
        <w:trPr>
          <w:jc w:val="center"/>
          <w:trHeight w:val="23"/>
        </w:trPr>
        <w:tc>
          <w:tcPr>
            <w:tcW w:w="1283" w:type="dxa"/>
            <w:vAlign w:val="center"/>
            <w:vMerge w:val="continue"/>
            <w:textDirection w:val="lrTb"/>
            <w:noWrap w:val="false"/>
          </w:tcPr>
          <w:p>
            <w:pPr>
              <w:pStyle w:val="922"/>
              <w:ind w:firstLine="0"/>
              <w:jc w:val="center"/>
              <w:spacing w:line="24" w:lineRule="atLeast"/>
              <w:rPr>
                <w:rFonts w:ascii="宋体" w:hAnsi="宋体" w:cs="宋体"/>
                <w:b/>
                <w:bCs/>
                <w:color w:val="000000" w:themeColor="text1"/>
                <w:sz w:val="21"/>
                <w:szCs w:val="21"/>
                <w14:textFill>
                  <w14:solidFill>
                    <w14:schemeClr w14:val="tx1"/>
                  </w14:solidFill>
                </w14:textFill>
              </w:rPr>
            </w:pPr>
            <w:r>
              <w:rPr>
                <w:rFonts w:ascii="宋体" w:hAnsi="宋体" w:cs="宋体"/>
                <w:b/>
                <w:bCs/>
                <w:color w:val="000000" w:themeColor="text1"/>
                <w:sz w:val="21"/>
                <w:szCs w:val="21"/>
                <w14:textFill>
                  <w14:solidFill>
                    <w14:schemeClr w14:val="tx1"/>
                  </w14:solidFill>
                </w14:textFill>
              </w:rPr>
            </w:r>
            <w:r/>
          </w:p>
        </w:tc>
        <w:tc>
          <w:tcPr>
            <w:tcW w:w="1429" w:type="dxa"/>
            <w:vAlign w:val="center"/>
            <w:textDirection w:val="lrTb"/>
            <w:noWrap w:val="false"/>
          </w:tcPr>
          <w:p>
            <w:pPr>
              <w:jc w:val="center"/>
              <w:spacing w:line="360" w:lineRule="exact"/>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定制软件开发方案</w:t>
            </w:r>
            <w:r/>
          </w:p>
        </w:tc>
        <w:tc>
          <w:tcPr>
            <w:tcW w:w="5868" w:type="dxa"/>
            <w:textDirection w:val="lrTb"/>
            <w:noWrap w:val="false"/>
          </w:tcPr>
          <w:p>
            <w:pPr>
              <w:spacing w:line="3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投标人需提本项目的定制化软件方案，优于招标文件的得</w:t>
            </w:r>
            <w:r>
              <w:rPr>
                <w:rFonts w:hint="eastAsia" w:ascii="宋体" w:hAnsi="宋体" w:eastAsia="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分，符合招标文件要求的得</w:t>
            </w:r>
            <w:r>
              <w:rPr>
                <w:rFonts w:hint="eastAsia" w:ascii="宋体" w:hAnsi="宋体" w:eastAsia="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低于招标文件的得</w:t>
            </w: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未提供方案的不得分。</w:t>
            </w:r>
            <w:r/>
          </w:p>
        </w:tc>
      </w:tr>
      <w:tr>
        <w:trPr>
          <w:jc w:val="center"/>
          <w:trHeight w:val="23"/>
        </w:trPr>
        <w:tc>
          <w:tcPr>
            <w:tcW w:w="1283" w:type="dxa"/>
            <w:vAlign w:val="center"/>
            <w:vMerge w:val="continue"/>
            <w:textDirection w:val="lrTb"/>
            <w:noWrap w:val="false"/>
          </w:tcPr>
          <w:p>
            <w:pPr>
              <w:pStyle w:val="922"/>
              <w:ind w:firstLine="0"/>
              <w:jc w:val="center"/>
              <w:spacing w:line="24" w:lineRule="atLeast"/>
              <w:rPr>
                <w:rFonts w:ascii="宋体" w:hAnsi="宋体" w:cs="宋体"/>
                <w:b/>
                <w:bCs/>
                <w:color w:val="000000" w:themeColor="text1"/>
                <w:sz w:val="21"/>
                <w:szCs w:val="21"/>
                <w14:textFill>
                  <w14:solidFill>
                    <w14:schemeClr w14:val="tx1"/>
                  </w14:solidFill>
                </w14:textFill>
              </w:rPr>
            </w:pPr>
            <w:r>
              <w:rPr>
                <w:rFonts w:ascii="宋体" w:hAnsi="宋体" w:cs="宋体"/>
                <w:b/>
                <w:bCs/>
                <w:color w:val="000000" w:themeColor="text1"/>
                <w:sz w:val="21"/>
                <w:szCs w:val="21"/>
                <w14:textFill>
                  <w14:solidFill>
                    <w14:schemeClr w14:val="tx1"/>
                  </w14:solidFill>
                </w14:textFill>
              </w:rPr>
            </w:r>
            <w:r/>
          </w:p>
        </w:tc>
        <w:tc>
          <w:tcPr>
            <w:tcW w:w="1429" w:type="dxa"/>
            <w:vAlign w:val="center"/>
            <w:textDirection w:val="lrTb"/>
            <w:noWrap w:val="false"/>
          </w:tcPr>
          <w:p>
            <w:pPr>
              <w:jc w:val="center"/>
              <w:spacing w:line="360" w:lineRule="exact"/>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信息安全方案</w:t>
            </w:r>
            <w:r/>
          </w:p>
        </w:tc>
        <w:tc>
          <w:tcPr>
            <w:tcW w:w="5868" w:type="dxa"/>
            <w:textDirection w:val="lrTb"/>
            <w:noWrap w:val="false"/>
          </w:tcPr>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投标人需提本项目的安全方案，优于招标文件的得</w:t>
            </w:r>
            <w:r>
              <w:rPr>
                <w:rFonts w:ascii="宋体" w:hAnsi="宋体" w:eastAsia="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分，符合招标文件要求的得</w:t>
            </w:r>
            <w:r>
              <w:rPr>
                <w:rFonts w:ascii="宋体" w:hAnsi="宋体" w:eastAsia="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低于招标文件的得</w:t>
            </w:r>
            <w:r>
              <w:rPr>
                <w:rFonts w:ascii="宋体" w:hAnsi="宋体" w:eastAsia="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未提供方案的不得分。</w:t>
            </w:r>
            <w:r/>
          </w:p>
        </w:tc>
      </w:tr>
      <w:tr>
        <w:trPr>
          <w:jc w:val="center"/>
          <w:trHeight w:val="23"/>
        </w:trPr>
        <w:tc>
          <w:tcPr>
            <w:tcW w:w="1283" w:type="dxa"/>
            <w:vAlign w:val="center"/>
            <w:textDirection w:val="lrTb"/>
            <w:noWrap w:val="false"/>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项目实施方案</w:t>
            </w:r>
            <w:r/>
          </w:p>
          <w:p>
            <w:pPr>
              <w:jc w:val="center"/>
              <w:rPr>
                <w:rFonts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（6分）</w:t>
            </w:r>
            <w:r/>
          </w:p>
        </w:tc>
        <w:tc>
          <w:tcPr>
            <w:tcW w:w="1429"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项目实施管理方案</w:t>
            </w:r>
            <w:r/>
          </w:p>
        </w:tc>
        <w:tc>
          <w:tcPr>
            <w:tcW w:w="5868" w:type="dxa"/>
            <w:vAlign w:val="center"/>
            <w:textDirection w:val="lrTb"/>
            <w:noWrap w:val="false"/>
          </w:tcPr>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w:t>
            </w:r>
            <w:r>
              <w:rPr>
                <w:rFonts w:hint="eastAsia" w:ascii="宋体" w:hAnsi="宋体" w:eastAsia="宋体" w:cs="宋体"/>
                <w:color w:val="000000" w:themeColor="text1"/>
                <w:szCs w:val="21"/>
                <w14:textFill>
                  <w14:solidFill>
                    <w14:schemeClr w14:val="tx1"/>
                  </w14:solidFill>
                </w14:textFill>
              </w:rPr>
              <w:t xml:space="preserve">提供项目实施时所必须的管理方案，方案科学、合理，描述详细完整，针对性强，具体可包括“</w:t>
            </w:r>
            <w:r>
              <w:rPr>
                <w:rFonts w:hint="eastAsia" w:ascii="宋体" w:hAnsi="宋体" w:eastAsia="宋体" w:cs="宋体"/>
                <w:b w:val="0"/>
                <w:bCs w:val="0"/>
                <w:color w:val="000000" w:themeColor="text1"/>
                <w14:textFill>
                  <w14:solidFill>
                    <w14:schemeClr w14:val="tx1"/>
                  </w14:solidFill>
                </w14:textFill>
              </w:rPr>
              <w:t xml:space="preserve">项目总工期</w:t>
            </w:r>
            <w:r>
              <w:rPr>
                <w:rFonts w:hint="eastAsia" w:ascii="宋体" w:hAnsi="宋体" w:eastAsia="宋体" w:cs="宋体"/>
                <w:b w:val="0"/>
                <w:bCs w:val="0"/>
                <w:color w:val="000000" w:themeColor="text1"/>
                <w:lang w:val="en-US" w:eastAsia="zh-CN"/>
                <w14:textFill>
                  <w14:solidFill>
                    <w14:schemeClr w14:val="tx1"/>
                  </w14:solidFill>
                </w14:textFill>
              </w:rPr>
              <w:t xml:space="preserve">管理</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r>
            <w:r/>
            <w:r>
              <w:rPr>
                <w:rFonts w:hint="eastAsia" w:ascii="宋体" w:hAnsi="宋体" w:eastAsia="宋体" w:cs="宋体"/>
                <w:color w:val="000000" w:themeColor="text1"/>
                <w:szCs w:val="21"/>
                <w14:textFill>
                  <w14:solidFill>
                    <w14:schemeClr w14:val="tx1"/>
                  </w14:solidFill>
                </w14:textFill>
              </w:rPr>
              <w:t xml:space="preserve">实施团队组织</w:t>
            </w:r>
            <w:r>
              <w:rPr>
                <w:rFonts w:hint="eastAsia" w:ascii="宋体" w:hAnsi="宋体" w:eastAsia="宋体" w:cs="宋体"/>
                <w:b w:val="0"/>
                <w:bCs w:val="0"/>
                <w:color w:val="000000" w:themeColor="text1"/>
                <w:lang w:val="en-US" w:eastAsia="zh-CN"/>
                <w14:textFill>
                  <w14:solidFill>
                    <w14:schemeClr w14:val="tx1"/>
                  </w14:solidFill>
                </w14:textFill>
              </w:rPr>
            </w:r>
            <w:r>
              <w:rPr>
                <w:rFonts w:hint="eastAsia" w:ascii="宋体" w:hAnsi="宋体" w:eastAsia="宋体" w:cs="宋体"/>
                <w:b w:val="0"/>
                <w:bCs w:val="0"/>
                <w:color w:val="000000" w:themeColor="text1"/>
                <w:szCs w:val="21"/>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等</w:t>
            </w:r>
            <w:r>
              <w:rPr>
                <w:rFonts w:hint="eastAsia" w:ascii="宋体" w:hAnsi="宋体" w:eastAsia="宋体" w:cs="宋体"/>
                <w:color w:val="000000" w:themeColor="text1"/>
                <w:szCs w:val="21"/>
                <w14:textFill>
                  <w14:solidFill>
                    <w14:schemeClr w14:val="tx1"/>
                  </w14:solidFill>
                </w14:textFill>
              </w:rPr>
              <w:t xml:space="preserve">优于招标文件的得6分，符合招标文件要求的得3分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低于招标文件的得</w:t>
            </w:r>
            <w:r>
              <w:rPr>
                <w:rFonts w:ascii="宋体" w:hAnsi="宋体" w:eastAsia="宋体" w:cs="宋体"/>
                <w:color w:val="000000" w:themeColor="text1"/>
                <w:szCs w:val="21"/>
                <w14:textFill>
                  <w14:solidFill>
                    <w14:schemeClr w14:val="tx1"/>
                  </w14:solidFill>
                </w14:textFill>
              </w:rPr>
              <w:t xml:space="preserve">1分</w:t>
            </w:r>
            <w:r>
              <w:rPr>
                <w:rFonts w:hint="eastAsia" w:ascii="宋体" w:hAnsi="宋体" w:eastAsia="宋体" w:cs="宋体"/>
                <w:color w:val="000000" w:themeColor="text1"/>
                <w:szCs w:val="21"/>
                <w:lang w:eastAsia="zh-CN"/>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未提供方案的不得分。</w:t>
            </w:r>
            <w:r/>
          </w:p>
        </w:tc>
      </w:tr>
      <w:tr>
        <w:trPr>
          <w:jc w:val="center"/>
          <w:trHeight w:val="23"/>
        </w:trPr>
        <w:tc>
          <w:tcPr>
            <w:tcW w:w="1283" w:type="dxa"/>
            <w:vAlign w:val="center"/>
            <w:textDirection w:val="lrTb"/>
            <w:noWrap w:val="false"/>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培训方案</w:t>
            </w:r>
            <w:r/>
          </w:p>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（5分）</w:t>
            </w:r>
            <w:r/>
          </w:p>
        </w:tc>
        <w:tc>
          <w:tcPr>
            <w:tcW w:w="1429" w:type="dxa"/>
            <w:vAlign w:val="center"/>
            <w:textDirection w:val="lrTb"/>
            <w:noWrap w:val="false"/>
          </w:tcPr>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培训方案</w:t>
            </w:r>
            <w:r/>
          </w:p>
        </w:tc>
        <w:tc>
          <w:tcPr>
            <w:tcW w:w="5868" w:type="dxa"/>
            <w:vAlign w:val="center"/>
            <w:textDirection w:val="lrTb"/>
            <w:noWrap w:val="false"/>
          </w:tcPr>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投标人需提供系统培训方案，</w:t>
            </w:r>
            <w:r>
              <w:rPr>
                <w:rFonts w:hint="eastAsia" w:ascii="宋体" w:hAnsi="宋体" w:eastAsia="宋体" w:cs="宋体"/>
                <w:color w:val="000000" w:themeColor="text1"/>
                <w:szCs w:val="21"/>
                <w14:textFill>
                  <w14:solidFill>
                    <w14:schemeClr w14:val="tx1"/>
                  </w14:solidFill>
                </w14:textFill>
              </w:rPr>
              <w:t xml:space="preserve">要求方案完整全面、科学合理、可行性强。具体可包括“</w:t>
            </w:r>
            <w:r>
              <w:rPr>
                <w:rFonts w:hint="eastAsia" w:ascii="宋体" w:hAnsi="宋体" w:eastAsia="宋体" w:cs="宋体"/>
                <w:color w:val="000000" w:themeColor="text1"/>
                <w14:textFill>
                  <w14:solidFill>
                    <w14:schemeClr w14:val="tx1"/>
                  </w14:solidFill>
                </w14:textFill>
              </w:rPr>
              <w:t xml:space="preserve">系统总体框架以及模块划分介绍、各单元模块的使用操作方法培训、系统的安装、调试方法培训、系统配置、使用的注意事项、与系统相关的软硬件知识的培训和指导、人员培训要求”</w:t>
            </w:r>
            <w:r>
              <w:rPr>
                <w:rFonts w:hint="eastAsia" w:ascii="宋体" w:hAnsi="宋体" w:eastAsia="宋体" w:cs="宋体"/>
                <w:color w:val="000000" w:themeColor="text1"/>
                <w:szCs w:val="21"/>
                <w14:textFill>
                  <w14:solidFill>
                    <w14:schemeClr w14:val="tx1"/>
                  </w14:solidFill>
                </w14:textFill>
              </w:rPr>
              <w:t xml:space="preserve">等内容。优于招标文件的得5分，符合招标文件要求的得3分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低于招标文件的得</w:t>
            </w:r>
            <w:r>
              <w:rPr>
                <w:rFonts w:ascii="宋体" w:hAnsi="宋体" w:eastAsia="宋体" w:cs="宋体"/>
                <w:color w:val="000000" w:themeColor="text1"/>
                <w:szCs w:val="21"/>
                <w14:textFill>
                  <w14:solidFill>
                    <w14:schemeClr w14:val="tx1"/>
                  </w14:solidFill>
                </w14:textFill>
              </w:rPr>
              <w:t xml:space="preserve">1分</w:t>
            </w:r>
            <w:r>
              <w:rPr>
                <w:rFonts w:hint="eastAsia" w:ascii="宋体" w:hAnsi="宋体" w:eastAsia="宋体" w:cs="宋体"/>
                <w:color w:val="000000" w:themeColor="text1"/>
                <w:szCs w:val="21"/>
                <w:lang w:eastAsia="zh-CN"/>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未提供方案的不得分。</w:t>
            </w:r>
            <w:r/>
          </w:p>
        </w:tc>
      </w:tr>
      <w:tr>
        <w:trPr>
          <w:jc w:val="center"/>
          <w:trHeight w:val="23"/>
        </w:trPr>
        <w:tc>
          <w:tcPr>
            <w:tcW w:w="1283" w:type="dxa"/>
            <w:vAlign w:val="center"/>
            <w:textDirection w:val="lrTb"/>
            <w:noWrap w:val="false"/>
          </w:tcPr>
          <w:p>
            <w:pPr>
              <w:jc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售后服务方案</w:t>
            </w:r>
            <w:r>
              <w:rPr>
                <w:rFonts w:hint="eastAsia" w:ascii="宋体" w:hAnsi="宋体" w:cs="宋体"/>
                <w:b/>
                <w:bCs/>
                <w:color w:val="000000" w:themeColor="text1"/>
                <w:szCs w:val="21"/>
                <w14:textFill>
                  <w14:solidFill>
                    <w14:schemeClr w14:val="tx1"/>
                  </w14:solidFill>
                </w14:textFill>
              </w:rPr>
              <w:t xml:space="preserve">（5分）</w:t>
            </w:r>
            <w:r/>
          </w:p>
        </w:tc>
        <w:tc>
          <w:tcPr>
            <w:tcW w:w="1429" w:type="dxa"/>
            <w:vAlign w:val="center"/>
            <w:textDirection w:val="lrTb"/>
            <w:noWrap w:val="false"/>
          </w:tcPr>
          <w:p>
            <w:pPr>
              <w:spacing w:line="3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售后服务方案</w:t>
            </w:r>
            <w:r/>
          </w:p>
        </w:tc>
        <w:tc>
          <w:tcPr>
            <w:tcW w:w="5868" w:type="dxa"/>
            <w:vAlign w:val="center"/>
            <w:textDirection w:val="lrTb"/>
            <w:noWrap w:val="false"/>
          </w:tcPr>
          <w:p>
            <w:pPr>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w:t>
            </w:r>
            <w:r>
              <w:rPr>
                <w:rFonts w:hint="eastAsia" w:ascii="宋体" w:hAnsi="宋体" w:eastAsia="宋体" w:cs="宋体"/>
                <w:color w:val="000000" w:themeColor="text1"/>
                <w:szCs w:val="21"/>
                <w14:textFill>
                  <w14:solidFill>
                    <w14:schemeClr w14:val="tx1"/>
                  </w14:solidFill>
                </w14:textFill>
              </w:rPr>
              <w:t xml:space="preserve">提供售后服务方案，确保响应及时，工作到位，处理得当，方案合理科学，具体可包括“定期回访、技术咨询、系统维护、业务操作支持、问题处理、人员安全管理”等内容。优于招标文件的得5分，符合招标文件要求的得3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低于招标文件的得</w:t>
            </w:r>
            <w:r>
              <w:rPr>
                <w:rFonts w:ascii="宋体" w:hAnsi="宋体" w:eastAsia="宋体" w:cs="宋体"/>
                <w:color w:val="000000" w:themeColor="text1"/>
                <w:szCs w:val="21"/>
                <w14:textFill>
                  <w14:solidFill>
                    <w14:schemeClr w14:val="tx1"/>
                  </w14:solidFill>
                </w14:textFill>
              </w:rPr>
              <w:t xml:space="preserve">1分</w:t>
            </w:r>
            <w:r>
              <w:rPr>
                <w:rFonts w:hint="eastAsia" w:ascii="宋体" w:hAnsi="宋体" w:eastAsia="宋体" w:cs="宋体"/>
                <w:color w:val="000000" w:themeColor="text1"/>
                <w:szCs w:val="21"/>
                <w:lang w:eastAsia="zh-CN"/>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未提供方案的不得分。</w:t>
            </w:r>
            <w:r/>
          </w:p>
        </w:tc>
      </w:tr>
      <w:tr>
        <w:trPr>
          <w:jc w:val="center"/>
          <w:trHeight w:val="23"/>
        </w:trPr>
        <w:tc>
          <w:tcPr>
            <w:tcW w:w="1283" w:type="dxa"/>
            <w:vAlign w:val="center"/>
            <w:vMerge w:val="restart"/>
            <w:textDirection w:val="lrTb"/>
            <w:noWrap w:val="false"/>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演示</w:t>
            </w:r>
            <w:r>
              <w:rPr>
                <w:rFonts w:hint="eastAsia" w:ascii="宋体" w:hAnsi="宋体" w:eastAsia="宋体" w:cs="宋体"/>
                <w:b/>
                <w:color w:val="000000" w:themeColor="text1"/>
                <w:szCs w:val="21"/>
                <w14:textFill>
                  <w14:solidFill>
                    <w14:schemeClr w14:val="tx1"/>
                  </w14:solidFill>
                </w14:textFill>
              </w:rPr>
              <w:t xml:space="preserve">部分</w:t>
            </w:r>
            <w:r>
              <w:rPr>
                <w:rFonts w:hint="eastAsia" w:ascii="宋体" w:hAnsi="宋体" w:cs="宋体"/>
                <w:b/>
                <w:color w:val="000000" w:themeColor="text1"/>
                <w:szCs w:val="21"/>
                <w14:textFill>
                  <w14:solidFill>
                    <w14:schemeClr w14:val="tx1"/>
                  </w14:solidFill>
                </w14:textFill>
              </w:rPr>
              <w:t xml:space="preserve">(20分)</w:t>
            </w:r>
            <w:r/>
          </w:p>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gridSpan w:val="2"/>
            <w:tcW w:w="7297" w:type="dxa"/>
            <w:vAlign w:val="center"/>
            <w:textDirection w:val="lrTb"/>
            <w:noWrap w:val="false"/>
          </w:tcPr>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w:t>
            </w:r>
            <w:r>
              <w:rPr>
                <w:rFonts w:ascii="宋体" w:hAnsi="宋体" w:cs="宋体"/>
                <w:b/>
                <w:bCs/>
                <w:color w:val="000000" w:themeColor="text1"/>
                <w:szCs w:val="21"/>
                <w14:textFill>
                  <w14:solidFill>
                    <w14:schemeClr w14:val="tx1"/>
                  </w14:solidFill>
                </w14:textFill>
              </w:rPr>
              <w:t xml:space="preserve">市级健康管理整合型医院基层能力辅助决策系统</w:t>
            </w:r>
            <w:r>
              <w:rPr>
                <w:rFonts w:hint="eastAsia" w:ascii="宋体" w:hAnsi="宋体" w:cs="宋体"/>
                <w:b/>
                <w:bCs/>
                <w:color w:val="000000" w:themeColor="text1"/>
                <w:szCs w:val="21"/>
                <w14:textFill>
                  <w14:solidFill>
                    <w14:schemeClr w14:val="tx1"/>
                  </w14:solidFill>
                </w14:textFill>
              </w:rPr>
              <w:t xml:space="preserve">诊前管理</w:t>
            </w:r>
            <w:r>
              <w:rPr>
                <w:rFonts w:hint="eastAsia" w:ascii="宋体" w:hAnsi="宋体" w:eastAsia="宋体" w:cs="宋体"/>
                <w:b/>
                <w:bCs/>
                <w:color w:val="000000" w:themeColor="text1"/>
                <w:szCs w:val="21"/>
                <w14:textFill>
                  <w14:solidFill>
                    <w14:schemeClr w14:val="tx1"/>
                  </w14:solidFill>
                </w14:textFill>
              </w:rPr>
              <w:t xml:space="preserve">包括</w:t>
            </w:r>
            <w:r>
              <w:rPr>
                <w:rFonts w:hint="eastAsia" w:ascii="宋体" w:hAnsi="宋体" w:cs="宋体"/>
                <w:b/>
                <w:bCs/>
                <w:color w:val="000000" w:themeColor="text1"/>
                <w:szCs w:val="21"/>
                <w14:textFill>
                  <w14:solidFill>
                    <w14:schemeClr w14:val="tx1"/>
                  </w14:solidFill>
                </w14:textFill>
              </w:rPr>
              <w:t xml:space="preserve">：</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（1）系统具备诊前慢病患者身份识别及智能提醒功能。</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（2）诊前提供体征数据、疾病症状、生活方式指导、辅助检查等数据的采集功能。</w:t>
            </w:r>
            <w:r>
              <w:rPr>
                <w:rFonts w:hint="eastAsia" w:ascii="宋体" w:hAnsi="宋体" w:cs="宋体"/>
                <w:b/>
                <w:bCs/>
                <w:color w:val="000000" w:themeColor="text1"/>
                <w:szCs w:val="21"/>
                <w14:textFill>
                  <w14:solidFill>
                    <w14:schemeClr w14:val="tx1"/>
                  </w14:solidFill>
                </w14:textFill>
              </w:rPr>
              <w:t xml:space="preserve">（视频演示功能每</w:t>
            </w:r>
            <w:r>
              <w:rPr>
                <w:rFonts w:hint="eastAsia" w:ascii="宋体" w:hAnsi="宋体" w:cs="宋体"/>
                <w:b/>
                <w:bCs/>
                <w:color w:val="000000" w:themeColor="text1"/>
                <w:szCs w:val="21"/>
                <w:lang w:val="en-US" w:eastAsia="zh-CN"/>
                <w14:textFill>
                  <w14:solidFill>
                    <w14:schemeClr w14:val="tx1"/>
                  </w14:solidFill>
                </w14:textFill>
              </w:rPr>
              <w:t xml:space="preserve">成功</w:t>
            </w:r>
            <w:r>
              <w:rPr>
                <w:rFonts w:hint="eastAsia" w:ascii="宋体" w:hAnsi="宋体" w:cs="宋体"/>
                <w:b/>
                <w:bCs/>
                <w:color w:val="000000" w:themeColor="text1"/>
                <w:szCs w:val="21"/>
                <w14:textFill>
                  <w14:solidFill>
                    <w14:schemeClr w14:val="tx1"/>
                  </w14:solidFill>
                </w14:textFill>
              </w:rPr>
              <w:t xml:space="preserve">演示一项得1分，满分2分）</w:t>
            </w:r>
            <w:r/>
          </w:p>
        </w:tc>
      </w:tr>
      <w:tr>
        <w:trPr>
          <w:jc w:val="center"/>
          <w:trHeight w:val="23"/>
        </w:trPr>
        <w:tc>
          <w:tcPr>
            <w:tcW w:w="1283" w:type="dxa"/>
            <w:vAlign w:val="center"/>
            <w:vMerge w:val="continue"/>
            <w:textDirection w:val="lrTb"/>
            <w:noWrap w:val="false"/>
          </w:tcPr>
          <w:p>
            <w:pPr>
              <w:jc w:val="cente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tc>
        <w:tc>
          <w:tcPr>
            <w:gridSpan w:val="2"/>
            <w:tcW w:w="7297" w:type="dxa"/>
            <w:vAlign w:val="center"/>
            <w:textDirection w:val="lrTb"/>
            <w:noWrap w:val="false"/>
          </w:tcPr>
          <w:p>
            <w:pPr>
              <w:spacing w:line="312"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诊中管理</w:t>
            </w:r>
            <w:r>
              <w:rPr>
                <w:rFonts w:hint="eastAsia" w:eastAsia="宋体"/>
                <w:b/>
                <w:bCs/>
                <w:color w:val="000000" w:themeColor="text1"/>
                <w:szCs w:val="21"/>
                <w14:textFill>
                  <w14:solidFill>
                    <w14:schemeClr w14:val="tx1"/>
                  </w14:solidFill>
                </w14:textFill>
              </w:rPr>
              <w:t xml:space="preserve">包括</w:t>
            </w:r>
            <w:r>
              <w:rPr>
                <w:rFonts w:hint="eastAsia"/>
                <w:b/>
                <w:bCs/>
                <w:color w:val="000000" w:themeColor="text1"/>
                <w:szCs w:val="21"/>
                <w14:textFill>
                  <w14:solidFill>
                    <w14:schemeClr w14:val="tx1"/>
                  </w14:solidFill>
                </w14:textFill>
              </w:rPr>
              <w:t xml:space="preserve">：</w:t>
            </w:r>
            <w:r/>
          </w:p>
          <w:p>
            <w:pPr>
              <w:spacing w:line="312"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（1）系统具备根据国家基层两慢病防治管理指南和国家公共卫生服务规范的要求进行路径化管理，并在接诊时以路径化弹框的形式进行提醒。</w:t>
            </w:r>
            <w:r/>
          </w:p>
          <w:p>
            <w:pPr>
              <w:spacing w:line="312" w:lineRule="auto"/>
              <w:rPr>
                <w:rFonts w:hint="eastAsia" w:eastAsiaTheme="minorEastAsia"/>
                <w:color w:val="000000" w:themeColor="text1"/>
                <w:szCs w:val="21"/>
                <w:lang w:eastAsia="zh-CN"/>
                <w14:textFill>
                  <w14:solidFill>
                    <w14:schemeClr w14:val="tx1"/>
                  </w14:solidFill>
                </w14:textFill>
              </w:rPr>
            </w:pPr>
            <w:r>
              <w:rPr>
                <w:rFonts w:hint="eastAsia"/>
                <w:color w:val="000000" w:themeColor="text1"/>
                <w:szCs w:val="21"/>
                <w14:textFill>
                  <w14:solidFill>
                    <w14:schemeClr w14:val="tx1"/>
                  </w14:solidFill>
                </w14:textFill>
              </w:rPr>
              <w:t xml:space="preserve">（2）系统需具备展示患者姓名、性别、年龄、最近就诊时间，并以标签的形式展示所纳管的慢病病种</w:t>
            </w:r>
            <w:r>
              <w:rPr>
                <w:rFonts w:hint="eastAsia"/>
                <w:color w:val="000000" w:themeColor="text1"/>
                <w:szCs w:val="21"/>
                <w:lang w:eastAsia="zh-CN"/>
                <w14:textFill>
                  <w14:solidFill>
                    <w14:schemeClr w14:val="tx1"/>
                  </w14:solidFill>
                </w14:textFill>
              </w:rPr>
              <w:t xml:space="preserve">。</w:t>
            </w:r>
            <w:r/>
          </w:p>
          <w:p>
            <w:pPr>
              <w:spacing w:line="312"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系统需具备汇聚患者的诊疗与公卫数据的功能，并形成患者的健康详情，展示患者的身高、体重、身份证、联系电话、联系地址、疾病标签、患者标签等基本信息，展示全生命周期管理流程、待办任务、慢病监测指标连续监测图表，风险指标展示等。</w:t>
            </w:r>
            <w:r/>
          </w:p>
          <w:p>
            <w:pPr>
              <w:spacing w:line="312"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（4）系统需具备诊间辅助功能，能够查看诊前模块采集的体征数据、疾病症状、生活方式、辅助检查等数据。</w:t>
            </w:r>
            <w:r/>
          </w:p>
          <w:p>
            <w:pPr>
              <w:spacing w:line="312"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（5）系统需具备既往90天内检查项目模块，并能够形成连续的变化曲线；同时根据慢病管理路径要求提示该患者未来90天内必做检验检查的项目以及未来90天内可选检验检查项目。</w:t>
            </w:r>
            <w:r/>
          </w:p>
          <w:p>
            <w:pPr>
              <w:spacing w:line="312"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（6）系统需具备智能提醒诊中随访表填写，并且系统可以一键抓取诊前采集的各类随访信息，完成慢病随访工作。</w:t>
            </w:r>
            <w:r/>
          </w:p>
          <w:p>
            <w:pPr>
              <w:spacing w:line="312"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（7）系统需具备健康指导功能，根据患者的标签智能推荐健康教育文章，并且通过一键打印生成三高健康处方，展示患者的主要健康问题、指导建议、提醒患者建议复诊时间及建议检查项目等。</w:t>
            </w:r>
            <w:r/>
          </w:p>
          <w:p>
            <w:pPr>
              <w:spacing w:line="312"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（8）系统需具备健康评估报告功能，可以切换年度和季度报告，展示患者心血管健康分、ASCVD心血管风险评估、指标趋势分析、主要健康问题、健康指导建议、服务小结。</w:t>
            </w:r>
            <w:r/>
          </w:p>
          <w:p>
            <w:pPr>
              <w:spacing w:line="312" w:lineRule="auto"/>
              <w:rPr>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（视频演示功能每</w:t>
            </w:r>
            <w:r>
              <w:rPr>
                <w:rFonts w:hint="eastAsia" w:ascii="宋体" w:hAnsi="宋体" w:cs="宋体"/>
                <w:b/>
                <w:bCs/>
                <w:color w:val="000000" w:themeColor="text1"/>
                <w:szCs w:val="21"/>
                <w:lang w:val="en-US" w:eastAsia="zh-CN"/>
                <w14:textFill>
                  <w14:solidFill>
                    <w14:schemeClr w14:val="tx1"/>
                  </w14:solidFill>
                </w14:textFill>
              </w:rPr>
              <w:t xml:space="preserve">成功</w:t>
            </w:r>
            <w:r>
              <w:rPr>
                <w:rFonts w:hint="eastAsia" w:ascii="宋体" w:hAnsi="宋体" w:cs="宋体"/>
                <w:b/>
                <w:bCs/>
                <w:color w:val="000000" w:themeColor="text1"/>
                <w:szCs w:val="21"/>
                <w14:textFill>
                  <w14:solidFill>
                    <w14:schemeClr w14:val="tx1"/>
                  </w14:solidFill>
                </w14:textFill>
              </w:rPr>
              <w:t xml:space="preserve">演示一项得1分，满分8分）</w:t>
            </w:r>
            <w:r/>
          </w:p>
        </w:tc>
      </w:tr>
      <w:tr>
        <w:trPr>
          <w:jc w:val="center"/>
          <w:trHeight w:val="23"/>
        </w:trPr>
        <w:tc>
          <w:tcPr>
            <w:tcW w:w="1283" w:type="dxa"/>
            <w:vAlign w:val="center"/>
            <w:vMerge w:val="continue"/>
            <w:textDirection w:val="lrTb"/>
            <w:noWrap w:val="false"/>
          </w:tcPr>
          <w:p>
            <w:pPr>
              <w:jc w:val="cente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tc>
        <w:tc>
          <w:tcPr>
            <w:gridSpan w:val="2"/>
            <w:tcW w:w="7297" w:type="dxa"/>
            <w:vAlign w:val="center"/>
            <w:textDirection w:val="lrTb"/>
            <w:noWrap w:val="false"/>
          </w:tcPr>
          <w:p>
            <w:pPr>
              <w:jc w:val="left"/>
              <w:spacing w:line="312"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管理平台</w:t>
            </w:r>
            <w:r>
              <w:rPr>
                <w:rFonts w:hint="eastAsia" w:ascii="宋体" w:hAnsi="宋体" w:eastAsia="宋体" w:cs="宋体"/>
                <w:b/>
                <w:bCs/>
                <w:color w:val="000000" w:themeColor="text1"/>
                <w:szCs w:val="21"/>
                <w14:textFill>
                  <w14:solidFill>
                    <w14:schemeClr w14:val="tx1"/>
                  </w14:solidFill>
                </w14:textFill>
              </w:rPr>
              <w:t xml:space="preserve">包括</w:t>
            </w:r>
            <w:r>
              <w:rPr>
                <w:rFonts w:hint="eastAsia" w:ascii="宋体" w:hAnsi="宋体" w:cs="宋体"/>
                <w:b/>
                <w:bCs/>
                <w:color w:val="000000" w:themeColor="text1"/>
                <w:szCs w:val="21"/>
                <w14:textFill>
                  <w14:solidFill>
                    <w14:schemeClr w14:val="tx1"/>
                  </w14:solidFill>
                </w14:textFill>
              </w:rPr>
              <w:t xml:space="preserve">：</w:t>
            </w:r>
            <w:r/>
          </w:p>
          <w:p>
            <w:pPr>
              <w:jc w:val="left"/>
              <w:spacing w:line="312" w:lineRule="auto"/>
              <w:rPr>
                <w:rFonts w:hint="eastAsia" w:ascii="宋体" w:hAnsi="宋体" w:cs="宋体" w:eastAsiaTheme="minorEastAsia"/>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（1）系统需具备工作台模块，展示代办事项、路径节点执行情况、检验检查任务量等内容及详情</w:t>
            </w:r>
            <w:r>
              <w:rPr>
                <w:rFonts w:hint="eastAsia" w:ascii="宋体" w:hAnsi="宋体" w:cs="宋体"/>
                <w:color w:val="000000" w:themeColor="text1"/>
                <w:szCs w:val="21"/>
                <w:lang w:eastAsia="zh-CN"/>
                <w14:textFill>
                  <w14:solidFill>
                    <w14:schemeClr w14:val="tx1"/>
                  </w14:solidFill>
                </w14:textFill>
              </w:rPr>
              <w:t xml:space="preserve">。</w:t>
            </w:r>
            <w:r/>
          </w:p>
          <w:p>
            <w:pPr>
              <w:jc w:val="left"/>
              <w:spacing w:line="312" w:lineRule="auto"/>
              <w:rPr>
                <w:rFonts w:hint="eastAsia" w:ascii="宋体" w:hAnsi="宋体" w:cs="宋体" w:eastAsiaTheme="minorEastAsia"/>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（2）系统需具备指标统计功能，展示管理指数、高血压分级分层、糖尿病分级分层、ASCVD风险分级、高血压管理情况、糖尿病管理情况、患者心血管健康分等数据统计及图表展示</w:t>
            </w:r>
            <w:r>
              <w:rPr>
                <w:rFonts w:hint="eastAsia" w:ascii="宋体" w:hAnsi="宋体" w:cs="宋体"/>
                <w:color w:val="000000" w:themeColor="text1"/>
                <w:szCs w:val="21"/>
                <w:lang w:eastAsia="zh-CN"/>
                <w14:textFill>
                  <w14:solidFill>
                    <w14:schemeClr w14:val="tx1"/>
                  </w14:solidFill>
                </w14:textFill>
              </w:rPr>
              <w:t xml:space="preserve">。</w:t>
            </w:r>
            <w:r/>
          </w:p>
          <w:p>
            <w:pPr>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（3）系统具备对医生接诊的患者及管理的患者分别记录诊前采集、就诊记录、检验检查、诊间随访记录、健康处方、管理评估报告等内容的接诊回顾。</w:t>
            </w:r>
            <w:r/>
          </w:p>
          <w:p>
            <w:pPr>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（4）系统需具备诊后管理模块，自动生成诊后任务，包括异常待追溯、接诊待随访、待随访列表、随访待同步、待转诊、待召回通知等内容。</w:t>
            </w:r>
            <w:r/>
          </w:p>
          <w:p>
            <w:pPr>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（5）系统需具备转诊管理模块，展示转诊列表，可以查看患者转诊详情，展示转诊单、就诊记录等内容，可以新增转诊。</w:t>
            </w:r>
            <w:r/>
          </w:p>
          <w:p>
            <w:pPr>
              <w:jc w:val="left"/>
              <w:spacing w:line="312" w:lineRule="auto"/>
              <w:rPr>
                <w:rFonts w:ascii="宋体" w:hAnsi="宋体" w:eastAsia="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（视频演示功能每</w:t>
            </w:r>
            <w:r>
              <w:rPr>
                <w:rFonts w:hint="eastAsia" w:ascii="宋体" w:hAnsi="宋体" w:cs="宋体"/>
                <w:b/>
                <w:bCs/>
                <w:color w:val="000000" w:themeColor="text1"/>
                <w:szCs w:val="21"/>
                <w:lang w:val="en-US" w:eastAsia="zh-CN"/>
                <w14:textFill>
                  <w14:solidFill>
                    <w14:schemeClr w14:val="tx1"/>
                  </w14:solidFill>
                </w14:textFill>
              </w:rPr>
              <w:t xml:space="preserve">成功</w:t>
            </w:r>
            <w:r>
              <w:rPr>
                <w:rFonts w:hint="eastAsia" w:ascii="宋体" w:hAnsi="宋体" w:cs="宋体"/>
                <w:b/>
                <w:bCs/>
                <w:color w:val="000000" w:themeColor="text1"/>
                <w:szCs w:val="21"/>
                <w14:textFill>
                  <w14:solidFill>
                    <w14:schemeClr w14:val="tx1"/>
                  </w14:solidFill>
                </w14:textFill>
              </w:rPr>
              <w:t xml:space="preserve">演示一项得1分，满分5分）</w:t>
            </w:r>
            <w:r/>
          </w:p>
        </w:tc>
      </w:tr>
      <w:tr>
        <w:trPr>
          <w:jc w:val="center"/>
          <w:trHeight w:val="23"/>
        </w:trPr>
        <w:tc>
          <w:tcPr>
            <w:tcW w:w="1283" w:type="dxa"/>
            <w:vAlign w:val="center"/>
            <w:vMerge w:val="continue"/>
            <w:textDirection w:val="lrTb"/>
            <w:noWrap w:val="false"/>
          </w:tcPr>
          <w:p>
            <w:pPr>
              <w:jc w:val="cente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tc>
        <w:tc>
          <w:tcPr>
            <w:gridSpan w:val="2"/>
            <w:tcBorders>
              <w:bottom w:val="none" w:color="000000" w:sz="4" w:space="0"/>
            </w:tcBorders>
            <w:tcW w:w="7297" w:type="dxa"/>
            <w:vAlign w:val="center"/>
            <w:textDirection w:val="lrTb"/>
            <w:noWrap w:val="false"/>
          </w:tcPr>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rPr>
                <w:rFonts w:ascii="宋体" w:hAnsi="宋体" w:cs="宋体"/>
                <w:b/>
                <w:bCs/>
                <w:color w:val="000000" w:themeColor="text1"/>
                <w:szCs w:val="21"/>
                <w14:textFill>
                  <w14:solidFill>
                    <w14:schemeClr w14:val="tx1"/>
                  </w14:solidFill>
                </w14:textFill>
              </w:rPr>
              <w:t xml:space="preserve">广陵区医防融合数据监管治理系统</w:t>
            </w:r>
            <w:r>
              <w:rPr>
                <w:rFonts w:hint="eastAsia" w:ascii="宋体" w:hAnsi="宋体" w:eastAsia="宋体" w:cs="宋体"/>
                <w:b/>
                <w:bCs/>
                <w:color w:val="000000" w:themeColor="text1"/>
                <w:szCs w:val="21"/>
                <w14:textFill>
                  <w14:solidFill>
                    <w14:schemeClr w14:val="tx1"/>
                  </w14:solidFill>
                </w14:textFill>
              </w:rPr>
              <w:t xml:space="preserve">内容包括</w:t>
            </w:r>
            <w:r>
              <w:rPr>
                <w:rFonts w:hint="eastAsia" w:ascii="宋体" w:hAnsi="宋体" w:cs="宋体"/>
                <w:b/>
                <w:bCs/>
                <w:color w:val="000000" w:themeColor="text1"/>
                <w:szCs w:val="21"/>
                <w14:textFill>
                  <w14:solidFill>
                    <w14:schemeClr w14:val="tx1"/>
                  </w14:solidFill>
                </w14:textFill>
              </w:rPr>
              <w:t xml:space="preserve">：</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系统需具备两慢人群统计模块：包括纳管患者数、纳管就诊占比、规范管理率、控制率、数据来源、控制率变化趋势分析、高血压管理等级、糖尿病管理等级、两慢病随访情况、并发症分布、患者人数、</w:t>
            </w:r>
            <w:r>
              <w:rPr>
                <w:rFonts w:ascii="宋体" w:hAnsi="宋体" w:cs="宋体"/>
                <w:color w:val="000000" w:themeColor="text1"/>
                <w:szCs w:val="21"/>
                <w14:textFill>
                  <w14:solidFill>
                    <w14:schemeClr w14:val="tx1"/>
                  </w14:solidFill>
                </w14:textFill>
              </w:rPr>
              <w:t xml:space="preserve">ASCVD</w:t>
            </w:r>
            <w:r>
              <w:rPr>
                <w:rFonts w:hint="eastAsia" w:ascii="宋体" w:hAnsi="宋体" w:cs="宋体"/>
                <w:color w:val="000000" w:themeColor="text1"/>
                <w:szCs w:val="21"/>
                <w14:textFill>
                  <w14:solidFill>
                    <w14:schemeClr w14:val="tx1"/>
                  </w14:solidFill>
                </w14:textFill>
              </w:rPr>
              <w:t xml:space="preserve">风险分级、疾病风险分层、生活方式危险因素等数据统计及图表展示。</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(2)系统需具备两慢病管理指数模块：包括管理指数及趋势、管理过程得分及详情页、管理结果得分及详情页，提供机构排名和医生排名功能。</w:t>
            </w:r>
            <w:r/>
          </w:p>
          <w:p>
            <w:pPr>
              <w:spacing w:line="360" w:lineRule="auto"/>
              <w:rPr>
                <w:rFonts w:hint="eastAsia" w:ascii="宋体" w:hAnsi="宋体" w:cs="宋体" w:eastAsiaTheme="minorEastAsia"/>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(3)系统需具备两慢病任务量统计，提供各个路径节点执行情况的完成率、应完成、已完成、未完成等数据统计，支持查看和导出</w:t>
            </w:r>
            <w:r>
              <w:rPr>
                <w:rFonts w:hint="eastAsia" w:ascii="宋体" w:hAnsi="宋体" w:cs="宋体"/>
                <w:color w:val="000000" w:themeColor="text1"/>
                <w:szCs w:val="21"/>
                <w:lang w:eastAsia="zh-CN"/>
                <w14:textFill>
                  <w14:solidFill>
                    <w14:schemeClr w14:val="tx1"/>
                  </w14:solidFill>
                </w14:textFill>
              </w:rPr>
              <w:t xml:space="preserve">。</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rPr>
                <w:rFonts w:hint="eastAsia" w:ascii="宋体" w:hAnsi="宋体" w:cs="宋体"/>
                <w:color w:val="000000" w:themeColor="text1"/>
                <w:szCs w:val="21"/>
                <w14:textFill>
                  <w14:solidFill>
                    <w14:schemeClr w14:val="tx1"/>
                  </w14:solidFill>
                </w14:textFill>
              </w:rPr>
              <w:t xml:space="preserve">(4)</w:t>
            </w:r>
            <w:r/>
            <w:r>
              <w:rPr>
                <w:rFonts w:hint="eastAsia" w:ascii="宋体" w:hAnsi="宋体" w:cs="宋体"/>
                <w:color w:val="000000" w:themeColor="text1"/>
                <w:szCs w:val="21"/>
                <w14:textFill>
                  <w14:solidFill>
                    <w14:schemeClr w14:val="tx1"/>
                  </w14:solidFill>
                </w14:textFill>
              </w:rPr>
            </w:r>
            <w:r>
              <w:rPr>
                <w:rFonts w:hint="eastAsia" w:ascii="宋体" w:hAnsi="宋体" w:cs="宋体"/>
                <w:color w:val="000000" w:themeColor="text1"/>
                <w:szCs w:val="21"/>
                <w14:textFill>
                  <w14:solidFill>
                    <w14:schemeClr w14:val="tx1"/>
                  </w14:solidFill>
                </w14:textFill>
              </w:rPr>
              <w:t xml:space="preserve">系统需具备工作量统计，提供各个路径节点执行情况的全部、有效、无效等数据统计，支持查看和导出。</w:t>
            </w:r>
            <w:r/>
          </w:p>
          <w:p>
            <w:pPr>
              <w:spacing w:line="360" w:lineRule="auto"/>
              <w:rPr>
                <w:rFonts w:hint="eastAsia" w:ascii="宋体" w:hAnsi="宋体" w:cs="宋体" w:eastAsiaTheme="minorEastAsia"/>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rPr>
                <w:rFonts w:hint="eastAsia" w:ascii="宋体" w:hAnsi="宋体" w:cs="宋体"/>
                <w:color w:val="000000" w:themeColor="text1"/>
                <w:szCs w:val="21"/>
                <w14:textFill>
                  <w14:solidFill>
                    <w14:schemeClr w14:val="tx1"/>
                  </w14:solidFill>
                </w14:textFill>
              </w:rPr>
              <w:t xml:space="preserve">(5)</w:t>
            </w:r>
            <w:r/>
            <w:r>
              <w:rPr>
                <w:rFonts w:hint="eastAsia" w:ascii="宋体" w:hAnsi="宋体" w:cs="宋体"/>
                <w:color w:val="000000" w:themeColor="text1"/>
                <w:szCs w:val="21"/>
                <w14:textFill>
                  <w14:solidFill>
                    <w14:schemeClr w14:val="tx1"/>
                  </w14:solidFill>
                </w14:textFill>
              </w:rPr>
              <w:t xml:space="preserve">系统需具备多病公管大屏模块，展示患者人口构成、风险因素排名、并发症分布、纳管患者总数、合并随访人次数、多病公管综合达标情况、管理等级分布达标率等内容展示</w:t>
            </w:r>
            <w:r>
              <w:rPr>
                <w:rFonts w:hint="eastAsia" w:ascii="宋体" w:hAnsi="宋体" w:cs="宋体"/>
                <w:color w:val="000000" w:themeColor="text1"/>
                <w:szCs w:val="21"/>
                <w:lang w:eastAsia="zh-CN"/>
                <w14:textFill>
                  <w14:solidFill>
                    <w14:schemeClr w14:val="tx1"/>
                  </w14:solidFill>
                </w14:textFill>
              </w:rPr>
              <w:t xml:space="preserve">。</w:t>
            </w:r>
            <w:r/>
          </w:p>
        </w:tc>
      </w:tr>
      <w:tr>
        <w:trPr>
          <w:jc w:val="center"/>
          <w:trHeight w:val="23"/>
        </w:trPr>
        <w:tc>
          <w:tcPr>
            <w:tcW w:w="1283" w:type="dxa"/>
            <w:vAlign w:val="center"/>
            <w:vMerge w:val="continue"/>
            <w:textDirection w:val="lrTb"/>
            <w:noWrap w:val="false"/>
          </w:tcPr>
          <w:p>
            <w:pPr>
              <w:jc w:val="cente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tc>
        <w:tc>
          <w:tcPr>
            <w:gridSpan w:val="2"/>
            <w:tcBorders>
              <w:top w:val="none" w:color="000000" w:sz="4" w:space="0"/>
            </w:tcBorders>
            <w:tcW w:w="7297" w:type="dxa"/>
            <w:vAlign w:val="center"/>
            <w:textDirection w:val="lrTb"/>
            <w:noWrap w:val="false"/>
          </w:tcPr>
          <w:p>
            <w:pPr>
              <w:spacing w:line="360" w:lineRule="auto"/>
              <w:rPr>
                <w:rFonts w:eastAsia="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（视频演示功能每</w:t>
            </w:r>
            <w:r>
              <w:rPr>
                <w:rFonts w:hint="eastAsia" w:ascii="宋体" w:hAnsi="宋体" w:cs="宋体"/>
                <w:b/>
                <w:bCs/>
                <w:color w:val="000000" w:themeColor="text1"/>
                <w:szCs w:val="21"/>
                <w:lang w:val="en-US" w:eastAsia="zh-CN"/>
                <w14:textFill>
                  <w14:solidFill>
                    <w14:schemeClr w14:val="tx1"/>
                  </w14:solidFill>
                </w14:textFill>
              </w:rPr>
              <w:t xml:space="preserve">成功</w:t>
            </w:r>
            <w:r>
              <w:rPr>
                <w:rFonts w:hint="eastAsia" w:ascii="宋体" w:hAnsi="宋体" w:cs="宋体"/>
                <w:b/>
                <w:bCs/>
                <w:color w:val="000000" w:themeColor="text1"/>
                <w:szCs w:val="21"/>
                <w14:textFill>
                  <w14:solidFill>
                    <w14:schemeClr w14:val="tx1"/>
                  </w14:solidFill>
                </w14:textFill>
              </w:rPr>
              <w:t xml:space="preserve">演示一项得1分，满分5分）</w:t>
            </w:r>
            <w:r/>
          </w:p>
        </w:tc>
      </w:tr>
      <w:tr>
        <w:trPr>
          <w:jc w:val="center"/>
          <w:trHeight w:val="23"/>
        </w:trPr>
        <w:tc>
          <w:tcPr>
            <w:tcW w:w="1283" w:type="dxa"/>
            <w:vAlign w:val="center"/>
            <w:vMerge w:val="continue"/>
            <w:textDirection w:val="lrTb"/>
            <w:noWrap w:val="false"/>
          </w:tcPr>
          <w:p>
            <w:pPr>
              <w:jc w:val="cente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tc>
        <w:tc>
          <w:tcPr>
            <w:gridSpan w:val="2"/>
            <w:tcW w:w="7297" w:type="dxa"/>
            <w:vAlign w:val="center"/>
            <w:textDirection w:val="lrTb"/>
            <w:noWrap w:val="false"/>
          </w:tcPr>
          <w:p>
            <w:pPr>
              <w:spacing w:line="36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注：投标人需按照招标文件规定的演示内容制作演示视频文件，视频文件的格式为*.mp4或*.avi，投标人须将视频文件分段压缩为*.zip文件上传至苏采云平台，视频以专项命名（单个文件不得大于50M，所有文件总共不得大于300M）。</w:t>
            </w:r>
            <w:r/>
          </w:p>
          <w:p>
            <w:pPr>
              <w:spacing w:line="360" w:lineRule="exact"/>
              <w:rPr>
                <w:rFonts w:ascii="宋体" w:hAnsi="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具体演示视频上传操作请详细阅读《江苏省政府采购管理交易系统（苏采云）供应商操作指南》</w:t>
            </w:r>
            <w:r>
              <w:rPr>
                <w:rFonts w:hint="eastAsia" w:ascii="宋体" w:hAnsi="宋体" w:eastAsia="宋体" w:cs="宋体"/>
                <w:b/>
                <w:bCs/>
                <w:color w:val="000000" w:themeColor="text1"/>
                <w:szCs w:val="21"/>
                <w:lang w:eastAsia="zh-CN"/>
                <w14:textFill>
                  <w14:solidFill>
                    <w14:schemeClr w14:val="tx1"/>
                  </w14:solidFill>
                </w14:textFill>
              </w:rPr>
              <w:t xml:space="preserve">，</w:t>
            </w:r>
            <w:r>
              <w:rPr>
                <w:rFonts w:hint="eastAsia" w:ascii="宋体" w:hAnsi="宋体" w:eastAsia="宋体" w:cs="宋体"/>
                <w:b/>
                <w:bCs/>
                <w:color w:val="000000" w:themeColor="text1"/>
                <w:szCs w:val="21"/>
                <w14:textFill>
                  <w14:solidFill>
                    <w14:schemeClr w14:val="tx1"/>
                  </w14:solidFill>
                </w14:textFill>
              </w:rPr>
              <w:t xml:space="preserve">上传的演示视频将作为投标文件的组成部分，系统功能演示视频需采用实际业务系统或者系统设计原型（Demo），单个专项讲解视频建议不超过2分钟，视频时长总计不超过15分钟</w:t>
            </w:r>
            <w:r>
              <w:rPr>
                <w:rFonts w:hint="eastAsia" w:ascii="宋体" w:hAnsi="宋体" w:eastAsia="宋体" w:cs="宋体"/>
                <w:b/>
                <w:bCs/>
                <w:color w:val="000000" w:themeColor="text1"/>
                <w:szCs w:val="21"/>
                <w:lang w:eastAsia="zh-CN"/>
                <w14:textFill>
                  <w14:solidFill>
                    <w14:schemeClr w14:val="tx1"/>
                  </w14:solidFill>
                </w14:textFill>
              </w:rPr>
              <w:t xml:space="preserve">，</w:t>
            </w:r>
            <w:r>
              <w:rPr>
                <w:rFonts w:hint="eastAsia" w:ascii="宋体" w:hAnsi="宋体" w:eastAsia="宋体" w:cs="宋体"/>
                <w:b/>
                <w:bCs/>
                <w:color w:val="000000" w:themeColor="text1"/>
                <w:szCs w:val="21"/>
                <w:lang w:val="en-US" w:eastAsia="zh-CN"/>
                <w14:textFill>
                  <w14:solidFill>
                    <w14:schemeClr w14:val="tx1"/>
                  </w14:solidFill>
                </w14:textFill>
              </w:rPr>
              <w:t xml:space="preserve">不提供的不得分</w:t>
            </w:r>
            <w:r>
              <w:rPr>
                <w:rFonts w:hint="eastAsia" w:ascii="宋体" w:hAnsi="宋体" w:eastAsia="宋体" w:cs="宋体"/>
                <w:b/>
                <w:bCs/>
                <w:color w:val="000000" w:themeColor="text1"/>
                <w:szCs w:val="21"/>
                <w14:textFill>
                  <w14:solidFill>
                    <w14:schemeClr w14:val="tx1"/>
                  </w14:solidFill>
                </w14:textFill>
              </w:rPr>
              <w:t xml:space="preserve">。</w:t>
            </w:r>
            <w:r/>
          </w:p>
        </w:tc>
      </w:tr>
      <w:tr>
        <w:trPr>
          <w:jc w:val="center"/>
          <w:trHeight w:val="1197"/>
        </w:trPr>
        <w:tc>
          <w:tcPr>
            <w:tcW w:w="1283" w:type="dxa"/>
            <w:vAlign w:val="center"/>
            <w:textDirection w:val="lrTb"/>
            <w:noWrap w:val="false"/>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企业业绩</w:t>
            </w:r>
            <w:r/>
          </w:p>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
                <w:color w:val="000000" w:themeColor="text1"/>
                <w:szCs w:val="21"/>
                <w:lang w:val="en-US" w:eastAsia="zh-CN"/>
                <w14:textFill>
                  <w14:solidFill>
                    <w14:schemeClr w14:val="tx1"/>
                  </w14:solidFill>
                </w14:textFill>
              </w:rPr>
              <w:t xml:space="preserve">6</w:t>
            </w:r>
            <w:r>
              <w:rPr>
                <w:rFonts w:hint="eastAsia" w:ascii="宋体" w:hAnsi="宋体" w:cs="宋体"/>
                <w:b/>
                <w:color w:val="000000" w:themeColor="text1"/>
                <w:szCs w:val="21"/>
                <w14:textFill>
                  <w14:solidFill>
                    <w14:schemeClr w14:val="tx1"/>
                  </w14:solidFill>
                </w14:textFill>
              </w:rPr>
              <w:t xml:space="preserve">分）</w:t>
            </w:r>
            <w:r/>
          </w:p>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gridSpan w:val="2"/>
            <w:tcW w:w="7297" w:type="dxa"/>
            <w:vAlign w:val="center"/>
            <w:textDirection w:val="lrTb"/>
            <w:noWrap w:val="false"/>
          </w:tcPr>
          <w:p>
            <w:pPr>
              <w:widowControl/>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202</w:t>
            </w:r>
            <w:r>
              <w:rPr>
                <w:rFonts w:hint="eastAsia" w:ascii="宋体" w:hAnsi="宋体" w:eastAsia="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年1月1日以来，供应商承担过类似项目业绩的，</w:t>
            </w:r>
            <w:r>
              <w:rPr>
                <w:rFonts w:hint="eastAsia" w:ascii="宋体" w:hAnsi="宋体"/>
                <w:color w:val="000000" w:themeColor="text1"/>
                <w:szCs w:val="21"/>
                <w:lang w:val="en-US" w:eastAsia="zh-CN"/>
                <w14:textFill>
                  <w14:solidFill>
                    <w14:schemeClr w14:val="tx1"/>
                  </w14:solidFill>
                </w14:textFill>
              </w:rPr>
              <w:t xml:space="preserve">每提供一个</w:t>
            </w:r>
            <w:r>
              <w:rPr>
                <w:rFonts w:hint="eastAsia" w:ascii="宋体" w:hAnsi="宋体"/>
                <w:color w:val="000000" w:themeColor="text1"/>
                <w:szCs w:val="21"/>
                <w14:textFill>
                  <w14:solidFill>
                    <w14:schemeClr w14:val="tx1"/>
                  </w14:solidFill>
                </w14:textFill>
              </w:rPr>
              <w:t xml:space="preserve">得</w:t>
            </w:r>
            <w:r>
              <w:rPr>
                <w:rFonts w:hint="eastAsia" w:ascii="宋体" w:hAnsi="宋体"/>
                <w:color w:val="000000" w:themeColor="text1"/>
                <w:szCs w:val="21"/>
                <w:lang w:val="en-US" w:eastAsia="zh-CN"/>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分，</w:t>
            </w:r>
            <w:r>
              <w:rPr>
                <w:rFonts w:hint="eastAsia" w:ascii="宋体" w:hAnsi="宋体"/>
                <w:color w:val="000000" w:themeColor="text1"/>
                <w:szCs w:val="21"/>
                <w:lang w:val="en-US" w:eastAsia="zh-CN"/>
                <w14:textFill>
                  <w14:solidFill>
                    <w14:schemeClr w14:val="tx1"/>
                  </w14:solidFill>
                </w14:textFill>
              </w:rPr>
              <w:t xml:space="preserve">最高6</w:t>
            </w:r>
            <w:r>
              <w:rPr>
                <w:rFonts w:hint="eastAsia" w:ascii="宋体" w:hAnsi="宋体"/>
                <w:color w:val="000000" w:themeColor="text1"/>
                <w:szCs w:val="21"/>
                <w14:textFill>
                  <w14:solidFill>
                    <w14:schemeClr w14:val="tx1"/>
                  </w14:solidFill>
                </w14:textFill>
              </w:rPr>
              <w:t xml:space="preserve">分</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不提供不得分</w:t>
            </w:r>
            <w:r>
              <w:rPr>
                <w:rFonts w:hint="eastAsia" w:ascii="宋体" w:hAnsi="宋体"/>
                <w:color w:val="000000" w:themeColor="text1"/>
                <w:szCs w:val="21"/>
                <w14:textFill>
                  <w14:solidFill>
                    <w14:schemeClr w14:val="tx1"/>
                  </w14:solidFill>
                </w14:textFill>
              </w:rPr>
              <w:t xml:space="preserve">。</w:t>
            </w:r>
            <w:r>
              <w:rPr>
                <w:rFonts w:hint="eastAsia" w:ascii="宋体" w:hAnsi="宋体"/>
                <w:b/>
                <w:bCs/>
                <w:color w:val="000000" w:themeColor="text1"/>
                <w:szCs w:val="21"/>
                <w14:textFill>
                  <w14:solidFill>
                    <w14:schemeClr w14:val="tx1"/>
                  </w14:solidFill>
                </w14:textFill>
              </w:rPr>
              <w:t xml:space="preserve">（业绩时间以合同签订时间为准，提供合同原件扫描上传）</w:t>
            </w:r>
            <w:r/>
          </w:p>
        </w:tc>
      </w:tr>
      <w:tr>
        <w:trPr>
          <w:jc w:val="center"/>
          <w:trHeight w:val="2393"/>
        </w:trPr>
        <w:tc>
          <w:tcPr>
            <w:tcW w:w="1283" w:type="dxa"/>
            <w:vAlign w:val="center"/>
            <w:textDirection w:val="lrTb"/>
            <w:noWrap w:val="false"/>
          </w:tcPr>
          <w:p>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企业实力（</w:t>
            </w:r>
            <w:r>
              <w:rPr>
                <w:rFonts w:hint="eastAsia" w:ascii="宋体" w:hAnsi="宋体" w:eastAsia="宋体" w:cs="宋体"/>
                <w:b/>
                <w:bCs/>
                <w:color w:val="000000" w:themeColor="text1"/>
                <w:szCs w:val="21"/>
                <w:lang w:val="en-US" w:eastAsia="zh-CN"/>
                <w14:textFill>
                  <w14:solidFill>
                    <w14:schemeClr w14:val="tx1"/>
                  </w14:solidFill>
                </w14:textFill>
              </w:rPr>
              <w:t xml:space="preserve">4</w:t>
            </w:r>
            <w:r>
              <w:rPr>
                <w:rFonts w:hint="eastAsia" w:ascii="宋体" w:hAnsi="宋体" w:eastAsia="宋体" w:cs="宋体"/>
                <w:b/>
                <w:bCs/>
                <w:color w:val="000000" w:themeColor="text1"/>
                <w:szCs w:val="21"/>
                <w14:textFill>
                  <w14:solidFill>
                    <w14:schemeClr w14:val="tx1"/>
                  </w14:solidFill>
                </w14:textFill>
              </w:rPr>
              <w:t xml:space="preserve">分）</w:t>
            </w:r>
            <w:r/>
          </w:p>
        </w:tc>
        <w:tc>
          <w:tcPr>
            <w:gridSpan w:val="2"/>
            <w:tcW w:w="7297" w:type="dxa"/>
            <w:vAlign w:val="center"/>
            <w:textDirection w:val="lrTb"/>
            <w:noWrap w:val="false"/>
          </w:tcPr>
          <w:p>
            <w:pP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1、投标人</w:t>
            </w:r>
            <w:r>
              <w:rPr>
                <w:rFonts w:hint="eastAsia" w:ascii="宋体" w:hAnsi="宋体" w:eastAsia="宋体" w:cs="宋体"/>
                <w:color w:val="000000" w:themeColor="text1"/>
                <w:szCs w:val="21"/>
                <w:lang w:bidi="ar"/>
                <w14:textFill>
                  <w14:solidFill>
                    <w14:schemeClr w14:val="tx1"/>
                  </w14:solidFill>
                </w14:textFill>
              </w:rPr>
              <w:t xml:space="preserve">拟派项目经理（1名）：具有软件设计师证书</w:t>
            </w:r>
            <w:r>
              <w:rPr>
                <w:rFonts w:hint="eastAsia" w:ascii="宋体" w:hAnsi="宋体" w:eastAsia="宋体" w:cs="宋体"/>
                <w:color w:val="000000" w:themeColor="text1"/>
                <w:szCs w:val="21"/>
                <w:lang w:eastAsia="zh-CN" w:bidi="ar"/>
                <w14:textFill>
                  <w14:solidFill>
                    <w14:schemeClr w14:val="tx1"/>
                  </w14:solidFill>
                </w14:textFill>
              </w:rPr>
              <w:t xml:space="preserve">，</w:t>
            </w:r>
            <w:r>
              <w:rPr>
                <w:rFonts w:hint="eastAsia" w:ascii="宋体" w:hAnsi="宋体" w:eastAsia="宋体" w:cs="宋体"/>
                <w:color w:val="000000" w:themeColor="text1"/>
                <w:szCs w:val="21"/>
                <w:lang w:bidi="ar"/>
                <w14:textFill>
                  <w14:solidFill>
                    <w14:schemeClr w14:val="tx1"/>
                  </w14:solidFill>
                </w14:textFill>
              </w:rPr>
              <w:t xml:space="preserve">中级</w:t>
            </w:r>
            <w:r>
              <w:rPr>
                <w:rFonts w:hint="eastAsia" w:ascii="宋体" w:hAnsi="宋体" w:eastAsia="宋体" w:cs="宋体"/>
                <w:color w:val="000000" w:themeColor="text1"/>
                <w:szCs w:val="21"/>
                <w:lang w:val="en-US" w:eastAsia="zh-CN" w:bidi="ar"/>
                <w14:textFill>
                  <w14:solidFill>
                    <w14:schemeClr w14:val="tx1"/>
                  </w14:solidFill>
                </w14:textFill>
              </w:rPr>
              <w:t xml:space="preserve">资格的</w:t>
            </w:r>
            <w:r>
              <w:rPr>
                <w:rFonts w:hint="eastAsia" w:ascii="宋体" w:hAnsi="宋体" w:eastAsia="宋体" w:cs="宋体"/>
                <w:color w:val="000000" w:themeColor="text1"/>
                <w:szCs w:val="21"/>
                <w:lang w:bidi="ar"/>
                <w14:textFill>
                  <w14:solidFill>
                    <w14:schemeClr w14:val="tx1"/>
                  </w14:solidFill>
                </w14:textFill>
              </w:rPr>
              <w:t xml:space="preserve">得0.5分</w:t>
            </w:r>
            <w:r>
              <w:rPr>
                <w:rFonts w:hint="eastAsia" w:ascii="宋体" w:hAnsi="宋体" w:eastAsia="宋体" w:cs="宋体"/>
                <w:color w:val="000000" w:themeColor="text1"/>
                <w:szCs w:val="21"/>
                <w:lang w:eastAsia="zh-CN" w:bidi="ar"/>
                <w14:textFill>
                  <w14:solidFill>
                    <w14:schemeClr w14:val="tx1"/>
                  </w14:solidFill>
                </w14:textFill>
              </w:rPr>
              <w:t xml:space="preserve">，</w:t>
            </w:r>
            <w:r>
              <w:rPr>
                <w:rFonts w:hint="eastAsia" w:ascii="宋体" w:hAnsi="宋体" w:eastAsia="宋体" w:cs="宋体"/>
                <w:color w:val="000000" w:themeColor="text1"/>
                <w:szCs w:val="21"/>
                <w:lang w:bidi="ar"/>
                <w14:textFill>
                  <w14:solidFill>
                    <w14:schemeClr w14:val="tx1"/>
                  </w14:solidFill>
                </w14:textFill>
              </w:rPr>
              <w:t xml:space="preserve">高级资格的得1分，具有人工智能应用工程师</w:t>
            </w:r>
            <w:r>
              <w:rPr>
                <w:rFonts w:hint="eastAsia" w:ascii="宋体" w:hAnsi="宋体" w:eastAsia="宋体" w:cs="宋体"/>
                <w:color w:val="000000" w:themeColor="text1"/>
                <w:szCs w:val="21"/>
                <w:lang w:eastAsia="zh-CN" w:bidi="ar"/>
                <w14:textFill>
                  <w14:solidFill>
                    <w14:schemeClr w14:val="tx1"/>
                  </w14:solidFill>
                </w14:textFill>
              </w:rPr>
              <w:t xml:space="preserve">，</w:t>
            </w:r>
            <w:r>
              <w:rPr>
                <w:rFonts w:hint="eastAsia" w:ascii="宋体" w:hAnsi="宋体" w:eastAsia="宋体" w:cs="宋体"/>
                <w:color w:val="000000" w:themeColor="text1"/>
                <w:szCs w:val="21"/>
                <w:lang w:bidi="ar"/>
                <w14:textFill>
                  <w14:solidFill>
                    <w14:schemeClr w14:val="tx1"/>
                  </w14:solidFill>
                </w14:textFill>
              </w:rPr>
              <w:t xml:space="preserve">中级</w:t>
            </w:r>
            <w:r>
              <w:rPr>
                <w:rFonts w:hint="eastAsia" w:ascii="宋体" w:hAnsi="宋体" w:eastAsia="宋体" w:cs="宋体"/>
                <w:color w:val="000000" w:themeColor="text1"/>
                <w:szCs w:val="21"/>
                <w:lang w:val="en-US" w:eastAsia="zh-CN" w:bidi="ar"/>
                <w14:textFill>
                  <w14:solidFill>
                    <w14:schemeClr w14:val="tx1"/>
                  </w14:solidFill>
                </w14:textFill>
              </w:rPr>
              <w:t xml:space="preserve">资格的</w:t>
            </w:r>
            <w:r>
              <w:rPr>
                <w:rFonts w:hint="eastAsia" w:ascii="宋体" w:hAnsi="宋体" w:eastAsia="宋体" w:cs="宋体"/>
                <w:color w:val="000000" w:themeColor="text1"/>
                <w:szCs w:val="21"/>
                <w:lang w:bidi="ar"/>
                <w14:textFill>
                  <w14:solidFill>
                    <w14:schemeClr w14:val="tx1"/>
                  </w14:solidFill>
                </w14:textFill>
              </w:rPr>
              <w:t xml:space="preserve">得0.5分</w:t>
            </w:r>
            <w:r>
              <w:rPr>
                <w:rFonts w:hint="eastAsia" w:ascii="宋体" w:hAnsi="宋体" w:eastAsia="宋体" w:cs="宋体"/>
                <w:color w:val="000000" w:themeColor="text1"/>
                <w:szCs w:val="21"/>
                <w:lang w:eastAsia="zh-CN" w:bidi="ar"/>
                <w14:textFill>
                  <w14:solidFill>
                    <w14:schemeClr w14:val="tx1"/>
                  </w14:solidFill>
                </w14:textFill>
              </w:rPr>
              <w:t xml:space="preserve">，</w:t>
            </w:r>
            <w:r>
              <w:rPr>
                <w:rFonts w:hint="eastAsia" w:ascii="宋体" w:hAnsi="宋体" w:eastAsia="宋体" w:cs="宋体"/>
                <w:color w:val="000000" w:themeColor="text1"/>
                <w:szCs w:val="21"/>
                <w:lang w:bidi="ar"/>
                <w14:textFill>
                  <w14:solidFill>
                    <w14:schemeClr w14:val="tx1"/>
                  </w14:solidFill>
                </w14:textFill>
              </w:rPr>
              <w:t xml:space="preserve">高级资格的得1分的得1分，满分2分。</w:t>
            </w:r>
            <w:r/>
          </w:p>
          <w:p>
            <w:pPr>
              <w:widowControl/>
              <w:rPr>
                <w:rFonts w:ascii="宋体" w:hAnsi="宋体" w:cs="宋体"/>
                <w:color w:val="000000" w:themeColor="text1"/>
                <w:szCs w:val="21"/>
                <w:lang w:bidi="ar"/>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（提供证书扫描件及投标人为其缴纳近三个月任意一个社保证明材料扫描上传）</w:t>
            </w:r>
            <w:r/>
          </w:p>
          <w:p>
            <w:pP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2、投标人拟派项目技术团队人员具有：</w:t>
            </w:r>
            <w:r>
              <w:rPr>
                <w:rFonts w:hint="eastAsia" w:ascii="宋体" w:hAnsi="宋体" w:cs="宋体"/>
                <w:color w:val="000000" w:themeColor="text1"/>
                <w:szCs w:val="21"/>
                <w:lang w:val="en-US" w:eastAsia="zh-CN" w:bidi="ar"/>
                <w14:textFill>
                  <w14:solidFill>
                    <w14:schemeClr w14:val="tx1"/>
                  </w14:solidFill>
                </w14:textFill>
              </w:rPr>
              <w:t xml:space="preserve">具有</w:t>
            </w:r>
            <w:r>
              <w:rPr>
                <w:rFonts w:hint="eastAsia" w:ascii="宋体" w:hAnsi="宋体" w:cs="宋体"/>
                <w:color w:val="000000" w:themeColor="text1"/>
                <w:szCs w:val="21"/>
                <w:lang w:bidi="ar"/>
                <w14:textFill>
                  <w14:solidFill>
                    <w14:schemeClr w14:val="tx1"/>
                  </w14:solidFill>
                </w14:textFill>
              </w:rPr>
              <w:t xml:space="preserve">系统架构设计师</w:t>
            </w:r>
            <w:r>
              <w:rPr>
                <w:rFonts w:hint="eastAsia" w:ascii="宋体" w:hAnsi="宋体" w:cs="宋体"/>
                <w:color w:val="000000" w:themeColor="text1"/>
                <w:szCs w:val="21"/>
                <w:lang w:eastAsia="zh-CN" w:bidi="ar"/>
                <w14:textFill>
                  <w14:solidFill>
                    <w14:schemeClr w14:val="tx1"/>
                  </w14:solidFill>
                </w14:textFill>
              </w:rPr>
              <w:t xml:space="preserve">，</w:t>
            </w:r>
            <w:r>
              <w:rPr>
                <w:rFonts w:hint="eastAsia" w:ascii="宋体" w:hAnsi="宋体" w:eastAsia="宋体" w:cs="宋体"/>
                <w:color w:val="000000" w:themeColor="text1"/>
                <w:szCs w:val="21"/>
                <w:lang w:bidi="ar"/>
                <w14:textFill>
                  <w14:solidFill>
                    <w14:schemeClr w14:val="tx1"/>
                  </w14:solidFill>
                </w14:textFill>
              </w:rPr>
              <w:t xml:space="preserve">中级</w:t>
            </w:r>
            <w:r>
              <w:rPr>
                <w:rFonts w:hint="eastAsia" w:ascii="宋体" w:hAnsi="宋体" w:eastAsia="宋体" w:cs="宋体"/>
                <w:color w:val="000000" w:themeColor="text1"/>
                <w:szCs w:val="21"/>
                <w:lang w:val="en-US" w:eastAsia="zh-CN" w:bidi="ar"/>
                <w14:textFill>
                  <w14:solidFill>
                    <w14:schemeClr w14:val="tx1"/>
                  </w14:solidFill>
                </w14:textFill>
              </w:rPr>
              <w:t xml:space="preserve">资格的</w:t>
            </w:r>
            <w:r>
              <w:rPr>
                <w:rFonts w:hint="eastAsia" w:ascii="宋体" w:hAnsi="宋体" w:eastAsia="宋体" w:cs="宋体"/>
                <w:color w:val="000000" w:themeColor="text1"/>
                <w:szCs w:val="21"/>
                <w:lang w:bidi="ar"/>
                <w14:textFill>
                  <w14:solidFill>
                    <w14:schemeClr w14:val="tx1"/>
                  </w14:solidFill>
                </w14:textFill>
              </w:rPr>
              <w:t xml:space="preserve">得0.5分</w:t>
            </w:r>
            <w:r>
              <w:rPr>
                <w:rFonts w:hint="eastAsia" w:ascii="宋体" w:hAnsi="宋体" w:eastAsia="宋体" w:cs="宋体"/>
                <w:color w:val="000000" w:themeColor="text1"/>
                <w:szCs w:val="21"/>
                <w:lang w:eastAsia="zh-CN" w:bidi="ar"/>
                <w14:textFill>
                  <w14:solidFill>
                    <w14:schemeClr w14:val="tx1"/>
                  </w14:solidFill>
                </w14:textFill>
              </w:rPr>
              <w:t xml:space="preserve">，</w:t>
            </w:r>
            <w:r>
              <w:rPr>
                <w:rFonts w:hint="eastAsia" w:ascii="宋体" w:hAnsi="宋体" w:eastAsia="宋体" w:cs="宋体"/>
                <w:color w:val="000000" w:themeColor="text1"/>
                <w:szCs w:val="21"/>
                <w:lang w:bidi="ar"/>
                <w14:textFill>
                  <w14:solidFill>
                    <w14:schemeClr w14:val="tx1"/>
                  </w14:solidFill>
                </w14:textFill>
              </w:rPr>
              <w:t xml:space="preserve">高级资格的得1分</w:t>
            </w:r>
            <w:r>
              <w:rPr>
                <w:rFonts w:hint="eastAsia" w:ascii="宋体" w:hAnsi="宋体" w:eastAsia="宋体" w:cs="宋体"/>
                <w:color w:val="000000" w:themeColor="text1"/>
                <w:szCs w:val="21"/>
                <w:lang w:eastAsia="zh-CN" w:bidi="ar"/>
                <w14:textFill>
                  <w14:solidFill>
                    <w14:schemeClr w14:val="tx1"/>
                  </w14:solidFill>
                </w14:textFill>
              </w:rPr>
              <w:t xml:space="preserve">，</w:t>
            </w:r>
            <w:r>
              <w:rPr>
                <w:rFonts w:hint="eastAsia" w:ascii="宋体" w:hAnsi="宋体" w:eastAsia="宋体" w:cs="宋体"/>
                <w:color w:val="000000" w:themeColor="text1"/>
                <w:szCs w:val="21"/>
                <w:lang w:val="en-US" w:eastAsia="zh-CN" w:bidi="ar"/>
                <w14:textFill>
                  <w14:solidFill>
                    <w14:schemeClr w14:val="tx1"/>
                  </w14:solidFill>
                </w14:textFill>
              </w:rPr>
              <w:t xml:space="preserve">具有</w:t>
            </w:r>
            <w:r>
              <w:rPr>
                <w:rFonts w:hint="eastAsia" w:ascii="宋体" w:hAnsi="宋体" w:cs="宋体"/>
                <w:color w:val="000000" w:themeColor="text1"/>
                <w:szCs w:val="21"/>
                <w:lang w:bidi="ar"/>
                <w14:textFill>
                  <w14:solidFill>
                    <w14:schemeClr w14:val="tx1"/>
                  </w14:solidFill>
                </w14:textFill>
              </w:rPr>
              <w:t xml:space="preserve">信息安全管理工程师</w:t>
            </w:r>
            <w:r>
              <w:rPr>
                <w:rFonts w:hint="eastAsia" w:ascii="宋体" w:hAnsi="宋体" w:eastAsia="宋体" w:cs="宋体"/>
                <w:color w:val="000000" w:themeColor="text1"/>
                <w:szCs w:val="21"/>
                <w:lang w:bidi="ar"/>
                <w14:textFill>
                  <w14:solidFill>
                    <w14:schemeClr w14:val="tx1"/>
                  </w14:solidFill>
                </w14:textFill>
              </w:rPr>
              <w:t xml:space="preserve">中级</w:t>
            </w:r>
            <w:r>
              <w:rPr>
                <w:rFonts w:hint="eastAsia" w:ascii="宋体" w:hAnsi="宋体" w:eastAsia="宋体" w:cs="宋体"/>
                <w:color w:val="000000" w:themeColor="text1"/>
                <w:szCs w:val="21"/>
                <w:lang w:val="en-US" w:eastAsia="zh-CN" w:bidi="ar"/>
                <w14:textFill>
                  <w14:solidFill>
                    <w14:schemeClr w14:val="tx1"/>
                  </w14:solidFill>
                </w14:textFill>
              </w:rPr>
              <w:t xml:space="preserve">资格的</w:t>
            </w:r>
            <w:r>
              <w:rPr>
                <w:rFonts w:hint="eastAsia" w:ascii="宋体" w:hAnsi="宋体" w:eastAsia="宋体" w:cs="宋体"/>
                <w:color w:val="000000" w:themeColor="text1"/>
                <w:szCs w:val="21"/>
                <w:lang w:bidi="ar"/>
                <w14:textFill>
                  <w14:solidFill>
                    <w14:schemeClr w14:val="tx1"/>
                  </w14:solidFill>
                </w14:textFill>
              </w:rPr>
              <w:t xml:space="preserve">得0.5分</w:t>
            </w:r>
            <w:r>
              <w:rPr>
                <w:rFonts w:hint="eastAsia" w:ascii="宋体" w:hAnsi="宋体" w:eastAsia="宋体" w:cs="宋体"/>
                <w:color w:val="000000" w:themeColor="text1"/>
                <w:szCs w:val="21"/>
                <w:lang w:eastAsia="zh-CN" w:bidi="ar"/>
                <w14:textFill>
                  <w14:solidFill>
                    <w14:schemeClr w14:val="tx1"/>
                  </w14:solidFill>
                </w14:textFill>
              </w:rPr>
              <w:t xml:space="preserve">，</w:t>
            </w:r>
            <w:r>
              <w:rPr>
                <w:rFonts w:hint="eastAsia" w:ascii="宋体" w:hAnsi="宋体" w:eastAsia="宋体" w:cs="宋体"/>
                <w:color w:val="000000" w:themeColor="text1"/>
                <w:szCs w:val="21"/>
                <w:lang w:bidi="ar"/>
                <w14:textFill>
                  <w14:solidFill>
                    <w14:schemeClr w14:val="tx1"/>
                  </w14:solidFill>
                </w14:textFill>
              </w:rPr>
              <w:t xml:space="preserve">高级资格的得1分，满分</w:t>
            </w:r>
            <w:r>
              <w:rPr>
                <w:rFonts w:hint="eastAsia" w:ascii="宋体" w:hAnsi="宋体" w:eastAsia="宋体" w:cs="宋体"/>
                <w:color w:val="000000" w:themeColor="text1"/>
                <w:szCs w:val="21"/>
                <w:lang w:val="en-US" w:eastAsia="zh-CN" w:bidi="ar"/>
                <w14:textFill>
                  <w14:solidFill>
                    <w14:schemeClr w14:val="tx1"/>
                  </w14:solidFill>
                </w14:textFill>
              </w:rPr>
              <w:t xml:space="preserve">2</w:t>
            </w:r>
            <w:r>
              <w:rPr>
                <w:rFonts w:hint="eastAsia" w:ascii="宋体" w:hAnsi="宋体" w:eastAsia="宋体" w:cs="宋体"/>
                <w:color w:val="000000" w:themeColor="text1"/>
                <w:szCs w:val="21"/>
                <w:lang w:bidi="ar"/>
                <w14:textFill>
                  <w14:solidFill>
                    <w14:schemeClr w14:val="tx1"/>
                  </w14:solidFill>
                </w14:textFill>
              </w:rPr>
              <w:t xml:space="preserve">分</w:t>
            </w:r>
            <w:r>
              <w:rPr>
                <w:rFonts w:hint="eastAsia" w:ascii="宋体" w:hAnsi="宋体" w:cs="宋体"/>
                <w:color w:val="000000" w:themeColor="text1"/>
                <w:szCs w:val="21"/>
                <w:lang w:bidi="ar"/>
                <w14:textFill>
                  <w14:solidFill>
                    <w14:schemeClr w14:val="tx1"/>
                  </w14:solidFill>
                </w14:textFill>
              </w:rPr>
              <w:t xml:space="preserve">。</w:t>
            </w:r>
            <w:r/>
          </w:p>
          <w:p>
            <w:pPr>
              <w:widowControl/>
              <w:rPr>
                <w:rFonts w:ascii="宋体" w:hAnsi="宋体" w:eastAsia="宋体" w:cs="宋体"/>
                <w:b/>
                <w:bCs/>
                <w:color w:val="000000" w:themeColor="text1"/>
                <w:szCs w:val="21"/>
                <w:lang w:bidi="ar"/>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（提供证书扫描件及投标人为其缴纳近三个月任意一个社保证明材料扫描上传）</w:t>
            </w:r>
            <w:r/>
          </w:p>
        </w:tc>
      </w:tr>
    </w:tbl>
    <w:p>
      <w:pPr>
        <w:pStyle w:val="765"/>
        <w:jc w:val="center"/>
        <w:spacing w:before="240" w:beforeAutospacing="0" w:after="24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765"/>
        <w:jc w:val="both"/>
        <w:spacing w:before="240" w:beforeAutospacing="0" w:after="24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765"/>
        <w:jc w:val="both"/>
        <w:spacing w:before="240" w:beforeAutospacing="0" w:after="24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65"/>
        <w:jc w:val="center"/>
        <w:keepNext/>
        <w:pageBreakBefore/>
        <w:spacing w:beforeAutospacing="0" w:afterAutospacing="0"/>
        <w:rPr>
          <w:color w:val="000000" w:themeColor="text1"/>
          <w14:textFill>
            <w14:solidFill>
              <w14:schemeClr w14:val="tx1"/>
            </w14:solidFill>
          </w14:textFill>
        </w:rPr>
      </w:pPr>
      <w:r>
        <w:rPr>
          <w:rFonts w:ascii="黑体" w:hAnsi="宋体" w:eastAsia="黑体" w:cs="黑体"/>
          <w:color w:val="000000" w:themeColor="text1"/>
          <w:sz w:val="44"/>
          <w:szCs w:val="44"/>
          <w14:textFill>
            <w14:solidFill>
              <w14:schemeClr w14:val="tx1"/>
            </w14:solidFill>
          </w14:textFill>
        </w:rPr>
        <w:t xml:space="preserve">第六章投标文件格式 </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sz w:val="72"/>
          <w:szCs w:val="72"/>
          <w14:textFill>
            <w14:solidFill>
              <w14:schemeClr w14:val="tx1"/>
            </w14:solidFill>
          </w14:textFill>
        </w:rPr>
        <w:t xml:space="preserve"> </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sz w:val="72"/>
          <w:szCs w:val="72"/>
          <w14:textFill>
            <w14:solidFill>
              <w14:schemeClr w14:val="tx1"/>
            </w14:solidFill>
          </w14:textFill>
        </w:rPr>
        <w:t xml:space="preserve">投标文件</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sz w:val="72"/>
          <w:szCs w:val="72"/>
          <w14:textFill>
            <w14:solidFill>
              <w14:schemeClr w14:val="tx1"/>
            </w14:solidFill>
          </w14:textFill>
        </w:rPr>
        <w:t xml:space="preserve"> </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sz w:val="72"/>
          <w:szCs w:val="72"/>
          <w14:textFill>
            <w14:solidFill>
              <w14:schemeClr w14:val="tx1"/>
            </w14:solidFill>
          </w14:textFill>
        </w:rPr>
        <w:t xml:space="preserve"> </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 </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 </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 </w:t>
      </w:r>
      <w:r/>
    </w:p>
    <w:p>
      <w:pPr>
        <w:pStyle w:val="765"/>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项 目 名 称：</w:t>
      </w:r>
      <w:r>
        <w:rPr>
          <w:rFonts w:ascii="宋体" w:hAnsi="宋体" w:eastAsia="宋体" w:cs="宋体"/>
          <w:b/>
          <w:bCs/>
          <w:color w:val="000000" w:themeColor="text1"/>
          <w:sz w:val="36"/>
          <w:szCs w:val="36"/>
          <w:u w:val="single"/>
          <w14:textFill>
            <w14:solidFill>
              <w14:schemeClr w14:val="tx1"/>
            </w14:solidFill>
          </w14:textFill>
        </w:rPr>
        <w:t xml:space="preserve">             </w:t>
      </w:r>
      <w:r/>
    </w:p>
    <w:p>
      <w:pPr>
        <w:pStyle w:val="765"/>
        <w:spacing w:beforeAutospacing="0" w:afterAutospacing="0"/>
        <w:rPr>
          <w:rFonts w:eastAsia="宋体"/>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项 目 编 号：</w:t>
      </w:r>
      <w:r>
        <w:rPr>
          <w:rFonts w:ascii="宋体" w:hAnsi="宋体" w:eastAsia="宋体" w:cs="宋体"/>
          <w:b/>
          <w:bCs/>
          <w:color w:val="000000" w:themeColor="text1"/>
          <w:sz w:val="36"/>
          <w:szCs w:val="36"/>
          <w:u w:val="single"/>
          <w14:textFill>
            <w14:solidFill>
              <w14:schemeClr w14:val="tx1"/>
            </w14:solidFill>
          </w14:textFill>
        </w:rPr>
        <w:t xml:space="preserve">           </w:t>
      </w:r>
      <w:r>
        <w:rPr>
          <w:rFonts w:hint="eastAsia" w:ascii="宋体" w:hAnsi="宋体" w:eastAsia="宋体" w:cs="宋体"/>
          <w:b/>
          <w:bCs/>
          <w:color w:val="000000" w:themeColor="text1"/>
          <w:sz w:val="36"/>
          <w:szCs w:val="36"/>
          <w:u w:val="single"/>
          <w14:textFill>
            <w14:solidFill>
              <w14:schemeClr w14:val="tx1"/>
            </w14:solidFill>
          </w14:textFill>
        </w:rPr>
        <w:t xml:space="preserve">  </w:t>
      </w:r>
      <w:r/>
    </w:p>
    <w:p>
      <w:pPr>
        <w:pStyle w:val="765"/>
        <w:spacing w:beforeAutospacing="0" w:afterAutospacing="0"/>
        <w:rPr>
          <w:rFonts w:eastAsia="宋体"/>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投标人名称 ：</w:t>
      </w:r>
      <w:r>
        <w:rPr>
          <w:rFonts w:ascii="宋体" w:hAnsi="宋体" w:eastAsia="宋体" w:cs="宋体"/>
          <w:b/>
          <w:bCs/>
          <w:color w:val="000000" w:themeColor="text1"/>
          <w:sz w:val="36"/>
          <w:szCs w:val="36"/>
          <w:u w:val="single"/>
          <w14:textFill>
            <w14:solidFill>
              <w14:schemeClr w14:val="tx1"/>
            </w14:solidFill>
          </w14:textFill>
        </w:rPr>
        <w:t xml:space="preserve">（加盖CA电子公章）</w:t>
      </w:r>
      <w:r>
        <w:rPr>
          <w:rFonts w:hint="eastAsia" w:ascii="宋体" w:hAnsi="宋体" w:eastAsia="宋体" w:cs="宋体"/>
          <w:b/>
          <w:bCs/>
          <w:color w:val="000000" w:themeColor="text1"/>
          <w:sz w:val="36"/>
          <w:szCs w:val="36"/>
          <w:u w:val="single"/>
          <w14:textFill>
            <w14:solidFill>
              <w14:schemeClr w14:val="tx1"/>
            </w14:solidFill>
          </w14:textFill>
        </w:rPr>
        <w:t xml:space="preserve">  </w:t>
      </w:r>
      <w:r/>
    </w:p>
    <w:p>
      <w:pPr>
        <w:pStyle w:val="765"/>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日</w:t>
      </w:r>
      <w:r>
        <w:rPr>
          <w:rFonts w:hint="eastAsia" w:ascii="宋体" w:hAnsi="宋体" w:eastAsia="宋体" w:cs="宋体"/>
          <w:b/>
          <w:bCs/>
          <w:color w:val="000000" w:themeColor="text1"/>
          <w:sz w:val="36"/>
          <w:szCs w:val="36"/>
          <w14:textFill>
            <w14:solidFill>
              <w14:schemeClr w14:val="tx1"/>
            </w14:solidFill>
          </w14:textFill>
        </w:rPr>
        <w:t xml:space="preserve">      </w:t>
      </w:r>
      <w:r>
        <w:rPr>
          <w:rFonts w:ascii="宋体" w:hAnsi="宋体" w:eastAsia="宋体" w:cs="宋体"/>
          <w:b/>
          <w:bCs/>
          <w:color w:val="000000" w:themeColor="text1"/>
          <w:sz w:val="36"/>
          <w:szCs w:val="36"/>
          <w14:textFill>
            <w14:solidFill>
              <w14:schemeClr w14:val="tx1"/>
            </w14:solidFill>
          </w14:textFill>
        </w:rPr>
        <w:t xml:space="preserve">期 ：</w:t>
      </w:r>
      <w:r>
        <w:rPr>
          <w:rFonts w:ascii="宋体" w:hAnsi="宋体" w:eastAsia="宋体" w:cs="宋体"/>
          <w:b/>
          <w:bCs/>
          <w:color w:val="000000" w:themeColor="text1"/>
          <w:sz w:val="36"/>
          <w:szCs w:val="36"/>
          <w:u w:val="single"/>
          <w14:textFill>
            <w14:solidFill>
              <w14:schemeClr w14:val="tx1"/>
            </w14:solidFill>
          </w14:textFill>
        </w:rPr>
        <w:t xml:space="preserve">             </w:t>
      </w:r>
      <w:r/>
    </w:p>
    <w:p>
      <w:pPr>
        <w:pStyle w:val="765"/>
        <w:jc w:val="center"/>
        <w:spacing w:beforeAutospacing="0" w:afterAutospacing="0" w:line="438" w:lineRule="atLeast"/>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 </w:t>
      </w:r>
      <w:r/>
    </w:p>
    <w:p>
      <w:pPr>
        <w:pStyle w:val="765"/>
        <w:jc w:val="both"/>
        <w:spacing w:beforeAutospacing="0" w:afterAutospacing="0" w:line="438" w:lineRule="atLeast"/>
        <w:rPr>
          <w:color w:val="000000" w:themeColor="text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p>
    <w:p>
      <w:pPr>
        <w:pStyle w:val="765"/>
        <w:ind w:firstLine="1084"/>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br w:type="page" w:clear="all"/>
      </w:r>
      <w:r>
        <w:rPr>
          <w:rFonts w:ascii="Times New Roman" w:hAnsi="Times New Roman"/>
          <w:color w:val="000000" w:themeColor="text1"/>
          <w:sz w:val="21"/>
          <w:szCs w:val="21"/>
          <w14:textFill>
            <w14:solidFill>
              <w14:schemeClr w14:val="tx1"/>
            </w14:solidFill>
          </w14:textFill>
        </w:rPr>
        <w:t xml:space="preserve"> </w:t>
      </w:r>
      <w:r/>
    </w:p>
    <w:p>
      <w:pPr>
        <w:pStyle w:val="765"/>
        <w:jc w:val="center"/>
        <w:spacing w:beforeAutospacing="0" w:afterAutospacing="0" w:line="438" w:lineRule="atLeast"/>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投标文件的组成</w:t>
      </w:r>
      <w:r/>
    </w:p>
    <w:p>
      <w:pPr>
        <w:pStyle w:val="765"/>
        <w:jc w:val="center"/>
        <w:spacing w:beforeAutospacing="0" w:afterAutospacing="0" w:line="438" w:lineRule="atLeast"/>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 </w:t>
      </w:r>
      <w:r/>
    </w:p>
    <w:p>
      <w:pPr>
        <w:pStyle w:val="765"/>
        <w:ind w:left="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一、基本目录</w:t>
      </w:r>
      <w:r/>
    </w:p>
    <w:p>
      <w:pPr>
        <w:pStyle w:val="765"/>
        <w:ind w:left="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1.开标一览表（格式见附件1）</w:t>
      </w:r>
      <w:r/>
    </w:p>
    <w:p>
      <w:pPr>
        <w:pStyle w:val="765"/>
        <w:ind w:left="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2.投标分项报价表（格式见附件2）</w:t>
      </w:r>
      <w:r/>
    </w:p>
    <w:p>
      <w:pPr>
        <w:pStyle w:val="765"/>
        <w:ind w:left="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3.技术要求响应及偏离表（格式见附件3）</w:t>
      </w:r>
      <w:r/>
    </w:p>
    <w:p>
      <w:pPr>
        <w:pStyle w:val="765"/>
        <w:ind w:left="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4.商务要求响应及偏离表（格式见附件4）</w:t>
      </w:r>
      <w:r/>
    </w:p>
    <w:p>
      <w:pPr>
        <w:pStyle w:val="765"/>
        <w:ind w:left="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5.法人授权书（格式见附件5）</w:t>
      </w:r>
      <w:r/>
    </w:p>
    <w:p>
      <w:pPr>
        <w:pStyle w:val="765"/>
        <w:ind w:left="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6.投标函（格式见附件6）</w:t>
      </w:r>
      <w:r/>
    </w:p>
    <w:p>
      <w:pPr>
        <w:pStyle w:val="765"/>
        <w:ind w:left="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7.主要标的信息（格式见附件7）</w:t>
      </w:r>
      <w:r/>
    </w:p>
    <w:p>
      <w:pPr>
        <w:pStyle w:val="765"/>
        <w:ind w:left="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8.其他</w:t>
      </w:r>
      <w:r/>
    </w:p>
    <w:p>
      <w:pPr>
        <w:pStyle w:val="765"/>
        <w:ind w:left="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二、资格审查内容</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1.法人或者其他组织的营业执照等证明文件，自然人的身份证明</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2.上一年度的财务状况报告（成立不满一年无需提供）</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4.具备履行合同所必需的设备和专业技术能力的书面声明（格式见附件8）</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5.参加政府采购活动前 3 年内在经营活动中没有重大违法记录的书面声明（格式见附件9）</w:t>
      </w:r>
      <w:r/>
    </w:p>
    <w:p>
      <w:pPr>
        <w:pStyle w:val="765"/>
        <w:ind w:left="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6.供应商信用承诺函（格式见附件10）</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7.企业报价折扣证明文件：</w:t>
      </w:r>
      <w:r/>
    </w:p>
    <w:p>
      <w:pPr>
        <w:pStyle w:val="765"/>
        <w:ind w:firstLine="720"/>
        <w:jc w:val="both"/>
        <w:spacing w:beforeAutospacing="0" w:afterAutospacing="0" w:line="400" w:lineRule="atLeas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中小企业声明函（格式见附件11）。</w:t>
      </w:r>
      <w:r/>
    </w:p>
    <w:p>
      <w:pPr>
        <w:pStyle w:val="765"/>
        <w:ind w:firstLine="720"/>
        <w:jc w:val="both"/>
        <w:spacing w:beforeAutospacing="0" w:afterAutospacing="0" w:line="400" w:lineRule="atLeas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残疾人福利性单位声明函（格式见附件12）。</w:t>
      </w:r>
      <w:r/>
    </w:p>
    <w:p>
      <w:pPr>
        <w:pStyle w:val="765"/>
        <w:ind w:firstLine="72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监狱企业的证明文件。</w:t>
      </w:r>
      <w:r/>
    </w:p>
    <w:p>
      <w:pPr>
        <w:pStyle w:val="765"/>
        <w:ind w:left="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三、符合性审查内容</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投标人必须对技术要求和商务要求中加斜体下划线的实质性要求逐条做出响应，并按照招标文件要求提供证明材料，否则做无效投标处理。（格式见附件14）</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四、价格扣除证明文件</w:t>
      </w:r>
      <w:r/>
    </w:p>
    <w:p>
      <w:pPr>
        <w:pStyle w:val="765"/>
        <w:ind w:firstLine="480"/>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1.中小企业声明函（格式见附件11）</w:t>
      </w:r>
      <w:r/>
    </w:p>
    <w:p>
      <w:pPr>
        <w:pStyle w:val="765"/>
        <w:ind w:firstLine="480"/>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2.残疾人福利性单位声明函（格式见附件12）</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附件1 开标一览表</w:t>
      </w:r>
      <w:r/>
    </w:p>
    <w:p>
      <w:pPr>
        <w:pStyle w:val="765"/>
        <w:ind w:firstLine="482"/>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投标人全称（加盖CA电子签章）：</w:t>
      </w:r>
      <w:r/>
    </w:p>
    <w:p>
      <w:pPr>
        <w:pStyle w:val="765"/>
        <w:ind w:firstLine="482"/>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项目名称：</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项目编号：</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采购包号：</w:t>
      </w:r>
      <w:r/>
    </w:p>
    <w:tbl>
      <w:tblPr>
        <w:tblStyle w:val="747"/>
        <w:tblW w:w="0" w:type="auto"/>
        <w:tblCellSpacing w:w="0" w:type="dxa"/>
        <w:tblInd w:w="20" w:type="dxa"/>
        <w:tblLayout w:type="autofit"/>
        <w:tblCellMar>
          <w:left w:w="108" w:type="dxa"/>
          <w:top w:w="0" w:type="dxa"/>
          <w:right w:w="108" w:type="dxa"/>
          <w:bottom w:w="0" w:type="dxa"/>
        </w:tblCellMar>
        <w:tblLook w:val="04A0" w:firstRow="1" w:lastRow="0" w:firstColumn="1" w:lastColumn="0" w:noHBand="0" w:noVBand="1"/>
      </w:tblPr>
      <w:tblGrid>
        <w:gridCol w:w="7714"/>
      </w:tblGrid>
      <w:tr>
        <w:trPr>
          <w:tblCellSpacing w:w="0" w:type="dxa"/>
          <w:trHeight w:val="725"/>
        </w:trPr>
        <w:tc>
          <w:tcPr>
            <w:tcBorders>
              <w:top w:val="single" w:color="000000" w:sz="8" w:space="0"/>
              <w:left w:val="single" w:color="000000" w:sz="8" w:space="0"/>
              <w:bottom w:val="single" w:color="000000" w:sz="8" w:space="0"/>
              <w:right w:val="single" w:color="000000" w:sz="8" w:space="0"/>
            </w:tcBorders>
            <w:tcW w:w="7714"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投标总报价</w:t>
            </w:r>
            <w:r/>
          </w:p>
        </w:tc>
      </w:tr>
      <w:tr>
        <w:trPr>
          <w:tblCellSpacing w:w="0" w:type="dxa"/>
          <w:trHeight w:val="612"/>
        </w:trPr>
        <w:tc>
          <w:tcPr>
            <w:tcBorders>
              <w:top w:val="none" w:color="000000" w:sz="4" w:space="0"/>
              <w:left w:val="single" w:color="000000" w:sz="8" w:space="0"/>
              <w:bottom w:val="single" w:color="000000" w:sz="8" w:space="0"/>
              <w:right w:val="single" w:color="000000" w:sz="8" w:space="0"/>
            </w:tcBorders>
            <w:tcW w:w="7714"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大写：                   （人民币：元）</w:t>
            </w:r>
            <w:r/>
          </w:p>
        </w:tc>
      </w:tr>
      <w:tr>
        <w:trPr>
          <w:tblCellSpacing w:w="0" w:type="dxa"/>
          <w:trHeight w:val="612"/>
        </w:trPr>
        <w:tc>
          <w:tcPr>
            <w:tcBorders>
              <w:top w:val="none" w:color="000000" w:sz="4" w:space="0"/>
              <w:left w:val="single" w:color="000000" w:sz="8" w:space="0"/>
              <w:bottom w:val="single" w:color="000000" w:sz="8" w:space="0"/>
              <w:right w:val="single" w:color="000000" w:sz="8" w:space="0"/>
            </w:tcBorders>
            <w:tcW w:w="7714" w:type="dxa"/>
            <w:vAlign w:val="center"/>
            <w:textDirection w:val="lrTb"/>
            <w:noWrap w:val="false"/>
          </w:tcPr>
          <w:p>
            <w:pPr>
              <w:pStyle w:val="765"/>
              <w:jc w:val="center"/>
              <w:spacing w:beforeAutospacing="0" w:afterAutospacing="0" w:line="499"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小写：                   （人民币：元）</w:t>
            </w:r>
            <w:r/>
          </w:p>
        </w:tc>
      </w:tr>
    </w:tbl>
    <w:p>
      <w:pPr>
        <w:pStyle w:val="765"/>
        <w:ind w:firstLine="480"/>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p>
      <w:pPr>
        <w:pStyle w:val="765"/>
        <w:jc w:val="center"/>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附件2             投标分项报价表（采购包号：**）</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tbl>
      <w:tblPr>
        <w:tblStyle w:val="747"/>
        <w:tblW w:w="0" w:type="auto"/>
        <w:tblCellSpacing w:w="0" w:type="dxa"/>
        <w:tblInd w:w="312" w:type="dxa"/>
        <w:tblLayout w:type="fixed"/>
        <w:tblCellMar>
          <w:left w:w="108" w:type="dxa"/>
          <w:top w:w="0" w:type="dxa"/>
          <w:right w:w="108" w:type="dxa"/>
          <w:bottom w:w="0" w:type="dxa"/>
        </w:tblCellMar>
        <w:tblLook w:val="04A0" w:firstRow="1" w:lastRow="0" w:firstColumn="1" w:lastColumn="0" w:noHBand="0" w:noVBand="1"/>
      </w:tblPr>
      <w:tblGrid>
        <w:gridCol w:w="863"/>
        <w:gridCol w:w="1036"/>
        <w:gridCol w:w="907"/>
        <w:gridCol w:w="413"/>
        <w:gridCol w:w="760"/>
        <w:gridCol w:w="747"/>
        <w:gridCol w:w="746"/>
        <w:gridCol w:w="2219"/>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w:t>
            </w:r>
            <w:r/>
          </w:p>
        </w:tc>
        <w:tc>
          <w:tcPr>
            <w:gridSpan w:val="2"/>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single" w:color="000000" w:sz="4" w:space="0"/>
              <w:bottom w:val="single" w:color="000000" w:sz="8" w:space="0"/>
              <w:right w:val="single" w:color="000000" w:sz="8" w:space="0"/>
            </w:tcBorders>
            <w:tcW w:w="1036"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分项服务名称</w:t>
            </w:r>
            <w:r/>
          </w:p>
        </w:tc>
        <w:tc>
          <w:tcPr>
            <w:gridSpan w:val="2"/>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交付期</w:t>
            </w:r>
            <w:r/>
          </w:p>
        </w:tc>
        <w:tc>
          <w:tcPr>
            <w:tcBorders>
              <w:top w:val="none" w:color="000000" w:sz="4" w:space="0"/>
              <w:left w:val="none" w:color="000000" w:sz="4" w:space="0"/>
              <w:bottom w:val="single" w:color="000000" w:sz="8" w:space="0"/>
              <w:right w:val="single" w:color="000000" w:sz="8" w:space="0"/>
            </w:tcBorders>
            <w:tcW w:w="760"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分项单位</w:t>
            </w:r>
            <w:r/>
          </w:p>
        </w:tc>
        <w:tc>
          <w:tcPr>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数量</w:t>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分项</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单价</w:t>
            </w:r>
            <w:r/>
          </w:p>
        </w:tc>
        <w:tc>
          <w:tcPr>
            <w:tcBorders>
              <w:top w:val="none" w:color="000000" w:sz="4" w:space="0"/>
              <w:left w:val="none" w:color="000000" w:sz="4" w:space="0"/>
              <w:bottom w:val="single" w:color="000000" w:sz="8" w:space="0"/>
              <w:right w:val="single" w:color="000000" w:sz="8" w:space="0"/>
            </w:tcBorders>
            <w:tcW w:w="2219"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分项</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tc>
        <w:tc>
          <w:tcPr>
            <w:gridSpan w:val="2"/>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合同签订后</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日</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tc>
        <w:tc>
          <w:tcPr>
            <w:gridSpan w:val="2"/>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tc>
      </w:tr>
      <w:tr>
        <w:trPr>
          <w:tblCellSpacing w:w="0" w:type="dxa"/>
          <w:trHeight w:val="487"/>
        </w:trPr>
        <w:tc>
          <w:tcPr>
            <w:gridSpan w:val="7"/>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tc>
      </w:tr>
    </w:tbl>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备注：</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1.投标报价采用总承包方式，“投标总报价”应包括</w:t>
      </w: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2.“投标分项报价表”中“投标总报价”数额应当与“开标一览表”中“投标总报价”数额一致。</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 项目经办人可以根据项目实际需要对表格结构进行调整。</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附件3            技术要求响应及偏离表（采购包号：**）</w:t>
      </w:r>
      <w:r/>
    </w:p>
    <w:tbl>
      <w:tblPr>
        <w:tblStyle w:val="747"/>
        <w:tblW w:w="0" w:type="auto"/>
        <w:tblCellSpacing w:w="0" w:type="dxa"/>
        <w:tblInd w:w="322" w:type="dxa"/>
        <w:tblLayout w:type="autofit"/>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blCellSpacing w:w="0" w:type="dxa"/>
        </w:trPr>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W w:w="2415"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技术要求</w:t>
            </w:r>
            <w:r/>
          </w:p>
        </w:tc>
        <w:tc>
          <w:tcPr>
            <w:tcBorders>
              <w:top w:val="single" w:color="000000" w:sz="8" w:space="0"/>
              <w:left w:val="none" w:color="000000" w:sz="4" w:space="0"/>
              <w:bottom w:val="single" w:color="000000" w:sz="8" w:space="0"/>
              <w:right w:val="single" w:color="000000" w:sz="8" w:space="0"/>
            </w:tcBorders>
            <w:tcW w:w="2451"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W w:w="1770"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超出、符合或偏离</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76"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2415"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451"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770"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76"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415"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2451"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770"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bl>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附件3-1  证明材料1，证明材料2，……</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备注：</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1.投标人需对技术要求（未加斜体下划线的非实质性要求）逐条做出明确响应。</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2.如果招标文件要求提供证明材料，投标人需将证明材料列于该表之下。</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Autospacing="0" w:line="45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附件4             商务要求响应及偏离表（采购包号：**）</w:t>
      </w:r>
      <w:r/>
    </w:p>
    <w:tbl>
      <w:tblPr>
        <w:tblStyle w:val="747"/>
        <w:tblW w:w="0" w:type="auto"/>
        <w:tblCellSpacing w:w="0" w:type="dxa"/>
        <w:tblInd w:w="322" w:type="dxa"/>
        <w:tblLayout w:type="autofit"/>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blCellSpacing w:w="0" w:type="dxa"/>
        </w:trPr>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W w:w="2415"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商务要求</w:t>
            </w:r>
            <w:r/>
          </w:p>
        </w:tc>
        <w:tc>
          <w:tcPr>
            <w:tcBorders>
              <w:top w:val="single" w:color="000000" w:sz="8" w:space="0"/>
              <w:left w:val="none" w:color="000000" w:sz="4" w:space="0"/>
              <w:bottom w:val="single" w:color="000000" w:sz="8" w:space="0"/>
              <w:right w:val="single" w:color="000000" w:sz="8" w:space="0"/>
            </w:tcBorders>
            <w:tcW w:w="2451"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W w:w="1716"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超出、符合或偏离</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76"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2415"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451"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716"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76"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415"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2451"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716"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bl>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附件4-1  证明材料1，证明材料2，……</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备注：</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1.投标人需对商务要求（未加斜体下划线的非实质性要求）逐条做出明确响应。</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2.如果招标文件要求提供证明材料，投标人需将证明材料列于该表之下。</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765"/>
        <w:ind w:firstLine="480"/>
        <w:jc w:val="both"/>
        <w:spacing w:beforeAutospacing="0" w:afterAutospacing="0" w:line="46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附件5                    法人授权书</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本授权书声明：____________（投标人名称）授权</w:t>
      </w:r>
      <w:r>
        <w:rPr>
          <w:rFonts w:ascii="Times New Roman" w:hAnsi="Times New Roman"/>
          <w:color w:val="000000" w:themeColor="text1"/>
          <w14:textFill>
            <w14:solidFill>
              <w14:schemeClr w14:val="tx1"/>
            </w14:solidFill>
          </w14:textFill>
        </w:rPr>
        <w:t xml:space="preserve">________________</w:t>
      </w:r>
      <w:r>
        <w:rPr>
          <w:rFonts w:ascii="宋体" w:hAnsi="宋体" w:eastAsia="宋体" w:cs="宋体"/>
          <w:color w:val="000000" w:themeColor="text1"/>
          <w14:textFill>
            <w14:solidFill>
              <w14:schemeClr w14:val="tx1"/>
            </w14:solidFill>
          </w14:textFill>
        </w:rPr>
        <w:t xml:space="preserve">（被授权人的姓名）为我方就</w:t>
      </w:r>
      <w:r>
        <w:rPr>
          <w:rFonts w:ascii="Times New Roman" w:hAnsi="Times New Roman"/>
          <w:color w:val="000000" w:themeColor="text1"/>
          <w:u w:val="single"/>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号项目采购活动的合法代理人，以本单位名义全权处理一切与该项目采购有关的事务。</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本授权书于______年</w:t>
      </w:r>
      <w:r>
        <w:rPr>
          <w:rFonts w:ascii="Times New Roman" w:hAnsi="Times New Roman"/>
          <w:color w:val="000000" w:themeColor="text1"/>
          <w14:textFill>
            <w14:solidFill>
              <w14:schemeClr w14:val="tx1"/>
            </w14:solidFill>
          </w14:textFill>
        </w:rPr>
        <w:t xml:space="preserve">____</w:t>
      </w:r>
      <w:r>
        <w:rPr>
          <w:rFonts w:ascii="宋体" w:hAnsi="宋体" w:eastAsia="宋体" w:cs="宋体"/>
          <w:color w:val="000000" w:themeColor="text1"/>
          <w14:textFill>
            <w14:solidFill>
              <w14:schemeClr w14:val="tx1"/>
            </w14:solidFill>
          </w14:textFill>
        </w:rPr>
        <w:t xml:space="preserve">月</w:t>
      </w:r>
      <w:r>
        <w:rPr>
          <w:rFonts w:ascii="Times New Roman" w:hAnsi="Times New Roman"/>
          <w:color w:val="000000" w:themeColor="text1"/>
          <w14:textFill>
            <w14:solidFill>
              <w14:schemeClr w14:val="tx1"/>
            </w14:solidFill>
          </w14:textFill>
        </w:rPr>
        <w:t xml:space="preserve">____</w:t>
      </w:r>
      <w:r>
        <w:rPr>
          <w:rFonts w:ascii="宋体" w:hAnsi="宋体" w:eastAsia="宋体" w:cs="宋体"/>
          <w:color w:val="000000" w:themeColor="text1"/>
          <w14:textFill>
            <w14:solidFill>
              <w14:schemeClr w14:val="tx1"/>
            </w14:solidFill>
          </w14:textFill>
        </w:rPr>
        <w:t xml:space="preserve">日起生效，特此声明。</w:t>
      </w:r>
      <w:r/>
    </w:p>
    <w:p>
      <w:pPr>
        <w:pStyle w:val="765"/>
        <w:ind w:firstLine="120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被授权人身份证号码：           </w:t>
      </w:r>
      <w:r/>
    </w:p>
    <w:p>
      <w:pPr>
        <w:pStyle w:val="765"/>
        <w:ind w:firstLine="120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被授权人联系电话：（手机）           </w:t>
      </w:r>
      <w:r/>
    </w:p>
    <w:p>
      <w:pPr>
        <w:pStyle w:val="765"/>
        <w:ind w:firstLine="120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被授权人电子邮箱：</w:t>
      </w:r>
      <w:r>
        <w:rPr>
          <w:rFonts w:ascii="宋体" w:hAnsi="宋体" w:eastAsia="宋体" w:cs="宋体"/>
          <w:color w:val="000000" w:themeColor="text1"/>
          <w:u w:val="single"/>
          <w14:textFill>
            <w14:solidFill>
              <w14:schemeClr w14:val="tx1"/>
            </w14:solidFill>
          </w14:textFill>
        </w:rPr>
        <w:t xml:space="preserve">           </w:t>
      </w:r>
      <w:r/>
    </w:p>
    <w:p>
      <w:pPr>
        <w:pStyle w:val="765"/>
        <w:ind w:firstLine="120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授权单位名称：</w:t>
      </w:r>
      <w:r>
        <w:rPr>
          <w:rFonts w:ascii="宋体" w:hAnsi="宋体" w:eastAsia="宋体" w:cs="宋体"/>
          <w:color w:val="000000" w:themeColor="text1"/>
          <w:u w:val="single"/>
          <w14:textFill>
            <w14:solidFill>
              <w14:schemeClr w14:val="tx1"/>
            </w14:solidFill>
          </w14:textFill>
        </w:rPr>
        <w:t xml:space="preserve">（加盖CA电子公章）</w:t>
      </w:r>
      <w:r/>
    </w:p>
    <w:p>
      <w:pPr>
        <w:pStyle w:val="765"/>
        <w:ind w:firstLine="120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单位地址：           </w:t>
      </w:r>
      <w:r/>
    </w:p>
    <w:p>
      <w:pPr>
        <w:pStyle w:val="765"/>
        <w:ind w:firstLine="120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日期：           </w:t>
      </w:r>
      <w:r/>
    </w:p>
    <w:p>
      <w:pPr>
        <w:pStyle w:val="765"/>
        <w:ind w:firstLine="360"/>
        <w:jc w:val="both"/>
        <w:spacing w:beforeAutospacing="0" w:afterAutospacing="0" w:line="400" w:lineRule="atLeast"/>
        <w:rPr>
          <w:color w:val="000000" w:themeColor="text1"/>
          <w:highlight w:val="white"/>
          <w14:textFill>
            <w14:solidFill>
              <w14:schemeClr w14:val="tx1"/>
            </w14:solidFill>
          </w14:textFill>
        </w:rPr>
      </w:pPr>
      <w:r>
        <w:rPr>
          <w:rFonts w:ascii="Times New Roman" w:hAnsi="Times New Roman"/>
          <w:color w:val="000000" w:themeColor="text1"/>
          <w:highlight w:val="white"/>
          <w:shd w:val="clear" w:color="auto" w:fill="ffff00"/>
          <w14:textFill>
            <w14:solidFill>
              <w14:schemeClr w14:val="tx1"/>
            </w14:solidFill>
          </w14:textFill>
        </w:rPr>
        <w:t xml:space="preserve"> </w:t>
      </w:r>
      <w:r/>
    </w:p>
    <w:p>
      <w:pPr>
        <w:pStyle w:val="765"/>
        <w:jc w:val="both"/>
        <w:spacing w:before="260" w:beforeAutospacing="0" w:after="260" w:afterAutospacing="0"/>
        <w:rPr>
          <w:color w:val="000000" w:themeColor="text1"/>
          <w:highlight w:val="white"/>
          <w14:textFill>
            <w14:solidFill>
              <w14:schemeClr w14:val="tx1"/>
            </w14:solidFill>
          </w14:textFill>
        </w:rPr>
      </w:pPr>
      <w:r>
        <w:rPr>
          <w:rFonts w:ascii="Times New Roman" w:hAnsi="Times New Roman"/>
          <w:color w:val="000000" w:themeColor="text1"/>
          <w:sz w:val="21"/>
          <w:szCs w:val="21"/>
          <w:highlight w:val="white"/>
          <w14:textFill>
            <w14:solidFill>
              <w14:schemeClr w14:val="tx1"/>
            </w14:solidFill>
          </w14:textFill>
        </w:rPr>
        <w:t xml:space="preserve"> </w:t>
      </w:r>
      <w:r/>
    </w:p>
    <w:p>
      <w:pPr>
        <w:rPr>
          <w:rFonts w:ascii="宋体" w:hAnsi="宋体" w:eastAsia="宋体" w:cs="宋体"/>
          <w:b/>
          <w:bCs/>
          <w:color w:val="000000" w:themeColor="text1"/>
          <w:sz w:val="24"/>
          <w14:textFill>
            <w14:solidFill>
              <w14:schemeClr w14:val="tx1"/>
            </w14:solidFill>
          </w14:textFill>
        </w:rPr>
      </w:pPr>
      <w:r>
        <w:rPr>
          <w:rFonts w:ascii="宋体" w:hAnsi="宋体" w:eastAsia="宋体" w:cs="宋体"/>
          <w:b/>
          <w:bCs/>
          <w:color w:val="000000" w:themeColor="text1"/>
          <w:sz w:val="24"/>
          <w14:textFill>
            <w14:solidFill>
              <w14:schemeClr w14:val="tx1"/>
            </w14:solidFill>
          </w14:textFill>
        </w:rPr>
        <w:br w:type="page" w:clear="all"/>
      </w:r>
      <w:r/>
    </w:p>
    <w:p>
      <w:pPr>
        <w:pStyle w:val="765"/>
        <w:jc w:val="both"/>
        <w:spacing w:before="260" w:beforeAutospacing="0" w:after="26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附件6                         投标函</w:t>
      </w:r>
      <w:r/>
    </w:p>
    <w:p>
      <w:pPr>
        <w:pStyle w:val="765"/>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致：</w:t>
      </w:r>
      <w:r>
        <w:rPr>
          <w:rFonts w:hint="eastAsia" w:ascii="宋体" w:hAnsi="宋体" w:eastAsia="宋体" w:cs="宋体"/>
          <w:color w:val="000000" w:themeColor="text1"/>
          <w14:textFill>
            <w14:solidFill>
              <w14:schemeClr w14:val="tx1"/>
            </w14:solidFill>
          </w14:textFill>
        </w:rPr>
        <w:t xml:space="preserve">扬州市公共资源交易中心广陵分中心</w:t>
      </w:r>
      <w:r>
        <w:rPr>
          <w:rFonts w:ascii="宋体" w:hAnsi="宋体" w:eastAsia="宋体" w:cs="宋体"/>
          <w:color w:val="000000" w:themeColor="text1"/>
          <w14:textFill>
            <w14:solidFill>
              <w14:schemeClr w14:val="tx1"/>
            </w14:solidFill>
          </w14:textFill>
        </w:rPr>
        <w:t xml:space="preserve">：</w:t>
      </w:r>
      <w:r/>
    </w:p>
    <w:p>
      <w:pPr>
        <w:pStyle w:val="765"/>
        <w:ind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根据贵方的</w:t>
      </w:r>
      <w:r>
        <w:rPr>
          <w:rFonts w:ascii="宋体" w:hAnsi="宋体" w:eastAsia="宋体" w:cs="宋体"/>
          <w:color w:val="000000" w:themeColor="text1"/>
          <w:u w:val="single"/>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号招标文件，正式授权下述签字人_____(姓名)代表我方_______（投标人的名称），全权处理本次项目投标的有关事宜。</w:t>
      </w:r>
      <w:r/>
    </w:p>
    <w:p>
      <w:pPr>
        <w:pStyle w:val="765"/>
        <w:ind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据此函，__________签字人兹宣布同意如下：</w:t>
      </w:r>
      <w:r/>
    </w:p>
    <w:p>
      <w:pPr>
        <w:pStyle w:val="765"/>
        <w:ind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1.按招标文件规定的各项要求，向买方提供所需货物（包含与货物相关的服务）。</w:t>
      </w:r>
      <w:r/>
    </w:p>
    <w:p>
      <w:pPr>
        <w:pStyle w:val="765"/>
        <w:ind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2.我们完全理解贵方不一定将合同授予最低报价的投标人。</w:t>
      </w:r>
      <w:r/>
    </w:p>
    <w:p>
      <w:pPr>
        <w:pStyle w:val="765"/>
        <w:ind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3.我们已详细审核全部招标文件及其有效补充文件，我们知道必须放弃提出含糊不清或误解问题的权利。</w:t>
      </w:r>
      <w:r/>
    </w:p>
    <w:p>
      <w:pPr>
        <w:pStyle w:val="765"/>
        <w:ind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4.我们同意从规定的开标日期起遵循本投标文件，并在规定的投标有效期期满之前均具有约束力。</w:t>
      </w:r>
      <w:r/>
    </w:p>
    <w:p>
      <w:pPr>
        <w:pStyle w:val="765"/>
        <w:ind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765"/>
        <w:ind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765"/>
        <w:ind w:left="425"/>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7.与本投标有关的正式通讯地址为：</w:t>
      </w:r>
      <w:r/>
    </w:p>
    <w:p>
      <w:pPr>
        <w:pStyle w:val="765"/>
        <w:ind w:left="420"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地址：</w:t>
      </w:r>
      <w:r/>
    </w:p>
    <w:p>
      <w:pPr>
        <w:pStyle w:val="765"/>
        <w:ind w:left="420"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邮编：</w:t>
      </w:r>
      <w:r/>
    </w:p>
    <w:p>
      <w:pPr>
        <w:pStyle w:val="765"/>
        <w:ind w:left="420"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电话：</w:t>
      </w:r>
      <w:r/>
    </w:p>
    <w:p>
      <w:pPr>
        <w:pStyle w:val="765"/>
        <w:ind w:left="420"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传真：</w:t>
      </w:r>
      <w:r/>
    </w:p>
    <w:p>
      <w:pPr>
        <w:pStyle w:val="765"/>
        <w:ind w:left="420"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投标人开户行：</w:t>
      </w:r>
      <w:r/>
    </w:p>
    <w:p>
      <w:pPr>
        <w:pStyle w:val="765"/>
        <w:ind w:left="420"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账号： </w:t>
      </w:r>
      <w:r/>
    </w:p>
    <w:p>
      <w:pPr>
        <w:pStyle w:val="765"/>
        <w:ind w:left="420" w:firstLine="480"/>
        <w:jc w:val="both"/>
        <w:spacing w:beforeAutospacing="0" w:afterAutospacing="0" w:line="41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日期：______年____月____日</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rPr>
          <w:rFonts w:ascii="宋体" w:hAnsi="宋体" w:eastAsia="宋体" w:cs="宋体"/>
          <w:b/>
          <w:bCs/>
          <w:color w:val="000000" w:themeColor="text1"/>
          <w:sz w:val="24"/>
          <w14:textFill>
            <w14:solidFill>
              <w14:schemeClr w14:val="tx1"/>
            </w14:solidFill>
          </w14:textFill>
        </w:rPr>
      </w:pPr>
      <w:r>
        <w:rPr>
          <w:rFonts w:ascii="宋体" w:hAnsi="宋体" w:eastAsia="宋体" w:cs="宋体"/>
          <w:b/>
          <w:bCs/>
          <w:color w:val="000000" w:themeColor="text1"/>
          <w:sz w:val="24"/>
          <w14:textFill>
            <w14:solidFill>
              <w14:schemeClr w14:val="tx1"/>
            </w14:solidFill>
          </w14:textFill>
        </w:rPr>
        <w:br w:type="page" w:clear="all"/>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附件7           主要标的信息（中标后将公示）</w:t>
      </w:r>
      <w:r/>
    </w:p>
    <w:p>
      <w:pPr>
        <w:pStyle w:val="765"/>
        <w:jc w:val="both"/>
        <w:spacing w:beforeAutospacing="0" w:after="312"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投标人全称：</w:t>
      </w:r>
      <w:r/>
    </w:p>
    <w:tbl>
      <w:tblPr>
        <w:tblStyle w:val="747"/>
        <w:tblW w:w="0" w:type="auto"/>
        <w:tblCellSpacing w:w="0" w:type="dxa"/>
        <w:tblInd w:w="729" w:type="dxa"/>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blCellSpacing w:w="0" w:type="dxa"/>
        </w:trPr>
        <w:tc>
          <w:tcPr>
            <w:tcBorders>
              <w:top w:val="single" w:color="000000" w:sz="8" w:space="0"/>
              <w:left w:val="single" w:color="000000" w:sz="8" w:space="0"/>
              <w:bottom w:val="single" w:color="000000" w:sz="8" w:space="0"/>
              <w:right w:val="single" w:color="000000" w:sz="8" w:space="0"/>
            </w:tcBorders>
            <w:tcW w:w="3433"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货物类</w:t>
            </w:r>
            <w:r/>
          </w:p>
        </w:tc>
        <w:tc>
          <w:tcPr>
            <w:tcBorders>
              <w:top w:val="single" w:color="000000" w:sz="8" w:space="0"/>
              <w:left w:val="none" w:color="000000" w:sz="4" w:space="0"/>
              <w:bottom w:val="single" w:color="000000" w:sz="8" w:space="0"/>
              <w:right w:val="single" w:color="000000" w:sz="8" w:space="0"/>
            </w:tcBorders>
            <w:tcW w:w="3296"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服务类</w:t>
            </w:r>
            <w:r/>
          </w:p>
        </w:tc>
      </w:tr>
      <w:tr>
        <w:trPr>
          <w:tblCellSpacing w:w="0" w:type="dxa"/>
          <w:trHeight w:val="3810"/>
        </w:trPr>
        <w:tc>
          <w:tcPr>
            <w:tcBorders>
              <w:top w:val="none" w:color="000000" w:sz="4" w:space="0"/>
              <w:left w:val="single" w:color="000000" w:sz="8" w:space="0"/>
              <w:bottom w:val="single" w:color="000000" w:sz="8" w:space="0"/>
              <w:right w:val="single" w:color="000000" w:sz="8" w:space="0"/>
            </w:tcBorders>
            <w:tcW w:w="3433"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名称：</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品牌（如有）：</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规格型号：</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数量：</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单价：</w:t>
            </w:r>
            <w:r/>
          </w:p>
        </w:tc>
        <w:tc>
          <w:tcPr>
            <w:tcBorders>
              <w:top w:val="none" w:color="000000" w:sz="4" w:space="0"/>
              <w:left w:val="none" w:color="000000" w:sz="4" w:space="0"/>
              <w:bottom w:val="single" w:color="000000" w:sz="8" w:space="0"/>
              <w:right w:val="single" w:color="000000" w:sz="8" w:space="0"/>
            </w:tcBorders>
            <w:tcW w:w="3296" w:type="dxa"/>
            <w:vAlign w:val="center"/>
            <w:textDirection w:val="lrTb"/>
            <w:noWrap w:val="false"/>
          </w:tcPr>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名称：</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服务范围：</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服务要求：</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服务时间：</w:t>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服务标准：</w:t>
            </w:r>
            <w:r/>
          </w:p>
        </w:tc>
      </w:tr>
    </w:tbl>
    <w:p>
      <w:pPr>
        <w:pStyle w:val="765"/>
        <w:ind w:firstLine="200"/>
        <w:jc w:val="both"/>
        <w:spacing w:beforeAutospacing="0" w:afterAutospacing="0" w:line="45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ind w:firstLine="200"/>
        <w:jc w:val="both"/>
        <w:spacing w:beforeAutospacing="0" w:afterAutospacing="0" w:line="450" w:lineRule="atLeast"/>
        <w:rPr>
          <w:rFonts w:ascii="仿宋" w:hAnsi="仿宋" w:eastAsia="仿宋" w:cs="仿宋"/>
          <w:b/>
          <w:bCs/>
          <w:color w:val="000000" w:themeColor="text1"/>
          <w14:textFill>
            <w14:solidFill>
              <w14:schemeClr w14:val="tx1"/>
            </w14:solidFill>
          </w14:textFill>
        </w:rPr>
      </w:pPr>
      <w:r>
        <w:rPr>
          <w:rFonts w:ascii="仿宋" w:hAnsi="仿宋" w:eastAsia="仿宋" w:cs="仿宋"/>
          <w:b/>
          <w:bCs/>
          <w:color w:val="000000" w:themeColor="text1"/>
          <w14:textFill>
            <w14:solidFill>
              <w14:schemeClr w14:val="tx1"/>
            </w14:solidFill>
          </w14:textFill>
        </w:rPr>
      </w:r>
      <w:r/>
    </w:p>
    <w:p>
      <w:pPr>
        <w:pStyle w:val="765"/>
        <w:ind w:firstLine="200"/>
        <w:jc w:val="both"/>
        <w:spacing w:beforeAutospacing="0" w:afterAutospacing="0" w:line="450" w:lineRule="atLeast"/>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p>
    <w:p>
      <w:pPr>
        <w:pStyle w:val="765"/>
        <w:jc w:val="both"/>
        <w:spacing w:beforeAutospacing="0" w:afterAutospacing="0" w:line="45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附件8</w:t>
      </w:r>
      <w:r/>
    </w:p>
    <w:p>
      <w:pPr>
        <w:pStyle w:val="765"/>
        <w:ind w:firstLine="120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具备履行合同所必需的设备和专业技术能力的书面声明</w:t>
      </w:r>
      <w:r/>
    </w:p>
    <w:p>
      <w:pPr>
        <w:pStyle w:val="765"/>
        <w:ind w:firstLine="492"/>
        <w:jc w:val="both"/>
        <w:spacing w:beforeAutospacing="0" w:afterAutospacing="0" w:line="46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65"/>
        <w:ind w:firstLine="492"/>
        <w:jc w:val="both"/>
        <w:spacing w:beforeAutospacing="0" w:afterAutospacing="0" w:line="46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主要设备有：</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w:t>
      </w:r>
      <w:r/>
    </w:p>
    <w:p>
      <w:pPr>
        <w:pStyle w:val="765"/>
        <w:ind w:firstLine="492"/>
        <w:jc w:val="both"/>
        <w:spacing w:beforeAutospacing="0" w:afterAutospacing="0" w:line="46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主要专业技术能力有：</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w:t>
      </w:r>
      <w:r/>
    </w:p>
    <w:p>
      <w:pPr>
        <w:pStyle w:val="765"/>
        <w:jc w:val="both"/>
        <w:spacing w:beforeAutospacing="0" w:afterAutospacing="0" w:line="46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Autospacing="0" w:line="46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Autospacing="0" w:line="46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Autospacing="0" w:line="45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附件9</w:t>
      </w:r>
      <w:r/>
    </w:p>
    <w:p>
      <w:pPr>
        <w:pStyle w:val="765"/>
        <w:jc w:val="both"/>
        <w:spacing w:beforeAutospacing="0" w:afterAutospacing="0" w:line="46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ind w:left="480"/>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参加政府采购活动前 3 年内在经营活动中没有重大违法记录的书面声明</w:t>
      </w:r>
      <w:r/>
    </w:p>
    <w:p>
      <w:pPr>
        <w:pStyle w:val="765"/>
        <w:jc w:val="center"/>
        <w:spacing w:beforeAutospacing="0" w:afterAutospacing="0" w:line="46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ind w:firstLine="480"/>
        <w:jc w:val="both"/>
        <w:spacing w:beforeAutospacing="0" w:afterAutospacing="0" w:line="46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765"/>
        <w:jc w:val="both"/>
        <w:spacing w:beforeAutospacing="0" w:afterAutospacing="0" w:line="46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ind w:firstLine="480"/>
        <w:jc w:val="both"/>
        <w:spacing w:beforeAutospacing="0" w:afterAutospacing="0" w:line="46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jc w:val="both"/>
        <w:spacing w:beforeAutospacing="0" w:afterAutospacing="0" w:line="46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ind w:firstLine="480"/>
        <w:jc w:val="both"/>
        <w:spacing w:beforeAutospacing="0" w:afterAutospacing="0" w:line="46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rPr>
          <w:rFonts w:ascii="宋体" w:hAnsi="宋体" w:eastAsia="宋体" w:cs="宋体"/>
          <w:b/>
          <w:bCs/>
          <w:color w:val="000000" w:themeColor="text1"/>
          <w:sz w:val="24"/>
          <w14:textFill>
            <w14:solidFill>
              <w14:schemeClr w14:val="tx1"/>
            </w14:solidFill>
          </w14:textFill>
        </w:rPr>
      </w:pPr>
      <w:r>
        <w:rPr>
          <w:rFonts w:ascii="宋体" w:hAnsi="宋体" w:eastAsia="宋体" w:cs="宋体"/>
          <w:b/>
          <w:bCs/>
          <w:color w:val="000000" w:themeColor="text1"/>
          <w:sz w:val="24"/>
          <w14:textFill>
            <w14:solidFill>
              <w14:schemeClr w14:val="tx1"/>
            </w14:solidFill>
          </w14:textFill>
        </w:rPr>
        <w:br w:type="page" w:clear="all"/>
      </w:r>
      <w:r/>
    </w:p>
    <w:p>
      <w:pPr>
        <w:pStyle w:val="765"/>
        <w:spacing w:beforeAutospacing="0" w:afterAutospacing="0" w:line="499"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附件10        供应商信用承诺函</w:t>
      </w:r>
      <w:r/>
    </w:p>
    <w:p>
      <w:pPr>
        <w:pStyle w:val="765"/>
        <w:jc w:val="both"/>
        <w:spacing w:beforeAutospacing="0" w:afterAutospacing="0" w:line="499" w:lineRule="atLeast"/>
        <w:rPr>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p>
      <w:pPr>
        <w:pStyle w:val="765"/>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承诺主体名称：</w:t>
      </w:r>
      <w:r/>
    </w:p>
    <w:p>
      <w:pPr>
        <w:pStyle w:val="765"/>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统一社会信用代码：</w:t>
      </w:r>
      <w:r/>
    </w:p>
    <w:p>
      <w:pPr>
        <w:pStyle w:val="765"/>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ind w:firstLine="420"/>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765"/>
        <w:ind w:firstLine="420"/>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pStyle w:val="765"/>
        <w:ind w:firstLine="420"/>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pStyle w:val="765"/>
        <w:ind w:firstLine="420"/>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pStyle w:val="765"/>
        <w:ind w:firstLine="420"/>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四、自觉接受行政管理部门、行业组织、社会公众、新闻舆论的监督；</w:t>
      </w:r>
      <w:r/>
    </w:p>
    <w:p>
      <w:pPr>
        <w:pStyle w:val="765"/>
        <w:ind w:firstLine="420"/>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pStyle w:val="765"/>
        <w:ind w:firstLine="420"/>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六、提出政府采购质疑和投诉坚持依法依规、诚实信用原则，在全国范围12个月内没有三次以上查无实据的政府采购投诉；</w:t>
      </w:r>
      <w:r/>
    </w:p>
    <w:p>
      <w:pPr>
        <w:pStyle w:val="765"/>
        <w:ind w:firstLine="420"/>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七、严格遵守信用信息公示相关规定，向社会公示信用信息；</w:t>
      </w:r>
      <w:r/>
    </w:p>
    <w:p>
      <w:pPr>
        <w:pStyle w:val="765"/>
        <w:ind w:firstLine="420"/>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八、在“信用中国”和“中国政府采购网”网站中无严重失信记录；</w:t>
      </w:r>
      <w:r/>
    </w:p>
    <w:p>
      <w:pPr>
        <w:pStyle w:val="765"/>
        <w:ind w:firstLine="420"/>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pStyle w:val="765"/>
        <w:ind w:firstLine="420"/>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十、本承诺书自签订之日起生效。</w:t>
      </w:r>
      <w:r/>
    </w:p>
    <w:p>
      <w:pPr>
        <w:pStyle w:val="765"/>
        <w:ind w:firstLine="420"/>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（注：法定代表人或负责人、主体名称发生变更的应当重新做出承诺。）</w:t>
      </w:r>
      <w:r/>
    </w:p>
    <w:p>
      <w:pPr>
        <w:pStyle w:val="765"/>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center"/>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承诺单位（加盖CA电子公章）：    </w:t>
      </w:r>
      <w:r/>
    </w:p>
    <w:p>
      <w:pPr>
        <w:pStyle w:val="765"/>
        <w:jc w:val="center"/>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年  月  日</w:t>
      </w:r>
      <w:r/>
    </w:p>
    <w:p>
      <w:pPr>
        <w:pStyle w:val="765"/>
        <w:jc w:val="center"/>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361"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附件11        中小企业声明函（服务类项目）（采购包号：**）</w:t>
      </w:r>
      <w:r/>
    </w:p>
    <w:p>
      <w:pPr>
        <w:pStyle w:val="765"/>
        <w:ind w:firstLine="360"/>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14:textFill>
            <w14:solidFill>
              <w14:schemeClr w14:val="tx1"/>
            </w14:solidFill>
          </w14:textFill>
        </w:rPr>
        <w:t xml:space="preserve">扬州市公共资源交易中心广陵分中心</w:t>
      </w:r>
      <w:r>
        <w:rPr>
          <w:rFonts w:ascii="宋体" w:hAnsi="宋体" w:eastAsia="宋体" w:cs="宋体"/>
          <w:color w:val="000000" w:themeColor="text1"/>
          <w14:textFill>
            <w14:solidFill>
              <w14:schemeClr w14:val="tx1"/>
            </w14:solidFill>
          </w14:textFill>
        </w:rPr>
        <w:t xml:space="preserve">组织的</w:t>
      </w:r>
      <w:r>
        <w:rPr>
          <w:rFonts w:ascii="宋体" w:hAnsi="宋体" w:eastAsia="宋体" w:cs="宋体"/>
          <w:color w:val="000000" w:themeColor="text1"/>
          <w:u w:val="single"/>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扬州市广陵区卫健委健康管理型医院基层能力提升暨绩效体系建设项目</w:t>
      </w:r>
      <w:r>
        <w:rPr>
          <w:rFonts w:ascii="宋体" w:hAnsi="宋体" w:eastAsia="宋体" w:cs="宋体"/>
          <w:color w:val="000000" w:themeColor="text1"/>
          <w:u w:val="single"/>
          <w14:textFill>
            <w14:solidFill>
              <w14:schemeClr w14:val="tx1"/>
            </w14:solidFill>
          </w14:textFill>
        </w:rPr>
        <w:t xml:space="preserve">）（采购包号：</w:t>
      </w:r>
      <w:r>
        <w:rPr>
          <w:rFonts w:hint="eastAsia" w:ascii="宋体" w:hAnsi="宋体" w:eastAsia="宋体" w:cs="宋体"/>
          <w:color w:val="000000" w:themeColor="text1"/>
          <w:u w:val="single"/>
          <w:lang w:eastAsia="zh-CN"/>
          <w14:textFill>
            <w14:solidFill>
              <w14:schemeClr w14:val="tx1"/>
            </w14:solidFill>
          </w14:textFill>
        </w:rPr>
        <w:t xml:space="preserve">JSZC-321002-JZCG-G2026-0003</w:t>
      </w:r>
      <w:r>
        <w:rPr>
          <w:rFonts w:ascii="宋体" w:hAnsi="宋体" w:eastAsia="宋体" w:cs="宋体"/>
          <w:color w:val="000000" w:themeColor="text1"/>
          <w:u w:val="single"/>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的采购活动，服务全部由符合政策的中小企业承接。相关企业（含联合体中的中小企业、签订采购包意向协议的中小企业）的具体情况如下：</w:t>
      </w:r>
      <w:r/>
    </w:p>
    <w:p>
      <w:pPr>
        <w:pStyle w:val="765"/>
        <w:ind w:firstLine="360"/>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w:t>
      </w:r>
      <w:r>
        <w:rPr>
          <w:rFonts w:ascii="宋体" w:hAnsi="宋体" w:eastAsia="宋体" w:cs="宋体"/>
          <w:color w:val="000000" w:themeColor="text1"/>
          <w:u w:val="single"/>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扬州市广陵区卫健委健康管理型医院基层能力提升暨绩效体系建设项目</w:t>
      </w:r>
      <w:r>
        <w:rPr>
          <w:rFonts w:ascii="宋体" w:hAnsi="宋体" w:eastAsia="宋体" w:cs="宋体"/>
          <w:color w:val="000000" w:themeColor="text1"/>
          <w:u w:val="single"/>
          <w14:textFill>
            <w14:solidFill>
              <w14:schemeClr w14:val="tx1"/>
            </w14:solidFill>
          </w14:textFill>
        </w:rPr>
        <w:t xml:space="preserve">）</w:t>
      </w:r>
      <w:r>
        <w:rPr>
          <w:rFonts w:ascii="宋体" w:hAnsi="宋体" w:eastAsia="宋体" w:cs="宋体"/>
          <w:i/>
          <w:iCs/>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属于</w:t>
      </w:r>
      <w:r>
        <w:rPr>
          <w:rFonts w:ascii="宋体" w:hAnsi="宋体" w:eastAsia="宋体" w:cs="宋体"/>
          <w:color w:val="000000" w:themeColor="text1"/>
          <w:u w:val="single"/>
          <w14:textFill>
            <w14:solidFill>
              <w14:schemeClr w14:val="tx1"/>
            </w14:solidFill>
          </w14:textFill>
        </w:rPr>
        <w:t xml:space="preserve">（</w:t>
      </w:r>
      <w:r>
        <w:rPr>
          <w:rFonts w:hint="eastAsia" w:ascii="宋体" w:hAnsi="宋体" w:eastAsia="宋体" w:cs="宋体"/>
          <w:color w:val="000000" w:themeColor="text1"/>
          <w:u w:val="single"/>
          <w14:textFill>
            <w14:solidFill>
              <w14:schemeClr w14:val="tx1"/>
            </w14:solidFill>
          </w14:textFill>
        </w:rPr>
        <w:t xml:space="preserve">软件和信息技术服务业 </w:t>
      </w:r>
      <w:r>
        <w:rPr>
          <w:rFonts w:ascii="宋体" w:hAnsi="宋体" w:eastAsia="宋体" w:cs="宋体"/>
          <w:color w:val="000000" w:themeColor="text1"/>
          <w:u w:val="single"/>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行业；承接企业为</w:t>
      </w:r>
      <w:r>
        <w:rPr>
          <w:rFonts w:ascii="宋体" w:hAnsi="宋体" w:eastAsia="宋体" w:cs="宋体"/>
          <w:color w:val="000000" w:themeColor="text1"/>
          <w:u w:val="single"/>
          <w14:textFill>
            <w14:solidFill>
              <w14:schemeClr w14:val="tx1"/>
            </w14:solidFill>
          </w14:textFill>
        </w:rPr>
        <w:t xml:space="preserve">（企业名称）</w:t>
      </w:r>
      <w:r>
        <w:rPr>
          <w:rFonts w:ascii="宋体" w:hAnsi="宋体" w:eastAsia="宋体" w:cs="宋体"/>
          <w:color w:val="000000" w:themeColor="text1"/>
          <w14:textFill>
            <w14:solidFill>
              <w14:schemeClr w14:val="tx1"/>
            </w14:solidFill>
          </w14:textFill>
        </w:rPr>
        <w:t xml:space="preserve">，从业人员</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人，营业收入为</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万元，资产总额为</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万元</w:t>
      </w:r>
      <w:r>
        <w:rPr>
          <w:rFonts w:ascii="宋体" w:hAnsi="宋体" w:eastAsia="宋体" w:cs="宋体"/>
          <w:color w:val="000000" w:themeColor="text1"/>
          <w:vertAlign w:val="superscript"/>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，属于</w:t>
      </w:r>
      <w:r>
        <w:rPr>
          <w:rFonts w:ascii="宋体" w:hAnsi="宋体" w:eastAsia="宋体" w:cs="宋体"/>
          <w:color w:val="000000" w:themeColor="text1"/>
          <w:u w:val="single"/>
          <w14:textFill>
            <w14:solidFill>
              <w14:schemeClr w14:val="tx1"/>
            </w14:solidFill>
          </w14:textFill>
        </w:rPr>
        <w:t xml:space="preserve">（□中型企业 □小型企业 □微型企业）；</w:t>
      </w:r>
      <w:r/>
    </w:p>
    <w:p>
      <w:pPr>
        <w:pStyle w:val="765"/>
        <w:ind w:firstLine="360"/>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w:t>
      </w:r>
      <w:r>
        <w:rPr>
          <w:rFonts w:ascii="宋体" w:hAnsi="宋体" w:eastAsia="宋体" w:cs="宋体"/>
          <w:color w:val="000000" w:themeColor="text1"/>
          <w:u w:val="single"/>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扬州市广陵区卫健委健康管理型医院基层能力提升暨绩效体系建设项目</w:t>
      </w:r>
      <w:r>
        <w:rPr>
          <w:rFonts w:ascii="宋体" w:hAnsi="宋体" w:eastAsia="宋体" w:cs="宋体"/>
          <w:color w:val="000000" w:themeColor="text1"/>
          <w:u w:val="single"/>
          <w14:textFill>
            <w14:solidFill>
              <w14:schemeClr w14:val="tx1"/>
            </w14:solidFill>
          </w14:textFill>
        </w:rPr>
        <w:t xml:space="preserve">）</w:t>
      </w:r>
      <w:r>
        <w:rPr>
          <w:rFonts w:ascii="宋体" w:hAnsi="宋体" w:eastAsia="宋体" w:cs="宋体"/>
          <w:i/>
          <w:iCs/>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属于</w:t>
      </w:r>
      <w:r>
        <w:rPr>
          <w:rFonts w:ascii="宋体" w:hAnsi="宋体" w:eastAsia="宋体" w:cs="宋体"/>
          <w:color w:val="000000" w:themeColor="text1"/>
          <w:u w:val="single"/>
          <w14:textFill>
            <w14:solidFill>
              <w14:schemeClr w14:val="tx1"/>
            </w14:solidFill>
          </w14:textFill>
        </w:rPr>
        <w:t xml:space="preserve">（</w:t>
      </w:r>
      <w:r>
        <w:rPr>
          <w:rFonts w:hint="eastAsia" w:ascii="宋体" w:hAnsi="宋体" w:eastAsia="宋体" w:cs="宋体"/>
          <w:color w:val="000000" w:themeColor="text1"/>
          <w:u w:val="single"/>
          <w14:textFill>
            <w14:solidFill>
              <w14:schemeClr w14:val="tx1"/>
            </w14:solidFill>
          </w14:textFill>
        </w:rPr>
        <w:t xml:space="preserve">软件和信息技术服务业 </w:t>
      </w:r>
      <w:r>
        <w:rPr>
          <w:rFonts w:ascii="宋体" w:hAnsi="宋体" w:eastAsia="宋体" w:cs="宋体"/>
          <w:color w:val="000000" w:themeColor="text1"/>
          <w:u w:val="single"/>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行业；承接企业为</w:t>
      </w:r>
      <w:r>
        <w:rPr>
          <w:rFonts w:ascii="宋体" w:hAnsi="宋体" w:eastAsia="宋体" w:cs="宋体"/>
          <w:color w:val="000000" w:themeColor="text1"/>
          <w:u w:val="single"/>
          <w14:textFill>
            <w14:solidFill>
              <w14:schemeClr w14:val="tx1"/>
            </w14:solidFill>
          </w14:textFill>
        </w:rPr>
        <w:t xml:space="preserve">（企业名称）</w:t>
      </w:r>
      <w:r>
        <w:rPr>
          <w:rFonts w:ascii="宋体" w:hAnsi="宋体" w:eastAsia="宋体" w:cs="宋体"/>
          <w:color w:val="000000" w:themeColor="text1"/>
          <w14:textFill>
            <w14:solidFill>
              <w14:schemeClr w14:val="tx1"/>
            </w14:solidFill>
          </w14:textFill>
        </w:rPr>
        <w:t xml:space="preserve">，从业人员</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人，营业收入为</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万元，资产总额为</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万元</w:t>
      </w:r>
      <w:r>
        <w:rPr>
          <w:rFonts w:ascii="宋体" w:hAnsi="宋体" w:eastAsia="宋体" w:cs="宋体"/>
          <w:color w:val="000000" w:themeColor="text1"/>
          <w:vertAlign w:val="superscript"/>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，属于</w:t>
      </w:r>
      <w:r>
        <w:rPr>
          <w:rFonts w:ascii="宋体" w:hAnsi="宋体" w:eastAsia="宋体" w:cs="宋体"/>
          <w:color w:val="000000" w:themeColor="text1"/>
          <w:u w:val="single"/>
          <w14:textFill>
            <w14:solidFill>
              <w14:schemeClr w14:val="tx1"/>
            </w14:solidFill>
          </w14:textFill>
        </w:rPr>
        <w:t xml:space="preserve">（□中型企业 □小型企业 □微型企业）；</w:t>
      </w:r>
      <w:r/>
    </w:p>
    <w:p>
      <w:pPr>
        <w:pStyle w:val="765"/>
        <w:ind w:firstLine="360"/>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w:t>
      </w:r>
      <w:r/>
    </w:p>
    <w:p>
      <w:pPr>
        <w:pStyle w:val="765"/>
        <w:ind w:firstLine="360"/>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765"/>
        <w:ind w:firstLine="360"/>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本企业对上述声明内容的真实性负责。如有虚假，将依法承担相应责任</w:t>
      </w:r>
      <w:r/>
    </w:p>
    <w:p>
      <w:pPr>
        <w:pStyle w:val="765"/>
        <w:ind w:right="720"/>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p>
      <w:pPr>
        <w:pStyle w:val="765"/>
        <w:ind w:right="180" w:firstLine="360"/>
        <w:jc w:val="right"/>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企业名称（加盖CA电子公章）：</w:t>
      </w:r>
      <w:r/>
    </w:p>
    <w:p>
      <w:pPr>
        <w:pStyle w:val="765"/>
        <w:ind w:right="480" w:firstLine="5400"/>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日  期：</w:t>
      </w:r>
      <w:r/>
    </w:p>
    <w:p>
      <w:pPr>
        <w:pStyle w:val="765"/>
        <w:ind w:firstLine="240"/>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p>
      <w:pPr>
        <w:pStyle w:val="765"/>
        <w:ind w:firstLine="480"/>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备注：</w:t>
      </w:r>
      <w:r/>
    </w:p>
    <w:p>
      <w:pPr>
        <w:pStyle w:val="765"/>
        <w:ind w:firstLine="480"/>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1.从业人员、营业收入、资产总额填报上一年度数据，无上一年度数据的新成立企业可不填报。</w:t>
      </w:r>
      <w:r/>
    </w:p>
    <w:p>
      <w:pPr>
        <w:pStyle w:val="765"/>
        <w:ind w:firstLine="480"/>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pStyle w:val="765"/>
        <w:ind w:left="540" w:hanging="120"/>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3.供应商应对照《工业和信息化部、国家统计局、国家发展和改革委员会、财政</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center"/>
        <w:spacing w:beforeAutospacing="0" w:afterAutospacing="0"/>
        <w:rPr>
          <w:color w:val="000000" w:themeColor="text1"/>
          <w14:textFill>
            <w14:solidFill>
              <w14:schemeClr w14:val="tx1"/>
            </w14:solidFill>
          </w14:textFill>
        </w:rPr>
      </w:pPr>
      <w:r>
        <w:rPr>
          <w:rFonts w:ascii="Times New Roman" w:hAnsi="Times New Roman"/>
          <w:b/>
          <w:bCs/>
          <w:color w:val="000000" w:themeColor="text1"/>
          <w:sz w:val="21"/>
          <w:szCs w:val="21"/>
          <w14:textFill>
            <w14:solidFill>
              <w14:schemeClr w14:val="tx1"/>
            </w14:solidFill>
          </w14:textFill>
        </w:rPr>
        <w:t xml:space="preserve"> </w:t>
      </w:r>
      <w:r/>
    </w:p>
    <w:p>
      <w:pPr>
        <w:pStyle w:val="765"/>
        <w:jc w:val="both"/>
        <w:spacing w:before="300" w:beforeAutospacing="0" w:after="452" w:afterAutospacing="0"/>
        <w:rPr>
          <w:color w:val="000000" w:themeColor="text1"/>
          <w14:textFill>
            <w14:solidFill>
              <w14:schemeClr w14:val="tx1"/>
            </w14:solidFill>
          </w14:textFill>
        </w:rPr>
      </w:pPr>
      <w:r>
        <w:rPr>
          <w:rFonts w:ascii="等线" w:hAnsi="等线" w:eastAsia="等线" w:cs="等线"/>
          <w:b/>
          <w:bCs/>
          <w:color w:val="000000" w:themeColor="text1"/>
          <w:sz w:val="21"/>
          <w:szCs w:val="21"/>
          <w14:textFill>
            <w14:solidFill>
              <w14:schemeClr w14:val="tx1"/>
            </w14:solidFill>
          </w14:textFill>
        </w:rPr>
        <w:t xml:space="preserve">中小微企业划型标准如下：</w:t>
      </w:r>
      <w:r/>
    </w:p>
    <w:tbl>
      <w:tblPr>
        <w:tblStyle w:val="747"/>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1659"/>
        <w:gridCol w:w="1373"/>
        <w:gridCol w:w="1221"/>
        <w:gridCol w:w="1115"/>
        <w:gridCol w:w="1635"/>
        <w:gridCol w:w="1513"/>
      </w:tblGrid>
      <w:tr>
        <w:trPr>
          <w:tblCellSpacing w:w="0" w:type="dxa"/>
          <w:trHeight w:val="28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中型</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小型</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微型</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营业收入（</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500≤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20000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50≤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500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50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工业</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从业人员（</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300≤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20≤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300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X＜</w:t>
            </w:r>
            <w:r>
              <w:rPr>
                <w:rFonts w:ascii="宋体" w:hAnsi="宋体" w:eastAsia="宋体" w:cs="宋体"/>
                <w:b/>
                <w:bCs/>
                <w:color w:val="000000" w:themeColor="text1"/>
                <w:sz w:val="21"/>
                <w:szCs w:val="21"/>
                <w14:textFill>
                  <w14:solidFill>
                    <w14:schemeClr w14:val="tx1"/>
                  </w14:solidFill>
                </w14:textFill>
              </w:rPr>
              <w:t xml:space="preserve">20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营业收入（</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2000≤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40000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300≤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2000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300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建筑业</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营业收入（</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6000≤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80000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300≤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6000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300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资产总额（</w:t>
            </w:r>
            <w:r>
              <w:rPr>
                <w:rFonts w:ascii="宋体" w:hAnsi="宋体" w:eastAsia="宋体" w:cs="宋体"/>
                <w:b/>
                <w:bCs/>
                <w:color w:val="000000" w:themeColor="text1"/>
                <w:sz w:val="21"/>
                <w:szCs w:val="21"/>
                <w14:textFill>
                  <w14:solidFill>
                    <w14:schemeClr w14:val="tx1"/>
                  </w14:solidFill>
                </w14:textFill>
              </w:rPr>
              <w:t xml:space="preserve">Z</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5000≤</w:t>
            </w:r>
            <w:r>
              <w:rPr>
                <w:rFonts w:ascii="宋体" w:hAnsi="宋体" w:eastAsia="宋体" w:cs="宋体"/>
                <w:b/>
                <w:bCs/>
                <w:color w:val="000000" w:themeColor="text1"/>
                <w:sz w:val="21"/>
                <w:szCs w:val="21"/>
                <w14:textFill>
                  <w14:solidFill>
                    <w14:schemeClr w14:val="tx1"/>
                  </w14:solidFill>
                </w14:textFill>
              </w:rPr>
              <w:t xml:space="preserve">Z</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80000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300≤</w:t>
            </w:r>
            <w:r>
              <w:rPr>
                <w:rFonts w:ascii="宋体" w:hAnsi="宋体" w:eastAsia="宋体" w:cs="宋体"/>
                <w:b/>
                <w:bCs/>
                <w:color w:val="000000" w:themeColor="text1"/>
                <w:sz w:val="21"/>
                <w:szCs w:val="21"/>
                <w14:textFill>
                  <w14:solidFill>
                    <w14:schemeClr w14:val="tx1"/>
                  </w14:solidFill>
                </w14:textFill>
              </w:rPr>
              <w:t xml:space="preserve">Z</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5000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Z＜</w:t>
            </w:r>
            <w:r>
              <w:rPr>
                <w:rFonts w:ascii="宋体" w:hAnsi="宋体" w:eastAsia="宋体" w:cs="宋体"/>
                <w:b/>
                <w:bCs/>
                <w:color w:val="000000" w:themeColor="text1"/>
                <w:sz w:val="21"/>
                <w:szCs w:val="21"/>
                <w14:textFill>
                  <w14:solidFill>
                    <w14:schemeClr w14:val="tx1"/>
                  </w14:solidFill>
                </w14:textFill>
              </w:rPr>
              <w:t xml:space="preserve">300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批发业</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从业人员（</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20≤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200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5≤</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20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X＜</w:t>
            </w:r>
            <w:r>
              <w:rPr>
                <w:rFonts w:ascii="宋体" w:hAnsi="宋体" w:eastAsia="宋体" w:cs="宋体"/>
                <w:b/>
                <w:bCs/>
                <w:color w:val="000000" w:themeColor="text1"/>
                <w:sz w:val="21"/>
                <w:szCs w:val="21"/>
                <w14:textFill>
                  <w14:solidFill>
                    <w14:schemeClr w14:val="tx1"/>
                  </w14:solidFill>
                </w14:textFill>
              </w:rPr>
              <w:t xml:space="preserve">5</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营业收入（</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5000≤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40000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5000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1000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零售业</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从业人员（</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50≤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300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50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X＜</w:t>
            </w:r>
            <w:r>
              <w:rPr>
                <w:rFonts w:ascii="宋体" w:hAnsi="宋体" w:eastAsia="宋体" w:cs="宋体"/>
                <w:b/>
                <w:bCs/>
                <w:color w:val="000000" w:themeColor="text1"/>
                <w:sz w:val="21"/>
                <w:szCs w:val="21"/>
                <w14:textFill>
                  <w14:solidFill>
                    <w14:schemeClr w14:val="tx1"/>
                  </w14:solidFill>
                </w14:textFill>
              </w:rPr>
              <w:t xml:space="preserve">10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营业收入（</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500≤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20000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500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100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从业人员（</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300≤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20≤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300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X＜</w:t>
            </w:r>
            <w:r>
              <w:rPr>
                <w:rFonts w:ascii="宋体" w:hAnsi="宋体" w:eastAsia="宋体" w:cs="宋体"/>
                <w:b/>
                <w:bCs/>
                <w:color w:val="000000" w:themeColor="text1"/>
                <w:sz w:val="21"/>
                <w:szCs w:val="21"/>
                <w14:textFill>
                  <w14:solidFill>
                    <w14:schemeClr w14:val="tx1"/>
                  </w14:solidFill>
                </w14:textFill>
              </w:rPr>
              <w:t xml:space="preserve">20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营业收入（</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3000≤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30000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200≤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3000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200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仓储业</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从业人员（</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200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20≤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X＜</w:t>
            </w:r>
            <w:r>
              <w:rPr>
                <w:rFonts w:ascii="宋体" w:hAnsi="宋体" w:eastAsia="宋体" w:cs="宋体"/>
                <w:b/>
                <w:bCs/>
                <w:color w:val="000000" w:themeColor="text1"/>
                <w:sz w:val="21"/>
                <w:szCs w:val="21"/>
                <w14:textFill>
                  <w14:solidFill>
                    <w14:schemeClr w14:val="tx1"/>
                  </w14:solidFill>
                </w14:textFill>
              </w:rPr>
              <w:t xml:space="preserve">20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营业收入（</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30000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100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邮政业</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从业人员（</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300≤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20≤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300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X＜</w:t>
            </w:r>
            <w:r>
              <w:rPr>
                <w:rFonts w:ascii="宋体" w:hAnsi="宋体" w:eastAsia="宋体" w:cs="宋体"/>
                <w:b/>
                <w:bCs/>
                <w:color w:val="000000" w:themeColor="text1"/>
                <w:sz w:val="21"/>
                <w:szCs w:val="21"/>
                <w14:textFill>
                  <w14:solidFill>
                    <w14:schemeClr w14:val="tx1"/>
                  </w14:solidFill>
                </w14:textFill>
              </w:rPr>
              <w:t xml:space="preserve">20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营业收入（</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2000≤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30000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2000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100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住宿业</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从业人员（</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300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X＜</w:t>
            </w:r>
            <w:r>
              <w:rPr>
                <w:rFonts w:ascii="宋体" w:hAnsi="宋体" w:eastAsia="宋体" w:cs="宋体"/>
                <w:b/>
                <w:bCs/>
                <w:color w:val="000000" w:themeColor="text1"/>
                <w:sz w:val="21"/>
                <w:szCs w:val="21"/>
                <w14:textFill>
                  <w14:solidFill>
                    <w14:schemeClr w14:val="tx1"/>
                  </w14:solidFill>
                </w14:textFill>
              </w:rPr>
              <w:t xml:space="preserve">10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营业收入（</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2000≤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2000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100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餐饮业</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从业人员（</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300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X＜</w:t>
            </w:r>
            <w:r>
              <w:rPr>
                <w:rFonts w:ascii="宋体" w:hAnsi="宋体" w:eastAsia="宋体" w:cs="宋体"/>
                <w:b/>
                <w:bCs/>
                <w:color w:val="000000" w:themeColor="text1"/>
                <w:sz w:val="21"/>
                <w:szCs w:val="21"/>
                <w14:textFill>
                  <w14:solidFill>
                    <w14:schemeClr w14:val="tx1"/>
                  </w14:solidFill>
                </w14:textFill>
              </w:rPr>
              <w:t xml:space="preserve">10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营业收入（</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2000≤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2000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100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从业人员（</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2000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X＜</w:t>
            </w:r>
            <w:r>
              <w:rPr>
                <w:rFonts w:ascii="宋体" w:hAnsi="宋体" w:eastAsia="宋体" w:cs="宋体"/>
                <w:b/>
                <w:bCs/>
                <w:color w:val="000000" w:themeColor="text1"/>
                <w:sz w:val="21"/>
                <w:szCs w:val="21"/>
                <w14:textFill>
                  <w14:solidFill>
                    <w14:schemeClr w14:val="tx1"/>
                  </w14:solidFill>
                </w14:textFill>
              </w:rPr>
              <w:t xml:space="preserve">10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营业收入（</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100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765"/>
              <w:ind w:firstLine="420"/>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从业人员（</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300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X＜</w:t>
            </w:r>
            <w:r>
              <w:rPr>
                <w:rFonts w:ascii="宋体" w:hAnsi="宋体" w:eastAsia="宋体" w:cs="宋体"/>
                <w:b/>
                <w:bCs/>
                <w:color w:val="000000" w:themeColor="text1"/>
                <w:sz w:val="21"/>
                <w:szCs w:val="21"/>
                <w14:textFill>
                  <w14:solidFill>
                    <w14:schemeClr w14:val="tx1"/>
                  </w14:solidFill>
                </w14:textFill>
              </w:rPr>
              <w:t xml:space="preserve">10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营业收入（</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50≤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50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营业收入（</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200000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X＜</w:t>
            </w:r>
            <w:r>
              <w:rPr>
                <w:rFonts w:ascii="宋体" w:hAnsi="宋体" w:eastAsia="宋体" w:cs="宋体"/>
                <w:b/>
                <w:bCs/>
                <w:color w:val="000000" w:themeColor="text1"/>
                <w:sz w:val="21"/>
                <w:szCs w:val="21"/>
                <w14:textFill>
                  <w14:solidFill>
                    <w14:schemeClr w14:val="tx1"/>
                  </w14:solidFill>
                </w14:textFill>
              </w:rPr>
              <w:t xml:space="preserve">100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资产总额（</w:t>
            </w:r>
            <w:r>
              <w:rPr>
                <w:rFonts w:ascii="宋体" w:hAnsi="宋体" w:eastAsia="宋体" w:cs="宋体"/>
                <w:b/>
                <w:bCs/>
                <w:color w:val="000000" w:themeColor="text1"/>
                <w:sz w:val="21"/>
                <w:szCs w:val="21"/>
                <w14:textFill>
                  <w14:solidFill>
                    <w14:schemeClr w14:val="tx1"/>
                  </w14:solidFill>
                </w14:textFill>
              </w:rPr>
              <w:t xml:space="preserve">Z</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5000≤</w:t>
            </w:r>
            <w:r>
              <w:rPr>
                <w:rFonts w:ascii="宋体" w:hAnsi="宋体" w:eastAsia="宋体" w:cs="宋体"/>
                <w:b/>
                <w:bCs/>
                <w:color w:val="000000" w:themeColor="text1"/>
                <w:sz w:val="21"/>
                <w:szCs w:val="21"/>
                <w14:textFill>
                  <w14:solidFill>
                    <w14:schemeClr w14:val="tx1"/>
                  </w14:solidFill>
                </w14:textFill>
              </w:rPr>
              <w:t xml:space="preserve">Z</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2000≤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5000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2000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从业人员（</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300≤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300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X＜</w:t>
            </w:r>
            <w:r>
              <w:rPr>
                <w:rFonts w:ascii="宋体" w:hAnsi="宋体" w:eastAsia="宋体" w:cs="宋体"/>
                <w:b/>
                <w:bCs/>
                <w:color w:val="000000" w:themeColor="text1"/>
                <w:sz w:val="21"/>
                <w:szCs w:val="21"/>
                <w14:textFill>
                  <w14:solidFill>
                    <w14:schemeClr w14:val="tx1"/>
                  </w14:solidFill>
                </w14:textFill>
              </w:rPr>
              <w:t xml:space="preserve">100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营业收入（</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5000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500≤</w:t>
            </w:r>
            <w:r>
              <w:rPr>
                <w:rFonts w:ascii="宋体" w:hAnsi="宋体" w:eastAsia="宋体" w:cs="宋体"/>
                <w:b/>
                <w:bCs/>
                <w:color w:val="000000" w:themeColor="text1"/>
                <w:sz w:val="21"/>
                <w:szCs w:val="21"/>
                <w14:textFill>
                  <w14:solidFill>
                    <w14:schemeClr w14:val="tx1"/>
                  </w14:solidFill>
                </w14:textFill>
              </w:rPr>
              <w:t xml:space="preserve">Y</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500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从业人员（</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300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X＜</w:t>
            </w:r>
            <w:r>
              <w:rPr>
                <w:rFonts w:ascii="宋体" w:hAnsi="宋体" w:eastAsia="宋体" w:cs="宋体"/>
                <w:b/>
                <w:bCs/>
                <w:color w:val="000000" w:themeColor="text1"/>
                <w:sz w:val="21"/>
                <w:szCs w:val="21"/>
                <w14:textFill>
                  <w14:solidFill>
                    <w14:schemeClr w14:val="tx1"/>
                  </w14:solidFill>
                </w14:textFill>
              </w:rPr>
              <w:t xml:space="preserve">10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资产总额（</w:t>
            </w:r>
            <w:r>
              <w:rPr>
                <w:rFonts w:ascii="宋体" w:hAnsi="宋体" w:eastAsia="宋体" w:cs="宋体"/>
                <w:b/>
                <w:bCs/>
                <w:color w:val="000000" w:themeColor="text1"/>
                <w:sz w:val="21"/>
                <w:szCs w:val="21"/>
                <w14:textFill>
                  <w14:solidFill>
                    <w14:schemeClr w14:val="tx1"/>
                  </w14:solidFill>
                </w14:textFill>
              </w:rPr>
              <w:t xml:space="preserve">Z</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8000≤</w:t>
            </w:r>
            <w:r>
              <w:rPr>
                <w:rFonts w:ascii="宋体" w:hAnsi="宋体" w:eastAsia="宋体" w:cs="宋体"/>
                <w:b/>
                <w:bCs/>
                <w:color w:val="000000" w:themeColor="text1"/>
                <w:sz w:val="21"/>
                <w:szCs w:val="21"/>
                <w14:textFill>
                  <w14:solidFill>
                    <w14:schemeClr w14:val="tx1"/>
                  </w14:solidFill>
                </w14:textFill>
              </w:rPr>
              <w:t xml:space="preserve">Z</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120000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Z</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8000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Y＜</w:t>
            </w:r>
            <w:r>
              <w:rPr>
                <w:rFonts w:ascii="宋体" w:hAnsi="宋体" w:eastAsia="宋体" w:cs="宋体"/>
                <w:b/>
                <w:bCs/>
                <w:color w:val="000000" w:themeColor="text1"/>
                <w:sz w:val="21"/>
                <w:szCs w:val="21"/>
                <w14:textFill>
                  <w14:solidFill>
                    <w14:schemeClr w14:val="tx1"/>
                  </w14:solidFill>
                </w14:textFill>
              </w:rPr>
              <w:t xml:space="preserve">100</w:t>
            </w:r>
            <w:r/>
          </w:p>
        </w:tc>
      </w:tr>
      <w:tr>
        <w:trPr>
          <w:tblCellSpacing w:w="0" w:type="dxa"/>
          <w:trHeight w:val="225"/>
        </w:trPr>
        <w:tc>
          <w:tcPr>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从业人员（</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765"/>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300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765"/>
              <w:jc w:val="center"/>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10≤</w:t>
            </w:r>
            <w:r>
              <w:rPr>
                <w:rFonts w:ascii="宋体" w:hAnsi="宋体" w:eastAsia="宋体" w:cs="宋体"/>
                <w:b/>
                <w:bCs/>
                <w:color w:val="000000" w:themeColor="text1"/>
                <w:sz w:val="21"/>
                <w:szCs w:val="21"/>
                <w14:textFill>
                  <w14:solidFill>
                    <w14:schemeClr w14:val="tx1"/>
                  </w14:solidFill>
                </w14:textFill>
              </w:rPr>
              <w:t xml:space="preserve">X</w:t>
            </w:r>
            <w:r>
              <w:rPr>
                <w:rFonts w:hint="eastAsia" w:ascii="等线" w:hAnsi="等线" w:eastAsia="等线" w:cs="等线"/>
                <w:b/>
                <w:bCs/>
                <w:color w:val="000000" w:themeColor="text1"/>
                <w:sz w:val="21"/>
                <w:szCs w:val="21"/>
                <w14:textFill>
                  <w14:solidFill>
                    <w14:schemeClr w14:val="tx1"/>
                  </w14:solidFill>
                </w14:textFill>
              </w:rPr>
              <w:t xml:space="preserve">＜</w:t>
            </w:r>
            <w:r>
              <w:rPr>
                <w:rFonts w:ascii="宋体" w:hAnsi="宋体" w:eastAsia="宋体" w:cs="宋体"/>
                <w:b/>
                <w:bCs/>
                <w:color w:val="000000" w:themeColor="text1"/>
                <w:sz w:val="21"/>
                <w:szCs w:val="21"/>
                <w14:textFill>
                  <w14:solidFill>
                    <w14:schemeClr w14:val="tx1"/>
                  </w14:solidFill>
                </w14:textFill>
              </w:rPr>
              <w:t xml:space="preserve">100</w:t>
            </w:r>
            <w:r/>
          </w:p>
        </w:tc>
        <w:tc>
          <w:tcPr>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765"/>
              <w:ind w:firstLine="420"/>
              <w:jc w:val="both"/>
              <w:spacing w:beforeAutospacing="0" w:after="150"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X＜</w:t>
            </w:r>
            <w:r>
              <w:rPr>
                <w:rFonts w:ascii="宋体" w:hAnsi="宋体" w:eastAsia="宋体" w:cs="宋体"/>
                <w:b/>
                <w:bCs/>
                <w:color w:val="000000" w:themeColor="text1"/>
                <w:sz w:val="21"/>
                <w:szCs w:val="21"/>
                <w14:textFill>
                  <w14:solidFill>
                    <w14:schemeClr w14:val="tx1"/>
                  </w14:solidFill>
                </w14:textFill>
              </w:rPr>
              <w:t xml:space="preserve">10</w:t>
            </w:r>
            <w:r/>
          </w:p>
        </w:tc>
      </w:tr>
    </w:tbl>
    <w:p>
      <w:pPr>
        <w:pStyle w:val="765"/>
        <w:ind w:firstLine="810"/>
        <w:jc w:val="both"/>
        <w:spacing w:before="300" w:beforeAutospacing="0" w:after="452" w:afterAutospacing="0"/>
        <w:rPr>
          <w:color w:val="000000" w:themeColor="text1"/>
          <w14:textFill>
            <w14:solidFill>
              <w14:schemeClr w14:val="tx1"/>
            </w14:solidFill>
          </w14:textFill>
        </w:rPr>
      </w:pPr>
      <w:r>
        <w:rPr>
          <w:rFonts w:hint="eastAsia" w:ascii="等线" w:hAnsi="等线" w:eastAsia="等线" w:cs="等线"/>
          <w:b/>
          <w:bCs/>
          <w:color w:val="000000" w:themeColor="text1"/>
          <w:sz w:val="21"/>
          <w:szCs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附件12     残疾人福利性单位声明函（服务类项目）（采购包号：**）</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本单位对上述声明的真实性负责。如有虚假，将依法承担相应责任。</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备注：</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1.专门面向中小微型企业采购的项目，供应商为残疾人福利性单位并提供服务的必须提供此声明函，否则将不能通过资格审查。</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2.非专门面向中小微型企业采购的项目，供应商如不提供此声明函，价格将不做相应扣除。</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3.中标/成交供应商为残疾人福利性单位的，此声明函将随中标/成交结果同时公告，接受社会监督</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供应商全称（加盖CA电子公章）：</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日期：</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rPr>
          <w:rFonts w:ascii="宋体" w:hAnsi="宋体" w:eastAsia="宋体" w:cs="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br w:type="page" w:clear="all"/>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附件13          联合体协议（参考格式）（采购包号：**）</w:t>
      </w:r>
      <w:r/>
    </w:p>
    <w:p>
      <w:pPr>
        <w:pStyle w:val="765"/>
        <w:jc w:val="both"/>
        <w:spacing w:beforeAutospacing="0" w:afterAutospacing="0" w:line="40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（联合体中各供应商全称）在此达成以下协议：</w:t>
      </w:r>
      <w:r/>
    </w:p>
    <w:p>
      <w:pPr>
        <w:pStyle w:val="765"/>
        <w:ind w:firstLine="64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1、我们</w:t>
      </w:r>
      <w:r>
        <w:rPr>
          <w:rFonts w:ascii="宋体" w:hAnsi="宋体" w:eastAsia="宋体" w:cs="宋体"/>
          <w:color w:val="000000" w:themeColor="text1"/>
          <w:u w:val="single"/>
          <w14:textFill>
            <w14:solidFill>
              <w14:schemeClr w14:val="tx1"/>
            </w14:solidFill>
          </w14:textFill>
        </w:rPr>
        <w:t xml:space="preserve"> （供应商1），（供应商2） ，……</w:t>
      </w:r>
      <w:r>
        <w:rPr>
          <w:rFonts w:ascii="宋体" w:hAnsi="宋体" w:eastAsia="宋体" w:cs="宋体"/>
          <w:color w:val="000000" w:themeColor="text1"/>
          <w14:textFill>
            <w14:solidFill>
              <w14:schemeClr w14:val="tx1"/>
            </w14:solidFill>
          </w14:textFill>
        </w:rPr>
        <w:t xml:space="preserve">自愿组成联合体，参加</w:t>
      </w:r>
      <w:r>
        <w:rPr>
          <w:rFonts w:hint="eastAsia" w:ascii="宋体" w:hAnsi="宋体" w:eastAsia="宋体" w:cs="宋体"/>
          <w:color w:val="000000" w:themeColor="text1"/>
          <w14:textFill>
            <w14:solidFill>
              <w14:schemeClr w14:val="tx1"/>
            </w14:solidFill>
          </w14:textFill>
        </w:rPr>
        <w:t xml:space="preserve">扬州市公共资源交易中心广陵分中心</w:t>
      </w:r>
      <w:r>
        <w:rPr>
          <w:rFonts w:ascii="宋体" w:hAnsi="宋体" w:eastAsia="宋体" w:cs="宋体"/>
          <w:color w:val="000000" w:themeColor="text1"/>
          <w14:textFill>
            <w14:solidFill>
              <w14:schemeClr w14:val="tx1"/>
            </w14:solidFill>
          </w14:textFill>
        </w:rPr>
        <w:t xml:space="preserve">组织的采购编号为</w:t>
      </w:r>
      <w:r>
        <w:rPr>
          <w:rFonts w:ascii="宋体" w:hAnsi="宋体" w:eastAsia="宋体" w:cs="宋体"/>
          <w:color w:val="000000" w:themeColor="text1"/>
          <w:u w:val="single"/>
          <w14:textFill>
            <w14:solidFill>
              <w14:schemeClr w14:val="tx1"/>
            </w14:solidFill>
          </w14:textFill>
        </w:rPr>
        <w:t xml:space="preserve">（编号全称），（项目全称）</w:t>
      </w:r>
      <w:r>
        <w:rPr>
          <w:rFonts w:ascii="宋体" w:hAnsi="宋体" w:eastAsia="宋体" w:cs="宋体"/>
          <w:color w:val="000000" w:themeColor="text1"/>
          <w14:textFill>
            <w14:solidFill>
              <w14:schemeClr w14:val="tx1"/>
            </w14:solidFill>
          </w14:textFill>
        </w:rPr>
        <w:t xml:space="preserve">项目（采购包号：**）的政府采购活动，我联合体指定</w:t>
      </w:r>
      <w:r>
        <w:rPr>
          <w:rFonts w:ascii="宋体" w:hAnsi="宋体" w:eastAsia="宋体" w:cs="宋体"/>
          <w:color w:val="000000" w:themeColor="text1"/>
          <w:u w:val="single"/>
          <w14:textFill>
            <w14:solidFill>
              <w14:schemeClr w14:val="tx1"/>
            </w14:solidFill>
          </w14:textFill>
        </w:rPr>
        <w:t xml:space="preserve">（供应商*）</w:t>
      </w:r>
      <w:r>
        <w:rPr>
          <w:rFonts w:ascii="宋体" w:hAnsi="宋体" w:eastAsia="宋体" w:cs="宋体"/>
          <w:color w:val="000000" w:themeColor="text1"/>
          <w14:textFill>
            <w14:solidFill>
              <w14:schemeClr w14:val="tx1"/>
            </w14:solidFill>
          </w14:textFill>
        </w:rPr>
        <w:t xml:space="preserve">为牵头单位（牵头单位必须为联合体成员）。</w:t>
      </w:r>
      <w:r/>
    </w:p>
    <w:p>
      <w:pPr>
        <w:pStyle w:val="765"/>
        <w:ind w:firstLine="64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65"/>
        <w:ind w:firstLine="64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3、其中</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（小型、微型企业/残疾人福利性单位/监狱企业全称）为</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（小型、微型企业/残疾人福利性单位/监狱企业）企业，且我们约定该公司/单位所承担的合同金额将占本项目合同总金额的</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 %。</w:t>
      </w:r>
      <w:r/>
    </w:p>
    <w:p>
      <w:pPr>
        <w:pStyle w:val="765"/>
        <w:ind w:firstLine="64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ind w:firstLine="645"/>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ind w:firstLine="646"/>
        <w:jc w:val="right"/>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联合体中各供应商全称（公章）：     </w:t>
      </w:r>
      <w:r/>
    </w:p>
    <w:p>
      <w:pPr>
        <w:pStyle w:val="765"/>
        <w:ind w:firstLine="646"/>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日期：</w:t>
      </w:r>
      <w:r/>
    </w:p>
    <w:p>
      <w:pPr>
        <w:pStyle w:val="765"/>
        <w:ind w:firstLine="64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ind w:firstLine="64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ind w:firstLine="64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备注：本招标文件中要求加盖CA电子签章的地方，仅需加盖牵头单位的CA电子签章。</w:t>
      </w:r>
      <w:r/>
    </w:p>
    <w:p>
      <w:pPr>
        <w:pStyle w:val="765"/>
        <w:ind w:firstLine="645"/>
        <w:jc w:val="both"/>
        <w:spacing w:beforeAutospacing="0" w:afterAutospacing="0" w:line="558"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rPr>
          <w:rFonts w:ascii="宋体" w:hAnsi="宋体" w:eastAsia="宋体" w:cs="宋体"/>
          <w:b/>
          <w:bCs/>
          <w:color w:val="000000" w:themeColor="text1"/>
          <w:sz w:val="24"/>
          <w14:textFill>
            <w14:solidFill>
              <w14:schemeClr w14:val="tx1"/>
            </w14:solidFill>
          </w14:textFill>
        </w:rPr>
      </w:pPr>
      <w:r>
        <w:rPr>
          <w:rFonts w:ascii="宋体" w:hAnsi="宋体" w:eastAsia="宋体" w:cs="宋体"/>
          <w:b/>
          <w:bCs/>
          <w:color w:val="000000" w:themeColor="text1"/>
          <w:sz w:val="24"/>
          <w14:textFill>
            <w14:solidFill>
              <w14:schemeClr w14:val="tx1"/>
            </w14:solidFill>
          </w14:textFill>
        </w:rPr>
        <w:br w:type="page" w:clear="all"/>
      </w:r>
      <w:r/>
    </w:p>
    <w:p>
      <w:pPr>
        <w:pStyle w:val="765"/>
        <w:jc w:val="both"/>
        <w:spacing w:beforeAutospacing="0" w:after="361"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附件14             实质性要求响应及偏离表（采购包号：**）</w:t>
      </w:r>
      <w:r/>
    </w:p>
    <w:tbl>
      <w:tblPr>
        <w:tblStyle w:val="747"/>
        <w:tblW w:w="0" w:type="auto"/>
        <w:tblCellSpacing w:w="0" w:type="dxa"/>
        <w:tblInd w:w="20" w:type="dxa"/>
        <w:tblLayout w:type="autofit"/>
        <w:tblCellMar>
          <w:left w:w="108" w:type="dxa"/>
          <w:top w:w="0" w:type="dxa"/>
          <w:right w:w="108" w:type="dxa"/>
          <w:bottom w:w="0" w:type="dxa"/>
        </w:tblCellMar>
        <w:tblLook w:val="04A0" w:firstRow="1" w:lastRow="0" w:firstColumn="1" w:lastColumn="0" w:noHBand="0" w:noVBand="1"/>
      </w:tblPr>
      <w:tblGrid>
        <w:gridCol w:w="496"/>
        <w:gridCol w:w="2837"/>
        <w:gridCol w:w="2551"/>
        <w:gridCol w:w="1266"/>
      </w:tblGrid>
      <w:tr>
        <w:trPr>
          <w:tblCellSpacing w:w="0" w:type="dxa"/>
        </w:trPr>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W w:w="2837"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技术要求和商务要求中的实质性要求</w:t>
            </w:r>
            <w:r>
              <w:rPr>
                <w:rFonts w:ascii="宋体" w:hAnsi="宋体" w:eastAsia="宋体" w:cs="宋体"/>
                <w:b/>
                <w:bCs/>
                <w:color w:val="000000" w:themeColor="text1"/>
                <w14:textFill>
                  <w14:solidFill>
                    <w14:schemeClr w14:val="tx1"/>
                  </w14:solidFill>
                </w14:textFill>
              </w:rPr>
              <w:t xml:space="preserve">（</w:t>
            </w:r>
            <w:r>
              <w:rPr>
                <w:rFonts w:ascii="宋体" w:hAnsi="宋体" w:eastAsia="宋体" w:cs="宋体"/>
                <w:b/>
                <w:bCs/>
                <w:i/>
                <w:iCs/>
                <w:color w:val="000000" w:themeColor="text1"/>
                <w:u w:val="single"/>
                <w14:textFill>
                  <w14:solidFill>
                    <w14:schemeClr w14:val="tx1"/>
                  </w14:solidFill>
                </w14:textFill>
              </w:rPr>
              <w:t xml:space="preserve">斜体且有下划线部分</w:t>
            </w:r>
            <w:r>
              <w:rPr>
                <w:rFonts w:ascii="宋体" w:hAnsi="宋体" w:eastAsia="宋体" w:cs="宋体"/>
                <w:b/>
                <w:bCs/>
                <w:color w:val="000000" w:themeColor="text1"/>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W w:w="2551"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W w:w="1266"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超出、符合或偏离</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69"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2837"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266"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69"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W w:w="2837"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266"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69"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37"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266" w:type="dxa"/>
            <w:vAlign w:val="center"/>
            <w:textDirection w:val="lrTb"/>
            <w:noWrap w:val="false"/>
          </w:tcPr>
          <w:p>
            <w:pPr>
              <w:pStyle w:val="765"/>
              <w:jc w:val="center"/>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bl>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附件14-1 证明材料1，证明材料2，……</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备注：</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1.投标人必须对技术要求和商务要求中的实质性要求</w:t>
      </w:r>
      <w:r>
        <w:rPr>
          <w:rFonts w:ascii="宋体" w:hAnsi="宋体" w:eastAsia="宋体" w:cs="宋体"/>
          <w:b/>
          <w:bCs/>
          <w:color w:val="000000" w:themeColor="text1"/>
          <w14:textFill>
            <w14:solidFill>
              <w14:schemeClr w14:val="tx1"/>
            </w14:solidFill>
          </w14:textFill>
        </w:rPr>
        <w:t xml:space="preserve">（</w:t>
      </w:r>
      <w:r>
        <w:rPr>
          <w:rFonts w:ascii="宋体" w:hAnsi="宋体" w:eastAsia="宋体" w:cs="宋体"/>
          <w:b/>
          <w:bCs/>
          <w:i/>
          <w:iCs/>
          <w:color w:val="000000" w:themeColor="text1"/>
          <w:u w:val="single"/>
          <w14:textFill>
            <w14:solidFill>
              <w14:schemeClr w14:val="tx1"/>
            </w14:solidFill>
          </w14:textFill>
        </w:rPr>
        <w:t xml:space="preserve">斜体且有下划线部分</w:t>
      </w:r>
      <w:r>
        <w:rPr>
          <w:rFonts w:ascii="宋体" w:hAnsi="宋体" w:eastAsia="宋体" w:cs="宋体"/>
          <w:b/>
          <w:bCs/>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逐条做出明确响应。</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2.如果招标文件要求提供证明材料，投标人必须将证明材料列于该表之下。</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3.投标人未对实质性要求逐条作出明确响应的，或未按招标文件要求提供证明材料的，该采购包作无效投标处理。</w:t>
      </w:r>
      <w:r/>
    </w:p>
    <w:p>
      <w:pPr>
        <w:pStyle w:val="765"/>
        <w:jc w:val="both"/>
        <w:spacing w:beforeAutospacing="0" w:afterAutospacing="0"/>
        <w:rPr>
          <w:color w:val="000000" w:themeColor="text1"/>
          <w14:textFill>
            <w14:solidFill>
              <w14:schemeClr w14:val="tx1"/>
            </w14:solidFill>
          </w14:textFill>
        </w:rPr>
      </w:pPr>
      <w:r>
        <w:rPr>
          <w:rFonts w:ascii="黑体" w:hAnsi="宋体" w:eastAsia="黑体" w:cs="黑体"/>
          <w:b/>
          <w:bCs/>
          <w:color w:val="000000" w:themeColor="text1"/>
          <w:sz w:val="32"/>
          <w:szCs w:val="32"/>
          <w14:textFill>
            <w14:solidFill>
              <w14:schemeClr w14:val="tx1"/>
            </w14:solidFill>
          </w14:textFill>
        </w:rPr>
        <w:t xml:space="preserve"> </w:t>
      </w:r>
      <w:r/>
    </w:p>
    <w:p>
      <w:pPr>
        <w:pStyle w:val="765"/>
        <w:jc w:val="center"/>
        <w:spacing w:beforeAutospacing="0" w:afterAutospacing="0"/>
        <w:rPr>
          <w:color w:val="000000" w:themeColor="text1"/>
          <w14:textFill>
            <w14:solidFill>
              <w14:schemeClr w14:val="tx1"/>
            </w14:solidFill>
          </w14:textFill>
        </w:rPr>
      </w:pPr>
      <w:r>
        <w:rPr>
          <w:rFonts w:ascii="黑体" w:hAnsi="宋体" w:eastAsia="黑体" w:cs="黑体"/>
          <w:b/>
          <w:bCs/>
          <w:color w:val="000000" w:themeColor="text1"/>
          <w:sz w:val="32"/>
          <w:szCs w:val="32"/>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 </w:t>
      </w:r>
      <w:r/>
    </w:p>
    <w:p>
      <w:pPr>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br w:type="page" w:clear="all"/>
      </w:r>
      <w:r/>
    </w:p>
    <w:p>
      <w:pPr>
        <w:pStyle w:val="765"/>
        <w:jc w:val="center"/>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质疑函范本</w:t>
      </w:r>
      <w:r/>
    </w:p>
    <w:p>
      <w:pPr>
        <w:pStyle w:val="765"/>
        <w:jc w:val="both"/>
        <w:spacing w:before="312"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一、质疑供应商基本信息</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质疑供应商：</w:t>
      </w:r>
      <w:r>
        <w:rPr>
          <w:rFonts w:ascii="宋体" w:hAnsi="宋体" w:eastAsia="宋体" w:cs="宋体"/>
          <w:color w:val="000000" w:themeColor="text1"/>
          <w:u w:val="single"/>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地址：</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邮编：</w:t>
      </w:r>
      <w:r>
        <w:rPr>
          <w:rFonts w:ascii="宋体" w:hAnsi="宋体" w:eastAsia="宋体" w:cs="宋体"/>
          <w:color w:val="000000" w:themeColor="text1"/>
          <w:u w:val="single"/>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联系人：</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联系电话</w:t>
      </w:r>
      <w:r>
        <w:rPr>
          <w:rFonts w:ascii="宋体" w:hAnsi="宋体" w:eastAsia="宋体" w:cs="宋体"/>
          <w:color w:val="000000" w:themeColor="text1"/>
          <w:sz w:val="21"/>
          <w:szCs w:val="21"/>
          <w14:textFill>
            <w14:solidFill>
              <w14:schemeClr w14:val="tx1"/>
            </w14:solidFill>
          </w14:textFill>
        </w:rPr>
        <w:t xml:space="preserve">：</w:t>
      </w:r>
      <w:r>
        <w:rPr>
          <w:rFonts w:ascii="宋体" w:hAnsi="宋体" w:eastAsia="宋体" w:cs="宋体"/>
          <w:color w:val="000000" w:themeColor="text1"/>
          <w:sz w:val="21"/>
          <w:szCs w:val="21"/>
          <w:u w:val="single"/>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授权代表：</w:t>
      </w:r>
      <w:r>
        <w:rPr>
          <w:rFonts w:ascii="宋体" w:hAnsi="宋体" w:eastAsia="宋体" w:cs="宋体"/>
          <w:color w:val="000000" w:themeColor="text1"/>
          <w:u w:val="single"/>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联系电话：</w:t>
      </w:r>
      <w:r>
        <w:rPr>
          <w:rFonts w:ascii="宋体" w:hAnsi="宋体" w:eastAsia="宋体" w:cs="宋体"/>
          <w:color w:val="000000" w:themeColor="text1"/>
          <w:u w:val="single"/>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地址：</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邮编：</w:t>
      </w:r>
      <w:r>
        <w:rPr>
          <w:rFonts w:ascii="宋体" w:hAnsi="宋体" w:eastAsia="宋体" w:cs="宋体"/>
          <w:color w:val="000000" w:themeColor="text1"/>
          <w:u w:val="single"/>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二、质疑项目基本情况</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质疑项目的名称：</w:t>
      </w:r>
      <w:r>
        <w:rPr>
          <w:rFonts w:ascii="宋体" w:hAnsi="宋体" w:eastAsia="宋体" w:cs="宋体"/>
          <w:color w:val="000000" w:themeColor="text1"/>
          <w:u w:val="single"/>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质疑项目的编号：</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包号：</w:t>
      </w:r>
      <w:r>
        <w:rPr>
          <w:rFonts w:ascii="宋体" w:hAnsi="宋体" w:eastAsia="宋体" w:cs="宋体"/>
          <w:color w:val="000000" w:themeColor="text1"/>
          <w:u w:val="single"/>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招标人</w:t>
      </w:r>
      <w:r>
        <w:rPr>
          <w:rFonts w:ascii="宋体" w:hAnsi="宋体" w:eastAsia="宋体" w:cs="宋体"/>
          <w:color w:val="000000" w:themeColor="text1"/>
          <w14:textFill>
            <w14:solidFill>
              <w14:schemeClr w14:val="tx1"/>
            </w14:solidFill>
          </w14:textFill>
        </w:rPr>
        <w:t xml:space="preserve">名称：</w:t>
      </w:r>
      <w:r>
        <w:rPr>
          <w:rFonts w:ascii="宋体" w:hAnsi="宋体" w:eastAsia="宋体" w:cs="宋体"/>
          <w:color w:val="000000" w:themeColor="text1"/>
          <w:u w:val="single"/>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采购文件获取日期：</w:t>
      </w:r>
      <w:r>
        <w:rPr>
          <w:rFonts w:ascii="宋体" w:hAnsi="宋体" w:eastAsia="宋体" w:cs="宋体"/>
          <w:color w:val="000000" w:themeColor="text1"/>
          <w:u w:val="single"/>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三、质疑事项具体内容</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质疑事项1：</w:t>
      </w:r>
      <w:r>
        <w:rPr>
          <w:rFonts w:ascii="宋体" w:hAnsi="宋体" w:eastAsia="宋体" w:cs="宋体"/>
          <w:color w:val="000000" w:themeColor="text1"/>
          <w:u w:val="single"/>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事实依据：</w:t>
      </w:r>
      <w:r>
        <w:rPr>
          <w:rFonts w:ascii="宋体" w:hAnsi="宋体" w:eastAsia="宋体" w:cs="宋体"/>
          <w:color w:val="000000" w:themeColor="text1"/>
          <w:u w:val="single"/>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法律依据：</w:t>
      </w:r>
      <w:r>
        <w:rPr>
          <w:rFonts w:ascii="宋体" w:hAnsi="宋体" w:eastAsia="宋体" w:cs="宋体"/>
          <w:color w:val="000000" w:themeColor="text1"/>
          <w:u w:val="single"/>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质疑事项2</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四、与质疑事项相关的质疑请求</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请求：</w:t>
      </w:r>
      <w:r>
        <w:rPr>
          <w:rFonts w:ascii="宋体" w:hAnsi="宋体" w:eastAsia="宋体" w:cs="宋体"/>
          <w:color w:val="000000" w:themeColor="text1"/>
          <w:u w:val="single"/>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签字(签章)：                   公章：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日期：</w:t>
      </w:r>
      <w:r/>
    </w:p>
    <w:p>
      <w:pPr>
        <w:pStyle w:val="765"/>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质疑函制作说明：</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1.供应商提出质疑时，应提交质疑函和必要的证明材料。</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3.质疑供应商若对项目的某一采购包进行质疑，质疑函中应列明具体采购包号。</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4.质疑函的质疑事项应具体、明确，并有必要的事实依据和法律依据。</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5.质疑函的质疑请求应与质疑事项相关。</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765"/>
        <w:ind w:firstLine="480"/>
        <w:jc w:val="both"/>
        <w:spacing w:beforeAutospacing="0" w:afterAutospacing="0" w:line="400" w:lineRule="atLeast"/>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765"/>
        <w:jc w:val="both"/>
        <w:spacing w:beforeAutospacing="0" w:afterAutospacing="0"/>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三阳" w:date="2026-07-07T16:02:00Z">
    <w:p w14:paraId="00000001" w14:textId="00000001">
      <w:pPr>
        <w:spacing w:line="240" w:after="0" w:lineRule="auto" w:before="0"/>
        <w:ind w:firstLine="0" w:left="0" w:right="0"/>
        <w:jc w:val="left"/>
      </w:pPr>
      <w:r>
        <w:rPr>
          <w:rFonts w:eastAsia="Arial" w:ascii="Arial" w:hAnsi="Arial" w:cs="Arial"/>
          <w:sz w:val="22"/>
        </w:rPr>
        <w:t xml:space="preserve">是否国内标准，建议换种说法</w:t>
      </w:r>
    </w:p>
    <w:p w14:paraId="00000002" w14:textId="00000002">
      <w:pPr>
        <w:spacing w:line="240" w:after="0" w:lineRule="auto" w:before="0"/>
        <w:ind w:firstLine="0" w:left="0" w:right="0"/>
        <w:jc w:val="left"/>
      </w:pPr>
      <w:r>
        <w:rPr>
          <w:rFonts w:eastAsia="Arial" w:ascii="Arial" w:hAnsi="Arial" w:cs="Arial"/>
          <w:sz w:val="22"/>
        </w:rPr>
        <w:t xml:space="preserve"/>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2" w15:done="0"/>
</w15:commentsEx>
</file>

<file path=word/commentsIdsDocument.xml><?xml version="1.0" encoding="utf-8"?>
<w16cid:commentsIds xmlns:mc="http://schemas.openxmlformats.org/markup-compatibility/2006" xmlns:w16cid="http://schemas.microsoft.com/office/word/2016/wordml/cid" mc:Ignorable="w16cid">
  <w16cid:commentId w16cid:paraId="00000002" w16cid:durableId="32621CE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fldChar w:fldCharType="begin"/>
    </w:r>
    <w:r>
      <w:instrText xml:space="preserve">PAGE \* MERGEFORMAT</w:instrText>
    </w:r>
    <w:r>
      <w:fldChar w:fldCharType="separate"/>
    </w:r>
    <w:r>
      <w:t xml:space="preserve">1</w:t>
    </w:r>
    <w:r>
      <w:fldChar w:fldCharType="end"/>
    </w:r>
    <w:r/>
  </w:p>
  <w:p>
    <w:pPr>
      <w:pStyle w:val="7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32" w:hanging="432"/>
      </w:pPr>
      <w:rPr>
        <w:rFonts w:hint="eastAsia" w:ascii="Times New Roman" w:hAnsi="Times New Roman" w:cs="Times New Roman"/>
        <w:bCs w:val="0"/>
        <w:i w:val="0"/>
        <w:iCs w:val="0"/>
        <w:caps w:val="0"/>
        <w:smallCaps w:val="0"/>
        <w:strike w:val="0"/>
        <w:vanish w:val="0"/>
        <w:color w:val="000000"/>
        <w:spacing w:val="0"/>
        <w:position w:val="0"/>
        <w:u w:val="none"/>
        <w:vertAlign w:val="baseline"/>
      </w:rPr>
    </w:lvl>
    <w:lvl w:ilvl="1">
      <w:start w:val="1"/>
      <w:numFmt w:val="decimal"/>
      <w:isLgl w:val="false"/>
      <w:suff w:val="nothing"/>
      <w:lvlText w:val="%1.%2."/>
      <w:lvlJc w:val="left"/>
      <w:pPr>
        <w:ind w:left="575" w:hanging="575"/>
      </w:pPr>
      <w:rPr>
        <w:rFonts w:hint="eastAsia" w:ascii="Times New Roman" w:hAnsi="Times New Roman" w:cs="Times New Roman"/>
        <w:bCs w:val="0"/>
        <w:i w:val="0"/>
        <w:iCs w:val="0"/>
        <w:caps w:val="0"/>
        <w:smallCaps w:val="0"/>
        <w:strike w:val="0"/>
        <w:vanish w:val="0"/>
        <w:color w:val="000000"/>
        <w:spacing w:val="0"/>
        <w:position w:val="0"/>
        <w:u w:val="none"/>
        <w:vertAlign w:val="baseline"/>
      </w:rPr>
    </w:lvl>
    <w:lvl w:ilvl="2">
      <w:start w:val="1"/>
      <w:numFmt w:val="decimal"/>
      <w:pStyle w:val="739"/>
      <w:isLgl w:val="false"/>
      <w:suff w:val="nothing"/>
      <w:lvlText w:val="%1.%2.%3."/>
      <w:lvlJc w:val="left"/>
      <w:pPr>
        <w:ind w:left="720" w:hanging="720"/>
      </w:pPr>
      <w:rPr>
        <w:rFonts w:hint="eastAsia" w:ascii="Times New Roman" w:hAnsi="Times New Roman" w:cs="Times New Roman"/>
        <w:bCs w:val="0"/>
        <w:i w:val="0"/>
        <w:iCs w:val="0"/>
        <w:caps w:val="0"/>
        <w:smallCaps w:val="0"/>
        <w:strike w:val="0"/>
        <w:vanish w:val="0"/>
        <w:color w:val="000000"/>
        <w:spacing w:val="0"/>
        <w:position w:val="0"/>
        <w:u w:val="none"/>
        <w:vertAlign w:val="baseline"/>
      </w:rPr>
    </w:lvl>
    <w:lvl w:ilvl="3">
      <w:start w:val="1"/>
      <w:numFmt w:val="decimal"/>
      <w:isLgl w:val="false"/>
      <w:suff w:val="nothing"/>
      <w:lvlText w:val="%1.%2.%3.%4."/>
      <w:lvlJc w:val="left"/>
      <w:pPr>
        <w:ind w:left="864" w:hanging="864"/>
      </w:pPr>
      <w:rPr>
        <w:rFonts w:hint="eastAsia" w:ascii="Times New Roman" w:hAnsi="Times New Roman" w:cs="Times New Roman"/>
        <w:bCs w:val="0"/>
        <w:i w:val="0"/>
        <w:iCs w:val="0"/>
        <w:caps w:val="0"/>
        <w:smallCaps w:val="0"/>
        <w:strike w:val="0"/>
        <w:vanish w:val="0"/>
        <w:color w:val="000000"/>
        <w:spacing w:val="0"/>
        <w:position w:val="0"/>
        <w:u w:val="none"/>
        <w:vertAlign w:val="baseline"/>
      </w:rPr>
    </w:lvl>
    <w:lvl w:ilvl="4">
      <w:start w:val="1"/>
      <w:numFmt w:val="decimal"/>
      <w:isLgl w:val="false"/>
      <w:suff w:val="nothing"/>
      <w:lvlText w:val="%1.%2.%3.%4.%5."/>
      <w:lvlJc w:val="left"/>
      <w:pPr>
        <w:ind w:left="1008" w:hanging="1008"/>
      </w:pPr>
      <w:rPr>
        <w:rFonts w:hint="eastAsia" w:ascii="Times New Roman" w:hAnsi="Times New Roman" w:cs="Times New Roman"/>
        <w:bCs w:val="0"/>
        <w:i w:val="0"/>
        <w:iCs w:val="0"/>
        <w:caps w:val="0"/>
        <w:smallCaps w:val="0"/>
        <w:strike w:val="0"/>
        <w:vanish w:val="0"/>
        <w:color w:val="000000"/>
        <w:spacing w:val="0"/>
        <w:position w:val="0"/>
        <w:u w:val="none"/>
        <w:vertAlign w:val="baseline"/>
      </w:rPr>
    </w:lvl>
    <w:lvl w:ilvl="5">
      <w:start w:val="1"/>
      <w:numFmt w:val="decimal"/>
      <w:isLgl w:val="false"/>
      <w:suff w:val="nothing"/>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2">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4">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5">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6">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7">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8">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9">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2">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4">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5">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6">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7">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8">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9">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2">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4">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5">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1"/>
  </w:num>
  <w:num w:numId="2">
    <w:abstractNumId w:val="0"/>
  </w:num>
  <w:num w:numId="3">
    <w:abstractNumId w:val="14"/>
  </w:num>
  <w:num w:numId="4">
    <w:abstractNumId w:val="17"/>
  </w:num>
  <w:num w:numId="5">
    <w:abstractNumId w:val="15"/>
  </w:num>
  <w:num w:numId="6">
    <w:abstractNumId w:val="23"/>
  </w:num>
  <w:num w:numId="7">
    <w:abstractNumId w:val="24"/>
  </w:num>
  <w:num w:numId="8">
    <w:abstractNumId w:val="20"/>
  </w:num>
  <w:num w:numId="9">
    <w:abstractNumId w:val="16"/>
  </w:num>
  <w:num w:numId="10">
    <w:abstractNumId w:val="4"/>
  </w:num>
  <w:num w:numId="11">
    <w:abstractNumId w:val="25"/>
  </w:num>
  <w:num w:numId="12">
    <w:abstractNumId w:val="2"/>
  </w:num>
  <w:num w:numId="13">
    <w:abstractNumId w:val="12"/>
  </w:num>
  <w:num w:numId="14">
    <w:abstractNumId w:val="5"/>
  </w:num>
  <w:num w:numId="15">
    <w:abstractNumId w:val="19"/>
  </w:num>
  <w:num w:numId="16">
    <w:abstractNumId w:val="8"/>
  </w:num>
  <w:num w:numId="17">
    <w:abstractNumId w:val="13"/>
  </w:num>
  <w:num w:numId="18">
    <w:abstractNumId w:val="11"/>
  </w:num>
  <w:num w:numId="19">
    <w:abstractNumId w:val="6"/>
  </w:num>
  <w:num w:numId="20">
    <w:abstractNumId w:val="18"/>
  </w:num>
  <w:num w:numId="21">
    <w:abstractNumId w:val="7"/>
  </w:num>
  <w:num w:numId="22">
    <w:abstractNumId w:val="9"/>
  </w:num>
  <w:num w:numId="23">
    <w:abstractNumId w:val="3"/>
  </w:num>
  <w:num w:numId="24">
    <w:abstractNumId w:val="22"/>
  </w:num>
  <w:num w:numId="25">
    <w:abstractNumId w:val="10"/>
  </w:num>
  <w:num w:numId="26">
    <w:abstractNumId w:val="21"/>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三阳">
    <w15:presenceInfo w15:providerId="None" w15:userId="三阳"/>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4 Char"/>
    <w:basedOn w:val="746"/>
    <w:link w:val="740"/>
    <w:uiPriority w:val="9"/>
    <w:rPr>
      <w:rFonts w:ascii="Arial" w:hAnsi="Arial" w:eastAsia="Arial" w:cs="Arial"/>
      <w:b/>
      <w:bCs/>
      <w:sz w:val="26"/>
      <w:szCs w:val="26"/>
    </w:rPr>
  </w:style>
  <w:style w:type="character" w:styleId="705">
    <w:name w:val="Heading 5 Char"/>
    <w:basedOn w:val="746"/>
    <w:link w:val="741"/>
    <w:uiPriority w:val="9"/>
    <w:rPr>
      <w:rFonts w:ascii="Arial" w:hAnsi="Arial" w:eastAsia="Arial" w:cs="Arial"/>
      <w:b/>
      <w:bCs/>
      <w:sz w:val="24"/>
      <w:szCs w:val="24"/>
    </w:rPr>
  </w:style>
  <w:style w:type="character" w:styleId="706">
    <w:name w:val="Heading 6 Char"/>
    <w:basedOn w:val="746"/>
    <w:link w:val="742"/>
    <w:uiPriority w:val="9"/>
    <w:rPr>
      <w:rFonts w:ascii="Arial" w:hAnsi="Arial" w:eastAsia="Arial" w:cs="Arial"/>
      <w:b/>
      <w:bCs/>
      <w:sz w:val="22"/>
      <w:szCs w:val="22"/>
    </w:rPr>
  </w:style>
  <w:style w:type="character" w:styleId="707">
    <w:name w:val="Heading 7 Char"/>
    <w:basedOn w:val="746"/>
    <w:link w:val="743"/>
    <w:uiPriority w:val="9"/>
    <w:rPr>
      <w:rFonts w:ascii="Arial" w:hAnsi="Arial" w:eastAsia="Arial" w:cs="Arial"/>
      <w:b/>
      <w:bCs/>
      <w:i/>
      <w:iCs/>
      <w:sz w:val="22"/>
      <w:szCs w:val="22"/>
    </w:rPr>
  </w:style>
  <w:style w:type="character" w:styleId="708">
    <w:name w:val="Heading 8 Char"/>
    <w:basedOn w:val="746"/>
    <w:link w:val="744"/>
    <w:uiPriority w:val="9"/>
    <w:rPr>
      <w:rFonts w:ascii="Arial" w:hAnsi="Arial" w:eastAsia="Arial" w:cs="Arial"/>
      <w:i/>
      <w:iCs/>
      <w:sz w:val="22"/>
      <w:szCs w:val="22"/>
    </w:rPr>
  </w:style>
  <w:style w:type="character" w:styleId="709">
    <w:name w:val="Heading 9 Char"/>
    <w:basedOn w:val="746"/>
    <w:link w:val="745"/>
    <w:uiPriority w:val="9"/>
    <w:rPr>
      <w:rFonts w:ascii="Arial" w:hAnsi="Arial" w:eastAsia="Arial" w:cs="Arial"/>
      <w:i/>
      <w:iCs/>
      <w:sz w:val="21"/>
      <w:szCs w:val="21"/>
    </w:rPr>
  </w:style>
  <w:style w:type="character" w:styleId="710">
    <w:name w:val="Title Char"/>
    <w:basedOn w:val="746"/>
    <w:link w:val="766"/>
    <w:uiPriority w:val="10"/>
    <w:rPr>
      <w:sz w:val="48"/>
      <w:szCs w:val="48"/>
    </w:rPr>
  </w:style>
  <w:style w:type="character" w:styleId="711">
    <w:name w:val="Subtitle Char"/>
    <w:basedOn w:val="746"/>
    <w:link w:val="759"/>
    <w:uiPriority w:val="11"/>
    <w:rPr>
      <w:sz w:val="24"/>
      <w:szCs w:val="24"/>
    </w:rPr>
  </w:style>
  <w:style w:type="character" w:styleId="712">
    <w:name w:val="Quote Char"/>
    <w:link w:val="787"/>
    <w:uiPriority w:val="29"/>
    <w:rPr>
      <w:i/>
    </w:rPr>
  </w:style>
  <w:style w:type="character" w:styleId="713">
    <w:name w:val="Intense Quote Char"/>
    <w:link w:val="789"/>
    <w:uiPriority w:val="30"/>
    <w:rPr>
      <w:i/>
    </w:rPr>
  </w:style>
  <w:style w:type="table" w:styleId="714">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3">
    <w:name w:val="Footnote Text Char"/>
    <w:link w:val="760"/>
    <w:uiPriority w:val="99"/>
    <w:rPr>
      <w:sz w:val="18"/>
    </w:rPr>
  </w:style>
  <w:style w:type="character" w:styleId="734">
    <w:name w:val="Endnote Text Char"/>
    <w:link w:val="754"/>
    <w:uiPriority w:val="99"/>
    <w:rPr>
      <w:sz w:val="20"/>
    </w:rPr>
  </w:style>
  <w:style w:type="paragraph" w:styleId="735">
    <w:name w:val="TOC Heading"/>
    <w:uiPriority w:val="39"/>
    <w:unhideWhenUsed/>
  </w:style>
  <w:style w:type="paragraph" w:styleId="736" w:default="1">
    <w:name w:val="Normal"/>
    <w:next w:val="73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37">
    <w:name w:val="Heading 1"/>
    <w:basedOn w:val="736"/>
    <w:next w:val="736"/>
    <w:link w:val="929"/>
    <w:uiPriority w:val="0"/>
    <w:qFormat/>
    <w:pPr>
      <w:jc w:val="left"/>
      <w:spacing w:beforeAutospacing="1" w:afterAutospacing="1"/>
      <w:outlineLvl w:val="0"/>
    </w:pPr>
    <w:rPr>
      <w:rFonts w:hint="eastAsia" w:ascii="宋体" w:hAnsi="宋体" w:eastAsia="宋体" w:cs="Times New Roman"/>
      <w:b/>
      <w:bCs/>
      <w:sz w:val="48"/>
      <w:szCs w:val="48"/>
    </w:rPr>
  </w:style>
  <w:style w:type="paragraph" w:styleId="738">
    <w:name w:val="Heading 2"/>
    <w:basedOn w:val="736"/>
    <w:next w:val="736"/>
    <w:uiPriority w:val="0"/>
    <w:unhideWhenUsed/>
    <w:qFormat/>
    <w:pPr>
      <w:ind w:firstLine="431"/>
      <w:outlineLvl w:val="1"/>
    </w:pPr>
  </w:style>
  <w:style w:type="paragraph" w:styleId="739">
    <w:name w:val="Heading 3"/>
    <w:basedOn w:val="736"/>
    <w:next w:val="736"/>
    <w:uiPriority w:val="0"/>
    <w:unhideWhenUsed/>
    <w:qFormat/>
    <w:pPr>
      <w:numPr>
        <w:ilvl w:val="2"/>
        <w:numId w:val="1"/>
      </w:numPr>
      <w:keepLines/>
      <w:keepNext/>
      <w:outlineLvl w:val="2"/>
    </w:pPr>
    <w:rPr>
      <w:rFonts w:ascii="Times New Roman" w:hAnsi="Times New Roman"/>
      <w:b/>
      <w:bCs/>
      <w:sz w:val="24"/>
      <w:szCs w:val="32"/>
    </w:rPr>
  </w:style>
  <w:style w:type="paragraph" w:styleId="740">
    <w:name w:val="Heading 4"/>
    <w:basedOn w:val="736"/>
    <w:next w:val="736"/>
    <w:link w:val="777"/>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78"/>
    <w:uiPriority w:val="9"/>
    <w:unhideWhenUsed/>
    <w:qFormat/>
    <w:pPr>
      <w:keepLines/>
      <w:keepNext/>
      <w:spacing w:before="320" w:after="200"/>
      <w:outlineLvl w:val="4"/>
    </w:pPr>
    <w:rPr>
      <w:rFonts w:ascii="Arial" w:hAnsi="Arial" w:eastAsia="Arial" w:cs="Arial"/>
      <w:b/>
      <w:bCs/>
      <w:sz w:val="24"/>
    </w:rPr>
  </w:style>
  <w:style w:type="paragraph" w:styleId="742">
    <w:name w:val="Heading 6"/>
    <w:basedOn w:val="736"/>
    <w:next w:val="736"/>
    <w:link w:val="779"/>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81"/>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82"/>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spacing w:after="57"/>
    </w:pPr>
  </w:style>
  <w:style w:type="paragraph" w:styleId="749">
    <w:name w:val="Caption"/>
    <w:basedOn w:val="736"/>
    <w:next w:val="73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0">
    <w:name w:val="annotation text"/>
    <w:basedOn w:val="736"/>
    <w:link w:val="931"/>
    <w:uiPriority w:val="0"/>
    <w:qFormat/>
    <w:pPr>
      <w:jc w:val="left"/>
    </w:pPr>
  </w:style>
  <w:style w:type="paragraph" w:styleId="751">
    <w:name w:val="toc 5"/>
    <w:basedOn w:val="736"/>
    <w:next w:val="736"/>
    <w:uiPriority w:val="39"/>
    <w:unhideWhenUsed/>
    <w:qFormat/>
    <w:pPr>
      <w:ind w:left="1134"/>
      <w:spacing w:after="57"/>
    </w:pPr>
  </w:style>
  <w:style w:type="paragraph" w:styleId="752">
    <w:name w:val="toc 3"/>
    <w:basedOn w:val="736"/>
    <w:next w:val="736"/>
    <w:uiPriority w:val="39"/>
    <w:unhideWhenUsed/>
    <w:qFormat/>
    <w:pPr>
      <w:ind w:left="567"/>
      <w:spacing w:after="57"/>
    </w:pPr>
  </w:style>
  <w:style w:type="paragraph" w:styleId="753">
    <w:name w:val="toc 8"/>
    <w:basedOn w:val="736"/>
    <w:next w:val="736"/>
    <w:uiPriority w:val="39"/>
    <w:unhideWhenUsed/>
    <w:qFormat/>
    <w:pPr>
      <w:ind w:left="1984"/>
      <w:spacing w:after="57"/>
    </w:pPr>
  </w:style>
  <w:style w:type="paragraph" w:styleId="754">
    <w:name w:val="endnote text"/>
    <w:basedOn w:val="736"/>
    <w:link w:val="920"/>
    <w:uiPriority w:val="99"/>
    <w:semiHidden/>
    <w:unhideWhenUsed/>
    <w:qFormat/>
    <w:rPr>
      <w:sz w:val="20"/>
    </w:rPr>
  </w:style>
  <w:style w:type="paragraph" w:styleId="755">
    <w:name w:val="Footer"/>
    <w:basedOn w:val="736"/>
    <w:uiPriority w:val="0"/>
    <w:qFormat/>
    <w:pPr>
      <w:jc w:val="left"/>
      <w:tabs>
        <w:tab w:val="center" w:pos="4153" w:leader="none"/>
        <w:tab w:val="right" w:pos="8306" w:leader="none"/>
      </w:tabs>
    </w:pPr>
    <w:rPr>
      <w:sz w:val="18"/>
    </w:rPr>
  </w:style>
  <w:style w:type="paragraph" w:styleId="756">
    <w:name w:val="Header"/>
    <w:basedOn w:val="73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57">
    <w:name w:val="toc 1"/>
    <w:basedOn w:val="736"/>
    <w:next w:val="736"/>
    <w:uiPriority w:val="39"/>
    <w:unhideWhenUsed/>
    <w:qFormat/>
    <w:pPr>
      <w:spacing w:after="57"/>
    </w:pPr>
  </w:style>
  <w:style w:type="paragraph" w:styleId="758">
    <w:name w:val="toc 4"/>
    <w:basedOn w:val="736"/>
    <w:next w:val="736"/>
    <w:uiPriority w:val="39"/>
    <w:unhideWhenUsed/>
    <w:qFormat/>
    <w:pPr>
      <w:ind w:left="850"/>
      <w:spacing w:after="57"/>
    </w:pPr>
  </w:style>
  <w:style w:type="paragraph" w:styleId="759">
    <w:name w:val="Subtitle"/>
    <w:basedOn w:val="736"/>
    <w:next w:val="736"/>
    <w:link w:val="786"/>
    <w:uiPriority w:val="11"/>
    <w:qFormat/>
    <w:pPr>
      <w:spacing w:before="200" w:after="200"/>
    </w:pPr>
    <w:rPr>
      <w:sz w:val="24"/>
    </w:rPr>
  </w:style>
  <w:style w:type="paragraph" w:styleId="760">
    <w:name w:val="footnote text"/>
    <w:basedOn w:val="736"/>
    <w:link w:val="919"/>
    <w:uiPriority w:val="99"/>
    <w:semiHidden/>
    <w:unhideWhenUsed/>
    <w:qFormat/>
    <w:pPr>
      <w:spacing w:after="40"/>
    </w:pPr>
    <w:rPr>
      <w:sz w:val="18"/>
    </w:rPr>
  </w:style>
  <w:style w:type="paragraph" w:styleId="761">
    <w:name w:val="toc 6"/>
    <w:basedOn w:val="736"/>
    <w:next w:val="736"/>
    <w:uiPriority w:val="39"/>
    <w:unhideWhenUsed/>
    <w:qFormat/>
    <w:pPr>
      <w:ind w:left="1417"/>
      <w:spacing w:after="57"/>
    </w:pPr>
  </w:style>
  <w:style w:type="paragraph" w:styleId="762">
    <w:name w:val="table of figures"/>
    <w:basedOn w:val="736"/>
    <w:next w:val="736"/>
    <w:uiPriority w:val="99"/>
    <w:unhideWhenUsed/>
    <w:qFormat/>
  </w:style>
  <w:style w:type="paragraph" w:styleId="763">
    <w:name w:val="toc 2"/>
    <w:basedOn w:val="736"/>
    <w:next w:val="736"/>
    <w:uiPriority w:val="39"/>
    <w:unhideWhenUsed/>
    <w:qFormat/>
    <w:pPr>
      <w:ind w:left="283"/>
      <w:spacing w:after="57"/>
    </w:pPr>
  </w:style>
  <w:style w:type="paragraph" w:styleId="764">
    <w:name w:val="toc 9"/>
    <w:basedOn w:val="736"/>
    <w:next w:val="736"/>
    <w:uiPriority w:val="39"/>
    <w:unhideWhenUsed/>
    <w:qFormat/>
    <w:pPr>
      <w:ind w:left="2268"/>
      <w:spacing w:after="57"/>
    </w:pPr>
  </w:style>
  <w:style w:type="paragraph" w:styleId="765">
    <w:name w:val="Normal (Web)"/>
    <w:basedOn w:val="736"/>
    <w:uiPriority w:val="0"/>
    <w:qFormat/>
    <w:pPr>
      <w:jc w:val="left"/>
      <w:spacing w:beforeAutospacing="1" w:afterAutospacing="1"/>
    </w:pPr>
    <w:rPr>
      <w:rFonts w:cs="Times New Roman"/>
      <w:sz w:val="24"/>
    </w:rPr>
  </w:style>
  <w:style w:type="paragraph" w:styleId="766">
    <w:name w:val="Title"/>
    <w:basedOn w:val="736"/>
    <w:next w:val="736"/>
    <w:link w:val="785"/>
    <w:uiPriority w:val="10"/>
    <w:qFormat/>
    <w:pPr>
      <w:contextualSpacing/>
      <w:spacing w:before="300" w:after="200"/>
    </w:pPr>
    <w:rPr>
      <w:sz w:val="48"/>
      <w:szCs w:val="48"/>
    </w:rPr>
  </w:style>
  <w:style w:type="paragraph" w:styleId="767">
    <w:name w:val="annotation subject"/>
    <w:basedOn w:val="750"/>
    <w:next w:val="750"/>
    <w:link w:val="932"/>
    <w:uiPriority w:val="99"/>
    <w:semiHidden/>
    <w:unhideWhenUsed/>
    <w:qFormat/>
    <w:rPr>
      <w:b/>
      <w:bCs/>
    </w:rPr>
  </w:style>
  <w:style w:type="table" w:styleId="768">
    <w:name w:val="Table Grid"/>
    <w:basedOn w:val="7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basedOn w:val="746"/>
    <w:uiPriority w:val="0"/>
    <w:qFormat/>
    <w:rPr>
      <w:b/>
    </w:rPr>
  </w:style>
  <w:style w:type="character" w:styleId="770">
    <w:name w:val="endnote reference"/>
    <w:basedOn w:val="746"/>
    <w:uiPriority w:val="99"/>
    <w:semiHidden/>
    <w:unhideWhenUsed/>
    <w:qFormat/>
    <w:rPr>
      <w:vertAlign w:val="superscript"/>
    </w:rPr>
  </w:style>
  <w:style w:type="character" w:styleId="771">
    <w:name w:val="Hyperlink"/>
    <w:uiPriority w:val="99"/>
    <w:unhideWhenUsed/>
    <w:qFormat/>
    <w:rPr>
      <w:color w:val="0026e5" w:themeColor="hyperlink"/>
      <w:u w:val="single"/>
      <w14:textFill>
        <w14:solidFill>
          <w14:schemeClr w14:val="hlink"/>
        </w14:solidFill>
      </w14:textFill>
    </w:rPr>
  </w:style>
  <w:style w:type="character" w:styleId="772">
    <w:name w:val="annotation reference"/>
    <w:basedOn w:val="746"/>
    <w:uiPriority w:val="99"/>
    <w:semiHidden/>
    <w:unhideWhenUsed/>
    <w:qFormat/>
    <w:rPr>
      <w:sz w:val="21"/>
      <w:szCs w:val="21"/>
    </w:rPr>
  </w:style>
  <w:style w:type="character" w:styleId="773">
    <w:name w:val="footnote reference"/>
    <w:basedOn w:val="746"/>
    <w:uiPriority w:val="99"/>
    <w:unhideWhenUsed/>
    <w:qFormat/>
    <w:rPr>
      <w:vertAlign w:val="superscript"/>
    </w:rPr>
  </w:style>
  <w:style w:type="character" w:styleId="774" w:customStyle="1">
    <w:name w:val="Heading 1 Char"/>
    <w:basedOn w:val="746"/>
    <w:uiPriority w:val="9"/>
    <w:qFormat/>
    <w:rPr>
      <w:rFonts w:ascii="Arial" w:hAnsi="Arial" w:eastAsia="Arial" w:cs="Arial"/>
      <w:sz w:val="40"/>
      <w:szCs w:val="40"/>
    </w:rPr>
  </w:style>
  <w:style w:type="character" w:styleId="775" w:customStyle="1">
    <w:name w:val="Heading 2 Char"/>
    <w:basedOn w:val="746"/>
    <w:uiPriority w:val="9"/>
    <w:qFormat/>
    <w:rPr>
      <w:rFonts w:ascii="Arial" w:hAnsi="Arial" w:eastAsia="Arial" w:cs="Arial"/>
      <w:sz w:val="34"/>
    </w:rPr>
  </w:style>
  <w:style w:type="character" w:styleId="776" w:customStyle="1">
    <w:name w:val="Heading 3 Char"/>
    <w:basedOn w:val="746"/>
    <w:uiPriority w:val="9"/>
    <w:qFormat/>
    <w:rPr>
      <w:rFonts w:ascii="Arial" w:hAnsi="Arial" w:eastAsia="Arial" w:cs="Arial"/>
      <w:sz w:val="30"/>
      <w:szCs w:val="30"/>
    </w:rPr>
  </w:style>
  <w:style w:type="character" w:styleId="777" w:customStyle="1">
    <w:name w:val="标题 4 字符"/>
    <w:basedOn w:val="746"/>
    <w:link w:val="740"/>
    <w:uiPriority w:val="9"/>
    <w:qFormat/>
    <w:rPr>
      <w:rFonts w:ascii="Arial" w:hAnsi="Arial" w:eastAsia="Arial" w:cs="Arial"/>
      <w:b/>
      <w:bCs/>
      <w:sz w:val="26"/>
      <w:szCs w:val="26"/>
    </w:rPr>
  </w:style>
  <w:style w:type="character" w:styleId="778" w:customStyle="1">
    <w:name w:val="标题 5 字符"/>
    <w:basedOn w:val="746"/>
    <w:link w:val="741"/>
    <w:uiPriority w:val="9"/>
    <w:qFormat/>
    <w:rPr>
      <w:rFonts w:ascii="Arial" w:hAnsi="Arial" w:eastAsia="Arial" w:cs="Arial"/>
      <w:b/>
      <w:bCs/>
      <w:sz w:val="24"/>
      <w:szCs w:val="24"/>
    </w:rPr>
  </w:style>
  <w:style w:type="character" w:styleId="779" w:customStyle="1">
    <w:name w:val="标题 6 字符"/>
    <w:basedOn w:val="746"/>
    <w:link w:val="742"/>
    <w:uiPriority w:val="9"/>
    <w:qFormat/>
    <w:rPr>
      <w:rFonts w:ascii="Arial" w:hAnsi="Arial" w:eastAsia="Arial" w:cs="Arial"/>
      <w:b/>
      <w:bCs/>
      <w:sz w:val="22"/>
      <w:szCs w:val="22"/>
    </w:rPr>
  </w:style>
  <w:style w:type="character" w:styleId="780" w:customStyle="1">
    <w:name w:val="标题 7 字符"/>
    <w:basedOn w:val="746"/>
    <w:link w:val="743"/>
    <w:uiPriority w:val="9"/>
    <w:qFormat/>
    <w:rPr>
      <w:rFonts w:ascii="Arial" w:hAnsi="Arial" w:eastAsia="Arial" w:cs="Arial"/>
      <w:b/>
      <w:bCs/>
      <w:i/>
      <w:iCs/>
      <w:sz w:val="22"/>
      <w:szCs w:val="22"/>
    </w:rPr>
  </w:style>
  <w:style w:type="character" w:styleId="781" w:customStyle="1">
    <w:name w:val="标题 8 字符"/>
    <w:basedOn w:val="746"/>
    <w:link w:val="744"/>
    <w:uiPriority w:val="9"/>
    <w:qFormat/>
    <w:rPr>
      <w:rFonts w:ascii="Arial" w:hAnsi="Arial" w:eastAsia="Arial" w:cs="Arial"/>
      <w:i/>
      <w:iCs/>
      <w:sz w:val="22"/>
      <w:szCs w:val="22"/>
    </w:rPr>
  </w:style>
  <w:style w:type="character" w:styleId="782" w:customStyle="1">
    <w:name w:val="标题 9 字符"/>
    <w:basedOn w:val="746"/>
    <w:link w:val="745"/>
    <w:uiPriority w:val="9"/>
    <w:qFormat/>
    <w:rPr>
      <w:rFonts w:ascii="Arial" w:hAnsi="Arial" w:eastAsia="Arial" w:cs="Arial"/>
      <w:i/>
      <w:iCs/>
      <w:sz w:val="21"/>
      <w:szCs w:val="21"/>
    </w:rPr>
  </w:style>
  <w:style w:type="paragraph" w:styleId="783">
    <w:name w:val="List Paragraph"/>
    <w:basedOn w:val="736"/>
    <w:uiPriority w:val="34"/>
    <w:qFormat/>
    <w:pPr>
      <w:contextualSpacing/>
      <w:ind w:left="720"/>
    </w:pPr>
  </w:style>
  <w:style w:type="paragraph" w:styleId="784">
    <w:name w:val="No Spacing"/>
    <w:uiPriority w:val="1"/>
    <w:qFormat/>
    <w:rPr>
      <w:rFonts w:ascii="Times New Roman" w:hAnsi="Times New Roman" w:eastAsia="宋体" w:cs="Times New Roman"/>
      <w:lang w:val="en-US" w:eastAsia="zh-CN" w:bidi="ar-SA"/>
    </w:rPr>
  </w:style>
  <w:style w:type="character" w:styleId="785" w:customStyle="1">
    <w:name w:val="标题 字符"/>
    <w:basedOn w:val="746"/>
    <w:link w:val="766"/>
    <w:uiPriority w:val="10"/>
    <w:qFormat/>
    <w:rPr>
      <w:sz w:val="48"/>
      <w:szCs w:val="48"/>
    </w:rPr>
  </w:style>
  <w:style w:type="character" w:styleId="786" w:customStyle="1">
    <w:name w:val="副标题 字符"/>
    <w:basedOn w:val="746"/>
    <w:link w:val="759"/>
    <w:uiPriority w:val="11"/>
    <w:qFormat/>
    <w:rPr>
      <w:sz w:val="24"/>
      <w:szCs w:val="24"/>
    </w:rPr>
  </w:style>
  <w:style w:type="paragraph" w:styleId="787">
    <w:name w:val="Quote"/>
    <w:basedOn w:val="736"/>
    <w:next w:val="736"/>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736"/>
    <w:next w:val="736"/>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Header Char"/>
    <w:basedOn w:val="746"/>
    <w:uiPriority w:val="99"/>
    <w:qFormat/>
  </w:style>
  <w:style w:type="character" w:styleId="792" w:customStyle="1">
    <w:name w:val="Footer Char"/>
    <w:basedOn w:val="746"/>
    <w:uiPriority w:val="99"/>
    <w:qFormat/>
  </w:style>
  <w:style w:type="character" w:styleId="793" w:customStyle="1">
    <w:name w:val="Caption Char"/>
    <w:uiPriority w:val="99"/>
    <w:qFormat/>
  </w:style>
  <w:style w:type="table" w:styleId="794" w:customStyle="1">
    <w:name w:val="Table Grid Light"/>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5"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74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74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74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74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74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74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74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74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74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74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74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74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4"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74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4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4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4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4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4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74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3" w:customStyle="1">
    <w:name w:val="Grid Table 4 - Accent 2"/>
    <w:basedOn w:val="74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4" w:customStyle="1">
    <w:name w:val="Grid Table 4 - Accent 3"/>
    <w:basedOn w:val="74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5" w:customStyle="1">
    <w:name w:val="Grid Table 4 - Accent 4"/>
    <w:basedOn w:val="74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6" w:customStyle="1">
    <w:name w:val="Grid Table 4 - Accent 5"/>
    <w:basedOn w:val="74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7" w:customStyle="1">
    <w:name w:val="Grid Table 4 - Accent 6"/>
    <w:basedOn w:val="74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8"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0" w:customStyle="1">
    <w:name w:val="Grid Table 5 Dark - Accent 2"/>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1" w:customStyle="1">
    <w:name w:val="Grid Table 5 Dark - Accent 3"/>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2" w:customStyle="1">
    <w:name w:val="Grid Table 5 Dark- Accent 4"/>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3" w:customStyle="1">
    <w:name w:val="Grid Table 5 Dark - Accent 5"/>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4" w:customStyle="1">
    <w:name w:val="Grid Table 5 Dark - Accent 6"/>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5"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basedOn w:val="74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7" w:customStyle="1">
    <w:name w:val="Grid Table 6 Colorful - Accent 2"/>
    <w:basedOn w:val="74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8" w:customStyle="1">
    <w:name w:val="Grid Table 6 Colorful - Accent 3"/>
    <w:basedOn w:val="74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39" w:customStyle="1">
    <w:name w:val="Grid Table 6 Colorful - Accent 4"/>
    <w:basedOn w:val="74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0" w:customStyle="1">
    <w:name w:val="Grid Table 6 Colorful - Accent 5"/>
    <w:basedOn w:val="74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1" w:customStyle="1">
    <w:name w:val="Grid Table 6 Colorful - Accent 6"/>
    <w:basedOn w:val="74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2"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74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74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74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74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74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74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basedOn w:val="7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747"/>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74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747"/>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74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747"/>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747"/>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6"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basedOn w:val="74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8" w:customStyle="1">
    <w:name w:val="List Table 2 - Accent 2"/>
    <w:basedOn w:val="74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9" w:customStyle="1">
    <w:name w:val="List Table 2 - Accent 3"/>
    <w:basedOn w:val="74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0" w:customStyle="1">
    <w:name w:val="List Table 2 - Accent 4"/>
    <w:basedOn w:val="74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1" w:customStyle="1">
    <w:name w:val="List Table 2 - Accent 5"/>
    <w:basedOn w:val="74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2" w:customStyle="1">
    <w:name w:val="List Table 2 - Accent 6"/>
    <w:basedOn w:val="74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3"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74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5" w:customStyle="1">
    <w:name w:val="List Table 3 - Accent 2"/>
    <w:basedOn w:val="74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74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74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74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74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0"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74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2" w:customStyle="1">
    <w:name w:val="List Table 4 - Accent 2"/>
    <w:basedOn w:val="74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3" w:customStyle="1">
    <w:name w:val="List Table 4 - Accent 3"/>
    <w:basedOn w:val="74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4" w:customStyle="1">
    <w:name w:val="List Table 4 - Accent 4"/>
    <w:basedOn w:val="74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5" w:customStyle="1">
    <w:name w:val="List Table 4 - Accent 5"/>
    <w:basedOn w:val="74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6" w:customStyle="1">
    <w:name w:val="List Table 4 - Accent 6"/>
    <w:basedOn w:val="74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7"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basedOn w:val="74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basedOn w:val="74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basedOn w:val="74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basedOn w:val="74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basedOn w:val="74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basedOn w:val="74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7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basedOn w:val="747"/>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6" w:customStyle="1">
    <w:name w:val="List Table 6 Colorful - Accent 2"/>
    <w:basedOn w:val="747"/>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7" w:customStyle="1">
    <w:name w:val="List Table 6 Colorful - Accent 3"/>
    <w:basedOn w:val="747"/>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8" w:customStyle="1">
    <w:name w:val="List Table 6 Colorful - Accent 4"/>
    <w:basedOn w:val="74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9" w:customStyle="1">
    <w:name w:val="List Table 6 Colorful - Accent 5"/>
    <w:basedOn w:val="747"/>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0" w:customStyle="1">
    <w:name w:val="List Table 6 Colorful - Accent 6"/>
    <w:basedOn w:val="747"/>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1" w:customStyle="1">
    <w:name w:val="清单表 7 彩色1"/>
    <w:basedOn w:val="7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747"/>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47"/>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47"/>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47"/>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47"/>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47"/>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0" w:customStyle="1">
    <w:name w:val="Lined - Accent 2"/>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1" w:customStyle="1">
    <w:name w:val="Lined - Accent 3"/>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2" w:customStyle="1">
    <w:name w:val="Lined - Accent 4"/>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3" w:customStyle="1">
    <w:name w:val="Lined - Accent 5"/>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4" w:customStyle="1">
    <w:name w:val="Lined - Accent 6"/>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5" w:customStyle="1">
    <w:name w:val="Bordered &amp; Lined - Accent"/>
    <w:basedOn w:val="7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74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7" w:customStyle="1">
    <w:name w:val="Bordered &amp; Lined - Accent 2"/>
    <w:basedOn w:val="74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8" w:customStyle="1">
    <w:name w:val="Bordered &amp; Lined - Accent 3"/>
    <w:basedOn w:val="74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9" w:customStyle="1">
    <w:name w:val="Bordered &amp; Lined - Accent 4"/>
    <w:basedOn w:val="74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0" w:customStyle="1">
    <w:name w:val="Bordered &amp; Lined - Accent 5"/>
    <w:basedOn w:val="74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1" w:customStyle="1">
    <w:name w:val="Bordered &amp; Lined - Accent 6"/>
    <w:basedOn w:val="74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2" w:customStyle="1">
    <w:name w:val="Bordered"/>
    <w:basedOn w:val="7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74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4" w:customStyle="1">
    <w:name w:val="Bordered - Accent 2"/>
    <w:basedOn w:val="74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5" w:customStyle="1">
    <w:name w:val="Bordered - Accent 3"/>
    <w:basedOn w:val="74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6" w:customStyle="1">
    <w:name w:val="Bordered - Accent 4"/>
    <w:basedOn w:val="74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7" w:customStyle="1">
    <w:name w:val="Bordered - Accent 5"/>
    <w:basedOn w:val="74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8" w:customStyle="1">
    <w:name w:val="Bordered - Accent 6"/>
    <w:basedOn w:val="74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9" w:customStyle="1">
    <w:name w:val="脚注文本 字符"/>
    <w:link w:val="760"/>
    <w:uiPriority w:val="99"/>
    <w:qFormat/>
    <w:rPr>
      <w:sz w:val="18"/>
    </w:rPr>
  </w:style>
  <w:style w:type="character" w:styleId="920" w:customStyle="1">
    <w:name w:val="尾注文本 字符"/>
    <w:link w:val="754"/>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paragraph" w:styleId="922" w:customStyle="1">
    <w:name w:val="普通正文"/>
    <w:basedOn w:val="736"/>
    <w:uiPriority w:val="0"/>
    <w:qFormat/>
    <w:pPr>
      <w:ind w:firstLine="480"/>
      <w:jc w:val="left"/>
      <w:spacing w:before="120" w:after="120" w:line="360" w:lineRule="auto"/>
    </w:pPr>
    <w:rPr>
      <w:rFonts w:ascii="Arial" w:hAnsi="Arial"/>
      <w:sz w:val="24"/>
    </w:rPr>
  </w:style>
  <w:style w:type="character" w:styleId="923" w:customStyle="1">
    <w:name w:val="font41"/>
    <w:basedOn w:val="746"/>
    <w:uiPriority w:val="0"/>
    <w:qFormat/>
    <w:rPr>
      <w:rFonts w:hint="default" w:ascii="Arial" w:hAnsi="Arial" w:cs="Arial"/>
      <w:b/>
      <w:bCs/>
      <w:color w:val="1f1f1f"/>
      <w:sz w:val="22"/>
      <w:szCs w:val="22"/>
      <w:u w:val="none"/>
    </w:rPr>
  </w:style>
  <w:style w:type="character" w:styleId="924" w:customStyle="1">
    <w:name w:val="font21"/>
    <w:basedOn w:val="746"/>
    <w:uiPriority w:val="0"/>
    <w:qFormat/>
    <w:rPr>
      <w:rFonts w:hint="eastAsia" w:ascii="宋体" w:hAnsi="宋体" w:eastAsia="宋体" w:cs="宋体"/>
      <w:b/>
      <w:bCs/>
      <w:color w:val="1f1f1f"/>
      <w:sz w:val="22"/>
      <w:szCs w:val="22"/>
      <w:u w:val="none"/>
    </w:rPr>
  </w:style>
  <w:style w:type="paragraph" w:styleId="925" w:customStyle="1">
    <w:name w:val="标题 311"/>
    <w:basedOn w:val="736"/>
    <w:next w:val="926"/>
    <w:uiPriority w:val="9"/>
    <w:qFormat/>
    <w:pPr>
      <w:keepLines/>
      <w:keepNext/>
      <w:spacing w:before="320" w:after="200"/>
      <w:outlineLvl w:val="2"/>
    </w:pPr>
    <w:rPr>
      <w:rFonts w:ascii="Arial" w:hAnsi="Arial" w:eastAsia="Arial" w:cs="Arial"/>
      <w:sz w:val="30"/>
      <w:szCs w:val="30"/>
    </w:rPr>
  </w:style>
  <w:style w:type="paragraph" w:styleId="926" w:customStyle="1">
    <w:name w:val="正文缩进11"/>
    <w:basedOn w:val="736"/>
    <w:uiPriority w:val="99"/>
    <w:qFormat/>
    <w:pPr>
      <w:ind w:firstLine="420"/>
    </w:pPr>
  </w:style>
  <w:style w:type="character" w:styleId="927" w:customStyle="1">
    <w:name w:val="font51"/>
    <w:basedOn w:val="746"/>
    <w:uiPriority w:val="0"/>
    <w:qFormat/>
    <w:rPr>
      <w:rFonts w:hint="eastAsia" w:ascii="仿宋_GB2312" w:eastAsia="仿宋_GB2312" w:cs="仿宋_GB2312"/>
      <w:color w:val="000000"/>
      <w:sz w:val="16"/>
      <w:szCs w:val="16"/>
      <w:u w:val="none"/>
    </w:rPr>
  </w:style>
  <w:style w:type="paragraph" w:styleId="928" w:customStyle="1">
    <w:name w:val="正文文本缩进11"/>
    <w:basedOn w:val="736"/>
    <w:next w:val="736"/>
    <w:uiPriority w:val="0"/>
    <w:qFormat/>
    <w:pPr>
      <w:ind w:firstLine="540"/>
      <w:spacing w:line="400" w:lineRule="exact"/>
    </w:pPr>
  </w:style>
  <w:style w:type="character" w:styleId="929" w:customStyle="1">
    <w:name w:val="标题 1 字符"/>
    <w:link w:val="737"/>
    <w:uiPriority w:val="0"/>
    <w:qFormat/>
    <w:rPr>
      <w:rFonts w:hint="eastAsia" w:ascii="宋体" w:hAnsi="宋体" w:eastAsia="宋体" w:cs="宋体"/>
      <w:b/>
      <w:bCs/>
      <w:sz w:val="48"/>
      <w:szCs w:val="48"/>
      <w:lang w:val="en-US" w:eastAsia="zh-CN" w:bidi="ar"/>
    </w:rPr>
  </w:style>
  <w:style w:type="paragraph" w:styleId="930" w:customStyle="1">
    <w:name w:val="修订1"/>
    <w:hidden/>
    <w:uiPriority w:val="99"/>
    <w:unhideWhenUsed/>
    <w:qFormat/>
    <w:rPr>
      <w:rFonts w:asciiTheme="minorHAnsi" w:hAnsiTheme="minorHAnsi" w:eastAsiaTheme="minorEastAsia" w:cstheme="minorBidi"/>
      <w:sz w:val="21"/>
      <w:szCs w:val="24"/>
      <w:lang w:val="en-US" w:eastAsia="zh-CN" w:bidi="ar-SA"/>
    </w:rPr>
  </w:style>
  <w:style w:type="character" w:styleId="931" w:customStyle="1">
    <w:name w:val="批注文字 字符"/>
    <w:basedOn w:val="746"/>
    <w:link w:val="750"/>
    <w:uiPriority w:val="0"/>
    <w:qFormat/>
    <w:rPr>
      <w:rFonts w:asciiTheme="minorHAnsi" w:hAnsiTheme="minorHAnsi" w:eastAsiaTheme="minorEastAsia" w:cstheme="minorBidi"/>
      <w:sz w:val="21"/>
      <w:szCs w:val="24"/>
    </w:rPr>
  </w:style>
  <w:style w:type="character" w:styleId="932" w:customStyle="1">
    <w:name w:val="批注主题 字符"/>
    <w:basedOn w:val="931"/>
    <w:link w:val="767"/>
    <w:uiPriority w:val="99"/>
    <w:semiHidden/>
    <w:qFormat/>
    <w:rPr>
      <w:rFonts w:asciiTheme="minorHAnsi" w:hAnsiTheme="minorHAnsi" w:eastAsiaTheme="minorEastAsia" w:cstheme="minorBidi"/>
      <w:b/>
      <w:bCs/>
      <w:sz w:val="21"/>
      <w:szCs w:val="24"/>
    </w:rPr>
  </w:style>
  <w:style w:type="paragraph" w:styleId="933" w:customStyle="1">
    <w:name w:val="修订2"/>
    <w:hidden/>
    <w:uiPriority w:val="99"/>
    <w:unhideWhenUsed/>
    <w:qFormat/>
    <w:rPr>
      <w:rFonts w:asciiTheme="minorHAnsi" w:hAnsiTheme="minorHAnsi" w:eastAsiaTheme="minorEastAsia" w:cstheme="minorBidi"/>
      <w:sz w:val="21"/>
      <w:szCs w:val="24"/>
      <w:lang w:val="en-US" w:eastAsia="zh-CN" w:bidi="ar-SA"/>
    </w:rPr>
  </w:style>
  <w:style w:type="paragraph" w:styleId="934" w:customStyle="1">
    <w:name w:val="修订3"/>
    <w:hidden/>
    <w:uiPriority w:val="99"/>
    <w:unhideWhenUsed/>
    <w:qFormat/>
    <w:rPr>
      <w:rFonts w:asciiTheme="minorHAnsi" w:hAnsiTheme="minorHAnsi" w:eastAsiaTheme="minorEastAsia" w:cstheme="minorBidi"/>
      <w:sz w:val="21"/>
      <w:szCs w:val="24"/>
      <w:lang w:val="en-US" w:eastAsia="zh-CN" w:bidi="ar-SA"/>
    </w:rPr>
  </w:style>
  <w:style w:type="paragraph" w:styleId="935" w:customStyle="1">
    <w:name w:val="修订4"/>
    <w:hidden/>
    <w:uiPriority w:val="99"/>
    <w:unhideWhenUsed/>
    <w:qFormat/>
    <w:rPr>
      <w:rFonts w:asciiTheme="minorHAnsi" w:hAnsiTheme="minorHAnsi" w:eastAsiaTheme="minorEastAsia" w:cstheme="minorBidi"/>
      <w:sz w:val="21"/>
      <w:szCs w:val="24"/>
      <w:lang w:val="en-US" w:eastAsia="zh-CN" w:bidi="ar-SA"/>
    </w:rPr>
  </w:style>
  <w:style w:type="paragraph" w:styleId="936" w:customStyle="1">
    <w:name w:val="修订5"/>
    <w:hidden/>
    <w:uiPriority w:val="99"/>
    <w:unhideWhenUsed/>
    <w:qFormat/>
    <w:rPr>
      <w:rFonts w:asciiTheme="minorHAnsi" w:hAnsiTheme="minorHAnsi" w:eastAsiaTheme="minorEastAsia" w:cstheme="minorBidi"/>
      <w:sz w:val="21"/>
      <w:szCs w:val="24"/>
      <w:lang w:val="en-US" w:eastAsia="zh-CN" w:bidi="ar-SA"/>
    </w:rPr>
  </w:style>
  <w:style w:type="paragraph" w:styleId="937" w:customStyle="1">
    <w:name w:val="修订6"/>
    <w:hidden/>
    <w:uiPriority w:val="99"/>
    <w:unhideWhenUsed/>
    <w:qFormat/>
    <w:rPr>
      <w:rFonts w:asciiTheme="minorHAnsi" w:hAnsiTheme="minorHAnsi" w:eastAsiaTheme="minorEastAsia" w:cstheme="minorBidi"/>
      <w:sz w:val="21"/>
      <w:szCs w:val="24"/>
      <w:lang w:val="en-US" w:eastAsia="zh-CN" w:bidi="ar-SA"/>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nlyoffice.com/commentsDocument" Target="commentsDocument.xml" /><Relationship Id="rId11" Type="http://schemas.onlyoffice.com/commentsExtendedDocument" Target="commentsExtendedDocument.xml" /><Relationship Id="rId12" Type="http://schemas.onlyoffice.com/commentsIdsDocument" Target="commentsIdsDocument.xml" /><Relationship Id="rId13"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李鑫</cp:lastModifiedBy>
  <cp:revision>12</cp:revision>
  <dcterms:created xsi:type="dcterms:W3CDTF">2026-07-09T09:00:00Z</dcterms:created>
  <dcterms:modified xsi:type="dcterms:W3CDTF">2026-07-29T02:33:24Z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eyJoZGlkIjoiNGFmNDYxNGQ5NTVjMjRhNTIzZTcyYzQ4MzI1Y2Y2NzMiLCJ1c2VySWQiOiIyNzgzNDU2NTgifQ==</vt:lpwstr>
  </property>
  <property fmtid="{D5CDD505-2E9C-101B-9397-08002B2CF9AE}" pid="4" name="ICV">
    <vt:lpwstr>12565D4AA36E4736B2A6CC7FF4157B69_13</vt:lpwstr>
  </property>
</Properties>
</file>