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2"/>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eastAsia="zh-CN"/>
        </w:rPr>
        <w:t xml:space="preserve">项目名称：南京市电子政务外网互联网出口服务</w:t>
      </w:r>
      <w:r>
        <w:rPr>
          <w:rFonts w:hint="eastAsia" w:ascii="Arial" w:hAnsi="Arial" w:eastAsia="宋体" w:cs="Times New Roman"/>
          <w:b/>
          <w:bCs/>
          <w:color w:val="000000"/>
          <w:sz w:val="32"/>
          <w:szCs w:val="24"/>
          <w:highlight w:val="none"/>
          <w:lang w:val="en-US" w:eastAsia="zh-CN"/>
        </w:rPr>
        <w:t xml:space="preserve"> </w:t>
      </w:r>
      <w:r>
        <w:rPr>
          <w:rFonts w:hint="eastAsia" w:ascii="Arial" w:hAnsi="Arial" w:eastAsia="宋体" w:cs="Times New Roman"/>
          <w:b/>
          <w:bCs/>
          <w:color w:val="000000"/>
          <w:sz w:val="32"/>
          <w:szCs w:val="24"/>
          <w:highlight w:val="none"/>
          <w:lang w:val="en-US" w:eastAsia="zh-CN"/>
        </w:rPr>
      </w:r>
      <w:r/>
    </w:p>
    <w:p>
      <w:pPr>
        <w:pStyle w:val="869"/>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t xml:space="preserve">项目编号：</w:t>
      </w:r>
      <w:r>
        <w:rPr>
          <w:rFonts w:hint="eastAsia" w:ascii="Arial" w:hAnsi="Arial" w:eastAsia="宋体" w:cs="Times New Roman"/>
          <w:b/>
          <w:bCs/>
          <w:color w:val="000000"/>
          <w:sz w:val="32"/>
          <w:szCs w:val="24"/>
          <w:highlight w:val="none"/>
          <w:lang w:val="en-US" w:eastAsia="zh-CN"/>
        </w:rPr>
        <w:t xml:space="preserve">JSZC-320100-JZCG-C2026-0271</w:t>
      </w:r>
      <w:r>
        <w:rPr>
          <w:rFonts w:hint="eastAsia" w:ascii="Arial" w:hAnsi="Arial" w:eastAsia="宋体" w:cs="Times New Roman"/>
          <w:b/>
          <w:bCs/>
          <w:color w:val="000000"/>
          <w:sz w:val="32"/>
          <w:szCs w:val="24"/>
          <w:highlight w:val="none"/>
          <w:lang w:eastAsia="zh-CN"/>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2"/>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9"/>
        <w:jc w:val="both"/>
        <w:spacing w:line="480" w:lineRule="exact"/>
        <w:rPr>
          <w:rFonts w:hint="eastAsia" w:ascii="宋体" w:hAnsi="宋体" w:eastAsia="宋体" w:cs="宋体"/>
          <w:b/>
          <w:bCs/>
          <w:color w:val="0000ff"/>
          <w:sz w:val="24"/>
          <w:szCs w:val="24"/>
          <w:highlight w:val="none"/>
          <w:lang w:eastAsia="zh-CN"/>
        </w:rPr>
        <w:outlineLvl w:val="0"/>
      </w:pPr>
      <w:r>
        <w:rPr>
          <w:rFonts w:hint="eastAsia" w:ascii="宋体" w:hAnsi="宋体" w:eastAsia="宋体" w:cs="宋体"/>
          <w:b/>
          <w:bCs/>
          <w:color w:val="0000ff"/>
          <w:sz w:val="24"/>
          <w:szCs w:val="24"/>
          <w:highlight w:val="none"/>
          <w:lang w:eastAsia="zh-CN"/>
        </w:rPr>
      </w:r>
      <w:r/>
    </w:p>
    <w:p>
      <w:pPr>
        <w:pStyle w:val="869"/>
        <w:jc w:val="center"/>
        <w:spacing w:line="480" w:lineRule="auto"/>
        <w:rPr>
          <w:rFonts w:ascii="Times New Roman" w:hAnsi="Times New Roman"/>
          <w:szCs w:val="21"/>
          <w:highlight w:val="none"/>
        </w:rPr>
        <w:outlineLvl w:val="0"/>
      </w:pPr>
      <w:r>
        <w:rPr>
          <w:rFonts w:ascii="Times New Roman" w:hAnsi="Times New Roman"/>
          <w:szCs w:val="21"/>
          <w:highlight w:val="none"/>
        </w:rPr>
      </w:r>
      <w:r/>
    </w:p>
    <w:p>
      <w:pPr>
        <w:pStyle w:val="869"/>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69"/>
        <w:spacing w:line="480" w:lineRule="auto"/>
        <w:rPr>
          <w:rFonts w:hint="eastAsia" w:ascii="仿宋_GB2312" w:hAnsi="Arial" w:eastAsia="仿宋_GB2312"/>
          <w:b/>
          <w:sz w:val="28"/>
          <w:szCs w:val="21"/>
          <w:highlight w:val="none"/>
        </w:rPr>
      </w:pPr>
      <w:r/>
      <w:bookmarkStart w:id="0" w:name="_Toc16938516"/>
      <w:r/>
      <w:bookmarkStart w:id="1" w:name="_Toc479757206"/>
      <w:r/>
      <w:bookmarkStart w:id="2" w:name="_Toc20823272"/>
      <w:r/>
      <w:bookmarkStart w:id="3" w:name="_Toc513029200"/>
      <w:r/>
      <w:bookmarkStart w:id="4" w:name="_Toc523127445"/>
      <w:r/>
      <w:bookmarkStart w:id="5" w:name="_Toc120614210"/>
      <w:r>
        <w:rPr>
          <w:rFonts w:hint="eastAsia" w:ascii="仿宋_GB2312" w:hAnsi="Arial" w:eastAsia="仿宋_GB2312"/>
          <w:b/>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磋商邀请…………………………………… </w:t>
      </w:r>
      <w:r>
        <w:rPr>
          <w:rFonts w:hint="eastAsia" w:ascii="黑体" w:hAnsi="宋体" w:eastAsia="黑体" w:cs="Times New Roman"/>
          <w:color w:val="000000" w:themeColor="text1"/>
          <w:sz w:val="36"/>
          <w:szCs w:val="21"/>
          <w:highlight w:val="none"/>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供应商须知………………………………… </w:t>
      </w:r>
      <w:r>
        <w:rPr>
          <w:rFonts w:hint="eastAsia" w:ascii="黑体" w:hAnsi="宋体" w:eastAsia="黑体" w:cs="Times New Roman"/>
          <w:color w:val="000000" w:themeColor="text1"/>
          <w:sz w:val="36"/>
          <w:szCs w:val="21"/>
          <w:highlight w:val="none"/>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rPr>
        <w:t xml:space="preserve">15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rPr>
        <w:t xml:space="preserve">19</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评审方法与评审标准………………………</w:t>
      </w:r>
      <w:r>
        <w:rPr>
          <w:rFonts w:hint="eastAsia" w:ascii="黑体" w:hAnsi="宋体" w:eastAsia="黑体" w:cs="Times New Roman"/>
          <w:color w:val="000000" w:themeColor="text1"/>
          <w:sz w:val="36"/>
          <w:szCs w:val="21"/>
          <w:highlight w:val="none"/>
        </w:rPr>
        <w:t xml:space="preserve">24</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响应文件格式………………………………</w:t>
      </w:r>
      <w:r>
        <w:rPr>
          <w:rFonts w:hint="eastAsia" w:ascii="黑体" w:hAnsi="宋体" w:eastAsia="黑体" w:cs="Times New Roman"/>
          <w:color w:val="000000" w:themeColor="text1"/>
          <w:sz w:val="36"/>
          <w:szCs w:val="21"/>
          <w:highlight w:val="none"/>
        </w:rPr>
        <w:t xml:space="preserve">28</w:t>
      </w:r>
      <w:r>
        <w:rPr>
          <w:color w:val="000000" w:themeColor="text1"/>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1.项目编号：JSZC-320100-JZCG-C2026-0271</w:t>
      </w:r>
      <w:r>
        <w:rPr>
          <w:rFonts w:hint="eastAsia" w:ascii="宋体" w:hAnsi="宋体" w:eastAsia="宋体" w:cs="Times New Roman"/>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2.项目名称：南京市电子政务外网互联网出口服务</w:t>
      </w:r>
      <w:r>
        <w:rPr>
          <w:rFonts w:hint="eastAsia" w:ascii="宋体" w:hAnsi="宋体" w:eastAsia="宋体" w:cs="Times New Roman"/>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3.预算金额：149.5万元/年</w:t>
      </w:r>
      <w:r>
        <w:rPr>
          <w:rFonts w:hint="eastAsia" w:ascii="宋体" w:hAnsi="宋体" w:eastAsia="宋体" w:cs="Times New Roman"/>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4.最高限价：149.5万元/年</w:t>
      </w:r>
      <w:r>
        <w:rPr>
          <w:rFonts w:hint="eastAsia" w:ascii="宋体" w:hAnsi="宋体" w:eastAsia="宋体" w:cs="Times New Roman"/>
          <w:sz w:val="24"/>
          <w:szCs w:val="24"/>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highlight w:val="none"/>
          <w:lang w:val="en-US" w:eastAsia="zh-CN"/>
        </w:rPr>
        <w:t xml:space="preserve">5.采购需求（</w:t>
      </w:r>
      <w:r>
        <w:rPr>
          <w:rFonts w:hint="eastAsia" w:ascii="宋体" w:hAnsi="宋体" w:eastAsia="宋体" w:cs="Times New Roman"/>
          <w:sz w:val="24"/>
          <w:szCs w:val="24"/>
          <w:highlight w:val="none"/>
          <w:lang w:val="en-US" w:eastAsia="zh-CN"/>
        </w:rPr>
        <w:t xml:space="preserve">简介）：南京市电子政务外网经过多年的建设与发展，其接入点规模不断扩大，承载的业务不断增多，目前已形成横向连接党委、人大、政府、政协、法院、检察院等系统单位，纵向贯通市、区、街道（镇）、社区（村）四级政务部门，并与国家和省电子政务外网安全对接的网络系统架构。现拟采购一条16G互联网出口光纤专线，同时采购4096个可用互联网IPv4地址和2的80次方个可用互联网IPv6地址作为全市电子政务外网的互联网出口地址，</w:t>
      </w:r>
      <w:r>
        <w:rPr>
          <w:rFonts w:hint="eastAsia" w:ascii="宋体" w:hAnsi="宋体" w:eastAsia="宋体" w:cs="Times New Roman"/>
          <w:sz w:val="24"/>
          <w:szCs w:val="24"/>
          <w:highlight w:val="none"/>
          <w:lang w:val="en-US" w:eastAsia="zh-CN"/>
        </w:rPr>
      </w:r>
      <w:r>
        <w:rPr>
          <w:rFonts w:ascii="SimSun" w:hAnsi="SimSun" w:eastAsia="SimSun" w:cs="SimSun"/>
          <w:color w:val="000000"/>
          <w:sz w:val="24"/>
        </w:rPr>
        <w:t xml:space="preserve">根据工作需要</w:t>
      </w:r>
      <w:r/>
      <w:r>
        <w:rPr>
          <w:rFonts w:hint="eastAsia" w:ascii="宋体" w:hAnsi="宋体" w:eastAsia="宋体" w:cs="Times New Roman"/>
          <w:sz w:val="24"/>
          <w:szCs w:val="24"/>
          <w:highlight w:val="none"/>
          <w:lang w:val="en-US" w:eastAsia="zh-CN"/>
        </w:rPr>
        <w:t xml:space="preserve">必要时带宽（含互联网地址）可进行拆分使用（拆分后线路数不超过10条）。（详细内容见本磋商文件第四章） </w:t>
      </w:r>
      <w:r/>
      <w:r/>
      <w:r>
        <w:rPr>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highlight w:val="none"/>
          <w:lang w:val="en-US" w:eastAsia="zh-CN"/>
        </w:rPr>
        <w:t xml:space="preserve">    6.合同履行期限：</w:t>
      </w:r>
      <w:r>
        <w:rPr>
          <w:rFonts w:ascii="SimSun" w:hAnsi="SimSun" w:eastAsia="SimSun" w:cs="SimSun"/>
          <w:color w:val="000000"/>
          <w:sz w:val="24"/>
        </w:rPr>
        <w:t xml:space="preserve">379天（合同签订后10个工作日完成线路部署完毕、满足交付条件并提供服务后开始计算，服务</w:t>
      </w:r>
      <w:r>
        <w:rPr>
          <w:rFonts w:ascii="SimSun" w:hAnsi="SimSun" w:eastAsia="SimSun" w:cs="SimSun"/>
          <w:color w:val="000000"/>
          <w:sz w:val="24"/>
        </w:rPr>
        <w:t xml:space="preserve">期</w:t>
      </w:r>
      <w:r>
        <w:rPr>
          <w:rFonts w:ascii="SimSun" w:hAnsi="SimSun" w:eastAsia="SimSun" w:cs="SimSun"/>
          <w:color w:val="000000"/>
          <w:sz w:val="24"/>
        </w:rPr>
        <w:t xml:space="preserve">365天）</w:t>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7.本项目不接受联合体参加磋商。</w:t>
      </w:r>
      <w:r>
        <w:rPr>
          <w:rFonts w:hint="eastAsia" w:ascii="宋体" w:hAnsi="宋体" w:eastAsia="宋体" w:cs="Times New Roman"/>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8.本项目不接受进口产品。</w:t>
      </w:r>
      <w:r>
        <w:rPr>
          <w:rFonts w:hint="eastAsia" w:ascii="宋体" w:hAnsi="宋体" w:eastAsia="宋体" w:cs="Times New Roman"/>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9.本项目不允许分包。</w:t>
      </w:r>
      <w:r>
        <w:rPr>
          <w:rFonts w:hint="eastAsia" w:ascii="宋体" w:hAnsi="宋体" w:eastAsia="宋体" w:cs="Times New Roman"/>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2.未被</w:t>
      </w:r>
      <w:r>
        <w:rPr>
          <w:rFonts w:hint="eastAsia" w:ascii="宋体" w:hAnsi="宋体" w:eastAsia="宋体" w:cs="Times New Roman"/>
          <w:b w:val="0"/>
          <w:bCs w:val="0"/>
          <w:color w:val="000000"/>
          <w:sz w:val="24"/>
          <w:szCs w:val="24"/>
          <w:highlight w:val="none"/>
          <w:lang w:val="zh-CN"/>
        </w:rPr>
        <w:t xml:space="preserve">“信用中国”网站列入失信被执行人、重大税收违法</w:t>
      </w:r>
      <w:r>
        <w:rPr>
          <w:rFonts w:hint="eastAsia" w:ascii="宋体" w:hAnsi="宋体" w:eastAsia="宋体" w:cs="Times New Roman"/>
          <w:b w:val="0"/>
          <w:bCs w:val="0"/>
          <w:color w:val="000000"/>
          <w:sz w:val="24"/>
          <w:szCs w:val="24"/>
          <w:highlight w:val="none"/>
          <w:lang w:val="en-US" w:eastAsia="zh-CN"/>
        </w:rPr>
        <w:t xml:space="preserve">失信主体名单</w:t>
      </w:r>
      <w:r>
        <w:rPr>
          <w:rFonts w:hint="eastAsia" w:ascii="宋体" w:hAnsi="宋体" w:eastAsia="宋体" w:cs="Times New Roman"/>
          <w:b w:val="0"/>
          <w:bCs w:val="0"/>
          <w:color w:val="000000"/>
          <w:sz w:val="24"/>
          <w:szCs w:val="24"/>
          <w:highlight w:val="none"/>
          <w:lang w:val="zh-CN"/>
        </w:rPr>
        <w:t xml:space="preserve">、政府采购严重违法失信行为记录名单。（</w:t>
      </w:r>
      <w:r>
        <w:rPr>
          <w:rFonts w:hint="eastAsia" w:ascii="宋体" w:hAnsi="宋体" w:eastAsia="宋体" w:cs="Times New Roman"/>
          <w:b w:val="0"/>
          <w:bCs w:val="0"/>
          <w:color w:val="000000"/>
          <w:sz w:val="24"/>
          <w:szCs w:val="24"/>
          <w:highlight w:val="none"/>
          <w:lang w:val="en-US" w:eastAsia="zh-CN"/>
        </w:rPr>
        <w:t xml:space="preserve">资格审查环节查询，响应文件</w:t>
      </w:r>
      <w:r>
        <w:rPr>
          <w:rFonts w:hint="eastAsia" w:ascii="宋体" w:hAnsi="宋体" w:eastAsia="宋体" w:cs="Times New Roman"/>
          <w:b w:val="0"/>
          <w:bCs w:val="0"/>
          <w:color w:val="000000"/>
          <w:sz w:val="24"/>
          <w:szCs w:val="24"/>
          <w:highlight w:val="none"/>
          <w:lang w:val="zh-CN"/>
        </w:rPr>
        <w:t xml:space="preserve">中无需提供证明材料）</w:t>
      </w:r>
      <w:r>
        <w:rPr>
          <w:rFonts w:hint="eastAsia" w:ascii="宋体" w:hAnsi="宋体" w:eastAsia="宋体" w:cs="Times New Roman"/>
          <w:b w:val="0"/>
          <w:bCs w:val="0"/>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（二）落实政府采购政策需满足的资格要求：</w:t>
      </w:r>
      <w:r>
        <w:rPr>
          <w:rFonts w:hint="eastAsia" w:ascii="宋体" w:hAnsi="宋体" w:eastAsia="宋体" w:cs="Times New Roman"/>
          <w:b w:val="0"/>
          <w:bCs w:val="0"/>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eastAsia="宋体" w:cs="Times New Roman"/>
          <w:b w:val="0"/>
          <w:bCs w:val="0"/>
          <w:color w:val="000000"/>
          <w:sz w:val="24"/>
          <w:szCs w:val="24"/>
          <w:highlight w:val="none"/>
          <w:lang w:val="zh-CN"/>
        </w:rPr>
        <w:t xml:space="preserve">）本项目的特定资格要求</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1.供应商具有工信部颁发的</w:t>
      </w:r>
      <w:bookmarkStart w:id="6" w:name="OLE_LINK13"/>
      <w:r>
        <w:rPr>
          <w:rFonts w:hint="eastAsia" w:ascii="宋体" w:hAnsi="宋体" w:eastAsia="宋体" w:cs="Times New Roman"/>
          <w:b/>
          <w:bCs/>
          <w:color w:val="000000"/>
          <w:sz w:val="24"/>
          <w:szCs w:val="24"/>
          <w:highlight w:val="none"/>
          <w:lang w:val="zh-CN"/>
        </w:rPr>
        <w:t xml:space="preserve">《增值电信业务经营许可证》</w:t>
      </w:r>
      <w:bookmarkEnd w:id="6"/>
      <w:r>
        <w:rPr>
          <w:rFonts w:hint="eastAsia" w:ascii="宋体" w:hAnsi="宋体" w:eastAsia="宋体" w:cs="Times New Roman"/>
          <w:b/>
          <w:bCs/>
          <w:color w:val="000000"/>
          <w:sz w:val="24"/>
          <w:szCs w:val="24"/>
          <w:highlight w:val="none"/>
          <w:lang w:val="zh-CN"/>
        </w:rPr>
        <w:t xml:space="preserve">(提供证书)。</w:t>
      </w:r>
      <w:r>
        <w:rPr>
          <w:rFonts w:hint="eastAsia" w:ascii="宋体" w:hAnsi="宋体" w:eastAsia="宋体" w:cs="Times New Roman"/>
          <w:b/>
          <w:bCs/>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2.供应商具有独立法人资格或经独立法人授权经营的市分支机构（营业执照在有效期内）（提供营业执照或授权书等相关证明材料）</w:t>
      </w:r>
      <w:r>
        <w:rPr>
          <w:rFonts w:hint="eastAsia" w:ascii="宋体" w:hAnsi="宋体" w:eastAsia="宋体" w:cs="Times New Roman"/>
          <w:b/>
          <w:bCs/>
          <w:color w:val="000000"/>
          <w:sz w:val="24"/>
          <w:szCs w:val="24"/>
          <w:highlight w:val="none"/>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ind w:firstLine="372"/>
        <w:pageBreakBefore w:val="0"/>
        <w:spacing w:before="145" w:after="145" w:line="264" w:lineRule="auto"/>
        <w:widowControl w:val="off"/>
        <w:rPr>
          <w:rFonts w:hint="eastAsia" w:ascii="宋体" w:hAnsi="宋体"/>
          <w:b w:val="0"/>
          <w:bCs w:val="0"/>
          <w:sz w:val="24"/>
          <w:szCs w:val="24"/>
          <w:highlight w:val="none"/>
          <w14:ligatures w14:val="none"/>
        </w:rPr>
        <w:outlineLvl w:val="9"/>
      </w:pPr>
      <w:r>
        <w:rPr>
          <w:rFonts w:hint="eastAsia" w:ascii="宋体" w:hAnsi="宋体"/>
          <w:b w:val="0"/>
          <w:bCs w:val="0"/>
          <w:sz w:val="24"/>
          <w:szCs w:val="24"/>
          <w:highlight w:val="none"/>
        </w:rPr>
        <w:t xml:space="preserve"> </w:t>
      </w:r>
      <w:r>
        <w:rPr>
          <w:rFonts w:hint="eastAsia" w:ascii="宋体" w:hAnsi="宋体"/>
          <w:b w:val="0"/>
          <w:bCs w:val="0"/>
          <w:sz w:val="24"/>
          <w:szCs w:val="24"/>
          <w:highlight w:val="none"/>
          <w:lang w:val="en-US" w:eastAsia="zh-CN"/>
        </w:rPr>
        <w:t xml:space="preserve">20</w:t>
      </w:r>
      <w:r>
        <w:rPr>
          <w:rFonts w:hint="eastAsia" w:ascii="宋体" w:hAnsi="宋体"/>
          <w:b w:val="0"/>
          <w:bCs w:val="0"/>
          <w:sz w:val="24"/>
          <w:szCs w:val="24"/>
          <w:highlight w:val="none"/>
          <w:lang w:val="en-US" w:eastAsia="zh-CN"/>
        </w:rPr>
        <w:t xml:space="preserve">26</w:t>
      </w:r>
      <w:r>
        <w:rPr>
          <w:rFonts w:hint="eastAsia" w:ascii="宋体" w:hAnsi="宋体"/>
          <w:b w:val="0"/>
          <w:bCs w:val="0"/>
          <w:sz w:val="24"/>
          <w:szCs w:val="24"/>
          <w:highlight w:val="none"/>
        </w:rPr>
        <w:t xml:space="preserve">年</w:t>
      </w:r>
      <w:r>
        <w:rPr>
          <w:rFonts w:hint="eastAsia" w:ascii="宋体" w:hAnsi="宋体"/>
          <w:b w:val="0"/>
          <w:bCs w:val="0"/>
          <w:sz w:val="24"/>
          <w:szCs w:val="24"/>
          <w:highlight w:val="none"/>
          <w:lang w:val="en-US" w:eastAsia="zh-CN"/>
        </w:rPr>
        <w:t xml:space="preserve">8</w:t>
      </w:r>
      <w:r>
        <w:rPr>
          <w:rFonts w:hint="eastAsia" w:ascii="宋体" w:hAnsi="宋体"/>
          <w:b w:val="0"/>
          <w:bCs w:val="0"/>
          <w:sz w:val="24"/>
          <w:szCs w:val="24"/>
          <w:highlight w:val="none"/>
        </w:rPr>
        <w:t xml:space="preserve">月</w:t>
      </w:r>
      <w:r>
        <w:rPr>
          <w:rFonts w:hint="eastAsia" w:ascii="宋体" w:hAnsi="宋体"/>
          <w:b w:val="0"/>
          <w:bCs w:val="0"/>
          <w:sz w:val="24"/>
          <w:szCs w:val="24"/>
          <w:highlight w:val="none"/>
          <w:lang w:val="en-US" w:eastAsia="zh-CN"/>
        </w:rPr>
        <w:t xml:space="preserve">17</w:t>
      </w:r>
      <w:r>
        <w:rPr>
          <w:rFonts w:hint="eastAsia" w:ascii="宋体" w:hAnsi="宋体"/>
          <w:b w:val="0"/>
          <w:bCs w:val="0"/>
          <w:sz w:val="24"/>
          <w:szCs w:val="24"/>
          <w:highlight w:val="none"/>
        </w:rPr>
        <w:t xml:space="preserve">日</w:t>
      </w:r>
      <w:r>
        <w:rPr>
          <w:rFonts w:hint="eastAsia" w:ascii="宋体" w:hAnsi="宋体"/>
          <w:b w:val="0"/>
          <w:bCs w:val="0"/>
          <w:sz w:val="24"/>
          <w:szCs w:val="24"/>
          <w:highlight w:val="none"/>
          <w:lang w:val="en-US" w:eastAsia="zh-CN"/>
        </w:rPr>
        <w:t xml:space="preserve">14</w:t>
      </w:r>
      <w:r>
        <w:rPr>
          <w:rFonts w:hint="eastAsia" w:ascii="宋体" w:hAnsi="宋体"/>
          <w:b w:val="0"/>
          <w:bCs w:val="0"/>
          <w:sz w:val="24"/>
          <w:szCs w:val="24"/>
          <w:highlight w:val="none"/>
          <w:lang w:val="en-US" w:eastAsia="zh-CN"/>
        </w:rPr>
        <w:t xml:space="preserve">时</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t xml:space="preserve">北京时间）</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1.本次磋商不收取磋商保证金。</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2.本项目不组织勘察及答疑，供应商如对采购需求有疑问，请咨询采购人。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4.有关本次采购的事项若存在变动或修改，请及时关注“江苏政府采购网”（www.ccgp-jiangsu.gov.cn）更正公告。</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b/>
          <w:bCs/>
          <w:sz w:val="24"/>
          <w:szCs w:val="24"/>
          <w:highlight w:val="none"/>
          <w:lang w:val="zh-CN" w:eastAsia="zh-CN"/>
        </w:rPr>
        <w:t xml:space="preserve">对采购方式、采购需求、供应商资格</w:t>
      </w:r>
      <w:r>
        <w:rPr>
          <w:rFonts w:hint="eastAsia" w:ascii="宋体" w:hAnsi="宋体" w:eastAsia="宋体" w:cs="宋体"/>
          <w:b/>
          <w:bCs/>
          <w:sz w:val="24"/>
          <w:szCs w:val="24"/>
          <w:highlight w:val="none"/>
          <w:lang w:val="en-US" w:eastAsia="zh-CN"/>
        </w:rPr>
        <w:t xml:space="preserve">要求</w:t>
      </w:r>
      <w:r>
        <w:rPr>
          <w:rFonts w:hint="eastAsia" w:ascii="宋体" w:hAnsi="宋体" w:eastAsia="宋体" w:cs="宋体"/>
          <w:b/>
          <w:bCs/>
          <w:sz w:val="24"/>
          <w:szCs w:val="24"/>
          <w:highlight w:val="none"/>
          <w:lang w:val="zh-CN" w:eastAsia="zh-CN"/>
        </w:rPr>
        <w:t xml:space="preserve">、评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zh-CN" w:eastAsia="zh-CN"/>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zh-CN" w:eastAsia="zh-CN"/>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zh-CN" w:eastAsia="zh-CN"/>
        </w:rPr>
        <w:t xml:space="preserve">质疑向采购人提出，由采购人负责答复。</w:t>
      </w:r>
      <w:r>
        <w:rPr>
          <w:rFonts w:hint="eastAsia" w:ascii="宋体" w:hAnsi="宋体" w:eastAsia="宋体" w:cs="宋体"/>
          <w:b/>
          <w:bCs/>
          <w:sz w:val="24"/>
          <w:szCs w:val="24"/>
          <w:highlight w:val="none"/>
          <w:lang w:val="en-US" w:eastAsia="zh-CN"/>
        </w:rPr>
        <w:t xml:space="preserve">对上述事项以外</w:t>
      </w:r>
      <w:r>
        <w:rPr>
          <w:rFonts w:hint="eastAsia" w:ascii="宋体" w:hAnsi="宋体" w:eastAsia="宋体" w:cs="宋体"/>
          <w:b/>
          <w:bCs/>
          <w:sz w:val="24"/>
          <w:szCs w:val="24"/>
          <w:highlight w:val="none"/>
          <w:lang w:val="zh-CN" w:eastAsia="zh-CN"/>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zh-CN" w:eastAsia="zh-CN"/>
        </w:rPr>
        <w:t xml:space="preserve">质疑向交易中心提出，由交易中心负责答复。</w:t>
      </w:r>
      <w:r>
        <w:rPr>
          <w:rFonts w:hint="eastAsia" w:ascii="宋体" w:hAnsi="宋体" w:eastAsia="宋体" w:cs="宋体"/>
          <w:sz w:val="24"/>
          <w:szCs w:val="24"/>
          <w:highlight w:val="none"/>
          <w:lang w:val="zh-CN" w:eastAsia="zh-CN"/>
        </w:rPr>
      </w:r>
      <w:r/>
    </w:p>
    <w:p>
      <w:pPr>
        <w:pStyle w:val="869"/>
        <w:ind w:firstLine="48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采购人《质疑函》收件人：马先生，收件地址：南京市建邺区江东中路265号新城大厦D座，联系电话：025-68789550。</w:t>
      </w:r>
      <w:r>
        <w:rPr>
          <w:rFonts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交易中心《质疑函》收件人：南京市公共资源交易中心政府</w:t>
      </w:r>
      <w:r>
        <w:rPr>
          <w:rFonts w:hint="eastAsia" w:ascii="宋体" w:hAnsi="宋体" w:eastAsia="宋体" w:cs="宋体"/>
          <w:sz w:val="24"/>
          <w:szCs w:val="24"/>
          <w:highlight w:val="none"/>
          <w:lang w:val="en-US" w:eastAsia="zh-CN"/>
        </w:rPr>
        <w:t xml:space="preserve">集中</w:t>
      </w:r>
      <w:r>
        <w:rPr>
          <w:rFonts w:hint="eastAsia" w:ascii="宋体" w:hAnsi="宋体" w:eastAsia="宋体" w:cs="宋体"/>
          <w:sz w:val="24"/>
          <w:szCs w:val="24"/>
          <w:highlight w:val="none"/>
          <w:lang w:val="zh-CN" w:eastAsia="zh-CN"/>
        </w:rPr>
        <w:t xml:space="preserve">采购</w:t>
      </w:r>
      <w:r>
        <w:rPr>
          <w:rFonts w:hint="eastAsia" w:ascii="宋体" w:hAnsi="宋体" w:eastAsia="宋体" w:cs="宋体"/>
          <w:sz w:val="24"/>
          <w:szCs w:val="24"/>
          <w:highlight w:val="none"/>
          <w:lang w:val="en-US" w:eastAsia="zh-CN"/>
        </w:rPr>
        <w:t xml:space="preserve">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地址：南京市</w:t>
      </w:r>
      <w:r>
        <w:rPr>
          <w:rFonts w:hint="eastAsia" w:ascii="宋体" w:hAnsi="宋体" w:eastAsia="宋体" w:cs="宋体"/>
          <w:sz w:val="24"/>
          <w:szCs w:val="24"/>
          <w:highlight w:val="none"/>
          <w:lang w:val="en-US" w:eastAsia="zh-CN"/>
        </w:rPr>
        <w:t xml:space="preserve">建邺区</w:t>
      </w:r>
      <w:r>
        <w:rPr>
          <w:rFonts w:hint="eastAsia" w:ascii="宋体" w:hAnsi="宋体" w:eastAsia="宋体" w:cs="宋体"/>
          <w:sz w:val="24"/>
          <w:szCs w:val="24"/>
          <w:highlight w:val="none"/>
          <w:lang w:val="zh-CN" w:eastAsia="zh-CN"/>
        </w:rPr>
        <w:t xml:space="preserve">江东中路265号南京市公共资源交易中心北门，联系电话：025-68505926。</w:t>
      </w:r>
      <w:r>
        <w:rPr>
          <w:rFonts w:hint="eastAsia" w:ascii="宋体" w:hAnsi="宋体" w:eastAsia="宋体" w:cs="宋体"/>
          <w:sz w:val="24"/>
          <w:szCs w:val="24"/>
          <w:highlight w:val="none"/>
          <w:lang w:val="zh-CN"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1.采购人</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  称：南京市城市数字治理中心</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址：南京市建邺区江东中路265号新城大厦D座</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联系人：马先生</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联系电话：025-687895</w:t>
      </w:r>
      <w:bookmarkStart w:id="7" w:name="_Toc28359009"/>
      <w:r/>
      <w:bookmarkStart w:id="8" w:name="_Toc28359086"/>
      <w:r>
        <w:rPr>
          <w:rFonts w:hint="eastAsia" w:ascii="宋体" w:hAnsi="宋体" w:eastAsia="宋体" w:cs="宋体"/>
          <w:sz w:val="24"/>
          <w:szCs w:val="24"/>
          <w:highlight w:val="none"/>
          <w:lang w:eastAsia="zh-CN"/>
        </w:rPr>
        <w:t xml:space="preserve">50</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2.交易中心</w:t>
      </w:r>
      <w:bookmarkEnd w:id="7"/>
      <w:r/>
      <w:bookmarkEnd w:id="8"/>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址：南京市建邺区江东中路265号</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陈先生</w:t>
      </w:r>
      <w:r>
        <w:rPr>
          <w:rFonts w:ascii="宋体" w:hAnsi="宋体" w:eastAsia="宋体" w:cs="宋体"/>
          <w:sz w:val="24"/>
          <w:szCs w:val="24"/>
          <w:highlight w:val="none"/>
          <w:lang w:val="en-US" w:eastAsia="zh-CN"/>
        </w:rPr>
      </w:r>
      <w:r/>
    </w:p>
    <w:p>
      <w:pPr>
        <w:pStyle w:val="869"/>
        <w:ind w:firstLine="48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联系电话：025-6850</w:t>
      </w:r>
      <w:r>
        <w:rPr>
          <w:rFonts w:hint="eastAsia" w:ascii="宋体" w:hAnsi="宋体" w:eastAsia="宋体" w:cs="宋体"/>
          <w:sz w:val="24"/>
          <w:szCs w:val="24"/>
          <w:highlight w:val="none"/>
          <w:lang w:val="en-US" w:eastAsia="zh-CN"/>
        </w:rPr>
        <w:t xml:space="preserve">5915</w:t>
      </w:r>
      <w:r>
        <w:rPr>
          <w:rFonts w:ascii="宋体" w:hAnsi="宋体" w:eastAsia="宋体" w:cs="宋体"/>
          <w:sz w:val="24"/>
          <w:szCs w:val="24"/>
          <w:highlight w:val="none"/>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 w:name="_Toc16938519"/>
      <w:r/>
      <w:bookmarkStart w:id="10" w:name="_Toc120614214"/>
      <w:r/>
      <w:bookmarkStart w:id="11" w:name="_Toc20823275"/>
      <w:r/>
      <w:bookmarkStart w:id="12" w:name="_Toc513029203"/>
      <w:r>
        <w:rPr>
          <w:rFonts w:hint="eastAsia" w:ascii="方正黑体_GBK" w:hAnsi="方正黑体_GBK" w:eastAsia="方正黑体_GBK" w:cs="方正黑体_GBK"/>
          <w:b w:val="0"/>
          <w:bCs w:val="0"/>
          <w:color w:val="000000"/>
          <w:sz w:val="30"/>
          <w:szCs w:val="30"/>
          <w:highlight w:val="none"/>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Hlt16619475"/>
      <w:r/>
      <w:bookmarkEnd w:id="13"/>
      <w:r/>
      <w:bookmarkStart w:id="14" w:name="_Toc458694821"/>
      <w:r/>
      <w:bookmarkStart w:id="15" w:name="_Toc513029204"/>
      <w:r/>
      <w:bookmarkStart w:id="16" w:name="_Toc20823276"/>
      <w:r/>
      <w:bookmarkStart w:id="17" w:name="_Toc16938520"/>
      <w:r>
        <w:rPr>
          <w:rFonts w:hint="eastAsia" w:ascii="方正楷体_GBK" w:hAnsi="方正楷体_GBK" w:eastAsia="方正楷体_GBK" w:cs="方正楷体_GBK"/>
          <w:b/>
          <w:bCs/>
          <w:sz w:val="28"/>
          <w:szCs w:val="28"/>
          <w:highlight w:val="none"/>
          <w:lang w:val="en-US" w:eastAsia="zh-CN"/>
        </w:rPr>
        <w:t xml:space="preserve">1</w:t>
      </w:r>
      <w:bookmarkEnd w:id="14"/>
      <w:r>
        <w:rPr>
          <w:rFonts w:hint="eastAsia" w:ascii="方正楷体_GBK" w:hAnsi="方正楷体_GBK" w:eastAsia="方正楷体_GBK" w:cs="方正楷体_GBK"/>
          <w:b/>
          <w:bCs/>
          <w:sz w:val="28"/>
          <w:szCs w:val="28"/>
          <w:highlight w:val="none"/>
          <w:lang w:val="en-US" w:eastAsia="zh-CN"/>
        </w:rPr>
        <w:t xml:space="preserve">.采购方式</w:t>
      </w:r>
      <w:bookmarkEnd w:id="15"/>
      <w:r/>
      <w:bookmarkEnd w:id="16"/>
      <w:r/>
      <w:bookmarkEnd w:id="1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8" w:name="_Toc20823277"/>
      <w:r/>
      <w:bookmarkStart w:id="19" w:name="_Toc16938521"/>
      <w:r/>
      <w:bookmarkStart w:id="20" w:name="_Toc513029205"/>
      <w:r>
        <w:rPr>
          <w:rFonts w:hint="eastAsia" w:ascii="方正楷体_GBK" w:hAnsi="方正楷体_GBK" w:eastAsia="方正楷体_GBK" w:cs="方正楷体_GBK"/>
          <w:b/>
          <w:bCs/>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1" w:name="_Toc513029206"/>
      <w:r/>
      <w:bookmarkStart w:id="22" w:name="_Toc20823278"/>
      <w:r/>
      <w:bookmarkStart w:id="23" w:name="_Toc16938522"/>
      <w:r>
        <w:rPr>
          <w:rFonts w:hint="eastAsia" w:ascii="方正楷体_GBK" w:hAnsi="方正楷体_GBK" w:eastAsia="方正楷体_GBK" w:cs="方正楷体_GBK"/>
          <w:b/>
          <w:bCs/>
          <w:sz w:val="28"/>
          <w:szCs w:val="28"/>
          <w:highlight w:val="none"/>
          <w:lang w:val="en-US" w:eastAsia="zh-CN"/>
        </w:rPr>
        <w:t xml:space="preserve">3.适用法律</w:t>
      </w:r>
      <w:bookmarkEnd w:id="21"/>
      <w:r/>
      <w:bookmarkEnd w:id="22"/>
      <w:r/>
      <w:bookmarkEnd w:id="23"/>
      <w:r>
        <w:rPr>
          <w:rFonts w:hint="eastAsia" w:ascii="方正楷体_GBK" w:hAnsi="方正楷体_GBK" w:eastAsia="方正楷体_GBK" w:cs="方正楷体_GBK"/>
          <w:b/>
          <w:bCs/>
          <w:sz w:val="28"/>
          <w:szCs w:val="28"/>
          <w:highlight w:val="none"/>
          <w:lang w:val="en-US" w:eastAsia="zh-CN"/>
        </w:rPr>
      </w:r>
      <w:r/>
    </w:p>
    <w:p>
      <w:pPr>
        <w:pStyle w:val="869"/>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4" w:name="_Toc16938523"/>
      <w:r/>
      <w:bookmarkStart w:id="25" w:name="_Toc513029207"/>
      <w:r/>
      <w:bookmarkStart w:id="26" w:name="_Toc20823279"/>
      <w:r/>
      <w:bookmarkStart w:id="27" w:name="_Toc462564067"/>
      <w:r>
        <w:rPr>
          <w:rFonts w:hint="eastAsia" w:ascii="方正楷体_GBK" w:hAnsi="方正楷体_GBK" w:eastAsia="方正楷体_GBK" w:cs="方正楷体_GBK"/>
          <w:b/>
          <w:bCs/>
          <w:sz w:val="28"/>
          <w:szCs w:val="28"/>
          <w:highlight w:val="none"/>
          <w:lang w:val="en-US" w:eastAsia="zh-CN"/>
        </w:rPr>
        <w:t xml:space="preserve">4.磋商费用</w:t>
      </w:r>
      <w:bookmarkEnd w:id="24"/>
      <w:r/>
      <w:bookmarkEnd w:id="25"/>
      <w:r/>
      <w:bookmarkEnd w:id="26"/>
      <w:r/>
      <w:bookmarkEnd w:id="2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8" w:name="_Toc120614215"/>
      <w:r/>
      <w:bookmarkStart w:id="29" w:name="_Toc16938525"/>
      <w:r/>
      <w:bookmarkStart w:id="30" w:name="_Toc20823281"/>
      <w:r/>
      <w:bookmarkStart w:id="31" w:name="_Toc513029209"/>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2" w:name="_Toc16938526"/>
      <w:r/>
      <w:bookmarkStart w:id="33" w:name="_Toc20823282"/>
      <w:r/>
      <w:bookmarkStart w:id="34" w:name="_Toc513029210"/>
      <w:r>
        <w:rPr>
          <w:rFonts w:hint="eastAsia" w:ascii="方正楷体_GBK" w:hAnsi="方正楷体_GBK" w:eastAsia="方正楷体_GBK" w:cs="方正楷体_GBK"/>
          <w:b/>
          <w:bCs/>
          <w:sz w:val="28"/>
          <w:szCs w:val="28"/>
          <w:highlight w:val="none"/>
          <w:lang w:val="en-US" w:eastAsia="zh-CN"/>
        </w:rPr>
        <w:t xml:space="preserve">6.磋商文件构成</w:t>
      </w:r>
      <w:bookmarkEnd w:id="32"/>
      <w:r/>
      <w:bookmarkEnd w:id="33"/>
      <w:r/>
      <w:bookmarkEnd w:id="34"/>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5" w:name="_Toc16938527"/>
      <w:r/>
      <w:bookmarkStart w:id="36" w:name="_Toc462564070"/>
      <w:r/>
      <w:bookmarkStart w:id="37" w:name="_Toc513029211"/>
      <w:r/>
      <w:bookmarkStart w:id="38"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35"/>
      <w:r/>
      <w:bookmarkEnd w:id="36"/>
      <w:r/>
      <w:bookmarkEnd w:id="37"/>
      <w:r/>
      <w:bookmarkEnd w:id="38"/>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39" w:name="_Toc20823285"/>
      <w:r/>
      <w:bookmarkStart w:id="40" w:name="_Toc16938529"/>
      <w:r/>
      <w:bookmarkStart w:id="41" w:name="_Toc462564072"/>
      <w:r/>
      <w:bookmarkStart w:id="42" w:name="_Toc513029213"/>
      <w:r/>
      <w:bookmarkStart w:id="43" w:name="_Toc120614216"/>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9"/>
      <w:r/>
      <w:bookmarkEnd w:id="40"/>
      <w:r/>
      <w:bookmarkEnd w:id="41"/>
      <w:r/>
      <w:bookmarkEnd w:id="42"/>
      <w:r/>
      <w:bookmarkEnd w:id="43"/>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4" w:name="_Toc462564073"/>
      <w:r/>
      <w:bookmarkStart w:id="45" w:name="_Toc20823286"/>
      <w:r/>
      <w:bookmarkStart w:id="46" w:name="_Toc16938530"/>
      <w:r/>
      <w:bookmarkStart w:id="47" w:name="_Toc513029214"/>
      <w:r>
        <w:rPr>
          <w:rFonts w:hint="eastAsia" w:ascii="方正楷体_GBK" w:hAnsi="方正楷体_GBK" w:eastAsia="方正楷体_GBK" w:cs="方正楷体_GBK"/>
          <w:b/>
          <w:bCs/>
          <w:sz w:val="28"/>
          <w:szCs w:val="28"/>
          <w:highlight w:val="none"/>
          <w:lang w:val="en-US" w:eastAsia="zh-CN"/>
        </w:rPr>
        <w:t xml:space="preserve">8.响应文件的语言及度量衡单位</w:t>
      </w:r>
      <w:bookmarkEnd w:id="44"/>
      <w:r/>
      <w:bookmarkEnd w:id="45"/>
      <w:r/>
      <w:bookmarkEnd w:id="46"/>
      <w:r/>
      <w:bookmarkEnd w:id="4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8" w:name="_Toc462564074"/>
      <w:r/>
      <w:bookmarkStart w:id="49" w:name="_Toc16938531"/>
      <w:r/>
      <w:bookmarkStart w:id="50" w:name="_Toc20823287"/>
      <w:r/>
      <w:bookmarkStart w:id="51" w:name="_Toc513029215"/>
      <w:r>
        <w:rPr>
          <w:rFonts w:hint="eastAsia" w:ascii="方正楷体_GBK" w:hAnsi="方正楷体_GBK" w:eastAsia="方正楷体_GBK" w:cs="方正楷体_GBK"/>
          <w:b/>
          <w:bCs/>
          <w:sz w:val="28"/>
          <w:szCs w:val="28"/>
          <w:highlight w:val="none"/>
          <w:lang w:val="en-US" w:eastAsia="zh-CN"/>
        </w:rPr>
        <w:t xml:space="preserve">9.响应文件构成</w:t>
      </w:r>
      <w:bookmarkEnd w:id="48"/>
      <w:r/>
      <w:bookmarkEnd w:id="49"/>
      <w:r/>
      <w:bookmarkEnd w:id="50"/>
      <w:r/>
      <w:bookmarkEnd w:id="51"/>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2" w:name="_Hlt26668975"/>
      <w:r/>
      <w:bookmarkEnd w:id="52"/>
      <w:r/>
      <w:bookmarkStart w:id="53" w:name="_Hlt26670360"/>
      <w:r/>
      <w:bookmarkEnd w:id="53"/>
      <w:r/>
      <w:bookmarkStart w:id="54" w:name="_Hlt26954838"/>
      <w:r/>
      <w:bookmarkEnd w:id="54"/>
      <w:r/>
      <w:bookmarkStart w:id="55" w:name="_Toc14577357"/>
      <w:r/>
      <w:bookmarkStart w:id="56" w:name="_Toc49090509"/>
      <w:r/>
      <w:bookmarkStart w:id="57" w:name="_Toc513029219"/>
      <w:r/>
      <w:bookmarkStart w:id="58" w:name="_Toc513029216"/>
      <w:r/>
      <w:bookmarkStart w:id="59" w:name="_Toc49090507"/>
      <w:r/>
      <w:bookmarkStart w:id="60" w:name="_Toc14577354"/>
      <w:r/>
      <w:bookmarkStart w:id="61" w:name="_Toc14577355"/>
      <w:r/>
      <w:bookmarkStart w:id="62" w:name="_Toc49090508"/>
      <w:r>
        <w:rPr>
          <w:rFonts w:hint="eastAsia" w:ascii="方正楷体_GBK" w:hAnsi="方正楷体_GBK" w:eastAsia="方正楷体_GBK" w:cs="方正楷体_GBK"/>
          <w:b/>
          <w:bCs/>
          <w:sz w:val="28"/>
          <w:szCs w:val="28"/>
          <w:highlight w:val="none"/>
          <w:lang w:val="en-US" w:eastAsia="zh-CN"/>
        </w:rPr>
        <w:t xml:space="preserve">10.磋商报价</w:t>
      </w:r>
      <w:bookmarkEnd w:id="55"/>
      <w:r/>
      <w:bookmarkEnd w:id="56"/>
      <w:r/>
      <w:bookmarkEnd w:id="57"/>
      <w:r/>
      <w:bookmarkEnd w:id="58"/>
      <w:r/>
      <w:bookmarkEnd w:id="59"/>
      <w:r/>
      <w:bookmarkEnd w:id="60"/>
      <w:r/>
      <w:bookmarkEnd w:id="61"/>
      <w:r/>
      <w:bookmarkEnd w:id="62"/>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9"/>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3" w:name="_Hlt26954846"/>
      <w:r/>
      <w:bookmarkEnd w:id="63"/>
      <w:r/>
      <w:bookmarkStart w:id="64" w:name="_Hlt26670482"/>
      <w:r/>
      <w:bookmarkEnd w:id="64"/>
      <w:r/>
      <w:bookmarkStart w:id="65" w:name="_Hlt26954731"/>
      <w:r/>
      <w:bookmarkEnd w:id="65"/>
      <w:r/>
      <w:bookmarkStart w:id="66" w:name="_Hlt26954848"/>
      <w:r/>
      <w:bookmarkEnd w:id="66"/>
      <w:r/>
      <w:bookmarkStart w:id="67" w:name="_Hlt26670486"/>
      <w:r/>
      <w:bookmarkEnd w:id="67"/>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68" w:name="_Toc49090510"/>
      <w:r/>
      <w:bookmarkStart w:id="69" w:name="_Toc14577359"/>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9"/>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End w:id="68"/>
      <w:r/>
      <w:bookmarkEnd w:id="69"/>
      <w:r/>
      <w:bookmarkStart w:id="70" w:name="_Toc49090511"/>
      <w:r/>
      <w:bookmarkStart w:id="71" w:name="_Toc14577360"/>
      <w:r>
        <w:rPr>
          <w:rFonts w:hint="eastAsia" w:ascii="方正楷体_GBK" w:hAnsi="方正楷体_GBK" w:eastAsia="方正楷体_GBK" w:cs="方正楷体_GBK"/>
          <w:b/>
          <w:bCs/>
          <w:sz w:val="28"/>
          <w:szCs w:val="28"/>
          <w:highlight w:val="none"/>
          <w:lang w:val="en-US" w:eastAsia="zh-CN"/>
        </w:rPr>
        <w:t xml:space="preserve">13.磋商有效期</w:t>
      </w:r>
      <w:bookmarkEnd w:id="70"/>
      <w:r/>
      <w:bookmarkEnd w:id="71"/>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2" w:name="_Hlt26954739"/>
      <w:r/>
      <w:bookmarkEnd w:id="72"/>
      <w:r/>
      <w:bookmarkStart w:id="73" w:name="_Hlt26954852"/>
      <w:r/>
      <w:bookmarkEnd w:id="73"/>
      <w:r/>
      <w:bookmarkStart w:id="74" w:name="_Toc513029224"/>
      <w:r/>
      <w:bookmarkStart w:id="75" w:name="_Toc20823296"/>
      <w:r/>
      <w:bookmarkStart w:id="76" w:name="_Toc120614217"/>
      <w:r/>
      <w:bookmarkStart w:id="77"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74"/>
      <w:r/>
      <w:bookmarkEnd w:id="75"/>
      <w:r/>
      <w:bookmarkEnd w:id="76"/>
      <w:r/>
      <w:bookmarkEnd w:id="77"/>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8" w:name="_Toc462564084"/>
      <w:r/>
      <w:bookmarkStart w:id="79" w:name="_Toc513029225"/>
      <w:r/>
      <w:bookmarkStart w:id="80" w:name="_Toc20823297"/>
      <w:r/>
      <w:bookmarkStart w:id="81" w:name="_Toc16938541"/>
      <w:r>
        <w:rPr>
          <w:rFonts w:hint="eastAsia" w:ascii="方正楷体_GBK" w:hAnsi="方正楷体_GBK" w:eastAsia="方正楷体_GBK" w:cs="方正楷体_GBK"/>
          <w:b/>
          <w:bCs/>
          <w:sz w:val="28"/>
          <w:szCs w:val="28"/>
          <w:highlight w:val="none"/>
          <w:lang w:val="en-US" w:eastAsia="zh-CN"/>
        </w:rPr>
        <w:t xml:space="preserve">15.</w:t>
      </w:r>
      <w:bookmarkEnd w:id="78"/>
      <w:r/>
      <w:bookmarkEnd w:id="79"/>
      <w:r/>
      <w:bookmarkEnd w:id="80"/>
      <w:r/>
      <w:bookmarkEnd w:id="81"/>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2" w:name="_Toc513029226"/>
      <w:r/>
      <w:bookmarkStart w:id="83" w:name="_Toc16938542"/>
      <w:r/>
      <w:bookmarkStart w:id="84" w:name="_Toc20823298"/>
      <w:r>
        <w:rPr>
          <w:rFonts w:hint="eastAsia" w:ascii="宋体" w:hAnsi="宋体" w:eastAsia="宋体" w:cs="Times New Roman"/>
          <w:color w:val="000000"/>
          <w:sz w:val="24"/>
          <w:szCs w:val="21"/>
          <w:highlight w:val="none"/>
        </w:rPr>
        <w:t xml:space="preserve">提交响应文件</w:t>
      </w:r>
      <w:r>
        <w:rPr>
          <w:rFonts w:hint="eastAsia" w:ascii="宋体" w:hAnsi="宋体" w:eastAsia="宋体" w:cs="Times New Roman"/>
          <w:color w:val="000000"/>
          <w:sz w:val="24"/>
          <w:szCs w:val="21"/>
          <w:highlight w:val="none"/>
        </w:rPr>
        <w:t xml:space="preserve">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2"/>
      <w:r/>
      <w:bookmarkEnd w:id="83"/>
      <w:r/>
      <w:bookmarkEnd w:id="84"/>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5" w:name="_Toc20823300"/>
      <w:r/>
      <w:bookmarkStart w:id="86" w:name="_Toc513029228"/>
      <w:r/>
      <w:bookmarkStart w:id="87" w:name="_Toc16938544"/>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85"/>
      <w:r/>
      <w:bookmarkEnd w:id="86"/>
      <w:r/>
      <w:bookmarkEnd w:id="8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8" w:name="_Toc513029229"/>
      <w:r/>
      <w:bookmarkStart w:id="89" w:name="_Toc120614218"/>
      <w:r/>
      <w:bookmarkStart w:id="90" w:name="_Toc20823301"/>
      <w:r/>
      <w:bookmarkStart w:id="91" w:name="_Toc16938545"/>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8"/>
      <w:r/>
      <w:bookmarkEnd w:id="89"/>
      <w:r/>
      <w:bookmarkEnd w:id="90"/>
      <w:r/>
      <w:bookmarkEnd w:id="91"/>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2" w:name="_Toc16938547"/>
      <w:r/>
      <w:bookmarkStart w:id="93" w:name="_Toc20823303"/>
      <w:r/>
      <w:bookmarkStart w:id="94" w:name="_Toc513029231"/>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2"/>
      <w:r/>
      <w:bookmarkEnd w:id="93"/>
      <w:r/>
      <w:bookmarkEnd w:id="94"/>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5" w:name="_Toc20823304"/>
      <w:r/>
      <w:bookmarkStart w:id="96" w:name="_Toc513029232"/>
      <w:r/>
      <w:bookmarkStart w:id="97" w:name="_Toc16938548"/>
      <w:r>
        <w:rPr>
          <w:rFonts w:hint="eastAsia" w:ascii="方正楷体_GBK" w:hAnsi="方正楷体_GBK" w:eastAsia="方正楷体_GBK" w:cs="方正楷体_GBK"/>
          <w:b/>
          <w:bCs/>
          <w:sz w:val="28"/>
          <w:szCs w:val="28"/>
          <w:highlight w:val="none"/>
          <w:lang w:val="en-US" w:eastAsia="zh-CN"/>
        </w:rPr>
        <w:t xml:space="preserve">20.评审过程中的澄清</w:t>
      </w:r>
      <w:bookmarkEnd w:id="95"/>
      <w:r/>
      <w:bookmarkEnd w:id="96"/>
      <w:r/>
      <w:bookmarkEnd w:id="9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8" w:name="_Toc20823305"/>
      <w:r/>
      <w:bookmarkStart w:id="99" w:name="_Toc16938549"/>
      <w:r/>
      <w:bookmarkStart w:id="100" w:name="_Toc513029233"/>
      <w:r>
        <w:rPr>
          <w:rFonts w:hint="eastAsia" w:ascii="方正楷体_GBK" w:hAnsi="方正楷体_GBK" w:eastAsia="方正楷体_GBK" w:cs="方正楷体_GBK"/>
          <w:b/>
          <w:bCs/>
          <w:sz w:val="28"/>
          <w:szCs w:val="28"/>
          <w:highlight w:val="none"/>
          <w:lang w:val="en-US" w:eastAsia="zh-CN"/>
        </w:rPr>
        <w:t xml:space="preserve">21.响应文件的审</w:t>
      </w:r>
      <w:bookmarkEnd w:id="98"/>
      <w:r/>
      <w:bookmarkEnd w:id="99"/>
      <w:r/>
      <w:bookmarkEnd w:id="100"/>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w:t>
      </w:r>
      <w:r>
        <w:rPr>
          <w:rFonts w:hint="eastAsia" w:ascii="宋体" w:hAnsi="宋体" w:eastAsia="宋体" w:cs="Times New Roman"/>
          <w:color w:val="000000"/>
          <w:sz w:val="24"/>
          <w:szCs w:val="22"/>
          <w:highlight w:val="none"/>
          <w:lang w:val="zh-CN"/>
        </w:rPr>
        <w:t xml:space="preserve">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1"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1"/>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w:t>
      </w:r>
      <w:r>
        <w:rPr>
          <w:rFonts w:hint="eastAsia" w:ascii="宋体" w:hAnsi="宋体" w:eastAsia="宋体" w:cs="Times New Roman"/>
          <w:color w:val="000000"/>
          <w:sz w:val="24"/>
          <w:szCs w:val="21"/>
          <w:highlight w:val="none"/>
          <w:lang w:val="en-US" w:eastAsia="zh-CN"/>
        </w:rPr>
        <w:t xml:space="preserve">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02" w:name="_Toc16938550"/>
      <w:r/>
      <w:bookmarkStart w:id="103" w:name="_Toc20823306"/>
      <w:r/>
      <w:bookmarkStart w:id="104" w:name="_Toc513029234"/>
      <w:r>
        <w:rPr>
          <w:rFonts w:hint="eastAsia" w:ascii="方正楷体_GBK" w:hAnsi="方正楷体_GBK" w:eastAsia="方正楷体_GBK" w:cs="方正楷体_GBK"/>
          <w:b/>
          <w:bCs/>
          <w:sz w:val="28"/>
          <w:szCs w:val="28"/>
          <w:highlight w:val="none"/>
          <w:lang w:val="en-US" w:eastAsia="zh-CN"/>
        </w:rPr>
        <w:t xml:space="preserve">2</w:t>
      </w:r>
      <w:bookmarkEnd w:id="102"/>
      <w:r/>
      <w:bookmarkEnd w:id="103"/>
      <w:r/>
      <w:bookmarkEnd w:id="104"/>
      <w:r>
        <w:rPr>
          <w:rFonts w:hint="eastAsia" w:ascii="方正楷体_GBK" w:hAnsi="方正楷体_GBK" w:eastAsia="方正楷体_GBK" w:cs="方正楷体_GBK"/>
          <w:b/>
          <w:bCs/>
          <w:sz w:val="28"/>
          <w:szCs w:val="28"/>
          <w:highlight w:val="none"/>
          <w:lang w:val="en-US" w:eastAsia="zh-CN"/>
        </w:rPr>
        <w:t xml:space="preserve">3.磋商程序及采购活动终止</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5" w:name="_Toc16938551"/>
      <w:r/>
      <w:bookmarkStart w:id="106" w:name="_Toc20823307"/>
      <w:r/>
      <w:bookmarkStart w:id="107" w:name="_Toc120614219"/>
      <w:r/>
      <w:bookmarkStart w:id="108"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highlight w:val="none"/>
          <w:lang w:val="en-US" w:eastAsia="zh-CN"/>
        </w:rPr>
        <w:t xml:space="preserve">（财库〔2014〕214号）</w:t>
      </w:r>
      <w:r>
        <w:rPr>
          <w:rFonts w:hint="eastAsia" w:ascii="宋体" w:hAnsi="宋体" w:eastAsia="宋体" w:cs="Times New Roman"/>
          <w:color w:val="000000"/>
          <w:sz w:val="24"/>
          <w:szCs w:val="21"/>
          <w:highlight w:val="none"/>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05"/>
      <w:r/>
      <w:bookmarkEnd w:id="106"/>
      <w:r/>
      <w:bookmarkEnd w:id="107"/>
      <w:r/>
      <w:bookmarkEnd w:id="108"/>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9" w:name="_Toc16938554"/>
      <w:r/>
      <w:bookmarkStart w:id="110" w:name="_Toc513029238"/>
      <w:r/>
      <w:bookmarkStart w:id="111" w:name="_Toc20823310"/>
      <w:r>
        <w:rPr>
          <w:rFonts w:hint="eastAsia" w:ascii="方正楷体_GBK" w:hAnsi="方正楷体_GBK" w:eastAsia="方正楷体_GBK" w:cs="方正楷体_GBK"/>
          <w:b/>
          <w:bCs/>
          <w:sz w:val="28"/>
          <w:szCs w:val="28"/>
          <w:highlight w:val="none"/>
          <w:lang w:val="en-US" w:eastAsia="zh-CN"/>
        </w:rPr>
        <w:t xml:space="preserve">2</w:t>
      </w:r>
      <w:bookmarkEnd w:id="110"/>
      <w:r>
        <w:rPr>
          <w:rFonts w:hint="eastAsia" w:ascii="方正楷体_GBK" w:hAnsi="方正楷体_GBK" w:eastAsia="方正楷体_GBK" w:cs="方正楷体_GBK"/>
          <w:b/>
          <w:bCs/>
          <w:sz w:val="28"/>
          <w:szCs w:val="28"/>
          <w:highlight w:val="none"/>
          <w:lang w:val="en-US" w:eastAsia="zh-CN"/>
        </w:rPr>
        <w:t xml:space="preserve">4.确定</w:t>
      </w:r>
      <w:bookmarkEnd w:id="109"/>
      <w:r/>
      <w:bookmarkEnd w:id="111"/>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2"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2"/>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w:t>
      </w:r>
      <w:r>
        <w:rPr>
          <w:rFonts w:hint="eastAsia" w:ascii="宋体" w:hAnsi="宋体" w:eastAsia="宋体" w:cs="Times New Roman"/>
          <w:b/>
          <w:bCs/>
          <w:i w:val="0"/>
          <w:iCs w:val="0"/>
          <w:caps w:val="0"/>
          <w:color w:val="000000"/>
          <w:spacing w:val="0"/>
          <w:sz w:val="24"/>
          <w:szCs w:val="21"/>
          <w:highlight w:val="none"/>
          <w:shd w:val="clear" w:color="auto" w:fill="auto"/>
        </w:rPr>
        <w:t xml:space="preserve">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文件执行。磋商文件对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869"/>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2"/>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869"/>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42"/>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42"/>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1"/>
        <w:ind w:left="0" w:firstLine="0"/>
        <w:keepLines w:val="0"/>
        <w:keepNext w:val="0"/>
        <w:pageBreakBefore w:val="0"/>
        <w:spacing w:line="240" w:lineRule="auto"/>
        <w:widowControl w:val="off"/>
        <w:rPr>
          <w:rFonts w:hint="eastAsia"/>
          <w:highlight w:val="none"/>
          <w:lang w:eastAsia="zh-CN"/>
        </w:rPr>
        <w:outlineLvl w:val="9"/>
      </w:pPr>
      <w:r>
        <w:rPr>
          <w:rFonts w:hint="eastAsia"/>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outlineLvl w:val="9"/>
      </w:pP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8.1</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 </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合同款项的支付方式及</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时间</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outlineLvl w:val="9"/>
      </w:pP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8.1.1 本项目自合同签订之日起，甲方向乙方支付合同总金额的30%；</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r>
      <w:r/>
    </w:p>
    <w:p>
      <w:pPr>
        <w:pStyle w:val="912"/>
        <w:keepLines w:val="0"/>
        <w:keepNext w:val="0"/>
        <w:pageBreakBefore w:val="0"/>
        <w:spacing w:before="0" w:after="0" w:line="240" w:lineRule="auto"/>
        <w:widowControl w:val="off"/>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outlineLvl w:val="9"/>
      </w:pP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8.1.2 本项目半年服务完成后，甲方向乙方支付</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合同总金额</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的25%；</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r>
      <w:r/>
    </w:p>
    <w:p>
      <w:pPr>
        <w:pStyle w:val="912"/>
        <w:keepLines w:val="0"/>
        <w:keepNext w:val="0"/>
        <w:pageBreakBefore w:val="0"/>
        <w:spacing w:before="0" w:after="0" w:line="240" w:lineRule="auto"/>
        <w:widowControl w:val="off"/>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outlineLvl w:val="9"/>
      </w:pP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8.1.3 本项目年度服务完成后，甲方向乙方支付</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合同总金额</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的45%。</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r>
      <w:r/>
    </w:p>
    <w:p>
      <w:pPr>
        <w:pStyle w:val="912"/>
        <w:keepLines w:val="0"/>
        <w:keepNext w:val="0"/>
        <w:pageBreakBefore w:val="0"/>
        <w:spacing w:before="0" w:after="0" w:line="240" w:lineRule="auto"/>
        <w:widowControl w:val="off"/>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outlineLvl w:val="9"/>
      </w:pP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8.1.4 满足合同约定支付条件的，甲方收到乙方发票后10个工作日内，将资金支付到合同约定的乙方账户。 </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outlineLvl w:val="9"/>
      </w:pP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8.2 </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根据《保障中小企业款项支付条例》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eastAsia="zh-CN"/>
        </w:rPr>
        <w:t xml:space="preserve">，</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甲方</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未按合同约定支付款项的</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eastAsia="zh-CN"/>
        </w:rPr>
        <w:t xml:space="preserve">，</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乙方</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可以向有关部门投诉。</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明确验收的时间、方式、程序等内容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按照采购合同约定对乙方的履约情况进行验收。验收时间、验收标</w:t>
      </w:r>
      <w:r>
        <w:rPr>
          <w:rFonts w:hint="eastAsia" w:ascii="宋体" w:hAnsi="宋体" w:eastAsia="宋体" w:cs="Courier New"/>
          <w:color w:val="000000"/>
          <w:sz w:val="24"/>
          <w:szCs w:val="24"/>
          <w:highlight w:val="none"/>
        </w:rPr>
        <w:t xml:space="preserve">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line="240" w:lineRule="auto"/>
        <w:widowControl w:val="off"/>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10.7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hAnsi="宋体"/>
          <w:color w:val="000000"/>
          <w:sz w:val="24"/>
          <w:szCs w:val="24"/>
          <w:u w:val="single"/>
        </w:rPr>
        <w:t xml:space="preserve">5</w:t>
      </w:r>
      <w:r>
        <w:rPr>
          <w:rFonts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bookmarkStart w:id="113" w:name="OLE_LINK3"/>
      <w:r>
        <w:rPr>
          <w:rFonts w:hAnsi="宋体"/>
          <w:color w:val="000000"/>
          <w:sz w:val="24"/>
          <w:szCs w:val="24"/>
          <w:u w:val="single"/>
        </w:rPr>
        <w:t xml:space="preserve">5</w:t>
      </w:r>
      <w:bookmarkEnd w:id="113"/>
      <w:r>
        <w:rPr>
          <w:rFonts w:hint="eastAsia" w:hAnsi="宋体"/>
          <w:color w:val="000000"/>
          <w:sz w:val="24"/>
          <w:szCs w:val="24"/>
          <w:u w:val="single"/>
        </w:rPr>
        <w:t xml:space="preserve">‰ </w:t>
      </w:r>
      <w:r>
        <w:rPr>
          <w:rFonts w:hint="eastAsia" w:ascii="宋体" w:hAnsi="宋体" w:cs="Courier New"/>
          <w:color w:val="000000"/>
          <w:sz w:val="24"/>
          <w:szCs w:val="24"/>
        </w:rPr>
        <w:t xml:space="preserve">向乙方支付违约金，但累计总额不超过欠款总额的</w:t>
      </w:r>
      <w:r>
        <w:rPr>
          <w:rFonts w:hint="eastAsia" w:ascii="宋体" w:hAnsi="宋体" w:cs="Courier New"/>
          <w:color w:val="000000"/>
          <w:sz w:val="24"/>
          <w:szCs w:val="24"/>
          <w:u w:val="single"/>
        </w:rPr>
        <w:t xml:space="preserve"> </w:t>
      </w:r>
      <w:r>
        <w:rPr>
          <w:rFonts w:hAnsi="宋体"/>
          <w:color w:val="000000"/>
          <w:sz w:val="24"/>
          <w:szCs w:val="24"/>
          <w:u w:val="single"/>
        </w:rPr>
        <w:t xml:space="preserve">5</w:t>
      </w:r>
      <w:r>
        <w:rPr>
          <w:rFonts w:hint="eastAsia" w:ascii="宋体" w:hAnsi="宋体" w:cs="Courier New"/>
          <w:color w:val="000000"/>
          <w:sz w:val="24"/>
          <w:szCs w:val="24"/>
          <w:u w:val="single"/>
        </w:rPr>
        <w:t xml:space="preserve">%</w:t>
      </w:r>
      <w:r>
        <w:rPr>
          <w:rFonts w:ascii="宋体" w:hAnsi="宋体" w:cs="Courier New"/>
          <w:color w:val="000000"/>
          <w:sz w:val="24"/>
          <w:szCs w:val="24"/>
          <w:u w:val="single"/>
        </w:rPr>
        <w:t xml:space="preserve"> </w:t>
      </w:r>
      <w:r>
        <w:rPr>
          <w:rFonts w:hint="eastAsia" w:ascii="宋体" w:hAnsi="宋体" w:cs="Courier New"/>
          <w:color w:val="000000"/>
          <w:sz w:val="24"/>
          <w:szCs w:val="24"/>
        </w:rPr>
        <w:t xml:space="preserve">。</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Ansi="宋体"/>
          <w:color w:val="000000"/>
          <w:sz w:val="24"/>
          <w:szCs w:val="24"/>
          <w:u w:val="single"/>
        </w:rPr>
        <w:t xml:space="preserve">5</w:t>
      </w:r>
      <w:r>
        <w:rPr>
          <w:rFonts w:hint="eastAsia" w:hAnsi="宋体"/>
          <w:color w:val="000000"/>
          <w:sz w:val="24"/>
          <w:szCs w:val="24"/>
          <w:u w:val="single"/>
        </w:rPr>
        <w:t xml:space="preserve">‰ </w:t>
      </w:r>
      <w:r>
        <w:rPr>
          <w:rFonts w:hint="eastAsia" w:hAnsi="宋体"/>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Times New Roman" w:hAnsi="宋体" w:eastAsia="宋体" w:cs="Times New Roman"/>
          <w:color w:val="000000"/>
          <w:sz w:val="24"/>
          <w:szCs w:val="24"/>
          <w:u w:val="single"/>
        </w:rPr>
        <w:t xml:space="preserve">2</w:t>
      </w:r>
      <w:r>
        <w:rPr>
          <w:rFonts w:ascii="Times New Roman" w:hAnsi="宋体" w:eastAsia="宋体" w:cs="Times New Roman"/>
          <w:color w:val="000000"/>
          <w:sz w:val="24"/>
          <w:szCs w:val="24"/>
          <w:u w:val="single"/>
        </w:rPr>
        <w:t xml:space="preserve">0</w:t>
      </w:r>
      <w:r>
        <w:rPr>
          <w:rFonts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11.4 按照项目管理要求，乙方如存在以下违约情况的，甲方可按以下标准要求其赔偿。违约分为一般违约和严重违约。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（1）一般违约：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赔偿方式：由甲方出具赔偿通知书，每次10000元，多次出现进行累计违约赔偿，该金额将在项目合同中给予扣除。包括但不限于：</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1）运维服务过程中，如抽查发现供应商提供的线路带宽、可用率、时延等技术指标不符合要求的，计一次一般违约，多次投诉进行累计赔偿；</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2）抽查发现线路未按规范进行施工，存在设备摆放不合理、设备或线路上标签未贴、设备或线路上标签张贴不规范的，设备或线路存在被非政务外网业务复用的以及可能存在其他安全隐患的，计一次一般违约，多次投诉进行累计赔偿；</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3）线路（含设备）发生故障导致业务全阻的事件，恢复网络业务正常时间超过10分钟但不超过60分钟的，由于不可抗力因素导致无法抢修恢复的除外，计一次一般违约，多次投诉进行累计赔偿；</w:t>
      </w:r>
      <w:r>
        <w:rPr>
          <w:rFonts w:ascii="宋体" w:hAnsi="宋体" w:cs="Courier New"/>
          <w:color w:val="000000"/>
          <w:sz w:val="24"/>
          <w:szCs w:val="24"/>
        </w:rPr>
      </w:r>
      <w:r/>
    </w:p>
    <w:p>
      <w:pPr>
        <w:pStyle w:val="869"/>
        <w:keepLines w:val="0"/>
        <w:keepNext w:val="0"/>
        <w:pageBreakBefore w:val="0"/>
        <w:spacing w:line="240" w:lineRule="auto"/>
        <w:widowControl w:val="off"/>
        <w:rPr>
          <w:color w:val="000000"/>
        </w:rPr>
      </w:pPr>
      <w:r>
        <w:rPr>
          <w:rFonts w:hint="eastAsia" w:ascii="宋体" w:hAnsi="宋体" w:cs="Courier New"/>
          <w:color w:val="000000"/>
          <w:sz w:val="24"/>
          <w:szCs w:val="24"/>
        </w:rPr>
        <w:t xml:space="preserve">4）线路（含设备）发生故障未导致业务全阻的事件，恢复网络业务正常时间超过4小时但不超过8小时的，由于不可抗力因素导致无法抢修恢复的除外，计一次一般违约，多次投诉进行累计赔偿；</w:t>
      </w:r>
      <w:r>
        <w:rPr>
          <w:color w:val="000000"/>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5）运维服务过程中，如发生用户投诉接入线路和运维服务质量，且查明确为供应商责任的，一次投诉计一次一般违约，多次投诉进行累计赔偿；</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6）运维服务过程中，如抽查发现线路所采用的传输技术或接入设备与合同要求不符的，计一次一般违约，多次投诉进行累计赔偿；</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7）运维服务过程中，供应商未按照计划完成人员培训、应急演练或巡检工作的，计一次一般违约。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8）运维服务过程中，运维人员应与供应商响应文件中列明人员一致，未经采购人批准，擅自变更人员的，计一次一般违约；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ascii="宋体" w:hAnsi="宋体" w:cs="Courier New"/>
          <w:color w:val="000000"/>
          <w:sz w:val="24"/>
          <w:szCs w:val="24"/>
        </w:rPr>
        <w:t xml:space="preserve">9）服务响应时间超过15分钟但未超过30分钟的，计一次一般违约；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ascii="宋体" w:hAnsi="宋体" w:cs="Courier New"/>
          <w:color w:val="000000"/>
          <w:sz w:val="24"/>
          <w:szCs w:val="24"/>
        </w:rPr>
        <w:t xml:space="preserve">10）运维服务过程中，除法律规定和甲方要求外，如发现乙方未经甲方书面许可向第三方提供各种资料和信息，情节较轻的，计一次一般违约。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（2）严重违约：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赔偿方式：由采购人向供应商出具违约通知书，每次违约金额为年度服务费的3%（在一般违约之上并偿），该金额将在项目合同中给予扣除。具体包括但不限于以下内容：</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1）当一般违约累计出现三次，计一次严重违约；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2）线路（含设备）发生故障导致业务全阻的事件，恢复网络业务正常时间超过60分钟的，由于不可抗力因素导致无法抢修恢复的除外，计一次严重违约；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3）线路（含设备）发生故障未导致业务全阻的事件，恢复网络业务正常时间</w:t>
      </w:r>
      <w:r>
        <w:rPr>
          <w:rFonts w:hint="eastAsia" w:ascii="宋体" w:hAnsi="宋体" w:cs="宋体"/>
          <w:bCs/>
          <w:color w:val="000000"/>
          <w:sz w:val="24"/>
          <w:szCs w:val="24"/>
        </w:rPr>
        <w:t xml:space="preserve">超过8小时</w:t>
      </w:r>
      <w:r>
        <w:rPr>
          <w:rFonts w:hint="eastAsia" w:ascii="宋体" w:hAnsi="宋体" w:cs="Courier New"/>
          <w:color w:val="000000"/>
          <w:sz w:val="24"/>
          <w:szCs w:val="24"/>
        </w:rPr>
        <w:t xml:space="preserve">的，由于不可抗力因素导致无法抢修恢复的除外，计一次严重违约；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4）由于运营商提供的运维管理软件无法满足招标要求并影响到市政务外网运维管理的，计一次严重违约；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5）运维服务过程中，由于供应商原因引发网络安全事件并产生重大影响的，计一次严重违约；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6）其他在运维服务过程中，由于供应商原因对市政务外网稳定运行造成较重影响的，计一次严重违约；</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7）服务响应时间超过30分钟的，计一次严重违约；</w:t>
      </w:r>
      <w:r>
        <w:rPr>
          <w:rFonts w:ascii="宋体" w:hAnsi="宋体" w:cs="Courier New"/>
          <w:color w:val="000000"/>
          <w:sz w:val="24"/>
          <w:szCs w:val="24"/>
        </w:rPr>
      </w:r>
      <w:r/>
    </w:p>
    <w:p>
      <w:pPr>
        <w:pStyle w:val="869"/>
        <w:numPr>
          <w:ilvl w:val="0"/>
          <w:numId w:val="0"/>
        </w:numPr>
        <w:keepLines w:val="0"/>
        <w:keepNext w:val="0"/>
        <w:pageBreakBefore w:val="0"/>
        <w:spacing w:line="240" w:lineRule="auto"/>
        <w:widowControl w:val="off"/>
        <w:tabs>
          <w:tab w:val="left" w:pos="0" w:leader="none"/>
        </w:tabs>
        <w:rPr>
          <w:rFonts w:ascii="宋体" w:hAnsi="宋体"/>
          <w:color w:val="000000"/>
          <w:sz w:val="24"/>
          <w:szCs w:val="24"/>
        </w:rPr>
      </w:pPr>
      <w:r>
        <w:rPr>
          <w:rFonts w:hint="eastAsia" w:cs="Courier New"/>
          <w:color w:val="000000"/>
          <w:sz w:val="24"/>
          <w:szCs w:val="24"/>
        </w:rPr>
        <w:t xml:space="preserve">8）</w:t>
      </w:r>
      <w:r>
        <w:rPr>
          <w:rFonts w:hint="eastAsia" w:ascii="宋体" w:hAnsi="宋体" w:cs="宋体"/>
          <w:bCs/>
          <w:color w:val="000000"/>
          <w:sz w:val="24"/>
          <w:szCs w:val="24"/>
        </w:rPr>
        <w:t xml:space="preserve">运维服务过程中，除法律规定和采购人要求外，如发现供应商未经采购书面许可向第三方提供各种资料和信息，情节严重的，计一次严重违约。</w:t>
      </w:r>
      <w:r>
        <w:rPr>
          <w:rFonts w:ascii="宋体" w:hAnsi="宋体"/>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说明：不可抗力因素包括自然灾害、政府行为和社会异常事件等。因不可抗力不能履行合同的，根据不可抗力的影响，部分或全部免除责任。如违约情形适用多个违约条款的，以最重条款进行赔偿，最终解释权归采购人所有。</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11.5 乙方所提供服务的标准不符合合同规定及招标文件规定标准的，甲方有权拒绝接受服务，并可单方面解除合同。</w:t>
      </w:r>
      <w:r>
        <w:rPr>
          <w:rFonts w:ascii="宋体" w:hAnsi="宋体" w:cs="Courier New"/>
          <w:color w:val="000000"/>
          <w:sz w:val="24"/>
          <w:szCs w:val="24"/>
        </w:rPr>
      </w:r>
      <w:r/>
    </w:p>
    <w:p>
      <w:pPr>
        <w:pStyle w:val="869"/>
        <w:keepLines w:val="0"/>
        <w:keepNext w:val="0"/>
        <w:pageBreakBefore w:val="0"/>
        <w:spacing w:line="24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rPr>
          <w:rFonts w:hint="eastAsia" w:hAnsi="宋体" w:eastAsia="宋体" w:cs="Courier New"/>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rPr>
          <w:rFonts w:hint="eastAsia" w:hAnsi="宋体" w:eastAsia="宋体" w:cs="Courier New"/>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12"/>
        <w:jc w:val="center"/>
        <w:spacing w:line="240" w:lineRule="auto"/>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bookmarkEnd w:id="0"/>
      <w:r/>
      <w:bookmarkEnd w:id="1"/>
      <w:r/>
      <w:bookmarkEnd w:id="2"/>
      <w:r/>
      <w:bookmarkEnd w:id="3"/>
      <w:r/>
      <w:bookmarkEnd w:id="4"/>
      <w:r/>
      <w:bookmarkEnd w:id="5"/>
      <w:r/>
      <w:bookmarkStart w:id="114" w:name="_Toc26554093"/>
      <w:r/>
      <w:bookmarkStart w:id="115" w:name="_Toc49090575"/>
      <w:r/>
      <w:bookmarkStart w:id="116" w:name="_Toc462564139"/>
      <w:r/>
      <w:bookmarkStart w:id="117" w:name="_Toc479757211"/>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40" w:lineRule="auto"/>
        <w:widowControl w:val="off"/>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ascii="黑体" w:hAnsi="黑体" w:eastAsia="黑体" w:cs="黑体"/>
          <w:color w:val="000000"/>
          <w:sz w:val="24"/>
          <w:szCs w:val="24"/>
        </w:rPr>
      </w:r>
      <w:r/>
    </w:p>
    <w:p>
      <w:pPr>
        <w:pStyle w:val="869"/>
        <w:ind w:firstLine="480"/>
        <w:keepLines w:val="0"/>
        <w:keepNext w:val="0"/>
        <w:pageBreakBefore w:val="0"/>
        <w:spacing w:line="240" w:lineRule="auto"/>
        <w:widowControl w:val="off"/>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ascii="黑体" w:hAnsi="黑体" w:eastAsia="黑体" w:cs="黑体"/>
          <w:color w:val="000000"/>
          <w:sz w:val="24"/>
          <w:szCs w:val="24"/>
        </w:rPr>
      </w:r>
      <w:r/>
    </w:p>
    <w:p>
      <w:pPr>
        <w:pStyle w:val="869"/>
        <w:ind w:firstLine="48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（一）项目背景</w:t>
      </w:r>
      <w:r>
        <w:rPr>
          <w:rFonts w:ascii="宋体" w:hAnsi="宋体"/>
          <w:color w:val="000000"/>
          <w:sz w:val="24"/>
          <w:szCs w:val="24"/>
        </w:rPr>
      </w:r>
      <w:r/>
    </w:p>
    <w:p>
      <w:pPr>
        <w:pStyle w:val="869"/>
        <w:ind w:firstLine="48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南京市电子政务外网经过多年的建设与发展，其接入点规模不断扩大，承载的业务不断增多，目前已形成横向连接党委、人大、政府、政协、法院、检察院等系统单位，纵向贯通市、区、街道（镇）、社区（村）四级政务部门，并与国家和省电子政务外网安全对接的网络系统架构。现拟采购一条16G互联网出口光纤专线，同时采购4096个可用互联网IPv4地址和2的80次方个可用互联网IPv6地址作为全市电子政务外网的互联网出口地址，</w:t>
      </w:r>
      <w:r>
        <w:rPr>
          <w:rFonts w:hint="eastAsia" w:ascii="宋体" w:hAnsi="宋体"/>
          <w:color w:val="000000"/>
          <w:sz w:val="24"/>
          <w:szCs w:val="24"/>
        </w:rPr>
        <w:t xml:space="preserve">根据</w:t>
      </w:r>
      <w:r>
        <w:rPr>
          <w:rFonts w:hint="eastAsia" w:ascii="宋体" w:hAnsi="宋体"/>
          <w:color w:val="000000"/>
          <w:sz w:val="24"/>
          <w:szCs w:val="24"/>
        </w:rPr>
        <w:t xml:space="preserve">工作</w:t>
      </w:r>
      <w:r>
        <w:rPr>
          <w:rFonts w:hint="eastAsia" w:ascii="宋体" w:hAnsi="宋体"/>
          <w:color w:val="000000"/>
          <w:sz w:val="24"/>
          <w:szCs w:val="24"/>
        </w:rPr>
        <w:t xml:space="preserve">需要</w:t>
      </w:r>
      <w:r>
        <w:rPr>
          <w:rFonts w:hint="eastAsia" w:ascii="宋体" w:hAnsi="宋体"/>
          <w:color w:val="000000"/>
          <w:sz w:val="24"/>
          <w:szCs w:val="24"/>
        </w:rPr>
        <w:t xml:space="preserve">必要时带宽（含互联网地址）可进行拆分使用（拆分后线路数不超过10条）。</w:t>
      </w:r>
      <w:r>
        <w:rPr>
          <w:rFonts w:ascii="宋体" w:hAnsi="宋体"/>
          <w:color w:val="000000"/>
          <w:sz w:val="24"/>
          <w:szCs w:val="24"/>
        </w:rPr>
      </w:r>
      <w:r/>
    </w:p>
    <w:p>
      <w:pPr>
        <w:pStyle w:val="869"/>
        <w:ind w:firstLine="48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纪检监察机构联系方式：025-68789930</w:t>
      </w:r>
      <w:r>
        <w:rPr>
          <w:rFonts w:ascii="宋体" w:hAnsi="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（二）项目建设遵循标准</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政策依据：</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1.《中华人民共和国电信条例》</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2.《国家电子政务外网建设总体规划》（国家信息中心2009年9月）</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3.《国家发展改革委关于加强和完善国家电子政务工程建设管理的意见》（发改高技〔2013〕266号）</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4.国务院办公厅关于印发“互联网+政务服务”技术体系建设指南的通知（国办函〔2016〕108号）</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5.《推进互联网协议第六版（IPv6）规模部署行动计划》（中央办公厅，国务院办公厅，2017年11月26日）</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6.《国家电子政务外网运维管理系统对接规范》（征求意见稿）</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7.省政府办公厅关于深入推进数字经济发展的意见（苏政办发〔2020〕71号）</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8.《南京市政府办公厅关于做好市电子政务外网建设使用管理有关工作的通知》</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9.市政府关于印发南京市数字经济发展三年行动计划（2020—2022年）的通知（宁政发〔2020〕46号）</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10.市政府关于印发南京市政务信息化项目建设管理办法的通知（宁政发〔2020〕58号）</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11.《南京市城市运行“一网统管”工作三年行动计划》（宁委办厅字〔2022〕5号）</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12.《南京市数字政府高质量建设2023年工作要点》</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13.《江苏省新一代电子政务外网建设指南》</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技术依据（如有更新以最新依据为准）：</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1.GB/T 30850.3-2014《电子政务标准化指南 第3部分：网络建设》；</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2.YD/T 1170-2001《IP网络技术要求 网络总体》；</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3.GB/T 20270-2006《信息安全技术 网络基础安全技术要求》；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4.GB/T 21061-2007 国家电子政务网络技术和运行管理规范；</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5.GB/T 21064-2007 电子政务系统总体设计要求；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6.GB/T 25647-2010 电子政务术语；</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7.GB/T 28035-2011 软件系统验收规范；</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8.GB/T 9361-2011《计算站场地安全要求》；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9.GB/T 2887-2011《计算机场地通用规范》；</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10.GB/T 28827.1-2012《信息技术服务 运行维护 第1部分：通用要求》； </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11.GB/T 28827.2-2012）《信息技术服务 运行维护 第2部分：交付规范》；</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12.GW0101-2014《国家电子政务外网信息安全标准体系总体框架》；</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13.GW0103-2014《国家电子政务外网安全等级保护基本要求》；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14.GW0104-2014《国家电子政务外网安全等级保护实施指南》；</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15.GW0206-2014《接入政务外网的局域网安全技术规范》；</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16.GW0203-2014《国家电子政务外网安全监测体系技术规范与实施指南》；</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17.GB/T 30850-2014 电子政务标准化指南；</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18.GW0206-2015《国家电子政务外网IPv4地址规划》；</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19.YD/T 1171-2015《IP网络技术要求 网络性能参数与指标》；</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20.GB/T 22239-2019《信息安全 术网络安全等级保护基本要求》；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21.GB/T 25070-2019《信息安全技术网络安全等级保护安全设计技术要求》；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22.GB/T 28448-2019《信息安全技术网络安全等级保护测评要求》；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23.T/CIIA 005-2019《政务网络安全监测平台总体技术要求》；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24.GB/T51380-2019《宽带光纤接入工程技术标准》；</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25.GB/T 39786-2021 信息安全技术 信息系统密码应用基本要求；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26.GB/T 39204-2022信息安全技术 关键信息基础设施安全保护要求；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27.GB/T41479-2022 信息安全技术 网络数据处理安全要求信息安全技术政府部门信息安全管理基本要求。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黑体" w:hAnsi="黑体" w:eastAsia="黑体" w:cs="黑体"/>
          <w:color w:val="000000"/>
          <w:sz w:val="24"/>
          <w:szCs w:val="24"/>
        </w:rPr>
      </w:pPr>
      <w:r>
        <w:rPr>
          <w:rFonts w:hint="eastAsia" w:ascii="黑体" w:hAnsi="黑体" w:eastAsia="黑体" w:cs="黑体"/>
          <w:color w:val="000000"/>
          <w:sz w:val="24"/>
          <w:szCs w:val="24"/>
        </w:rPr>
        <w:t xml:space="preserve">三、产品清单</w:t>
      </w:r>
      <w:r>
        <w:rPr>
          <w:rFonts w:ascii="黑体" w:hAnsi="黑体" w:eastAsia="黑体" w:cs="黑体"/>
          <w:color w:val="000000"/>
          <w:sz w:val="24"/>
          <w:szCs w:val="24"/>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1"/>
        <w:gridCol w:w="3402"/>
        <w:gridCol w:w="850"/>
        <w:gridCol w:w="850"/>
        <w:gridCol w:w="1134"/>
        <w:gridCol w:w="1904"/>
        <w:gridCol w:w="931"/>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16G互联网出口光纤专线（含IP地址）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信息传输业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spacing w:before="0" w:after="0" w:line="57" w:lineRule="atLeast"/>
            </w:pPr>
            <w:r/>
            <w:r/>
          </w:p>
        </w:tc>
      </w:tr>
    </w:tbl>
    <w:p>
      <w:pPr>
        <w:pStyle w:val="869"/>
        <w:ind w:firstLine="480"/>
        <w:keepLines w:val="0"/>
        <w:keepNext w:val="0"/>
        <w:pageBreakBefore w:val="0"/>
        <w:spacing w:line="240" w:lineRule="auto"/>
        <w:widowControl w:val="off"/>
        <w:rPr>
          <w:rFonts w:ascii="黑体" w:hAnsi="黑体" w:eastAsia="黑体" w:cs="黑体"/>
          <w:color w:val="000000"/>
          <w:sz w:val="24"/>
          <w:szCs w:val="24"/>
        </w:rPr>
      </w:pPr>
      <w:r>
        <w:rPr>
          <w:rFonts w:ascii="黑体" w:hAnsi="黑体" w:eastAsia="黑体" w:cs="黑体"/>
          <w:color w:val="000000"/>
          <w:sz w:val="24"/>
          <w:szCs w:val="24"/>
        </w:rPr>
      </w:r>
      <w:r/>
    </w:p>
    <w:p>
      <w:pPr>
        <w:pStyle w:val="869"/>
        <w:ind w:firstLine="480"/>
        <w:keepLines w:val="0"/>
        <w:keepNext w:val="0"/>
        <w:pageBreakBefore w:val="0"/>
        <w:spacing w:line="240" w:lineRule="auto"/>
        <w:widowControl w:val="off"/>
        <w:rPr>
          <w:rFonts w:ascii="宋体" w:hAnsi="宋体" w:cs="宋体"/>
          <w:b/>
          <w:color w:val="000000"/>
          <w:sz w:val="24"/>
          <w:szCs w:val="24"/>
        </w:rPr>
      </w:pPr>
      <w:r>
        <w:rPr>
          <w:rFonts w:hint="eastAsia" w:ascii="黑体" w:hAnsi="黑体" w:eastAsia="黑体" w:cs="黑体"/>
          <w:color w:val="000000"/>
          <w:sz w:val="24"/>
          <w:szCs w:val="24"/>
        </w:rPr>
        <w:t xml:space="preserve">四、拟采购标的需要满足的技术、商务要求</w:t>
      </w:r>
      <w:r>
        <w:rPr>
          <w:rFonts w:ascii="宋体" w:hAnsi="宋体" w:cs="宋体"/>
          <w:b/>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★（一）技术要求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16G互联网出口光纤专线（含IP地址）不低于以下要求：</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满足16G的带宽要求，提供独享带宽的Internet接入，线路直接接到供应商数据网的核心骨干节点上，并实现上下行带宽对等，平均丢包率不高于0.1‰，链路可用率不得低于99.99％，即线路全年累计中断时间不得超过1小时；</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（2）接入光纤要求符合ITU-T的G.652标准，线路的信号衰减、干扰等符合国际、国家和行业标准；</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（3）光纤线路备份冗余，以确保线路出现故障时立即切换到备份线路；</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（4）线路满足等级保护三级要求的互联网出口防护措施。</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5）要求线路有良好的扩展性，可以满足采购人将来因业务发展而产生的升级需求，必要时线路带宽（含互联网地址）可进行拆分使用（拆分后线路数不超过10条），拆分后的线路安装地点由采购人指定。线路调整过程中，供应商须做好保障工作，保证采购人业务正常。采购人可以在特殊时间段（每年不少于一个月），根据业务需要要求供应商对线路带宽进行紧急扩容。</w:t>
      </w:r>
      <w:r>
        <w:rPr>
          <w:rFonts w:ascii="宋体" w:hAnsi="宋体" w:cs="宋体"/>
          <w:bCs/>
          <w:color w:val="000000"/>
          <w:sz w:val="24"/>
          <w:szCs w:val="24"/>
        </w:rPr>
      </w:r>
      <w:r/>
    </w:p>
    <w:p>
      <w:pPr>
        <w:pStyle w:val="869"/>
        <w:ind w:firstLine="480"/>
        <w:keepLines w:val="0"/>
        <w:keepNext w:val="0"/>
        <w:pageBreakBefore w:val="0"/>
        <w:spacing w:line="24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6）根据实际线路使用情况，按需提供出口网络设备，双路由接入互联网。出口网络设备性能满足带宽部署情况，同时支持IPv4/IPv6双栈。可用的公网IPv4地址数量4096个；可用的公网IPv6地址数量2的80次方个。项目所需设备由供应商提供，采购人不再另外支付费用。</w:t>
      </w:r>
      <w:r>
        <w:rPr>
          <w:rFonts w:ascii="宋体" w:hAnsi="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1.报价要求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（2）供应商的任何错漏、优惠、竞争性报价不得作为减轻责任、减少服务、增加收费、降低服务质量的理由。</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2.总体要求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提供良好的服务体系和完善的投诉渠道提供统一的报障处理热线，负责收集、跟踪、处理、反馈采购人反映的各种问题，能够为采购人提供满意的服务。发生故障时，供应商接到采购人报障后，第一时间响应并及时解决网络故障。对于采购人提出的需求或问题，供应商应在2个工作日内提供解决方案。供应商须对采购人进行专业培训。</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3.项目实施要求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为使项目按质、按量、按时及有序实施，供应商应建立完善、稳定的项目团队、内部组织管理方式及管理机构、协调机制、技术基础，支撑保障要求及其他相关要求，确保项目的顺利实施。</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4.项目管理要求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保证本项目能按时高质的顺利完成，规避项目风险或将风险降至最低程度，供应商应建立项目质量管理体系，包括但不限于质量目标、质量指标、岗位责任、问题处理计划、质量评价、整改完善等内容，并建立奖惩制度。</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5.运维要求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日常监测：供应商应对互联网出口进行24小时监控，对网络流量和带宽的正常运行。同时，也应采用网络质量监控工具，对网络延迟、丢包率、访问速度等关键指标进行监测和分析，及时发现告警并解决问题。定期生成监控报表和统计数据。供应商应定期进行线路巡检，及时发现隐患，做好预防措施，减少线路故障。</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（2）故障处理：供应商应建立完备的故障处理流程，及时监测运行状态，及时响应用户报障，并对问题进行跟踪和解决。提供良好的服务体系和完善的投诉渠道，能够为采购人提供满意的服务。</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（3）工单配置：供应商应及时准确处理互联网映射等日常配置工单。落实审核机制，及时发现和纠正错误和不规范配置。</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（4）评估优化：供应商应定期评估网络架构合理性；对互联网出口的网络架构、带宽和路由等方面进行优化评估，提高网络性能和用户体验；及时发现和整改无效、冗余的配置。</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（5）协助互联网IP备案：供应商应协助互联网IP使用单位完成互联网IP备案咨询工作。</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（6）线路服务报告：供应商按季度提供线路服务报告，报告应包括各项线路服务技术指标、服务质量要求满足情况、线路故障及处理情况、线路巡查及客户服务情况方面的内容。</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（7）加强网络安全监测。通过实时网络监控分析网上数据流来监测非法入侵活动，并根据监测结果实时报警、响应，达到主动发现入侵活动、确保网络安全目的。</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6.人员要求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（1）项目经理：1人。 </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（2）技术负责人：1人。  </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（3）项目技术人员：不少于5人。 </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（4）项目组所有人员为供应商正式工作人员，未经采购人同意，人员不得更换。</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（5）项目技术人员提供7×24小时运维服务。</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7.知识产权及保密</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以合同文本要求为准。</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8.验收要求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互联网出口线路接入完成后，供应商应利用技术手段对互联网带宽进行质量测试，由采购人进行验收。供应商应将竣工材料等相关项目资料及时交付采购人。</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9.维保要求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（1）服务期内，对采购人提出的合理服务要求，供应商必须即时进行电话、邮件及远程网络支持，并在2小时内到场服务。如不到场，采购人有权自行处理，相关费用由供应商负责。</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（2）供应商需提供定期回访服务，对采购人提出的合理优化建议应提供免费升级服务。</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（3）所有的服务方式均为供应商上门保修，即由供应商派员到系统使用现场进行故障恢复，由此产生的一切费用均由供应商承担。</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10.运维材料要求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供应商在项目各个阶段及时提交运维材料，主要包括（但不限于）以下内容：</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（1）项目启动阶段：项目工作说明书和项目绩效考核办法。 </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（2）项目中期阶段：项目阶段性绩效报告。</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（3）服务周期结束后：项目年度服务绩效报告。 </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（4）运行维护阶段：线路运维服务方案、运行维护及巡检记录。</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11.培训要求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4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供应商应负责对采购人相关人员进行全面培训，</w:t>
      </w:r>
      <w:r>
        <w:rPr>
          <w:rFonts w:hint="eastAsia" w:ascii="宋体" w:hAnsi="宋体" w:eastAsia="宋体" w:cs="宋体"/>
          <w:bCs/>
          <w:color w:val="000000"/>
          <w:sz w:val="24"/>
          <w:szCs w:val="24"/>
          <w:lang w:val="en-US" w:eastAsia="zh-CN"/>
        </w:rPr>
        <w:t xml:space="preserve">培训</w:t>
      </w:r>
      <w:r>
        <w:rPr>
          <w:rFonts w:hint="eastAsia" w:ascii="宋体" w:hAnsi="宋体" w:eastAsia="宋体" w:cs="宋体"/>
          <w:bCs/>
          <w:color w:val="000000"/>
          <w:sz w:val="24"/>
          <w:szCs w:val="24"/>
          <w:lang w:val="en-US" w:eastAsia="zh-CN"/>
        </w:rPr>
        <w:t xml:space="preserve">人数</w:t>
      </w:r>
      <w:r>
        <w:rPr>
          <w:rFonts w:hint="eastAsia" w:ascii="宋体" w:hAnsi="宋体" w:eastAsia="宋体" w:cs="宋体"/>
          <w:bCs/>
          <w:color w:val="000000"/>
          <w:sz w:val="24"/>
          <w:szCs w:val="24"/>
          <w:lang w:val="en-US" w:eastAsia="zh-CN"/>
        </w:rPr>
        <w:t xml:space="preserve">不</w:t>
      </w:r>
      <w:r>
        <w:rPr>
          <w:rFonts w:hint="eastAsia" w:ascii="宋体" w:hAnsi="宋体" w:eastAsia="宋体" w:cs="宋体"/>
          <w:bCs/>
          <w:color w:val="000000"/>
          <w:sz w:val="24"/>
          <w:szCs w:val="24"/>
          <w:lang w:val="en-US" w:eastAsia="zh-CN"/>
        </w:rPr>
        <w:t xml:space="preserve">少于2</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帮助相关人员熟悉政务外网互联网出口网络理论和设备知识，了解线路带宽和IP地</w:t>
      </w:r>
      <w:r>
        <w:rPr>
          <w:rFonts w:hint="eastAsia" w:ascii="宋体" w:hAnsi="宋体" w:eastAsia="宋体" w:cs="宋体"/>
          <w:bCs/>
          <w:color w:val="000000"/>
          <w:sz w:val="24"/>
          <w:szCs w:val="24"/>
          <w:lang w:val="en-US" w:eastAsia="zh-CN"/>
        </w:rPr>
        <w:t xml:space="preserve">址分配情况。</w:t>
      </w:r>
      <w:r>
        <w:rPr>
          <w:rFonts w:ascii="宋体" w:hAnsi="宋体" w:eastAsia="宋体" w:cs="宋体"/>
          <w:bCs/>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.权利保证</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供应商应保证采购人在使用线路、设备或其任何一部分时不受第三方提出侵犯其专利权、版权、商标权或其他权利的起诉。一旦出现侵权，供应商应承担全部责任。</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.违约责任</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以第三章合同文本内容为准。</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.付款条件</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以第三章合同文本内容为准。</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.交付时间及地点</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（1）交付时间：合同签订后10个工作日内完成项目交付。</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服务期：1年（线路部署完毕、满足交付条件并提供服务后开始计算）。</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交付地点：采购人指定地点。</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.履约保证金</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以第三章合同文本内容为准。</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.其他要求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磋商文件中要求提供证明材料的，签订合同时供应商应按磋商文件要求和响应文件响应内容提供相应证明材料原件供采购人核验，否则采购人将取消其成交资格。</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eastAsia="宋体" w:cs="宋体"/>
          <w:bCs/>
          <w:color w:val="000000"/>
          <w:sz w:val="24"/>
          <w:szCs w:val="24"/>
          <w:lang w:val="en-US" w:eastAsia="zh-CN"/>
        </w:rPr>
      </w:r>
      <w:r/>
    </w:p>
    <w:p>
      <w:pPr>
        <w:pStyle w:val="869"/>
        <w:spacing w:line="0" w:lineRule="atLeast"/>
        <w:rPr>
          <w:rFonts w:hint="eastAsia" w:ascii="宋体" w:hAnsi="宋体"/>
          <w:sz w:val="24"/>
          <w:szCs w:val="24"/>
          <w:highlight w:val="none"/>
        </w:rPr>
      </w:pPr>
      <w:r>
        <w:rPr>
          <w:rFonts w:hint="eastAsia" w:ascii="宋体" w:hAnsi="宋体"/>
          <w:sz w:val="24"/>
          <w:szCs w:val="24"/>
          <w:highlight w:val="none"/>
        </w:rPr>
      </w:r>
      <w:r/>
    </w:p>
    <w:p>
      <w:pPr>
        <w:pStyle w:val="869"/>
        <w:jc w:val="center"/>
        <w:keepNext/>
        <w:rPr>
          <w:rFonts w:hint="eastAsia" w:ascii="黑体" w:hAnsi="Times New Roman" w:eastAsia="黑体"/>
          <w:bCs/>
          <w:sz w:val="44"/>
          <w:szCs w:val="28"/>
          <w:highlight w:val="none"/>
        </w:rPr>
        <w:outlineLvl w:val="0"/>
      </w:pPr>
      <w:r/>
      <w:bookmarkStart w:id="119" w:name="_Toc120614281"/>
      <w:r>
        <w:rPr>
          <w:rFonts w:hint="eastAsia" w:ascii="黑体" w:hAnsi="Times New Roman" w:eastAsia="黑体"/>
          <w:bCs/>
          <w:sz w:val="44"/>
          <w:szCs w:val="28"/>
          <w:highlight w:val="none"/>
        </w:rPr>
        <w:br w:type="page" w:clear="all"/>
      </w:r>
      <w:r>
        <w:rPr>
          <w:rFonts w:hint="eastAsia" w:ascii="黑体" w:hAnsi="Times New Roman" w:eastAsia="黑体" w:cs="Times New Roman"/>
          <w:sz w:val="44"/>
          <w:szCs w:val="44"/>
          <w:highlight w:val="none"/>
        </w:rPr>
        <w:t xml:space="preserve">第五章  评审方法与评审标准</w:t>
      </w:r>
      <w:r>
        <w:rPr>
          <w:rFonts w:hint="eastAsia" w:ascii="黑体" w:hAnsi="Times New Roman" w:eastAsia="黑体"/>
          <w:bCs/>
          <w:sz w:val="44"/>
          <w:szCs w:val="28"/>
          <w:highlight w:val="none"/>
        </w:rPr>
      </w:r>
      <w:r/>
    </w:p>
    <w:p>
      <w:pPr>
        <w:pStyle w:val="869"/>
        <w:ind w:firstLine="420"/>
        <w:keepLines w:val="0"/>
        <w:keepNext w:val="0"/>
        <w:pageBreakBefore w:val="0"/>
        <w:spacing w:line="264"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en-US" w:eastAsia="zh-CN"/>
        </w:rPr>
        <w:t xml:space="preserve">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539"/>
        <w:gridCol w:w="554"/>
        <w:gridCol w:w="784"/>
      </w:tblGrid>
      <w:tr>
        <w:trPr>
          <w:trHeight w:val="793"/>
          <w:tblHeader/>
        </w:trPr>
        <w:tc>
          <w:tcPr>
            <w:tcW w:w="519" w:type="dxa"/>
            <w:vAlign w:val="top"/>
            <w:textDirection w:val="lrTb"/>
            <w:noWrap w:val="false"/>
          </w:tcPr>
          <w:p>
            <w:pPr>
              <w:pStyle w:val="869"/>
              <w:jc w:val="center"/>
              <w:keepLines w:val="0"/>
              <w:keepNext w:val="0"/>
              <w:pageBreakBefore w:val="0"/>
              <w:spacing w:before="264" w:line="240" w:lineRule="auto"/>
              <w:rPr>
                <w:rFonts w:ascii="宋体" w:hAnsi="宋体" w:cs="宋体"/>
                <w:b/>
                <w:bCs/>
                <w:color w:val="000000"/>
                <w:spacing w:val="-2"/>
                <w:sz w:val="24"/>
                <w:szCs w:val="24"/>
              </w:rPr>
            </w:pPr>
            <w:r>
              <w:rPr>
                <w:rFonts w:ascii="宋体" w:hAnsi="宋体" w:cs="宋体"/>
                <w:b/>
                <w:bCs/>
                <w:color w:val="000000"/>
                <w:spacing w:val="-2"/>
                <w:sz w:val="24"/>
                <w:szCs w:val="24"/>
              </w:rPr>
              <w:t xml:space="preserve">序号</w:t>
            </w:r>
            <w:r>
              <w:rPr>
                <w:rFonts w:ascii="宋体" w:hAnsi="宋体" w:cs="宋体"/>
                <w:b/>
                <w:bCs/>
                <w:color w:val="000000"/>
                <w:spacing w:val="-2"/>
                <w:sz w:val="24"/>
                <w:szCs w:val="24"/>
              </w:rPr>
            </w:r>
            <w:r/>
          </w:p>
        </w:tc>
        <w:tc>
          <w:tcPr>
            <w:tcW w:w="1179" w:type="dxa"/>
            <w:vAlign w:val="top"/>
            <w:textDirection w:val="lrTb"/>
            <w:noWrap w:val="false"/>
          </w:tcPr>
          <w:p>
            <w:pPr>
              <w:pStyle w:val="869"/>
              <w:jc w:val="center"/>
              <w:keepLines w:val="0"/>
              <w:keepNext w:val="0"/>
              <w:pageBreakBefore w:val="0"/>
              <w:spacing w:before="264" w:line="240" w:lineRule="auto"/>
              <w:rPr>
                <w:rFonts w:ascii="宋体" w:hAnsi="宋体" w:cs="宋体"/>
                <w:b/>
                <w:bCs/>
                <w:color w:val="000000"/>
                <w:spacing w:val="-2"/>
                <w:sz w:val="24"/>
                <w:szCs w:val="24"/>
              </w:rPr>
            </w:pPr>
            <w:r>
              <w:rPr>
                <w:rFonts w:ascii="宋体" w:hAnsi="宋体" w:cs="宋体"/>
                <w:b/>
                <w:bCs/>
                <w:color w:val="000000"/>
                <w:spacing w:val="-2"/>
                <w:sz w:val="24"/>
                <w:szCs w:val="24"/>
              </w:rPr>
              <w:t xml:space="preserve">评审因素</w:t>
            </w:r>
            <w:r>
              <w:rPr>
                <w:rFonts w:ascii="宋体" w:hAnsi="宋体" w:cs="宋体"/>
                <w:b/>
                <w:bCs/>
                <w:color w:val="000000"/>
                <w:spacing w:val="-2"/>
                <w:sz w:val="24"/>
                <w:szCs w:val="24"/>
              </w:rPr>
            </w:r>
            <w:r/>
          </w:p>
        </w:tc>
        <w:tc>
          <w:tcPr>
            <w:tcW w:w="6539" w:type="dxa"/>
            <w:vAlign w:val="top"/>
            <w:textDirection w:val="lrTb"/>
            <w:noWrap w:val="false"/>
          </w:tcPr>
          <w:p>
            <w:pPr>
              <w:pStyle w:val="869"/>
              <w:jc w:val="center"/>
              <w:keepLines w:val="0"/>
              <w:keepNext w:val="0"/>
              <w:pageBreakBefore w:val="0"/>
              <w:spacing w:before="264" w:line="240" w:lineRule="auto"/>
              <w:rPr>
                <w:rFonts w:ascii="宋体" w:hAnsi="宋体" w:cs="宋体"/>
                <w:b/>
                <w:bCs/>
                <w:color w:val="000000"/>
                <w:spacing w:val="-2"/>
                <w:sz w:val="24"/>
                <w:szCs w:val="24"/>
              </w:rPr>
            </w:pPr>
            <w:r>
              <w:rPr>
                <w:rFonts w:ascii="宋体" w:hAnsi="宋体" w:cs="宋体"/>
                <w:b/>
                <w:bCs/>
                <w:color w:val="000000"/>
                <w:spacing w:val="-2"/>
                <w:sz w:val="24"/>
                <w:szCs w:val="24"/>
              </w:rPr>
              <w:t xml:space="preserve">评审细则</w:t>
            </w:r>
            <w:r>
              <w:rPr>
                <w:rFonts w:ascii="宋体" w:hAnsi="宋体" w:cs="宋体"/>
                <w:b/>
                <w:bCs/>
                <w:color w:val="000000"/>
                <w:spacing w:val="-2"/>
                <w:sz w:val="24"/>
                <w:szCs w:val="24"/>
              </w:rPr>
            </w:r>
            <w:r/>
          </w:p>
        </w:tc>
        <w:tc>
          <w:tcPr>
            <w:tcW w:w="554" w:type="dxa"/>
            <w:vAlign w:val="top"/>
            <w:textDirection w:val="lrTb"/>
            <w:noWrap w:val="false"/>
          </w:tcPr>
          <w:p>
            <w:pPr>
              <w:pStyle w:val="869"/>
              <w:jc w:val="center"/>
              <w:keepLines w:val="0"/>
              <w:keepNext w:val="0"/>
              <w:pageBreakBefore w:val="0"/>
              <w:spacing w:before="264" w:line="240" w:lineRule="auto"/>
              <w:rPr>
                <w:rFonts w:ascii="宋体" w:hAnsi="宋体" w:cs="宋体"/>
                <w:b/>
                <w:bCs/>
                <w:color w:val="000000"/>
                <w:spacing w:val="-2"/>
                <w:sz w:val="24"/>
                <w:szCs w:val="24"/>
              </w:rPr>
            </w:pPr>
            <w:r>
              <w:rPr>
                <w:rFonts w:ascii="宋体" w:hAnsi="宋体" w:cs="宋体"/>
                <w:b/>
                <w:bCs/>
                <w:color w:val="000000"/>
                <w:spacing w:val="-2"/>
                <w:sz w:val="24"/>
                <w:szCs w:val="24"/>
              </w:rPr>
              <w:t xml:space="preserve">分值</w:t>
            </w:r>
            <w:r>
              <w:rPr>
                <w:rFonts w:ascii="宋体" w:hAnsi="宋体" w:cs="宋体"/>
                <w:b/>
                <w:bCs/>
                <w:color w:val="000000"/>
                <w:spacing w:val="-2"/>
                <w:sz w:val="24"/>
                <w:szCs w:val="24"/>
              </w:rPr>
            </w:r>
            <w:r/>
          </w:p>
        </w:tc>
        <w:tc>
          <w:tcPr>
            <w:tcW w:w="784" w:type="dxa"/>
            <w:vAlign w:val="top"/>
            <w:textDirection w:val="lrTb"/>
            <w:noWrap w:val="false"/>
          </w:tcPr>
          <w:p>
            <w:pPr>
              <w:pStyle w:val="869"/>
              <w:jc w:val="center"/>
              <w:keepLines w:val="0"/>
              <w:keepNext w:val="0"/>
              <w:pageBreakBefore w:val="0"/>
              <w:spacing w:before="264" w:line="240" w:lineRule="auto"/>
              <w:rPr>
                <w:rFonts w:ascii="宋体" w:hAnsi="宋体" w:cs="宋体"/>
                <w:b/>
                <w:bCs/>
                <w:color w:val="000000"/>
                <w:spacing w:val="-2"/>
                <w:sz w:val="24"/>
                <w:szCs w:val="24"/>
              </w:rPr>
            </w:pPr>
            <w:r>
              <w:rPr>
                <w:rFonts w:ascii="宋体" w:hAnsi="宋体" w:cs="宋体"/>
                <w:b/>
                <w:bCs/>
                <w:color w:val="000000"/>
                <w:spacing w:val="-2"/>
                <w:sz w:val="24"/>
                <w:szCs w:val="24"/>
              </w:rPr>
              <w:t xml:space="preserve">类型</w:t>
            </w:r>
            <w:r>
              <w:rPr>
                <w:rFonts w:ascii="宋体" w:hAnsi="宋体" w:cs="宋体"/>
                <w:b/>
                <w:bCs/>
                <w:color w:val="000000"/>
                <w:spacing w:val="-2"/>
                <w:sz w:val="24"/>
                <w:szCs w:val="24"/>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1.</w:t>
            </w:r>
            <w:r>
              <w:rPr>
                <w:rFonts w:ascii="宋体" w:hAnsi="宋体" w:cs="宋体"/>
                <w:b/>
                <w:bCs/>
                <w:color w:val="000000"/>
                <w:spacing w:val="-3"/>
                <w:sz w:val="24"/>
                <w:szCs w:val="24"/>
              </w:rPr>
              <w:t xml:space="preserve">价</w:t>
            </w:r>
            <w:r>
              <w:rPr>
                <w:rFonts w:ascii="宋体" w:hAnsi="宋体" w:cs="宋体"/>
                <w:b/>
                <w:bCs/>
                <w:color w:val="000000"/>
                <w:spacing w:val="-2"/>
                <w:sz w:val="24"/>
                <w:szCs w:val="24"/>
              </w:rPr>
              <w:t xml:space="preserve">格</w:t>
            </w:r>
            <w:r>
              <w:rPr>
                <w:rFonts w:ascii="宋体" w:hAnsi="宋体" w:cs="宋体"/>
                <w:color w:val="000000"/>
                <w:sz w:val="24"/>
                <w:szCs w:val="24"/>
              </w:rPr>
            </w:r>
            <w:r/>
          </w:p>
        </w:tc>
      </w:tr>
      <w:tr>
        <w:trPr>
          <w:trHeight w:val="90"/>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ascii="宋体" w:hAnsi="宋体" w:cs="宋体"/>
                <w:color w:val="000000"/>
                <w:spacing w:val="-6"/>
                <w:sz w:val="24"/>
                <w:szCs w:val="24"/>
              </w:rPr>
              <w:t xml:space="preserve">1</w:t>
            </w:r>
            <w:r>
              <w:rPr>
                <w:rFonts w:ascii="宋体" w:hAnsi="宋体" w:cs="宋体"/>
                <w:color w:val="000000"/>
                <w:spacing w:val="-5"/>
                <w:sz w:val="24"/>
                <w:szCs w:val="24"/>
              </w:rPr>
              <w:t xml:space="preserve">.1</w:t>
            </w:r>
            <w:r>
              <w:rPr>
                <w:rFonts w:ascii="宋体" w:hAnsi="宋体" w:cs="宋体"/>
                <w:color w:val="000000"/>
                <w:sz w:val="24"/>
                <w:szCs w:val="24"/>
              </w:rPr>
            </w:r>
            <w:r/>
          </w:p>
        </w:tc>
        <w:tc>
          <w:tcPr>
            <w:tcW w:w="1179" w:type="dxa"/>
            <w:vAlign w:val="center"/>
            <w:textDirection w:val="lrTb"/>
            <w:noWrap w:val="false"/>
          </w:tcPr>
          <w:p>
            <w:pPr>
              <w:pStyle w:val="869"/>
              <w:jc w:val="left"/>
              <w:keepLines w:val="0"/>
              <w:keepNext w:val="0"/>
              <w:pageBreakBefore w:val="0"/>
              <w:spacing w:before="68" w:line="240" w:lineRule="auto"/>
              <w:rPr>
                <w:rFonts w:ascii="宋体" w:hAnsi="宋体" w:cs="宋体"/>
                <w:color w:val="000000"/>
                <w:sz w:val="24"/>
                <w:szCs w:val="24"/>
              </w:rPr>
            </w:pPr>
            <w:r>
              <w:rPr>
                <w:rFonts w:ascii="宋体" w:hAnsi="宋体" w:cs="宋体"/>
                <w:color w:val="000000"/>
                <w:spacing w:val="-2"/>
                <w:sz w:val="24"/>
                <w:szCs w:val="24"/>
              </w:rPr>
              <w:t xml:space="preserve">价格分</w:t>
            </w:r>
            <w:r>
              <w:rPr>
                <w:rFonts w:ascii="宋体" w:hAnsi="宋体" w:cs="宋体"/>
                <w:color w:val="000000"/>
                <w:sz w:val="24"/>
                <w:szCs w:val="24"/>
              </w:rPr>
            </w:r>
            <w:r/>
          </w:p>
        </w:tc>
        <w:tc>
          <w:tcPr>
            <w:tcW w:w="6539" w:type="dxa"/>
            <w:vAlign w:val="center"/>
            <w:textDirection w:val="lrTb"/>
            <w:noWrap w:val="false"/>
          </w:tcPr>
          <w:p>
            <w:pPr>
              <w:pStyle w:val="869"/>
              <w:jc w:val="left"/>
              <w:keepLines w:val="0"/>
              <w:keepNext w:val="0"/>
              <w:pageBreakBefore w:val="0"/>
              <w:spacing w:line="240" w:lineRule="auto"/>
              <w:rPr>
                <w:rFonts w:ascii="宋体" w:hAnsi="宋体" w:cs="宋体"/>
                <w:color w:val="000000"/>
                <w:sz w:val="24"/>
                <w:szCs w:val="24"/>
              </w:rPr>
            </w:pPr>
            <w:r>
              <w:rPr>
                <w:rFonts w:ascii="宋体" w:hAnsi="宋体" w:cs="宋体"/>
                <w:color w:val="000000"/>
                <w:spacing w:val="1"/>
                <w:sz w:val="24"/>
                <w:szCs w:val="24"/>
              </w:rPr>
              <w:t xml:space="preserve">采用低价优先</w:t>
            </w:r>
            <w:r>
              <w:rPr>
                <w:rFonts w:ascii="宋体" w:hAnsi="宋体" w:cs="宋体"/>
                <w:color w:val="000000"/>
                <w:sz w:val="24"/>
                <w:szCs w:val="24"/>
              </w:rPr>
              <w:t xml:space="preserve">法计算，即满足</w:t>
            </w:r>
            <w:r>
              <w:rPr>
                <w:rFonts w:hint="eastAsia" w:ascii="宋体" w:hAnsi="宋体" w:cs="宋体"/>
                <w:color w:val="000000"/>
                <w:sz w:val="24"/>
                <w:szCs w:val="24"/>
              </w:rPr>
              <w:t xml:space="preserve">磋商</w:t>
            </w:r>
            <w:r>
              <w:rPr>
                <w:rFonts w:ascii="宋体" w:hAnsi="宋体" w:cs="宋体"/>
                <w:color w:val="000000"/>
                <w:sz w:val="24"/>
                <w:szCs w:val="24"/>
              </w:rPr>
              <w:t xml:space="preserve">文件要求且</w:t>
            </w:r>
            <w:r>
              <w:rPr>
                <w:rFonts w:hint="eastAsia" w:ascii="宋体" w:hAnsi="宋体" w:cs="宋体"/>
                <w:color w:val="000000"/>
                <w:sz w:val="24"/>
                <w:szCs w:val="24"/>
              </w:rPr>
              <w:t xml:space="preserve">最终报价</w:t>
            </w:r>
            <w:r>
              <w:rPr>
                <w:rFonts w:ascii="宋体" w:hAnsi="宋体" w:cs="宋体"/>
                <w:color w:val="000000"/>
                <w:sz w:val="24"/>
                <w:szCs w:val="24"/>
              </w:rPr>
              <w:t xml:space="preserve">最低的</w:t>
            </w:r>
            <w:r>
              <w:rPr>
                <w:rFonts w:hint="eastAsia" w:ascii="宋体" w:hAnsi="宋体" w:cs="宋体"/>
                <w:color w:val="000000"/>
                <w:sz w:val="24"/>
                <w:szCs w:val="24"/>
              </w:rPr>
              <w:t xml:space="preserve">供应商</w:t>
            </w:r>
            <w:r>
              <w:rPr>
                <w:rFonts w:ascii="宋体" w:hAnsi="宋体" w:cs="宋体"/>
                <w:color w:val="000000"/>
                <w:spacing w:val="1"/>
                <w:sz w:val="24"/>
                <w:szCs w:val="24"/>
              </w:rPr>
              <w:t xml:space="preserve">报价为评标基准</w:t>
            </w:r>
            <w:r>
              <w:rPr>
                <w:rFonts w:ascii="宋体" w:hAnsi="宋体" w:cs="宋体"/>
                <w:color w:val="000000"/>
                <w:sz w:val="24"/>
                <w:szCs w:val="24"/>
              </w:rPr>
              <w:t xml:space="preserve">价，其价格分为满分。其他</w:t>
            </w:r>
            <w:r>
              <w:rPr>
                <w:rFonts w:hint="eastAsia" w:ascii="宋体" w:hAnsi="宋体" w:cs="宋体"/>
                <w:color w:val="000000"/>
                <w:sz w:val="24"/>
                <w:szCs w:val="24"/>
              </w:rPr>
              <w:t xml:space="preserve">供应商</w:t>
            </w:r>
            <w:r>
              <w:rPr>
                <w:rFonts w:ascii="宋体" w:hAnsi="宋体" w:cs="宋体"/>
                <w:color w:val="000000"/>
                <w:sz w:val="24"/>
                <w:szCs w:val="24"/>
              </w:rPr>
              <w:t xml:space="preserve">的价格分统一按</w:t>
            </w:r>
            <w:r>
              <w:rPr>
                <w:rFonts w:ascii="宋体" w:hAnsi="宋体" w:cs="宋体"/>
                <w:color w:val="000000"/>
                <w:spacing w:val="-1"/>
                <w:sz w:val="24"/>
                <w:szCs w:val="24"/>
              </w:rPr>
              <w:t xml:space="preserve">照下列公</w:t>
            </w:r>
            <w:r>
              <w:rPr>
                <w:rFonts w:ascii="宋体" w:hAnsi="宋体" w:cs="宋体"/>
                <w:color w:val="000000"/>
                <w:sz w:val="24"/>
                <w:szCs w:val="24"/>
              </w:rPr>
              <w:t xml:space="preserve">式计算：报价得分=(评标基准价/</w:t>
            </w:r>
            <w:r>
              <w:rPr>
                <w:rFonts w:hint="eastAsia" w:ascii="宋体" w:hAnsi="宋体" w:cs="宋体"/>
                <w:color w:val="000000"/>
                <w:sz w:val="24"/>
                <w:szCs w:val="24"/>
              </w:rPr>
              <w:t xml:space="preserve">最终</w:t>
            </w:r>
            <w:r>
              <w:rPr>
                <w:rFonts w:ascii="宋体" w:hAnsi="宋体" w:cs="宋体"/>
                <w:color w:val="000000"/>
                <w:sz w:val="24"/>
                <w:szCs w:val="24"/>
              </w:rPr>
              <w:t xml:space="preserve">报价)×</w:t>
            </w:r>
            <w:r>
              <w:rPr>
                <w:rFonts w:hint="eastAsia" w:ascii="宋体" w:hAnsi="宋体" w:cs="宋体"/>
                <w:color w:val="000000"/>
                <w:sz w:val="24"/>
                <w:szCs w:val="24"/>
              </w:rPr>
              <w:t xml:space="preserve">价格分值（小数点保留两位）</w:t>
            </w:r>
            <w:r>
              <w:rPr>
                <w:rFonts w:ascii="宋体" w:hAnsi="宋体" w:cs="宋体"/>
                <w:color w:val="000000"/>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2.技术</w:t>
            </w:r>
            <w:r>
              <w:rPr>
                <w:rFonts w:ascii="宋体" w:hAnsi="宋体" w:cs="宋体"/>
                <w:color w:val="000000"/>
                <w:sz w:val="24"/>
                <w:szCs w:val="24"/>
              </w:rPr>
            </w:r>
            <w:r/>
          </w:p>
        </w:tc>
      </w:tr>
      <w:tr>
        <w:trPr>
          <w:trHeight w:val="90"/>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ascii="宋体" w:hAnsi="宋体" w:cs="宋体"/>
                <w:color w:val="000000"/>
                <w:spacing w:val="-2"/>
                <w:sz w:val="24"/>
                <w:szCs w:val="24"/>
              </w:rPr>
              <w:t xml:space="preserve">2.1</w:t>
            </w:r>
            <w:r>
              <w:rPr>
                <w:rFonts w:ascii="宋体" w:hAnsi="宋体" w:cs="宋体"/>
                <w:color w:val="000000"/>
                <w:spacing w:val="-2"/>
                <w:sz w:val="24"/>
                <w:szCs w:val="24"/>
              </w:rPr>
            </w:r>
            <w:r/>
          </w:p>
        </w:tc>
        <w:tc>
          <w:tcPr>
            <w:tcW w:w="1179" w:type="dxa"/>
            <w:vAlign w:val="center"/>
            <w:textDirection w:val="lrTb"/>
            <w:noWrap w:val="false"/>
          </w:tcPr>
          <w:p>
            <w:pPr>
              <w:pStyle w:val="869"/>
              <w:ind w:right="108"/>
              <w:jc w:val="left"/>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z w:val="24"/>
                <w:szCs w:val="24"/>
              </w:rPr>
              <w:t xml:space="preserve">需求理解</w:t>
            </w:r>
            <w:r>
              <w:rPr>
                <w:rFonts w:ascii="宋体" w:hAnsi="宋体" w:cs="宋体"/>
                <w:color w:val="000000"/>
                <w:spacing w:val="-2"/>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Start w:id="120" w:name="OLE_LINK9"/>
            <w:r>
              <w:rPr>
                <w:rFonts w:hint="eastAsia" w:ascii="Times New Roman" w:hAnsi="Times New Roman" w:eastAsia="宋体" w:cs="Times New Roman"/>
                <w:color w:val="000000"/>
                <w:sz w:val="24"/>
                <w:szCs w:val="24"/>
                <w:lang w:val="en-US" w:eastAsia="zh-CN"/>
              </w:rPr>
              <w:t xml:space="preserve">根据本项目采购需求编制方案，内容包含：</w:t>
            </w:r>
            <w:r>
              <w:rPr>
                <w:rFonts w:hint="eastAsia" w:ascii="Times New Roman" w:hAnsi="Times New Roman" w:eastAsia="宋体" w:cs="Times New Roman"/>
                <w:color w:val="000000"/>
                <w:sz w:val="24"/>
                <w:szCs w:val="24"/>
              </w:rPr>
              <w:t xml:space="preserve">1.</w:t>
            </w:r>
            <w:bookmarkStart w:id="121" w:name="OLE_LINK5"/>
            <w:r>
              <w:rPr>
                <w:rFonts w:hint="eastAsia" w:ascii="Times New Roman" w:hAnsi="Times New Roman" w:eastAsia="宋体" w:cs="Times New Roman"/>
                <w:color w:val="000000"/>
                <w:sz w:val="24"/>
                <w:szCs w:val="24"/>
              </w:rPr>
              <w:t xml:space="preserve">政务外网出口的网络架构、网络软硬环境以及应用承载现状</w:t>
            </w:r>
            <w:bookmarkEnd w:id="121"/>
            <w:r>
              <w:rPr>
                <w:rFonts w:hint="eastAsia" w:ascii="Times New Roman" w:hAnsi="Times New Roman" w:eastAsia="宋体" w:cs="Times New Roman"/>
                <w:color w:val="000000"/>
                <w:sz w:val="24"/>
                <w:szCs w:val="24"/>
              </w:rPr>
              <w:t xml:space="preserve">；2.</w:t>
            </w:r>
            <w:bookmarkStart w:id="122" w:name="OLE_LINK6"/>
            <w:r>
              <w:rPr>
                <w:rFonts w:hint="eastAsia" w:ascii="Times New Roman" w:hAnsi="Times New Roman" w:eastAsia="宋体" w:cs="Times New Roman"/>
                <w:color w:val="000000"/>
                <w:sz w:val="24"/>
                <w:szCs w:val="24"/>
              </w:rPr>
              <w:t xml:space="preserve">服务目标</w:t>
            </w:r>
            <w:bookmarkEnd w:id="122"/>
            <w:r>
              <w:rPr>
                <w:rFonts w:hint="eastAsia" w:ascii="Times New Roman" w:hAnsi="Times New Roman" w:eastAsia="宋体" w:cs="Times New Roman"/>
                <w:color w:val="000000"/>
                <w:sz w:val="24"/>
                <w:szCs w:val="24"/>
              </w:rPr>
              <w:t xml:space="preserve">；3. </w:t>
            </w:r>
            <w:bookmarkStart w:id="123" w:name="OLE_LINK7"/>
            <w:r>
              <w:rPr>
                <w:rFonts w:hint="eastAsia" w:ascii="Times New Roman" w:hAnsi="Times New Roman" w:eastAsia="宋体" w:cs="Times New Roman"/>
                <w:color w:val="000000"/>
                <w:sz w:val="24"/>
                <w:szCs w:val="24"/>
              </w:rPr>
              <w:t xml:space="preserve">网络带宽和安全需求</w:t>
            </w:r>
            <w:bookmarkEnd w:id="123"/>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lang w:val="en-US" w:eastAsia="zh-CN"/>
              </w:rPr>
              <w:t xml:space="preserve">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End w:id="120"/>
            <w:r>
              <w:rPr>
                <w:rFonts w:hint="eastAsia" w:ascii="Times New Roman" w:hAnsi="Times New Roman" w:eastAsia="宋体" w:cs="Times New Roman"/>
                <w:color w:val="000000"/>
                <w:sz w:val="24"/>
                <w:szCs w:val="24"/>
                <w:lang w:val="en-US" w:eastAsia="zh-CN"/>
              </w:rPr>
              <w:t xml:space="preserve">方案内容对项目需求理解深入透彻，分析情况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宋体" w:hAnsi="宋体" w:cs="宋体"/>
                <w:b/>
                <w:bCs/>
                <w:color w:val="000000"/>
                <w:spacing w:val="1"/>
                <w:sz w:val="24"/>
                <w:szCs w:val="24"/>
              </w:rPr>
            </w:pPr>
            <w:r>
              <w:rPr>
                <w:rFonts w:hint="eastAsia" w:ascii="Times New Roman" w:hAnsi="Times New Roman" w:eastAsia="宋体" w:cs="Times New Roman"/>
                <w:color w:val="000000"/>
                <w:sz w:val="24"/>
                <w:szCs w:val="24"/>
                <w:lang w:val="en-US" w:eastAsia="zh-CN"/>
              </w:rPr>
              <w:t xml:space="preserve">上述每项内容符合得3分；部分符合得1.5分；不符合或不提供不得分。</w:t>
            </w:r>
            <w:r>
              <w:rPr>
                <w:rFonts w:ascii="宋体" w:hAnsi="宋体" w:cs="宋体"/>
                <w:b/>
                <w:bCs/>
                <w:color w:val="000000"/>
                <w:spacing w:val="1"/>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4"/>
                <w:sz w:val="24"/>
                <w:szCs w:val="24"/>
              </w:rPr>
              <w:t xml:space="preserve">主观分</w:t>
            </w:r>
            <w:r>
              <w:rPr>
                <w:rFonts w:ascii="宋体" w:hAnsi="宋体" w:cs="宋体"/>
                <w:color w:val="000000"/>
                <w:sz w:val="24"/>
                <w:szCs w:val="24"/>
              </w:rPr>
            </w:r>
            <w:r/>
          </w:p>
        </w:tc>
      </w:tr>
      <w:tr>
        <w:trPr>
          <w:trHeight w:val="90"/>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2</w:t>
            </w:r>
            <w:r>
              <w:rPr>
                <w:rFonts w:ascii="宋体" w:hAnsi="宋体" w:cs="宋体"/>
                <w:color w:val="000000"/>
                <w:spacing w:val="-2"/>
                <w:sz w:val="24"/>
                <w:szCs w:val="24"/>
              </w:rPr>
              <w:t xml:space="preserve">.2</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rFonts w:ascii="宋体" w:hAnsi="宋体" w:cs="宋体"/>
                <w:color w:val="000000"/>
                <w:sz w:val="24"/>
                <w:szCs w:val="24"/>
              </w:rPr>
            </w:pPr>
            <w:r>
              <w:rPr>
                <w:rFonts w:hint="eastAsia"/>
                <w:color w:val="000000"/>
                <w:sz w:val="24"/>
                <w:szCs w:val="24"/>
              </w:rPr>
              <w:t xml:space="preserve">总体技术方案</w:t>
            </w:r>
            <w:r>
              <w:rPr>
                <w:rFonts w:ascii="宋体" w:hAnsi="宋体" w:cs="宋体"/>
                <w:color w:val="000000"/>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Start w:id="124" w:name="OLE_LINK1"/>
            <w:r>
              <w:rPr>
                <w:rFonts w:hint="eastAsia" w:ascii="Times New Roman" w:hAnsi="Times New Roman" w:eastAsia="宋体" w:cs="Times New Roman"/>
                <w:color w:val="000000"/>
                <w:sz w:val="24"/>
                <w:szCs w:val="24"/>
                <w:lang w:val="en-US" w:eastAsia="zh-CN"/>
              </w:rPr>
              <w:t xml:space="preserve">根据本项目采购需求编制方案，内容包含：1.计划方案；2.设计方案；3.线路新增或移动等施工方案。以上每项内容逐项评分：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内容详尽合理，可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宋体" w:hAnsi="宋体" w:cs="宋体"/>
                <w:color w:val="000000"/>
                <w:sz w:val="24"/>
                <w:szCs w:val="24"/>
              </w:rPr>
            </w:pPr>
            <w:r>
              <w:rPr>
                <w:rFonts w:hint="eastAsia" w:ascii="Times New Roman" w:hAnsi="Times New Roman" w:eastAsia="宋体" w:cs="Times New Roman"/>
                <w:color w:val="000000"/>
                <w:sz w:val="24"/>
                <w:szCs w:val="24"/>
                <w:lang w:val="en-US" w:eastAsia="zh-CN"/>
              </w:rPr>
              <w:t xml:space="preserve">上述每项内容符合得3分；部分符合得1.5分；不符合或不提供不得分。</w:t>
            </w:r>
            <w:bookmarkEnd w:id="124"/>
            <w:r>
              <w:rPr>
                <w:rFonts w:ascii="宋体" w:hAnsi="宋体" w:cs="宋体"/>
                <w:color w:val="000000"/>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6"/>
                <w:sz w:val="24"/>
                <w:szCs w:val="24"/>
              </w:rPr>
            </w:pPr>
            <w:r>
              <w:rPr>
                <w:rFonts w:hint="eastAsia" w:ascii="宋体" w:hAnsi="宋体" w:cs="宋体"/>
                <w:color w:val="000000"/>
                <w:spacing w:val="-4"/>
                <w:sz w:val="24"/>
                <w:szCs w:val="24"/>
              </w:rPr>
              <w:t xml:space="preserve">主观分</w:t>
            </w:r>
            <w:r>
              <w:rPr>
                <w:rFonts w:ascii="宋体" w:hAnsi="宋体" w:cs="宋体"/>
                <w:color w:val="000000"/>
                <w:spacing w:val="-6"/>
                <w:sz w:val="24"/>
                <w:szCs w:val="24"/>
              </w:rPr>
            </w:r>
            <w:r/>
          </w:p>
        </w:tc>
      </w:tr>
      <w:tr>
        <w:trPr>
          <w:trHeight w:val="889"/>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2.3</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rFonts w:ascii="宋体" w:hAnsi="宋体" w:cs="宋体"/>
                <w:color w:val="000000"/>
                <w:spacing w:val="-2"/>
                <w:sz w:val="24"/>
                <w:szCs w:val="24"/>
              </w:rPr>
            </w:pPr>
            <w:r>
              <w:rPr>
                <w:rFonts w:hint="eastAsia"/>
                <w:color w:val="000000"/>
                <w:sz w:val="24"/>
                <w:szCs w:val="24"/>
              </w:rPr>
              <w:t xml:space="preserve">项目实施方案</w:t>
            </w:r>
            <w:r>
              <w:rPr>
                <w:rFonts w:ascii="宋体" w:hAnsi="宋体" w:cs="宋体"/>
                <w:color w:val="000000"/>
                <w:spacing w:val="-2"/>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Start w:id="125" w:name="OLE_LINK8"/>
            <w:r>
              <w:rPr>
                <w:rFonts w:hint="eastAsia" w:ascii="Times New Roman" w:hAnsi="Times New Roman" w:eastAsia="宋体" w:cs="Times New Roman"/>
                <w:color w:val="000000"/>
                <w:sz w:val="24"/>
                <w:szCs w:val="24"/>
                <w:lang w:val="en-US" w:eastAsia="zh-CN"/>
              </w:rPr>
              <w:t xml:space="preserve">根据本项目采购需求编制方案，内容包含：1.目标要求；2.工作内容；3.实施方法。以上每项内容逐项评分：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内容详尽合理，可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上述每项内容符合得3分；部分符合得1.5分；不符合或不提供不得分。</w:t>
            </w:r>
            <w:bookmarkEnd w:id="125"/>
            <w:r>
              <w:rPr>
                <w:rFonts w:hint="eastAsia" w:ascii="Times New Roman" w:hAnsi="Times New Roman" w:eastAsia="宋体" w:cs="Times New Roman"/>
                <w:color w:val="000000"/>
                <w:sz w:val="24"/>
                <w:szCs w:val="24"/>
                <w:lang w:val="en-US" w:eastAsia="zh-CN"/>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4"/>
                <w:sz w:val="24"/>
                <w:szCs w:val="24"/>
              </w:rPr>
              <w:t xml:space="preserve">主观分</w:t>
            </w:r>
            <w:r>
              <w:rPr>
                <w:rFonts w:ascii="宋体" w:hAnsi="宋体" w:cs="宋体"/>
                <w:color w:val="000000"/>
                <w:sz w:val="24"/>
                <w:szCs w:val="24"/>
              </w:rPr>
            </w:r>
            <w:r/>
          </w:p>
        </w:tc>
      </w:tr>
      <w:tr>
        <w:trPr>
          <w:trHeight w:val="889"/>
        </w:trPr>
        <w:tc>
          <w:tcPr>
            <w:tcW w:w="519" w:type="dxa"/>
            <w:vAlign w:val="center"/>
            <w:textDirection w:val="lrTb"/>
            <w:noWrap w:val="false"/>
          </w:tcPr>
          <w:p>
            <w:pPr>
              <w:pStyle w:val="869"/>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1179" w:type="dxa"/>
            <w:vAlign w:val="center"/>
            <w:textDirection w:val="lrTb"/>
            <w:noWrap w:val="false"/>
          </w:tcPr>
          <w:p>
            <w:pPr>
              <w:pStyle w:val="869"/>
              <w:keepLines w:val="0"/>
              <w:keepNext w:val="0"/>
              <w:pageBreakBefore w:val="0"/>
              <w:spacing w:line="240" w:lineRule="auto"/>
              <w:rPr>
                <w:rFonts w:ascii="宋体" w:hAnsi="宋体" w:cs="宋体"/>
                <w:color w:val="000000"/>
                <w:spacing w:val="-2"/>
                <w:sz w:val="24"/>
                <w:szCs w:val="24"/>
              </w:rPr>
            </w:pPr>
            <w:r>
              <w:rPr>
                <w:rFonts w:hint="eastAsia" w:ascii="宋体" w:hAnsi="宋体" w:cs="宋体"/>
                <w:color w:val="000000"/>
                <w:sz w:val="24"/>
                <w:szCs w:val="24"/>
              </w:rPr>
              <w:t xml:space="preserve">网络日常管理方案</w:t>
            </w:r>
            <w:r>
              <w:rPr>
                <w:rFonts w:ascii="宋体" w:hAnsi="宋体" w:cs="宋体"/>
                <w:color w:val="000000"/>
                <w:spacing w:val="-2"/>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Start w:id="126" w:name="OLE_LINK10"/>
            <w:r>
              <w:rPr>
                <w:rFonts w:hint="eastAsia" w:ascii="Times New Roman" w:hAnsi="Times New Roman" w:eastAsia="宋体" w:cs="Times New Roman"/>
                <w:color w:val="000000"/>
                <w:sz w:val="24"/>
                <w:szCs w:val="24"/>
                <w:lang w:val="en-US" w:eastAsia="zh-CN"/>
              </w:rPr>
              <w:t xml:space="preserve">根据本项目采购需求编制方案，内容包含：1.网络监控监测；2.网络巡检维护；3.网络变更调试。以上每项内容逐项评分：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内容详尽合理，可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上述每项内容符合得3分；部分符合得1.5分；不符合或不提供不得分。</w:t>
            </w:r>
            <w:bookmarkEnd w:id="126"/>
            <w:r>
              <w:rPr>
                <w:rFonts w:hint="eastAsia" w:ascii="Times New Roman" w:hAnsi="Times New Roman" w:eastAsia="宋体" w:cs="Times New Roman"/>
                <w:color w:val="000000"/>
                <w:sz w:val="24"/>
                <w:szCs w:val="24"/>
                <w:lang w:val="en-US" w:eastAsia="zh-CN"/>
              </w:rPr>
            </w:r>
            <w:r/>
          </w:p>
        </w:tc>
        <w:tc>
          <w:tcPr>
            <w:tcW w:w="554" w:type="dxa"/>
            <w:vAlign w:val="center"/>
            <w:textDirection w:val="lrTb"/>
            <w:noWrap w:val="false"/>
          </w:tcPr>
          <w:p>
            <w:pPr>
              <w:pStyle w:val="869"/>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line="240" w:lineRule="auto"/>
              <w:rPr>
                <w:rFonts w:ascii="宋体" w:hAnsi="宋体" w:cs="宋体"/>
                <w:color w:val="000000"/>
                <w:spacing w:val="-6"/>
                <w:sz w:val="24"/>
                <w:szCs w:val="24"/>
              </w:rPr>
            </w:pPr>
            <w:r>
              <w:rPr>
                <w:rFonts w:hint="eastAsia"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472"/>
        </w:trPr>
        <w:tc>
          <w:tcPr>
            <w:gridSpan w:val="5"/>
            <w:tcW w:w="9575" w:type="dxa"/>
            <w:vAlign w:val="center"/>
            <w:textDirection w:val="lrTb"/>
            <w:noWrap w:val="false"/>
          </w:tcPr>
          <w:p>
            <w:pPr>
              <w:pStyle w:val="869"/>
              <w:keepLines w:val="0"/>
              <w:keepNext w:val="0"/>
              <w:pageBreakBefore w:val="0"/>
              <w:spacing w:before="68"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3.服务</w:t>
            </w:r>
            <w:r>
              <w:rPr>
                <w:rFonts w:ascii="宋体" w:hAnsi="宋体" w:cs="宋体"/>
                <w:color w:val="000000"/>
                <w:sz w:val="24"/>
                <w:szCs w:val="24"/>
              </w:rPr>
            </w:r>
            <w:r/>
          </w:p>
        </w:tc>
      </w:tr>
      <w:tr>
        <w:trPr>
          <w:trHeight w:val="274"/>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3.1</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rFonts w:ascii="宋体" w:hAnsi="宋体" w:cs="宋体"/>
                <w:color w:val="000000"/>
                <w:spacing w:val="-2"/>
                <w:sz w:val="24"/>
                <w:szCs w:val="24"/>
              </w:rPr>
            </w:pPr>
            <w:r>
              <w:rPr>
                <w:rFonts w:hint="eastAsia"/>
                <w:color w:val="000000"/>
                <w:sz w:val="24"/>
                <w:szCs w:val="24"/>
              </w:rPr>
              <w:t xml:space="preserve">运维服务方案</w:t>
            </w:r>
            <w:r>
              <w:rPr>
                <w:rFonts w:ascii="宋体" w:hAnsi="宋体" w:cs="宋体"/>
                <w:color w:val="000000"/>
                <w:spacing w:val="-2"/>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Start w:id="127" w:name="OLE_LINK11"/>
            <w:r>
              <w:rPr>
                <w:rFonts w:hint="eastAsia" w:ascii="Times New Roman" w:hAnsi="Times New Roman" w:eastAsia="宋体" w:cs="Times New Roman"/>
                <w:color w:val="000000"/>
                <w:sz w:val="24"/>
                <w:szCs w:val="24"/>
                <w:lang w:val="en-US" w:eastAsia="zh-CN"/>
              </w:rPr>
              <w:t xml:space="preserve">根据本项目采购需求编制方案，内容包含：1.服务措施；2.服务流程；3.服务保障体系。以上每项内容逐项评分：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内容详尽合理，可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上述每项内容符合得2分；部分符合得1分；不符合或不提供不得分。</w:t>
            </w:r>
            <w:bookmarkEnd w:id="127"/>
            <w:r>
              <w:rPr>
                <w:rFonts w:hint="eastAsia" w:ascii="Times New Roman" w:hAnsi="Times New Roman" w:eastAsia="宋体" w:cs="Times New Roman"/>
                <w:color w:val="000000"/>
                <w:sz w:val="24"/>
                <w:szCs w:val="24"/>
                <w:lang w:val="en-US" w:eastAsia="zh-CN"/>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2501"/>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3.2</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rFonts w:ascii="宋体" w:hAnsi="宋体" w:cs="宋体"/>
                <w:color w:val="000000"/>
                <w:spacing w:val="-2"/>
                <w:sz w:val="24"/>
                <w:szCs w:val="24"/>
              </w:rPr>
            </w:pPr>
            <w:r>
              <w:rPr>
                <w:rFonts w:hint="eastAsia" w:ascii="宋体" w:hAnsi="宋体" w:cs="宋体"/>
                <w:color w:val="000000"/>
                <w:sz w:val="24"/>
                <w:szCs w:val="24"/>
              </w:rPr>
              <w:t xml:space="preserve">应急保障方案</w:t>
            </w:r>
            <w:r>
              <w:rPr>
                <w:rFonts w:ascii="宋体" w:hAnsi="宋体" w:cs="宋体"/>
                <w:color w:val="000000"/>
                <w:spacing w:val="-2"/>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bookmarkStart w:id="128" w:name="OLE_LINK12"/>
            <w:r>
              <w:rPr>
                <w:rFonts w:hint="eastAsia" w:ascii="Times New Roman" w:hAnsi="Times New Roman" w:eastAsia="宋体" w:cs="Times New Roman"/>
                <w:color w:val="000000"/>
                <w:sz w:val="24"/>
                <w:szCs w:val="24"/>
                <w:lang w:val="en-US" w:eastAsia="zh-CN"/>
              </w:rPr>
              <w:t xml:space="preserve">根据本项目采购需求编制方案，内容包含：1.应急预防及应急预备；2.应急响应；3.应急恢复。以上每项内容逐项评分：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内容详尽合理，可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上述每项内容符合得2分；部分符合得1分；不符合或不提供不得分。</w:t>
            </w:r>
            <w:bookmarkEnd w:id="128"/>
            <w:r>
              <w:rPr>
                <w:rFonts w:hint="eastAsia" w:ascii="Times New Roman" w:hAnsi="Times New Roman" w:eastAsia="宋体" w:cs="Times New Roman"/>
                <w:color w:val="000000"/>
                <w:sz w:val="24"/>
                <w:szCs w:val="24"/>
                <w:lang w:val="en-US" w:eastAsia="zh-CN"/>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6"/>
                <w:sz w:val="24"/>
                <w:szCs w:val="24"/>
              </w:rPr>
            </w:pPr>
            <w:r>
              <w:rPr>
                <w:rFonts w:hint="eastAsia"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3.3</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rFonts w:ascii="宋体" w:hAnsi="宋体" w:cs="宋体"/>
                <w:color w:val="000000"/>
                <w:spacing w:val="-2"/>
                <w:sz w:val="24"/>
                <w:szCs w:val="24"/>
              </w:rPr>
            </w:pPr>
            <w:r>
              <w:rPr>
                <w:rFonts w:hint="eastAsia"/>
                <w:color w:val="000000"/>
                <w:sz w:val="24"/>
                <w:szCs w:val="24"/>
              </w:rPr>
              <w:t xml:space="preserve">培训方案</w:t>
            </w:r>
            <w:r>
              <w:rPr>
                <w:rFonts w:ascii="宋体" w:hAnsi="宋体" w:cs="宋体"/>
                <w:color w:val="000000"/>
                <w:spacing w:val="-2"/>
                <w:sz w:val="24"/>
                <w:szCs w:val="24"/>
              </w:rPr>
            </w:r>
            <w:r/>
          </w:p>
        </w:tc>
        <w:tc>
          <w:tcPr>
            <w:tcW w:w="653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根据本项目采购需求编制方案，内容包含：1.培训计划；2.培训内容；3.培训质量保障措施。以上每项内容逐项评分：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内容详尽合理，可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宋体" w:hAnsi="宋体" w:cs="宋体"/>
                <w:color w:val="000000"/>
                <w:sz w:val="24"/>
                <w:szCs w:val="24"/>
              </w:rPr>
            </w:pPr>
            <w:r>
              <w:rPr>
                <w:rFonts w:hint="eastAsia" w:ascii="Times New Roman" w:hAnsi="Times New Roman" w:eastAsia="宋体" w:cs="Times New Roman"/>
                <w:color w:val="000000"/>
                <w:sz w:val="24"/>
                <w:szCs w:val="24"/>
                <w:lang w:val="en-US" w:eastAsia="zh-CN"/>
              </w:rPr>
              <w:t xml:space="preserve">上述每项内容符合得2分；部分符合得1分；不符合或不提供不得分。</w:t>
            </w:r>
            <w:r>
              <w:rPr>
                <w:rFonts w:ascii="宋体" w:hAnsi="宋体" w:cs="宋体"/>
                <w:color w:val="000000"/>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3.4</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color w:val="000000"/>
                <w:sz w:val="24"/>
                <w:szCs w:val="24"/>
              </w:rPr>
            </w:pPr>
            <w:r>
              <w:rPr>
                <w:rFonts w:hint="eastAsia"/>
                <w:color w:val="000000"/>
                <w:sz w:val="24"/>
                <w:szCs w:val="24"/>
              </w:rPr>
              <w:t xml:space="preserve">本地化服务</w:t>
            </w:r>
            <w:r>
              <w:rPr>
                <w:color w:val="000000"/>
                <w:sz w:val="24"/>
                <w:szCs w:val="24"/>
              </w:rPr>
            </w:r>
            <w:r/>
          </w:p>
        </w:tc>
        <w:tc>
          <w:tcPr>
            <w:tcW w:w="6539" w:type="dxa"/>
            <w:vAlign w:val="center"/>
            <w:textDirection w:val="lrTb"/>
            <w:noWrap w:val="false"/>
          </w:tcPr>
          <w:p>
            <w:pPr>
              <w:pStyle w:val="869"/>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供应商具有本地化服务能力的得2分，未提供不得分。（提供有效证明材料或承诺书，格式自拟）</w:t>
            </w:r>
            <w:r>
              <w:rPr>
                <w:rFonts w:ascii="宋体" w:hAnsi="宋体" w:cs="宋体"/>
                <w:color w:val="000000"/>
                <w:sz w:val="24"/>
                <w:szCs w:val="24"/>
              </w:rPr>
            </w:r>
            <w:r/>
          </w:p>
        </w:tc>
        <w:tc>
          <w:tcPr>
            <w:tcW w:w="554" w:type="dxa"/>
            <w:vAlign w:val="center"/>
            <w:textDirection w:val="lrTb"/>
            <w:noWrap w:val="false"/>
          </w:tcPr>
          <w:p>
            <w:pPr>
              <w:pStyle w:val="869"/>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客观分</w:t>
            </w:r>
            <w:r>
              <w:rPr>
                <w:rFonts w:ascii="宋体" w:hAnsi="宋体" w:cs="宋体"/>
                <w:color w:val="000000"/>
                <w:sz w:val="24"/>
                <w:szCs w:val="24"/>
              </w:rPr>
            </w:r>
            <w:r/>
          </w:p>
        </w:tc>
      </w:tr>
      <w:tr>
        <w:trPr>
          <w:trHeight w:val="455"/>
        </w:trPr>
        <w:tc>
          <w:tcPr>
            <w:gridSpan w:val="5"/>
            <w:tcW w:w="9575" w:type="dxa"/>
            <w:vAlign w:val="center"/>
            <w:textDirection w:val="lrTb"/>
            <w:noWrap w:val="false"/>
          </w:tcPr>
          <w:p>
            <w:pPr>
              <w:pStyle w:val="869"/>
              <w:keepLines w:val="0"/>
              <w:keepNext w:val="0"/>
              <w:pageBreakBefore w:val="0"/>
              <w:spacing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4.业绩</w:t>
            </w:r>
            <w:r>
              <w:rPr>
                <w:rFonts w:ascii="宋体" w:hAnsi="宋体" w:cs="宋体"/>
                <w:color w:val="000000"/>
                <w:sz w:val="24"/>
                <w:szCs w:val="24"/>
              </w:rPr>
            </w:r>
            <w:r/>
          </w:p>
        </w:tc>
      </w:tr>
      <w:tr>
        <w:trPr>
          <w:trHeight w:val="146"/>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4</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before="69" w:line="240" w:lineRule="auto"/>
              <w:rPr>
                <w:rFonts w:ascii="宋体" w:hAnsi="宋体" w:cs="宋体"/>
                <w:color w:val="000000"/>
                <w:spacing w:val="-2"/>
                <w:sz w:val="24"/>
                <w:szCs w:val="24"/>
              </w:rPr>
            </w:pPr>
            <w:r>
              <w:rPr>
                <w:rFonts w:hint="eastAsia" w:ascii="宋体" w:hAnsi="宋体" w:cs="宋体"/>
                <w:color w:val="000000"/>
                <w:spacing w:val="-1"/>
                <w:sz w:val="24"/>
                <w:szCs w:val="24"/>
              </w:rPr>
              <w:t xml:space="preserve">供应商</w:t>
            </w:r>
            <w:r>
              <w:rPr>
                <w:rFonts w:ascii="宋体" w:hAnsi="宋体" w:cs="宋体"/>
                <w:color w:val="000000"/>
                <w:spacing w:val="-1"/>
                <w:sz w:val="24"/>
                <w:szCs w:val="24"/>
              </w:rPr>
              <w:t xml:space="preserve">业绩</w:t>
            </w:r>
            <w:r>
              <w:rPr>
                <w:rFonts w:ascii="宋体" w:hAnsi="宋体" w:cs="宋体"/>
                <w:color w:val="000000"/>
                <w:spacing w:val="-2"/>
                <w:sz w:val="24"/>
                <w:szCs w:val="24"/>
              </w:rPr>
            </w:r>
            <w:r/>
          </w:p>
        </w:tc>
        <w:tc>
          <w:tcPr>
            <w:tcW w:w="6539" w:type="dxa"/>
            <w:vAlign w:val="center"/>
            <w:textDirection w:val="lrTb"/>
            <w:noWrap w:val="false"/>
          </w:tcPr>
          <w:p>
            <w:pPr>
              <w:pStyle w:val="869"/>
              <w:keepLines w:val="0"/>
              <w:keepNext w:val="0"/>
              <w:pageBreakBefore w:val="0"/>
              <w:spacing w:line="240" w:lineRule="auto"/>
              <w:rPr>
                <w:rFonts w:eastAsia="方正仿宋_GBK"/>
                <w:color w:val="000000"/>
                <w:sz w:val="24"/>
                <w:szCs w:val="24"/>
                <w:lang w:bidi="zh-CN"/>
              </w:rPr>
            </w:pPr>
            <w:r>
              <w:rPr>
                <w:rFonts w:hint="eastAsia" w:ascii="宋体" w:hAnsi="宋体" w:cs="宋体"/>
                <w:color w:val="000000"/>
                <w:sz w:val="24"/>
                <w:szCs w:val="24"/>
              </w:rPr>
              <w:t xml:space="preserve">供应商提供</w:t>
            </w:r>
            <w:r>
              <w:rPr>
                <w:rFonts w:ascii="宋体" w:hAnsi="宋体" w:cs="宋体"/>
                <w:color w:val="000000"/>
                <w:sz w:val="24"/>
                <w:szCs w:val="24"/>
              </w:rPr>
              <w:t xml:space="preserve">20</w:t>
            </w:r>
            <w:r>
              <w:rPr>
                <w:rFonts w:hint="eastAsia" w:ascii="宋体" w:hAnsi="宋体" w:cs="宋体"/>
                <w:color w:val="000000"/>
                <w:sz w:val="24"/>
                <w:szCs w:val="24"/>
              </w:rPr>
              <w:t xml:space="preserve">23</w:t>
            </w:r>
            <w:r>
              <w:rPr>
                <w:rFonts w:ascii="宋体" w:hAnsi="宋体" w:cs="宋体"/>
                <w:color w:val="000000"/>
                <w:sz w:val="24"/>
                <w:szCs w:val="24"/>
              </w:rPr>
              <w:t xml:space="preserve">年</w:t>
            </w:r>
            <w:r>
              <w:rPr>
                <w:rFonts w:hint="eastAsia" w:ascii="宋体" w:hAnsi="宋体" w:cs="宋体"/>
                <w:color w:val="000000"/>
                <w:sz w:val="24"/>
                <w:szCs w:val="24"/>
              </w:rPr>
              <w:t xml:space="preserve">1</w:t>
            </w:r>
            <w:r>
              <w:rPr>
                <w:rFonts w:ascii="宋体" w:hAnsi="宋体" w:cs="宋体"/>
                <w:color w:val="000000"/>
                <w:sz w:val="24"/>
                <w:szCs w:val="24"/>
              </w:rPr>
              <w:t xml:space="preserve">月</w:t>
            </w:r>
            <w:r>
              <w:rPr>
                <w:rFonts w:hint="eastAsia" w:ascii="宋体" w:hAnsi="宋体" w:cs="宋体"/>
                <w:color w:val="000000"/>
                <w:sz w:val="24"/>
                <w:szCs w:val="24"/>
              </w:rPr>
              <w:t xml:space="preserve">1</w:t>
            </w:r>
            <w:r>
              <w:rPr>
                <w:rFonts w:ascii="宋体" w:hAnsi="宋体" w:cs="宋体"/>
                <w:color w:val="000000"/>
                <w:sz w:val="24"/>
                <w:szCs w:val="24"/>
              </w:rPr>
              <w:t xml:space="preserve">日（含）以来类似项目业绩</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IP地址扩容或互联网出口服务）</w:t>
            </w:r>
            <w:r>
              <w:rPr>
                <w:rFonts w:ascii="宋体" w:hAnsi="宋体" w:cs="宋体"/>
                <w:color w:val="000000"/>
                <w:sz w:val="24"/>
                <w:szCs w:val="24"/>
              </w:rPr>
              <w:t xml:space="preserve">，每提供</w:t>
            </w:r>
            <w:r>
              <w:rPr>
                <w:rFonts w:hint="eastAsia" w:ascii="宋体" w:hAnsi="宋体" w:cs="宋体"/>
                <w:color w:val="000000"/>
                <w:sz w:val="24"/>
                <w:szCs w:val="24"/>
              </w:rPr>
              <w:t xml:space="preserve">1</w:t>
            </w:r>
            <w:r>
              <w:rPr>
                <w:rFonts w:ascii="宋体" w:hAnsi="宋体" w:cs="宋体"/>
                <w:color w:val="000000"/>
                <w:sz w:val="24"/>
                <w:szCs w:val="24"/>
              </w:rPr>
              <w:t xml:space="preserve">个得3分</w:t>
            </w:r>
            <w:r>
              <w:rPr>
                <w:rFonts w:hint="eastAsia" w:ascii="宋体" w:hAnsi="宋体" w:cs="宋体"/>
                <w:color w:val="000000"/>
                <w:sz w:val="24"/>
                <w:szCs w:val="24"/>
              </w:rPr>
              <w:t xml:space="preserve">，最多得9分</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w:t>
            </w:r>
            <w:r>
              <w:rPr>
                <w:rFonts w:hint="eastAsia" w:ascii="宋体" w:hAnsi="宋体" w:cs="宋体"/>
                <w:color w:val="000000"/>
                <w:sz w:val="24"/>
                <w:szCs w:val="24"/>
              </w:rPr>
              <w:t xml:space="preserve">时间以合同签订时间为准，</w:t>
            </w:r>
            <w:r>
              <w:rPr>
                <w:rFonts w:ascii="宋体" w:hAnsi="宋体" w:cs="宋体"/>
                <w:color w:val="000000"/>
                <w:sz w:val="24"/>
                <w:szCs w:val="24"/>
              </w:rPr>
              <w:t xml:space="preserve">提供有效合同，合同</w:t>
            </w:r>
            <w:r>
              <w:rPr>
                <w:rFonts w:hint="eastAsia" w:ascii="宋体" w:hAnsi="宋体" w:cs="宋体"/>
                <w:color w:val="000000"/>
                <w:sz w:val="24"/>
                <w:szCs w:val="24"/>
              </w:rPr>
              <w:t xml:space="preserve">页</w:t>
            </w:r>
            <w:r>
              <w:rPr>
                <w:rFonts w:ascii="宋体" w:hAnsi="宋体" w:cs="宋体"/>
                <w:color w:val="000000"/>
                <w:sz w:val="24"/>
                <w:szCs w:val="24"/>
              </w:rPr>
              <w:t xml:space="preserve">须清晰可见相应内容）</w:t>
            </w:r>
            <w:r>
              <w:rPr>
                <w:rFonts w:eastAsia="方正仿宋_GBK"/>
                <w:color w:val="000000"/>
                <w:sz w:val="24"/>
                <w:szCs w:val="24"/>
                <w:lang w:bidi="zh-CN"/>
              </w:rPr>
            </w:r>
            <w:r/>
          </w:p>
        </w:tc>
        <w:tc>
          <w:tcPr>
            <w:tcW w:w="554" w:type="dxa"/>
            <w:vAlign w:val="center"/>
            <w:textDirection w:val="lrTb"/>
            <w:noWrap w:val="false"/>
          </w:tcPr>
          <w:p>
            <w:pPr>
              <w:pStyle w:val="869"/>
              <w:jc w:val="center"/>
              <w:keepLines w:val="0"/>
              <w:keepNext w:val="0"/>
              <w:pageBreakBefore w:val="0"/>
              <w:spacing w:line="240" w:lineRule="auto"/>
              <w:rPr>
                <w:color w:val="000000"/>
                <w:sz w:val="24"/>
                <w:szCs w:val="24"/>
              </w:rPr>
            </w:pPr>
            <w:r>
              <w:rPr>
                <w:rFonts w:ascii="宋体" w:hAnsi="宋体" w:cs="宋体"/>
                <w:color w:val="000000"/>
                <w:sz w:val="24"/>
                <w:szCs w:val="24"/>
              </w:rPr>
              <w:t xml:space="preserve">9</w:t>
            </w:r>
            <w:r>
              <w:rPr>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269"/>
        </w:trPr>
        <w:tc>
          <w:tcPr>
            <w:gridSpan w:val="5"/>
            <w:tcW w:w="9575" w:type="dxa"/>
            <w:vAlign w:val="top"/>
            <w:textDirection w:val="lrTb"/>
            <w:noWrap w:val="false"/>
          </w:tcPr>
          <w:p>
            <w:pPr>
              <w:pStyle w:val="869"/>
              <w:keepLines w:val="0"/>
              <w:keepNext w:val="0"/>
              <w:pageBreakBefore w:val="0"/>
              <w:spacing w:before="123"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5.履约能力</w:t>
            </w:r>
            <w:r>
              <w:rPr>
                <w:rFonts w:ascii="宋体" w:hAnsi="宋体" w:cs="宋体"/>
                <w:color w:val="000000"/>
                <w:sz w:val="24"/>
                <w:szCs w:val="24"/>
              </w:rPr>
            </w:r>
            <w:r/>
          </w:p>
        </w:tc>
      </w:tr>
      <w:tr>
        <w:trPr>
          <w:trHeight w:val="387"/>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179" w:type="dxa"/>
            <w:vAlign w:val="center"/>
            <w:textDirection w:val="lrTb"/>
            <w:noWrap w:val="false"/>
          </w:tcPr>
          <w:p>
            <w:pPr>
              <w:keepLines w:val="0"/>
              <w:keepNext w:val="0"/>
              <w:pageBreakBefore w:val="0"/>
              <w:spacing w:line="240" w:lineRule="auto"/>
              <w:rPr>
                <w:rFonts w:hint="eastAsia"/>
                <w:color w:val="000000"/>
                <w:sz w:val="24"/>
                <w:szCs w:val="24"/>
                <w14:ligatures w14:val="none"/>
              </w:rPr>
            </w:pPr>
            <w:r>
              <w:rPr>
                <w:rFonts w:hint="eastAsia"/>
                <w:color w:val="000000"/>
                <w:sz w:val="24"/>
                <w:szCs w:val="24"/>
              </w:rPr>
              <w:t xml:space="preserve">履约能力1</w:t>
            </w:r>
            <w:r>
              <w:rPr>
                <w:rFonts w:hint="eastAsia"/>
                <w:color w:val="000000"/>
                <w:sz w:val="24"/>
                <w:szCs w:val="24"/>
              </w:rPr>
            </w:r>
            <w:r/>
          </w:p>
        </w:tc>
        <w:tc>
          <w:tcPr>
            <w:tcW w:w="6539" w:type="dxa"/>
            <w:vAlign w:val="center"/>
            <w:textDirection w:val="lrTb"/>
            <w:noWrap w:val="false"/>
          </w:tcPr>
          <w:p>
            <w:pPr>
              <w:pStyle w:val="869"/>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供应商拟投入本项目的项目经理：</w:t>
            </w:r>
            <w:r>
              <w:rPr>
                <w:rFonts w:ascii="宋体" w:hAnsi="宋体" w:cs="宋体"/>
                <w:color w:val="000000"/>
                <w:sz w:val="24"/>
                <w:szCs w:val="24"/>
              </w:rPr>
            </w:r>
            <w:r/>
          </w:p>
          <w:p>
            <w:pPr>
              <w:pStyle w:val="869"/>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具备网络工程师证书、系统集成项目管理工程师证书、HCIP、CCNP或其他同等及以上认证证书，每提供1个证书得2分，最多得4分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（提供本人证书）</w:t>
            </w:r>
            <w:r>
              <w:rPr>
                <w:rFonts w:ascii="宋体" w:hAnsi="宋体" w:cs="宋体"/>
                <w:color w:val="000000"/>
                <w:sz w:val="24"/>
                <w:szCs w:val="24"/>
              </w:rPr>
            </w:r>
            <w:r/>
          </w:p>
          <w:p>
            <w:pPr>
              <w:pStyle w:val="869"/>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②</w:t>
            </w:r>
            <w:r>
              <w:rPr>
                <w:rFonts w:hint="eastAsia" w:ascii="宋体" w:hAnsi="宋体" w:cs="宋体"/>
                <w:color w:val="000000"/>
                <w:sz w:val="24"/>
                <w:szCs w:val="24"/>
              </w:rPr>
              <w:t xml:space="preserve">具有3年及以上网络运维项目管理经验，得2分，最多得2分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（提供工作经验证明，证明材料需体现人员姓名、工作岗位及工作年限）</w:t>
            </w:r>
            <w:r>
              <w:rPr>
                <w:rFonts w:ascii="宋体" w:hAnsi="宋体" w:cs="宋体"/>
                <w:color w:val="000000"/>
                <w:sz w:val="24"/>
                <w:szCs w:val="24"/>
              </w:rPr>
            </w:r>
            <w:r/>
          </w:p>
          <w:p>
            <w:pPr>
              <w:pStyle w:val="869"/>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供应商拟投入本项目的技术负责人：</w:t>
            </w:r>
            <w:r>
              <w:rPr>
                <w:rFonts w:ascii="宋体" w:hAnsi="宋体" w:cs="宋体"/>
                <w:color w:val="000000"/>
                <w:sz w:val="24"/>
                <w:szCs w:val="24"/>
              </w:rPr>
            </w:r>
            <w:r/>
          </w:p>
          <w:p>
            <w:pPr>
              <w:pStyle w:val="869"/>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具备网络工程师证书、系统集成项目管理工程师证书、HCIP、CCNP或其他同等及以上认证证书，每提供1个证书得2分，最多得2分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（提供本人证书）</w:t>
            </w:r>
            <w:r>
              <w:rPr>
                <w:rFonts w:ascii="宋体" w:hAnsi="宋体" w:cs="宋体"/>
                <w:color w:val="000000"/>
                <w:sz w:val="24"/>
                <w:szCs w:val="24"/>
              </w:rPr>
            </w:r>
            <w:r/>
          </w:p>
          <w:p>
            <w:pPr>
              <w:pStyle w:val="869"/>
              <w:keepLines w:val="0"/>
              <w:keepNext w:val="0"/>
              <w:pageBreakBefore w:val="0"/>
              <w:spacing w:line="240" w:lineRule="auto"/>
              <w:rPr>
                <w:color w:val="000000"/>
                <w:sz w:val="24"/>
                <w:szCs w:val="24"/>
              </w:rPr>
            </w:pPr>
            <w:r>
              <w:rPr>
                <w:rFonts w:ascii="宋体" w:hAnsi="宋体" w:cs="宋体"/>
                <w:color w:val="000000"/>
                <w:sz w:val="24"/>
                <w:szCs w:val="24"/>
              </w:rPr>
              <w:t xml:space="preserve">②</w:t>
            </w:r>
            <w:r>
              <w:rPr>
                <w:rFonts w:hint="eastAsia" w:ascii="宋体" w:hAnsi="宋体" w:cs="宋体"/>
                <w:color w:val="000000"/>
                <w:sz w:val="24"/>
                <w:szCs w:val="24"/>
              </w:rPr>
              <w:t xml:space="preserve">具有3年及以上网络运维项目管理经验，得2分，最多得2分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（提供工作经验证明，证明材料需体现人员姓名、工作岗位及工作年限）</w:t>
            </w:r>
            <w:r>
              <w:rPr>
                <w:color w:val="000000"/>
                <w:sz w:val="24"/>
                <w:szCs w:val="24"/>
              </w:rPr>
            </w:r>
            <w:r/>
          </w:p>
          <w:p>
            <w:pPr>
              <w:pStyle w:val="869"/>
              <w:keepLines w:val="0"/>
              <w:keepNext w:val="0"/>
              <w:pageBreakBefore w:val="0"/>
              <w:spacing w:line="240" w:lineRule="auto"/>
              <w:rPr>
                <w:color w:val="000000"/>
                <w:sz w:val="24"/>
                <w:szCs w:val="24"/>
              </w:rPr>
            </w:pPr>
            <w:r>
              <w:rPr>
                <w:rFonts w:ascii="宋体" w:hAnsi="宋体" w:cs="宋体"/>
                <w:color w:val="000000"/>
                <w:sz w:val="24"/>
                <w:szCs w:val="24"/>
                <w:lang w:val="zh-CN"/>
              </w:rPr>
              <w:t xml:space="preserve">（提供</w:t>
            </w:r>
            <w:r>
              <w:rPr>
                <w:rFonts w:hint="eastAsia" w:ascii="宋体" w:hAnsi="宋体" w:cs="宋体"/>
                <w:color w:val="000000"/>
                <w:sz w:val="24"/>
                <w:szCs w:val="24"/>
              </w:rPr>
              <w:t xml:space="preserve">上述证明材料及</w:t>
            </w:r>
            <w:r>
              <w:rPr>
                <w:rFonts w:hint="eastAsia" w:ascii="宋体" w:hAnsi="宋体" w:cs="宋体"/>
                <w:color w:val="000000"/>
                <w:sz w:val="24"/>
                <w:szCs w:val="24"/>
                <w:lang w:val="en-US" w:eastAsia="zh-CN"/>
              </w:rPr>
              <w:t xml:space="preserve">供应商</w:t>
            </w:r>
            <w:r>
              <w:rPr>
                <w:rFonts w:ascii="宋体" w:hAnsi="宋体" w:cs="宋体"/>
                <w:color w:val="000000"/>
                <w:sz w:val="24"/>
                <w:szCs w:val="24"/>
                <w:lang w:val="zh-CN"/>
              </w:rPr>
              <w:t xml:space="preserve">为其缴纳的</w:t>
            </w:r>
            <w:r>
              <w:rPr>
                <w:rFonts w:ascii="宋体" w:hAnsi="宋体" w:cs="宋体"/>
                <w:color w:val="000000"/>
                <w:sz w:val="24"/>
                <w:szCs w:val="24"/>
              </w:rPr>
              <w:t xml:space="preserve">20</w:t>
            </w:r>
            <w:r>
              <w:rPr>
                <w:rFonts w:hint="eastAsia" w:ascii="宋体" w:hAnsi="宋体" w:cs="宋体"/>
                <w:color w:val="000000"/>
                <w:sz w:val="24"/>
                <w:szCs w:val="24"/>
              </w:rPr>
              <w:t xml:space="preserve">26</w:t>
            </w:r>
            <w:r>
              <w:rPr>
                <w:rFonts w:ascii="宋体" w:hAnsi="宋体" w:cs="宋体"/>
                <w:color w:val="000000"/>
                <w:sz w:val="24"/>
                <w:szCs w:val="24"/>
                <w:lang w:val="zh-CN"/>
              </w:rPr>
              <w:t xml:space="preserve">年</w:t>
            </w:r>
            <w:r>
              <w:rPr>
                <w:rFonts w:hint="eastAsia" w:ascii="宋体" w:hAnsi="宋体" w:cs="宋体"/>
                <w:color w:val="000000"/>
                <w:sz w:val="24"/>
                <w:szCs w:val="24"/>
              </w:rPr>
              <w:t xml:space="preserve">1</w:t>
            </w:r>
            <w:r>
              <w:rPr>
                <w:rFonts w:ascii="宋体" w:hAnsi="宋体" w:cs="宋体"/>
                <w:color w:val="000000"/>
                <w:sz w:val="24"/>
                <w:szCs w:val="24"/>
                <w:lang w:val="zh-CN"/>
              </w:rPr>
              <w:t xml:space="preserve">月以来任意一个月的社保证明</w:t>
            </w:r>
            <w:r>
              <w:rPr>
                <w:rFonts w:hint="eastAsia" w:ascii="宋体" w:hAnsi="宋体" w:cs="宋体"/>
                <w:color w:val="000000"/>
                <w:sz w:val="24"/>
                <w:szCs w:val="24"/>
                <w:lang w:val="zh-CN"/>
              </w:rPr>
              <w:t xml:space="preserve">材料</w:t>
            </w:r>
            <w:r>
              <w:rPr>
                <w:rFonts w:ascii="宋体" w:hAnsi="宋体" w:cs="宋体"/>
                <w:color w:val="000000"/>
                <w:sz w:val="24"/>
                <w:szCs w:val="24"/>
                <w:lang w:val="zh-CN"/>
              </w:rPr>
              <w:t xml:space="preserve">，缺一不可）</w:t>
            </w:r>
            <w:r>
              <w:rPr>
                <w:color w:val="000000"/>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.2</w:t>
            </w:r>
            <w:r>
              <w:rPr>
                <w:rFonts w:ascii="宋体" w:hAnsi="宋体" w:cs="宋体"/>
                <w:color w:val="000000"/>
                <w:spacing w:val="-2"/>
                <w:sz w:val="24"/>
                <w:szCs w:val="24"/>
              </w:rPr>
            </w:r>
            <w:r/>
          </w:p>
        </w:tc>
        <w:tc>
          <w:tcPr>
            <w:tcW w:w="1179" w:type="dxa"/>
            <w:vAlign w:val="center"/>
            <w:textDirection w:val="lrTb"/>
            <w:noWrap w:val="false"/>
          </w:tcPr>
          <w:p>
            <w:pPr>
              <w:keepLines w:val="0"/>
              <w:keepNext w:val="0"/>
              <w:pageBreakBefore w:val="0"/>
              <w:spacing w:line="240" w:lineRule="auto"/>
              <w:rPr>
                <w:rFonts w:hint="eastAsia"/>
                <w:color w:val="000000"/>
                <w:sz w:val="24"/>
                <w:szCs w:val="24"/>
                <w14:ligatures w14:val="none"/>
              </w:rPr>
            </w:pPr>
            <w:r>
              <w:rPr>
                <w:rFonts w:hint="eastAsia"/>
                <w:color w:val="000000"/>
                <w:sz w:val="24"/>
                <w:szCs w:val="24"/>
              </w:rPr>
              <w:t xml:space="preserve">履约能力2</w:t>
            </w:r>
            <w:r>
              <w:rPr>
                <w:rFonts w:hint="eastAsia"/>
                <w:color w:val="000000"/>
                <w:sz w:val="24"/>
                <w:szCs w:val="24"/>
              </w:rPr>
            </w:r>
            <w:r/>
          </w:p>
        </w:tc>
        <w:tc>
          <w:tcPr>
            <w:tcW w:w="6539" w:type="dxa"/>
            <w:vAlign w:val="center"/>
            <w:textDirection w:val="lrTb"/>
            <w:noWrap w:val="false"/>
          </w:tcPr>
          <w:p>
            <w:pPr>
              <w:pStyle w:val="869"/>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供应商拟投入本项目的运维人员（除项目经理和技术负责人以外）：</w:t>
            </w:r>
            <w:r>
              <w:rPr>
                <w:rFonts w:ascii="宋体" w:hAnsi="宋体" w:cs="宋体"/>
                <w:color w:val="000000"/>
                <w:sz w:val="24"/>
                <w:szCs w:val="24"/>
              </w:rPr>
            </w:r>
            <w:r/>
          </w:p>
          <w:p>
            <w:pPr>
              <w:pStyle w:val="869"/>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具有网络工程师证书、系统集成项目管理工程师证书、HCIP、CCNP或其他同等及以上认证证书，每提供1个证书得1分，最</w:t>
            </w:r>
            <w:r>
              <w:rPr>
                <w:rFonts w:hint="eastAsia" w:ascii="宋体" w:hAnsi="宋体" w:cs="宋体"/>
                <w:color w:val="000000"/>
                <w:sz w:val="24"/>
                <w:szCs w:val="24"/>
                <w:lang w:val="en-US" w:eastAsia="zh-CN"/>
              </w:rPr>
              <w:t xml:space="preserve">多</w:t>
            </w:r>
            <w:r>
              <w:rPr>
                <w:rFonts w:hint="eastAsia" w:ascii="宋体" w:hAnsi="宋体" w:cs="宋体"/>
                <w:color w:val="000000"/>
                <w:sz w:val="24"/>
                <w:szCs w:val="24"/>
              </w:rPr>
              <w:t xml:space="preserve">得5分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（提供本人证书）</w:t>
            </w:r>
            <w:r>
              <w:rPr>
                <w:rFonts w:ascii="宋体" w:hAnsi="宋体" w:cs="宋体"/>
                <w:color w:val="000000"/>
                <w:sz w:val="24"/>
                <w:szCs w:val="24"/>
              </w:rPr>
            </w:r>
            <w:r/>
          </w:p>
          <w:p>
            <w:pPr>
              <w:pStyle w:val="869"/>
              <w:keepLines w:val="0"/>
              <w:keepNext w:val="0"/>
              <w:pageBreakBefore w:val="0"/>
              <w:spacing w:line="240" w:lineRule="auto"/>
              <w:rPr>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具有网络运维项目经验，每提供一人得0.5分，最多得2分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（提供工作经验证明，证明材料需体现人员姓名、工作岗位及工作年限）</w:t>
            </w:r>
            <w:r>
              <w:rPr>
                <w:color w:val="000000"/>
                <w:sz w:val="24"/>
                <w:szCs w:val="24"/>
              </w:rPr>
            </w:r>
            <w:r/>
          </w:p>
          <w:p>
            <w:pPr>
              <w:pStyle w:val="869"/>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lang w:val="zh-CN"/>
              </w:rPr>
              <w:t xml:space="preserve">（</w:t>
            </w:r>
            <w:r>
              <w:rPr>
                <w:rFonts w:hint="eastAsia" w:ascii="宋体" w:hAnsi="宋体" w:cs="宋体"/>
                <w:color w:val="000000"/>
                <w:sz w:val="24"/>
                <w:szCs w:val="24"/>
              </w:rPr>
              <w:t xml:space="preserve">一人多证不重复得分，</w:t>
            </w:r>
            <w:r>
              <w:rPr>
                <w:rFonts w:ascii="宋体" w:hAnsi="宋体" w:cs="宋体"/>
                <w:color w:val="000000"/>
                <w:sz w:val="24"/>
                <w:szCs w:val="24"/>
                <w:lang w:val="zh-CN"/>
              </w:rPr>
              <w:t xml:space="preserve">提供</w:t>
            </w:r>
            <w:r>
              <w:rPr>
                <w:rFonts w:hint="eastAsia" w:ascii="宋体" w:hAnsi="宋体" w:cs="宋体"/>
                <w:color w:val="000000"/>
                <w:sz w:val="24"/>
                <w:szCs w:val="24"/>
              </w:rPr>
              <w:t xml:space="preserve">上述证明材料及</w:t>
            </w:r>
            <w:r>
              <w:rPr>
                <w:rFonts w:hint="eastAsia" w:ascii="宋体" w:hAnsi="宋体" w:cs="宋体"/>
                <w:color w:val="000000"/>
                <w:sz w:val="24"/>
                <w:szCs w:val="24"/>
                <w:lang w:val="en-US" w:eastAsia="zh-CN"/>
              </w:rPr>
              <w:t xml:space="preserve">供应商</w:t>
            </w:r>
            <w:r>
              <w:rPr>
                <w:rFonts w:ascii="宋体" w:hAnsi="宋体" w:cs="宋体"/>
                <w:color w:val="000000"/>
                <w:sz w:val="24"/>
                <w:szCs w:val="24"/>
                <w:lang w:val="zh-CN"/>
              </w:rPr>
              <w:t xml:space="preserve">为其缴纳的</w:t>
            </w:r>
            <w:r>
              <w:rPr>
                <w:rFonts w:ascii="宋体" w:hAnsi="宋体" w:cs="宋体"/>
                <w:color w:val="000000"/>
                <w:sz w:val="24"/>
                <w:szCs w:val="24"/>
              </w:rPr>
              <w:t xml:space="preserve">20</w:t>
            </w:r>
            <w:r>
              <w:rPr>
                <w:rFonts w:hint="eastAsia" w:ascii="宋体" w:hAnsi="宋体" w:cs="宋体"/>
                <w:color w:val="000000"/>
                <w:sz w:val="24"/>
                <w:szCs w:val="24"/>
              </w:rPr>
              <w:t xml:space="preserve">26</w:t>
            </w:r>
            <w:r>
              <w:rPr>
                <w:rFonts w:ascii="宋体" w:hAnsi="宋体" w:cs="宋体"/>
                <w:color w:val="000000"/>
                <w:sz w:val="24"/>
                <w:szCs w:val="24"/>
                <w:lang w:val="zh-CN"/>
              </w:rPr>
              <w:t xml:space="preserve">年</w:t>
            </w:r>
            <w:r>
              <w:rPr>
                <w:rFonts w:hint="eastAsia" w:ascii="宋体" w:hAnsi="宋体" w:cs="宋体"/>
                <w:color w:val="000000"/>
                <w:sz w:val="24"/>
                <w:szCs w:val="24"/>
              </w:rPr>
              <w:t xml:space="preserve">1</w:t>
            </w:r>
            <w:r>
              <w:rPr>
                <w:rFonts w:ascii="宋体" w:hAnsi="宋体" w:cs="宋体"/>
                <w:color w:val="000000"/>
                <w:sz w:val="24"/>
                <w:szCs w:val="24"/>
                <w:lang w:val="zh-CN"/>
              </w:rPr>
              <w:t xml:space="preserve">月以来任意一个月的社保证明</w:t>
            </w:r>
            <w:r>
              <w:rPr>
                <w:rFonts w:hint="eastAsia" w:ascii="宋体" w:hAnsi="宋体" w:cs="宋体"/>
                <w:color w:val="000000"/>
                <w:sz w:val="24"/>
                <w:szCs w:val="24"/>
                <w:lang w:val="zh-CN"/>
              </w:rPr>
              <w:t xml:space="preserve">材料</w:t>
            </w:r>
            <w:r>
              <w:rPr>
                <w:rFonts w:ascii="宋体" w:hAnsi="宋体" w:cs="宋体"/>
                <w:color w:val="000000"/>
                <w:sz w:val="24"/>
                <w:szCs w:val="24"/>
                <w:lang w:val="zh-CN"/>
              </w:rPr>
              <w:t xml:space="preserve">，缺一不可）</w:t>
            </w:r>
            <w:r>
              <w:rPr>
                <w:rFonts w:ascii="宋体" w:hAnsi="宋体" w:cs="宋体"/>
                <w:color w:val="000000"/>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5.3</w:t>
            </w:r>
            <w:r>
              <w:rPr>
                <w:rFonts w:ascii="宋体" w:hAnsi="宋体" w:cs="宋体"/>
                <w:color w:val="000000"/>
                <w:spacing w:val="-2"/>
                <w:sz w:val="24"/>
                <w:szCs w:val="24"/>
              </w:rPr>
            </w:r>
            <w:r/>
          </w:p>
        </w:tc>
        <w:tc>
          <w:tcPr>
            <w:tcW w:w="1179" w:type="dxa"/>
            <w:vAlign w:val="center"/>
            <w:textDirection w:val="lrTb"/>
            <w:noWrap w:val="false"/>
          </w:tcPr>
          <w:p>
            <w:pPr>
              <w:pStyle w:val="869"/>
              <w:keepLines w:val="0"/>
              <w:keepNext w:val="0"/>
              <w:pageBreakBefore w:val="0"/>
              <w:spacing w:line="240" w:lineRule="auto"/>
              <w:rPr>
                <w:color w:val="000000"/>
                <w:sz w:val="24"/>
                <w:szCs w:val="24"/>
              </w:rPr>
            </w:pPr>
            <w:r>
              <w:rPr>
                <w:rFonts w:hint="eastAsia"/>
                <w:color w:val="000000"/>
                <w:sz w:val="24"/>
                <w:szCs w:val="24"/>
              </w:rPr>
              <w:t xml:space="preserve">履约能力3</w:t>
            </w:r>
            <w:r>
              <w:rPr>
                <w:color w:val="000000"/>
                <w:sz w:val="24"/>
                <w:szCs w:val="24"/>
              </w:rPr>
            </w:r>
            <w:r/>
          </w:p>
        </w:tc>
        <w:tc>
          <w:tcPr>
            <w:tcW w:w="6539" w:type="dxa"/>
            <w:vAlign w:val="center"/>
            <w:textDirection w:val="lrTb"/>
            <w:noWrap w:val="false"/>
          </w:tcPr>
          <w:p>
            <w:pPr>
              <w:pStyle w:val="869"/>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供应商拟投入本项目的相关产品具有软件著作权证书，软件名称包含</w:t>
            </w:r>
            <w:r>
              <w:rPr>
                <w:rFonts w:ascii="宋体" w:hAnsi="宋体" w:cs="宋体"/>
                <w:color w:val="000000"/>
                <w:sz w:val="24"/>
                <w:szCs w:val="24"/>
              </w:rPr>
              <w:t xml:space="preserve">“</w:t>
            </w:r>
            <w:r>
              <w:rPr>
                <w:rFonts w:hint="eastAsia" w:ascii="宋体" w:hAnsi="宋体" w:cs="宋体"/>
                <w:color w:val="000000"/>
                <w:sz w:val="24"/>
                <w:szCs w:val="24"/>
              </w:rPr>
              <w:t xml:space="preserve">基于智能网管的IP专业工作管理、流量牵引调度控制系统、流量压制自服务系统、网络质量用户感知系统</w:t>
            </w:r>
            <w:r>
              <w:rPr>
                <w:rFonts w:ascii="宋体" w:hAnsi="宋体" w:cs="宋体"/>
                <w:color w:val="000000"/>
                <w:sz w:val="24"/>
                <w:szCs w:val="24"/>
              </w:rPr>
              <w:t xml:space="preserve">”</w:t>
            </w:r>
            <w:r>
              <w:rPr>
                <w:rFonts w:hint="eastAsia" w:ascii="宋体" w:hAnsi="宋体" w:cs="宋体"/>
                <w:color w:val="000000"/>
                <w:sz w:val="24"/>
                <w:szCs w:val="24"/>
              </w:rPr>
              <w:t xml:space="preserve">等关键字，每提供1个证书得2分，最多得8分，未提供不得分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（提供证书） </w:t>
            </w:r>
            <w:r>
              <w:rPr>
                <w:rFonts w:ascii="宋体" w:hAnsi="宋体" w:cs="宋体"/>
                <w:color w:val="000000"/>
                <w:sz w:val="24"/>
                <w:szCs w:val="24"/>
              </w:rPr>
            </w:r>
            <w:r/>
          </w:p>
          <w:p>
            <w:pPr>
              <w:pStyle w:val="869"/>
              <w:keepLines w:val="0"/>
              <w:keepNext w:val="0"/>
              <w:pageBreakBefore w:val="0"/>
              <w:spacing w:line="240" w:lineRule="auto"/>
              <w:rPr>
                <w:color w:val="000000"/>
                <w:sz w:val="24"/>
                <w:szCs w:val="24"/>
              </w:rPr>
            </w:pPr>
            <w:r>
              <w:rPr>
                <w:rFonts w:hint="eastAsia" w:ascii="宋体" w:hAnsi="宋体" w:cs="宋体"/>
                <w:color w:val="000000"/>
                <w:sz w:val="24"/>
                <w:szCs w:val="24"/>
              </w:rPr>
              <w:t xml:space="preserve">（所提供证书</w:t>
            </w:r>
            <w:r>
              <w:rPr>
                <w:rFonts w:ascii="宋体" w:hAnsi="宋体" w:cs="宋体"/>
                <w:color w:val="000000"/>
                <w:sz w:val="24"/>
                <w:szCs w:val="24"/>
              </w:rPr>
              <w:t xml:space="preserve">“</w:t>
            </w:r>
            <w:r>
              <w:rPr>
                <w:rFonts w:hint="eastAsia" w:ascii="宋体" w:hAnsi="宋体" w:cs="宋体"/>
                <w:color w:val="000000"/>
                <w:sz w:val="24"/>
                <w:szCs w:val="24"/>
              </w:rPr>
              <w:t xml:space="preserve">软件名称</w:t>
            </w:r>
            <w:r>
              <w:rPr>
                <w:rFonts w:ascii="宋体" w:hAnsi="宋体" w:cs="宋体"/>
                <w:color w:val="000000"/>
                <w:sz w:val="24"/>
                <w:szCs w:val="24"/>
              </w:rPr>
              <w:t xml:space="preserve">”</w:t>
            </w:r>
            <w:r>
              <w:rPr>
                <w:rFonts w:hint="eastAsia" w:ascii="宋体" w:hAnsi="宋体" w:cs="宋体"/>
                <w:color w:val="000000"/>
                <w:sz w:val="24"/>
                <w:szCs w:val="24"/>
              </w:rPr>
              <w:t xml:space="preserve">与评分细则规定不同时，应提供符合上述要求的内容（功能）说明及关键信息，否则不予认可。）</w:t>
            </w:r>
            <w:r>
              <w:rPr>
                <w:color w:val="000000"/>
                <w:sz w:val="24"/>
                <w:szCs w:val="24"/>
              </w:rPr>
            </w:r>
            <w:r/>
          </w:p>
        </w:tc>
        <w:tc>
          <w:tcPr>
            <w:tcW w:w="55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784" w:type="dxa"/>
            <w:vAlign w:val="center"/>
            <w:textDirection w:val="lrTb"/>
            <w:noWrap w:val="false"/>
          </w:tcPr>
          <w:p>
            <w:pPr>
              <w:pStyle w:val="869"/>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40" w:lineRule="auto"/>
              <w:rPr>
                <w:color w:val="000000"/>
                <w:sz w:val="24"/>
                <w:szCs w:val="24"/>
              </w:rPr>
            </w:pPr>
            <w:r>
              <w:rPr>
                <w:rFonts w:ascii="宋体" w:hAnsi="宋体" w:cs="宋体"/>
                <w:color w:val="000000"/>
                <w:spacing w:val="-3"/>
                <w:sz w:val="24"/>
                <w:szCs w:val="24"/>
              </w:rPr>
              <w:t xml:space="preserve">合</w:t>
            </w:r>
            <w:r>
              <w:rPr>
                <w:rFonts w:ascii="宋体" w:hAnsi="宋体" w:cs="宋体"/>
                <w:color w:val="000000"/>
                <w:spacing w:val="-2"/>
                <w:sz w:val="24"/>
                <w:szCs w:val="24"/>
              </w:rPr>
              <w:t xml:space="preserve">计</w:t>
            </w:r>
            <w:r>
              <w:rPr>
                <w:color w:val="000000"/>
                <w:sz w:val="24"/>
                <w:szCs w:val="24"/>
              </w:rPr>
            </w:r>
            <w:r/>
          </w:p>
        </w:tc>
        <w:tc>
          <w:tcPr>
            <w:gridSpan w:val="2"/>
            <w:tcW w:w="7718" w:type="dxa"/>
            <w:vAlign w:val="center"/>
            <w:textDirection w:val="lrTb"/>
            <w:noWrap w:val="false"/>
          </w:tcPr>
          <w:p>
            <w:pPr>
              <w:pStyle w:val="869"/>
              <w:ind w:left="172"/>
              <w:jc w:val="center"/>
              <w:keepLines w:val="0"/>
              <w:keepNext w:val="0"/>
              <w:pageBreakBefore w:val="0"/>
              <w:spacing w:before="123" w:line="240" w:lineRule="auto"/>
              <w:rPr>
                <w:rFonts w:ascii="宋体" w:hAnsi="宋体" w:cs="宋体"/>
                <w:color w:val="000000"/>
                <w:spacing w:val="-2"/>
                <w:sz w:val="24"/>
                <w:szCs w:val="24"/>
              </w:rPr>
            </w:pPr>
            <w:r>
              <w:rPr>
                <w:rFonts w:ascii="宋体" w:hAnsi="宋体" w:cs="宋体"/>
                <w:color w:val="000000"/>
                <w:spacing w:val="-2"/>
                <w:sz w:val="24"/>
                <w:szCs w:val="24"/>
              </w:rPr>
            </w:r>
            <w:r/>
          </w:p>
        </w:tc>
        <w:tc>
          <w:tcPr>
            <w:gridSpan w:val="2"/>
            <w:tcW w:w="1338" w:type="dxa"/>
            <w:vAlign w:val="center"/>
            <w:textDirection w:val="lrTb"/>
            <w:noWrap w:val="false"/>
          </w:tcPr>
          <w:p>
            <w:pPr>
              <w:pStyle w:val="869"/>
              <w:jc w:val="center"/>
              <w:keepLines w:val="0"/>
              <w:keepNext w:val="0"/>
              <w:pageBreakBefore w:val="0"/>
              <w:spacing w:line="240" w:lineRule="auto"/>
              <w:rPr>
                <w:color w:val="000000"/>
                <w:sz w:val="24"/>
                <w:szCs w:val="24"/>
              </w:rPr>
            </w:pPr>
            <w:r>
              <w:rPr>
                <w:rFonts w:ascii="宋体" w:hAnsi="宋体" w:cs="宋体"/>
                <w:color w:val="000000"/>
                <w:spacing w:val="-11"/>
                <w:sz w:val="24"/>
                <w:szCs w:val="24"/>
              </w:rPr>
              <w:t xml:space="preserve">100分</w:t>
            </w:r>
            <w:r>
              <w:rPr>
                <w:color w:val="000000"/>
                <w:sz w:val="24"/>
                <w:szCs w:val="24"/>
              </w:rPr>
            </w:r>
            <w:r/>
          </w:p>
        </w:tc>
      </w:tr>
    </w:tbl>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br w:type="page" w:clear="all"/>
      </w:r>
      <w:r>
        <w:rPr>
          <w:rFonts w:hint="eastAsia" w:ascii="黑体" w:hAnsi="Times New Roman" w:eastAsia="黑体" w:cs="Times New Roman"/>
          <w:sz w:val="44"/>
          <w:szCs w:val="44"/>
          <w:highlight w:val="none"/>
        </w:rPr>
        <w:t xml:space="preserve">第六章  </w:t>
      </w:r>
      <w:bookmarkEnd w:id="114"/>
      <w:r/>
      <w:bookmarkEnd w:id="115"/>
      <w:r/>
      <w:bookmarkEnd w:id="119"/>
      <w:r>
        <w:rPr>
          <w:rFonts w:hint="eastAsia" w:ascii="黑体" w:hAnsi="Times New Roman" w:eastAsia="黑体" w:cs="Times New Roman"/>
          <w:sz w:val="44"/>
          <w:szCs w:val="44"/>
          <w:highlight w:val="none"/>
        </w:rPr>
        <w:t xml:space="preserve">响应文件格式 </w:t>
      </w:r>
      <w:r>
        <w:rPr>
          <w:rFonts w:hint="eastAsia" w:ascii="黑体" w:hAnsi="Times New Roman" w:eastAsia="黑体"/>
          <w:bCs/>
          <w:sz w:val="44"/>
          <w:szCs w:val="28"/>
          <w:highlight w:val="none"/>
        </w:rPr>
      </w:r>
      <w:r/>
    </w:p>
    <w:p>
      <w:pPr>
        <w:pStyle w:val="869"/>
        <w:jc w:val="center"/>
        <w:rPr>
          <w:rFonts w:hint="eastAsia" w:ascii="宋体" w:hAnsi="宋体"/>
          <w:b/>
          <w:sz w:val="72"/>
          <w:szCs w:val="21"/>
          <w:highlight w:val="none"/>
        </w:rPr>
      </w:pPr>
      <w:r/>
      <w:bookmarkStart w:id="129" w:name="_Hlt26671244"/>
      <w:r/>
      <w:bookmarkEnd w:id="129"/>
      <w:r/>
      <w:bookmarkStart w:id="130" w:name="_Hlt26955039"/>
      <w:r/>
      <w:bookmarkEnd w:id="130"/>
      <w:r/>
      <w:bookmarkStart w:id="131" w:name="_Toc49090576"/>
      <w:r/>
      <w:bookmarkStart w:id="132" w:name="_Toc26554094"/>
      <w:r/>
      <w:bookmarkStart w:id="133" w:name="_Toc120614282"/>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9"/>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center"/>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（如有）</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6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6"/>
        <w:ind w:firstLine="0"/>
        <w:rPr>
          <w:rFonts w:hint="eastAsia"/>
          <w:highlight w:val="none"/>
        </w:rPr>
      </w:pPr>
      <w:r>
        <w:rPr>
          <w:rFonts w:hint="eastAsia"/>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131"/>
      <w:r/>
      <w:bookmarkEnd w:id="132"/>
      <w:r/>
      <w:bookmarkEnd w:id="133"/>
      <w:r/>
      <w:bookmarkStart w:id="134"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62"/>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rPr>
        <w:t xml:space="preserve">                    </w:t>
      </w:r>
      <w:r>
        <w:rPr>
          <w:rFonts w:hint="eastAsia" w:ascii="宋体" w:hAnsi="宋体"/>
          <w:szCs w:val="21"/>
          <w:highlight w:val="none"/>
        </w:rPr>
        <w:t xml:space="preserve">（采购人名称）</w:t>
      </w:r>
      <w:r>
        <w:rPr>
          <w:rFonts w:hint="eastAsia" w:ascii="宋体" w:hAnsi="宋体"/>
          <w:szCs w:val="21"/>
          <w:highlight w:val="none"/>
        </w:rPr>
      </w:r>
      <w:r/>
    </w:p>
    <w:p>
      <w:pPr>
        <w:pStyle w:val="962"/>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w:t>
      </w:r>
      <w:r>
        <w:rPr>
          <w:rFonts w:hint="eastAsia" w:ascii="宋体" w:hAnsi="宋体" w:eastAsia="宋体" w:cs="Times New Roman"/>
          <w:sz w:val="24"/>
          <w:szCs w:val="21"/>
          <w:highlight w:val="none"/>
        </w:rPr>
        <w:t xml:space="preserve">贵</w:t>
      </w:r>
      <w:r>
        <w:rPr>
          <w:rFonts w:hint="eastAsia" w:ascii="宋体" w:hAnsi="宋体"/>
          <w:sz w:val="24"/>
          <w:szCs w:val="21"/>
          <w:highlight w:val="none"/>
        </w:rPr>
        <w:t xml:space="preserve">方提供所需服务（包含与服务相关的货物）。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方验收、使用。</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869"/>
        <w:ind w:firstLine="480"/>
        <w:jc w:val="left"/>
        <w:keepLines w:val="0"/>
        <w:keepNext w:val="0"/>
        <w:pageBreakBefore w:val="0"/>
        <w:spacing w:line="360" w:lineRule="auto"/>
        <w:widowControl w:val="off"/>
        <w:rPr>
          <w:rFonts w:eastAsia="宋体"/>
          <w:highlight w:val="none"/>
          <w:lang w:val="en-US" w:eastAsia="zh-CN"/>
        </w:rPr>
      </w:pPr>
      <w:r>
        <w:rPr>
          <w:rFonts w:hint="eastAsia" w:ascii="宋体" w:hAnsi="宋体" w:eastAsia="宋体" w:cs="Times New Roman"/>
          <w:sz w:val="24"/>
          <w:szCs w:val="24"/>
          <w:highlight w:val="none"/>
          <w:lang w:val="en-US" w:eastAsia="zh-CN"/>
        </w:rPr>
        <w:t xml:space="preserve">8.</w:t>
      </w:r>
      <w:r>
        <w:rPr>
          <w:rFonts w:hint="eastAsia"/>
          <w:sz w:val="24"/>
          <w:szCs w:val="24"/>
          <w:highlight w:val="none"/>
          <w:lang w:val="en-US" w:eastAsia="zh-CN"/>
        </w:rPr>
        <w:t xml:space="preserve">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62"/>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2"/>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2"/>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869"/>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69"/>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eastAsia="宋体" w:cs="Times New Roman"/>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highlight w:val="none"/>
              </w:rPr>
              <w:outlineLvl w:val="9"/>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szCs w:val="21"/>
                <w:highlight w:val="none"/>
              </w:rPr>
              <w:outlineLvl w:val="9"/>
            </w:pPr>
            <w:r>
              <w:rPr>
                <w:rFonts w:hint="eastAsia" w:ascii="宋体" w:hAnsi="宋体" w:cs="宋体"/>
                <w:highlight w:val="none"/>
              </w:rPr>
              <w:t xml:space="preserve">小写（元）：                             </w:t>
            </w:r>
            <w:r>
              <w:rPr>
                <w:rFonts w:hint="eastAsia" w:ascii="宋体" w:hAnsi="宋体"/>
                <w:szCs w:val="21"/>
                <w:highlight w:val="none"/>
              </w:rPr>
            </w:r>
            <w:r/>
          </w:p>
        </w:tc>
      </w:tr>
    </w:tbl>
    <w:p>
      <w:pPr>
        <w:pStyle w:val="869"/>
        <w:keepLines w:val="0"/>
        <w:keepNext w:val="0"/>
        <w:pageBreakBefore w:val="0"/>
        <w:spacing w:line="480" w:lineRule="auto"/>
        <w:widowControl w:val="off"/>
        <w:rPr>
          <w:rFonts w:ascii="宋体" w:hAnsi="宋体"/>
          <w:sz w:val="24"/>
          <w:szCs w:val="24"/>
          <w:highlight w:val="none"/>
        </w:rPr>
        <w:outlineLvl w:val="9"/>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outlineLvl w:val="9"/>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ind w:firstLine="480"/>
        <w:rPr>
          <w:rFonts w:hint="eastAsia" w:ascii="黑体" w:hAnsi="黑体" w:eastAsia="黑体"/>
          <w:b/>
          <w:i/>
          <w:sz w:val="32"/>
          <w:szCs w:val="32"/>
          <w:highlight w:val="none"/>
          <w:u w:val="single"/>
        </w:rPr>
        <w:outlineLvl w:val="9"/>
      </w:pPr>
      <w:r>
        <w:rPr>
          <w:rFonts w:hint="eastAsia" w:ascii="黑体" w:hAnsi="黑体" w:eastAsia="黑体"/>
          <w:b/>
          <w:i/>
          <w:sz w:val="32"/>
          <w:szCs w:val="32"/>
          <w:highlight w:val="none"/>
          <w:u w:val="single"/>
        </w:rPr>
      </w:r>
      <w:r/>
    </w:p>
    <w:p>
      <w:pPr>
        <w:pStyle w:val="869"/>
        <w:rPr>
          <w:rFonts w:hint="eastAsia"/>
          <w:highlight w:val="none"/>
        </w:rPr>
        <w:outlineLvl w:val="9"/>
      </w:pPr>
      <w:r>
        <w:rPr>
          <w:rFonts w:hint="eastAsia"/>
          <w:highlight w:val="none"/>
        </w:rPr>
      </w:r>
      <w:r/>
    </w:p>
    <w:p>
      <w:pPr>
        <w:pStyle w:val="942"/>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highlight w:val="none"/>
          <w:lang w:val="en-US" w:eastAsia="zh-CN"/>
        </w:rPr>
        <w:outlineLvl w:val="9"/>
      </w:pPr>
      <w:r>
        <w:rPr>
          <w:rFonts w:hint="eastAsia" w:ascii="方正小标宋简体" w:hAnsi="方正小标宋简体" w:eastAsia="方正小标宋简体" w:cs="方正小标宋简体"/>
          <w:color w:val="0000ff"/>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highlight w:val="none"/>
          <w:lang w:val="en-US" w:eastAsia="zh-CN"/>
        </w:rPr>
        <w:outlineLvl w:val="9"/>
      </w:pPr>
      <w:r>
        <w:rPr>
          <w:rFonts w:hint="eastAsia" w:ascii="方正小标宋简体" w:hAnsi="方正小标宋简体" w:eastAsia="方正小标宋简体" w:cs="方正小标宋简体"/>
          <w:color w:val="0000ff"/>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highlight w:val="none"/>
          <w:lang w:val="en-US" w:eastAsia="zh-CN"/>
        </w:rPr>
        <w:outlineLvl w:val="9"/>
      </w:pPr>
      <w:r>
        <w:rPr>
          <w:rFonts w:hint="eastAsia" w:ascii="方正小标宋简体" w:hAnsi="方正小标宋简体" w:eastAsia="方正小标宋简体" w:cs="方正小标宋简体"/>
          <w:color w:val="0000ff"/>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highlight w:val="none"/>
          <w:lang w:val="en-US" w:eastAsia="zh-CN"/>
        </w:rPr>
        <w:outlineLvl w:val="9"/>
      </w:pPr>
      <w:r>
        <w:rPr>
          <w:rFonts w:hint="eastAsia" w:ascii="方正小标宋简体" w:hAnsi="方正小标宋简体" w:eastAsia="方正小标宋简体" w:cs="方正小标宋简体"/>
          <w:color w:val="0000ff"/>
          <w:sz w:val="32"/>
          <w:szCs w:val="32"/>
          <w:highlight w:val="none"/>
          <w:lang w:val="en-US" w:eastAsia="zh-CN"/>
        </w:rPr>
      </w:r>
      <w:r/>
    </w:p>
    <w:p>
      <w:pPr>
        <w:pStyle w:val="869"/>
        <w:jc w:val="left"/>
        <w:spacing w:line="360" w:lineRule="auto"/>
        <w:rPr>
          <w:rFonts w:ascii="黑体" w:hAnsi="黑体" w:eastAsia="黑体" w:cs="Times New Roman"/>
          <w:i w:val="0"/>
          <w:sz w:val="32"/>
          <w:szCs w:val="32"/>
          <w:highlight w:val="none"/>
          <w:u w:val="none"/>
          <w:lang w:val="en-US" w:eastAsia="zh-CN"/>
        </w:rPr>
        <w:outlineLvl w:val="9"/>
      </w:pPr>
      <w:r>
        <w:rPr>
          <w:rFonts w:hint="eastAsia" w:ascii="方正小标宋简体" w:hAnsi="方正小标宋简体" w:eastAsia="方正小标宋简体" w:cs="方正小标宋简体"/>
          <w:color w:val="0000ff"/>
          <w:sz w:val="32"/>
          <w:szCs w:val="32"/>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69"/>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69"/>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1.“总报价”应包括为完成整个项目所产生的所有费用，磋商文件另有规定的除外。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分项报价表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“总报价”应当与《</w:t>
      </w:r>
      <w:r>
        <w:rPr>
          <w:rFonts w:hint="eastAsia" w:ascii="宋体" w:hAnsi="宋体" w:eastAsia="宋体" w:cs="宋体"/>
          <w:color w:val="000000"/>
          <w:sz w:val="24"/>
          <w:szCs w:val="24"/>
          <w:highlight w:val="none"/>
          <w:lang w:val="en-US" w:eastAsia="zh-CN"/>
        </w:rPr>
        <w:t xml:space="preserve">磋商报价表</w:t>
      </w:r>
      <w:r>
        <w:rPr>
          <w:rFonts w:hint="eastAsia" w:ascii="宋体" w:hAnsi="宋体" w:eastAsia="宋体" w:cs="宋体"/>
          <w:color w:val="000000"/>
          <w:sz w:val="24"/>
          <w:szCs w:val="24"/>
          <w:highlight w:val="none"/>
          <w:lang w:val="en-US" w:eastAsia="zh-CN"/>
        </w:rPr>
        <w:t xml:space="preserve">》中“总报价”一致。</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w:t>
      </w:r>
      <w:r>
        <w:rPr>
          <w:rFonts w:hint="eastAsia" w:ascii="宋体" w:hAnsi="宋体" w:eastAsia="宋体" w:cs="宋体"/>
          <w:b/>
          <w:bCs/>
          <w:color w:val="000000"/>
          <w:sz w:val="24"/>
          <w:szCs w:val="24"/>
          <w:highlight w:val="none"/>
          <w:lang w:val="en-US" w:eastAsia="zh-CN"/>
        </w:rPr>
        <w:t xml:space="preserve">须与“第四章采购需求-项目清单”中的分项名称一一对应，如有缺项、漏项，视为无效响应。</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36"/>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116"/>
      <w:r/>
      <w:bookmarkEnd w:id="117"/>
      <w:r/>
      <w:bookmarkEnd w:id="134"/>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rPr>
          <w:rFonts w:hint="eastAsia"/>
          <w:b/>
          <w:bCs/>
          <w:highlight w:val="none"/>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b/>
          <w:bCs/>
          <w:highlight w:val="none"/>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w:t>
      </w:r>
      <w:r>
        <w:rPr>
          <w:rFonts w:hint="eastAsia" w:ascii="宋体" w:hAnsi="宋体" w:eastAsia="宋体" w:cs="宋体"/>
          <w:color w:val="000000"/>
          <w:highlight w:val="none"/>
          <w:lang w:val="en-US" w:eastAsia="zh-CN"/>
        </w:rPr>
        <w:t xml:space="preserve">不够</w:t>
      </w:r>
      <w:r>
        <w:rPr>
          <w:rFonts w:hint="eastAsia" w:ascii="宋体" w:hAnsi="宋体" w:eastAsia="宋体" w:cs="宋体"/>
          <w:color w:val="000000"/>
          <w:highlight w:val="none"/>
          <w:lang w:val="en-US" w:eastAsia="zh-CN"/>
        </w:rPr>
        <w:t xml:space="preserve">，可自行添加。</w:t>
      </w:r>
      <w:r>
        <w:rPr>
          <w:rFonts w:hint="eastAsia" w:ascii="宋体" w:hAnsi="宋体" w:eastAsia="宋体" w:cs="宋体"/>
          <w:color w:val="000000"/>
          <w:highlight w:val="none"/>
          <w:lang w:val="en-US" w:eastAsia="zh-CN"/>
        </w:rPr>
      </w:r>
      <w:r/>
    </w:p>
    <w:p>
      <w:pPr>
        <w:pStyle w:val="936"/>
        <w:ind w:firstLine="0"/>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宋体" w:hAnsi="宋体" w:eastAsia="宋体" w:cs="宋体"/>
          <w:color w:val="000000"/>
          <w:highlight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rPr>
          <w:rFonts w:hint="eastAsia" w:ascii="黑体" w:hAnsi="黑体" w:eastAsia="黑体" w:cs="Times New Roman"/>
          <w:i w:val="0"/>
          <w:iCs/>
          <w:sz w:val="32"/>
          <w:szCs w:val="32"/>
          <w:highlight w:val="none"/>
          <w:u w:val="none"/>
          <w:lang w:val="en-US" w:eastAsia="zh-CN"/>
        </w:rPr>
      </w:pPr>
      <w:r>
        <w:rPr>
          <w:rFonts w:hint="eastAsia" w:ascii="宋体" w:hAnsi="宋体" w:cs="仿宋"/>
          <w:b/>
          <w:bCs/>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val="0"/>
          <w:bCs w:val="0"/>
          <w:sz w:val="24"/>
          <w:szCs w:val="24"/>
          <w:highlight w:val="none"/>
          <w:lang w:eastAsia="zh-CN"/>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b w:val="0"/>
          <w:bCs w:val="0"/>
          <w:sz w:val="24"/>
          <w:szCs w:val="24"/>
          <w:highlight w:val="none"/>
        </w:rPr>
        <w:t xml:space="preserve">。</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1"/>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numPr>
          <w:ilvl w:val="0"/>
          <w:numId w:val="0"/>
        </w:numPr>
        <w:ind w:firstLine="480"/>
        <w:jc w:val="left"/>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numPr>
          <w:ilvl w:val="0"/>
          <w:numId w:val="0"/>
        </w:numPr>
        <w:ind w:firstLine="482"/>
        <w:jc w:val="left"/>
        <w:keepLines w:val="0"/>
        <w:keepNext w:val="0"/>
        <w:pageBreakBefore w:val="0"/>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9"/>
        <w:numPr>
          <w:ilvl w:val="0"/>
          <w:numId w:val="0"/>
        </w:numPr>
        <w:ind w:firstLine="0"/>
        <w:jc w:val="left"/>
        <w:spacing w:line="360" w:lineRule="auto"/>
        <w:widowControl/>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95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ind w:firstLine="480"/>
        <w:spacing w:line="480" w:lineRule="exact"/>
        <w:rPr>
          <w:rFonts w:ascii="宋体" w:hAnsi="宋体"/>
          <w:sz w:val="24"/>
          <w:highlight w:val="none"/>
        </w:rPr>
      </w:pPr>
      <w:r>
        <w:rPr>
          <w:rFonts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rPr>
          <w:rFonts w:hint="eastAsia" w:ascii="方正小标宋简体" w:hAnsi="方正小标宋简体" w:eastAsia="方正小标宋简体" w:cs="方正小标宋简体"/>
          <w:b w:val="0"/>
          <w:bCs w:val="0"/>
          <w:sz w:val="32"/>
          <w:szCs w:val="32"/>
          <w:highlight w:val="none"/>
        </w:rPr>
      </w:pPr>
      <w:r>
        <w:rPr>
          <w:rFonts w:hint="eastAsia" w:ascii="黑体" w:hAnsi="黑体" w:eastAsia="黑体"/>
          <w:b/>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３９</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11"/>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1"/>
    <w:basedOn w:val="869"/>
    <w:next w:val="883"/>
    <w:link w:val="869"/>
    <w:unhideWhenUsed/>
    <w:qFormat/>
    <w:pPr>
      <w:ind w:left="420"/>
      <w:spacing w:after="120"/>
    </w:pPr>
  </w:style>
  <w:style w:type="paragraph" w:styleId="883">
    <w:name w:val="寄信人地址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paragraph" w:styleId="886">
    <w:name w:val="正文缩进"/>
    <w:basedOn w:val="869"/>
    <w:next w:val="886"/>
    <w:link w:val="887"/>
    <w:pPr>
      <w:ind w:firstLine="420"/>
    </w:pPr>
    <w:rPr>
      <w:szCs w:val="21"/>
    </w:rPr>
  </w:style>
  <w:style w:type="character" w:styleId="887">
    <w:name w:val="正文缩进 Char"/>
    <w:next w:val="887"/>
    <w:link w:val="886"/>
    <w:rPr>
      <w:szCs w:val="21"/>
    </w:rPr>
  </w:style>
  <w:style w:type="character" w:styleId="888">
    <w:name w:val="标题 3 Char"/>
    <w:next w:val="888"/>
    <w:link w:val="872"/>
    <w:rPr>
      <w:rFonts w:ascii="Times New Roman" w:hAnsi="Times New Roman" w:eastAsia="宋体" w:cs="Times New Roman"/>
      <w:b/>
      <w:bCs/>
      <w:sz w:val="32"/>
      <w:szCs w:val="32"/>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jc w:val="left"/>
    </w:pPr>
  </w:style>
  <w:style w:type="character" w:styleId="900">
    <w:name w:val="批注文字 Char"/>
    <w:basedOn w:val="879"/>
    <w:next w:val="900"/>
    <w:link w:val="899"/>
    <w:uiPriority w:val="99"/>
    <w:semiHidden/>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pPr>
      <w:ind w:left="420"/>
      <w:spacing w:after="120"/>
    </w:pPr>
  </w:style>
  <w:style w:type="character" w:styleId="906">
    <w:name w:val="正文文本缩进 Char"/>
    <w:basedOn w:val="879"/>
    <w:next w:val="906"/>
    <w:link w:val="905"/>
    <w:uiPriority w:val="99"/>
    <w:semiHidden/>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rPr>
      <w:rFonts w:ascii="Times New Roman" w:hAnsi="Times New Roman" w:eastAsia="宋体" w:cs="Times New Roman"/>
      <w:szCs w:val="21"/>
    </w:rPr>
  </w:style>
  <w:style w:type="paragraph" w:styleId="909">
    <w:name w:val="索引 4"/>
    <w:basedOn w:val="869"/>
    <w:next w:val="869"/>
    <w:link w:val="869"/>
    <w:semiHidden/>
    <w:qFormat/>
    <w:pPr>
      <w:ind w:left="1260"/>
    </w:pPr>
    <w:rPr>
      <w:rFonts w:ascii="Calibri" w:hAnsi="Calibri" w:eastAsia="Calibri" w:cs="宋体"/>
      <w:sz w:val="20"/>
      <w:lang w:val="zh-CN"/>
    </w:rPr>
  </w:style>
  <w:style w:type="paragraph" w:styleId="910">
    <w:name w:val="目录 5"/>
    <w:basedOn w:val="869"/>
    <w:next w:val="869"/>
    <w:link w:val="869"/>
    <w:semiHidden/>
    <w:pPr>
      <w:ind w:left="840"/>
      <w:jc w:val="left"/>
    </w:pPr>
    <w:rPr>
      <w:rFonts w:ascii="Times New Roman" w:hAnsi="Times New Roman" w:eastAsia="宋体" w:cs="Times New Roman"/>
      <w:szCs w:val="21"/>
    </w:rPr>
  </w:style>
  <w:style w:type="paragraph" w:styleId="911">
    <w:name w:val="目录 3"/>
    <w:basedOn w:val="869"/>
    <w:next w:val="869"/>
    <w:link w:val="869"/>
    <w:semiHidden/>
    <w:pPr>
      <w:ind w:left="420"/>
      <w:jc w:val="left"/>
    </w:pPr>
    <w:rPr>
      <w:rFonts w:ascii="Times New Roman" w:hAnsi="Times New Roman" w:eastAsia="宋体" w:cs="Times New Roman"/>
      <w:i/>
      <w:iCs/>
      <w:szCs w:val="24"/>
    </w:rPr>
  </w:style>
  <w:style w:type="paragraph" w:styleId="912">
    <w:name w:val="纯文本"/>
    <w:basedOn w:val="869"/>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69"/>
    <w:next w:val="869"/>
    <w:link w:val="869"/>
    <w:semiHidden/>
    <w:pPr>
      <w:ind w:left="1470"/>
      <w:jc w:val="left"/>
    </w:pPr>
    <w:rPr>
      <w:rFonts w:ascii="Times New Roman" w:hAnsi="Times New Roman" w:eastAsia="宋体" w:cs="Times New Roman"/>
      <w:szCs w:val="21"/>
    </w:rPr>
  </w:style>
  <w:style w:type="paragraph" w:styleId="915">
    <w:name w:val="日期"/>
    <w:basedOn w:val="869"/>
    <w:next w:val="869"/>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69"/>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69"/>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69"/>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69"/>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69"/>
    <w:next w:val="869"/>
    <w:link w:val="869"/>
    <w:semiHidden/>
    <w:pPr>
      <w:ind w:left="630"/>
      <w:jc w:val="left"/>
    </w:pPr>
    <w:rPr>
      <w:rFonts w:ascii="Times New Roman" w:hAnsi="Times New Roman" w:eastAsia="宋体" w:cs="Times New Roman"/>
      <w:szCs w:val="21"/>
    </w:rPr>
  </w:style>
  <w:style w:type="paragraph" w:styleId="927">
    <w:name w:val="列表"/>
    <w:basedOn w:val="869"/>
    <w:next w:val="927"/>
    <w:link w:val="869"/>
    <w:pPr>
      <w:ind w:left="200" w:hanging="200"/>
    </w:pPr>
    <w:rPr>
      <w:rFonts w:ascii="Times New Roman" w:hAnsi="Times New Roman" w:eastAsia="宋体" w:cs="Times New Roman"/>
      <w:szCs w:val="21"/>
    </w:rPr>
  </w:style>
  <w:style w:type="paragraph" w:styleId="928">
    <w:name w:val="目录 6"/>
    <w:basedOn w:val="869"/>
    <w:next w:val="869"/>
    <w:link w:val="869"/>
    <w:semiHidden/>
    <w:pPr>
      <w:ind w:left="1050"/>
      <w:jc w:val="left"/>
    </w:pPr>
    <w:rPr>
      <w:rFonts w:ascii="Times New Roman" w:hAnsi="Times New Roman" w:eastAsia="宋体" w:cs="Times New Roman"/>
      <w:szCs w:val="21"/>
    </w:rPr>
  </w:style>
  <w:style w:type="paragraph" w:styleId="929">
    <w:name w:val="正文文本缩进 3"/>
    <w:basedOn w:val="869"/>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69"/>
    <w:next w:val="869"/>
    <w:link w:val="869"/>
    <w:semiHidden/>
    <w:pPr>
      <w:ind w:left="840" w:hanging="420"/>
    </w:pPr>
    <w:rPr>
      <w:rFonts w:ascii="Times New Roman" w:hAnsi="Times New Roman" w:eastAsia="宋体" w:cs="Times New Roman"/>
      <w:szCs w:val="21"/>
    </w:rPr>
  </w:style>
  <w:style w:type="paragraph" w:styleId="932">
    <w:name w:val="目录 2"/>
    <w:basedOn w:val="869"/>
    <w:next w:val="869"/>
    <w:link w:val="869"/>
    <w:semiHidden/>
    <w:pPr>
      <w:ind w:left="210"/>
      <w:jc w:val="left"/>
    </w:pPr>
    <w:rPr>
      <w:rFonts w:ascii="Times New Roman" w:hAnsi="Times New Roman" w:eastAsia="宋体" w:cs="Times New Roman"/>
      <w:smallCaps/>
      <w:szCs w:val="24"/>
    </w:rPr>
  </w:style>
  <w:style w:type="paragraph" w:styleId="933">
    <w:name w:val="目录 9"/>
    <w:basedOn w:val="869"/>
    <w:next w:val="869"/>
    <w:link w:val="869"/>
    <w:semiHidden/>
    <w:pPr>
      <w:ind w:left="1680"/>
      <w:jc w:val="left"/>
    </w:pPr>
    <w:rPr>
      <w:rFonts w:ascii="Times New Roman" w:hAnsi="Times New Roman" w:eastAsia="宋体" w:cs="Times New Roman"/>
      <w:szCs w:val="21"/>
    </w:rPr>
  </w:style>
  <w:style w:type="paragraph" w:styleId="934">
    <w:name w:val="正文文本 2"/>
    <w:basedOn w:val="869"/>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69"/>
    <w:next w:val="936"/>
    <w:link w:val="869"/>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69"/>
    <w:next w:val="869"/>
    <w:link w:val="869"/>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69"/>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5"/>
    <w:next w:val="869"/>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0"/>
    <w:next w:val="944"/>
    <w:link w:val="869"/>
    <w:pPr>
      <w:jc w:val="both"/>
      <w:widowControl w:val="off"/>
    </w:pPr>
    <w:rPr>
      <w:rFonts w:ascii="Times New Roman" w:hAnsi="Times New Roman" w:eastAsia="宋体" w:cs="Times New Roman"/>
      <w:sz w:val="20"/>
      <w:szCs w:val="20"/>
    </w:rPr>
    <w:tblPr/>
  </w:style>
  <w:style w:type="character" w:styleId="945">
    <w:name w:val="要点"/>
    <w:next w:val="945"/>
    <w:link w:val="869"/>
    <w:qFormat/>
    <w:rPr>
      <w:b/>
      <w:bCs/>
    </w:rPr>
  </w:style>
  <w:style w:type="character" w:styleId="946">
    <w:name w:val="页码"/>
    <w:next w:val="946"/>
    <w:link w:val="869"/>
  </w:style>
  <w:style w:type="character" w:styleId="947">
    <w:name w:val="已访问的超链接"/>
    <w:next w:val="947"/>
    <w:link w:val="869"/>
    <w:rPr>
      <w:color w:val="800080"/>
      <w:u w:val="single"/>
    </w:rPr>
  </w:style>
  <w:style w:type="character" w:styleId="948">
    <w:name w:val="强调"/>
    <w:next w:val="948"/>
    <w:link w:val="869"/>
    <w:qFormat/>
    <w:rPr>
      <w:i/>
    </w:rPr>
  </w:style>
  <w:style w:type="character" w:styleId="949">
    <w:name w:val="超链接"/>
    <w:next w:val="949"/>
    <w:link w:val="869"/>
    <w:rPr>
      <w:color w:val="0000ff"/>
      <w:u w:val="single"/>
    </w:rPr>
  </w:style>
  <w:style w:type="character" w:styleId="950">
    <w:name w:val="批注引用"/>
    <w:next w:val="950"/>
    <w:link w:val="869"/>
    <w:semiHidden/>
    <w:rPr>
      <w:sz w:val="21"/>
      <w:szCs w:val="21"/>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3"/>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7"/>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7"/>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9"/>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7"/>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纯文本1"/>
    <w:basedOn w:val="869"/>
    <w:next w:val="992"/>
    <w:link w:val="869"/>
    <w:qFormat/>
    <w:rPr>
      <w:rFonts w:ascii="宋体" w:hAnsi="Courier New" w:cs="Courier New"/>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缩进1"/>
    <w:basedOn w:val="869"/>
    <w:next w:val="996"/>
    <w:link w:val="869"/>
    <w:unhideWhenUsed/>
    <w:qFormat/>
    <w:pPr>
      <w:ind w:left="420"/>
      <w:spacing w:after="120"/>
    </w:pPr>
  </w:style>
  <w:style w:type="paragraph" w:styleId="996">
    <w:name w:val="正文文本首行缩进 2"/>
    <w:basedOn w:val="995"/>
    <w:next w:val="996"/>
    <w:link w:val="869"/>
    <w:qFormat/>
    <w:pPr>
      <w:ind w:left="0" w:firstLine="420"/>
      <w:spacing w:after="0" w:line="360" w:lineRule="auto"/>
    </w:pPr>
    <w:rPr>
      <w:rFonts w:ascii="宋体" w:hAnsi="宋体"/>
      <w:sz w:val="20"/>
      <w:szCs w:val="20"/>
      <w:lang w:val="en-US" w:eastAsia="en-US"/>
    </w:rPr>
  </w:style>
  <w:style w:type="paragraph" w:styleId="997">
    <w:name w:val="正文1"/>
    <w:basedOn w:val="869"/>
    <w:next w:val="997"/>
    <w:link w:val="869"/>
    <w:qFormat/>
    <w:pPr>
      <w:ind w:left="350" w:firstLine="0"/>
    </w:pPr>
    <w:rPr>
      <w:rFonts w:cs="Times New Roman"/>
      <w:sz w:val="20"/>
      <w:szCs w:val="24"/>
    </w:rPr>
  </w:style>
  <w:style w:type="paragraph" w:styleId="998">
    <w:name w:val="正文首行缩进 2111"/>
    <w:basedOn w:val="995"/>
    <w:next w:val="869"/>
    <w:link w:val="869"/>
    <w:qFormat/>
    <w:pPr>
      <w:ind w:firstLine="420"/>
      <w:spacing w:line="360" w:lineRule="auto"/>
    </w:pPr>
    <w:rPr>
      <w:rFonts w:ascii="宋体" w:hAnsi="宋体" w:eastAsia="宋体"/>
      <w:sz w:val="21"/>
      <w:szCs w:val="20"/>
    </w:rPr>
  </w:style>
  <w:style w:type="paragraph" w:styleId="999">
    <w:name w:val="寄信人地址11"/>
    <w:basedOn w:val="869"/>
    <w:next w:val="999"/>
    <w:link w:val="869"/>
    <w:qFormat/>
    <w:rPr>
      <w:rFonts w:ascii="Arial" w:hAnsi="Arial" w:eastAsia="宋体" w:cs="宋体"/>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8</cp:revision>
  <dcterms:created xsi:type="dcterms:W3CDTF">2023-03-27T07:28:00Z</dcterms:created>
  <dcterms:modified xsi:type="dcterms:W3CDTF">2026-08-03T09:14:53Z</dcterms:modified>
</cp:coreProperties>
</file>