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Pr>
          <w:rFonts w:hint="eastAsia" w:ascii="宋体" w:hAnsi="宋体" w:cs="宋体"/>
          <w:b/>
          <w:sz w:val="30"/>
          <w:szCs w:val="30"/>
          <w:highlight w:val="none"/>
        </w:rPr>
      </w:pPr>
      <w:r>
        <w:rPr>
          <w:rFonts w:hint="eastAsia" w:ascii="宋体" w:hAnsi="宋体" w:cs="宋体"/>
          <w:b/>
          <w:sz w:val="30"/>
          <w:szCs w:val="30"/>
          <w:highlight w:val="none"/>
        </w:rPr>
      </w:r>
      <w:r/>
    </w:p>
    <w:p>
      <w:pPr>
        <w:ind w:left="0"/>
        <w:jc w:val="center"/>
        <w:rPr>
          <w:rFonts w:hint="eastAsia" w:ascii="宋体" w:hAnsi="宋体" w:cs="宋体"/>
          <w:b/>
          <w:sz w:val="72"/>
          <w:szCs w:val="72"/>
          <w:highlight w:val="none"/>
        </w:rPr>
      </w:pPr>
      <w:r>
        <w:rPr>
          <w:rFonts w:hint="eastAsia" w:ascii="宋体" w:hAnsi="宋体" w:cs="宋体"/>
          <w:b/>
          <w:sz w:val="72"/>
          <w:szCs w:val="72"/>
          <w:highlight w:val="none"/>
        </w:rPr>
      </w:r>
      <w:r/>
    </w:p>
    <w:p>
      <w:pPr>
        <w:ind w:left="0"/>
        <w:jc w:val="center"/>
        <w:rPr>
          <w:rFonts w:hint="eastAsia" w:ascii="宋体" w:hAnsi="宋体" w:cs="宋体"/>
          <w:b/>
          <w:sz w:val="72"/>
          <w:szCs w:val="72"/>
          <w:highlight w:val="none"/>
        </w:rPr>
      </w:pPr>
      <w:r>
        <w:rPr>
          <w:rFonts w:hint="eastAsia" w:ascii="宋体" w:hAnsi="宋体" w:cs="宋体"/>
          <w:b/>
          <w:sz w:val="72"/>
          <w:szCs w:val="72"/>
          <w:highlight w:val="none"/>
        </w:rPr>
        <w:t xml:space="preserve">苏 州 政 府 采 购</w:t>
      </w:r>
      <w:r/>
    </w:p>
    <w:p>
      <w:pPr>
        <w:ind w:left="0"/>
        <w:jc w:val="center"/>
        <w:rPr>
          <w:rFonts w:hint="eastAsia" w:ascii="宋体" w:hAnsi="宋体" w:cs="宋体"/>
          <w:b/>
          <w:sz w:val="72"/>
          <w:szCs w:val="72"/>
          <w:highlight w:val="none"/>
        </w:rPr>
      </w:pPr>
      <w:r>
        <w:rPr>
          <w:rFonts w:hint="eastAsia" w:ascii="宋体" w:hAnsi="宋体" w:cs="宋体"/>
          <w:b/>
          <w:sz w:val="72"/>
          <w:szCs w:val="72"/>
          <w:highlight w:val="none"/>
        </w:rPr>
        <w:t xml:space="preserve">竞争性磋商文件</w:t>
      </w:r>
      <w:r/>
    </w:p>
    <w:p>
      <w:pPr>
        <w:ind w:left="0"/>
        <w:jc w:val="left"/>
        <w:spacing w:line="360" w:lineRule="auto"/>
        <w:rPr>
          <w:rFonts w:hint="eastAsia" w:ascii="宋体" w:hAnsi="宋体" w:cs="宋体"/>
          <w:highlight w:val="none"/>
        </w:rPr>
      </w:pPr>
      <w:r>
        <w:rPr>
          <w:rFonts w:hint="eastAsia" w:ascii="宋体" w:hAnsi="宋体" w:cs="宋体"/>
          <w:highlight w:val="none"/>
        </w:rPr>
      </w:r>
      <w:r/>
    </w:p>
    <w:p>
      <w:pPr>
        <w:ind w:left="0"/>
        <w:jc w:val="left"/>
        <w:spacing w:line="480" w:lineRule="auto"/>
        <w:rPr>
          <w:rFonts w:hint="eastAsia" w:ascii="宋体" w:hAnsi="宋体" w:cs="宋体"/>
          <w:b/>
          <w:sz w:val="32"/>
          <w:highlight w:val="none"/>
        </w:rPr>
      </w:pPr>
      <w:r>
        <w:rPr>
          <w:rFonts w:hint="eastAsia" w:ascii="宋体" w:hAnsi="宋体" w:cs="宋体"/>
          <w:b/>
          <w:sz w:val="32"/>
          <w:highlight w:val="none"/>
        </w:rPr>
      </w:r>
      <w:r/>
    </w:p>
    <w:tbl>
      <w:tblPr>
        <w:tblStyle w:val="801"/>
        <w:tblW w:w="0" w:type="auto"/>
        <w:jc w:val="center"/>
        <w:tblLayout w:type="fixed"/>
        <w:tblCellMar>
          <w:left w:w="108" w:type="dxa"/>
          <w:top w:w="0" w:type="dxa"/>
          <w:right w:w="108" w:type="dxa"/>
          <w:bottom w:w="0" w:type="dxa"/>
        </w:tblCellMar>
        <w:tblLook w:val="04A0" w:firstRow="1" w:lastRow="0" w:firstColumn="1" w:lastColumn="0" w:noHBand="0" w:noVBand="1"/>
      </w:tblPr>
      <w:tblGrid>
        <w:gridCol w:w="1827"/>
        <w:gridCol w:w="6580"/>
      </w:tblGrid>
      <w:tr>
        <w:trPr>
          <w:jc w:val="center"/>
        </w:trPr>
        <w:tc>
          <w:tcPr>
            <w:tcBorders>
              <w:top w:val="none" w:color="000000" w:sz="4" w:space="0"/>
              <w:left w:val="none" w:color="000000" w:sz="4" w:space="0"/>
              <w:bottom w:val="none" w:color="000000" w:sz="4" w:space="0"/>
              <w:right w:val="none" w:color="000000" w:sz="4" w:space="0"/>
            </w:tcBorders>
            <w:tcW w:w="1827" w:type="dxa"/>
            <w:textDirection w:val="lrTb"/>
            <w:noWrap w:val="false"/>
          </w:tcPr>
          <w:p>
            <w:pPr>
              <w:ind w:left="0"/>
              <w:spacing w:line="360" w:lineRule="auto"/>
              <w:widowControl w:val="off"/>
              <w:rPr>
                <w:rStyle w:val="1033"/>
                <w:rFonts w:hint="eastAsia" w:ascii="宋体" w:hAnsi="宋体" w:cs="宋体"/>
                <w:highlight w:val="none"/>
              </w:rPr>
            </w:pPr>
            <w:r>
              <w:rPr>
                <w:rStyle w:val="1033"/>
                <w:rFonts w:hint="eastAsia" w:ascii="宋体" w:hAnsi="宋体" w:cs="宋体"/>
                <w:b/>
                <w:spacing w:val="-6"/>
                <w:sz w:val="32"/>
                <w:highlight w:val="none"/>
              </w:rPr>
              <w:t xml:space="preserve">采购编号：</w:t>
            </w:r>
            <w:r/>
          </w:p>
        </w:tc>
        <w:tc>
          <w:tcPr>
            <w:tcBorders>
              <w:top w:val="none" w:color="000000" w:sz="4" w:space="0"/>
              <w:left w:val="none" w:color="000000" w:sz="4" w:space="0"/>
              <w:bottom w:val="none" w:color="000000" w:sz="4" w:space="0"/>
              <w:right w:val="none" w:color="000000" w:sz="4" w:space="0"/>
            </w:tcBorders>
            <w:tcW w:w="6580" w:type="dxa"/>
            <w:textDirection w:val="lrTb"/>
            <w:noWrap w:val="false"/>
          </w:tcPr>
          <w:p>
            <w:pPr>
              <w:ind w:left="0"/>
              <w:spacing w:line="360" w:lineRule="auto"/>
              <w:widowControl w:val="off"/>
              <w:rPr>
                <w:rStyle w:val="1033"/>
                <w:rFonts w:hint="eastAsia" w:ascii="宋体" w:hAnsi="宋体" w:eastAsia="宋体" w:cs="宋体"/>
                <w:b/>
                <w:spacing w:val="-6"/>
                <w:sz w:val="32"/>
                <w:highlight w:val="none"/>
                <w:lang w:eastAsia="zh-CN"/>
              </w:rPr>
            </w:pPr>
            <w:r>
              <w:rPr>
                <w:rFonts w:hint="eastAsia" w:ascii="宋体" w:hAnsi="宋体" w:cs="宋体"/>
                <w:b/>
                <w:spacing w:val="-6"/>
                <w:sz w:val="32"/>
                <w:highlight w:val="none"/>
                <w:lang w:eastAsia="zh-CN"/>
              </w:rPr>
              <w:t xml:space="preserve">JSZC-320507-YZZJ-C2026-0005</w:t>
            </w:r>
            <w:r/>
          </w:p>
        </w:tc>
      </w:tr>
      <w:tr>
        <w:trPr>
          <w:jc w:val="center"/>
        </w:trPr>
        <w:tc>
          <w:tcPr>
            <w:tcBorders>
              <w:top w:val="none" w:color="000000" w:sz="4" w:space="0"/>
              <w:left w:val="none" w:color="000000" w:sz="4" w:space="0"/>
              <w:bottom w:val="none" w:color="000000" w:sz="4" w:space="0"/>
              <w:right w:val="none" w:color="000000" w:sz="4" w:space="0"/>
            </w:tcBorders>
            <w:tcW w:w="1827" w:type="dxa"/>
            <w:textDirection w:val="lrTb"/>
            <w:noWrap w:val="false"/>
          </w:tcPr>
          <w:p>
            <w:pPr>
              <w:ind w:left="0"/>
              <w:spacing w:line="360" w:lineRule="auto"/>
              <w:widowControl w:val="off"/>
              <w:rPr>
                <w:rStyle w:val="1033"/>
                <w:rFonts w:hint="eastAsia" w:ascii="宋体" w:hAnsi="宋体" w:cs="宋体"/>
                <w:highlight w:val="none"/>
              </w:rPr>
            </w:pPr>
            <w:r/>
            <w:bookmarkStart w:id="0" w:name="_Hlk192838521"/>
            <w:r>
              <w:rPr>
                <w:rStyle w:val="1033"/>
                <w:rFonts w:hint="eastAsia" w:ascii="宋体" w:hAnsi="宋体" w:cs="宋体"/>
                <w:b/>
                <w:spacing w:val="-6"/>
                <w:sz w:val="32"/>
                <w:highlight w:val="none"/>
              </w:rPr>
              <w:t xml:space="preserve">采 购 人：</w:t>
            </w:r>
            <w:bookmarkEnd w:id="0"/>
            <w:r/>
            <w:r/>
          </w:p>
        </w:tc>
        <w:tc>
          <w:tcPr>
            <w:tcBorders>
              <w:top w:val="none" w:color="000000" w:sz="4" w:space="0"/>
              <w:left w:val="none" w:color="000000" w:sz="4" w:space="0"/>
              <w:bottom w:val="none" w:color="000000" w:sz="4" w:space="0"/>
              <w:right w:val="none" w:color="000000" w:sz="4" w:space="0"/>
            </w:tcBorders>
            <w:tcW w:w="6580" w:type="dxa"/>
            <w:textDirection w:val="lrTb"/>
            <w:noWrap w:val="false"/>
          </w:tcPr>
          <w:p>
            <w:pPr>
              <w:ind w:left="0"/>
              <w:jc w:val="left"/>
              <w:spacing w:line="360" w:lineRule="auto"/>
              <w:widowControl w:val="off"/>
              <w:rPr>
                <w:rStyle w:val="1033"/>
                <w:rFonts w:hint="eastAsia" w:ascii="宋体" w:hAnsi="宋体" w:cs="宋体"/>
                <w:highlight w:val="none"/>
              </w:rPr>
            </w:pPr>
            <w:r>
              <w:rPr>
                <w:rStyle w:val="1033"/>
                <w:rFonts w:hint="eastAsia" w:ascii="宋体" w:hAnsi="宋体" w:cs="宋体"/>
                <w:b/>
                <w:spacing w:val="-6"/>
                <w:sz w:val="32"/>
                <w:highlight w:val="none"/>
              </w:rPr>
              <w:t xml:space="preserve">苏州市相城区公路事业发展中心</w:t>
            </w:r>
            <w:r/>
          </w:p>
        </w:tc>
      </w:tr>
      <w:tr>
        <w:trPr>
          <w:jc w:val="center"/>
        </w:trPr>
        <w:tc>
          <w:tcPr>
            <w:tcBorders>
              <w:top w:val="none" w:color="000000" w:sz="4" w:space="0"/>
              <w:left w:val="none" w:color="000000" w:sz="4" w:space="0"/>
              <w:bottom w:val="none" w:color="000000" w:sz="4" w:space="0"/>
              <w:right w:val="none" w:color="000000" w:sz="4" w:space="0"/>
            </w:tcBorders>
            <w:tcW w:w="1827" w:type="dxa"/>
            <w:textDirection w:val="lrTb"/>
            <w:noWrap w:val="false"/>
          </w:tcPr>
          <w:p>
            <w:pPr>
              <w:ind w:left="0"/>
              <w:spacing w:line="360" w:lineRule="auto"/>
              <w:widowControl w:val="off"/>
              <w:rPr>
                <w:rStyle w:val="1033"/>
                <w:rFonts w:hint="eastAsia" w:ascii="宋体" w:hAnsi="宋体" w:cs="宋体"/>
                <w:highlight w:val="none"/>
              </w:rPr>
            </w:pPr>
            <w:r>
              <w:rPr>
                <w:rStyle w:val="1033"/>
                <w:rFonts w:hint="eastAsia" w:ascii="宋体" w:hAnsi="宋体" w:cs="宋体"/>
                <w:b/>
                <w:spacing w:val="-6"/>
                <w:sz w:val="32"/>
                <w:highlight w:val="none"/>
              </w:rPr>
              <w:t xml:space="preserve">采购内容：</w:t>
            </w:r>
            <w:r/>
          </w:p>
        </w:tc>
        <w:tc>
          <w:tcPr>
            <w:tcBorders>
              <w:top w:val="none" w:color="000000" w:sz="4" w:space="0"/>
              <w:left w:val="none" w:color="000000" w:sz="4" w:space="0"/>
              <w:bottom w:val="none" w:color="000000" w:sz="4" w:space="0"/>
              <w:right w:val="none" w:color="000000" w:sz="4" w:space="0"/>
            </w:tcBorders>
            <w:tcW w:w="6580" w:type="dxa"/>
            <w:textDirection w:val="lrTb"/>
            <w:noWrap w:val="false"/>
          </w:tcPr>
          <w:p>
            <w:pPr>
              <w:ind w:left="0"/>
              <w:jc w:val="left"/>
              <w:spacing w:line="360" w:lineRule="auto"/>
              <w:widowControl w:val="off"/>
              <w:rPr>
                <w:rStyle w:val="1033"/>
                <w:rFonts w:hint="eastAsia" w:ascii="宋体" w:hAnsi="宋体" w:eastAsia="宋体" w:cs="宋体"/>
                <w:highlight w:val="none"/>
                <w:lang w:eastAsia="zh-CN"/>
              </w:rPr>
            </w:pPr>
            <w:r>
              <w:rPr>
                <w:rFonts w:hint="eastAsia" w:ascii="宋体" w:hAnsi="宋体" w:cs="宋体"/>
                <w:b/>
                <w:sz w:val="32"/>
                <w:highlight w:val="none"/>
                <w:lang w:eastAsia="zh-CN"/>
              </w:rPr>
              <w:t xml:space="preserve">相城区2026年桥梁(区管道路及县道)定期检测及水中桩检测项目</w:t>
            </w:r>
            <w:r/>
          </w:p>
        </w:tc>
      </w:tr>
      <w:tr>
        <w:trPr>
          <w:jc w:val="center"/>
        </w:trPr>
        <w:tc>
          <w:tcPr>
            <w:tcBorders>
              <w:top w:val="none" w:color="000000" w:sz="4" w:space="0"/>
              <w:left w:val="none" w:color="000000" w:sz="4" w:space="0"/>
              <w:bottom w:val="none" w:color="000000" w:sz="4" w:space="0"/>
              <w:right w:val="none" w:color="000000" w:sz="4" w:space="0"/>
            </w:tcBorders>
            <w:tcW w:w="1827" w:type="dxa"/>
            <w:textDirection w:val="lrTb"/>
            <w:noWrap w:val="false"/>
          </w:tcPr>
          <w:p>
            <w:pPr>
              <w:ind w:left="0"/>
              <w:spacing w:line="360" w:lineRule="auto"/>
              <w:widowControl w:val="off"/>
              <w:rPr>
                <w:rStyle w:val="1033"/>
                <w:rFonts w:hint="eastAsia" w:ascii="宋体" w:hAnsi="宋体" w:cs="宋体"/>
                <w:highlight w:val="none"/>
              </w:rPr>
            </w:pPr>
            <w:r>
              <w:rPr>
                <w:rStyle w:val="1033"/>
                <w:rFonts w:hint="eastAsia" w:ascii="宋体" w:hAnsi="宋体" w:cs="宋体"/>
                <w:b/>
                <w:spacing w:val="-6"/>
                <w:sz w:val="32"/>
                <w:highlight w:val="none"/>
              </w:rPr>
              <w:t xml:space="preserve">采购类别：</w:t>
            </w:r>
            <w:r/>
          </w:p>
        </w:tc>
        <w:tc>
          <w:tcPr>
            <w:tcBorders>
              <w:top w:val="none" w:color="000000" w:sz="4" w:space="0"/>
              <w:left w:val="none" w:color="000000" w:sz="4" w:space="0"/>
              <w:bottom w:val="none" w:color="000000" w:sz="4" w:space="0"/>
              <w:right w:val="none" w:color="000000" w:sz="4" w:space="0"/>
            </w:tcBorders>
            <w:tcW w:w="6580" w:type="dxa"/>
            <w:textDirection w:val="lrTb"/>
            <w:noWrap w:val="false"/>
          </w:tcPr>
          <w:p>
            <w:pPr>
              <w:ind w:left="0"/>
              <w:jc w:val="left"/>
              <w:spacing w:line="360" w:lineRule="auto"/>
              <w:widowControl w:val="off"/>
              <w:rPr>
                <w:rStyle w:val="1033"/>
                <w:rFonts w:hint="eastAsia" w:ascii="宋体" w:hAnsi="宋体" w:cs="宋体"/>
                <w:highlight w:val="none"/>
              </w:rPr>
            </w:pPr>
            <w:r>
              <w:rPr>
                <w:rStyle w:val="1033"/>
                <w:rFonts w:hint="eastAsia" w:ascii="宋体" w:hAnsi="宋体" w:cs="宋体"/>
                <w:b/>
                <w:spacing w:val="-6"/>
                <w:sz w:val="32"/>
                <w:highlight w:val="none"/>
              </w:rPr>
              <w:t xml:space="preserve">服务类</w:t>
            </w:r>
            <w:r/>
          </w:p>
        </w:tc>
      </w:tr>
    </w:tbl>
    <w:p>
      <w:pPr>
        <w:ind w:firstLine="1445"/>
        <w:jc w:val="left"/>
        <w:spacing w:line="480" w:lineRule="auto"/>
        <w:rPr>
          <w:rFonts w:hint="eastAsia" w:ascii="宋体" w:hAnsi="宋体" w:cs="宋体"/>
          <w:b/>
          <w:spacing w:val="20"/>
          <w:sz w:val="32"/>
          <w:highlight w:val="none"/>
        </w:rPr>
      </w:pPr>
      <w:r>
        <w:rPr>
          <w:rFonts w:hint="eastAsia" w:ascii="宋体" w:hAnsi="宋体" w:cs="宋体"/>
          <w:b/>
          <w:spacing w:val="20"/>
          <w:sz w:val="32"/>
          <w:highlight w:val="none"/>
        </w:rPr>
      </w:r>
      <w:r/>
    </w:p>
    <w:p>
      <w:pPr>
        <w:ind w:left="0"/>
        <w:jc w:val="center"/>
        <w:rPr>
          <w:rFonts w:hint="eastAsia" w:ascii="宋体" w:hAnsi="宋体" w:cs="宋体"/>
          <w:b/>
          <w:sz w:val="32"/>
          <w:highlight w:val="none"/>
        </w:rPr>
      </w:pPr>
      <w:r>
        <w:rPr>
          <w:rFonts w:ascii="宋体" w:hAnsi="宋体"/>
          <w:sz w:val="24"/>
          <w:highlight w:val="none"/>
        </w:rPr>
        <mc:AlternateContent>
          <mc:Choice Requires="wpg">
            <w:drawing>
              <wp:inline xmlns:wp="http://schemas.openxmlformats.org/drawingml/2006/wordprocessingDrawing" distT="0" distB="0" distL="0" distR="0">
                <wp:extent cx="2343150" cy="1524000"/>
                <wp:effectExtent l="0" t="0" r="0" b="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r/>
                      </pic:nvPicPr>
                      <pic:blipFill>
                        <a:blip r:embed="rId19"/>
                        <a:stretch/>
                      </pic:blipFill>
                      <pic:spPr bwMode="auto">
                        <a:xfrm>
                          <a:off x="0" y="0"/>
                          <a:ext cx="2343150" cy="1524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4.5pt;height:120.0pt;mso-wrap-distance-left:0.0pt;mso-wrap-distance-top:0.0pt;mso-wrap-distance-right:0.0pt;mso-wrap-distance-bottom:0.0pt;" stroked="f">
                <v:path textboxrect="0,0,0,0"/>
                <v:imagedata r:id="rId19" o:title=""/>
              </v:shape>
            </w:pict>
          </mc:Fallback>
        </mc:AlternateContent>
      </w:r>
      <w:r/>
    </w:p>
    <w:p>
      <w:pPr>
        <w:ind w:left="0"/>
        <w:jc w:val="left"/>
        <w:rPr>
          <w:rFonts w:hint="eastAsia" w:ascii="宋体" w:hAnsi="宋体" w:cs="宋体"/>
          <w:b/>
          <w:sz w:val="32"/>
          <w:highlight w:val="none"/>
        </w:rPr>
      </w:pPr>
      <w:r>
        <w:rPr>
          <w:rFonts w:hint="eastAsia" w:ascii="宋体" w:hAnsi="宋体" w:cs="宋体"/>
          <w:b/>
          <w:sz w:val="32"/>
          <w:highlight w:val="none"/>
        </w:rPr>
      </w:r>
      <w:r/>
    </w:p>
    <w:p>
      <w:pPr>
        <w:ind w:left="0"/>
        <w:jc w:val="left"/>
        <w:rPr>
          <w:rFonts w:hint="eastAsia" w:ascii="宋体" w:hAnsi="宋体" w:cs="宋体"/>
          <w:b/>
          <w:sz w:val="32"/>
          <w:highlight w:val="none"/>
        </w:rPr>
      </w:pPr>
      <w:r>
        <w:rPr>
          <w:rFonts w:hint="eastAsia" w:ascii="宋体" w:hAnsi="宋体" w:cs="宋体"/>
          <w:b/>
          <w:sz w:val="32"/>
          <w:highlight w:val="none"/>
        </w:rPr>
      </w:r>
      <w:r/>
    </w:p>
    <w:p>
      <w:pPr>
        <w:ind w:left="0" w:firstLine="1606"/>
        <w:jc w:val="left"/>
        <w:rPr>
          <w:rFonts w:hint="eastAsia" w:ascii="宋体" w:hAnsi="宋体" w:cs="宋体"/>
          <w:b/>
          <w:sz w:val="32"/>
          <w:highlight w:val="none"/>
        </w:rPr>
      </w:pPr>
      <w:r>
        <w:rPr>
          <w:rFonts w:hint="eastAsia" w:ascii="宋体" w:hAnsi="宋体" w:cs="宋体"/>
          <w:b/>
          <w:sz w:val="32"/>
          <w:highlight w:val="none"/>
        </w:rPr>
      </w:r>
      <w:r/>
    </w:p>
    <w:p>
      <w:pPr>
        <w:ind w:left="0" w:firstLine="1606"/>
        <w:jc w:val="left"/>
        <w:rPr>
          <w:rFonts w:hint="eastAsia" w:ascii="宋体" w:hAnsi="宋体" w:cs="宋体"/>
          <w:b/>
          <w:sz w:val="32"/>
          <w:highlight w:val="none"/>
        </w:rPr>
      </w:pPr>
      <w:r>
        <w:rPr>
          <w:rFonts w:hint="eastAsia" w:ascii="宋体" w:hAnsi="宋体" w:cs="宋体"/>
          <w:b/>
          <w:sz w:val="32"/>
          <w:highlight w:val="none"/>
        </w:rPr>
      </w:r>
      <w:r/>
    </w:p>
    <w:p>
      <w:pPr>
        <w:ind w:left="0"/>
        <w:jc w:val="center"/>
        <w:rPr>
          <w:rFonts w:hint="eastAsia" w:ascii="宋体" w:hAnsi="宋体" w:cs="宋体"/>
          <w:b/>
          <w:sz w:val="32"/>
          <w:highlight w:val="none"/>
        </w:rPr>
      </w:pPr>
      <w:r>
        <w:rPr>
          <w:rFonts w:hint="eastAsia" w:ascii="宋体" w:hAnsi="宋体" w:cs="宋体"/>
          <w:b/>
          <w:sz w:val="32"/>
          <w:highlight w:val="none"/>
        </w:rPr>
      </w:r>
      <w:r/>
    </w:p>
    <w:p>
      <w:pPr>
        <w:ind w:left="0"/>
        <w:jc w:val="center"/>
        <w:rPr>
          <w:rFonts w:hint="eastAsia" w:ascii="宋体" w:hAnsi="宋体" w:cs="宋体"/>
          <w:b/>
          <w:sz w:val="32"/>
          <w:highlight w:val="none"/>
        </w:rPr>
      </w:pPr>
      <w:r>
        <w:rPr>
          <w:rFonts w:hint="eastAsia" w:ascii="宋体" w:hAnsi="宋体" w:cs="宋体"/>
          <w:b/>
          <w:sz w:val="32"/>
          <w:highlight w:val="none"/>
        </w:rPr>
      </w:r>
      <w:r/>
    </w:p>
    <w:p>
      <w:pPr>
        <w:ind w:left="0"/>
        <w:rPr>
          <w:rFonts w:hint="eastAsia" w:ascii="宋体" w:hAnsi="宋体" w:cs="宋体"/>
          <w:b/>
          <w:sz w:val="32"/>
          <w:highlight w:val="none"/>
        </w:rPr>
      </w:pPr>
      <w:r>
        <w:rPr>
          <w:rFonts w:hint="eastAsia" w:ascii="宋体" w:hAnsi="宋体" w:cs="宋体"/>
          <w:b/>
          <w:sz w:val="32"/>
          <w:highlight w:val="none"/>
        </w:rPr>
      </w:r>
      <w:r/>
    </w:p>
    <w:p>
      <w:pPr>
        <w:ind w:left="0"/>
        <w:jc w:val="center"/>
        <w:rPr>
          <w:rFonts w:hint="eastAsia" w:ascii="宋体" w:hAnsi="宋体" w:cs="宋体"/>
          <w:b/>
          <w:sz w:val="32"/>
          <w:highlight w:val="none"/>
        </w:rPr>
      </w:pPr>
      <w:r>
        <w:rPr>
          <w:rFonts w:hint="eastAsia" w:ascii="宋体" w:hAnsi="宋体" w:cs="宋体"/>
          <w:b/>
          <w:sz w:val="32"/>
          <w:highlight w:val="none"/>
        </w:rPr>
        <w:t xml:space="preserve">苏州永正造价师事务所有限公司</w:t>
      </w:r>
      <w:r/>
    </w:p>
    <w:p>
      <w:pPr>
        <w:ind w:left="0"/>
        <w:jc w:val="center"/>
        <w:rPr>
          <w:rFonts w:hint="eastAsia" w:ascii="宋体" w:hAnsi="宋体" w:cs="宋体"/>
          <w:b/>
          <w:sz w:val="32"/>
          <w:highlight w:val="none"/>
        </w:rPr>
      </w:pPr>
      <w:r>
        <w:rPr>
          <w:rFonts w:hint="eastAsia" w:ascii="宋体" w:hAnsi="宋体" w:cs="宋体"/>
          <w:b/>
          <w:sz w:val="32"/>
          <w:highlight w:val="none"/>
        </w:rPr>
        <w:t xml:space="preserve">二〇二六年</w:t>
      </w:r>
      <w:r>
        <w:rPr>
          <w:rFonts w:hint="eastAsia" w:ascii="宋体" w:hAnsi="宋体" w:cs="宋体"/>
          <w:b/>
          <w:sz w:val="32"/>
          <w:highlight w:val="none"/>
          <w:lang w:eastAsia="zh-CN"/>
        </w:rPr>
        <w:t xml:space="preserve">八</w:t>
      </w:r>
      <w:r>
        <w:rPr>
          <w:rFonts w:hint="eastAsia" w:ascii="宋体" w:hAnsi="宋体" w:cs="宋体"/>
          <w:b/>
          <w:sz w:val="32"/>
          <w:highlight w:val="none"/>
        </w:rPr>
        <w:t xml:space="preserve">月</w:t>
      </w:r>
      <w:r/>
    </w:p>
    <w:p>
      <w:pPr>
        <w:pStyle w:val="831"/>
        <w:ind w:left="0" w:firstLine="0"/>
        <w:rPr>
          <w:rFonts w:hint="eastAsia" w:ascii="宋体" w:hAnsi="宋体" w:cs="宋体"/>
          <w:highlight w:val="none"/>
        </w:rPr>
        <w:sectPr>
          <w:headerReference w:type="default" r:id="rId9"/>
          <w:headerReference w:type="first" r:id="rId10"/>
          <w:footerReference w:type="default" r:id="rId13"/>
          <w:footerReference w:type="even" r:id="rId14"/>
          <w:footnotePr/>
          <w:endnotePr/>
          <w:type w:val="nextPage"/>
          <w:pgSz w:w="11906" w:h="16838" w:orient="portrait"/>
          <w:pgMar w:top="851" w:right="1021" w:bottom="851" w:left="1021" w:header="567" w:footer="567" w:gutter="0"/>
          <w:cols w:num="1" w:sep="0" w:space="1701" w:equalWidth="1"/>
          <w:docGrid w:linePitch="360"/>
          <w:titlePg/>
        </w:sectPr>
      </w:pPr>
      <w:r>
        <w:rPr>
          <w:rFonts w:hint="eastAsia" w:ascii="宋体" w:hAnsi="宋体" w:cs="宋体"/>
          <w:highlight w:val="none"/>
        </w:rPr>
      </w:r>
      <w:r/>
    </w:p>
    <w:p>
      <w:pPr>
        <w:ind w:left="0"/>
        <w:jc w:val="center"/>
        <w:rPr>
          <w:rFonts w:hint="eastAsia" w:ascii="宋体" w:hAnsi="宋体" w:cs="宋体"/>
          <w:b/>
          <w:spacing w:val="20"/>
          <w:sz w:val="30"/>
          <w:highlight w:val="none"/>
        </w:rPr>
      </w:pPr>
      <w:r/>
      <w:bookmarkStart w:id="1" w:name="_Toc12642"/>
      <w:r/>
      <w:bookmarkStart w:id="2" w:name="_Toc15681"/>
      <w:r/>
      <w:bookmarkStart w:id="3" w:name="_Toc16121"/>
      <w:r/>
      <w:bookmarkStart w:id="4" w:name="_Toc17003"/>
      <w:r>
        <w:rPr>
          <w:rFonts w:hint="eastAsia" w:ascii="宋体" w:hAnsi="宋体" w:cs="宋体"/>
          <w:b/>
          <w:spacing w:val="20"/>
          <w:sz w:val="30"/>
          <w:highlight w:val="none"/>
        </w:rPr>
        <w:t xml:space="preserve">前 附 表</w:t>
      </w:r>
      <w:bookmarkEnd w:id="1"/>
      <w:r/>
      <w:bookmarkEnd w:id="2"/>
      <w:r/>
      <w:bookmarkEnd w:id="3"/>
      <w:r/>
      <w:bookmarkEnd w:id="4"/>
      <w:r/>
      <w:r/>
    </w:p>
    <w:p>
      <w:pPr>
        <w:pStyle w:val="830"/>
        <w:rPr>
          <w:rFonts w:hint="eastAsia" w:ascii="宋体" w:hAnsi="宋体" w:cs="宋体"/>
          <w:highlight w:val="none"/>
        </w:rPr>
      </w:pPr>
      <w:r>
        <w:rPr>
          <w:rFonts w:hint="eastAsia" w:ascii="宋体" w:hAnsi="宋体" w:cs="宋体"/>
          <w:highlight w:val="none"/>
        </w:rPr>
      </w:r>
      <w:r/>
    </w:p>
    <w:tbl>
      <w:tblPr>
        <w:tblStyle w:val="801"/>
        <w:tblW w:w="10031" w:type="dxa"/>
        <w:jc w:val="center"/>
        <w:tblLayout w:type="fixed"/>
        <w:tblCellMar>
          <w:left w:w="108" w:type="dxa"/>
          <w:top w:w="0" w:type="dxa"/>
          <w:right w:w="108" w:type="dxa"/>
          <w:bottom w:w="0" w:type="dxa"/>
        </w:tblCellMar>
        <w:tblLook w:val="04A0" w:firstRow="1" w:lastRow="0" w:firstColumn="1" w:lastColumn="0" w:noHBand="0" w:noVBand="1"/>
      </w:tblPr>
      <w:tblGrid>
        <w:gridCol w:w="675"/>
        <w:gridCol w:w="1764"/>
        <w:gridCol w:w="7592"/>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内               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JSZC-320507-YZZJ-C2026-0005</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相城区2026年桥梁(区管道路及县道)定期检测及水中桩检测项目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sz w:val="21"/>
                <w:szCs w:val="21"/>
                <w:highlight w:val="none"/>
              </w:rPr>
            </w:pPr>
            <w:r>
              <w:rPr>
                <w:rFonts w:hint="eastAsia" w:ascii="宋体" w:hAnsi="宋体" w:cs="宋体"/>
                <w:sz w:val="21"/>
                <w:szCs w:val="21"/>
                <w:highlight w:val="none"/>
              </w:rPr>
              <w:t xml:space="preserve">本项目不收取磋商保证金（采购文件中涉及磋商保证金的条款均不适用）</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sz w:val="21"/>
                <w:szCs w:val="21"/>
                <w:highlight w:val="none"/>
              </w:rPr>
            </w:pPr>
            <w:r>
              <w:rPr>
                <w:rFonts w:hint="eastAsia" w:ascii="宋体" w:hAnsi="宋体" w:cs="宋体"/>
                <w:sz w:val="21"/>
                <w:szCs w:val="21"/>
                <w:highlight w:val="none"/>
              </w:rPr>
              <w:t xml:space="preserve">响应文件提交截止之日起九十天（日历日）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质疑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sz w:val="21"/>
                <w:szCs w:val="21"/>
                <w:highlight w:val="none"/>
              </w:rPr>
            </w:pPr>
            <w:r>
              <w:rPr>
                <w:rFonts w:hint="eastAsia" w:ascii="宋体" w:hAnsi="宋体" w:cs="宋体"/>
                <w:sz w:val="21"/>
                <w:szCs w:val="21"/>
                <w:highlight w:val="none"/>
              </w:rPr>
              <w:t xml:space="preserve">报名成功的供应商在下载采购文件后，对采购文件有质疑的，</w:t>
            </w:r>
            <w:r/>
          </w:p>
          <w:p>
            <w:pPr>
              <w:ind w:left="0"/>
              <w:jc w:val="left"/>
              <w:rPr>
                <w:rFonts w:hint="eastAsia" w:ascii="宋体" w:hAnsi="宋体" w:cs="宋体"/>
                <w:sz w:val="21"/>
                <w:szCs w:val="21"/>
                <w:highlight w:val="none"/>
              </w:rPr>
            </w:pPr>
            <w:r>
              <w:rPr>
                <w:rFonts w:hint="eastAsia" w:ascii="宋体" w:hAnsi="宋体" w:cs="宋体"/>
                <w:sz w:val="21"/>
                <w:szCs w:val="21"/>
                <w:highlight w:val="none"/>
              </w:rPr>
              <w:t xml:space="preserve">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left="0"/>
              <w:jc w:val="left"/>
              <w:rPr>
                <w:rFonts w:hint="eastAsia" w:ascii="宋体" w:hAnsi="宋体" w:cs="宋体"/>
                <w:sz w:val="21"/>
                <w:szCs w:val="21"/>
                <w:highlight w:val="none"/>
              </w:rPr>
            </w:pPr>
            <w:r>
              <w:rPr>
                <w:rFonts w:hint="eastAsia" w:ascii="宋体" w:hAnsi="宋体" w:cs="宋体"/>
                <w:sz w:val="21"/>
                <w:szCs w:val="21"/>
                <w:highlight w:val="none"/>
              </w:rPr>
              <w:t xml:space="preserve">质疑递交地址：苏州市吴中区塔韵路178号天鸿大厦9楼 ；电话：0512-65629282；联系人：蒋杰）。</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投标（响应）文件网上</w:t>
            </w:r>
            <w:r/>
          </w:p>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sz w:val="21"/>
                <w:szCs w:val="21"/>
                <w:highlight w:val="none"/>
              </w:rPr>
            </w:pPr>
            <w:r>
              <w:rPr>
                <w:rFonts w:hint="eastAsia" w:ascii="宋体" w:hAnsi="宋体" w:cs="宋体"/>
                <w:sz w:val="21"/>
                <w:szCs w:val="21"/>
                <w:highlight w:val="none"/>
              </w:rPr>
              <w:t xml:space="preserve">2026年</w:t>
            </w:r>
            <w:r>
              <w:rPr>
                <w:rFonts w:hint="eastAsia" w:ascii="宋体" w:hAnsi="宋体" w:cs="宋体"/>
                <w:sz w:val="21"/>
                <w:szCs w:val="21"/>
                <w:highlight w:val="none"/>
                <w:lang w:eastAsia="zh-CN"/>
              </w:rPr>
              <w:t xml:space="preserve">8月25日</w:t>
            </w:r>
            <w:r>
              <w:rPr>
                <w:rFonts w:hint="eastAsia" w:ascii="宋体" w:hAnsi="宋体" w:cs="宋体"/>
                <w:sz w:val="21"/>
                <w:szCs w:val="21"/>
                <w:highlight w:val="none"/>
              </w:rPr>
              <w:t xml:space="preserve">13:30分（北京时间） </w:t>
            </w:r>
            <w:r/>
          </w:p>
          <w:p>
            <w:pPr>
              <w:ind w:left="0"/>
              <w:jc w:val="left"/>
              <w:rPr>
                <w:rFonts w:hint="eastAsia" w:ascii="宋体" w:hAnsi="宋体" w:cs="宋体"/>
                <w:sz w:val="21"/>
                <w:szCs w:val="21"/>
                <w:highlight w:val="none"/>
              </w:rPr>
            </w:pPr>
            <w:r>
              <w:rPr>
                <w:rFonts w:hint="eastAsia" w:ascii="宋体" w:hAnsi="宋体" w:cs="宋体"/>
                <w:sz w:val="21"/>
                <w:szCs w:val="21"/>
                <w:highlight w:val="none"/>
              </w:rPr>
              <w:t xml:space="preserve">响应文件必须在截止时间前完成提交（上传），逾期提交（上传）的响应文件恕不接受。</w:t>
            </w:r>
            <w:r/>
          </w:p>
        </w:tc>
      </w:tr>
      <w:tr>
        <w:trPr>
          <w:jc w:val="center"/>
          <w:trHeight w:val="13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开标时间</w:t>
            </w:r>
            <w:r/>
          </w:p>
          <w:p>
            <w:pPr>
              <w:pStyle w:val="1005"/>
              <w:rPr>
                <w:highlight w:val="none"/>
              </w:rPr>
            </w:pPr>
            <w:r>
              <w:rPr>
                <w:highlight w:val="none"/>
              </w:rPr>
            </w:r>
            <w:r/>
          </w:p>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sz w:val="21"/>
                <w:szCs w:val="21"/>
                <w:highlight w:val="none"/>
              </w:rPr>
            </w:pPr>
            <w:r>
              <w:rPr>
                <w:rFonts w:hint="eastAsia" w:ascii="宋体" w:hAnsi="宋体" w:cs="宋体"/>
                <w:sz w:val="21"/>
                <w:szCs w:val="21"/>
                <w:highlight w:val="none"/>
              </w:rPr>
              <w:t xml:space="preserve">2026年</w:t>
            </w:r>
            <w:r>
              <w:rPr>
                <w:rFonts w:hint="eastAsia" w:ascii="宋体" w:hAnsi="宋体" w:cs="宋体"/>
                <w:sz w:val="21"/>
                <w:szCs w:val="21"/>
                <w:highlight w:val="none"/>
                <w:lang w:eastAsia="zh-CN"/>
              </w:rPr>
              <w:t xml:space="preserve">8月25日</w:t>
            </w:r>
            <w:r>
              <w:rPr>
                <w:rFonts w:hint="eastAsia" w:ascii="宋体" w:hAnsi="宋体" w:cs="宋体"/>
                <w:sz w:val="21"/>
                <w:szCs w:val="21"/>
                <w:highlight w:val="none"/>
              </w:rPr>
              <w:t xml:space="preserve">13:30分（北京时间）</w:t>
            </w:r>
            <w:r/>
          </w:p>
          <w:p>
            <w:pPr>
              <w:ind w:left="0"/>
              <w:jc w:val="left"/>
              <w:rPr>
                <w:rFonts w:hint="eastAsia" w:ascii="宋体" w:hAnsi="宋体" w:cs="宋体"/>
                <w:sz w:val="21"/>
                <w:szCs w:val="21"/>
                <w:highlight w:val="none"/>
              </w:rPr>
            </w:pPr>
            <w:r>
              <w:rPr>
                <w:rFonts w:hint="eastAsia" w:ascii="宋体" w:hAnsi="宋体" w:cs="宋体"/>
                <w:sz w:val="21"/>
                <w:szCs w:val="21"/>
                <w:highlight w:val="none"/>
              </w:rPr>
              <w:t xml:space="preserve">“苏采云”系统（网址：http://jszfcg.jsczt.cn/）</w:t>
            </w:r>
            <w:r/>
          </w:p>
          <w:p>
            <w:pPr>
              <w:ind w:left="0"/>
              <w:jc w:val="left"/>
              <w:rPr>
                <w:rFonts w:hint="eastAsia" w:ascii="宋体" w:hAnsi="宋体" w:cs="宋体"/>
                <w:sz w:val="21"/>
                <w:szCs w:val="21"/>
                <w:highlight w:val="none"/>
              </w:rPr>
            </w:pPr>
            <w:r>
              <w:rPr>
                <w:rFonts w:hint="eastAsia" w:ascii="宋体" w:hAnsi="宋体" w:cs="宋体"/>
                <w:sz w:val="21"/>
                <w:szCs w:val="21"/>
                <w:highlight w:val="none"/>
              </w:rPr>
              <w:t xml:space="preserve">本项目为不见面开标项目，开标阶段供应商在【供应商解密】环节必须使用 CA证书解密电子响应文件，如在系统规定的解密时间（响应文件提交截止时间后30分钟）内未能完成解密的视为放弃投标。</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宋体"/>
                <w:sz w:val="21"/>
                <w:szCs w:val="21"/>
                <w:highlight w:val="none"/>
              </w:rPr>
            </w:pPr>
            <w:r>
              <w:rPr>
                <w:rFonts w:hint="eastAsia" w:ascii="宋体" w:hAnsi="宋体"/>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sz w:val="21"/>
                <w:szCs w:val="21"/>
                <w:highlight w:val="none"/>
              </w:rPr>
            </w:pPr>
            <w:r>
              <w:rPr>
                <w:rFonts w:hint="eastAsia" w:ascii="宋体" w:hAnsi="宋体"/>
                <w:sz w:val="21"/>
                <w:szCs w:val="21"/>
                <w:highlight w:val="none"/>
              </w:rPr>
              <w:t xml:space="preserve">评标时间</w:t>
            </w:r>
            <w:r/>
          </w:p>
          <w:p>
            <w:pPr>
              <w:ind w:left="0"/>
              <w:jc w:val="center"/>
              <w:spacing w:line="312" w:lineRule="auto"/>
              <w:rPr>
                <w:rFonts w:hint="eastAsia" w:ascii="宋体" w:hAnsi="宋体" w:cs="宋体"/>
                <w:sz w:val="21"/>
                <w:szCs w:val="21"/>
                <w:highlight w:val="none"/>
              </w:rPr>
            </w:pPr>
            <w:r>
              <w:rPr>
                <w:rFonts w:hint="eastAsia" w:ascii="宋体" w:hAnsi="宋体"/>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highlight w:val="none"/>
              </w:rPr>
            </w:pPr>
            <w:r>
              <w:rPr>
                <w:rFonts w:hint="eastAsia" w:ascii="宋体" w:hAnsi="宋体"/>
                <w:sz w:val="21"/>
                <w:szCs w:val="21"/>
                <w:highlight w:val="none"/>
              </w:rPr>
              <w:t xml:space="preserve">2026年</w:t>
            </w:r>
            <w:r>
              <w:rPr>
                <w:rFonts w:hint="eastAsia" w:ascii="宋体" w:hAnsi="宋体"/>
                <w:sz w:val="21"/>
                <w:szCs w:val="21"/>
                <w:highlight w:val="none"/>
                <w:lang w:eastAsia="zh-CN"/>
              </w:rPr>
              <w:t xml:space="preserve">8月25日</w:t>
            </w:r>
            <w:r>
              <w:rPr>
                <w:rFonts w:hint="eastAsia" w:ascii="宋体" w:hAnsi="宋体"/>
                <w:sz w:val="21"/>
                <w:szCs w:val="21"/>
                <w:highlight w:val="none"/>
              </w:rPr>
              <w:t xml:space="preserve">13:30分（北京时间）</w:t>
            </w:r>
            <w:r/>
          </w:p>
          <w:p>
            <w:pPr>
              <w:ind w:left="0"/>
              <w:jc w:val="left"/>
              <w:spacing w:line="312" w:lineRule="auto"/>
              <w:rPr>
                <w:rFonts w:hint="eastAsia" w:ascii="宋体" w:hAnsi="宋体" w:cs="宋体"/>
                <w:sz w:val="21"/>
                <w:szCs w:val="21"/>
                <w:highlight w:val="none"/>
              </w:rPr>
            </w:pPr>
            <w:r>
              <w:rPr>
                <w:rFonts w:hint="eastAsia" w:ascii="宋体" w:hAnsi="宋体" w:cs="宋体"/>
                <w:sz w:val="21"/>
                <w:szCs w:val="21"/>
                <w:highlight w:val="none"/>
              </w:rPr>
              <w:t xml:space="preserve">苏州市高新区狮山科技馆8楼</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sz w:val="21"/>
                <w:szCs w:val="21"/>
                <w:highlight w:val="none"/>
              </w:rPr>
            </w:pPr>
            <w:r>
              <w:rPr>
                <w:rFonts w:hint="eastAsia" w:ascii="宋体" w:hAnsi="宋体"/>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highlight w:val="none"/>
              </w:rPr>
            </w:pPr>
            <w:r>
              <w:rPr>
                <w:rFonts w:hint="eastAsia" w:ascii="宋体" w:hAnsi="宋体"/>
                <w:sz w:val="21"/>
                <w:szCs w:val="21"/>
                <w:highlight w:val="none"/>
              </w:rPr>
              <w:t xml:space="preserve">投（响应）文件份数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highlight w:val="none"/>
              </w:rPr>
            </w:pPr>
            <w:r>
              <w:rPr>
                <w:rFonts w:hint="eastAsia" w:ascii="宋体" w:hAnsi="宋体" w:cs="Arial"/>
                <w:sz w:val="21"/>
                <w:szCs w:val="21"/>
                <w:highlight w:val="none"/>
              </w:rPr>
              <w:t xml:space="preserve">本项目采用电子响应文件，投标人按照招标文件要求制作上传电子响应文件，投标人无需提供纸质响应文件。</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现场踏勘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sz w:val="21"/>
                <w:szCs w:val="21"/>
                <w:highlight w:val="none"/>
              </w:rPr>
            </w:pPr>
            <w:r>
              <w:rPr>
                <w:rFonts w:hint="eastAsia" w:ascii="宋体" w:hAnsi="宋体" w:cs="宋体"/>
                <w:sz w:val="21"/>
                <w:szCs w:val="21"/>
                <w:highlight w:val="none"/>
              </w:rPr>
              <w:t xml:space="preserve">本项目不组织统一勘察</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sz w:val="21"/>
                <w:szCs w:val="21"/>
                <w:highlight w:val="none"/>
              </w:rPr>
            </w:pPr>
            <w:r>
              <w:rPr>
                <w:rFonts w:hint="eastAsia" w:ascii="宋体" w:hAnsi="宋体" w:cs="宋体"/>
                <w:sz w:val="21"/>
                <w:szCs w:val="21"/>
                <w:highlight w:val="none"/>
              </w:rPr>
              <w:t xml:space="preserve">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highlight w:val="none"/>
              </w:rPr>
            </w:pPr>
            <w:r>
              <w:rPr>
                <w:rFonts w:hint="eastAsia" w:ascii="宋体" w:hAnsi="宋体"/>
                <w:sz w:val="21"/>
                <w:szCs w:val="21"/>
                <w:highlight w:val="none"/>
              </w:rPr>
              <w:t xml:space="preserve">中标</w:t>
            </w:r>
            <w:r>
              <w:rPr>
                <w:rFonts w:hint="eastAsia" w:ascii="宋体" w:hAnsi="宋体" w:cs="宋体"/>
                <w:sz w:val="21"/>
                <w:szCs w:val="21"/>
                <w:highlight w:val="none"/>
              </w:rPr>
              <w:t xml:space="preserve">(成交)</w:t>
            </w:r>
            <w:r>
              <w:rPr>
                <w:rFonts w:hint="eastAsia" w:ascii="宋体" w:hAnsi="宋体"/>
                <w:sz w:val="21"/>
                <w:szCs w:val="21"/>
                <w:highlight w:val="none"/>
              </w:rPr>
              <w:t xml:space="preserve">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25"/>
              <w:ind w:left="0" w:firstLine="0"/>
              <w:spacing w:line="440" w:lineRule="exact"/>
              <w:rPr>
                <w:rFonts w:hint="eastAsia" w:ascii="宋体" w:hAnsi="宋体" w:cs="Arial"/>
                <w:sz w:val="21"/>
                <w:szCs w:val="21"/>
                <w:highlight w:val="none"/>
                <w:lang w:val="en-US"/>
              </w:rPr>
            </w:pPr>
            <w:r>
              <w:rPr>
                <w:rFonts w:hint="eastAsia" w:ascii="宋体" w:hAnsi="宋体" w:cs="Arial"/>
                <w:sz w:val="21"/>
                <w:szCs w:val="21"/>
                <w:highlight w:val="none"/>
                <w:lang w:val="en-US"/>
              </w:rPr>
              <w:t xml:space="preserve">确定出中标(成交)人后，采购代理机构在法定时间内向中标(成交)人发出中标(成交)通知书。中标(成交)通知书将成为合同的组成部分。</w:t>
            </w:r>
            <w:r/>
          </w:p>
          <w:p>
            <w:pPr>
              <w:pStyle w:val="1025"/>
              <w:ind w:left="0" w:firstLine="0"/>
              <w:spacing w:line="440" w:lineRule="exact"/>
              <w:rPr>
                <w:rFonts w:hint="eastAsia" w:ascii="宋体" w:hAnsi="宋体" w:cs="宋体"/>
                <w:sz w:val="21"/>
                <w:szCs w:val="21"/>
                <w:highlight w:val="none"/>
              </w:rPr>
            </w:pPr>
            <w:r>
              <w:rPr>
                <w:rFonts w:hint="eastAsia" w:ascii="宋体" w:hAnsi="宋体" w:cs="Arial"/>
                <w:b/>
                <w:bCs/>
                <w:sz w:val="21"/>
                <w:szCs w:val="21"/>
                <w:highlight w:val="none"/>
                <w:lang w:val="en-US"/>
              </w:rPr>
              <w:t xml:space="preserve">请中标人在中标结果公告届满之日起30日内,使用CA证书登录“苏采云”系统及时下载中标通知书。</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25"/>
              <w:ind w:left="0" w:firstLine="0"/>
              <w:rPr>
                <w:rFonts w:hint="eastAsia" w:ascii="宋体" w:hAnsi="宋体" w:cs="宋体"/>
                <w:sz w:val="21"/>
                <w:szCs w:val="21"/>
                <w:highlight w:val="none"/>
              </w:rPr>
            </w:pPr>
            <w:r>
              <w:rPr>
                <w:rFonts w:hint="eastAsia" w:ascii="宋体" w:hAnsi="宋体" w:cs="宋体"/>
                <w:sz w:val="21"/>
                <w:szCs w:val="21"/>
                <w:highlight w:val="none"/>
              </w:rPr>
              <w:t xml:space="preserve">代理服务费收费标准：</w:t>
            </w:r>
            <w:r/>
          </w:p>
          <w:p>
            <w:pPr>
              <w:pStyle w:val="1025"/>
              <w:ind w:left="0" w:firstLine="0"/>
              <w:rPr>
                <w:rFonts w:hint="eastAsia" w:ascii="宋体" w:hAnsi="宋体" w:cs="宋体"/>
                <w:sz w:val="21"/>
                <w:szCs w:val="21"/>
                <w:highlight w:val="none"/>
              </w:rPr>
            </w:pPr>
            <w:r>
              <w:rPr>
                <w:rFonts w:hint="eastAsia" w:ascii="宋体" w:hAnsi="宋体" w:cs="宋体"/>
                <w:sz w:val="21"/>
                <w:szCs w:val="21"/>
                <w:highlight w:val="none"/>
              </w:rPr>
              <w:t xml:space="preserve">预算金额100万元以下部分，费率为该部分预算金额的1.5%；</w:t>
            </w:r>
            <w:r/>
          </w:p>
          <w:p>
            <w:pPr>
              <w:pStyle w:val="1025"/>
              <w:ind w:left="0" w:firstLine="0"/>
              <w:rPr>
                <w:rFonts w:hint="eastAsia" w:ascii="宋体" w:hAnsi="宋体" w:cs="宋体"/>
                <w:sz w:val="21"/>
                <w:szCs w:val="21"/>
                <w:highlight w:val="none"/>
              </w:rPr>
            </w:pPr>
            <w:r>
              <w:rPr>
                <w:rFonts w:hint="eastAsia" w:ascii="宋体" w:hAnsi="宋体" w:cs="宋体"/>
                <w:sz w:val="21"/>
                <w:szCs w:val="21"/>
                <w:highlight w:val="none"/>
              </w:rPr>
              <w:t xml:space="preserve">预算金额100万元（含）－500万元部分，费率为该部分预算金额的1.1%；</w:t>
            </w:r>
            <w:r/>
          </w:p>
          <w:p>
            <w:pPr>
              <w:pStyle w:val="1025"/>
              <w:ind w:left="0" w:firstLine="0"/>
              <w:rPr>
                <w:rFonts w:hint="eastAsia" w:ascii="宋体" w:hAnsi="宋体" w:cs="宋体"/>
                <w:sz w:val="21"/>
                <w:szCs w:val="21"/>
                <w:highlight w:val="none"/>
              </w:rPr>
            </w:pPr>
            <w:r>
              <w:rPr>
                <w:rFonts w:hint="eastAsia" w:ascii="宋体" w:hAnsi="宋体" w:cs="宋体"/>
                <w:sz w:val="21"/>
                <w:szCs w:val="21"/>
                <w:highlight w:val="none"/>
              </w:rPr>
              <w:t xml:space="preserve">预算金额500万元（含）-1000万元部分，费率为该部分预算金额的0.8%；</w:t>
            </w:r>
            <w:r/>
          </w:p>
          <w:p>
            <w:pPr>
              <w:pStyle w:val="1025"/>
              <w:ind w:left="0" w:firstLine="0"/>
              <w:rPr>
                <w:rFonts w:hint="eastAsia" w:ascii="宋体" w:hAnsi="宋体" w:cs="宋体"/>
                <w:sz w:val="21"/>
                <w:szCs w:val="21"/>
                <w:highlight w:val="none"/>
              </w:rPr>
            </w:pPr>
            <w:r>
              <w:rPr>
                <w:rFonts w:hint="eastAsia" w:ascii="宋体" w:hAnsi="宋体" w:cs="宋体"/>
                <w:sz w:val="21"/>
                <w:szCs w:val="21"/>
                <w:highlight w:val="none"/>
              </w:rPr>
              <w:t xml:space="preserve">预算金额1000万元（含）-5000万元部分，费率为该部分预算金额的0.5%；</w:t>
            </w:r>
            <w:r/>
          </w:p>
          <w:p>
            <w:pPr>
              <w:pStyle w:val="1025"/>
              <w:ind w:left="0" w:firstLine="0"/>
              <w:rPr>
                <w:rFonts w:hint="eastAsia" w:ascii="宋体" w:hAnsi="宋体" w:cs="宋体"/>
                <w:sz w:val="21"/>
                <w:szCs w:val="21"/>
                <w:highlight w:val="none"/>
              </w:rPr>
            </w:pPr>
            <w:r>
              <w:rPr>
                <w:rFonts w:hint="eastAsia" w:ascii="宋体" w:hAnsi="宋体" w:cs="宋体"/>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w:t>
            </w:r>
            <w:r>
              <w:rPr>
                <w:rFonts w:ascii="宋体" w:hAnsi="宋体" w:cs="宋体"/>
                <w:sz w:val="21"/>
                <w:szCs w:val="21"/>
                <w:highlight w:val="none"/>
              </w:rPr>
              <w:t xml:space="preserve">4000</w:t>
            </w:r>
            <w:r>
              <w:rPr>
                <w:rFonts w:hint="eastAsia" w:ascii="宋体" w:hAnsi="宋体" w:cs="宋体"/>
                <w:sz w:val="21"/>
                <w:szCs w:val="21"/>
                <w:highlight w:val="none"/>
              </w:rPr>
              <w:t xml:space="preserve">元整的，则本项目代理服务费按人民币</w:t>
            </w:r>
            <w:r>
              <w:rPr>
                <w:rFonts w:ascii="宋体" w:hAnsi="宋体" w:cs="宋体"/>
                <w:sz w:val="21"/>
                <w:szCs w:val="21"/>
                <w:highlight w:val="none"/>
              </w:rPr>
              <w:t xml:space="preserve">4000</w:t>
            </w:r>
            <w:r>
              <w:rPr>
                <w:rFonts w:hint="eastAsia" w:ascii="宋体" w:hAnsi="宋体" w:cs="宋体"/>
                <w:sz w:val="21"/>
                <w:szCs w:val="21"/>
                <w:highlight w:val="none"/>
              </w:rPr>
              <w:t xml:space="preserve">元整计收。</w:t>
            </w:r>
            <w:r/>
          </w:p>
          <w:p>
            <w:pPr>
              <w:pStyle w:val="1025"/>
              <w:ind w:left="0" w:firstLine="0"/>
              <w:jc w:val="left"/>
              <w:rPr>
                <w:rFonts w:hint="default" w:ascii="宋体" w:hAnsi="宋体" w:cs="宋体"/>
                <w:sz w:val="21"/>
                <w:szCs w:val="21"/>
                <w:highlight w:val="none"/>
                <w:lang w:val="en-US" w:eastAsia="zh-CN"/>
              </w:rPr>
            </w:pPr>
            <w:r>
              <w:rPr>
                <w:rFonts w:hint="eastAsia" w:ascii="宋体" w:hAnsi="宋体" w:cs="宋体"/>
                <w:sz w:val="21"/>
                <w:szCs w:val="21"/>
                <w:highlight w:val="none"/>
              </w:rPr>
              <w:t xml:space="preserve">本项目中标服务费已包含在预算价中，由中标单位支付，中标单位在领取中标通知书时一次性付清</w:t>
            </w:r>
            <w:r>
              <w:rPr>
                <w:rFonts w:hint="eastAsia" w:ascii="宋体" w:hAnsi="宋体" w:cs="宋体"/>
                <w:sz w:val="21"/>
                <w:szCs w:val="21"/>
                <w:highlight w:val="none"/>
                <w:lang w:eastAsia="zh-CN"/>
              </w:rPr>
              <w:t xml:space="preserve">。本次项目招标代理服务费为</w:t>
            </w:r>
            <w:r>
              <w:rPr>
                <w:rFonts w:hint="eastAsia" w:ascii="宋体" w:hAnsi="宋体" w:cs="宋体"/>
                <w:sz w:val="21"/>
                <w:szCs w:val="21"/>
                <w:highlight w:val="none"/>
                <w:lang w:val="en-US" w:eastAsia="zh-CN"/>
              </w:rPr>
              <w:t xml:space="preserve">35333.00元</w:t>
            </w:r>
            <w:r/>
          </w:p>
          <w:p>
            <w:pPr>
              <w:pStyle w:val="1025"/>
              <w:ind w:left="0" w:firstLine="0"/>
              <w:jc w:val="left"/>
              <w:rPr>
                <w:rFonts w:hint="eastAsia" w:ascii="宋体" w:hAnsi="宋体" w:cs="宋体"/>
                <w:sz w:val="21"/>
                <w:szCs w:val="21"/>
                <w:highlight w:val="none"/>
              </w:rPr>
            </w:pPr>
            <w:r>
              <w:rPr>
                <w:rFonts w:hint="eastAsia" w:ascii="宋体" w:hAnsi="宋体" w:cs="宋体"/>
                <w:sz w:val="21"/>
                <w:szCs w:val="21"/>
                <w:highlight w:val="none"/>
              </w:rPr>
              <w:t xml:space="preserve">汇款银行资料：</w:t>
            </w:r>
            <w:r/>
          </w:p>
          <w:p>
            <w:pPr>
              <w:pStyle w:val="1025"/>
              <w:ind w:left="0" w:firstLine="0"/>
              <w:rPr>
                <w:rFonts w:hint="eastAsia" w:ascii="宋体" w:hAnsi="宋体" w:cs="宋体"/>
                <w:sz w:val="21"/>
                <w:szCs w:val="21"/>
                <w:highlight w:val="none"/>
              </w:rPr>
            </w:pPr>
            <w:r>
              <w:rPr>
                <w:rFonts w:hint="eastAsia" w:ascii="宋体" w:hAnsi="宋体" w:cs="宋体"/>
                <w:sz w:val="21"/>
                <w:szCs w:val="21"/>
                <w:highlight w:val="none"/>
              </w:rPr>
              <w:t xml:space="preserve">收款人名称：苏州永正造价师事务所有限公司</w:t>
            </w:r>
            <w:r/>
          </w:p>
          <w:p>
            <w:pPr>
              <w:pStyle w:val="1025"/>
              <w:ind w:left="0" w:firstLine="0"/>
              <w:rPr>
                <w:rFonts w:hint="eastAsia" w:ascii="宋体" w:hAnsi="宋体" w:cs="宋体"/>
                <w:sz w:val="21"/>
                <w:szCs w:val="21"/>
                <w:highlight w:val="none"/>
              </w:rPr>
            </w:pPr>
            <w:r>
              <w:rPr>
                <w:rFonts w:hint="eastAsia" w:ascii="宋体" w:hAnsi="宋体" w:cs="宋体"/>
                <w:sz w:val="21"/>
                <w:szCs w:val="21"/>
                <w:highlight w:val="none"/>
              </w:rPr>
              <w:t xml:space="preserve">开户行名称：中国银行苏州市吴中支行</w:t>
            </w:r>
            <w:r/>
          </w:p>
          <w:p>
            <w:pPr>
              <w:pStyle w:val="1025"/>
              <w:ind w:left="0" w:firstLine="0"/>
              <w:rPr>
                <w:rFonts w:hint="eastAsia" w:ascii="宋体" w:hAnsi="宋体" w:cs="宋体"/>
                <w:sz w:val="21"/>
                <w:szCs w:val="21"/>
                <w:highlight w:val="none"/>
              </w:rPr>
            </w:pPr>
            <w:r>
              <w:rPr>
                <w:rFonts w:hint="eastAsia" w:ascii="宋体" w:hAnsi="宋体" w:cs="宋体"/>
                <w:sz w:val="21"/>
                <w:szCs w:val="21"/>
                <w:highlight w:val="none"/>
              </w:rPr>
              <w:t xml:space="preserve">银行</w:t>
            </w:r>
            <w:r>
              <w:rPr>
                <w:rFonts w:hint="eastAsia" w:ascii="宋体" w:hAnsi="宋体" w:cs="宋体"/>
                <w:sz w:val="21"/>
                <w:szCs w:val="21"/>
                <w:highlight w:val="none"/>
                <w:lang w:val="en-US"/>
              </w:rPr>
              <w:t xml:space="preserve">账</w:t>
            </w:r>
            <w:r>
              <w:rPr>
                <w:rFonts w:hint="eastAsia" w:ascii="宋体" w:hAnsi="宋体" w:cs="宋体"/>
                <w:sz w:val="21"/>
                <w:szCs w:val="21"/>
                <w:highlight w:val="none"/>
              </w:rPr>
              <w:t xml:space="preserve">号：492358211823</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sz w:val="21"/>
                <w:szCs w:val="21"/>
                <w:highlight w:val="none"/>
              </w:rPr>
            </w:pPr>
            <w:r/>
            <w:bookmarkStart w:id="5" w:name="_Toc57376405"/>
            <w:r/>
            <w:bookmarkStart w:id="6" w:name="_Toc58248879"/>
            <w:r/>
            <w:bookmarkStart w:id="7" w:name="_Toc28592"/>
            <w:r/>
            <w:bookmarkStart w:id="8" w:name="_Toc7166"/>
            <w:r>
              <w:rPr>
                <w:rFonts w:hint="eastAsia" w:ascii="宋体" w:hAnsi="宋体" w:cs="宋体"/>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sz w:val="21"/>
                <w:szCs w:val="21"/>
                <w:highlight w:val="none"/>
              </w:rPr>
            </w:pPr>
            <w:r>
              <w:rPr>
                <w:rFonts w:hint="eastAsia" w:ascii="宋体" w:hAnsi="宋体" w:cs="宋体"/>
                <w:sz w:val="21"/>
                <w:szCs w:val="21"/>
                <w:highlight w:val="none"/>
              </w:rPr>
              <w:t xml:space="preserve">监督</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25"/>
              <w:ind w:left="0" w:firstLine="0"/>
              <w:rPr>
                <w:rFonts w:hint="eastAsia" w:ascii="宋体" w:hAnsi="宋体" w:cs="宋体"/>
                <w:sz w:val="21"/>
                <w:szCs w:val="21"/>
                <w:highlight w:val="none"/>
              </w:rPr>
            </w:pPr>
            <w:r>
              <w:rPr>
                <w:rFonts w:hint="eastAsia" w:ascii="宋体" w:hAnsi="宋体" w:cs="宋体"/>
                <w:sz w:val="24"/>
                <w:highlight w:val="none"/>
              </w:rPr>
              <w:t xml:space="preserve">相城区政局政府采购监督电话：0512-67591005、0512-67591006。</w:t>
            </w:r>
            <w:r/>
          </w:p>
        </w:tc>
      </w:tr>
    </w:tbl>
    <w:p>
      <w:pPr>
        <w:ind w:left="0"/>
        <w:jc w:val="center"/>
        <w:rPr>
          <w:rFonts w:hint="eastAsia" w:ascii="宋体" w:hAnsi="宋体" w:cs="宋体"/>
          <w:b/>
          <w:sz w:val="44"/>
          <w:szCs w:val="44"/>
          <w:highlight w:val="none"/>
        </w:rPr>
      </w:pPr>
      <w:r>
        <w:rPr>
          <w:rFonts w:hint="eastAsia" w:ascii="宋体" w:hAnsi="宋体" w:cs="宋体"/>
          <w:b/>
          <w:sz w:val="44"/>
          <w:szCs w:val="44"/>
          <w:highlight w:val="none"/>
        </w:rPr>
        <w:br w:type="page" w:clear="all"/>
      </w:r>
      <w:r/>
    </w:p>
    <w:p>
      <w:pPr>
        <w:ind w:left="0"/>
        <w:jc w:val="center"/>
        <w:rPr>
          <w:rFonts w:hint="eastAsia" w:ascii="宋体" w:hAnsi="宋体" w:cs="宋体"/>
          <w:sz w:val="44"/>
          <w:szCs w:val="44"/>
          <w:highlight w:val="none"/>
        </w:rPr>
      </w:pPr>
      <w:r>
        <w:rPr>
          <w:rFonts w:hint="eastAsia" w:ascii="宋体" w:hAnsi="宋体" w:cs="宋体"/>
          <w:sz w:val="44"/>
          <w:szCs w:val="44"/>
          <w:highlight w:val="none"/>
        </w:rPr>
        <w:t xml:space="preserve">目     录</w:t>
      </w:r>
      <w:r/>
    </w:p>
    <w:p>
      <w:pPr>
        <w:pStyle w:val="830"/>
        <w:rPr>
          <w:rFonts w:hint="eastAsia" w:ascii="宋体" w:hAnsi="宋体" w:cs="宋体"/>
          <w:highlight w:val="none"/>
        </w:rPr>
      </w:pPr>
      <w:r>
        <w:rPr>
          <w:rFonts w:hint="eastAsia" w:ascii="宋体" w:hAnsi="宋体" w:cs="宋体"/>
          <w:highlight w:val="none"/>
        </w:rPr>
      </w:r>
      <w:r/>
    </w:p>
    <w:p>
      <w:pPr>
        <w:pStyle w:val="1016"/>
        <w:ind w:firstLine="0"/>
        <w:tabs>
          <w:tab w:val="right" w:pos="9864" w:leader="dot"/>
        </w:tabs>
        <w:rPr>
          <w:rFonts w:hint="eastAsia"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"_Toc31973" </w:instrText>
      </w:r>
      <w:r>
        <w:rPr>
          <w:highlight w:val="none"/>
        </w:rPr>
        <w:fldChar w:fldCharType="separate"/>
      </w:r>
      <w:r>
        <w:rPr>
          <w:rFonts w:hint="eastAsia" w:ascii="宋体" w:hAnsi="宋体" w:cs="宋体"/>
          <w:sz w:val="28"/>
          <w:szCs w:val="28"/>
          <w:highlight w:val="none"/>
        </w:rPr>
        <w:t xml:space="preserve">第一章 磋商邀请函</w:t>
      </w:r>
      <w:r>
        <w:rPr>
          <w:rFonts w:hint="eastAsia" w:ascii="宋体" w:hAnsi="宋体" w:cs="宋体"/>
          <w:sz w:val="28"/>
          <w:szCs w:val="28"/>
          <w:highlight w:val="none"/>
        </w:rPr>
        <w:fldChar w:fldCharType="end"/>
      </w:r>
      <w:r/>
    </w:p>
    <w:p>
      <w:pPr>
        <w:pStyle w:val="1016"/>
        <w:ind w:firstLine="0"/>
        <w:tabs>
          <w:tab w:val="right" w:pos="9864" w:leader="dot"/>
        </w:tabs>
        <w:rPr>
          <w:rFonts w:hint="eastAsia" w:ascii="宋体" w:hAnsi="宋体" w:cs="宋体"/>
          <w:sz w:val="28"/>
          <w:szCs w:val="28"/>
          <w:highlight w:val="none"/>
        </w:rPr>
      </w:pPr>
      <w:r>
        <w:rPr>
          <w:highlight w:val="none"/>
        </w:rPr>
        <w:fldChar w:fldCharType="begin"/>
      </w:r>
      <w:r>
        <w:rPr>
          <w:highlight w:val="none"/>
        </w:rPr>
        <w:instrText xml:space="preserve"> HYPERLINK \l "_Toc17757" </w:instrText>
      </w:r>
      <w:r>
        <w:rPr>
          <w:highlight w:val="none"/>
        </w:rPr>
        <w:fldChar w:fldCharType="separate"/>
      </w:r>
      <w:r>
        <w:rPr>
          <w:rFonts w:hint="eastAsia" w:ascii="宋体" w:hAnsi="宋体" w:cs="宋体"/>
          <w:sz w:val="28"/>
          <w:szCs w:val="28"/>
          <w:highlight w:val="none"/>
        </w:rPr>
        <w:t xml:space="preserve">第二章 磋商须知</w:t>
      </w:r>
      <w:r>
        <w:rPr>
          <w:rFonts w:hint="eastAsia" w:ascii="宋体" w:hAnsi="宋体" w:cs="宋体"/>
          <w:sz w:val="28"/>
          <w:szCs w:val="28"/>
          <w:highlight w:val="none"/>
        </w:rPr>
        <w:fldChar w:fldCharType="end"/>
      </w:r>
      <w:r/>
    </w:p>
    <w:p>
      <w:pPr>
        <w:pStyle w:val="1016"/>
        <w:ind w:firstLine="0"/>
        <w:tabs>
          <w:tab w:val="right" w:pos="9864" w:leader="dot"/>
        </w:tabs>
        <w:rPr>
          <w:rFonts w:hint="eastAsia" w:ascii="宋体" w:hAnsi="宋体" w:cs="宋体"/>
          <w:sz w:val="28"/>
          <w:szCs w:val="28"/>
          <w:highlight w:val="none"/>
        </w:rPr>
      </w:pPr>
      <w:r>
        <w:rPr>
          <w:highlight w:val="none"/>
        </w:rPr>
        <w:fldChar w:fldCharType="begin"/>
      </w:r>
      <w:r>
        <w:rPr>
          <w:highlight w:val="none"/>
        </w:rPr>
        <w:instrText xml:space="preserve"> HYPERLINK \l "_Toc332" </w:instrText>
      </w:r>
      <w:r>
        <w:rPr>
          <w:highlight w:val="none"/>
        </w:rPr>
        <w:fldChar w:fldCharType="separate"/>
      </w:r>
      <w:r>
        <w:rPr>
          <w:rFonts w:hint="eastAsia" w:ascii="宋体" w:hAnsi="宋体" w:cs="宋体"/>
          <w:sz w:val="28"/>
          <w:szCs w:val="28"/>
          <w:highlight w:val="none"/>
        </w:rPr>
        <w:t xml:space="preserve">第三章 响应文件格式</w:t>
      </w:r>
      <w:r>
        <w:rPr>
          <w:rFonts w:hint="eastAsia" w:ascii="宋体" w:hAnsi="宋体" w:cs="宋体"/>
          <w:sz w:val="28"/>
          <w:szCs w:val="28"/>
          <w:highlight w:val="none"/>
        </w:rPr>
        <w:fldChar w:fldCharType="end"/>
      </w:r>
      <w:r/>
    </w:p>
    <w:p>
      <w:pPr>
        <w:pStyle w:val="1016"/>
        <w:ind w:firstLine="0"/>
        <w:tabs>
          <w:tab w:val="right" w:pos="9864" w:leader="dot"/>
        </w:tabs>
        <w:rPr>
          <w:rFonts w:hint="eastAsia" w:ascii="宋体" w:hAnsi="宋体" w:cs="宋体"/>
          <w:sz w:val="28"/>
          <w:szCs w:val="28"/>
          <w:highlight w:val="none"/>
        </w:rPr>
      </w:pPr>
      <w:r>
        <w:rPr>
          <w:highlight w:val="none"/>
        </w:rPr>
        <w:fldChar w:fldCharType="begin"/>
      </w:r>
      <w:r>
        <w:rPr>
          <w:highlight w:val="none"/>
        </w:rPr>
        <w:instrText xml:space="preserve"> HYPERLINK \l "_Toc23981" </w:instrText>
      </w:r>
      <w:r>
        <w:rPr>
          <w:highlight w:val="none"/>
        </w:rPr>
        <w:fldChar w:fldCharType="separate"/>
      </w:r>
      <w:r>
        <w:rPr>
          <w:rFonts w:hint="eastAsia" w:ascii="宋体" w:hAnsi="宋体" w:cs="宋体"/>
          <w:sz w:val="28"/>
          <w:szCs w:val="28"/>
          <w:highlight w:val="none"/>
        </w:rPr>
        <w:t xml:space="preserve">第四章 采购内容</w:t>
      </w:r>
      <w:r>
        <w:rPr>
          <w:rFonts w:hint="eastAsia" w:ascii="宋体" w:hAnsi="宋体" w:cs="宋体"/>
          <w:sz w:val="28"/>
          <w:szCs w:val="28"/>
          <w:highlight w:val="none"/>
        </w:rPr>
        <w:fldChar w:fldCharType="end"/>
      </w:r>
      <w:r/>
    </w:p>
    <w:p>
      <w:pPr>
        <w:pStyle w:val="1016"/>
        <w:ind w:firstLine="0"/>
        <w:tabs>
          <w:tab w:val="right" w:pos="9864" w:leader="dot"/>
        </w:tabs>
        <w:rPr>
          <w:rFonts w:hint="eastAsia" w:ascii="宋体" w:hAnsi="宋体" w:cs="宋体"/>
          <w:sz w:val="28"/>
          <w:szCs w:val="28"/>
          <w:highlight w:val="none"/>
        </w:rPr>
      </w:pPr>
      <w:r>
        <w:rPr>
          <w:highlight w:val="none"/>
        </w:rPr>
        <w:fldChar w:fldCharType="begin"/>
      </w:r>
      <w:r>
        <w:rPr>
          <w:highlight w:val="none"/>
        </w:rPr>
        <w:instrText xml:space="preserve"> HYPERLINK \l "_Toc26481" </w:instrText>
      </w:r>
      <w:r>
        <w:rPr>
          <w:highlight w:val="none"/>
        </w:rPr>
        <w:fldChar w:fldCharType="separate"/>
      </w:r>
      <w:r>
        <w:rPr>
          <w:rFonts w:hint="eastAsia" w:ascii="宋体" w:hAnsi="宋体" w:cs="宋体"/>
          <w:sz w:val="28"/>
          <w:szCs w:val="28"/>
          <w:highlight w:val="none"/>
        </w:rPr>
        <w:t xml:space="preserve">第五章 合同及主要条款</w:t>
      </w:r>
      <w:r>
        <w:rPr>
          <w:rFonts w:hint="eastAsia" w:ascii="宋体" w:hAnsi="宋体" w:cs="宋体"/>
          <w:sz w:val="28"/>
          <w:szCs w:val="28"/>
          <w:highlight w:val="none"/>
        </w:rPr>
        <w:fldChar w:fldCharType="end"/>
      </w:r>
      <w:r/>
    </w:p>
    <w:p>
      <w:pPr>
        <w:pStyle w:val="1016"/>
        <w:ind w:firstLine="0"/>
        <w:tabs>
          <w:tab w:val="right" w:pos="9864" w:leader="dot"/>
        </w:tabs>
        <w:rPr>
          <w:rFonts w:hint="eastAsia" w:ascii="宋体" w:hAnsi="宋体" w:cs="宋体"/>
          <w:sz w:val="28"/>
          <w:szCs w:val="28"/>
          <w:highlight w:val="none"/>
        </w:rPr>
      </w:pPr>
      <w:r>
        <w:rPr>
          <w:highlight w:val="none"/>
        </w:rPr>
        <w:fldChar w:fldCharType="begin"/>
      </w:r>
      <w:r>
        <w:rPr>
          <w:highlight w:val="none"/>
        </w:rPr>
        <w:instrText xml:space="preserve"> HYPERLINK \l "_Toc16154" </w:instrText>
      </w:r>
      <w:r>
        <w:rPr>
          <w:highlight w:val="none"/>
        </w:rPr>
        <w:fldChar w:fldCharType="separate"/>
      </w:r>
      <w:r>
        <w:rPr>
          <w:rFonts w:hint="eastAsia" w:ascii="宋体" w:hAnsi="宋体" w:cs="宋体"/>
          <w:sz w:val="28"/>
          <w:szCs w:val="28"/>
          <w:highlight w:val="none"/>
        </w:rPr>
        <w:t xml:space="preserve">第六章 评审办法</w:t>
      </w:r>
      <w:r>
        <w:rPr>
          <w:rFonts w:hint="eastAsia" w:ascii="宋体" w:hAnsi="宋体" w:cs="宋体"/>
          <w:sz w:val="28"/>
          <w:szCs w:val="28"/>
          <w:highlight w:val="none"/>
        </w:rPr>
        <w:fldChar w:fldCharType="end"/>
      </w:r>
      <w:r/>
    </w:p>
    <w:p>
      <w:pPr>
        <w:pStyle w:val="1016"/>
        <w:ind w:firstLine="0"/>
        <w:tabs>
          <w:tab w:val="right" w:pos="9864" w:leader="dot"/>
        </w:tabs>
        <w:rPr>
          <w:rFonts w:hint="eastAsia" w:ascii="宋体" w:hAnsi="宋体" w:cs="宋体"/>
          <w:sz w:val="28"/>
          <w:szCs w:val="28"/>
          <w:highlight w:val="none"/>
        </w:rPr>
      </w:pPr>
      <w:r>
        <w:rPr>
          <w:highlight w:val="none"/>
        </w:rPr>
        <w:fldChar w:fldCharType="begin"/>
      </w:r>
      <w:r>
        <w:rPr>
          <w:highlight w:val="none"/>
        </w:rPr>
        <w:instrText xml:space="preserve"> HYPERLINK \l "_Toc9262" </w:instrText>
      </w:r>
      <w:r>
        <w:rPr>
          <w:highlight w:val="none"/>
        </w:rPr>
        <w:fldChar w:fldCharType="separate"/>
      </w:r>
      <w:r>
        <w:rPr>
          <w:highlight w:val="none"/>
        </w:rPr>
        <w:fldChar w:fldCharType="end"/>
      </w:r>
      <w:r/>
    </w:p>
    <w:p>
      <w:pPr>
        <w:pStyle w:val="998"/>
        <w:ind w:left="0" w:firstLine="0"/>
        <w:jc w:val="center"/>
        <w:rPr>
          <w:rFonts w:hint="eastAsia" w:ascii="宋体" w:hAnsi="宋体" w:cs="宋体"/>
          <w:sz w:val="28"/>
          <w:szCs w:val="28"/>
          <w:highlight w:val="none"/>
        </w:rPr>
        <w:sectPr>
          <w:headerReference w:type="default" r:id="rId11"/>
          <w:headerReference w:type="first" r:id="rId12"/>
          <w:footerReference w:type="default" r:id="rId15"/>
          <w:footerReference w:type="first" r:id="rId16"/>
          <w:footnotePr/>
          <w:endnotePr/>
          <w:type w:val="nextPage"/>
          <w:pgSz w:w="11906" w:h="16838" w:orient="portrait"/>
          <w:pgMar w:top="1418" w:right="1021" w:bottom="1418" w:left="1021" w:header="794" w:footer="567" w:gutter="0"/>
          <w:cols w:num="1" w:sep="0" w:space="1701" w:equalWidth="1"/>
          <w:docGrid w:linePitch="360"/>
          <w:titlePg/>
        </w:sectPr>
      </w:pPr>
      <w:r>
        <w:rPr>
          <w:rFonts w:hint="eastAsia" w:ascii="宋体" w:hAnsi="宋体" w:cs="宋体"/>
          <w:sz w:val="28"/>
          <w:szCs w:val="28"/>
          <w:highlight w:val="none"/>
        </w:rPr>
        <w:fldChar w:fldCharType="end"/>
      </w:r>
      <w:bookmarkStart w:id="9" w:name="_Toc19808"/>
      <w:r/>
      <w:r/>
    </w:p>
    <w:p>
      <w:pPr>
        <w:rPr>
          <w:highlight w:val="none"/>
        </w:rPr>
      </w:pPr>
      <w:r>
        <w:rPr>
          <w:highlight w:val="none"/>
        </w:rPr>
      </w:r>
      <w:r/>
    </w:p>
    <w:p>
      <w:pPr>
        <w:pStyle w:val="998"/>
        <w:ind w:left="0" w:firstLine="0"/>
        <w:jc w:val="center"/>
        <w:rPr>
          <w:rFonts w:hint="eastAsia" w:ascii="宋体" w:hAnsi="宋体" w:cs="宋体"/>
          <w:b/>
          <w:sz w:val="44"/>
          <w:szCs w:val="44"/>
          <w:highlight w:val="none"/>
        </w:rPr>
      </w:pPr>
      <w:r>
        <w:rPr>
          <w:rFonts w:hint="eastAsia" w:ascii="宋体" w:hAnsi="宋体" w:cs="宋体"/>
          <w:b/>
          <w:sz w:val="44"/>
          <w:szCs w:val="44"/>
          <w:highlight w:val="none"/>
        </w:rPr>
      </w:r>
      <w:r/>
    </w:p>
    <w:p>
      <w:pPr>
        <w:pStyle w:val="998"/>
        <w:ind w:left="0" w:firstLine="0"/>
        <w:jc w:val="center"/>
        <w:rPr>
          <w:rFonts w:hint="eastAsia" w:ascii="宋体" w:hAnsi="宋体" w:cs="宋体"/>
          <w:b/>
          <w:sz w:val="44"/>
          <w:szCs w:val="44"/>
          <w:highlight w:val="none"/>
        </w:rPr>
      </w:pPr>
      <w:r>
        <w:rPr>
          <w:rFonts w:hint="eastAsia" w:ascii="宋体" w:hAnsi="宋体" w:cs="宋体"/>
          <w:b/>
          <w:sz w:val="44"/>
          <w:szCs w:val="44"/>
          <w:highlight w:val="none"/>
        </w:rPr>
      </w:r>
      <w:r/>
    </w:p>
    <w:p>
      <w:pPr>
        <w:pStyle w:val="998"/>
        <w:ind w:left="0" w:firstLine="0"/>
        <w:jc w:val="center"/>
        <w:rPr>
          <w:rFonts w:hint="eastAsia" w:ascii="宋体" w:hAnsi="宋体" w:cs="宋体"/>
          <w:b/>
          <w:sz w:val="44"/>
          <w:szCs w:val="44"/>
          <w:highlight w:val="none"/>
        </w:rPr>
      </w:pPr>
      <w:r/>
      <w:bookmarkStart w:id="10" w:name="_Toc31973"/>
      <w:r/>
      <w:bookmarkStart w:id="11" w:name="_Toc22054"/>
      <w:r>
        <w:rPr>
          <w:rFonts w:hint="eastAsia" w:ascii="宋体" w:hAnsi="宋体" w:cs="宋体"/>
          <w:b/>
          <w:sz w:val="44"/>
          <w:szCs w:val="44"/>
          <w:highlight w:val="none"/>
        </w:rPr>
        <w:t xml:space="preserve">第一章 磋商邀请函</w:t>
      </w:r>
      <w:bookmarkEnd w:id="5"/>
      <w:r/>
      <w:bookmarkEnd w:id="6"/>
      <w:r/>
      <w:bookmarkEnd w:id="7"/>
      <w:r/>
      <w:bookmarkEnd w:id="8"/>
      <w:r/>
      <w:bookmarkEnd w:id="9"/>
      <w:r/>
      <w:bookmarkEnd w:id="10"/>
      <w:r/>
      <w:bookmarkEnd w:id="11"/>
      <w:r/>
      <w:r/>
    </w:p>
    <w:p>
      <w:pPr>
        <w:pStyle w:val="998"/>
        <w:ind w:left="0" w:firstLine="0"/>
        <w:rPr>
          <w:rFonts w:hint="eastAsia" w:ascii="宋体" w:hAnsi="宋体" w:cs="宋体"/>
          <w:b/>
          <w:sz w:val="44"/>
          <w:szCs w:val="44"/>
          <w:highlight w:val="none"/>
        </w:rPr>
      </w:pPr>
      <w:r>
        <w:rPr>
          <w:rFonts w:hint="eastAsia" w:ascii="宋体" w:hAnsi="宋体" w:cs="宋体"/>
          <w:b/>
          <w:sz w:val="44"/>
          <w:szCs w:val="44"/>
          <w:highlight w:val="none"/>
        </w:rPr>
      </w:r>
      <w:r/>
    </w:p>
    <w:p>
      <w:pPr>
        <w:ind w:left="0"/>
        <w:jc w:val="center"/>
        <w:rPr>
          <w:rFonts w:hint="eastAsia" w:ascii="宋体" w:hAnsi="宋体"/>
          <w:sz w:val="24"/>
          <w:szCs w:val="22"/>
          <w:highlight w:val="none"/>
        </w:rPr>
      </w:pPr>
      <w:r/>
      <w:bookmarkStart w:id="12" w:name="_Toc3644"/>
      <w:r/>
      <w:bookmarkStart w:id="13" w:name="_Toc16571"/>
      <w:r>
        <w:rPr>
          <w:rFonts w:hint="eastAsia" w:ascii="宋体" w:hAnsi="宋体" w:cs="宋体"/>
          <w:sz w:val="24"/>
          <w:szCs w:val="24"/>
          <w:highlight w:val="none"/>
        </w:rPr>
        <w:br w:type="page" w:clear="all"/>
      </w:r>
      <w:bookmarkEnd w:id="12"/>
      <w:r/>
      <w:bookmarkEnd w:id="13"/>
      <w:r/>
      <w:bookmarkStart w:id="14" w:name="_Toc6217"/>
      <w:r/>
      <w:bookmarkStart w:id="15" w:name="_Toc57376406"/>
      <w:r/>
      <w:bookmarkStart w:id="16" w:name="_Toc2412"/>
      <w:r/>
      <w:bookmarkStart w:id="17" w:name="_Toc58248880"/>
      <w:r/>
      <w:r/>
    </w:p>
    <w:p>
      <w:pPr>
        <w:ind w:left="0" w:firstLine="480"/>
        <w:spacing w:line="360" w:lineRule="auto"/>
        <w:widowControl w:val="off"/>
        <w:rPr>
          <w:rFonts w:hint="eastAsia" w:ascii="宋体" w:hAnsi="宋体"/>
          <w:sz w:val="24"/>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2"/>
          <w:highlight w:val="none"/>
        </w:rPr>
        <w:t xml:space="preserve">项目概况</w:t>
      </w:r>
      <w:r/>
    </w:p>
    <w:p>
      <w:pPr>
        <w:ind w:left="0" w:firstLine="480"/>
        <w:spacing w:line="360" w:lineRule="auto"/>
        <w:widowControl w:val="off"/>
        <w:rPr>
          <w:rFonts w:hint="eastAsia" w:ascii="宋体" w:hAnsi="宋体"/>
          <w:sz w:val="24"/>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2"/>
          <w:highlight w:val="none"/>
          <w:u w:val="single"/>
          <w:lang w:eastAsia="zh-CN"/>
        </w:rPr>
        <w:t xml:space="preserve">相城区2026年桥梁(区管道路及县道)定期检测及水中桩检测项目</w:t>
      </w:r>
      <w:r>
        <w:rPr>
          <w:rFonts w:hint="eastAsia" w:ascii="宋体" w:hAnsi="宋体"/>
          <w:sz w:val="24"/>
          <w:szCs w:val="22"/>
          <w:highlight w:val="none"/>
        </w:rPr>
        <w:t xml:space="preserve">采购项目的潜在供应商应在</w:t>
      </w:r>
      <w:r>
        <w:rPr>
          <w:rFonts w:hint="eastAsia" w:ascii="宋体" w:hAnsi="宋体" w:cs="宋体"/>
          <w:sz w:val="24"/>
          <w:szCs w:val="22"/>
          <w:highlight w:val="none"/>
          <w:u w:val="single"/>
        </w:rPr>
        <w:t xml:space="preserve">“苏采云”政府采购交易系统（以下简称苏采云系统”）</w:t>
      </w:r>
      <w:r>
        <w:rPr>
          <w:rFonts w:hint="eastAsia" w:ascii="宋体" w:hAnsi="宋体"/>
          <w:sz w:val="24"/>
          <w:szCs w:val="22"/>
          <w:highlight w:val="none"/>
        </w:rPr>
        <w:t xml:space="preserve">获取招标文件，并于</w:t>
      </w:r>
      <w:r>
        <w:rPr>
          <w:rFonts w:hint="eastAsia" w:ascii="宋体" w:hAnsi="宋体"/>
          <w:sz w:val="24"/>
          <w:szCs w:val="22"/>
          <w:highlight w:val="none"/>
          <w:u w:val="single"/>
        </w:rPr>
        <w:t xml:space="preserve">2026年</w:t>
      </w:r>
      <w:r>
        <w:rPr>
          <w:rFonts w:hint="eastAsia" w:ascii="宋体" w:hAnsi="宋体"/>
          <w:sz w:val="24"/>
          <w:szCs w:val="22"/>
          <w:highlight w:val="none"/>
          <w:u w:val="single"/>
          <w:lang w:eastAsia="zh-CN"/>
        </w:rPr>
        <w:t xml:space="preserve">8月25日</w:t>
      </w:r>
      <w:r>
        <w:rPr>
          <w:rFonts w:hint="eastAsia" w:ascii="宋体" w:hAnsi="宋体"/>
          <w:sz w:val="24"/>
          <w:szCs w:val="22"/>
          <w:highlight w:val="none"/>
          <w:u w:val="single"/>
        </w:rPr>
        <w:t xml:space="preserve">13:30</w:t>
      </w:r>
      <w:r>
        <w:rPr>
          <w:rFonts w:hint="eastAsia" w:ascii="宋体" w:hAnsi="宋体"/>
          <w:bCs/>
          <w:sz w:val="24"/>
          <w:szCs w:val="22"/>
          <w:highlight w:val="none"/>
        </w:rPr>
        <w:t xml:space="preserve">（北京时间）前递交响应文件</w:t>
      </w:r>
      <w:r>
        <w:rPr>
          <w:rFonts w:hint="eastAsia" w:ascii="宋体" w:hAnsi="宋体"/>
          <w:sz w:val="24"/>
          <w:szCs w:val="22"/>
          <w:highlight w:val="none"/>
        </w:rPr>
        <w:t xml:space="preserve">。</w:t>
      </w:r>
      <w:r/>
    </w:p>
    <w:p>
      <w:pPr>
        <w:ind w:left="0"/>
        <w:spacing w:line="360" w:lineRule="auto"/>
        <w:widowControl w:val="off"/>
        <w:rPr>
          <w:rFonts w:hint="eastAsia" w:ascii="宋体" w:hAnsi="宋体" w:cs="宋体"/>
          <w:b/>
          <w:sz w:val="24"/>
          <w:szCs w:val="22"/>
          <w:highlight w:val="none"/>
        </w:rPr>
      </w:pPr>
      <w:r/>
      <w:bookmarkStart w:id="18" w:name="_Toc28359079"/>
      <w:r/>
      <w:bookmarkStart w:id="19" w:name="_Toc35393621"/>
      <w:r/>
      <w:bookmarkStart w:id="20" w:name="_Toc35393790"/>
      <w:r/>
      <w:bookmarkStart w:id="21" w:name="_Toc28359002"/>
      <w:r/>
      <w:bookmarkStart w:id="22" w:name="_Hlk24379207"/>
      <w:r>
        <w:rPr>
          <w:rFonts w:hint="eastAsia" w:ascii="宋体" w:hAnsi="宋体" w:cs="宋体"/>
          <w:b/>
          <w:sz w:val="24"/>
          <w:szCs w:val="22"/>
          <w:highlight w:val="none"/>
        </w:rPr>
        <w:t xml:space="preserve">一、项目基本情况</w:t>
      </w:r>
      <w:bookmarkEnd w:id="18"/>
      <w:r/>
      <w:bookmarkEnd w:id="19"/>
      <w:r/>
      <w:bookmarkEnd w:id="20"/>
      <w:r/>
      <w:bookmarkEnd w:id="21"/>
      <w:r/>
      <w:r/>
    </w:p>
    <w:p>
      <w:pPr>
        <w:ind w:left="0" w:firstLine="480"/>
        <w:spacing w:line="360" w:lineRule="auto"/>
        <w:widowControl w:val="off"/>
        <w:rPr>
          <w:rFonts w:hint="eastAsia" w:ascii="宋体" w:hAnsi="宋体" w:eastAsia="宋体"/>
          <w:sz w:val="24"/>
          <w:szCs w:val="22"/>
          <w:highlight w:val="none"/>
          <w:lang w:eastAsia="zh-CN"/>
        </w:rPr>
      </w:pPr>
      <w:r>
        <w:rPr>
          <w:rFonts w:hint="eastAsia" w:ascii="宋体" w:hAnsi="宋体"/>
          <w:sz w:val="24"/>
          <w:szCs w:val="22"/>
          <w:highlight w:val="none"/>
        </w:rPr>
        <w:t xml:space="preserve">项目编号：</w:t>
      </w:r>
      <w:r>
        <w:rPr>
          <w:rFonts w:hint="eastAsia" w:ascii="宋体" w:hAnsi="宋体"/>
          <w:sz w:val="24"/>
          <w:szCs w:val="22"/>
          <w:highlight w:val="none"/>
          <w:lang w:eastAsia="zh-CN"/>
        </w:rPr>
        <w:t xml:space="preserve">JSZC-320507-YZZJ-C2026-0005</w:t>
      </w:r>
      <w:r/>
    </w:p>
    <w:p>
      <w:pPr>
        <w:ind w:left="0" w:firstLine="480"/>
        <w:spacing w:line="360" w:lineRule="auto"/>
        <w:widowControl w:val="off"/>
        <w:rPr>
          <w:rFonts w:hint="eastAsia" w:ascii="宋体" w:hAnsi="宋体" w:eastAsia="宋体"/>
          <w:sz w:val="24"/>
          <w:szCs w:val="22"/>
          <w:highlight w:val="none"/>
          <w:lang w:eastAsia="zh-CN"/>
        </w:rPr>
      </w:pPr>
      <w:r>
        <w:rPr>
          <w:rFonts w:hint="eastAsia" w:ascii="宋体" w:hAnsi="宋体"/>
          <w:sz w:val="24"/>
          <w:szCs w:val="22"/>
          <w:highlight w:val="none"/>
        </w:rPr>
        <w:t xml:space="preserve">项目名称：</w:t>
      </w:r>
      <w:r>
        <w:rPr>
          <w:rFonts w:hint="eastAsia" w:ascii="宋体" w:hAnsi="宋体"/>
          <w:sz w:val="24"/>
          <w:szCs w:val="22"/>
          <w:highlight w:val="none"/>
          <w:lang w:eastAsia="zh-CN"/>
        </w:rPr>
        <w:t xml:space="preserve">相城区2026年桥梁(区管道路及县道)定期检测及水中桩检测项目</w:t>
      </w:r>
      <w:r/>
    </w:p>
    <w:p>
      <w:pPr>
        <w:ind w:left="0" w:firstLine="480"/>
        <w:spacing w:line="360" w:lineRule="auto"/>
        <w:widowControl w:val="off"/>
        <w:rPr>
          <w:rFonts w:hint="eastAsia" w:ascii="宋体" w:hAnsi="宋体"/>
          <w:sz w:val="24"/>
          <w:szCs w:val="22"/>
          <w:highlight w:val="none"/>
        </w:rPr>
      </w:pPr>
      <w:r>
        <w:rPr>
          <w:rFonts w:hint="eastAsia" w:ascii="宋体" w:hAnsi="宋体"/>
          <w:sz w:val="24"/>
          <w:szCs w:val="22"/>
          <w:highlight w:val="none"/>
        </w:rPr>
        <w:t xml:space="preserve">采购方式：竞争性磋商</w:t>
      </w:r>
      <w:bookmarkEnd w:id="22"/>
      <w:r/>
      <w:r/>
    </w:p>
    <w:p>
      <w:pPr>
        <w:ind w:left="0" w:firstLine="480"/>
        <w:spacing w:line="360" w:lineRule="auto"/>
        <w:widowControl w:val="off"/>
        <w:rPr>
          <w:rFonts w:hint="eastAsia" w:ascii="宋体" w:hAnsi="宋体"/>
          <w:sz w:val="24"/>
          <w:szCs w:val="22"/>
          <w:highlight w:val="none"/>
        </w:rPr>
      </w:pPr>
      <w:r>
        <w:rPr>
          <w:rFonts w:hint="eastAsia" w:ascii="宋体" w:hAnsi="宋体"/>
          <w:sz w:val="24"/>
          <w:szCs w:val="22"/>
          <w:highlight w:val="none"/>
        </w:rPr>
        <w:t xml:space="preserve">预算金额：人民币</w:t>
      </w:r>
      <w:r>
        <w:rPr>
          <w:rFonts w:hint="eastAsia" w:ascii="宋体" w:hAnsi="宋体"/>
          <w:sz w:val="24"/>
          <w:szCs w:val="22"/>
          <w:highlight w:val="none"/>
          <w:lang w:eastAsia="zh-CN"/>
        </w:rPr>
        <w:t xml:space="preserve">贰佰捌拾肆万捌仟肆佰玖拾玖元整</w:t>
      </w:r>
      <w:r>
        <w:rPr>
          <w:rFonts w:hint="eastAsia" w:ascii="宋体" w:hAnsi="宋体"/>
          <w:sz w:val="24"/>
          <w:szCs w:val="22"/>
          <w:highlight w:val="none"/>
        </w:rPr>
        <w:t xml:space="preserve">（￥</w:t>
      </w:r>
      <w:r>
        <w:rPr>
          <w:rFonts w:hint="eastAsia" w:ascii="宋体" w:hAnsi="宋体"/>
          <w:sz w:val="24"/>
          <w:szCs w:val="22"/>
          <w:highlight w:val="none"/>
          <w:lang w:eastAsia="zh-CN"/>
        </w:rPr>
        <w:t xml:space="preserve">2848499.00</w:t>
      </w:r>
      <w:r>
        <w:rPr>
          <w:rFonts w:hint="eastAsia" w:ascii="宋体" w:hAnsi="宋体"/>
          <w:sz w:val="24"/>
          <w:szCs w:val="22"/>
          <w:highlight w:val="none"/>
        </w:rPr>
        <w:t xml:space="preserve">）</w:t>
      </w:r>
      <w:r/>
    </w:p>
    <w:p>
      <w:pPr>
        <w:ind w:left="0" w:firstLine="480"/>
        <w:spacing w:line="360" w:lineRule="auto"/>
        <w:widowControl w:val="off"/>
        <w:rPr>
          <w:rFonts w:hint="eastAsia" w:ascii="宋体" w:hAnsi="宋体"/>
          <w:sz w:val="24"/>
          <w:szCs w:val="22"/>
          <w:highlight w:val="none"/>
        </w:rPr>
      </w:pPr>
      <w:r>
        <w:rPr>
          <w:rFonts w:hint="eastAsia" w:ascii="宋体" w:hAnsi="宋体"/>
          <w:sz w:val="24"/>
          <w:szCs w:val="22"/>
          <w:highlight w:val="none"/>
        </w:rPr>
        <w:t xml:space="preserve">最高限价：人民币</w:t>
      </w:r>
      <w:r>
        <w:rPr>
          <w:rFonts w:hint="eastAsia" w:ascii="宋体" w:hAnsi="宋体"/>
          <w:sz w:val="24"/>
          <w:szCs w:val="22"/>
          <w:highlight w:val="none"/>
          <w:lang w:eastAsia="zh-CN"/>
        </w:rPr>
        <w:t xml:space="preserve">贰佰捌拾肆万捌仟肆佰玖拾玖元整</w:t>
      </w:r>
      <w:r>
        <w:rPr>
          <w:rFonts w:hint="eastAsia" w:ascii="宋体" w:hAnsi="宋体"/>
          <w:sz w:val="24"/>
          <w:szCs w:val="22"/>
          <w:highlight w:val="none"/>
        </w:rPr>
        <w:t xml:space="preserve">（￥</w:t>
      </w:r>
      <w:r>
        <w:rPr>
          <w:rFonts w:hint="eastAsia" w:ascii="宋体" w:hAnsi="宋体"/>
          <w:sz w:val="24"/>
          <w:szCs w:val="22"/>
          <w:highlight w:val="none"/>
          <w:lang w:eastAsia="zh-CN"/>
        </w:rPr>
        <w:t xml:space="preserve">2848499.00</w:t>
      </w:r>
      <w:r>
        <w:rPr>
          <w:rFonts w:hint="eastAsia" w:ascii="宋体" w:hAnsi="宋体"/>
          <w:sz w:val="24"/>
          <w:szCs w:val="22"/>
          <w:highlight w:val="none"/>
        </w:rPr>
        <w:t xml:space="preserve">）</w:t>
      </w:r>
      <w:r/>
    </w:p>
    <w:p>
      <w:pPr>
        <w:ind w:left="0" w:firstLine="480"/>
        <w:spacing w:line="360" w:lineRule="auto"/>
        <w:widowControl w:val="off"/>
        <w:rPr>
          <w:rFonts w:hint="eastAsia" w:ascii="宋体" w:hAnsi="宋体"/>
          <w:sz w:val="24"/>
          <w:szCs w:val="22"/>
          <w:highlight w:val="none"/>
        </w:rPr>
      </w:pPr>
      <w:r>
        <w:rPr>
          <w:rFonts w:hint="eastAsia" w:ascii="宋体" w:hAnsi="宋体"/>
          <w:sz w:val="24"/>
          <w:szCs w:val="22"/>
          <w:highlight w:val="none"/>
        </w:rPr>
        <w:t xml:space="preserve">采购需求：详见采购文件第四章</w:t>
      </w:r>
      <w:r/>
    </w:p>
    <w:p>
      <w:pPr>
        <w:ind w:left="0" w:firstLine="480"/>
        <w:spacing w:line="360" w:lineRule="auto"/>
        <w:widowControl w:val="off"/>
        <w:rPr>
          <w:rFonts w:hint="eastAsia" w:ascii="宋体" w:hAnsi="宋体"/>
          <w:sz w:val="24"/>
          <w:szCs w:val="22"/>
          <w:highlight w:val="none"/>
        </w:rPr>
      </w:pPr>
      <w:r>
        <w:rPr>
          <w:rFonts w:hint="eastAsia" w:ascii="宋体" w:hAnsi="宋体"/>
          <w:sz w:val="24"/>
          <w:szCs w:val="22"/>
          <w:highlight w:val="none"/>
        </w:rPr>
        <w:t xml:space="preserve">合同履行期限：</w:t>
      </w:r>
      <w:bookmarkStart w:id="23" w:name="_Toc35393630"/>
      <w:r/>
      <w:bookmarkStart w:id="24" w:name="_Toc35393799"/>
      <w:r/>
      <w:bookmarkStart w:id="25" w:name="_Toc28359090"/>
      <w:r/>
      <w:bookmarkStart w:id="26" w:name="_Toc28359013"/>
      <w:r>
        <w:rPr>
          <w:rFonts w:hint="eastAsia" w:ascii="宋体" w:hAnsi="宋体"/>
          <w:sz w:val="24"/>
          <w:szCs w:val="22"/>
          <w:highlight w:val="none"/>
        </w:rPr>
      </w:r>
      <w:r>
        <w:rPr>
          <w:rFonts w:ascii="SimSun" w:hAnsi="SimSun" w:eastAsia="SimSun" w:cs="SimSun"/>
          <w:color w:val="000000"/>
          <w:sz w:val="24"/>
        </w:rPr>
        <w:t xml:space="preserve">合同签订后，至2026年11月30日（具体开工日期以采购人通知为准。）</w:t>
      </w:r>
      <w:r>
        <w:rPr>
          <w:rFonts w:hint="eastAsia" w:ascii="宋体" w:hAnsi="宋体"/>
          <w:sz w:val="24"/>
          <w:szCs w:val="22"/>
          <w:highlight w:val="none"/>
        </w:rPr>
      </w:r>
      <w:r/>
    </w:p>
    <w:p>
      <w:pPr>
        <w:ind w:left="0" w:firstLine="480"/>
        <w:spacing w:line="360" w:lineRule="auto"/>
        <w:widowControl w:val="off"/>
        <w:rPr>
          <w:rFonts w:hint="eastAsia" w:ascii="宋体" w:hAnsi="宋体"/>
          <w:sz w:val="24"/>
          <w:szCs w:val="22"/>
          <w:highlight w:val="none"/>
        </w:rPr>
      </w:pPr>
      <w:r>
        <w:rPr>
          <w:rFonts w:hint="eastAsia" w:ascii="宋体" w:hAnsi="宋体"/>
          <w:sz w:val="24"/>
          <w:szCs w:val="22"/>
          <w:highlight w:val="none"/>
        </w:rPr>
        <w:t xml:space="preserve">本项目（是/否）接受联合体：否</w:t>
      </w:r>
      <w:r/>
    </w:p>
    <w:p>
      <w:pPr>
        <w:ind w:left="0"/>
        <w:spacing w:line="360" w:lineRule="auto"/>
        <w:widowControl w:val="off"/>
        <w:rPr>
          <w:rFonts w:hint="eastAsia" w:ascii="宋体" w:hAnsi="宋体" w:cs="宋体"/>
          <w:b/>
          <w:sz w:val="24"/>
          <w:szCs w:val="22"/>
          <w:highlight w:val="none"/>
        </w:rPr>
      </w:pPr>
      <w:r>
        <w:rPr>
          <w:rFonts w:hint="eastAsia" w:ascii="宋体" w:hAnsi="宋体" w:cs="宋体"/>
          <w:b/>
          <w:sz w:val="24"/>
          <w:szCs w:val="22"/>
          <w:highlight w:val="none"/>
        </w:rPr>
        <w:t xml:space="preserve">二、申请人的资格要求：</w:t>
      </w:r>
      <w:bookmarkEnd w:id="23"/>
      <w:r/>
      <w:bookmarkEnd w:id="24"/>
      <w:r/>
      <w:bookmarkEnd w:id="25"/>
      <w:r/>
      <w:bookmarkEnd w:id="26"/>
      <w:r/>
      <w:r/>
    </w:p>
    <w:p>
      <w:pPr>
        <w:ind w:left="0" w:firstLine="480"/>
        <w:spacing w:line="360" w:lineRule="auto"/>
        <w:widowControl w:val="off"/>
        <w:rPr>
          <w:rFonts w:hint="eastAsia" w:ascii="宋体" w:hAnsi="宋体"/>
          <w:sz w:val="24"/>
          <w:szCs w:val="22"/>
          <w:highlight w:val="none"/>
        </w:rPr>
      </w:pPr>
      <w:r>
        <w:rPr>
          <w:rFonts w:hint="eastAsia" w:ascii="宋体" w:hAnsi="宋体"/>
          <w:sz w:val="24"/>
          <w:szCs w:val="22"/>
          <w:highlight w:val="none"/>
        </w:rPr>
        <w:t xml:space="preserve">（一）满足《中华人民共和国政府采购法》第二十二条规定；</w:t>
      </w:r>
      <w:r/>
    </w:p>
    <w:p>
      <w:pPr>
        <w:ind w:left="0" w:firstLine="480"/>
        <w:spacing w:line="360" w:lineRule="auto"/>
        <w:widowControl w:val="off"/>
        <w:rPr>
          <w:rFonts w:hint="eastAsia" w:ascii="宋体" w:hAnsi="宋体"/>
          <w:sz w:val="24"/>
          <w:szCs w:val="22"/>
          <w:highlight w:val="none"/>
        </w:rPr>
      </w:pPr>
      <w:r/>
      <w:bookmarkStart w:id="27" w:name="_Toc28359003"/>
      <w:r>
        <w:rPr>
          <w:rFonts w:hint="eastAsia" w:ascii="宋体" w:hAnsi="宋体"/>
          <w:sz w:val="24"/>
          <w:szCs w:val="22"/>
          <w:highlight w:val="none"/>
        </w:rPr>
        <w:t xml:space="preserve">1、具有独立承担民事责任的能力；</w:t>
      </w:r>
      <w:r/>
    </w:p>
    <w:p>
      <w:pPr>
        <w:ind w:left="0" w:firstLine="480"/>
        <w:spacing w:line="360" w:lineRule="auto"/>
        <w:widowControl w:val="off"/>
        <w:rPr>
          <w:rFonts w:hint="eastAsia" w:ascii="宋体" w:hAnsi="宋体"/>
          <w:sz w:val="24"/>
          <w:szCs w:val="22"/>
          <w:highlight w:val="none"/>
        </w:rPr>
      </w:pPr>
      <w:r>
        <w:rPr>
          <w:rFonts w:hint="eastAsia" w:ascii="宋体" w:hAnsi="宋体"/>
          <w:sz w:val="24"/>
          <w:szCs w:val="22"/>
          <w:highlight w:val="none"/>
        </w:rPr>
        <w:t xml:space="preserve">2、具有良好的商业信誉和健全的财务会计制度；</w:t>
      </w:r>
      <w:r/>
    </w:p>
    <w:p>
      <w:pPr>
        <w:ind w:left="0" w:firstLine="480"/>
        <w:spacing w:line="360" w:lineRule="auto"/>
        <w:widowControl w:val="off"/>
        <w:rPr>
          <w:rFonts w:hint="eastAsia" w:ascii="宋体" w:hAnsi="宋体"/>
          <w:sz w:val="24"/>
          <w:szCs w:val="22"/>
          <w:highlight w:val="none"/>
        </w:rPr>
      </w:pPr>
      <w:r>
        <w:rPr>
          <w:rFonts w:hint="eastAsia" w:ascii="宋体" w:hAnsi="宋体"/>
          <w:sz w:val="24"/>
          <w:szCs w:val="22"/>
          <w:highlight w:val="none"/>
        </w:rPr>
        <w:t xml:space="preserve">3、具有履行合同所必需的设备和专业技术能力；</w:t>
      </w:r>
      <w:r/>
    </w:p>
    <w:p>
      <w:pPr>
        <w:ind w:left="0" w:firstLine="480"/>
        <w:spacing w:line="360" w:lineRule="auto"/>
        <w:widowControl w:val="off"/>
        <w:rPr>
          <w:rFonts w:hint="eastAsia" w:ascii="宋体" w:hAnsi="宋体"/>
          <w:sz w:val="24"/>
          <w:szCs w:val="22"/>
          <w:highlight w:val="none"/>
        </w:rPr>
      </w:pPr>
      <w:r>
        <w:rPr>
          <w:rFonts w:hint="eastAsia" w:ascii="宋体" w:hAnsi="宋体"/>
          <w:sz w:val="24"/>
          <w:szCs w:val="22"/>
          <w:highlight w:val="none"/>
        </w:rPr>
        <w:t xml:space="preserve">4、有依法缴纳税收和社会保障资金的良好记录；</w:t>
      </w:r>
      <w:r/>
    </w:p>
    <w:p>
      <w:pPr>
        <w:ind w:left="0" w:firstLine="480"/>
        <w:spacing w:line="360" w:lineRule="auto"/>
        <w:widowControl w:val="off"/>
        <w:rPr>
          <w:rFonts w:hint="eastAsia" w:ascii="宋体" w:hAnsi="宋体"/>
          <w:sz w:val="24"/>
          <w:szCs w:val="22"/>
          <w:highlight w:val="none"/>
        </w:rPr>
      </w:pPr>
      <w:r>
        <w:rPr>
          <w:rFonts w:hint="eastAsia" w:ascii="宋体" w:hAnsi="宋体"/>
          <w:sz w:val="24"/>
          <w:szCs w:val="22"/>
          <w:highlight w:val="none"/>
        </w:rPr>
        <w:t xml:space="preserve">5、参加政府采购活动前三年内，在经营活动中没有重大违法记录；</w:t>
      </w:r>
      <w:r/>
    </w:p>
    <w:p>
      <w:pPr>
        <w:ind w:left="0" w:firstLine="480"/>
        <w:spacing w:line="360" w:lineRule="auto"/>
        <w:widowControl w:val="off"/>
        <w:rPr>
          <w:rFonts w:hint="eastAsia" w:ascii="宋体" w:hAnsi="宋体"/>
          <w:sz w:val="24"/>
          <w:szCs w:val="22"/>
          <w:highlight w:val="none"/>
        </w:rPr>
      </w:pPr>
      <w:r>
        <w:rPr>
          <w:rFonts w:hint="eastAsia" w:ascii="宋体" w:hAnsi="宋体"/>
          <w:sz w:val="24"/>
          <w:szCs w:val="22"/>
          <w:highlight w:val="none"/>
        </w:rPr>
        <w:t xml:space="preserve">6、法律、行政法规规定的其他条件；</w:t>
      </w:r>
      <w:bookmarkEnd w:id="27"/>
      <w:r/>
      <w:bookmarkStart w:id="28" w:name="_Toc28359091"/>
      <w:r/>
      <w:bookmarkStart w:id="29" w:name="_Toc28359014"/>
      <w:r/>
      <w:r/>
    </w:p>
    <w:p>
      <w:pPr>
        <w:ind w:left="0" w:firstLine="480"/>
        <w:spacing w:line="360" w:lineRule="auto"/>
        <w:widowControl w:val="off"/>
        <w:rPr>
          <w:rFonts w:hint="eastAsia" w:ascii="宋体" w:hAnsi="宋体" w:cs="宋体"/>
          <w:sz w:val="24"/>
          <w:szCs w:val="24"/>
          <w:highlight w:val="none"/>
        </w:rPr>
      </w:pPr>
      <w:r>
        <w:rPr>
          <w:rFonts w:hint="eastAsia" w:ascii="宋体" w:hAnsi="宋体"/>
          <w:sz w:val="24"/>
          <w:szCs w:val="22"/>
          <w:highlight w:val="none"/>
        </w:rPr>
        <w:t xml:space="preserve">（二）</w:t>
      </w:r>
      <w:r>
        <w:rPr>
          <w:rFonts w:hint="eastAsia" w:ascii="宋体" w:hAnsi="宋体" w:cs="宋体"/>
          <w:bCs/>
          <w:sz w:val="24"/>
          <w:szCs w:val="22"/>
          <w:highlight w:val="none"/>
        </w:rPr>
        <w:t xml:space="preserve">落实政府采购政策需满足的资格要求：</w:t>
      </w:r>
      <w:r>
        <w:rPr>
          <w:rFonts w:hint="eastAsia" w:ascii="宋体" w:hAnsi="宋体" w:cs="宋体"/>
          <w:color w:val="000000"/>
          <w:sz w:val="24"/>
          <w:szCs w:val="24"/>
          <w:highlight w:val="none"/>
        </w:rPr>
        <w:t xml:space="preserve">根据《政府采购促进中小企业发展管理办法》的相关规定，</w:t>
      </w:r>
      <w:r>
        <w:rPr>
          <w:rFonts w:hint="eastAsia" w:ascii="宋体" w:hAnsi="宋体" w:cs="宋体"/>
          <w:b/>
          <w:bCs/>
          <w:color w:val="000000"/>
          <w:sz w:val="24"/>
          <w:szCs w:val="24"/>
          <w:highlight w:val="none"/>
        </w:rPr>
        <w:t xml:space="preserve">本项目专门面向中小企业（磋商响应文件中必须提供中小型企业声明函或残疾人福利性单位声明函或监狱企业声明函，否则磋商响应文件将因资格条件不符或未实质响应磋商文件而被拒绝）</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所属行业为</w:t>
      </w:r>
      <w:r>
        <w:rPr>
          <w:rFonts w:hint="eastAsia" w:ascii="宋体" w:hAnsi="宋体" w:cs="宋体"/>
          <w:b/>
          <w:color w:val="000000"/>
          <w:sz w:val="24"/>
          <w:szCs w:val="24"/>
          <w:highlight w:val="none"/>
        </w:rPr>
        <w:t xml:space="preserve">其他未列明行业</w:t>
      </w:r>
      <w:r>
        <w:rPr>
          <w:rFonts w:hint="eastAsia" w:ascii="宋体" w:hAnsi="宋体" w:cs="宋体"/>
          <w:bCs/>
          <w:color w:val="000000"/>
          <w:sz w:val="24"/>
          <w:szCs w:val="24"/>
          <w:highlight w:val="none"/>
        </w:rPr>
        <w:t xml:space="preserve">，供应商应为中小微企业、监狱企业、残疾人福利性单位</w:t>
      </w:r>
      <w:r>
        <w:rPr>
          <w:rFonts w:hint="eastAsia" w:ascii="宋体" w:hAnsi="宋体" w:cs="宋体"/>
          <w:bCs/>
          <w:sz w:val="24"/>
          <w:szCs w:val="22"/>
          <w:highlight w:val="none"/>
        </w:rPr>
        <w:t xml:space="preserve">。</w:t>
      </w:r>
      <w:r/>
    </w:p>
    <w:p>
      <w:pPr>
        <w:ind w:left="0" w:firstLine="480"/>
        <w:spacing w:line="360" w:lineRule="auto"/>
        <w:widowControl w:val="off"/>
        <w:rPr>
          <w:rFonts w:hint="eastAsia" w:ascii="宋体" w:hAnsi="宋体"/>
          <w:sz w:val="24"/>
          <w:szCs w:val="22"/>
          <w:highlight w:val="none"/>
        </w:rPr>
      </w:pPr>
      <w:r/>
      <w:bookmarkStart w:id="30" w:name="_Toc35393800"/>
      <w:r/>
      <w:bookmarkStart w:id="31" w:name="_Toc35393631"/>
      <w:r>
        <w:rPr>
          <w:rFonts w:hint="eastAsia" w:ascii="宋体" w:hAnsi="宋体"/>
          <w:sz w:val="24"/>
          <w:szCs w:val="22"/>
          <w:highlight w:val="none"/>
        </w:rPr>
        <w:t xml:space="preserve">（三）本项目的特定资格要求：</w:t>
      </w:r>
      <w:r/>
    </w:p>
    <w:p>
      <w:pPr>
        <w:ind w:left="0" w:firstLine="480"/>
        <w:spacing w:line="360" w:lineRule="auto"/>
        <w:widowControl w:val="off"/>
        <w:rPr>
          <w:rFonts w:hint="eastAsia" w:ascii="宋体" w:hAnsi="宋体" w:cs="宋体"/>
          <w:bCs/>
          <w:sz w:val="24"/>
          <w:szCs w:val="22"/>
          <w:highlight w:val="none"/>
        </w:rPr>
      </w:pPr>
      <w:r>
        <w:rPr>
          <w:rFonts w:hint="eastAsia" w:ascii="宋体" w:hAnsi="宋体" w:cs="宋体"/>
          <w:bCs/>
          <w:sz w:val="24"/>
          <w:szCs w:val="22"/>
          <w:highlight w:val="none"/>
        </w:rPr>
        <w:t xml:space="preserve">（1）未被“信用中国”网站（www.creditchina.gov.cn）列入失信被执行人、重大税收违法案件当事人名单、政府采购严重失信行为记录名单</w:t>
      </w:r>
      <w:r/>
    </w:p>
    <w:p>
      <w:pPr>
        <w:ind w:left="0" w:firstLine="480"/>
        <w:spacing w:line="360" w:lineRule="auto"/>
        <w:widowControl w:val="off"/>
        <w:rPr>
          <w:rFonts w:hint="eastAsia" w:ascii="宋体" w:hAnsi="宋体" w:cs="宋体"/>
          <w:b/>
          <w:sz w:val="24"/>
          <w:szCs w:val="22"/>
          <w:highlight w:val="none"/>
        </w:rPr>
      </w:pPr>
      <w:r>
        <w:rPr>
          <w:rFonts w:hint="eastAsia" w:ascii="宋体" w:hAnsi="宋体" w:cs="宋体"/>
          <w:bCs/>
          <w:sz w:val="24"/>
          <w:szCs w:val="22"/>
          <w:highlight w:val="none"/>
        </w:rPr>
        <w:t xml:space="preserve">（2）响应单位资质：</w:t>
      </w:r>
      <w:r>
        <w:rPr>
          <w:rFonts w:hint="eastAsia" w:ascii="宋体" w:hAnsi="宋体" w:cs="宋体"/>
          <w:b/>
          <w:sz w:val="24"/>
          <w:szCs w:val="22"/>
          <w:highlight w:val="none"/>
        </w:rPr>
        <w:t xml:space="preserve">①具有公路工程试验检测综合乙级以上（含乙级）资质或公路工程桥梁隧道工程试验检测专项证书。②具有省级或以上技术监督部门颁发的有效的资质认定证书（资质认定包括检验检测机构计量认证）或计量认证证书。</w:t>
      </w:r>
      <w:r/>
    </w:p>
    <w:p>
      <w:pPr>
        <w:ind w:left="0" w:firstLine="480"/>
        <w:spacing w:line="360" w:lineRule="auto"/>
        <w:widowControl w:val="off"/>
        <w:rPr>
          <w:rFonts w:hint="eastAsia" w:ascii="宋体" w:hAnsi="宋体" w:cs="宋体"/>
          <w:bCs/>
          <w:sz w:val="24"/>
          <w:szCs w:val="22"/>
          <w:highlight w:val="none"/>
        </w:rPr>
      </w:pPr>
      <w:r>
        <w:rPr>
          <w:rFonts w:hint="eastAsia" w:ascii="宋体" w:hAnsi="宋体" w:cs="宋体"/>
          <w:bCs/>
          <w:sz w:val="24"/>
          <w:szCs w:val="22"/>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left="0"/>
        <w:spacing w:line="360" w:lineRule="auto"/>
        <w:widowControl w:val="off"/>
        <w:rPr>
          <w:rFonts w:hint="eastAsia" w:ascii="宋体" w:hAnsi="宋体" w:cs="宋体"/>
          <w:b/>
          <w:sz w:val="24"/>
          <w:szCs w:val="22"/>
          <w:highlight w:val="none"/>
        </w:rPr>
      </w:pPr>
      <w:r>
        <w:rPr>
          <w:rFonts w:hint="eastAsia" w:ascii="宋体" w:hAnsi="宋体" w:cs="宋体"/>
          <w:b/>
          <w:sz w:val="24"/>
          <w:szCs w:val="22"/>
          <w:highlight w:val="none"/>
        </w:rPr>
        <w:t xml:space="preserve">三、获取采购文件</w:t>
      </w:r>
      <w:bookmarkEnd w:id="28"/>
      <w:r/>
      <w:bookmarkEnd w:id="29"/>
      <w:r/>
      <w:bookmarkEnd w:id="30"/>
      <w:r/>
      <w:bookmarkEnd w:id="31"/>
      <w:r/>
      <w:r/>
    </w:p>
    <w:p>
      <w:pPr>
        <w:ind w:left="0" w:firstLine="480"/>
        <w:spacing w:line="360" w:lineRule="auto"/>
        <w:widowControl w:val="off"/>
        <w:rPr>
          <w:rFonts w:ascii="Times New Roman" w:hAnsi="Times New Roman"/>
          <w:sz w:val="21"/>
          <w:szCs w:val="22"/>
          <w:highlight w:val="none"/>
        </w:rPr>
      </w:pPr>
      <w:r>
        <w:rPr>
          <w:rFonts w:hint="eastAsia" w:ascii="宋体" w:hAnsi="宋体" w:cs="宋体"/>
          <w:sz w:val="24"/>
          <w:szCs w:val="22"/>
          <w:highlight w:val="none"/>
        </w:rPr>
        <w:t xml:space="preserve">时间：自磋商文件公告发布之日起5个工作日</w:t>
      </w:r>
      <w:r/>
    </w:p>
    <w:p>
      <w:pPr>
        <w:ind w:left="0"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地点：“苏采云”政府采购交易系统  </w:t>
      </w:r>
      <w:r/>
    </w:p>
    <w:p>
      <w:pPr>
        <w:ind w:left="0"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方式：线上获取 </w:t>
      </w:r>
      <w:r/>
    </w:p>
    <w:p>
      <w:pPr>
        <w:ind w:left="0"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售价：0.00元</w:t>
      </w:r>
      <w:r/>
    </w:p>
    <w:p>
      <w:pPr>
        <w:ind w:left="0"/>
        <w:spacing w:line="360" w:lineRule="auto"/>
        <w:widowControl w:val="off"/>
        <w:rPr>
          <w:rFonts w:hint="eastAsia" w:ascii="宋体" w:hAnsi="宋体" w:cs="宋体"/>
          <w:b/>
          <w:bCs/>
          <w:sz w:val="24"/>
          <w:szCs w:val="22"/>
          <w:highlight w:val="none"/>
        </w:rPr>
      </w:pPr>
      <w:r/>
      <w:bookmarkStart w:id="32" w:name="_Toc28359015"/>
      <w:r/>
      <w:bookmarkStart w:id="33" w:name="_Toc35393801"/>
      <w:r/>
      <w:bookmarkStart w:id="34" w:name="_Toc35393632"/>
      <w:r/>
      <w:bookmarkStart w:id="35" w:name="_Toc28359092"/>
      <w:r>
        <w:rPr>
          <w:rFonts w:hint="eastAsia" w:ascii="宋体" w:hAnsi="宋体" w:cs="宋体"/>
          <w:b/>
          <w:sz w:val="24"/>
          <w:szCs w:val="22"/>
          <w:highlight w:val="none"/>
        </w:rPr>
        <w:t xml:space="preserve">四、</w:t>
      </w:r>
      <w:bookmarkEnd w:id="32"/>
      <w:r/>
      <w:bookmarkEnd w:id="33"/>
      <w:r/>
      <w:bookmarkEnd w:id="34"/>
      <w:r/>
      <w:bookmarkEnd w:id="35"/>
      <w:r>
        <w:rPr>
          <w:rFonts w:hint="eastAsia" w:ascii="宋体" w:hAnsi="宋体" w:cs="宋体"/>
          <w:b/>
          <w:bCs/>
          <w:sz w:val="24"/>
          <w:szCs w:val="22"/>
          <w:highlight w:val="none"/>
        </w:rPr>
        <w:t xml:space="preserve">响应文件提交</w:t>
      </w:r>
      <w:r/>
    </w:p>
    <w:p>
      <w:pPr>
        <w:ind w:left="0" w:firstLine="48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截止时间：2026年</w:t>
      </w:r>
      <w:r>
        <w:rPr>
          <w:rFonts w:hint="eastAsia" w:ascii="宋体" w:hAnsi="宋体" w:cs="宋体"/>
          <w:sz w:val="24"/>
          <w:szCs w:val="22"/>
          <w:highlight w:val="none"/>
          <w:lang w:eastAsia="zh-CN"/>
        </w:rPr>
        <w:t xml:space="preserve">8月25日</w:t>
      </w:r>
      <w:r>
        <w:rPr>
          <w:rFonts w:hint="eastAsia" w:ascii="宋体" w:hAnsi="宋体" w:cs="宋体"/>
          <w:sz w:val="24"/>
          <w:szCs w:val="22"/>
          <w:highlight w:val="none"/>
        </w:rPr>
        <w:t xml:space="preserve">13:30（北京时间）</w:t>
      </w:r>
      <w:r/>
    </w:p>
    <w:p>
      <w:pPr>
        <w:ind w:left="0" w:firstLine="48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地点：“苏采云”政府采购交易系统</w:t>
      </w:r>
      <w:r/>
    </w:p>
    <w:p>
      <w:pPr>
        <w:ind w:left="0"/>
        <w:spacing w:line="360" w:lineRule="auto"/>
        <w:widowControl w:val="off"/>
        <w:rPr>
          <w:rFonts w:hint="eastAsia" w:ascii="宋体" w:hAnsi="宋体" w:cs="宋体"/>
          <w:b/>
          <w:bCs/>
          <w:sz w:val="24"/>
          <w:szCs w:val="22"/>
          <w:highlight w:val="none"/>
        </w:rPr>
      </w:pPr>
      <w:r>
        <w:rPr>
          <w:rFonts w:hint="eastAsia" w:ascii="宋体" w:hAnsi="宋体" w:cs="宋体"/>
          <w:b/>
          <w:sz w:val="24"/>
          <w:szCs w:val="22"/>
          <w:highlight w:val="none"/>
        </w:rPr>
        <w:t xml:space="preserve">五、</w:t>
      </w:r>
      <w:r>
        <w:rPr>
          <w:rFonts w:hint="eastAsia" w:ascii="宋体" w:hAnsi="宋体" w:cs="宋体"/>
          <w:b/>
          <w:bCs/>
          <w:sz w:val="24"/>
          <w:szCs w:val="22"/>
          <w:highlight w:val="none"/>
        </w:rPr>
        <w:t xml:space="preserve">开启</w:t>
      </w:r>
      <w:r/>
    </w:p>
    <w:p>
      <w:pPr>
        <w:ind w:left="0" w:firstLine="48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时间：2026年</w:t>
      </w:r>
      <w:r>
        <w:rPr>
          <w:rFonts w:hint="eastAsia" w:ascii="宋体" w:hAnsi="宋体" w:cs="宋体"/>
          <w:sz w:val="24"/>
          <w:szCs w:val="22"/>
          <w:highlight w:val="none"/>
          <w:lang w:eastAsia="zh-CN"/>
        </w:rPr>
        <w:t xml:space="preserve">8月25日</w:t>
      </w:r>
      <w:r>
        <w:rPr>
          <w:rFonts w:hint="eastAsia" w:ascii="宋体" w:hAnsi="宋体" w:cs="宋体"/>
          <w:sz w:val="24"/>
          <w:szCs w:val="22"/>
          <w:highlight w:val="none"/>
        </w:rPr>
        <w:t xml:space="preserve">13:30（北京时间）</w:t>
      </w:r>
      <w:r/>
    </w:p>
    <w:p>
      <w:pPr>
        <w:ind w:left="0" w:firstLine="48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地点：“苏采云”政府采购交易系统</w:t>
      </w:r>
      <w:r/>
    </w:p>
    <w:p>
      <w:pPr>
        <w:ind w:left="0"/>
        <w:spacing w:line="360" w:lineRule="auto"/>
        <w:widowControl w:val="off"/>
        <w:rPr>
          <w:rFonts w:hint="eastAsia" w:ascii="宋体" w:hAnsi="宋体" w:cs="宋体"/>
          <w:b/>
          <w:sz w:val="24"/>
          <w:szCs w:val="22"/>
          <w:highlight w:val="none"/>
        </w:rPr>
      </w:pPr>
      <w:r>
        <w:rPr>
          <w:rFonts w:hint="eastAsia" w:ascii="宋体" w:hAnsi="宋体" w:cs="宋体"/>
          <w:b/>
          <w:sz w:val="24"/>
          <w:szCs w:val="22"/>
          <w:highlight w:val="none"/>
        </w:rPr>
        <w:t xml:space="preserve">六、公告期限</w:t>
      </w:r>
      <w:r/>
    </w:p>
    <w:p>
      <w:pPr>
        <w:ind w:left="0" w:firstLine="480"/>
        <w:spacing w:line="360" w:lineRule="auto"/>
        <w:widowControl w:val="off"/>
        <w:rPr>
          <w:rFonts w:hint="eastAsia" w:ascii="宋体" w:hAnsi="宋体"/>
          <w:bCs/>
          <w:sz w:val="24"/>
          <w:szCs w:val="22"/>
          <w:highlight w:val="none"/>
          <w:u w:val="single"/>
        </w:rPr>
      </w:pPr>
      <w:r>
        <w:rPr>
          <w:rFonts w:hint="eastAsia" w:ascii="宋体" w:hAnsi="宋体" w:cs="宋体"/>
          <w:sz w:val="24"/>
          <w:szCs w:val="22"/>
          <w:highlight w:val="none"/>
        </w:rPr>
        <w:t xml:space="preserve">自本公告发布之日起3个工作日。</w:t>
      </w:r>
      <w:r/>
    </w:p>
    <w:p>
      <w:pPr>
        <w:ind w:left="0"/>
        <w:spacing w:line="360" w:lineRule="auto"/>
        <w:widowControl w:val="off"/>
        <w:rPr>
          <w:rFonts w:hint="eastAsia" w:ascii="宋体" w:hAnsi="宋体" w:cs="宋体"/>
          <w:b/>
          <w:sz w:val="24"/>
          <w:szCs w:val="22"/>
          <w:highlight w:val="none"/>
        </w:rPr>
      </w:pPr>
      <w:r/>
      <w:bookmarkStart w:id="36" w:name="_Toc35393635"/>
      <w:r/>
      <w:bookmarkStart w:id="37" w:name="_Toc35393804"/>
      <w:r>
        <w:rPr>
          <w:rFonts w:hint="eastAsia" w:ascii="宋体" w:hAnsi="宋体" w:cs="宋体"/>
          <w:b/>
          <w:sz w:val="24"/>
          <w:szCs w:val="22"/>
          <w:highlight w:val="none"/>
        </w:rPr>
        <w:t xml:space="preserve">七、其他补充事宜</w:t>
      </w:r>
      <w:bookmarkEnd w:id="36"/>
      <w:r/>
      <w:bookmarkEnd w:id="37"/>
      <w:r/>
      <w:r/>
    </w:p>
    <w:p>
      <w:pPr>
        <w:ind w:left="0" w:firstLine="480"/>
        <w:spacing w:line="360" w:lineRule="auto"/>
        <w:widowControl w:val="off"/>
        <w:rPr>
          <w:rFonts w:hint="eastAsia" w:ascii="宋体" w:hAnsi="宋体" w:cs="宋体"/>
          <w:sz w:val="24"/>
          <w:szCs w:val="24"/>
          <w:highlight w:val="none"/>
        </w:rPr>
      </w:pPr>
      <w:r/>
      <w:bookmarkStart w:id="38" w:name="_Toc35393636"/>
      <w:r/>
      <w:bookmarkStart w:id="39" w:name="_Toc28359095"/>
      <w:r/>
      <w:bookmarkStart w:id="40" w:name="_Toc28359018"/>
      <w:r/>
      <w:bookmarkStart w:id="41" w:name="_Toc35393805"/>
      <w:r>
        <w:rPr>
          <w:rFonts w:hint="eastAsia" w:ascii="宋体" w:hAnsi="宋体" w:cs="宋体"/>
          <w:sz w:val="24"/>
          <w:szCs w:val="24"/>
          <w:highlight w:val="none"/>
        </w:rPr>
        <w:t xml:space="preserve">1、CA证书办理</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2、参与采购活动</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3、电子投标准备</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在系统操作过程中如有疑问，请按以下方式联系：</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注册咨询：13914088964；</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CA技术咨询电话：400-608-6099；</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签章使用问题：025-83633811、025-83633812、15380932027、15371015030；</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系统使用指导与咨询：联系电话：13914088964；智能客服：登录苏采云系统后，联系系统右下方智能客服图标进行咨询。</w:t>
      </w:r>
      <w:r/>
    </w:p>
    <w:p>
      <w:pPr>
        <w:numPr>
          <w:ilvl w:val="0"/>
          <w:numId w:val="3"/>
        </w:num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根据苏州市财政局《关于深入开展苏州市政府采购合同信用融资业务的通知》相关要求，本项目支持政府采购合同信用融资。</w:t>
      </w:r>
      <w:r/>
    </w:p>
    <w:p>
      <w:pPr>
        <w:numPr>
          <w:ilvl w:val="0"/>
          <w:numId w:val="3"/>
        </w:numPr>
        <w:ind w:left="0" w:firstLine="48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本公告同时在江苏政府采购网、苏州市政府采购网发布。苏州市相城区财政局政府采购监督电话：0512-67591005、0512-67591006。</w:t>
      </w:r>
      <w:r/>
    </w:p>
    <w:p>
      <w:pPr>
        <w:ind w:left="0" w:firstLine="480"/>
        <w:spacing w:line="360" w:lineRule="auto"/>
        <w:widowControl w:val="off"/>
        <w:rPr>
          <w:rFonts w:hint="eastAsia" w:ascii="宋体" w:hAnsi="宋体" w:cs="宋体"/>
          <w:b/>
          <w:bCs/>
          <w:sz w:val="24"/>
          <w:szCs w:val="22"/>
          <w:highlight w:val="none"/>
        </w:rPr>
      </w:pPr>
      <w:r>
        <w:rPr>
          <w:rFonts w:hint="eastAsia" w:ascii="宋体" w:hAnsi="宋体" w:cs="宋体"/>
          <w:sz w:val="24"/>
          <w:szCs w:val="22"/>
          <w:highlight w:val="none"/>
        </w:rPr>
        <w:t xml:space="preserve">7、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4"/>
          <w:szCs w:val="22"/>
          <w:highlight w:val="none"/>
        </w:rPr>
        <w:t xml:space="preserve">供应商应充分考虑到网络环境、网络带宽等风险因素，如因供应商自身原因造成的电子响应文件上传不成功由供应商自行承担全部责任。</w:t>
      </w:r>
      <w:r/>
    </w:p>
    <w:p>
      <w:pPr>
        <w:ind w:left="0" w:firstLine="48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8、本项目获取采购文件截止日期之后仍可以下载采购文件，但截止日期之后下载的采购文件，视为非有效方式且不作为供应商权益受到损害的证明材料和依据。</w:t>
      </w:r>
      <w:r/>
    </w:p>
    <w:p>
      <w:pPr>
        <w:ind w:left="0" w:firstLine="48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9、</w:t>
      </w:r>
      <w:r>
        <w:rPr>
          <w:rFonts w:hint="eastAsia" w:ascii="宋体" w:hAnsi="宋体" w:cs="宋体"/>
          <w:b/>
          <w:bCs/>
          <w:sz w:val="24"/>
          <w:szCs w:val="24"/>
          <w:highlight w:val="none"/>
        </w:rPr>
        <w:t xml:space="preserve">根据《政府采购促进中小企业发展管理办法》（财库〔2020〕46号）及《中小企业划型标准规定》（工信部联企业〔2011〕300号），本项目采购标的对应的中小企业划分标准所属行业为其他未列明行业。</w:t>
      </w:r>
      <w:r/>
    </w:p>
    <w:p>
      <w:pPr>
        <w:ind w:left="0"/>
        <w:spacing w:line="360" w:lineRule="auto"/>
        <w:widowControl w:val="off"/>
        <w:rPr>
          <w:rFonts w:hint="eastAsia" w:ascii="宋体" w:hAnsi="宋体" w:cs="宋体"/>
          <w:b/>
          <w:sz w:val="24"/>
          <w:szCs w:val="22"/>
          <w:highlight w:val="none"/>
        </w:rPr>
      </w:pPr>
      <w:r>
        <w:rPr>
          <w:rFonts w:hint="eastAsia" w:ascii="宋体" w:hAnsi="宋体" w:cs="宋体"/>
          <w:b/>
          <w:sz w:val="24"/>
          <w:szCs w:val="22"/>
          <w:highlight w:val="none"/>
        </w:rPr>
        <w:t xml:space="preserve">八、凡对本次采购提出询问，请按</w:t>
      </w:r>
      <w:r>
        <w:rPr>
          <w:rFonts w:ascii="宋体" w:hAnsi="宋体" w:cs="宋体"/>
          <w:b/>
          <w:sz w:val="24"/>
          <w:szCs w:val="22"/>
          <w:highlight w:val="none"/>
        </w:rPr>
        <w:t xml:space="preserve">以下方式</w:t>
      </w:r>
      <w:r>
        <w:rPr>
          <w:rFonts w:hint="eastAsia" w:ascii="宋体" w:hAnsi="宋体" w:cs="宋体"/>
          <w:b/>
          <w:sz w:val="24"/>
          <w:szCs w:val="22"/>
          <w:highlight w:val="none"/>
        </w:rPr>
        <w:t xml:space="preserve">联系。</w:t>
      </w:r>
      <w:bookmarkEnd w:id="38"/>
      <w:r/>
      <w:bookmarkEnd w:id="39"/>
      <w:r/>
      <w:bookmarkEnd w:id="40"/>
      <w:r/>
      <w:bookmarkEnd w:id="41"/>
      <w:r/>
      <w:r/>
    </w:p>
    <w:p>
      <w:pPr>
        <w:ind w:left="0" w:firstLine="480"/>
        <w:spacing w:line="360" w:lineRule="auto"/>
        <w:widowControl w:val="off"/>
        <w:rPr>
          <w:rFonts w:hint="eastAsia" w:ascii="宋体" w:hAnsi="宋体" w:cs="宋体"/>
          <w:sz w:val="24"/>
          <w:szCs w:val="22"/>
          <w:highlight w:val="none"/>
        </w:rPr>
      </w:pPr>
      <w:r/>
      <w:bookmarkStart w:id="42" w:name="_Toc28359097"/>
      <w:r/>
      <w:bookmarkStart w:id="43" w:name="_Toc35393638"/>
      <w:r/>
      <w:bookmarkStart w:id="44" w:name="_Toc35393807"/>
      <w:r/>
      <w:bookmarkStart w:id="45" w:name="_Toc28359020"/>
      <w:r>
        <w:rPr>
          <w:rFonts w:hint="eastAsia" w:ascii="宋体" w:hAnsi="宋体" w:cs="宋体"/>
          <w:sz w:val="24"/>
          <w:szCs w:val="22"/>
          <w:highlight w:val="none"/>
        </w:rPr>
        <w:t xml:space="preserve">1、采购人信息</w:t>
      </w:r>
      <w:r/>
    </w:p>
    <w:p>
      <w:pPr>
        <w:ind w:left="0" w:firstLine="660"/>
        <w:spacing w:line="360" w:lineRule="auto"/>
        <w:widowControl w:val="off"/>
        <w:rPr>
          <w:rFonts w:hint="eastAsia" w:ascii="宋体" w:hAnsi="宋体"/>
          <w:sz w:val="24"/>
          <w:szCs w:val="22"/>
          <w:highlight w:val="none"/>
        </w:rPr>
      </w:pPr>
      <w:r>
        <w:rPr>
          <w:rFonts w:hint="eastAsia" w:ascii="宋体" w:hAnsi="宋体" w:cs="宋体"/>
          <w:sz w:val="24"/>
          <w:szCs w:val="22"/>
          <w:highlight w:val="none"/>
        </w:rPr>
        <w:t xml:space="preserve">名称：</w:t>
      </w:r>
      <w:r>
        <w:rPr>
          <w:rFonts w:hint="eastAsia" w:ascii="宋体" w:hAnsi="宋体"/>
          <w:sz w:val="24"/>
          <w:szCs w:val="22"/>
          <w:highlight w:val="none"/>
        </w:rPr>
        <w:t xml:space="preserve">苏州市相城区公路事业发展中心</w:t>
      </w:r>
      <w:r/>
    </w:p>
    <w:p>
      <w:pPr>
        <w:ind w:left="0" w:firstLine="66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单位地址：相城区元和街道润元路润益巷润南大厦C区</w:t>
      </w:r>
      <w:r/>
    </w:p>
    <w:p>
      <w:pPr>
        <w:ind w:left="0" w:firstLine="66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联系人：戴工</w:t>
      </w:r>
      <w:r/>
    </w:p>
    <w:p>
      <w:pPr>
        <w:ind w:left="0" w:firstLine="66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联系方式：0512-66108115</w:t>
      </w:r>
      <w:r/>
    </w:p>
    <w:p>
      <w:pPr>
        <w:ind w:left="0" w:firstLine="48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2、采购代理机构信息</w:t>
      </w:r>
      <w:bookmarkEnd w:id="42"/>
      <w:r/>
      <w:bookmarkEnd w:id="43"/>
      <w:r/>
      <w:bookmarkEnd w:id="44"/>
      <w:r/>
      <w:bookmarkEnd w:id="45"/>
      <w:r/>
      <w:r/>
    </w:p>
    <w:p>
      <w:pPr>
        <w:ind w:left="0" w:firstLine="66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名称：苏州永正造价师事务所有限公司</w:t>
      </w:r>
      <w:r/>
    </w:p>
    <w:p>
      <w:pPr>
        <w:ind w:left="0" w:firstLine="66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地址：苏州市吴中区塔韵路178号天鸿大厦915室</w:t>
      </w:r>
      <w:r/>
    </w:p>
    <w:p>
      <w:pPr>
        <w:ind w:left="0" w:firstLine="66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联系方式：0512-65629282</w:t>
      </w:r>
      <w:r/>
    </w:p>
    <w:p>
      <w:pPr>
        <w:ind w:left="0" w:firstLine="480"/>
        <w:spacing w:line="360" w:lineRule="auto"/>
        <w:widowControl w:val="off"/>
        <w:rPr>
          <w:rFonts w:hint="eastAsia" w:ascii="宋体" w:hAnsi="宋体" w:cs="宋体"/>
          <w:sz w:val="24"/>
          <w:szCs w:val="22"/>
          <w:highlight w:val="none"/>
        </w:rPr>
      </w:pPr>
      <w:r/>
      <w:bookmarkStart w:id="46" w:name="_Toc35393808"/>
      <w:r/>
      <w:bookmarkStart w:id="47" w:name="_Toc28359098"/>
      <w:r/>
      <w:bookmarkStart w:id="48" w:name="_Toc35393639"/>
      <w:r/>
      <w:bookmarkStart w:id="49" w:name="_Toc28359021"/>
      <w:r>
        <w:rPr>
          <w:rFonts w:hint="eastAsia" w:ascii="宋体" w:hAnsi="宋体" w:cs="宋体"/>
          <w:sz w:val="24"/>
          <w:szCs w:val="22"/>
          <w:highlight w:val="none"/>
        </w:rPr>
        <w:t xml:space="preserve">3、项目联系</w:t>
      </w:r>
      <w:r>
        <w:rPr>
          <w:rFonts w:ascii="宋体" w:hAnsi="宋体" w:cs="宋体"/>
          <w:sz w:val="24"/>
          <w:szCs w:val="22"/>
          <w:highlight w:val="none"/>
        </w:rPr>
        <w:t xml:space="preserve">方式</w:t>
      </w:r>
      <w:bookmarkEnd w:id="46"/>
      <w:r/>
      <w:bookmarkEnd w:id="47"/>
      <w:r/>
      <w:bookmarkEnd w:id="48"/>
      <w:r/>
      <w:bookmarkEnd w:id="49"/>
      <w:r/>
      <w:r/>
    </w:p>
    <w:p>
      <w:pPr>
        <w:ind w:left="0" w:firstLine="66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项目联系人：蒋杰    电话：0512-65629282</w:t>
      </w:r>
      <w:r/>
    </w:p>
    <w:p>
      <w:pPr>
        <w:ind w:left="0" w:firstLine="480"/>
        <w:spacing w:line="360" w:lineRule="auto"/>
        <w:rPr>
          <w:rFonts w:hint="eastAsia" w:ascii="宋体" w:hAnsi="宋体" w:cs="宋体"/>
          <w:highlight w:val="none"/>
        </w:rPr>
      </w:pPr>
      <w:r>
        <w:rPr>
          <w:rFonts w:hint="eastAsia" w:ascii="宋体" w:hAnsi="宋体" w:cs="宋体"/>
          <w:highlight w:val="none"/>
        </w:rPr>
      </w:r>
      <w:r/>
    </w:p>
    <w:p>
      <w:pPr>
        <w:pStyle w:val="998"/>
        <w:jc w:val="center"/>
        <w:rPr>
          <w:rFonts w:hint="eastAsia" w:ascii="宋体" w:hAnsi="宋体" w:cs="宋体"/>
          <w:b/>
          <w:sz w:val="44"/>
          <w:szCs w:val="44"/>
          <w:highlight w:val="none"/>
        </w:rPr>
      </w:pPr>
      <w:r>
        <w:rPr>
          <w:rFonts w:hint="eastAsia" w:ascii="宋体" w:hAnsi="宋体" w:cs="宋体"/>
          <w:b/>
          <w:sz w:val="44"/>
          <w:szCs w:val="44"/>
          <w:highlight w:val="none"/>
        </w:rPr>
        <w:br w:type="page" w:clear="all"/>
      </w:r>
      <w:bookmarkStart w:id="50" w:name="_Toc11400"/>
      <w:r/>
      <w:r/>
    </w:p>
    <w:p>
      <w:pPr>
        <w:pStyle w:val="998"/>
        <w:jc w:val="center"/>
        <w:rPr>
          <w:rFonts w:hint="eastAsia" w:ascii="宋体" w:hAnsi="宋体" w:cs="宋体"/>
          <w:b/>
          <w:sz w:val="44"/>
          <w:szCs w:val="44"/>
          <w:highlight w:val="none"/>
        </w:rPr>
      </w:pPr>
      <w:r>
        <w:rPr>
          <w:rFonts w:hint="eastAsia" w:ascii="宋体" w:hAnsi="宋体" w:cs="宋体"/>
          <w:b/>
          <w:sz w:val="44"/>
          <w:szCs w:val="44"/>
          <w:highlight w:val="none"/>
        </w:rPr>
      </w:r>
      <w:r/>
    </w:p>
    <w:p>
      <w:pPr>
        <w:pStyle w:val="998"/>
        <w:jc w:val="center"/>
        <w:rPr>
          <w:rFonts w:hint="eastAsia" w:ascii="宋体" w:hAnsi="宋体" w:cs="宋体"/>
          <w:b/>
          <w:sz w:val="44"/>
          <w:szCs w:val="44"/>
          <w:highlight w:val="none"/>
        </w:rPr>
      </w:pPr>
      <w:r>
        <w:rPr>
          <w:rFonts w:hint="eastAsia" w:ascii="宋体" w:hAnsi="宋体" w:cs="宋体"/>
          <w:b/>
          <w:sz w:val="44"/>
          <w:szCs w:val="44"/>
          <w:highlight w:val="none"/>
        </w:rPr>
      </w:r>
      <w:r/>
    </w:p>
    <w:p>
      <w:pPr>
        <w:pStyle w:val="998"/>
        <w:jc w:val="center"/>
        <w:rPr>
          <w:rFonts w:hint="eastAsia" w:ascii="宋体" w:hAnsi="宋体" w:cs="宋体"/>
          <w:b/>
          <w:sz w:val="44"/>
          <w:szCs w:val="44"/>
          <w:highlight w:val="none"/>
        </w:rPr>
      </w:pPr>
      <w:r>
        <w:rPr>
          <w:rFonts w:hint="eastAsia" w:ascii="宋体" w:hAnsi="宋体" w:cs="宋体"/>
          <w:b/>
          <w:sz w:val="44"/>
          <w:szCs w:val="44"/>
          <w:highlight w:val="none"/>
        </w:rPr>
      </w:r>
      <w:r/>
    </w:p>
    <w:p>
      <w:pPr>
        <w:pStyle w:val="998"/>
        <w:jc w:val="center"/>
        <w:rPr>
          <w:rFonts w:hint="eastAsia" w:ascii="宋体" w:hAnsi="宋体" w:cs="宋体"/>
          <w:b/>
          <w:sz w:val="44"/>
          <w:szCs w:val="44"/>
          <w:highlight w:val="none"/>
        </w:rPr>
      </w:pPr>
      <w:r/>
      <w:bookmarkStart w:id="51" w:name="_Toc17757"/>
      <w:r/>
      <w:bookmarkStart w:id="52" w:name="_Toc29635"/>
      <w:r>
        <w:rPr>
          <w:rFonts w:hint="eastAsia" w:ascii="宋体" w:hAnsi="宋体" w:cs="宋体"/>
          <w:b/>
          <w:sz w:val="44"/>
          <w:szCs w:val="44"/>
          <w:highlight w:val="none"/>
        </w:rPr>
        <w:t xml:space="preserve">第二章 </w:t>
      </w:r>
      <w:bookmarkStart w:id="53" w:name="投标人须知"/>
      <w:r/>
      <w:bookmarkEnd w:id="53"/>
      <w:r>
        <w:rPr>
          <w:rFonts w:hint="eastAsia" w:ascii="宋体" w:hAnsi="宋体" w:cs="宋体"/>
          <w:b/>
          <w:sz w:val="44"/>
          <w:szCs w:val="44"/>
          <w:highlight w:val="none"/>
        </w:rPr>
        <w:t xml:space="preserve">磋商须知</w:t>
      </w:r>
      <w:bookmarkEnd w:id="14"/>
      <w:r/>
      <w:bookmarkEnd w:id="15"/>
      <w:r/>
      <w:bookmarkEnd w:id="16"/>
      <w:r/>
      <w:bookmarkEnd w:id="17"/>
      <w:r/>
      <w:bookmarkEnd w:id="50"/>
      <w:r/>
      <w:bookmarkEnd w:id="51"/>
      <w:r/>
      <w:bookmarkEnd w:id="52"/>
      <w:r/>
      <w:r/>
    </w:p>
    <w:p>
      <w:pPr>
        <w:pStyle w:val="999"/>
        <w:ind w:left="0" w:firstLine="482"/>
        <w:keepNext w:val="0"/>
        <w:spacing w:before="0" w:after="0" w:line="360" w:lineRule="auto"/>
        <w:rPr>
          <w:rFonts w:hint="eastAsia" w:ascii="宋体" w:hAnsi="宋体" w:cs="宋体"/>
          <w:i w:val="0"/>
          <w:iCs w:val="0"/>
          <w:sz w:val="24"/>
          <w:szCs w:val="24"/>
          <w:highlight w:val="none"/>
        </w:rPr>
      </w:pPr>
      <w:r/>
      <w:bookmarkStart w:id="54" w:name="_Toc58248881"/>
      <w:r/>
      <w:bookmarkStart w:id="55" w:name="_Toc57376407"/>
      <w:r/>
      <w:bookmarkStart w:id="56" w:name="_Toc24711"/>
      <w:r/>
      <w:bookmarkStart w:id="57" w:name="_Toc7264"/>
      <w:r>
        <w:rPr>
          <w:rFonts w:hint="eastAsia" w:ascii="宋体" w:hAnsi="宋体" w:cs="宋体"/>
          <w:i w:val="0"/>
          <w:iCs w:val="0"/>
          <w:sz w:val="24"/>
          <w:szCs w:val="24"/>
          <w:highlight w:val="none"/>
        </w:rPr>
        <w:br w:type="page" w:clear="all"/>
      </w:r>
      <w:bookmarkStart w:id="58" w:name="_Toc16525"/>
      <w:r>
        <w:rPr>
          <w:rFonts w:hint="eastAsia" w:ascii="宋体" w:hAnsi="宋体" w:cs="宋体"/>
          <w:i w:val="0"/>
          <w:iCs w:val="0"/>
          <w:sz w:val="24"/>
          <w:szCs w:val="24"/>
          <w:highlight w:val="none"/>
        </w:rPr>
        <w:t xml:space="preserve">一、响应文件的组成及要求</w:t>
      </w:r>
      <w:bookmarkEnd w:id="58"/>
      <w:r/>
      <w:r/>
    </w:p>
    <w:p>
      <w:pPr>
        <w:pStyle w:val="831"/>
        <w:ind w:left="0" w:firstLine="482"/>
        <w:spacing w:line="360" w:lineRule="auto"/>
        <w:rPr>
          <w:rFonts w:hint="eastAsia" w:ascii="宋体" w:hAnsi="宋体" w:cs="宋体"/>
          <w:b/>
          <w:bCs/>
          <w:sz w:val="24"/>
          <w:szCs w:val="24"/>
          <w:highlight w:val="none"/>
        </w:rPr>
      </w:pPr>
      <w:r/>
      <w:bookmarkStart w:id="59" w:name="_Toc5566"/>
      <w:r>
        <w:rPr>
          <w:rFonts w:hint="eastAsia" w:ascii="宋体" w:hAnsi="宋体" w:cs="宋体"/>
          <w:b/>
          <w:bCs/>
          <w:sz w:val="24"/>
          <w:szCs w:val="24"/>
          <w:highlight w:val="none"/>
        </w:rPr>
        <w:t xml:space="preserve">（一）文件组成：</w:t>
      </w:r>
      <w:r/>
    </w:p>
    <w:p>
      <w:pPr>
        <w:pStyle w:val="831"/>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1、响应文件一（报价部分）(格式见第三章)：</w:t>
      </w:r>
      <w:r/>
    </w:p>
    <w:p>
      <w:pPr>
        <w:ind w:left="0" w:firstLine="482"/>
        <w:jc w:val="left"/>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封面</w:t>
      </w:r>
      <w:r/>
    </w:p>
    <w:p>
      <w:pPr>
        <w:ind w:left="0" w:firstLine="482"/>
        <w:jc w:val="left"/>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1.1报价部分</w:t>
      </w:r>
      <w:r/>
    </w:p>
    <w:p>
      <w:pPr>
        <w:ind w:left="0" w:firstLine="482"/>
        <w:jc w:val="left"/>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1.1.1开标一览表(按系统内统一格式)；</w:t>
      </w:r>
      <w:r/>
    </w:p>
    <w:p>
      <w:pPr>
        <w:ind w:left="0" w:firstLine="482"/>
        <w:jc w:val="left"/>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1.1.2分项报价表；</w:t>
      </w:r>
      <w:r/>
    </w:p>
    <w:p>
      <w:pPr>
        <w:ind w:left="0" w:firstLine="482"/>
        <w:jc w:val="left"/>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1.2资格性要求</w:t>
      </w:r>
      <w:r/>
    </w:p>
    <w:p>
      <w:pPr>
        <w:ind w:left="0" w:firstLine="480"/>
        <w:jc w:val="left"/>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1.2.1具有独立承担民事责任的能力证明。包括法人或者其他组织的营业执照等证明文件，自然人的身份证明；</w:t>
      </w:r>
      <w:r/>
    </w:p>
    <w:p>
      <w:pPr>
        <w:ind w:left="0" w:firstLine="480"/>
        <w:jc w:val="left"/>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1.2.2具有良好的商业信誉和健全的财务会计制度证明。包括但不限于最近一期经审计的财务报告，其他组织、自然人及成立未满一年的法人应提供银行出具的资信证明。</w:t>
      </w:r>
      <w:r/>
    </w:p>
    <w:p>
      <w:pPr>
        <w:ind w:left="0" w:firstLine="480"/>
        <w:jc w:val="left"/>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1.2.3响应单位证明其满足合格投标人条件的证书、证明、文件等资料以及响应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r/>
    </w:p>
    <w:p>
      <w:pPr>
        <w:ind w:left="0" w:firstLine="480"/>
        <w:jc w:val="left"/>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1.2.4有依法缴纳税收和社会保障资金的良好记录。如税务登记证（如有）和合理期限内依法缴纳税收的凭据，社会保险登记证（如有）和合理期限内依法缴纳社会保险的凭据（专用收据或社会保险缴纳清单）。</w:t>
      </w:r>
      <w:r/>
    </w:p>
    <w:p>
      <w:pPr>
        <w:ind w:left="0" w:firstLine="480"/>
        <w:jc w:val="left"/>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1.2.5参加政府采购活动前三年内，在经营活动中没有重大违法记录的书面声明函；</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1.2.6法律、行政法规规定的其他条件；</w:t>
      </w:r>
      <w:r/>
    </w:p>
    <w:p>
      <w:pPr>
        <w:ind w:left="0" w:firstLine="480"/>
        <w:jc w:val="left"/>
        <w:spacing w:line="360" w:lineRule="auto"/>
        <w:widowControl w:val="off"/>
        <w:rPr>
          <w:rFonts w:hint="eastAsia" w:ascii="宋体" w:hAnsi="宋体" w:cs="宋体"/>
          <w:b/>
          <w:bCs/>
          <w:sz w:val="24"/>
          <w:szCs w:val="24"/>
          <w:highlight w:val="none"/>
        </w:rPr>
      </w:pPr>
      <w:r>
        <w:rPr>
          <w:rFonts w:hint="eastAsia" w:ascii="宋体" w:hAnsi="宋体" w:cs="宋体"/>
          <w:sz w:val="24"/>
          <w:szCs w:val="24"/>
          <w:highlight w:val="none"/>
        </w:rPr>
        <w:t xml:space="preserve">1.2.7</w:t>
      </w:r>
      <w:r>
        <w:rPr>
          <w:rFonts w:hint="eastAsia" w:ascii="宋体" w:hAnsi="宋体" w:cs="宋体"/>
          <w:sz w:val="24"/>
          <w:highlight w:val="none"/>
        </w:rPr>
        <w:t xml:space="preserve">《中小企业声明函》或《残疾人福利性单位声明函》或由省级以上监狱管理局、戒毒管理局（含新疆生产建设兵团）出具的属于监狱企业的证明文件（本项目不属于预留份额专门面向中小企业采购，若未提供</w:t>
      </w:r>
      <w:r>
        <w:rPr>
          <w:rStyle w:val="1033"/>
          <w:rFonts w:hint="eastAsia" w:ascii="宋体" w:hAnsi="宋体" w:cs="宋体"/>
          <w:sz w:val="24"/>
          <w:highlight w:val="none"/>
        </w:rPr>
        <w:t xml:space="preserve">不享受报价评审优惠政策</w:t>
      </w:r>
      <w:r>
        <w:rPr>
          <w:rFonts w:hint="eastAsia" w:ascii="宋体" w:hAnsi="宋体" w:cs="宋体"/>
          <w:sz w:val="24"/>
          <w:highlight w:val="none"/>
        </w:rPr>
        <w:t xml:space="preserve">）</w:t>
      </w:r>
      <w:r/>
    </w:p>
    <w:p>
      <w:pPr>
        <w:ind w:left="0" w:firstLine="48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1.2.8未被“信用中国”网站（www.creditchina.gov.cn）列入失信被执行人、重大税收违法案件当事人名单、政府采购严重失信行为记录名单；</w:t>
      </w:r>
      <w:r/>
    </w:p>
    <w:p>
      <w:pPr>
        <w:ind w:left="0" w:firstLine="480"/>
        <w:spacing w:line="360" w:lineRule="auto"/>
        <w:widowControl w:val="off"/>
        <w:rPr>
          <w:rFonts w:hint="eastAsia" w:ascii="宋体" w:hAnsi="宋体" w:cs="宋体"/>
          <w:sz w:val="24"/>
          <w:szCs w:val="22"/>
          <w:highlight w:val="none"/>
        </w:rPr>
      </w:pPr>
      <w:r>
        <w:rPr>
          <w:rFonts w:hint="eastAsia" w:ascii="宋体" w:hAnsi="宋体" w:cs="宋体"/>
          <w:sz w:val="24"/>
          <w:szCs w:val="22"/>
          <w:highlight w:val="none"/>
        </w:rPr>
        <w:t xml:space="preserve">1.2.9</w:t>
      </w:r>
      <w:r>
        <w:rPr>
          <w:rFonts w:hint="eastAsia" w:ascii="宋体" w:hAnsi="宋体" w:cs="宋体"/>
          <w:bCs/>
          <w:sz w:val="24"/>
          <w:szCs w:val="22"/>
          <w:highlight w:val="none"/>
        </w:rPr>
        <w:t xml:space="preserve">响应单位资质：</w:t>
      </w:r>
      <w:r>
        <w:rPr>
          <w:rFonts w:hint="eastAsia" w:ascii="宋体" w:hAnsi="宋体" w:cs="宋体"/>
          <w:b/>
          <w:sz w:val="24"/>
          <w:szCs w:val="22"/>
          <w:highlight w:val="none"/>
        </w:rPr>
        <w:t xml:space="preserve">①具有公路工程试验检测综合乙级以上（含乙级）资质或公路工程桥梁隧道工程试验检测专项证书。②具有省级或以上技术监督部门颁发的有效的资质认定证书（资质认定包括检验检测机构计量认证）或计量认证证书。</w:t>
      </w:r>
      <w:r/>
    </w:p>
    <w:p>
      <w:pPr>
        <w:ind w:left="0" w:firstLine="480"/>
        <w:spacing w:line="360" w:lineRule="auto"/>
        <w:widowControl w:val="off"/>
        <w:rPr>
          <w:rFonts w:hint="eastAsia" w:ascii="宋体" w:hAnsi="宋体" w:cs="宋体"/>
          <w:sz w:val="21"/>
          <w:szCs w:val="22"/>
          <w:highlight w:val="none"/>
        </w:rPr>
      </w:pPr>
      <w:r>
        <w:rPr>
          <w:rFonts w:hint="eastAsia" w:ascii="宋体" w:hAnsi="宋体" w:cs="宋体"/>
          <w:sz w:val="24"/>
          <w:szCs w:val="22"/>
          <w:highlight w:val="none"/>
        </w:rPr>
        <w:t xml:space="preserve">1.2.10单位负责人为同一人或者存在直接控股、管理关系的不同供应商（包含法定代表人为同一个人的两个及两个以上法人，母公司、全资子公司及其控股公司），不得参加同一合同项下的政府采购活动。</w:t>
      </w:r>
      <w:r/>
    </w:p>
    <w:p>
      <w:pPr>
        <w:ind w:left="0" w:firstLine="482"/>
        <w:jc w:val="left"/>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1.3符合性要求</w:t>
      </w:r>
      <w:r/>
    </w:p>
    <w:p>
      <w:pPr>
        <w:ind w:left="0" w:firstLine="480"/>
        <w:jc w:val="left"/>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1.3.1磋商响应函；</w:t>
      </w:r>
      <w:r/>
    </w:p>
    <w:p>
      <w:pPr>
        <w:ind w:left="0" w:firstLine="480"/>
        <w:jc w:val="left"/>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1.3.2关于资格文件的声明函；</w:t>
      </w:r>
      <w:r/>
    </w:p>
    <w:p>
      <w:pPr>
        <w:ind w:left="0" w:firstLine="480"/>
        <w:jc w:val="left"/>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1.3.3磋商响应单位基本情况表；</w:t>
      </w:r>
      <w:r/>
    </w:p>
    <w:p>
      <w:pPr>
        <w:ind w:left="0" w:firstLine="480"/>
        <w:jc w:val="left"/>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1.3.4磋商响应单位《营业执照》副本扫描件；</w:t>
      </w:r>
      <w:r/>
    </w:p>
    <w:p>
      <w:pPr>
        <w:ind w:left="0" w:firstLine="480"/>
        <w:jc w:val="left"/>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1.3.5磋商响应单位法定代表人身份证扫描件；</w:t>
      </w:r>
      <w:r/>
    </w:p>
    <w:p>
      <w:pPr>
        <w:ind w:left="0" w:firstLine="480"/>
        <w:jc w:val="left"/>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1.3.6法定代表人授权委托书及磋商响应单位代理人身份证扫描件（如有授权）；</w:t>
      </w:r>
      <w:r/>
    </w:p>
    <w:p>
      <w:pPr>
        <w:ind w:left="0" w:firstLine="480"/>
        <w:jc w:val="left"/>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1.3.7《商务条款偏离表》、《服务要求对照偏离表》；</w:t>
      </w:r>
      <w:r/>
    </w:p>
    <w:p>
      <w:pPr>
        <w:ind w:left="0" w:firstLine="480"/>
        <w:jc w:val="left"/>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1.3.8拟投入的人员一览表；</w:t>
      </w:r>
      <w:r/>
    </w:p>
    <w:p>
      <w:pPr>
        <w:ind w:left="0" w:firstLine="480"/>
        <w:jc w:val="left"/>
        <w:spacing w:line="360" w:lineRule="auto"/>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1.3.9拟投入的设备一览表；</w:t>
      </w:r>
      <w:r/>
    </w:p>
    <w:p>
      <w:pPr>
        <w:ind w:left="0" w:firstLine="482"/>
        <w:jc w:val="left"/>
        <w:spacing w:line="360" w:lineRule="auto"/>
        <w:widowControl w:val="off"/>
        <w:rPr>
          <w:rFonts w:hint="eastAsia" w:ascii="宋体" w:hAnsi="宋体" w:cs="宋体"/>
          <w:b/>
          <w:bCs/>
          <w:sz w:val="24"/>
          <w:szCs w:val="24"/>
          <w:highlight w:val="none"/>
        </w:rPr>
      </w:pPr>
      <w:r>
        <w:rPr>
          <w:rFonts w:hint="eastAsia" w:ascii="宋体" w:hAnsi="宋体" w:cs="宋体"/>
          <w:b/>
          <w:bCs/>
          <w:sz w:val="24"/>
          <w:highlight w:val="none"/>
        </w:rPr>
        <w:t xml:space="preserve">1.4</w:t>
      </w:r>
      <w:r>
        <w:rPr>
          <w:rFonts w:hint="eastAsia" w:ascii="宋体" w:hAnsi="宋体" w:cs="宋体"/>
          <w:b/>
          <w:bCs/>
          <w:sz w:val="24"/>
          <w:szCs w:val="24"/>
          <w:highlight w:val="none"/>
        </w:rPr>
        <w:t xml:space="preserve">综合评标文件</w:t>
      </w:r>
      <w:r/>
    </w:p>
    <w:p>
      <w:pPr>
        <w:ind w:left="0" w:firstLine="480"/>
        <w:jc w:val="left"/>
        <w:spacing w:line="360" w:lineRule="auto"/>
        <w:widowControl w:val="off"/>
        <w:rPr>
          <w:rFonts w:hint="eastAsia" w:ascii="宋体" w:hAnsi="宋体" w:cs="宋体"/>
          <w:b/>
          <w:bCs/>
          <w:sz w:val="24"/>
          <w:highlight w:val="none"/>
        </w:rPr>
      </w:pPr>
      <w:r>
        <w:rPr>
          <w:rFonts w:hint="eastAsia" w:ascii="宋体" w:hAnsi="宋体" w:cs="宋体"/>
          <w:sz w:val="24"/>
          <w:szCs w:val="24"/>
          <w:highlight w:val="none"/>
        </w:rPr>
        <w:t xml:space="preserve">1.4.1其它有关证明文件；</w:t>
      </w:r>
      <w:r/>
    </w:p>
    <w:p>
      <w:pPr>
        <w:ind w:left="0" w:firstLine="482"/>
        <w:jc w:val="left"/>
        <w:spacing w:line="360" w:lineRule="auto"/>
        <w:widowControl w:val="off"/>
        <w:rPr>
          <w:rFonts w:hint="eastAsia" w:ascii="宋体" w:hAnsi="宋体" w:cs="宋体"/>
          <w:b/>
          <w:bCs/>
          <w:sz w:val="24"/>
          <w:szCs w:val="24"/>
          <w:highlight w:val="none"/>
        </w:rPr>
      </w:pPr>
      <w:r>
        <w:rPr>
          <w:rFonts w:hint="eastAsia" w:ascii="宋体" w:hAnsi="宋体" w:cs="宋体"/>
          <w:b/>
          <w:sz w:val="24"/>
          <w:szCs w:val="24"/>
          <w:highlight w:val="none"/>
        </w:rPr>
        <w:t xml:space="preserve">注：</w:t>
      </w:r>
      <w:r>
        <w:rPr>
          <w:rFonts w:hint="eastAsia" w:ascii="宋体" w:hAnsi="宋体" w:cs="宋体"/>
          <w:b/>
          <w:bCs/>
          <w:sz w:val="24"/>
          <w:szCs w:val="24"/>
          <w:highlight w:val="none"/>
        </w:rPr>
        <w:t xml:space="preserve">（1）以上1.2.1-1.2.10为资格审查要求提供的材料，是作为对供应商资格审查、质疑身份认定的依据，响应供应商必须提供并加盖电子公章。否则，磋商响应文件将被认定为不符合资格审查要求。</w:t>
      </w:r>
      <w:r/>
    </w:p>
    <w:p>
      <w:pPr>
        <w:ind w:left="0" w:firstLine="482"/>
        <w:jc w:val="left"/>
        <w:spacing w:line="360" w:lineRule="auto"/>
        <w:widowControl w:val="off"/>
        <w:rPr>
          <w:rFonts w:hint="eastAsia" w:ascii="宋体" w:hAnsi="宋体" w:cs="宋体"/>
          <w:sz w:val="24"/>
          <w:szCs w:val="24"/>
          <w:highlight w:val="none"/>
        </w:rPr>
      </w:pPr>
      <w:r>
        <w:rPr>
          <w:rFonts w:hint="eastAsia" w:ascii="宋体" w:hAnsi="宋体" w:cs="宋体"/>
          <w:b/>
          <w:bCs/>
          <w:sz w:val="24"/>
          <w:szCs w:val="24"/>
          <w:highlight w:val="none"/>
        </w:rPr>
        <w:t xml:space="preserve">（2）以上1.3.1-1.3.</w:t>
      </w:r>
      <w:r>
        <w:rPr>
          <w:rFonts w:hint="eastAsia" w:ascii="宋体" w:hAnsi="宋体" w:cs="宋体"/>
          <w:b/>
          <w:bCs/>
          <w:sz w:val="24"/>
          <w:szCs w:val="24"/>
          <w:highlight w:val="none"/>
          <w:lang w:val="en-US" w:eastAsia="zh-CN"/>
        </w:rPr>
        <w:t xml:space="preserve">9</w:t>
      </w:r>
      <w:r>
        <w:rPr>
          <w:rFonts w:hint="eastAsia" w:ascii="宋体" w:hAnsi="宋体" w:cs="宋体"/>
          <w:b/>
          <w:bCs/>
          <w:sz w:val="24"/>
          <w:szCs w:val="24"/>
          <w:highlight w:val="none"/>
        </w:rPr>
        <w:t xml:space="preserve">为符合性审查须提供的资料，响应供应商必须提供并加盖电子公章。否则，磋商响应文件将被认定为未实质性响应。</w:t>
      </w:r>
      <w:r/>
    </w:p>
    <w:p>
      <w:pPr>
        <w:ind w:left="0" w:firstLine="482"/>
        <w:jc w:val="left"/>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（3）制作电子响应文件时必须与响应文件制作软件目录一一对应，将相关资料上传至相应模块。</w:t>
      </w:r>
      <w:r/>
    </w:p>
    <w:p>
      <w:pPr>
        <w:ind w:left="0" w:firstLine="482"/>
        <w:jc w:val="left"/>
        <w:spacing w:line="360" w:lineRule="auto"/>
        <w:widowControl w:val="off"/>
        <w:rPr>
          <w:rFonts w:hint="eastAsia" w:ascii="宋体" w:hAnsi="宋体" w:cs="宋体"/>
          <w:bCs/>
          <w:sz w:val="24"/>
          <w:szCs w:val="24"/>
          <w:highlight w:val="none"/>
        </w:rPr>
      </w:pPr>
      <w:r>
        <w:rPr>
          <w:rFonts w:hint="eastAsia" w:ascii="宋体" w:hAnsi="宋体" w:cs="宋体"/>
          <w:b/>
          <w:sz w:val="24"/>
          <w:szCs w:val="24"/>
          <w:highlight w:val="none"/>
        </w:rPr>
        <w:t xml:space="preserve">（4）磋商响应文件编制要求：</w:t>
      </w:r>
      <w:r>
        <w:rPr>
          <w:rFonts w:hint="eastAsia" w:ascii="宋体" w:hAnsi="宋体" w:cs="宋体"/>
          <w:bCs/>
          <w:sz w:val="24"/>
          <w:szCs w:val="24"/>
          <w:highlight w:val="none"/>
        </w:rPr>
        <w:t xml:space="preserve">本项目采用电子招投标形式，请供应商按照《苏采云系统供应商操作手册》进行制作、上传电子响应文件。</w:t>
      </w:r>
      <w:r>
        <w:rPr>
          <w:rFonts w:hint="eastAsia" w:ascii="宋体" w:hAnsi="宋体" w:cs="宋体"/>
          <w:b/>
          <w:bCs/>
          <w:sz w:val="24"/>
          <w:szCs w:val="24"/>
          <w:highlight w:val="none"/>
        </w:rPr>
        <w:t xml:space="preserve">电子响应文件制作完成后请于响应文件递交截止时间前成功上传至“苏采云”系统，否则视为放弃参加该采购项目。</w:t>
      </w:r>
      <w:r>
        <w:rPr>
          <w:rFonts w:hint="eastAsia" w:ascii="宋体" w:hAnsi="宋体" w:cs="宋体"/>
          <w:bCs/>
          <w:sz w:val="24"/>
          <w:szCs w:val="24"/>
          <w:highlight w:val="none"/>
        </w:rPr>
        <w:t xml:space="preserve">供应商应充分考虑到网络环境、网络带宽等风险因素，如因供应商自身原因造成的电子响应文件上传不成功由供应商自行承担全部责任。</w:t>
      </w:r>
      <w:r/>
    </w:p>
    <w:p>
      <w:pPr>
        <w:ind w:left="0" w:firstLine="482"/>
        <w:spacing w:line="360" w:lineRule="auto"/>
        <w:widowControl w:val="off"/>
        <w:tabs>
          <w:tab w:val="left" w:pos="753" w:leader="none"/>
        </w:tabs>
        <w:rPr>
          <w:rFonts w:hint="eastAsia" w:ascii="宋体" w:hAnsi="宋体" w:cs="宋体"/>
          <w:b/>
          <w:sz w:val="24"/>
          <w:szCs w:val="24"/>
          <w:highlight w:val="none"/>
        </w:rPr>
      </w:pPr>
      <w:r>
        <w:rPr>
          <w:rFonts w:hint="eastAsia" w:ascii="宋体" w:hAnsi="宋体" w:cs="宋体"/>
          <w:b/>
          <w:sz w:val="24"/>
          <w:szCs w:val="24"/>
          <w:highlight w:val="none"/>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left="0" w:firstLine="482"/>
        <w:spacing w:line="360" w:lineRule="auto"/>
        <w:widowControl w:val="off"/>
        <w:tabs>
          <w:tab w:val="left" w:pos="753" w:leader="none"/>
        </w:tabs>
        <w:rPr>
          <w:rFonts w:hint="eastAsia" w:ascii="宋体" w:hAnsi="宋体" w:cs="宋体"/>
          <w:b/>
          <w:sz w:val="24"/>
          <w:szCs w:val="24"/>
          <w:highlight w:val="none"/>
        </w:rPr>
      </w:pPr>
      <w:r>
        <w:rPr>
          <w:rFonts w:hint="eastAsia" w:ascii="宋体" w:hAnsi="宋体" w:cs="宋体"/>
          <w:b/>
          <w:sz w:val="24"/>
          <w:szCs w:val="24"/>
          <w:highlight w:val="none"/>
        </w:rPr>
        <w:t xml:space="preserve">（6）项目评标结束后所有供应商须向采购代理机构提交响应文件纸质版，份数为三份（一正二副）。纸质响应文件与上传的电子响应文件一致，用于存档备案。（邮寄地址苏州市吴中区塔韵路178号天鸿大厦915室，联系人：蒋杰，联系电话：0512-65629282） </w:t>
      </w:r>
      <w:r/>
    </w:p>
    <w:p>
      <w:pPr>
        <w:pStyle w:val="831"/>
        <w:ind w:left="0" w:firstLine="482"/>
        <w:spacing w:line="360" w:lineRule="auto"/>
        <w:widowControl w:val="off"/>
        <w:rPr>
          <w:rFonts w:hint="eastAsia" w:ascii="宋体" w:hAnsi="宋体" w:cs="宋体"/>
          <w:b/>
          <w:sz w:val="24"/>
          <w:szCs w:val="24"/>
          <w:highlight w:val="none"/>
        </w:rPr>
        <w:outlineLvl w:val="1"/>
      </w:pPr>
      <w:r>
        <w:rPr>
          <w:rFonts w:hint="eastAsia" w:ascii="宋体" w:hAnsi="宋体" w:cs="宋体"/>
          <w:b/>
          <w:sz w:val="24"/>
          <w:szCs w:val="24"/>
          <w:highlight w:val="none"/>
        </w:rPr>
        <w:t xml:space="preserve">（7）如投标(响应)文件制作机器码信息一致，视为不同投标供应商使用同一台电脑编制投标(响应)文件，投标(响应)无效。</w:t>
      </w:r>
      <w:r/>
    </w:p>
    <w:p>
      <w:pPr>
        <w:pStyle w:val="831"/>
        <w:ind w:left="0" w:firstLine="482"/>
        <w:spacing w:line="360" w:lineRule="auto"/>
        <w:widowControl w:val="off"/>
        <w:rPr>
          <w:rFonts w:hint="eastAsia" w:ascii="宋体" w:hAnsi="宋体" w:cs="宋体"/>
          <w:b/>
          <w:sz w:val="24"/>
          <w:szCs w:val="24"/>
          <w:highlight w:val="none"/>
        </w:rPr>
        <w:outlineLvl w:val="1"/>
      </w:pPr>
      <w:r>
        <w:rPr>
          <w:rFonts w:hint="eastAsia" w:ascii="宋体" w:hAnsi="宋体" w:cs="宋体"/>
          <w:b/>
          <w:sz w:val="24"/>
          <w:szCs w:val="24"/>
          <w:highlight w:val="none"/>
        </w:rPr>
        <w:t xml:space="preserve">二、磋商程序</w:t>
      </w:r>
      <w:bookmarkEnd w:id="59"/>
      <w:r/>
      <w:r/>
    </w:p>
    <w:p>
      <w:pPr>
        <w:pStyle w:val="831"/>
        <w:ind w:left="0" w:firstLine="480"/>
        <w:spacing w:line="360" w:lineRule="auto"/>
        <w:rPr>
          <w:rFonts w:hint="eastAsia" w:ascii="宋体" w:hAnsi="宋体" w:cs="宋体"/>
          <w:sz w:val="24"/>
          <w:szCs w:val="24"/>
          <w:highlight w:val="none"/>
        </w:rPr>
        <w:outlineLvl w:val="1"/>
      </w:pPr>
      <w:r/>
      <w:bookmarkStart w:id="60" w:name="_Toc7726"/>
      <w:r>
        <w:rPr>
          <w:rFonts w:hint="eastAsia" w:ascii="宋体" w:hAnsi="宋体" w:cs="宋体"/>
          <w:sz w:val="24"/>
          <w:szCs w:val="24"/>
          <w:highlight w:val="none"/>
        </w:rPr>
        <w:t xml:space="preserve">1、采购代理机构按本须知规定的时间、地点主持磋商采购活动。</w:t>
      </w:r>
      <w:r/>
    </w:p>
    <w:p>
      <w:pPr>
        <w:pStyle w:val="831"/>
        <w:ind w:left="0"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2、供应商通过“苏采云”系统在线参与磋商活动。供应商应当按照《苏采云系统供应商操作手册》规定在 “苏采云”系统规定的时间内对响应文件进行解密。</w:t>
      </w:r>
      <w:r/>
    </w:p>
    <w:p>
      <w:pPr>
        <w:pStyle w:val="831"/>
        <w:ind w:left="0"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3、在磋商响应文件网上递交截止时间止成功解密的磋商供应商少于三家，则本次采购失败。</w:t>
      </w:r>
      <w:r/>
    </w:p>
    <w:p>
      <w:pPr>
        <w:pStyle w:val="831"/>
        <w:ind w:left="0"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4、如不同供应商的响应文件制作机器码一致，则视为无效响应。</w:t>
      </w:r>
      <w:r/>
    </w:p>
    <w:p>
      <w:pPr>
        <w:pStyle w:val="831"/>
        <w:ind w:left="0"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5、由磋商小组审查供应商解密的响应文件。</w:t>
      </w:r>
      <w:r/>
    </w:p>
    <w:p>
      <w:pPr>
        <w:pStyle w:val="831"/>
        <w:ind w:left="0"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31"/>
        <w:ind w:left="0"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7、磋商小组要求供应商澄清、说明或者更正响应文件应当以书面形式做出。供应商的澄清、说明或者更正应当由其单位加盖电子公章。</w:t>
      </w:r>
      <w:r/>
    </w:p>
    <w:p>
      <w:pPr>
        <w:pStyle w:val="831"/>
        <w:ind w:left="0"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831"/>
        <w:ind w:left="0"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8、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pStyle w:val="831"/>
        <w:ind w:left="0"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31"/>
        <w:ind w:left="0"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10、磋商结束后，磋商小组将在“苏采云”系统向所有实质性响应的供应商发布“最后报价要求函”及最后报价格式表，要求所有实质性响应的供应商在规定时间内提交最后报价。</w:t>
      </w:r>
      <w:r/>
    </w:p>
    <w:p>
      <w:pPr>
        <w:pStyle w:val="831"/>
        <w:ind w:left="0" w:firstLine="480"/>
        <w:spacing w:line="360" w:lineRule="auto"/>
        <w:widowControl w:val="off"/>
        <w:rPr>
          <w:rFonts w:hint="eastAsia" w:ascii="宋体" w:hAnsi="宋体" w:cs="宋体"/>
          <w:sz w:val="24"/>
          <w:szCs w:val="24"/>
          <w:highlight w:val="none"/>
        </w:rPr>
        <w:outlineLvl w:val="1"/>
      </w:pPr>
      <w:r>
        <w:rPr>
          <w:rFonts w:hint="eastAsia" w:ascii="宋体" w:hAnsi="宋体" w:cs="宋体"/>
          <w:sz w:val="24"/>
          <w:szCs w:val="24"/>
          <w:highlight w:val="none"/>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831"/>
        <w:ind w:left="0" w:firstLine="480"/>
        <w:spacing w:line="360" w:lineRule="auto"/>
        <w:widowControl w:val="off"/>
        <w:rPr>
          <w:rFonts w:hint="eastAsia" w:ascii="宋体" w:hAnsi="宋体" w:cs="宋体"/>
          <w:sz w:val="24"/>
          <w:szCs w:val="24"/>
          <w:highlight w:val="none"/>
        </w:rPr>
        <w:outlineLvl w:val="1"/>
      </w:pPr>
      <w:r>
        <w:rPr>
          <w:rFonts w:hint="eastAsia" w:ascii="宋体" w:hAnsi="宋体" w:cs="宋体"/>
          <w:sz w:val="24"/>
          <w:szCs w:val="24"/>
          <w:highlight w:val="none"/>
        </w:rPr>
        <w:t xml:space="preserve">已提交响应文件的供应商，在提交最后报价之前，可以根据磋商情况退出磋商，并在“苏采云”系统中提交“退出磋商函”并加盖CA电子公章。</w:t>
      </w:r>
      <w:r/>
    </w:p>
    <w:p>
      <w:pPr>
        <w:pStyle w:val="831"/>
        <w:ind w:left="0" w:firstLine="480"/>
        <w:spacing w:line="360" w:lineRule="auto"/>
        <w:widowControl w:val="off"/>
        <w:rPr>
          <w:rFonts w:hint="eastAsia" w:ascii="宋体" w:hAnsi="宋体" w:cs="宋体"/>
          <w:sz w:val="24"/>
          <w:szCs w:val="24"/>
          <w:highlight w:val="none"/>
        </w:rPr>
        <w:outlineLvl w:val="1"/>
      </w:pPr>
      <w:r>
        <w:rPr>
          <w:rFonts w:hint="eastAsia" w:ascii="宋体" w:hAnsi="宋体" w:cs="宋体"/>
          <w:sz w:val="24"/>
          <w:szCs w:val="24"/>
          <w:highlight w:val="none"/>
        </w:rPr>
        <w:t xml:space="preserve">*进入项目评审流程后，建议各供应商法定代表人或授权委托人始终保持通讯顺畅，时刻关注不见面开标大厅，不离开不见面开标大厅。</w:t>
      </w:r>
      <w:r/>
    </w:p>
    <w:p>
      <w:pPr>
        <w:pStyle w:val="831"/>
        <w:ind w:left="0" w:firstLine="480"/>
        <w:spacing w:line="360" w:lineRule="auto"/>
        <w:widowControl w:val="off"/>
        <w:rPr>
          <w:rFonts w:hint="eastAsia" w:ascii="宋体" w:hAnsi="宋体" w:cs="宋体"/>
          <w:sz w:val="24"/>
          <w:szCs w:val="24"/>
          <w:highlight w:val="none"/>
        </w:rPr>
        <w:outlineLvl w:val="1"/>
      </w:pPr>
      <w:r>
        <w:rPr>
          <w:rFonts w:hint="eastAsia" w:ascii="宋体" w:hAnsi="宋体" w:cs="宋体"/>
          <w:sz w:val="24"/>
          <w:szCs w:val="24"/>
          <w:highlight w:val="none"/>
        </w:rPr>
        <w:t xml:space="preserve">12、经磋商确定最终采购需求和提交最后报价的供应商后，由磋商小组采用综合评分法对提交最后报价的供应商的响应文件和最后报价进行综合评分。</w:t>
      </w:r>
      <w:r/>
    </w:p>
    <w:p>
      <w:pPr>
        <w:pStyle w:val="831"/>
        <w:ind w:left="0"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13、磋商小组根据磋商成交原则确定成交供应商，并将结果通知所有参加磋商的供应商。</w:t>
      </w:r>
      <w:r/>
    </w:p>
    <w:p>
      <w:pPr>
        <w:pStyle w:val="831"/>
        <w:ind w:left="0" w:firstLine="480"/>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14、如磋商过程中出现本采购文件未尽事宜，由磋商小组根据政府采购有关法律、法规讨论决定。</w:t>
      </w:r>
      <w:r/>
    </w:p>
    <w:p>
      <w:pPr>
        <w:pStyle w:val="831"/>
        <w:ind w:left="0" w:firstLine="482"/>
        <w:spacing w:line="360" w:lineRule="auto"/>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三、质疑</w:t>
      </w:r>
      <w:bookmarkEnd w:id="60"/>
      <w:r/>
      <w:r/>
    </w:p>
    <w:p>
      <w:pPr>
        <w:pStyle w:val="831"/>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31"/>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2、本次采购文件要求供应商在法定质疑期内一次性提出针对同一采购程序环节的质疑。</w:t>
      </w:r>
      <w:r/>
    </w:p>
    <w:p>
      <w:pPr>
        <w:pStyle w:val="831"/>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3、供应商提出质疑应当提交质疑函和必要的证明材料，质疑函应当包括下列内容：</w:t>
      </w:r>
      <w:r/>
    </w:p>
    <w:p>
      <w:pPr>
        <w:pStyle w:val="831"/>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（1）供应商的姓名或者名称（以提供的营业执照副本复印件为准）、地址、邮编、联系人及联系电话；</w:t>
      </w:r>
      <w:r/>
    </w:p>
    <w:p>
      <w:pPr>
        <w:pStyle w:val="831"/>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（2）质疑项目的名称、编号；</w:t>
      </w:r>
      <w:r/>
    </w:p>
    <w:p>
      <w:pPr>
        <w:pStyle w:val="831"/>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（3）具体、明确的质疑事项和与质疑事项相关的请求；</w:t>
      </w:r>
      <w:r/>
    </w:p>
    <w:p>
      <w:pPr>
        <w:pStyle w:val="831"/>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（4）事实依据；</w:t>
      </w:r>
      <w:r/>
    </w:p>
    <w:p>
      <w:pPr>
        <w:pStyle w:val="831"/>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（5）必要的法律依据；</w:t>
      </w:r>
      <w:r/>
    </w:p>
    <w:p>
      <w:pPr>
        <w:pStyle w:val="831"/>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（6）提出质疑的日期。</w:t>
      </w:r>
      <w:r/>
    </w:p>
    <w:p>
      <w:pPr>
        <w:pStyle w:val="831"/>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831"/>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pStyle w:val="831"/>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pStyle w:val="831"/>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bCs/>
          <w:sz w:val="24"/>
          <w:szCs w:val="24"/>
          <w:highlight w:val="none"/>
        </w:rPr>
        <w:t xml:space="preserve">质疑递交地点：</w:t>
      </w:r>
      <w:r>
        <w:rPr>
          <w:rFonts w:hint="eastAsia" w:ascii="宋体" w:hAnsi="宋体" w:cs="宋体"/>
          <w:sz w:val="24"/>
          <w:szCs w:val="24"/>
          <w:highlight w:val="none"/>
        </w:rPr>
        <w:t xml:space="preserve">苏州永正造价师事务所有限公司</w:t>
      </w:r>
      <w:r/>
    </w:p>
    <w:p>
      <w:pPr>
        <w:pStyle w:val="831"/>
        <w:ind w:left="0"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质疑递交联系人、联系电话及地址详见采购公告。</w:t>
      </w:r>
      <w:r/>
    </w:p>
    <w:p>
      <w:pPr>
        <w:pStyle w:val="831"/>
        <w:ind w:left="0" w:firstLine="482"/>
        <w:spacing w:line="360" w:lineRule="auto"/>
        <w:rPr>
          <w:rFonts w:hint="eastAsia" w:ascii="宋体" w:hAnsi="宋体" w:cs="宋体"/>
          <w:b/>
          <w:sz w:val="24"/>
          <w:szCs w:val="24"/>
          <w:highlight w:val="none"/>
        </w:rPr>
        <w:outlineLvl w:val="1"/>
      </w:pPr>
      <w:r/>
      <w:bookmarkStart w:id="61" w:name="_Toc2426"/>
      <w:r>
        <w:rPr>
          <w:rFonts w:hint="eastAsia" w:ascii="宋体" w:hAnsi="宋体" w:cs="宋体"/>
          <w:b/>
          <w:sz w:val="24"/>
          <w:szCs w:val="24"/>
          <w:highlight w:val="none"/>
        </w:rPr>
        <w:t xml:space="preserve">四、项目的终止</w:t>
      </w:r>
      <w:bookmarkEnd w:id="61"/>
      <w:r/>
      <w:r/>
    </w:p>
    <w:p>
      <w:pPr>
        <w:pStyle w:val="831"/>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出现下列情形之一的，将终止竞争性磋商采购活动：</w:t>
      </w:r>
      <w:r/>
    </w:p>
    <w:p>
      <w:pPr>
        <w:pStyle w:val="831"/>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1、因情况变化，不再符合规定的竞争性磋商采购方式适用情形的；</w:t>
      </w:r>
      <w:r/>
    </w:p>
    <w:p>
      <w:pPr>
        <w:pStyle w:val="831"/>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2、出现影响采购公正的违法、违规行为的；</w:t>
      </w:r>
      <w:r/>
    </w:p>
    <w:p>
      <w:pPr>
        <w:pStyle w:val="831"/>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3、在采购过程中符合要求的供应商或者报价未超过采购预算及最高限价的供应商不足3家的；</w:t>
      </w:r>
      <w:r/>
    </w:p>
    <w:p>
      <w:pPr>
        <w:pStyle w:val="831"/>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4、在采购活动中因重大变故，采购任务取消的。</w:t>
      </w:r>
      <w:r/>
    </w:p>
    <w:p>
      <w:pPr>
        <w:pStyle w:val="831"/>
        <w:ind w:left="0" w:firstLine="482"/>
        <w:spacing w:line="360" w:lineRule="auto"/>
        <w:rPr>
          <w:rFonts w:hint="eastAsia" w:ascii="宋体" w:hAnsi="宋体" w:cs="宋体"/>
          <w:b/>
          <w:sz w:val="24"/>
          <w:szCs w:val="24"/>
          <w:highlight w:val="none"/>
        </w:rPr>
      </w:pPr>
      <w:r/>
      <w:bookmarkStart w:id="62" w:name="_Toc31063"/>
      <w:r>
        <w:rPr>
          <w:rFonts w:hint="eastAsia" w:ascii="宋体" w:hAnsi="宋体" w:cs="宋体"/>
          <w:b/>
          <w:sz w:val="24"/>
          <w:szCs w:val="24"/>
          <w:highlight w:val="none"/>
        </w:rPr>
        <w:t xml:space="preserve">五、服务费及履约保证金</w:t>
      </w:r>
      <w:r/>
    </w:p>
    <w:p>
      <w:pPr>
        <w:pStyle w:val="831"/>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1、成交单位须按前附表的规定计算并支付服务费，该费用应在领取成交通知书时付清。成交单位如果未按规定缴纳服务费，磋商采购单位将并保留诉讼的权利。</w:t>
      </w:r>
      <w:r/>
    </w:p>
    <w:p>
      <w:pPr>
        <w:pStyle w:val="831"/>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tbl>
      <w:tblPr>
        <w:tblStyle w:val="801"/>
        <w:tblW w:w="627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gridSpan w:val="2"/>
            <w:tcW w:w="6278" w:type="dxa"/>
            <w:textDirection w:val="lrTb"/>
            <w:noWrap w:val="false"/>
          </w:tcPr>
          <w:p>
            <w:pPr>
              <w:ind w:left="0"/>
              <w:jc w:val="center"/>
              <w:rPr>
                <w:rFonts w:hint="eastAsia" w:ascii="宋体" w:hAnsi="宋体" w:cs="宋体"/>
                <w:sz w:val="24"/>
                <w:szCs w:val="24"/>
                <w:highlight w:val="none"/>
              </w:rPr>
            </w:pPr>
            <w:r>
              <w:rPr>
                <w:rFonts w:hint="eastAsia" w:ascii="宋体" w:hAnsi="宋体" w:cs="宋体"/>
                <w:sz w:val="24"/>
                <w:szCs w:val="24"/>
                <w:highlight w:val="none"/>
              </w:rPr>
              <w:t xml:space="preserve">开票信息</w:t>
            </w:r>
            <w:r/>
          </w:p>
        </w:tc>
      </w:tr>
      <w:tr>
        <w:trPr>
          <w:jc w:val="center"/>
        </w:trPr>
        <w:tc>
          <w:tcPr>
            <w:tcW w:w="2288" w:type="dxa"/>
            <w:textDirection w:val="lrTb"/>
            <w:noWrap w:val="false"/>
          </w:tcPr>
          <w:p>
            <w:pPr>
              <w:ind w:left="0"/>
              <w:rPr>
                <w:rFonts w:hint="eastAsia" w:ascii="宋体" w:hAnsi="宋体" w:cs="宋体"/>
                <w:sz w:val="24"/>
                <w:szCs w:val="24"/>
                <w:highlight w:val="none"/>
              </w:rPr>
            </w:pPr>
            <w:r>
              <w:rPr>
                <w:rFonts w:hint="eastAsia" w:ascii="宋体" w:hAnsi="宋体" w:cs="宋体"/>
                <w:sz w:val="24"/>
                <w:szCs w:val="24"/>
                <w:highlight w:val="none"/>
              </w:rPr>
              <w:t xml:space="preserve">报名单位公司名称</w:t>
            </w:r>
            <w:r/>
          </w:p>
        </w:tc>
        <w:tc>
          <w:tcPr>
            <w:tcW w:w="3990" w:type="dxa"/>
            <w:textDirection w:val="lrTb"/>
            <w:noWrap w:val="false"/>
          </w:tcPr>
          <w:p>
            <w:pPr>
              <w:ind w:left="0"/>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2288" w:type="dxa"/>
            <w:textDirection w:val="lrTb"/>
            <w:noWrap w:val="false"/>
          </w:tcPr>
          <w:p>
            <w:pPr>
              <w:ind w:left="0"/>
              <w:rPr>
                <w:rFonts w:hint="eastAsia" w:ascii="宋体" w:hAnsi="宋体" w:cs="宋体"/>
                <w:sz w:val="24"/>
                <w:szCs w:val="24"/>
                <w:highlight w:val="none"/>
              </w:rPr>
            </w:pPr>
            <w:r>
              <w:rPr>
                <w:rFonts w:hint="eastAsia" w:ascii="宋体" w:hAnsi="宋体" w:cs="宋体"/>
                <w:sz w:val="24"/>
                <w:szCs w:val="24"/>
                <w:highlight w:val="none"/>
              </w:rPr>
              <w:t xml:space="preserve">地址</w:t>
            </w:r>
            <w:r/>
          </w:p>
        </w:tc>
        <w:tc>
          <w:tcPr>
            <w:tcW w:w="3990" w:type="dxa"/>
            <w:textDirection w:val="lrTb"/>
            <w:noWrap w:val="false"/>
          </w:tcPr>
          <w:p>
            <w:pPr>
              <w:ind w:left="0"/>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2288" w:type="dxa"/>
            <w:textDirection w:val="lrTb"/>
            <w:noWrap w:val="false"/>
          </w:tcPr>
          <w:p>
            <w:pPr>
              <w:ind w:left="0"/>
              <w:rPr>
                <w:rFonts w:hint="eastAsia" w:ascii="宋体" w:hAnsi="宋体" w:cs="宋体"/>
                <w:sz w:val="24"/>
                <w:szCs w:val="24"/>
                <w:highlight w:val="none"/>
              </w:rPr>
            </w:pPr>
            <w:r>
              <w:rPr>
                <w:rFonts w:hint="eastAsia" w:ascii="宋体" w:hAnsi="宋体" w:cs="宋体"/>
                <w:sz w:val="24"/>
                <w:szCs w:val="24"/>
                <w:highlight w:val="none"/>
              </w:rPr>
              <w:t xml:space="preserve">电话</w:t>
            </w:r>
            <w:r/>
          </w:p>
        </w:tc>
        <w:tc>
          <w:tcPr>
            <w:tcW w:w="3990" w:type="dxa"/>
            <w:textDirection w:val="lrTb"/>
            <w:noWrap w:val="false"/>
          </w:tcPr>
          <w:p>
            <w:pPr>
              <w:ind w:left="0"/>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2288" w:type="dxa"/>
            <w:textDirection w:val="lrTb"/>
            <w:noWrap w:val="false"/>
          </w:tcPr>
          <w:p>
            <w:pPr>
              <w:ind w:left="0"/>
              <w:rPr>
                <w:rFonts w:hint="eastAsia" w:ascii="宋体" w:hAnsi="宋体" w:cs="宋体"/>
                <w:sz w:val="24"/>
                <w:szCs w:val="24"/>
                <w:highlight w:val="none"/>
              </w:rPr>
            </w:pPr>
            <w:r>
              <w:rPr>
                <w:rFonts w:hint="eastAsia" w:ascii="宋体" w:hAnsi="宋体" w:cs="宋体"/>
                <w:sz w:val="24"/>
                <w:szCs w:val="24"/>
                <w:highlight w:val="none"/>
              </w:rPr>
              <w:t xml:space="preserve">税号</w:t>
            </w:r>
            <w:r/>
          </w:p>
        </w:tc>
        <w:tc>
          <w:tcPr>
            <w:tcW w:w="3990" w:type="dxa"/>
            <w:textDirection w:val="lrTb"/>
            <w:noWrap w:val="false"/>
          </w:tcPr>
          <w:p>
            <w:pPr>
              <w:ind w:left="0"/>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2288" w:type="dxa"/>
            <w:textDirection w:val="lrTb"/>
            <w:noWrap w:val="false"/>
          </w:tcPr>
          <w:p>
            <w:pPr>
              <w:ind w:left="0"/>
              <w:rPr>
                <w:rFonts w:hint="eastAsia" w:ascii="宋体" w:hAnsi="宋体" w:cs="宋体"/>
                <w:sz w:val="24"/>
                <w:szCs w:val="24"/>
                <w:highlight w:val="none"/>
              </w:rPr>
            </w:pPr>
            <w:r>
              <w:rPr>
                <w:rFonts w:hint="eastAsia" w:ascii="宋体" w:hAnsi="宋体" w:cs="宋体"/>
                <w:sz w:val="24"/>
                <w:szCs w:val="24"/>
                <w:highlight w:val="none"/>
              </w:rPr>
              <w:t xml:space="preserve">开户行</w:t>
            </w:r>
            <w:r/>
          </w:p>
        </w:tc>
        <w:tc>
          <w:tcPr>
            <w:tcW w:w="3990" w:type="dxa"/>
            <w:textDirection w:val="lrTb"/>
            <w:noWrap w:val="false"/>
          </w:tcPr>
          <w:p>
            <w:pPr>
              <w:ind w:left="0"/>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2288" w:type="dxa"/>
            <w:textDirection w:val="lrTb"/>
            <w:noWrap w:val="false"/>
          </w:tcPr>
          <w:p>
            <w:pPr>
              <w:ind w:left="0"/>
              <w:rPr>
                <w:rFonts w:hint="eastAsia" w:ascii="宋体" w:hAnsi="宋体" w:cs="宋体"/>
                <w:sz w:val="24"/>
                <w:szCs w:val="24"/>
                <w:highlight w:val="none"/>
              </w:rPr>
            </w:pPr>
            <w:r>
              <w:rPr>
                <w:rFonts w:hint="eastAsia" w:ascii="宋体" w:hAnsi="宋体" w:cs="宋体"/>
                <w:sz w:val="24"/>
                <w:szCs w:val="24"/>
                <w:highlight w:val="none"/>
              </w:rPr>
              <w:t xml:space="preserve">银行账号</w:t>
            </w:r>
            <w:r/>
          </w:p>
        </w:tc>
        <w:tc>
          <w:tcPr>
            <w:tcW w:w="3990" w:type="dxa"/>
            <w:textDirection w:val="lrTb"/>
            <w:noWrap w:val="false"/>
          </w:tcPr>
          <w:p>
            <w:pPr>
              <w:ind w:left="0"/>
              <w:rPr>
                <w:rFonts w:hint="eastAsia" w:ascii="宋体" w:hAnsi="宋体" w:cs="宋体"/>
                <w:sz w:val="24"/>
                <w:szCs w:val="24"/>
                <w:highlight w:val="none"/>
              </w:rPr>
            </w:pPr>
            <w:r>
              <w:rPr>
                <w:rFonts w:hint="eastAsia" w:ascii="宋体" w:hAnsi="宋体" w:cs="宋体"/>
                <w:sz w:val="24"/>
                <w:szCs w:val="24"/>
                <w:highlight w:val="none"/>
              </w:rPr>
            </w:r>
            <w:r/>
          </w:p>
        </w:tc>
      </w:tr>
    </w:tbl>
    <w:p>
      <w:pPr>
        <w:pStyle w:val="831"/>
        <w:ind w:left="0"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3、请成交单位将公司开票信息以word文档格式发送至邮箱：2745536790@qq.com。成交单位凭已缴纳代理服务费的银行回单至代理机构领取成交通知书、合同。</w:t>
      </w:r>
      <w:r/>
    </w:p>
    <w:p>
      <w:pPr>
        <w:pStyle w:val="831"/>
        <w:ind w:left="0" w:firstLine="480"/>
        <w:spacing w:line="360" w:lineRule="auto"/>
        <w:rPr>
          <w:rFonts w:hint="eastAsia" w:ascii="宋体" w:hAnsi="宋体" w:cs="宋体"/>
          <w:b/>
          <w:sz w:val="24"/>
          <w:szCs w:val="24"/>
          <w:highlight w:val="none"/>
        </w:rPr>
        <w:outlineLvl w:val="1"/>
      </w:pPr>
      <w:r>
        <w:rPr>
          <w:rFonts w:hint="eastAsia" w:ascii="宋体" w:hAnsi="宋体" w:cs="宋体"/>
          <w:bCs/>
          <w:sz w:val="24"/>
          <w:szCs w:val="24"/>
          <w:highlight w:val="none"/>
        </w:rPr>
        <w:t xml:space="preserve">4、</w:t>
      </w:r>
      <w:r>
        <w:rPr>
          <w:rFonts w:hint="eastAsia" w:ascii="宋体" w:hAnsi="宋体" w:cs="宋体"/>
          <w:sz w:val="24"/>
          <w:szCs w:val="24"/>
          <w:highlight w:val="none"/>
        </w:rPr>
        <w:t xml:space="preserve">履约保证金：无。</w:t>
      </w:r>
      <w:bookmarkEnd w:id="62"/>
      <w:r/>
      <w:r/>
    </w:p>
    <w:p>
      <w:pPr>
        <w:ind w:left="0" w:firstLine="482"/>
        <w:spacing w:line="360" w:lineRule="auto"/>
        <w:tabs>
          <w:tab w:val="left" w:pos="420" w:leader="none"/>
        </w:tabs>
        <w:rPr>
          <w:rFonts w:hint="eastAsia" w:ascii="宋体" w:hAnsi="宋体" w:cs="宋体"/>
          <w:b/>
          <w:bCs/>
          <w:sz w:val="24"/>
          <w:szCs w:val="24"/>
          <w:highlight w:val="none"/>
        </w:rPr>
        <w:outlineLvl w:val="1"/>
      </w:pPr>
      <w:r/>
      <w:bookmarkStart w:id="63" w:name="_Toc31110"/>
      <w:r>
        <w:rPr>
          <w:rFonts w:hint="eastAsia" w:ascii="宋体" w:hAnsi="宋体" w:cs="宋体"/>
          <w:b/>
          <w:bCs/>
          <w:sz w:val="24"/>
          <w:szCs w:val="24"/>
          <w:highlight w:val="none"/>
        </w:rPr>
        <w:t xml:space="preserve">六、政府采购政策</w:t>
      </w:r>
      <w:bookmarkEnd w:id="63"/>
      <w:r/>
      <w:r/>
    </w:p>
    <w:p>
      <w:pPr>
        <w:ind w:left="0" w:firstLine="480"/>
        <w:spacing w:line="360" w:lineRule="auto"/>
        <w:tabs>
          <w:tab w:val="left" w:pos="567" w:leader="none"/>
        </w:tabs>
        <w:rPr>
          <w:rFonts w:hint="eastAsia" w:ascii="宋体" w:hAnsi="宋体" w:cs="宋体"/>
          <w:sz w:val="24"/>
          <w:szCs w:val="24"/>
          <w:highlight w:val="none"/>
        </w:rPr>
      </w:pPr>
      <w:r/>
      <w:bookmarkStart w:id="64" w:name="_Toc5270"/>
      <w:r>
        <w:rPr>
          <w:rFonts w:hint="eastAsia" w:ascii="宋体" w:hAnsi="宋体" w:cs="宋体"/>
          <w:sz w:val="24"/>
          <w:szCs w:val="24"/>
          <w:highlight w:val="none"/>
        </w:rPr>
        <w:t xml:space="preserve">（一）节能产品、环境标志产品</w:t>
      </w:r>
      <w:r/>
    </w:p>
    <w:p>
      <w:pPr>
        <w:ind w:left="0" w:firstLine="480"/>
        <w:spacing w:line="360" w:lineRule="auto"/>
        <w:tabs>
          <w:tab w:val="left" w:pos="567" w:leader="none"/>
        </w:tabs>
        <w:rPr>
          <w:rFonts w:hint="eastAsia" w:ascii="宋体" w:hAnsi="宋体" w:cs="宋体"/>
          <w:sz w:val="24"/>
          <w:szCs w:val="24"/>
          <w:highlight w:val="none"/>
        </w:rPr>
      </w:pPr>
      <w:r>
        <w:rPr>
          <w:rFonts w:hint="eastAsia" w:ascii="宋体" w:hAnsi="宋体" w:cs="宋体"/>
          <w:sz w:val="24"/>
          <w:szCs w:val="24"/>
          <w:highlight w:val="none"/>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p>
    <w:p>
      <w:pPr>
        <w:ind w:left="0" w:firstLine="480"/>
        <w:spacing w:line="360" w:lineRule="auto"/>
        <w:tabs>
          <w:tab w:val="left" w:pos="567" w:leader="none"/>
        </w:tabs>
        <w:rPr>
          <w:rFonts w:hint="eastAsia" w:ascii="宋体" w:hAnsi="宋体" w:cs="宋体"/>
          <w:sz w:val="24"/>
          <w:szCs w:val="24"/>
          <w:highlight w:val="none"/>
        </w:rPr>
      </w:pPr>
      <w:r>
        <w:rPr>
          <w:rFonts w:hint="eastAsia" w:ascii="宋体" w:hAnsi="宋体" w:cs="宋体"/>
          <w:sz w:val="24"/>
          <w:szCs w:val="24"/>
          <w:highlight w:val="none"/>
        </w:rPr>
        <w:t xml:space="preserve">若本次采购的产品属于财政部、国家发展改革委、生态环境部、市场监管总局等部门发布的节能产品、环境标志产品政府优先采购品目清单的，供应商在响应文件中提供所响应产品由认证机构出具的、处于有效期之内的节能产品、环境标志产品认证证书，在综合得分和报价相同的情况下，提供所投产品节能产品、环境标志产品认证证书数量最多的，优先成交。</w:t>
      </w:r>
      <w:r/>
    </w:p>
    <w:p>
      <w:pPr>
        <w:ind w:left="0" w:firstLine="482"/>
        <w:spacing w:line="360" w:lineRule="auto"/>
        <w:widowControl w:val="off"/>
        <w:tabs>
          <w:tab w:val="left" w:pos="567" w:leader="none"/>
        </w:tabs>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七、信用记录</w:t>
      </w:r>
      <w:bookmarkEnd w:id="64"/>
      <w:r/>
      <w:r/>
    </w:p>
    <w:p>
      <w:pPr>
        <w:ind w:left="0" w:firstLine="480"/>
        <w:spacing w:line="360" w:lineRule="auto"/>
        <w:tabs>
          <w:tab w:val="left" w:pos="567" w:leader="none"/>
        </w:tabs>
        <w:rPr>
          <w:rFonts w:hint="eastAsia" w:ascii="宋体" w:hAnsi="宋体" w:cs="宋体"/>
          <w:sz w:val="24"/>
          <w:szCs w:val="24"/>
          <w:highlight w:val="none"/>
        </w:rPr>
      </w:pPr>
      <w:r>
        <w:rPr>
          <w:rFonts w:hint="eastAsia" w:ascii="宋体" w:hAnsi="宋体" w:cs="宋体"/>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p>
    <w:p>
      <w:pPr>
        <w:ind w:left="0" w:firstLine="480"/>
        <w:spacing w:line="360" w:lineRule="auto"/>
        <w:tabs>
          <w:tab w:val="left" w:pos="567" w:leader="none"/>
        </w:tabs>
        <w:rPr>
          <w:rFonts w:hint="eastAsia" w:ascii="宋体" w:hAnsi="宋体" w:cs="宋体"/>
          <w:sz w:val="24"/>
          <w:szCs w:val="24"/>
          <w:highlight w:val="none"/>
        </w:rPr>
      </w:pPr>
      <w:r>
        <w:rPr>
          <w:rFonts w:hint="eastAsia" w:ascii="宋体" w:hAnsi="宋体" w:cs="宋体"/>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80"/>
        <w:spacing w:line="360" w:lineRule="auto"/>
        <w:tabs>
          <w:tab w:val="left" w:pos="567" w:leader="none"/>
        </w:tabs>
        <w:rPr>
          <w:rFonts w:hint="eastAsia" w:ascii="宋体" w:hAnsi="宋体" w:cs="宋体"/>
          <w:sz w:val="24"/>
          <w:szCs w:val="24"/>
          <w:highlight w:val="none"/>
        </w:rPr>
      </w:pPr>
      <w:r>
        <w:rPr>
          <w:rFonts w:hint="eastAsia" w:ascii="宋体" w:hAnsi="宋体" w:cs="宋体"/>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80"/>
        <w:spacing w:line="360" w:lineRule="auto"/>
        <w:tabs>
          <w:tab w:val="left" w:pos="567" w:leader="none"/>
        </w:tabs>
        <w:rPr>
          <w:rFonts w:hint="eastAsia" w:ascii="宋体" w:hAnsi="宋体" w:cs="宋体"/>
          <w:sz w:val="24"/>
          <w:szCs w:val="24"/>
          <w:highlight w:val="none"/>
        </w:rPr>
      </w:pPr>
      <w:r>
        <w:rPr>
          <w:rFonts w:hint="eastAsia" w:ascii="宋体" w:hAnsi="宋体" w:cs="宋体"/>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p>
    <w:p>
      <w:pPr>
        <w:ind w:left="0" w:firstLine="480"/>
        <w:spacing w:line="360" w:lineRule="auto"/>
        <w:tabs>
          <w:tab w:val="left" w:pos="567" w:leader="none"/>
        </w:tabs>
        <w:rPr>
          <w:rFonts w:hint="eastAsia" w:ascii="宋体" w:hAnsi="宋体" w:cs="宋体"/>
          <w:sz w:val="24"/>
          <w:szCs w:val="24"/>
          <w:highlight w:val="none"/>
        </w:rPr>
      </w:pPr>
      <w:r>
        <w:rPr>
          <w:rFonts w:hint="eastAsia" w:ascii="宋体" w:hAnsi="宋体" w:cs="宋体"/>
          <w:sz w:val="24"/>
          <w:szCs w:val="24"/>
          <w:highlight w:val="none"/>
        </w:rPr>
        <w:t xml:space="preserve">4、对存在失信信息的供应商，由失信供应商进行确认。同时，采购代理机构工作人员应根据评审小组确认的失信信息，登陆到相关来源网站页面进行复核并打印，作为证据留存。</w:t>
      </w:r>
      <w:r/>
    </w:p>
    <w:p>
      <w:pPr>
        <w:pStyle w:val="998"/>
        <w:jc w:val="center"/>
        <w:spacing w:before="0" w:after="0" w:line="360" w:lineRule="auto"/>
        <w:rPr>
          <w:rFonts w:hint="eastAsia" w:ascii="宋体" w:hAnsi="宋体" w:cs="宋体"/>
          <w:b/>
          <w:sz w:val="24"/>
          <w:szCs w:val="24"/>
          <w:highlight w:val="none"/>
        </w:rPr>
      </w:pPr>
      <w:r>
        <w:rPr>
          <w:rFonts w:hint="eastAsia" w:ascii="宋体" w:hAnsi="宋体" w:cs="宋体"/>
          <w:b/>
          <w:sz w:val="24"/>
          <w:szCs w:val="24"/>
          <w:highlight w:val="none"/>
        </w:rPr>
        <w:br w:type="page" w:clear="all"/>
      </w:r>
      <w:bookmarkStart w:id="65" w:name="_Toc14106"/>
      <w:r/>
      <w:r/>
    </w:p>
    <w:p>
      <w:pPr>
        <w:pStyle w:val="998"/>
        <w:jc w:val="center"/>
        <w:spacing w:before="0" w:after="0"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98"/>
        <w:jc w:val="center"/>
        <w:spacing w:before="0" w:after="0"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98"/>
        <w:jc w:val="center"/>
        <w:spacing w:before="0" w:after="0"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98"/>
        <w:jc w:val="center"/>
        <w:spacing w:before="0" w:after="0"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98"/>
        <w:jc w:val="center"/>
        <w:spacing w:before="0" w:after="0"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98"/>
        <w:jc w:val="center"/>
        <w:spacing w:before="0" w:after="0"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98"/>
        <w:jc w:val="center"/>
        <w:spacing w:before="0" w:after="0"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98"/>
        <w:jc w:val="center"/>
        <w:spacing w:before="0" w:after="0"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98"/>
        <w:jc w:val="center"/>
        <w:spacing w:before="0" w:after="0"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98"/>
        <w:jc w:val="center"/>
        <w:spacing w:before="0" w:after="0"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98"/>
        <w:jc w:val="center"/>
        <w:spacing w:before="0" w:after="0" w:line="360" w:lineRule="auto"/>
        <w:rPr>
          <w:rFonts w:hint="eastAsia" w:ascii="宋体" w:hAnsi="宋体" w:cs="宋体"/>
          <w:b/>
          <w:sz w:val="44"/>
          <w:szCs w:val="44"/>
          <w:highlight w:val="none"/>
        </w:rPr>
      </w:pPr>
      <w:r/>
      <w:bookmarkStart w:id="66" w:name="_Toc332"/>
      <w:r/>
      <w:bookmarkStart w:id="67" w:name="_Toc4028"/>
      <w:r>
        <w:rPr>
          <w:rFonts w:hint="eastAsia" w:ascii="宋体" w:hAnsi="宋体" w:cs="宋体"/>
          <w:b/>
          <w:sz w:val="44"/>
          <w:szCs w:val="44"/>
          <w:highlight w:val="none"/>
        </w:rPr>
        <w:t xml:space="preserve">第三章 </w:t>
      </w:r>
      <w:bookmarkStart w:id="68" w:name="投标文件格式"/>
      <w:r/>
      <w:bookmarkEnd w:id="68"/>
      <w:r>
        <w:rPr>
          <w:rFonts w:hint="eastAsia" w:ascii="宋体" w:hAnsi="宋体" w:cs="宋体"/>
          <w:b/>
          <w:sz w:val="44"/>
          <w:szCs w:val="44"/>
          <w:highlight w:val="none"/>
        </w:rPr>
        <w:t xml:space="preserve">响应文件格式</w:t>
      </w:r>
      <w:bookmarkEnd w:id="54"/>
      <w:r/>
      <w:bookmarkEnd w:id="55"/>
      <w:r/>
      <w:bookmarkEnd w:id="56"/>
      <w:r/>
      <w:bookmarkEnd w:id="57"/>
      <w:r/>
      <w:bookmarkEnd w:id="65"/>
      <w:r/>
      <w:bookmarkEnd w:id="66"/>
      <w:r/>
      <w:bookmarkEnd w:id="67"/>
      <w:r/>
      <w:r/>
    </w:p>
    <w:p>
      <w:pPr>
        <w:ind w:left="0"/>
        <w:jc w:val="left"/>
        <w:spacing w:line="440" w:lineRule="exact"/>
        <w:rPr>
          <w:rFonts w:hint="eastAsia" w:ascii="宋体" w:hAnsi="宋体" w:cs="宋体"/>
          <w:b/>
          <w:sz w:val="21"/>
          <w:szCs w:val="21"/>
          <w:highlight w:val="none"/>
        </w:rPr>
      </w:pPr>
      <w:r>
        <w:rPr>
          <w:rFonts w:hint="eastAsia" w:ascii="宋体" w:hAnsi="宋体" w:cs="宋体"/>
          <w:b/>
          <w:sz w:val="21"/>
          <w:szCs w:val="21"/>
          <w:highlight w:val="none"/>
        </w:rPr>
      </w:r>
      <w:r/>
    </w:p>
    <w:p>
      <w:pPr>
        <w:ind w:left="0" w:firstLine="482"/>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说明：</w:t>
      </w:r>
      <w:r/>
    </w:p>
    <w:p>
      <w:pPr>
        <w:ind w:left="0"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对本章所有的格式，供应商可根据自身情况进行补充和修改，但补充和修改不得造成与本格式内容有实质性的违背。</w:t>
      </w:r>
      <w:r/>
    </w:p>
    <w:p>
      <w:pPr>
        <w:ind w:left="0"/>
        <w:jc w:val="left"/>
        <w:spacing w:line="360" w:lineRule="auto"/>
        <w:rPr>
          <w:rFonts w:hint="eastAsia" w:ascii="宋体" w:hAnsi="宋体" w:cs="宋体"/>
          <w:b/>
          <w:sz w:val="24"/>
          <w:szCs w:val="24"/>
          <w:highlight w:val="none"/>
        </w:rPr>
        <w:outlineLvl w:val="1"/>
      </w:pPr>
      <w:r>
        <w:rPr>
          <w:rFonts w:hint="eastAsia" w:ascii="宋体" w:hAnsi="宋体" w:cs="宋体"/>
          <w:b/>
          <w:sz w:val="44"/>
          <w:szCs w:val="44"/>
          <w:highlight w:val="none"/>
        </w:rPr>
        <w:br w:type="page" w:clear="all"/>
      </w:r>
      <w:bookmarkStart w:id="69" w:name="_Toc3821"/>
      <w:r/>
      <w:bookmarkStart w:id="70" w:name="_Toc17036"/>
      <w:r/>
      <w:bookmarkStart w:id="71" w:name="_Toc7097"/>
      <w:r>
        <w:rPr>
          <w:rFonts w:hint="eastAsia" w:ascii="宋体" w:hAnsi="宋体" w:cs="宋体"/>
          <w:b/>
          <w:sz w:val="24"/>
          <w:szCs w:val="24"/>
          <w:highlight w:val="none"/>
        </w:rPr>
        <w:t xml:space="preserve">附件1</w:t>
      </w:r>
      <w:bookmarkEnd w:id="69"/>
      <w:r/>
      <w:bookmarkEnd w:id="70"/>
      <w:r>
        <w:rPr>
          <w:rFonts w:hint="eastAsia" w:ascii="宋体" w:hAnsi="宋体" w:cs="宋体"/>
          <w:b/>
          <w:sz w:val="24"/>
          <w:szCs w:val="24"/>
          <w:highlight w:val="none"/>
        </w:rPr>
        <w:t xml:space="preserve">、磋商响应函</w:t>
      </w:r>
      <w:bookmarkEnd w:id="71"/>
      <w:r/>
      <w:r/>
    </w:p>
    <w:p>
      <w:pPr>
        <w:ind w:left="0"/>
        <w:jc w:val="center"/>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磋商响应函</w:t>
      </w:r>
      <w:r/>
    </w:p>
    <w:p>
      <w:pPr>
        <w:ind w:left="0"/>
        <w:jc w:val="lef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致：</w:t>
      </w:r>
      <w:r>
        <w:rPr>
          <w:rFonts w:hint="eastAsia" w:ascii="宋体" w:hAnsi="宋体" w:cs="宋体"/>
          <w:sz w:val="24"/>
          <w:szCs w:val="24"/>
          <w:highlight w:val="none"/>
          <w:u w:val="single"/>
          <w:lang w:val="zh-CN"/>
        </w:rPr>
        <w:t xml:space="preserve">苏州永正造价师事务所有限公司</w:t>
      </w:r>
      <w:r/>
    </w:p>
    <w:p>
      <w:pPr>
        <w:ind w:left="0" w:firstLine="480"/>
        <w:widowControl w:val="off"/>
        <w:rPr>
          <w:rFonts w:hint="eastAsia" w:ascii="宋体" w:hAnsi="宋体" w:cs="宋体"/>
          <w:sz w:val="24"/>
          <w:szCs w:val="24"/>
          <w:highlight w:val="none"/>
        </w:rPr>
      </w:pPr>
      <w:r>
        <w:rPr>
          <w:rFonts w:hint="eastAsia" w:ascii="宋体" w:hAnsi="宋体" w:cs="宋体"/>
          <w:sz w:val="24"/>
          <w:szCs w:val="24"/>
          <w:highlight w:val="none"/>
          <w:lang w:val="zh-CN"/>
        </w:rPr>
        <w:t xml:space="preserve">我方收到贵公司 </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 xml:space="preserve">号磋商采购文件，经仔细阅读和研究，我方决定参加磋商。并向贵公司承诺：</w:t>
      </w:r>
      <w:r/>
    </w:p>
    <w:p>
      <w:pPr>
        <w:pStyle w:val="1042"/>
        <w:ind w:left="0" w:firstLine="480"/>
        <w:widowControl w:val="off"/>
        <w:rPr>
          <w:rStyle w:val="1033"/>
          <w:rFonts w:hint="eastAsia" w:hAnsi="宋体" w:cs="宋体"/>
          <w:sz w:val="24"/>
          <w:szCs w:val="24"/>
          <w:highlight w:val="none"/>
        </w:rPr>
      </w:pPr>
      <w:r>
        <w:rPr>
          <w:rStyle w:val="1033"/>
          <w:rFonts w:hint="eastAsia" w:hAnsi="宋体" w:cs="宋体"/>
          <w:sz w:val="24"/>
          <w:szCs w:val="24"/>
          <w:highlight w:val="none"/>
        </w:rPr>
        <w:t xml:space="preserve">1、我们愿意按照采购文件的一切要求，提供完成该项目的全部内容，我们的报价包括完成该项目所需的全部人工费、材料费、交通费用、餐费、人员培训、售后服务、管理费、利润、规费、税金以及代理服务费等一切费用。</w:t>
      </w:r>
      <w:r/>
    </w:p>
    <w:p>
      <w:pPr>
        <w:pStyle w:val="1042"/>
        <w:ind w:left="0" w:firstLine="480"/>
        <w:widowControl w:val="off"/>
        <w:rPr>
          <w:rStyle w:val="1033"/>
          <w:rFonts w:hint="eastAsia" w:hAnsi="宋体" w:cs="宋体"/>
          <w:sz w:val="24"/>
          <w:szCs w:val="24"/>
          <w:highlight w:val="none"/>
        </w:rPr>
      </w:pPr>
      <w:r>
        <w:rPr>
          <w:rStyle w:val="1033"/>
          <w:rFonts w:hint="eastAsia" w:hAnsi="宋体" w:cs="宋体"/>
          <w:sz w:val="24"/>
          <w:szCs w:val="24"/>
          <w:highlight w:val="none"/>
        </w:rPr>
        <w:t xml:space="preserve">2、如果我们的磋商响应文件被接受，我们将严格履行采购文件中规定的每一项要求，按期、按质、按量履行合同的义务。</w:t>
      </w:r>
      <w:r/>
    </w:p>
    <w:p>
      <w:pPr>
        <w:pStyle w:val="1042"/>
        <w:ind w:left="0" w:firstLine="480"/>
        <w:widowControl w:val="off"/>
        <w:rPr>
          <w:rStyle w:val="1033"/>
          <w:rFonts w:hint="eastAsia" w:hAnsi="宋体" w:cs="宋体"/>
          <w:sz w:val="24"/>
          <w:szCs w:val="24"/>
          <w:highlight w:val="none"/>
        </w:rPr>
      </w:pPr>
      <w:r>
        <w:rPr>
          <w:rStyle w:val="1033"/>
          <w:rFonts w:hint="eastAsia" w:hAnsi="宋体" w:cs="宋体"/>
          <w:sz w:val="24"/>
          <w:szCs w:val="24"/>
          <w:highlight w:val="none"/>
        </w:rPr>
        <w:t xml:space="preserve">3、我们已详细审查全部采购文件，包括更正公告(如有)。我们完全理解并同意放弃对这方面有不明及误解的权力。</w:t>
      </w:r>
      <w:r/>
    </w:p>
    <w:p>
      <w:pPr>
        <w:pStyle w:val="1042"/>
        <w:ind w:left="0" w:firstLine="480"/>
        <w:widowControl w:val="off"/>
        <w:rPr>
          <w:rStyle w:val="1033"/>
          <w:rFonts w:hint="eastAsia" w:hAnsi="宋体" w:cs="宋体"/>
          <w:sz w:val="24"/>
          <w:szCs w:val="24"/>
          <w:highlight w:val="none"/>
        </w:rPr>
      </w:pPr>
      <w:r>
        <w:rPr>
          <w:rStyle w:val="1033"/>
          <w:rFonts w:hint="eastAsia" w:hAnsi="宋体" w:cs="宋体"/>
          <w:sz w:val="24"/>
          <w:szCs w:val="24"/>
          <w:highlight w:val="none"/>
        </w:rPr>
        <w:t xml:space="preserve">4、我们同意按采购文件中的规定，本磋商响应文件的有效期限为响应文件提交截止之日起90天。</w:t>
      </w:r>
      <w:r/>
    </w:p>
    <w:p>
      <w:pPr>
        <w:pStyle w:val="1042"/>
        <w:ind w:left="0" w:firstLine="480"/>
        <w:widowControl w:val="off"/>
        <w:rPr>
          <w:rStyle w:val="1033"/>
          <w:rFonts w:hint="eastAsia" w:hAnsi="宋体" w:cs="宋体"/>
          <w:sz w:val="24"/>
          <w:szCs w:val="24"/>
          <w:highlight w:val="none"/>
        </w:rPr>
      </w:pPr>
      <w:r>
        <w:rPr>
          <w:rStyle w:val="1033"/>
          <w:rFonts w:hint="eastAsia" w:hAnsi="宋体" w:cs="宋体"/>
          <w:sz w:val="24"/>
          <w:szCs w:val="24"/>
          <w:highlight w:val="none"/>
        </w:rPr>
        <w:t xml:space="preserve">5、我们愿意提供磋商采购单位在采购文件中要求的所有资料。</w:t>
      </w:r>
      <w:r/>
    </w:p>
    <w:p>
      <w:pPr>
        <w:pStyle w:val="1042"/>
        <w:ind w:left="0" w:firstLine="480"/>
        <w:widowControl w:val="off"/>
        <w:rPr>
          <w:rStyle w:val="1033"/>
          <w:rFonts w:hint="eastAsia" w:hAnsi="宋体" w:cs="宋体"/>
          <w:sz w:val="24"/>
          <w:szCs w:val="24"/>
          <w:highlight w:val="none"/>
        </w:rPr>
      </w:pPr>
      <w:r>
        <w:rPr>
          <w:rStyle w:val="1033"/>
          <w:rFonts w:hint="eastAsia" w:hAnsi="宋体" w:cs="宋体"/>
          <w:sz w:val="24"/>
          <w:szCs w:val="24"/>
          <w:highlight w:val="none"/>
        </w:rPr>
        <w:t xml:space="preserve">6、我们愿意遵守采购文件中所列的收费标准。</w:t>
      </w:r>
      <w:r/>
    </w:p>
    <w:p>
      <w:pPr>
        <w:pStyle w:val="1042"/>
        <w:ind w:left="0" w:firstLine="480"/>
        <w:widowControl w:val="off"/>
        <w:rPr>
          <w:rStyle w:val="1033"/>
          <w:rFonts w:hint="eastAsia" w:hAnsi="宋体" w:cs="宋体"/>
          <w:sz w:val="24"/>
          <w:szCs w:val="24"/>
          <w:highlight w:val="none"/>
        </w:rPr>
      </w:pPr>
      <w:r>
        <w:rPr>
          <w:rStyle w:val="1033"/>
          <w:rFonts w:hint="eastAsia" w:hAnsi="宋体" w:cs="宋体"/>
          <w:sz w:val="24"/>
          <w:szCs w:val="24"/>
          <w:highlight w:val="none"/>
        </w:rPr>
        <w:t xml:space="preserve">7、我们承诺该磋商响应文件在磋商开始后的全过程中保持有效，不作任何更改和变动。</w:t>
      </w:r>
      <w:r/>
    </w:p>
    <w:p>
      <w:pPr>
        <w:pStyle w:val="1042"/>
        <w:ind w:left="0" w:firstLine="480"/>
        <w:widowControl w:val="off"/>
        <w:rPr>
          <w:rStyle w:val="1033"/>
          <w:rFonts w:hint="eastAsia" w:hAnsi="宋体" w:cs="宋体"/>
          <w:sz w:val="24"/>
          <w:szCs w:val="24"/>
          <w:highlight w:val="none"/>
        </w:rPr>
      </w:pPr>
      <w:r>
        <w:rPr>
          <w:rStyle w:val="1033"/>
          <w:rFonts w:hint="eastAsia" w:hAnsi="宋体" w:cs="宋体"/>
          <w:sz w:val="24"/>
          <w:szCs w:val="24"/>
          <w:highlight w:val="none"/>
        </w:rPr>
        <w:t xml:space="preserve">8、我们承诺我公司符合采购文件中“合格磋商供应商的一般条件和特殊条件”的要求，若与真实情况不符，本公司愿意承担由此而产生的一切后果。</w:t>
      </w:r>
      <w:r/>
    </w:p>
    <w:p>
      <w:pPr>
        <w:pStyle w:val="1042"/>
        <w:ind w:left="0" w:firstLine="480"/>
        <w:widowControl w:val="off"/>
        <w:rPr>
          <w:rStyle w:val="1033"/>
          <w:rFonts w:hint="eastAsia" w:hAnsi="宋体" w:cs="宋体"/>
          <w:sz w:val="24"/>
          <w:szCs w:val="24"/>
          <w:highlight w:val="none"/>
        </w:rPr>
      </w:pPr>
      <w:r>
        <w:rPr>
          <w:rStyle w:val="1033"/>
          <w:rFonts w:hint="eastAsia" w:hAnsi="宋体" w:cs="宋体"/>
          <w:sz w:val="24"/>
          <w:szCs w:val="24"/>
          <w:highlight w:val="none"/>
        </w:rPr>
        <w:t xml:space="preserve">9、我们声明：我们在参加本次政府采购活动前3年内在经营活动中没有重大违法记录。</w:t>
      </w:r>
      <w:r/>
    </w:p>
    <w:p>
      <w:pPr>
        <w:pStyle w:val="1042"/>
        <w:ind w:left="0" w:firstLine="480"/>
        <w:widowControl w:val="off"/>
        <w:rPr>
          <w:rStyle w:val="1033"/>
          <w:rFonts w:hint="eastAsia" w:hAnsi="宋体" w:cs="宋体"/>
          <w:sz w:val="24"/>
          <w:szCs w:val="24"/>
          <w:highlight w:val="none"/>
        </w:rPr>
      </w:pPr>
      <w:r>
        <w:rPr>
          <w:rStyle w:val="1033"/>
          <w:rFonts w:hint="eastAsia" w:hAnsi="宋体" w:cs="宋体"/>
          <w:sz w:val="24"/>
          <w:szCs w:val="24"/>
          <w:highlight w:val="none"/>
        </w:rPr>
        <w:t xml:space="preserve">10、如果我们成交，我们愿意按采购文件的规定支付代理服务费。</w:t>
      </w:r>
      <w:r/>
    </w:p>
    <w:p>
      <w:pPr>
        <w:pStyle w:val="1042"/>
        <w:ind w:left="0" w:firstLine="480"/>
        <w:widowControl w:val="off"/>
        <w:rPr>
          <w:rStyle w:val="1033"/>
          <w:rFonts w:hint="eastAsia" w:hAnsi="宋体" w:cs="宋体"/>
          <w:sz w:val="24"/>
          <w:szCs w:val="24"/>
          <w:highlight w:val="none"/>
        </w:rPr>
      </w:pPr>
      <w:r>
        <w:rPr>
          <w:rStyle w:val="1033"/>
          <w:rFonts w:hint="eastAsia" w:hAnsi="宋体" w:cs="宋体"/>
          <w:sz w:val="24"/>
          <w:szCs w:val="24"/>
          <w:highlight w:val="none"/>
        </w:rPr>
        <w:t xml:space="preserve">11、综合说明：</w:t>
      </w:r>
      <w:r/>
    </w:p>
    <w:p>
      <w:pPr>
        <w:pStyle w:val="1042"/>
        <w:ind w:left="0" w:firstLine="480"/>
        <w:widowControl w:val="off"/>
        <w:rPr>
          <w:rStyle w:val="1033"/>
          <w:rFonts w:hint="eastAsia" w:hAnsi="宋体" w:cs="宋体"/>
          <w:sz w:val="24"/>
          <w:szCs w:val="24"/>
          <w:highlight w:val="none"/>
        </w:rPr>
      </w:pPr>
      <w:r>
        <w:rPr>
          <w:rStyle w:val="1033"/>
          <w:rFonts w:hint="eastAsia" w:hAnsi="宋体" w:cs="宋体"/>
          <w:sz w:val="24"/>
          <w:szCs w:val="24"/>
          <w:highlight w:val="none"/>
        </w:rPr>
        <w:t xml:space="preserve">（1）伴随服务及配合措施；（2）要求甲方提供的配合；（3）对采购文件有不同意见的偏离说明；（4）其它说明。</w:t>
      </w:r>
      <w:r/>
    </w:p>
    <w:p>
      <w:pPr>
        <w:pStyle w:val="1042"/>
        <w:ind w:left="0" w:firstLine="480"/>
        <w:widowControl w:val="off"/>
        <w:rPr>
          <w:rStyle w:val="1033"/>
          <w:rFonts w:hint="eastAsia" w:hAnsi="宋体" w:cs="宋体"/>
          <w:sz w:val="24"/>
          <w:szCs w:val="24"/>
          <w:highlight w:val="none"/>
        </w:rPr>
      </w:pPr>
      <w:r>
        <w:rPr>
          <w:rStyle w:val="1033"/>
          <w:rFonts w:hint="eastAsia" w:hAnsi="宋体" w:cs="宋体"/>
          <w:sz w:val="24"/>
          <w:szCs w:val="24"/>
          <w:highlight w:val="none"/>
        </w:rPr>
        <w:t xml:space="preserve">所有有关磋商响应文件的函电，请按下列地址联系：</w:t>
      </w:r>
      <w:r/>
    </w:p>
    <w:p>
      <w:pPr>
        <w:pStyle w:val="1042"/>
        <w:ind w:left="0" w:firstLine="480"/>
        <w:widowControl w:val="off"/>
        <w:rPr>
          <w:rStyle w:val="1033"/>
          <w:rFonts w:hint="eastAsia" w:hAnsi="宋体" w:cs="宋体"/>
          <w:sz w:val="24"/>
          <w:szCs w:val="24"/>
          <w:highlight w:val="none"/>
        </w:rPr>
      </w:pPr>
      <w:r>
        <w:rPr>
          <w:rStyle w:val="1033"/>
          <w:rFonts w:hint="eastAsia" w:hAnsi="宋体" w:cs="宋体"/>
          <w:sz w:val="24"/>
          <w:szCs w:val="24"/>
          <w:highlight w:val="none"/>
        </w:rPr>
        <w:t xml:space="preserve">单位：                             联系人：</w:t>
      </w:r>
      <w:r/>
    </w:p>
    <w:p>
      <w:pPr>
        <w:pStyle w:val="1042"/>
        <w:ind w:left="0" w:firstLine="480"/>
        <w:widowControl w:val="off"/>
        <w:rPr>
          <w:rStyle w:val="1033"/>
          <w:rFonts w:hint="eastAsia" w:hAnsi="宋体" w:cs="宋体"/>
          <w:sz w:val="24"/>
          <w:szCs w:val="24"/>
          <w:highlight w:val="none"/>
        </w:rPr>
      </w:pPr>
      <w:r>
        <w:rPr>
          <w:rStyle w:val="1033"/>
          <w:rFonts w:hint="eastAsia" w:hAnsi="宋体" w:cs="宋体"/>
          <w:sz w:val="24"/>
          <w:szCs w:val="24"/>
          <w:highlight w:val="none"/>
        </w:rPr>
        <w:t xml:space="preserve">地址：                             邮政编码：</w:t>
      </w:r>
      <w:r/>
    </w:p>
    <w:p>
      <w:pPr>
        <w:pStyle w:val="1042"/>
        <w:ind w:left="0" w:firstLine="480"/>
        <w:widowControl w:val="off"/>
        <w:rPr>
          <w:rStyle w:val="1033"/>
          <w:rFonts w:hint="eastAsia" w:hAnsi="宋体" w:cs="宋体"/>
          <w:sz w:val="24"/>
          <w:szCs w:val="24"/>
          <w:highlight w:val="none"/>
        </w:rPr>
      </w:pPr>
      <w:r>
        <w:rPr>
          <w:rStyle w:val="1033"/>
          <w:rFonts w:hint="eastAsia" w:hAnsi="宋体" w:cs="宋体"/>
          <w:sz w:val="24"/>
          <w:szCs w:val="24"/>
          <w:highlight w:val="none"/>
        </w:rPr>
        <w:t xml:space="preserve">联系电话：                         传真：</w:t>
      </w:r>
      <w:r/>
    </w:p>
    <w:p>
      <w:pPr>
        <w:ind w:left="0" w:firstLine="480"/>
        <w:widowControl w:val="off"/>
        <w:rPr>
          <w:rFonts w:hint="eastAsia" w:ascii="宋体" w:hAnsi="宋体" w:cs="宋体"/>
          <w:sz w:val="24"/>
          <w:szCs w:val="24"/>
          <w:highlight w:val="none"/>
          <w:u w:val="single"/>
        </w:rPr>
      </w:pPr>
      <w:r>
        <w:rPr>
          <w:rStyle w:val="1033"/>
          <w:rFonts w:hint="eastAsia" w:ascii="宋体" w:hAnsi="宋体" w:cs="宋体"/>
          <w:sz w:val="24"/>
          <w:szCs w:val="24"/>
          <w:highlight w:val="none"/>
        </w:rPr>
        <w:t xml:space="preserve">电子邮箱：</w:t>
      </w:r>
      <w:r/>
    </w:p>
    <w:p>
      <w:pPr>
        <w:ind w:left="0" w:right="-200"/>
        <w:jc w:val="right"/>
        <w:spacing w:line="360" w:lineRule="auto"/>
        <w:widowControl w:val="off"/>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                                                    </w:t>
      </w:r>
      <w:r/>
    </w:p>
    <w:p>
      <w:pPr>
        <w:ind w:left="0" w:right="-200"/>
        <w:jc w:val="left"/>
        <w:spacing w:line="360" w:lineRule="auto"/>
        <w:widowControl w:val="off"/>
        <w:rPr>
          <w:rFonts w:hint="eastAsia" w:ascii="宋体" w:hAnsi="宋体" w:cs="宋体"/>
          <w:sz w:val="24"/>
          <w:szCs w:val="24"/>
          <w:highlight w:val="none"/>
          <w:lang w:val="zh-CN"/>
        </w:rPr>
      </w:pPr>
      <w:r>
        <w:rPr>
          <w:rFonts w:hint="eastAsia" w:ascii="宋体" w:hAnsi="宋体" w:cs="宋体"/>
          <w:sz w:val="24"/>
          <w:szCs w:val="24"/>
          <w:highlight w:val="none"/>
        </w:rPr>
        <w:t xml:space="preserve">供应商名称：（公章）</w:t>
      </w:r>
      <w:r/>
    </w:p>
    <w:p>
      <w:pPr>
        <w:ind w:left="0"/>
        <w:jc w:val="left"/>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法定代表人或</w:t>
      </w:r>
      <w:r>
        <w:rPr>
          <w:rFonts w:hint="eastAsia" w:ascii="宋体" w:hAnsi="宋体" w:cs="宋体"/>
          <w:sz w:val="24"/>
          <w:szCs w:val="24"/>
          <w:highlight w:val="none"/>
        </w:rPr>
        <w:t xml:space="preserve">被授权</w:t>
      </w:r>
      <w:r>
        <w:rPr>
          <w:rFonts w:hint="eastAsia" w:ascii="宋体" w:hAnsi="宋体" w:cs="宋体"/>
          <w:sz w:val="24"/>
          <w:szCs w:val="24"/>
          <w:highlight w:val="none"/>
          <w:lang w:val="zh-CN"/>
        </w:rPr>
        <w:t xml:space="preserve">人：（签字或盖章）</w:t>
      </w:r>
      <w:r/>
    </w:p>
    <w:p>
      <w:pPr>
        <w:ind w:left="0" w:right="300"/>
        <w:jc w:val="left"/>
        <w:spacing w:line="4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日    期：     年</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月   </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日</w:t>
      </w:r>
      <w:r/>
    </w:p>
    <w:p>
      <w:pPr>
        <w:ind w:left="0"/>
        <w:rPr>
          <w:rFonts w:hint="eastAsia" w:ascii="宋体" w:hAnsi="宋体" w:cs="宋体"/>
          <w:b/>
          <w:sz w:val="24"/>
          <w:szCs w:val="24"/>
          <w:highlight w:val="none"/>
        </w:rPr>
        <w:outlineLvl w:val="1"/>
      </w:pPr>
      <w:r>
        <w:rPr>
          <w:rFonts w:hint="eastAsia" w:ascii="宋体" w:hAnsi="宋体" w:cs="宋体"/>
          <w:b/>
          <w:sz w:val="21"/>
          <w:szCs w:val="21"/>
          <w:highlight w:val="none"/>
        </w:rPr>
        <w:br w:type="page" w:clear="all"/>
      </w:r>
      <w:bookmarkStart w:id="72" w:name="_Toc6183"/>
      <w:r>
        <w:rPr>
          <w:rFonts w:hint="eastAsia" w:ascii="宋体" w:hAnsi="宋体" w:cs="宋体"/>
          <w:b/>
          <w:sz w:val="24"/>
          <w:szCs w:val="24"/>
          <w:highlight w:val="none"/>
        </w:rPr>
        <w:t xml:space="preserve">附件2、磋商报价表</w:t>
      </w:r>
      <w:bookmarkEnd w:id="72"/>
      <w:r/>
      <w:r/>
    </w:p>
    <w:p>
      <w:pPr>
        <w:rPr>
          <w:rFonts w:hint="eastAsia" w:ascii="宋体" w:hAnsi="宋体" w:cs="宋体"/>
          <w:sz w:val="24"/>
          <w:szCs w:val="24"/>
          <w:highlight w:val="none"/>
        </w:rPr>
      </w:pPr>
      <w:r>
        <w:rPr>
          <w:rFonts w:hint="eastAsia" w:ascii="宋体" w:hAnsi="宋体" w:cs="宋体"/>
          <w:sz w:val="24"/>
          <w:szCs w:val="24"/>
          <w:highlight w:val="none"/>
        </w:rPr>
      </w:r>
      <w:r/>
    </w:p>
    <w:p>
      <w:pPr>
        <w:ind w:left="0"/>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磋商报价表</w:t>
      </w:r>
      <w:r/>
    </w:p>
    <w:p>
      <w:pPr>
        <w:pStyle w:val="830"/>
        <w:rPr>
          <w:rFonts w:hint="eastAsia" w:ascii="宋体" w:hAnsi="宋体" w:cs="宋体"/>
          <w:highlight w:val="none"/>
        </w:rPr>
      </w:pPr>
      <w:r>
        <w:rPr>
          <w:rFonts w:hint="eastAsia" w:ascii="宋体" w:hAnsi="宋体" w:cs="宋体"/>
          <w:highlight w:val="none"/>
        </w:rPr>
      </w:r>
      <w:r/>
    </w:p>
    <w:p>
      <w:pPr>
        <w:ind w:left="0"/>
        <w:jc w:val="center"/>
        <w:spacing w:line="360" w:lineRule="auto"/>
        <w:rPr>
          <w:rFonts w:hint="eastAsia" w:ascii="宋体" w:hAnsi="宋体" w:cs="宋体"/>
          <w:b/>
          <w:sz w:val="21"/>
          <w:szCs w:val="21"/>
          <w:highlight w:val="none"/>
        </w:rPr>
      </w:pPr>
      <w:r>
        <w:rPr>
          <w:rStyle w:val="1033"/>
          <w:rFonts w:hAnsi="宋体"/>
          <w:sz w:val="24"/>
          <w:szCs w:val="24"/>
          <w:highlight w:val="none"/>
        </w:rPr>
        <w:t xml:space="preserve">采购编号：                                          价格单位：元</w:t>
      </w:r>
      <w:r/>
    </w:p>
    <w:tbl>
      <w:tblPr>
        <w:tblStyle w:val="8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02"/>
        <w:gridCol w:w="1701"/>
        <w:gridCol w:w="2252"/>
      </w:tblGrid>
      <w:tr>
        <w:trPr>
          <w:jc w:val="center"/>
          <w:trHeight w:val="850"/>
        </w:trPr>
        <w:tc>
          <w:tcPr>
            <w:tcW w:w="3402" w:type="dxa"/>
            <w:vAlign w:val="center"/>
            <w:textDirection w:val="lrTb"/>
            <w:noWrap w:val="false"/>
          </w:tcPr>
          <w:p>
            <w:pPr>
              <w:ind w:left="0"/>
              <w:jc w:val="center"/>
              <w:widowControl w:val="off"/>
              <w:rPr>
                <w:rFonts w:hint="eastAsia" w:ascii="宋体" w:hAnsi="宋体"/>
                <w:sz w:val="24"/>
                <w:szCs w:val="24"/>
                <w:highlight w:val="none"/>
              </w:rPr>
            </w:pPr>
            <w:r>
              <w:rPr>
                <w:rFonts w:ascii="宋体" w:hAnsi="宋体"/>
                <w:sz w:val="24"/>
                <w:szCs w:val="24"/>
                <w:highlight w:val="none"/>
                <w:lang w:val="zh-CN"/>
              </w:rPr>
              <w:t xml:space="preserve">项目名称</w:t>
            </w:r>
            <w:r/>
          </w:p>
        </w:tc>
        <w:tc>
          <w:tcPr>
            <w:tcW w:w="1701" w:type="dxa"/>
            <w:vAlign w:val="center"/>
            <w:textDirection w:val="lrTb"/>
            <w:noWrap w:val="false"/>
          </w:tcPr>
          <w:p>
            <w:pPr>
              <w:ind w:left="0"/>
              <w:jc w:val="center"/>
              <w:widowControl w:val="off"/>
              <w:rPr>
                <w:rFonts w:hint="eastAsia" w:ascii="宋体" w:hAnsi="宋体"/>
                <w:sz w:val="24"/>
                <w:szCs w:val="24"/>
                <w:highlight w:val="none"/>
                <w:lang w:val="zh-CN"/>
              </w:rPr>
            </w:pPr>
            <w:r>
              <w:rPr>
                <w:rFonts w:ascii="宋体" w:hAnsi="宋体"/>
                <w:sz w:val="24"/>
                <w:szCs w:val="24"/>
                <w:highlight w:val="none"/>
                <w:lang w:val="zh-CN"/>
              </w:rPr>
              <w:t xml:space="preserve">响应总报价</w:t>
            </w:r>
            <w:r/>
          </w:p>
          <w:p>
            <w:pPr>
              <w:ind w:left="0"/>
              <w:jc w:val="center"/>
              <w:widowControl w:val="off"/>
              <w:rPr>
                <w:rFonts w:hint="eastAsia" w:ascii="宋体" w:hAnsi="宋体"/>
                <w:sz w:val="24"/>
                <w:szCs w:val="24"/>
                <w:highlight w:val="none"/>
              </w:rPr>
            </w:pPr>
            <w:r>
              <w:rPr>
                <w:rFonts w:ascii="宋体" w:hAnsi="宋体"/>
                <w:sz w:val="24"/>
                <w:szCs w:val="24"/>
                <w:highlight w:val="none"/>
                <w:lang w:val="zh-CN"/>
              </w:rPr>
              <w:t xml:space="preserve">（元）</w:t>
            </w:r>
            <w:r/>
          </w:p>
        </w:tc>
        <w:tc>
          <w:tcPr>
            <w:tcW w:w="2252" w:type="dxa"/>
            <w:vAlign w:val="center"/>
            <w:textDirection w:val="lrTb"/>
            <w:noWrap w:val="false"/>
          </w:tcPr>
          <w:p>
            <w:pPr>
              <w:ind w:left="0"/>
              <w:jc w:val="center"/>
              <w:widowControl w:val="off"/>
              <w:rPr>
                <w:rFonts w:hint="eastAsia" w:ascii="宋体" w:hAnsi="宋体"/>
                <w:sz w:val="24"/>
                <w:szCs w:val="24"/>
                <w:highlight w:val="none"/>
              </w:rPr>
            </w:pPr>
            <w:r>
              <w:rPr>
                <w:rFonts w:hint="eastAsia" w:ascii="宋体" w:hAnsi="宋体"/>
                <w:sz w:val="24"/>
                <w:szCs w:val="24"/>
                <w:highlight w:val="none"/>
              </w:rPr>
              <w:t xml:space="preserve">服务期限</w:t>
            </w:r>
            <w:r/>
          </w:p>
        </w:tc>
      </w:tr>
      <w:tr>
        <w:trPr>
          <w:jc w:val="center"/>
          <w:trHeight w:val="850"/>
        </w:trPr>
        <w:tc>
          <w:tcPr>
            <w:tcW w:w="3402" w:type="dxa"/>
            <w:vAlign w:val="center"/>
            <w:textDirection w:val="lrTb"/>
            <w:noWrap w:val="false"/>
          </w:tcPr>
          <w:p>
            <w:pPr>
              <w:ind w:left="0"/>
              <w:jc w:val="center"/>
              <w:widowControl w:val="off"/>
              <w:rPr>
                <w:rFonts w:hint="eastAsia" w:ascii="宋体" w:hAnsi="宋体"/>
                <w:sz w:val="24"/>
                <w:szCs w:val="24"/>
                <w:highlight w:val="none"/>
              </w:rPr>
            </w:pPr>
            <w:r>
              <w:rPr>
                <w:rFonts w:hint="eastAsia" w:ascii="宋体" w:hAnsi="宋体"/>
                <w:sz w:val="24"/>
                <w:szCs w:val="24"/>
                <w:highlight w:val="none"/>
              </w:rPr>
            </w:r>
            <w:r/>
          </w:p>
        </w:tc>
        <w:tc>
          <w:tcPr>
            <w:tcW w:w="1701" w:type="dxa"/>
            <w:vAlign w:val="center"/>
            <w:textDirection w:val="lrTb"/>
            <w:noWrap w:val="false"/>
          </w:tcPr>
          <w:p>
            <w:pPr>
              <w:ind w:left="0"/>
              <w:jc w:val="center"/>
              <w:widowControl w:val="off"/>
              <w:rPr>
                <w:rFonts w:hint="eastAsia" w:ascii="宋体" w:hAnsi="宋体"/>
                <w:sz w:val="24"/>
                <w:szCs w:val="24"/>
                <w:highlight w:val="none"/>
              </w:rPr>
            </w:pPr>
            <w:r>
              <w:rPr>
                <w:rFonts w:hint="eastAsia" w:ascii="宋体" w:hAnsi="宋体"/>
                <w:sz w:val="24"/>
                <w:szCs w:val="24"/>
                <w:highlight w:val="none"/>
              </w:rPr>
            </w:r>
            <w:r/>
          </w:p>
        </w:tc>
        <w:tc>
          <w:tcPr>
            <w:tcW w:w="2252" w:type="dxa"/>
            <w:vAlign w:val="center"/>
            <w:textDirection w:val="lrTb"/>
            <w:noWrap w:val="false"/>
          </w:tcPr>
          <w:p>
            <w:pPr>
              <w:ind w:left="0"/>
              <w:jc w:val="center"/>
              <w:widowControl w:val="off"/>
              <w:rPr>
                <w:rFonts w:hint="eastAsia" w:ascii="宋体" w:hAnsi="宋体"/>
                <w:sz w:val="24"/>
                <w:szCs w:val="24"/>
                <w:highlight w:val="none"/>
              </w:rPr>
            </w:pPr>
            <w:r>
              <w:rPr>
                <w:rFonts w:hint="eastAsia" w:ascii="宋体" w:hAnsi="宋体"/>
                <w:sz w:val="24"/>
                <w:szCs w:val="24"/>
                <w:highlight w:val="none"/>
              </w:rPr>
            </w:r>
            <w:r/>
          </w:p>
        </w:tc>
      </w:tr>
    </w:tbl>
    <w:p>
      <w:pPr>
        <w:ind w:left="0"/>
        <w:jc w:val="center"/>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ind w:left="0"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注：上述报价</w:t>
      </w:r>
      <w:r>
        <w:rPr>
          <w:rStyle w:val="1033"/>
          <w:rFonts w:hint="eastAsia" w:hAnsi="宋体" w:cs="宋体"/>
          <w:sz w:val="24"/>
          <w:szCs w:val="24"/>
          <w:highlight w:val="none"/>
        </w:rPr>
        <w:t xml:space="preserve">包括完成该项目所需的全部人工费、材料费、交通费用、餐费、人员培训、售后服务、管理费、利润、规费、税金以及代理服务费等一切费用。</w:t>
      </w:r>
      <w:r/>
    </w:p>
    <w:p>
      <w:pPr>
        <w:ind w:left="0"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left="0" w:right="-200"/>
        <w:jc w:val="left"/>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r>
      <w:r/>
    </w:p>
    <w:p>
      <w:pPr>
        <w:ind w:left="0" w:right="-200"/>
        <w:jc w:val="left"/>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r>
      <w:r/>
    </w:p>
    <w:p>
      <w:pPr>
        <w:ind w:left="0" w:right="-200"/>
        <w:jc w:val="left"/>
        <w:spacing w:line="360" w:lineRule="auto"/>
        <w:widowControl w:val="off"/>
        <w:rPr>
          <w:rFonts w:hint="eastAsia" w:ascii="宋体" w:hAnsi="宋体" w:cs="宋体"/>
          <w:sz w:val="24"/>
          <w:szCs w:val="24"/>
          <w:highlight w:val="none"/>
          <w:lang w:val="zh-CN"/>
        </w:rPr>
      </w:pPr>
      <w:r>
        <w:rPr>
          <w:rFonts w:hint="eastAsia" w:ascii="宋体" w:hAnsi="宋体" w:cs="宋体"/>
          <w:sz w:val="24"/>
          <w:szCs w:val="24"/>
          <w:highlight w:val="none"/>
        </w:rPr>
        <w:t xml:space="preserve">供应商名称：（公章）</w:t>
      </w:r>
      <w:r/>
    </w:p>
    <w:p>
      <w:pPr>
        <w:ind w:left="0"/>
        <w:jc w:val="left"/>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法定代表人或</w:t>
      </w:r>
      <w:r>
        <w:rPr>
          <w:rFonts w:hint="eastAsia" w:ascii="宋体" w:hAnsi="宋体" w:cs="宋体"/>
          <w:sz w:val="24"/>
          <w:szCs w:val="24"/>
          <w:highlight w:val="none"/>
        </w:rPr>
        <w:t xml:space="preserve">被授权</w:t>
      </w:r>
      <w:r>
        <w:rPr>
          <w:rFonts w:hint="eastAsia" w:ascii="宋体" w:hAnsi="宋体" w:cs="宋体"/>
          <w:sz w:val="24"/>
          <w:szCs w:val="24"/>
          <w:highlight w:val="none"/>
          <w:lang w:val="zh-CN"/>
        </w:rPr>
        <w:t xml:space="preserve">人：（签字或盖章）</w:t>
      </w:r>
      <w:r/>
    </w:p>
    <w:p>
      <w:pPr>
        <w:ind w:left="0" w:right="40"/>
        <w:jc w:val="left"/>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 日    期：     年</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月   </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日</w:t>
      </w:r>
      <w:r/>
    </w:p>
    <w:p>
      <w:pPr>
        <w:ind w:left="0"/>
        <w:spacing w:line="360" w:lineRule="auto"/>
        <w:rPr>
          <w:rFonts w:hint="eastAsia" w:ascii="宋体" w:hAnsi="宋体" w:cs="宋体"/>
          <w:highlight w:val="none"/>
        </w:rPr>
      </w:pPr>
      <w:r>
        <w:rPr>
          <w:rFonts w:hint="eastAsia" w:ascii="宋体" w:hAnsi="宋体" w:cs="宋体"/>
          <w:highlight w:val="none"/>
        </w:rPr>
      </w:r>
      <w:r/>
    </w:p>
    <w:p>
      <w:pPr>
        <w:ind w:left="0" w:right="40"/>
        <w:jc w:val="left"/>
        <w:spacing w:line="360" w:lineRule="auto"/>
        <w:rPr>
          <w:rFonts w:hint="eastAsia" w:ascii="宋体" w:hAnsi="宋体" w:cs="宋体"/>
          <w:b/>
          <w:sz w:val="24"/>
          <w:szCs w:val="24"/>
          <w:highlight w:val="none"/>
        </w:rPr>
        <w:outlineLvl w:val="1"/>
      </w:pPr>
      <w:r>
        <w:rPr>
          <w:rFonts w:hint="eastAsia" w:ascii="宋体" w:hAnsi="宋体" w:cs="宋体"/>
          <w:b/>
          <w:sz w:val="21"/>
          <w:szCs w:val="21"/>
          <w:highlight w:val="none"/>
        </w:rPr>
        <w:br w:type="page" w:clear="all"/>
      </w:r>
      <w:bookmarkStart w:id="73" w:name="_Toc14239"/>
      <w:r/>
      <w:bookmarkStart w:id="74" w:name="_Toc31009"/>
      <w:r>
        <w:rPr>
          <w:rFonts w:hint="eastAsia" w:ascii="宋体" w:hAnsi="宋体" w:cs="宋体"/>
          <w:b/>
          <w:sz w:val="24"/>
          <w:szCs w:val="24"/>
          <w:highlight w:val="none"/>
        </w:rPr>
        <w:t xml:space="preserve">附件3、</w:t>
      </w:r>
      <w:bookmarkEnd w:id="73"/>
      <w:r>
        <w:rPr>
          <w:rFonts w:hint="eastAsia" w:ascii="宋体" w:hAnsi="宋体" w:cs="宋体"/>
          <w:b/>
          <w:sz w:val="24"/>
          <w:szCs w:val="24"/>
          <w:highlight w:val="none"/>
        </w:rPr>
        <w:t xml:space="preserve">报价明细表</w:t>
      </w:r>
      <w:r/>
    </w:p>
    <w:p>
      <w:pPr>
        <w:pStyle w:val="1034"/>
        <w:ind w:left="0" w:firstLine="0"/>
        <w:jc w:val="center"/>
        <w:spacing w:line="360" w:lineRule="auto"/>
        <w:widowControl w:val="off"/>
        <w:rPr>
          <w:rStyle w:val="1033"/>
          <w:rFonts w:hint="eastAsia" w:ascii="宋体" w:hAnsi="宋体"/>
          <w:b/>
          <w:bCs/>
          <w:szCs w:val="24"/>
          <w:highlight w:val="none"/>
        </w:rPr>
      </w:pPr>
      <w:r>
        <w:rPr>
          <w:rStyle w:val="1033"/>
          <w:rFonts w:hint="eastAsia" w:ascii="宋体" w:hAnsi="宋体"/>
          <w:b/>
          <w:bCs/>
          <w:szCs w:val="24"/>
          <w:highlight w:val="none"/>
        </w:rPr>
        <w:t xml:space="preserve">报价明细表</w:t>
      </w:r>
      <w:r/>
    </w:p>
    <w:tbl>
      <w:tblPr>
        <w:tblStyle w:val="801"/>
        <w:tblW w:w="9256" w:type="dxa"/>
        <w:jc w:val="center"/>
        <w:tblLayout w:type="fixed"/>
        <w:tblCellMar>
          <w:left w:w="108" w:type="dxa"/>
          <w:top w:w="0" w:type="dxa"/>
          <w:right w:w="108" w:type="dxa"/>
          <w:bottom w:w="0" w:type="dxa"/>
        </w:tblCellMar>
        <w:tblLook w:val="04A0" w:firstRow="1" w:lastRow="0" w:firstColumn="1" w:lastColumn="0" w:noHBand="0" w:noVBand="1"/>
      </w:tblPr>
      <w:tblGrid>
        <w:gridCol w:w="827"/>
        <w:gridCol w:w="2498"/>
        <w:gridCol w:w="850"/>
        <w:gridCol w:w="850"/>
        <w:gridCol w:w="1707"/>
        <w:gridCol w:w="1262"/>
        <w:gridCol w:w="1262"/>
      </w:tblGrid>
      <w:tr>
        <w:trPr>
          <w:jc w:val="cente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11"/>
              <w:ind w:left="0"/>
              <w:jc w:val="center"/>
              <w:widowControl w:val="off"/>
              <w:rPr>
                <w:rFonts w:hint="eastAsia" w:ascii="宋体" w:hAnsi="宋体"/>
                <w:sz w:val="24"/>
                <w:szCs w:val="24"/>
                <w:highlight w:val="none"/>
              </w:rPr>
            </w:pPr>
            <w:r>
              <w:rPr>
                <w:rFonts w:ascii="宋体" w:hAnsi="宋体"/>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2498" w:type="dxa"/>
            <w:vAlign w:val="center"/>
            <w:textDirection w:val="lrTb"/>
            <w:noWrap w:val="false"/>
          </w:tcPr>
          <w:p>
            <w:pPr>
              <w:pStyle w:val="1011"/>
              <w:ind w:left="0"/>
              <w:jc w:val="center"/>
              <w:widowControl w:val="off"/>
              <w:rPr>
                <w:rFonts w:hint="eastAsia" w:ascii="宋体" w:hAnsi="宋体"/>
                <w:sz w:val="24"/>
                <w:szCs w:val="24"/>
                <w:highlight w:val="none"/>
              </w:rPr>
            </w:pPr>
            <w:r>
              <w:rPr>
                <w:rFonts w:ascii="宋体" w:hAnsi="宋体"/>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11"/>
              <w:ind w:left="0"/>
              <w:jc w:val="center"/>
              <w:widowControl w:val="off"/>
              <w:rPr>
                <w:rFonts w:hint="eastAsia" w:ascii="宋体" w:hAnsi="宋体"/>
                <w:sz w:val="24"/>
                <w:szCs w:val="24"/>
                <w:highlight w:val="none"/>
              </w:rPr>
            </w:pPr>
            <w:r>
              <w:rPr>
                <w:rFonts w:hint="eastAsia" w:ascii="宋体" w:hAnsi="宋体"/>
                <w:sz w:val="24"/>
                <w:szCs w:val="24"/>
                <w:highlight w:val="none"/>
              </w:rPr>
              <w:t xml:space="preserve">单位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11"/>
              <w:ind w:left="0"/>
              <w:jc w:val="center"/>
              <w:widowControl w:val="off"/>
              <w:rPr>
                <w:rFonts w:hint="eastAsia" w:ascii="宋体" w:hAnsi="宋体"/>
                <w:sz w:val="24"/>
                <w:szCs w:val="24"/>
                <w:highlight w:val="none"/>
              </w:rPr>
            </w:pPr>
            <w:r>
              <w:rPr>
                <w:rFonts w:ascii="宋体" w:hAnsi="宋体"/>
                <w:sz w:val="24"/>
                <w:szCs w:val="24"/>
                <w:highlight w:val="none"/>
              </w:rPr>
              <w:t xml:space="preserve">数量</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pStyle w:val="1011"/>
              <w:ind w:left="0"/>
              <w:jc w:val="center"/>
              <w:widowControl w:val="off"/>
              <w:rPr>
                <w:rFonts w:hint="eastAsia" w:ascii="宋体" w:hAnsi="宋体"/>
                <w:sz w:val="24"/>
                <w:szCs w:val="24"/>
                <w:highlight w:val="none"/>
              </w:rPr>
            </w:pPr>
            <w:r>
              <w:rPr>
                <w:rFonts w:ascii="宋体" w:hAnsi="宋体"/>
                <w:sz w:val="24"/>
                <w:szCs w:val="24"/>
                <w:highlight w:val="none"/>
              </w:rPr>
              <w:t xml:space="preserve">单价</w:t>
            </w:r>
            <w:r/>
          </w:p>
          <w:p>
            <w:pPr>
              <w:pStyle w:val="1011"/>
              <w:ind w:left="0"/>
              <w:jc w:val="center"/>
              <w:widowControl w:val="off"/>
              <w:rPr>
                <w:rFonts w:hint="eastAsia" w:ascii="宋体" w:hAnsi="宋体"/>
                <w:sz w:val="24"/>
                <w:szCs w:val="24"/>
                <w:highlight w:val="none"/>
              </w:rPr>
            </w:pPr>
            <w:r>
              <w:rPr>
                <w:rFonts w:ascii="宋体" w:hAnsi="宋体"/>
                <w:sz w:val="24"/>
                <w:szCs w:val="24"/>
                <w:highlight w:val="none"/>
              </w:rPr>
              <w:t xml:space="preserve">（元）</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11"/>
              <w:ind w:left="0"/>
              <w:jc w:val="center"/>
              <w:widowControl w:val="off"/>
              <w:rPr>
                <w:rFonts w:hint="eastAsia" w:ascii="宋体" w:hAnsi="宋体"/>
                <w:sz w:val="24"/>
                <w:szCs w:val="24"/>
                <w:highlight w:val="none"/>
              </w:rPr>
            </w:pPr>
            <w:r>
              <w:rPr>
                <w:rFonts w:ascii="宋体" w:hAnsi="宋体"/>
                <w:sz w:val="24"/>
                <w:szCs w:val="24"/>
                <w:highlight w:val="none"/>
              </w:rPr>
              <w:t xml:space="preserve">合</w:t>
            </w:r>
            <w:r>
              <w:rPr>
                <w:rFonts w:hint="eastAsia" w:ascii="宋体" w:hAnsi="宋体"/>
                <w:sz w:val="24"/>
                <w:szCs w:val="24"/>
                <w:highlight w:val="none"/>
              </w:rPr>
              <w:t xml:space="preserve">价</w:t>
            </w:r>
            <w:r/>
          </w:p>
          <w:p>
            <w:pPr>
              <w:pStyle w:val="1011"/>
              <w:ind w:left="0"/>
              <w:jc w:val="center"/>
              <w:widowControl w:val="off"/>
              <w:rPr>
                <w:rFonts w:hint="eastAsia" w:ascii="宋体" w:hAnsi="宋体"/>
                <w:sz w:val="24"/>
                <w:szCs w:val="24"/>
                <w:highlight w:val="none"/>
              </w:rPr>
            </w:pPr>
            <w:r>
              <w:rPr>
                <w:rFonts w:ascii="宋体" w:hAnsi="宋体"/>
                <w:sz w:val="24"/>
                <w:szCs w:val="24"/>
                <w:highlight w:val="none"/>
              </w:rPr>
              <w:t xml:space="preserve">（元）</w:t>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11"/>
              <w:ind w:left="0"/>
              <w:jc w:val="center"/>
              <w:widowControl w:val="off"/>
              <w:rPr>
                <w:rFonts w:hint="eastAsia" w:ascii="宋体" w:hAnsi="宋体"/>
                <w:sz w:val="24"/>
                <w:szCs w:val="24"/>
                <w:highlight w:val="none"/>
              </w:rPr>
            </w:pPr>
            <w:r>
              <w:rPr>
                <w:rFonts w:ascii="宋体" w:hAnsi="宋体"/>
                <w:sz w:val="24"/>
                <w:szCs w:val="24"/>
                <w:highlight w:val="none"/>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rPr>
                <w:rFonts w:hint="eastAsia" w:ascii="宋体" w:hAnsi="宋体"/>
                <w:sz w:val="24"/>
                <w:szCs w:val="24"/>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none" w:color="000000" w:sz="4" w:space="0"/>
              <w:bottom w:val="single" w:color="000000" w:sz="4" w:space="0"/>
              <w:right w:val="single" w:color="000000" w:sz="4" w:space="0"/>
            </w:tcBorders>
            <w:tcW w:w="2498" w:type="dxa"/>
            <w:vAlign w:val="center"/>
            <w:textDirection w:val="lrTb"/>
            <w:noWrap w:val="false"/>
          </w:tcPr>
          <w:p>
            <w:pPr>
              <w:ind w:left="0"/>
              <w:jc w:val="center"/>
              <w:rPr>
                <w:rFonts w:hint="eastAsia" w:hAnsi="宋体"/>
                <w:sz w:val="24"/>
                <w:szCs w:val="24"/>
                <w:highlight w:val="none"/>
              </w:rPr>
            </w:pPr>
            <w:r>
              <w:rPr>
                <w:rFonts w:hint="eastAsia" w:ascii="宋体" w:hAnsi="宋体" w:cs="宋体"/>
                <w:color w:val="000000"/>
                <w:sz w:val="22"/>
                <w:szCs w:val="22"/>
                <w:highlight w:val="none"/>
                <w:lang w:bidi="ar"/>
              </w:rPr>
              <w:t xml:space="preserve">小桥</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422" w:hanging="422"/>
              <w:jc w:val="center"/>
              <w:tabs>
                <w:tab w:val="right" w:pos="-390" w:leader="none"/>
                <w:tab w:val="center" w:pos="1194" w:leader="none"/>
              </w:tabs>
              <w:rPr>
                <w:rFonts w:hint="eastAsia" w:hAnsi="宋体"/>
                <w:sz w:val="24"/>
                <w:szCs w:val="24"/>
                <w:highlight w:val="none"/>
              </w:rPr>
            </w:pPr>
            <w:r>
              <w:rPr>
                <w:rFonts w:hint="eastAsia" w:ascii="宋体" w:hAnsi="宋体" w:cs="宋体"/>
                <w:color w:val="000000"/>
                <w:sz w:val="22"/>
                <w:szCs w:val="22"/>
                <w:highlight w:val="none"/>
                <w:lang w:bidi="ar"/>
              </w:rPr>
              <w:t xml:space="preserve">座</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hAnsi="宋体"/>
                <w:sz w:val="24"/>
                <w:szCs w:val="24"/>
                <w:highlight w:val="none"/>
              </w:rPr>
            </w:pPr>
            <w:r>
              <w:rPr>
                <w:rFonts w:hint="eastAsia" w:ascii="宋体" w:hAnsi="宋体" w:cs="宋体"/>
                <w:color w:val="000000"/>
                <w:sz w:val="22"/>
                <w:szCs w:val="22"/>
                <w:highlight w:val="none"/>
                <w:lang w:bidi="ar"/>
              </w:rPr>
              <w:t xml:space="preserve">217</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rPr>
                <w:rFonts w:hint="eastAsia" w:ascii="宋体" w:hAnsi="宋体"/>
                <w:sz w:val="24"/>
                <w:szCs w:val="24"/>
                <w:highlight w:val="none"/>
              </w:rPr>
            </w:pPr>
            <w:r>
              <w:rPr>
                <w:rFonts w:hint="eastAsia" w:ascii="宋体" w:hAnsi="宋体" w:cs="宋体"/>
                <w:color w:val="000000"/>
                <w:sz w:val="22"/>
                <w:szCs w:val="22"/>
                <w:highlight w:val="none"/>
                <w:lang w:bidi="ar"/>
              </w:rPr>
              <w:t xml:space="preserve">2</w:t>
            </w:r>
            <w:r/>
          </w:p>
        </w:tc>
        <w:tc>
          <w:tcPr>
            <w:tcBorders>
              <w:top w:val="single" w:color="000000" w:sz="4" w:space="0"/>
              <w:left w:val="none" w:color="000000" w:sz="4" w:space="0"/>
              <w:bottom w:val="single" w:color="000000" w:sz="4" w:space="0"/>
              <w:right w:val="single" w:color="000000" w:sz="4" w:space="0"/>
            </w:tcBorders>
            <w:tcW w:w="2498" w:type="dxa"/>
            <w:vAlign w:val="center"/>
            <w:textDirection w:val="lrTb"/>
            <w:noWrap w:val="false"/>
          </w:tcPr>
          <w:p>
            <w:pPr>
              <w:ind w:left="0"/>
              <w:jc w:val="center"/>
              <w:rPr>
                <w:rFonts w:hint="eastAsia" w:hAnsi="宋体"/>
                <w:sz w:val="24"/>
                <w:szCs w:val="24"/>
                <w:highlight w:val="none"/>
              </w:rPr>
            </w:pPr>
            <w:r>
              <w:rPr>
                <w:rFonts w:hint="eastAsia" w:ascii="宋体" w:hAnsi="宋体" w:cs="宋体"/>
                <w:color w:val="000000"/>
                <w:sz w:val="22"/>
                <w:szCs w:val="22"/>
                <w:highlight w:val="none"/>
                <w:lang w:bidi="ar"/>
              </w:rPr>
              <w:t xml:space="preserve">中桥</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hAnsi="宋体"/>
                <w:sz w:val="24"/>
                <w:szCs w:val="24"/>
                <w:highlight w:val="none"/>
              </w:rPr>
            </w:pPr>
            <w:r>
              <w:rPr>
                <w:rFonts w:hint="eastAsia" w:ascii="宋体" w:hAnsi="宋体" w:cs="宋体"/>
                <w:color w:val="000000"/>
                <w:sz w:val="22"/>
                <w:szCs w:val="22"/>
                <w:highlight w:val="none"/>
                <w:lang w:bidi="ar"/>
              </w:rPr>
              <w:t xml:space="preserve">座</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hAnsi="宋体"/>
                <w:sz w:val="24"/>
                <w:szCs w:val="24"/>
                <w:highlight w:val="none"/>
              </w:rPr>
            </w:pPr>
            <w:r>
              <w:rPr>
                <w:rFonts w:hint="eastAsia" w:ascii="宋体" w:hAnsi="宋体" w:cs="宋体"/>
                <w:color w:val="000000"/>
                <w:sz w:val="22"/>
                <w:szCs w:val="22"/>
                <w:highlight w:val="none"/>
                <w:lang w:bidi="ar"/>
              </w:rPr>
              <w:t xml:space="preserve">99</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rPr>
                <w:rFonts w:hint="eastAsia" w:ascii="宋体" w:hAnsi="宋体"/>
                <w:sz w:val="24"/>
                <w:szCs w:val="24"/>
                <w:highlight w:val="none"/>
              </w:rPr>
            </w:pPr>
            <w:r>
              <w:rPr>
                <w:rFonts w:hint="eastAsia" w:ascii="宋体" w:hAnsi="宋体" w:cs="宋体"/>
                <w:color w:val="000000"/>
                <w:sz w:val="22"/>
                <w:szCs w:val="22"/>
                <w:highlight w:val="none"/>
                <w:lang w:bidi="ar"/>
              </w:rPr>
              <w:t xml:space="preserve">3</w:t>
            </w:r>
            <w:r/>
          </w:p>
        </w:tc>
        <w:tc>
          <w:tcPr>
            <w:tcBorders>
              <w:top w:val="single" w:color="000000" w:sz="4" w:space="0"/>
              <w:left w:val="none" w:color="000000" w:sz="4" w:space="0"/>
              <w:bottom w:val="single" w:color="000000" w:sz="4" w:space="0"/>
              <w:right w:val="single" w:color="000000" w:sz="4" w:space="0"/>
            </w:tcBorders>
            <w:tcW w:w="2498" w:type="dxa"/>
            <w:vAlign w:val="center"/>
            <w:textDirection w:val="lrTb"/>
            <w:noWrap w:val="false"/>
          </w:tcPr>
          <w:p>
            <w:pPr>
              <w:ind w:left="0"/>
              <w:jc w:val="center"/>
              <w:rPr>
                <w:rFonts w:hint="eastAsia" w:hAnsi="宋体"/>
                <w:sz w:val="24"/>
                <w:szCs w:val="24"/>
                <w:highlight w:val="none"/>
              </w:rPr>
            </w:pPr>
            <w:r>
              <w:rPr>
                <w:rFonts w:hint="eastAsia" w:ascii="宋体" w:hAnsi="宋体" w:cs="宋体"/>
                <w:color w:val="000000"/>
                <w:sz w:val="22"/>
                <w:szCs w:val="22"/>
                <w:highlight w:val="none"/>
                <w:lang w:bidi="ar"/>
              </w:rPr>
              <w:t xml:space="preserve">大桥</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hAnsi="宋体"/>
                <w:sz w:val="24"/>
                <w:szCs w:val="24"/>
                <w:highlight w:val="none"/>
              </w:rPr>
            </w:pPr>
            <w:r>
              <w:rPr>
                <w:rFonts w:hint="eastAsia" w:ascii="宋体" w:hAnsi="宋体" w:cs="宋体"/>
                <w:color w:val="000000"/>
                <w:sz w:val="22"/>
                <w:szCs w:val="22"/>
                <w:highlight w:val="none"/>
                <w:lang w:bidi="ar"/>
              </w:rPr>
              <w:t xml:space="preserve">座</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hAnsi="宋体"/>
                <w:sz w:val="24"/>
                <w:szCs w:val="24"/>
                <w:highlight w:val="none"/>
              </w:rPr>
            </w:pPr>
            <w:r>
              <w:rPr>
                <w:rFonts w:hint="eastAsia" w:ascii="宋体" w:hAnsi="宋体" w:cs="宋体"/>
                <w:color w:val="000000"/>
                <w:sz w:val="22"/>
                <w:szCs w:val="22"/>
                <w:highlight w:val="none"/>
                <w:lang w:bidi="ar"/>
              </w:rPr>
              <w:t xml:space="preserve">30</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rPr>
                <w:rFonts w:hint="eastAsia" w:ascii="宋体" w:hAnsi="宋体"/>
                <w:sz w:val="24"/>
                <w:szCs w:val="24"/>
                <w:highlight w:val="none"/>
              </w:rPr>
            </w:pPr>
            <w:r>
              <w:rPr>
                <w:rFonts w:hint="eastAsia" w:ascii="宋体" w:hAnsi="宋体" w:cs="宋体"/>
                <w:color w:val="000000"/>
                <w:sz w:val="22"/>
                <w:szCs w:val="22"/>
                <w:highlight w:val="none"/>
                <w:lang w:bidi="ar"/>
              </w:rPr>
              <w:t xml:space="preserve">4</w:t>
            </w:r>
            <w:r/>
          </w:p>
        </w:tc>
        <w:tc>
          <w:tcPr>
            <w:tcBorders>
              <w:top w:val="single" w:color="000000" w:sz="4" w:space="0"/>
              <w:left w:val="none" w:color="000000" w:sz="4" w:space="0"/>
              <w:bottom w:val="single" w:color="000000" w:sz="4" w:space="0"/>
              <w:right w:val="single" w:color="000000" w:sz="4" w:space="0"/>
            </w:tcBorders>
            <w:tcW w:w="2498" w:type="dxa"/>
            <w:vAlign w:val="center"/>
            <w:textDirection w:val="lrTb"/>
            <w:noWrap w:val="false"/>
          </w:tcPr>
          <w:p>
            <w:pPr>
              <w:ind w:left="0"/>
              <w:jc w:val="center"/>
              <w:rPr>
                <w:rFonts w:hint="eastAsia" w:ascii="宋体" w:hAnsi="宋体"/>
                <w:sz w:val="24"/>
                <w:szCs w:val="24"/>
                <w:highlight w:val="none"/>
              </w:rPr>
            </w:pPr>
            <w:r>
              <w:rPr>
                <w:rFonts w:hint="eastAsia" w:ascii="宋体" w:hAnsi="宋体" w:cs="宋体"/>
                <w:color w:val="000000"/>
                <w:sz w:val="22"/>
                <w:szCs w:val="22"/>
                <w:highlight w:val="none"/>
                <w:lang w:bidi="ar"/>
              </w:rPr>
              <w:t xml:space="preserve">特大桥</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hAnsi="宋体"/>
                <w:sz w:val="24"/>
                <w:szCs w:val="24"/>
                <w:highlight w:val="none"/>
              </w:rPr>
            </w:pPr>
            <w:r>
              <w:rPr>
                <w:rFonts w:hint="eastAsia" w:ascii="宋体" w:hAnsi="宋体" w:cs="宋体"/>
                <w:color w:val="000000"/>
                <w:sz w:val="22"/>
                <w:szCs w:val="22"/>
                <w:highlight w:val="none"/>
                <w:lang w:bidi="ar"/>
              </w:rPr>
              <w:t xml:space="preserve">座</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hAnsi="宋体"/>
                <w:sz w:val="24"/>
                <w:szCs w:val="24"/>
                <w:highlight w:val="none"/>
              </w:rPr>
            </w:pPr>
            <w:r>
              <w:rPr>
                <w:rFonts w:hint="eastAsia" w:ascii="宋体" w:hAnsi="宋体" w:cs="宋体"/>
                <w:color w:val="000000"/>
                <w:sz w:val="22"/>
                <w:szCs w:val="22"/>
                <w:highlight w:val="none"/>
                <w:lang w:bidi="ar"/>
              </w:rPr>
              <w:t xml:space="preserve">3</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rPr>
                <w:rFonts w:hint="eastAsia" w:ascii="宋体" w:hAnsi="宋体"/>
                <w:sz w:val="24"/>
                <w:szCs w:val="24"/>
                <w:highlight w:val="none"/>
              </w:rPr>
            </w:pPr>
            <w:r>
              <w:rPr>
                <w:rFonts w:hint="eastAsia" w:ascii="宋体" w:hAnsi="宋体" w:cs="宋体"/>
                <w:color w:val="000000"/>
                <w:sz w:val="22"/>
                <w:szCs w:val="22"/>
                <w:highlight w:val="none"/>
                <w:lang w:bidi="ar"/>
              </w:rPr>
              <w:t xml:space="preserve">5</w:t>
            </w:r>
            <w:r/>
          </w:p>
        </w:tc>
        <w:tc>
          <w:tcPr>
            <w:tcBorders>
              <w:top w:val="single" w:color="000000" w:sz="4" w:space="0"/>
              <w:left w:val="none" w:color="000000" w:sz="4" w:space="0"/>
              <w:bottom w:val="single" w:color="000000" w:sz="4" w:space="0"/>
              <w:right w:val="single" w:color="000000" w:sz="4" w:space="0"/>
            </w:tcBorders>
            <w:tcW w:w="2498" w:type="dxa"/>
            <w:vAlign w:val="center"/>
            <w:textDirection w:val="lrTb"/>
            <w:noWrap w:val="false"/>
          </w:tcPr>
          <w:p>
            <w:pPr>
              <w:ind w:left="0"/>
              <w:jc w:val="center"/>
              <w:rPr>
                <w:rFonts w:hint="eastAsia" w:ascii="宋体" w:hAnsi="宋体" w:eastAsia="宋体"/>
                <w:sz w:val="24"/>
                <w:szCs w:val="24"/>
                <w:highlight w:val="none"/>
                <w:lang w:eastAsia="zh-CN"/>
              </w:rPr>
            </w:pPr>
            <w:r>
              <w:rPr>
                <w:rFonts w:hint="eastAsia" w:ascii="宋体" w:hAnsi="宋体" w:cs="宋体"/>
                <w:color w:val="000000"/>
                <w:sz w:val="22"/>
                <w:szCs w:val="22"/>
                <w:highlight w:val="none"/>
                <w:lang w:eastAsia="zh-CN" w:bidi="ar"/>
              </w:rPr>
              <w:t xml:space="preserve">G524跨阳澄湖东路高架桥</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hAnsi="宋体"/>
                <w:sz w:val="24"/>
                <w:szCs w:val="24"/>
                <w:highlight w:val="none"/>
              </w:rPr>
            </w:pPr>
            <w:r>
              <w:rPr>
                <w:rFonts w:hint="eastAsia" w:ascii="宋体" w:hAnsi="宋体" w:cs="宋体"/>
                <w:color w:val="000000"/>
                <w:sz w:val="22"/>
                <w:szCs w:val="22"/>
                <w:highlight w:val="none"/>
                <w:lang w:bidi="ar"/>
              </w:rPr>
              <w:t xml:space="preserve">项</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hAnsi="宋体"/>
                <w:sz w:val="24"/>
                <w:szCs w:val="24"/>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rPr>
                <w:rFonts w:hint="eastAsia" w:ascii="宋体" w:hAnsi="宋体"/>
                <w:sz w:val="24"/>
                <w:szCs w:val="24"/>
                <w:highlight w:val="none"/>
              </w:rPr>
            </w:pPr>
            <w:r>
              <w:rPr>
                <w:rFonts w:hint="eastAsia" w:ascii="宋体" w:hAnsi="宋体" w:cs="宋体"/>
                <w:color w:val="000000"/>
                <w:sz w:val="22"/>
                <w:szCs w:val="22"/>
                <w:highlight w:val="none"/>
                <w:lang w:bidi="ar"/>
              </w:rPr>
              <w:t xml:space="preserve">6</w:t>
            </w:r>
            <w:r/>
          </w:p>
        </w:tc>
        <w:tc>
          <w:tcPr>
            <w:tcBorders>
              <w:top w:val="single" w:color="000000" w:sz="4" w:space="0"/>
              <w:left w:val="none" w:color="000000" w:sz="4" w:space="0"/>
              <w:bottom w:val="single" w:color="000000" w:sz="4" w:space="0"/>
              <w:right w:val="single" w:color="000000" w:sz="4" w:space="0"/>
            </w:tcBorders>
            <w:tcW w:w="2498" w:type="dxa"/>
            <w:vAlign w:val="center"/>
            <w:textDirection w:val="lrTb"/>
            <w:noWrap w:val="false"/>
          </w:tcPr>
          <w:p>
            <w:pPr>
              <w:ind w:left="0"/>
              <w:jc w:val="center"/>
              <w:rPr>
                <w:rFonts w:hint="eastAsia" w:ascii="宋体" w:hAnsi="宋体"/>
                <w:sz w:val="24"/>
                <w:szCs w:val="24"/>
                <w:highlight w:val="none"/>
              </w:rPr>
            </w:pPr>
            <w:r>
              <w:rPr>
                <w:rFonts w:hint="eastAsia" w:ascii="宋体" w:hAnsi="宋体" w:cs="宋体"/>
                <w:color w:val="000000"/>
                <w:sz w:val="22"/>
                <w:szCs w:val="22"/>
                <w:highlight w:val="none"/>
                <w:lang w:bidi="ar"/>
              </w:rPr>
              <w:t xml:space="preserve">中环北线东挺河路以西高架桥</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hAnsi="宋体"/>
                <w:sz w:val="24"/>
                <w:szCs w:val="24"/>
                <w:highlight w:val="none"/>
              </w:rPr>
            </w:pPr>
            <w:r>
              <w:rPr>
                <w:rFonts w:hint="eastAsia" w:ascii="宋体" w:hAnsi="宋体" w:cs="宋体"/>
                <w:color w:val="000000"/>
                <w:sz w:val="22"/>
                <w:szCs w:val="22"/>
                <w:highlight w:val="none"/>
                <w:lang w:bidi="ar"/>
              </w:rPr>
              <w:t xml:space="preserve">项</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hAnsi="宋体"/>
                <w:sz w:val="24"/>
                <w:szCs w:val="24"/>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rPr>
                <w:rFonts w:hint="eastAsia" w:ascii="宋体" w:hAnsi="宋体"/>
                <w:sz w:val="24"/>
                <w:szCs w:val="24"/>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none" w:color="000000" w:sz="4" w:space="0"/>
              <w:bottom w:val="single" w:color="000000" w:sz="4" w:space="0"/>
              <w:right w:val="single" w:color="000000" w:sz="4" w:space="0"/>
            </w:tcBorders>
            <w:tcW w:w="2498" w:type="dxa"/>
            <w:vAlign w:val="center"/>
            <w:textDirection w:val="lrTb"/>
            <w:noWrap w:val="false"/>
          </w:tcPr>
          <w:p>
            <w:pPr>
              <w:ind w:left="0"/>
              <w:jc w:val="center"/>
              <w:rPr>
                <w:rFonts w:hint="eastAsia" w:ascii="宋体" w:hAnsi="宋体"/>
                <w:sz w:val="24"/>
                <w:szCs w:val="24"/>
                <w:highlight w:val="none"/>
              </w:rPr>
            </w:pPr>
            <w:r>
              <w:rPr>
                <w:rFonts w:hint="eastAsia" w:ascii="宋体" w:hAnsi="宋体" w:cs="宋体"/>
                <w:color w:val="000000"/>
                <w:sz w:val="22"/>
                <w:szCs w:val="22"/>
                <w:highlight w:val="none"/>
                <w:lang w:bidi="ar"/>
              </w:rPr>
              <w:t xml:space="preserve">G524跨华元路高架桥</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hAnsi="宋体"/>
                <w:sz w:val="24"/>
                <w:szCs w:val="24"/>
                <w:highlight w:val="none"/>
              </w:rPr>
            </w:pPr>
            <w:r>
              <w:rPr>
                <w:rFonts w:hint="eastAsia" w:ascii="宋体" w:hAnsi="宋体" w:cs="宋体"/>
                <w:color w:val="000000"/>
                <w:sz w:val="22"/>
                <w:szCs w:val="22"/>
                <w:highlight w:val="none"/>
                <w:lang w:bidi="ar"/>
              </w:rPr>
              <w:t xml:space="preserve">项</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hAnsi="宋体"/>
                <w:sz w:val="24"/>
                <w:szCs w:val="24"/>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rPr>
                <w:rFonts w:hint="eastAsia" w:ascii="宋体" w:hAnsi="宋体" w:eastAsia="宋体" w:cs="Times New Roman"/>
                <w:sz w:val="24"/>
                <w:szCs w:val="24"/>
                <w:highlight w:val="none"/>
                <w:lang w:val="en-US" w:eastAsia="zh-CN" w:bidi="ar-SA"/>
              </w:rPr>
            </w:pPr>
            <w:r>
              <w:rPr>
                <w:rFonts w:hint="eastAsia" w:ascii="宋体" w:hAnsi="宋体" w:cs="宋体"/>
                <w:color w:val="000000"/>
                <w:sz w:val="22"/>
                <w:szCs w:val="22"/>
                <w:highlight w:val="none"/>
                <w:lang w:bidi="ar"/>
              </w:rPr>
              <w:t xml:space="preserve">8</w:t>
            </w:r>
            <w:r/>
          </w:p>
        </w:tc>
        <w:tc>
          <w:tcPr>
            <w:tcBorders>
              <w:top w:val="single" w:color="000000" w:sz="4" w:space="0"/>
              <w:left w:val="none" w:color="000000" w:sz="4" w:space="0"/>
              <w:bottom w:val="single" w:color="000000" w:sz="4" w:space="0"/>
              <w:right w:val="single" w:color="000000" w:sz="4" w:space="0"/>
            </w:tcBorders>
            <w:tcW w:w="2498" w:type="dxa"/>
            <w:vAlign w:val="center"/>
            <w:textDirection w:val="lrTb"/>
            <w:noWrap w:val="false"/>
          </w:tcPr>
          <w:p>
            <w:pPr>
              <w:ind w:left="0"/>
              <w:jc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228省道高架（春申湖路互通-相城界）</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项</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ascii="宋体" w:hAnsi="宋体" w:eastAsia="宋体" w:cs="宋体"/>
                <w:color w:val="000000"/>
                <w:sz w:val="22"/>
                <w:szCs w:val="22"/>
                <w:highlight w:val="none"/>
                <w:lang w:val="en-US" w:eastAsia="zh-CN" w:bidi="ar"/>
              </w:rPr>
            </w:pPr>
            <w:r>
              <w:rPr>
                <w:rFonts w:hint="eastAsia" w:ascii="宋体" w:hAnsi="宋体" w:cs="宋体"/>
                <w:color w:val="000000"/>
                <w:sz w:val="22"/>
                <w:szCs w:val="22"/>
                <w:highlight w:val="none"/>
                <w:lang w:val="en-US" w:eastAsia="zh-CN" w:bidi="ar"/>
              </w:rPr>
              <w:t xml:space="preserve">1</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rPr>
                <w:rFonts w:hint="eastAsia" w:ascii="宋体" w:hAnsi="宋体" w:eastAsia="宋体" w:cs="Times New Roman"/>
                <w:sz w:val="24"/>
                <w:szCs w:val="24"/>
                <w:highlight w:val="none"/>
                <w:lang w:val="en-US" w:eastAsia="zh-CN" w:bidi="ar-SA"/>
              </w:rPr>
            </w:pPr>
            <w:r>
              <w:rPr>
                <w:rFonts w:hint="eastAsia" w:ascii="宋体" w:hAnsi="宋体" w:cs="宋体"/>
                <w:color w:val="000000"/>
                <w:sz w:val="22"/>
                <w:szCs w:val="22"/>
                <w:highlight w:val="none"/>
                <w:lang w:bidi="ar"/>
              </w:rPr>
              <w:t xml:space="preserve">9</w:t>
            </w:r>
            <w:r/>
          </w:p>
        </w:tc>
        <w:tc>
          <w:tcPr>
            <w:tcBorders>
              <w:top w:val="single" w:color="000000" w:sz="4" w:space="0"/>
              <w:left w:val="none" w:color="000000" w:sz="4" w:space="0"/>
              <w:bottom w:val="single" w:color="000000" w:sz="4" w:space="0"/>
              <w:right w:val="single" w:color="000000" w:sz="4" w:space="0"/>
            </w:tcBorders>
            <w:tcW w:w="2498" w:type="dxa"/>
            <w:vAlign w:val="center"/>
            <w:textDirection w:val="lrTb"/>
            <w:noWrap w:val="false"/>
          </w:tcPr>
          <w:p>
            <w:pPr>
              <w:ind w:left="0"/>
              <w:jc w:val="center"/>
              <w:rPr>
                <w:rFonts w:hint="eastAsia" w:ascii="宋体" w:hAnsi="宋体"/>
                <w:sz w:val="24"/>
                <w:szCs w:val="24"/>
                <w:highlight w:val="none"/>
              </w:rPr>
            </w:pPr>
            <w:r>
              <w:rPr>
                <w:rFonts w:hint="eastAsia" w:ascii="宋体" w:hAnsi="宋体" w:cs="宋体"/>
                <w:color w:val="000000"/>
                <w:sz w:val="22"/>
                <w:szCs w:val="22"/>
                <w:highlight w:val="none"/>
                <w:lang w:bidi="ar"/>
              </w:rPr>
              <w:t xml:space="preserve">南天城路相城大道下穿</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hAnsi="宋体"/>
                <w:sz w:val="24"/>
                <w:szCs w:val="24"/>
                <w:highlight w:val="none"/>
              </w:rPr>
            </w:pPr>
            <w:r>
              <w:rPr>
                <w:rFonts w:hint="eastAsia" w:ascii="宋体" w:hAnsi="宋体" w:cs="宋体"/>
                <w:color w:val="000000"/>
                <w:sz w:val="22"/>
                <w:szCs w:val="22"/>
                <w:highlight w:val="none"/>
                <w:lang w:bidi="ar"/>
              </w:rPr>
              <w:t xml:space="preserve">项</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hAnsi="宋体"/>
                <w:sz w:val="24"/>
                <w:szCs w:val="24"/>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rPr>
                <w:rFonts w:hint="eastAsia" w:ascii="宋体" w:hAnsi="宋体" w:eastAsia="宋体" w:cs="Times New Roman"/>
                <w:sz w:val="24"/>
                <w:szCs w:val="24"/>
                <w:highlight w:val="none"/>
                <w:lang w:val="en-US" w:eastAsia="zh-CN" w:bidi="ar-SA"/>
              </w:rPr>
            </w:pPr>
            <w:r>
              <w:rPr>
                <w:rFonts w:hint="eastAsia" w:ascii="宋体" w:hAnsi="宋体" w:cs="宋体"/>
                <w:color w:val="000000"/>
                <w:sz w:val="22"/>
                <w:szCs w:val="22"/>
                <w:highlight w:val="none"/>
                <w:lang w:bidi="ar"/>
              </w:rPr>
              <w:t xml:space="preserve">10</w:t>
            </w:r>
            <w:r/>
          </w:p>
        </w:tc>
        <w:tc>
          <w:tcPr>
            <w:tcBorders>
              <w:top w:val="single" w:color="000000" w:sz="4" w:space="0"/>
              <w:left w:val="none" w:color="000000" w:sz="4" w:space="0"/>
              <w:bottom w:val="single" w:color="000000" w:sz="4" w:space="0"/>
              <w:right w:val="single" w:color="000000" w:sz="4" w:space="0"/>
            </w:tcBorders>
            <w:tcW w:w="2498" w:type="dxa"/>
            <w:vAlign w:val="center"/>
            <w:textDirection w:val="lrTb"/>
            <w:noWrap w:val="false"/>
          </w:tcPr>
          <w:p>
            <w:pPr>
              <w:ind w:left="0"/>
              <w:jc w:val="center"/>
              <w:rPr>
                <w:rFonts w:hint="eastAsia" w:ascii="宋体" w:hAnsi="宋体"/>
                <w:sz w:val="24"/>
                <w:szCs w:val="24"/>
                <w:highlight w:val="none"/>
              </w:rPr>
            </w:pPr>
            <w:r>
              <w:rPr>
                <w:rFonts w:hint="eastAsia" w:ascii="宋体" w:hAnsi="宋体" w:cs="宋体"/>
                <w:color w:val="000000"/>
                <w:sz w:val="22"/>
                <w:szCs w:val="22"/>
                <w:highlight w:val="none"/>
                <w:lang w:bidi="ar"/>
              </w:rPr>
              <w:t xml:space="preserve">御窑路渭西路下穿</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hAnsi="宋体"/>
                <w:sz w:val="24"/>
                <w:szCs w:val="24"/>
                <w:highlight w:val="none"/>
              </w:rPr>
            </w:pPr>
            <w:r>
              <w:rPr>
                <w:rFonts w:hint="eastAsia" w:ascii="宋体" w:hAnsi="宋体" w:cs="宋体"/>
                <w:color w:val="000000"/>
                <w:sz w:val="22"/>
                <w:szCs w:val="22"/>
                <w:highlight w:val="none"/>
                <w:lang w:bidi="ar"/>
              </w:rPr>
              <w:t xml:space="preserve">项</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hAnsi="宋体"/>
                <w:sz w:val="24"/>
                <w:szCs w:val="24"/>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rPr>
                <w:rFonts w:hint="eastAsia" w:ascii="宋体" w:hAnsi="宋体" w:eastAsia="宋体" w:cs="Times New Roman"/>
                <w:sz w:val="24"/>
                <w:szCs w:val="24"/>
                <w:highlight w:val="none"/>
                <w:lang w:val="en-US" w:eastAsia="zh-CN" w:bidi="ar-SA"/>
              </w:rPr>
            </w:pPr>
            <w:r>
              <w:rPr>
                <w:rFonts w:hint="eastAsia" w:ascii="宋体" w:hAnsi="宋体" w:cs="宋体"/>
                <w:color w:val="000000"/>
                <w:sz w:val="22"/>
                <w:szCs w:val="22"/>
                <w:highlight w:val="none"/>
                <w:lang w:bidi="ar"/>
              </w:rPr>
              <w:t xml:space="preserve">11</w:t>
            </w:r>
            <w:r/>
          </w:p>
        </w:tc>
        <w:tc>
          <w:tcPr>
            <w:tcBorders>
              <w:top w:val="single" w:color="000000" w:sz="4" w:space="0"/>
              <w:left w:val="none" w:color="000000" w:sz="4" w:space="0"/>
              <w:bottom w:val="single" w:color="000000" w:sz="4" w:space="0"/>
              <w:right w:val="single" w:color="000000" w:sz="4" w:space="0"/>
            </w:tcBorders>
            <w:tcW w:w="2498" w:type="dxa"/>
            <w:vAlign w:val="center"/>
            <w:textDirection w:val="lrTb"/>
            <w:noWrap w:val="false"/>
          </w:tcPr>
          <w:p>
            <w:pPr>
              <w:ind w:left="0"/>
              <w:jc w:val="center"/>
              <w:rPr>
                <w:rFonts w:hint="eastAsia" w:ascii="宋体" w:hAnsi="宋体"/>
                <w:sz w:val="24"/>
                <w:szCs w:val="24"/>
                <w:highlight w:val="none"/>
              </w:rPr>
            </w:pPr>
            <w:r>
              <w:rPr>
                <w:rFonts w:hint="eastAsia" w:ascii="宋体" w:hAnsi="宋体" w:cs="宋体"/>
                <w:color w:val="000000"/>
                <w:sz w:val="22"/>
                <w:szCs w:val="22"/>
                <w:highlight w:val="none"/>
                <w:lang w:bidi="ar"/>
              </w:rPr>
              <w:t xml:space="preserve">御窑路太东路下穿</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hAnsi="宋体"/>
                <w:sz w:val="24"/>
                <w:szCs w:val="24"/>
                <w:highlight w:val="none"/>
              </w:rPr>
            </w:pPr>
            <w:r>
              <w:rPr>
                <w:rFonts w:hint="eastAsia" w:ascii="宋体" w:hAnsi="宋体" w:cs="宋体"/>
                <w:color w:val="000000"/>
                <w:sz w:val="22"/>
                <w:szCs w:val="22"/>
                <w:highlight w:val="none"/>
                <w:lang w:bidi="ar"/>
              </w:rPr>
              <w:t xml:space="preserve">项</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hAnsi="宋体"/>
                <w:sz w:val="24"/>
                <w:szCs w:val="24"/>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ind w:left="0"/>
              <w:jc w:val="center"/>
              <w:rPr>
                <w:rFonts w:hint="eastAsia" w:ascii="宋体" w:hAnsi="宋体" w:eastAsia="宋体" w:cs="Times New Roman"/>
                <w:sz w:val="24"/>
                <w:szCs w:val="24"/>
                <w:highlight w:val="none"/>
                <w:lang w:val="en-US" w:eastAsia="zh-CN" w:bidi="ar-SA"/>
              </w:rPr>
            </w:pPr>
            <w:r>
              <w:rPr>
                <w:rFonts w:hint="eastAsia" w:ascii="宋体" w:hAnsi="宋体" w:cs="宋体"/>
                <w:color w:val="000000"/>
                <w:sz w:val="22"/>
                <w:szCs w:val="22"/>
                <w:highlight w:val="none"/>
                <w:lang w:bidi="ar"/>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W w:w="2498" w:type="dxa"/>
            <w:vAlign w:val="center"/>
            <w:textDirection w:val="lrTb"/>
            <w:noWrap w:val="false"/>
          </w:tcPr>
          <w:p>
            <w:pPr>
              <w:ind w:left="0"/>
              <w:jc w:val="center"/>
              <w:rPr>
                <w:rFonts w:hint="eastAsia" w:ascii="宋体" w:hAnsi="宋体" w:eastAsia="宋体" w:cs="Times New Roman"/>
                <w:sz w:val="24"/>
                <w:szCs w:val="24"/>
                <w:highlight w:val="none"/>
                <w:lang w:val="en-US" w:eastAsia="zh-CN" w:bidi="ar-SA"/>
              </w:rPr>
            </w:pPr>
            <w:r>
              <w:rPr>
                <w:rFonts w:hint="eastAsia" w:ascii="宋体" w:hAnsi="宋体" w:cs="宋体"/>
                <w:color w:val="000000"/>
                <w:sz w:val="22"/>
                <w:szCs w:val="22"/>
                <w:highlight w:val="none"/>
                <w:lang w:bidi="ar"/>
              </w:rPr>
              <w:t xml:space="preserve">水中桩检测</w:t>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ascii="Calibri" w:hAnsi="宋体" w:eastAsia="宋体" w:cs="Times New Roman"/>
                <w:sz w:val="24"/>
                <w:szCs w:val="24"/>
                <w:highlight w:val="none"/>
                <w:lang w:val="en-US" w:eastAsia="zh-CN" w:bidi="ar-SA"/>
              </w:rPr>
            </w:pPr>
            <w:r>
              <w:rPr>
                <w:rFonts w:hint="eastAsia" w:ascii="宋体" w:hAnsi="宋体" w:cs="宋体"/>
                <w:color w:val="000000"/>
                <w:sz w:val="22"/>
                <w:szCs w:val="22"/>
                <w:highlight w:val="none"/>
                <w:lang w:bidi="ar"/>
              </w:rPr>
              <w:t xml:space="preserve">根</w:t>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jc w:val="center"/>
              <w:rPr>
                <w:rFonts w:hint="eastAsia" w:ascii="Calibri" w:hAnsi="宋体" w:eastAsia="宋体" w:cs="Times New Roman"/>
                <w:sz w:val="24"/>
                <w:szCs w:val="24"/>
                <w:highlight w:val="none"/>
                <w:lang w:val="en-US" w:eastAsia="zh-CN" w:bidi="ar-SA"/>
              </w:rPr>
            </w:pPr>
            <w:r>
              <w:rPr>
                <w:rFonts w:hint="eastAsia" w:ascii="宋体" w:hAnsi="宋体" w:cs="宋体"/>
                <w:color w:val="000000"/>
                <w:sz w:val="22"/>
                <w:szCs w:val="22"/>
                <w:highlight w:val="none"/>
                <w:lang w:val="en-US" w:eastAsia="zh-CN" w:bidi="ar"/>
              </w:rPr>
              <w:t xml:space="preserve">5</w:t>
            </w:r>
            <w:r>
              <w:rPr>
                <w:rFonts w:hint="eastAsia" w:ascii="宋体" w:hAnsi="宋体" w:cs="宋体"/>
                <w:color w:val="000000"/>
                <w:sz w:val="22"/>
                <w:szCs w:val="22"/>
                <w:highlight w:val="none"/>
                <w:lang w:bidi="ar"/>
              </w:rPr>
              <w:t xml:space="preserve">00</w:t>
            </w:r>
            <w:r/>
          </w:p>
        </w:tc>
        <w:tc>
          <w:tcPr>
            <w:shd w:val="clear" w:color="auto" w:fill="auto"/>
            <w:tcBorders>
              <w:top w:val="single" w:color="000000" w:sz="4" w:space="0"/>
              <w:left w:val="none" w:color="000000" w:sz="4" w:space="0"/>
              <w:bottom w:val="single" w:color="000000" w:sz="4" w:space="0"/>
              <w:right w:val="single" w:color="000000" w:sz="4" w:space="0"/>
            </w:tcBorders>
            <w:tcW w:w="1707" w:type="dxa"/>
            <w:vAlign w:val="center"/>
            <w:textDirection w:val="lrTb"/>
            <w:noWrap w:val="false"/>
          </w:tcPr>
          <w:p>
            <w:pPr>
              <w:pStyle w:val="1043"/>
              <w:ind w:left="0"/>
              <w:jc w:val="center"/>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shd w:val="clear" w:color="auto" w:fill="auto"/>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ind w:left="0"/>
              <w:jc w:val="center"/>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shd w:val="clear" w:color="auto" w:fill="auto"/>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ind w:left="0"/>
              <w:jc w:val="center"/>
              <w:rPr>
                <w:rFonts w:hint="eastAsia" w:ascii="宋体" w:hAnsi="宋体" w:eastAsia="宋体" w:cs="Times New Roman"/>
                <w:sz w:val="24"/>
                <w:szCs w:val="24"/>
                <w:highlight w:val="none"/>
                <w:lang w:val="en-US" w:eastAsia="zh-CN" w:bidi="ar-SA"/>
              </w:rPr>
            </w:pPr>
            <w:r>
              <w:rPr>
                <w:rFonts w:ascii="宋体" w:hAnsi="宋体"/>
                <w:sz w:val="24"/>
                <w:szCs w:val="24"/>
                <w:highlight w:val="none"/>
              </w:rPr>
              <w:t xml:space="preserve">如涉及水下下部结构检测，相关费用含入此项内。</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t xml:space="preserve">合计</w:t>
            </w:r>
            <w:r/>
          </w:p>
        </w:tc>
        <w:tc>
          <w:tcPr>
            <w:gridSpan w:val="6"/>
            <w:tcBorders>
              <w:top w:val="single" w:color="000000" w:sz="4" w:space="0"/>
              <w:left w:val="none" w:color="000000" w:sz="4" w:space="0"/>
              <w:bottom w:val="single" w:color="000000" w:sz="4" w:space="0"/>
              <w:right w:val="single" w:color="000000" w:sz="4" w:space="0"/>
            </w:tcBorders>
            <w:tcW w:w="8429" w:type="dxa"/>
            <w:vAlign w:val="center"/>
            <w:textDirection w:val="lrTb"/>
            <w:noWrap w:val="false"/>
          </w:tcPr>
          <w:p>
            <w:pPr>
              <w:pStyle w:val="1043"/>
              <w:ind w:left="0"/>
              <w:jc w:val="center"/>
              <w:rPr>
                <w:rFonts w:hAnsi="宋体"/>
                <w:sz w:val="24"/>
                <w:szCs w:val="24"/>
                <w:highlight w:val="none"/>
              </w:rPr>
            </w:pPr>
            <w:r>
              <w:rPr>
                <w:rFonts w:hAnsi="宋体"/>
                <w:sz w:val="24"/>
                <w:szCs w:val="24"/>
                <w:highlight w:val="none"/>
              </w:rPr>
            </w:r>
            <w:r/>
          </w:p>
        </w:tc>
      </w:tr>
    </w:tbl>
    <w:p>
      <w:pPr>
        <w:ind w:left="0" w:firstLine="482"/>
        <w:spacing w:line="360" w:lineRule="auto"/>
        <w:widowControl w:val="off"/>
        <w:rPr>
          <w:rFonts w:hint="eastAsia" w:ascii="宋体" w:hAnsi="宋体"/>
          <w:b/>
          <w:sz w:val="24"/>
          <w:szCs w:val="24"/>
          <w:highlight w:val="none"/>
        </w:rPr>
      </w:pPr>
      <w:r>
        <w:rPr>
          <w:rStyle w:val="1033"/>
          <w:rFonts w:hint="eastAsia" w:ascii="宋体" w:hAnsi="宋体"/>
          <w:b/>
          <w:bCs/>
          <w:sz w:val="24"/>
          <w:szCs w:val="24"/>
          <w:highlight w:val="none"/>
        </w:rPr>
        <w:t xml:space="preserve">注：</w:t>
      </w:r>
      <w:r>
        <w:rPr>
          <w:rFonts w:hint="eastAsia" w:ascii="宋体" w:hAnsi="宋体"/>
          <w:b/>
          <w:sz w:val="24"/>
          <w:szCs w:val="24"/>
          <w:highlight w:val="none"/>
        </w:rPr>
        <w:t xml:space="preserve">本表合计金额应与《</w:t>
      </w:r>
      <w:r>
        <w:rPr>
          <w:rFonts w:ascii="宋体" w:hAnsi="宋体"/>
          <w:b/>
          <w:sz w:val="24"/>
          <w:szCs w:val="24"/>
          <w:highlight w:val="none"/>
        </w:rPr>
        <w:t xml:space="preserve">磋商报价表</w:t>
      </w:r>
      <w:r>
        <w:rPr>
          <w:rFonts w:hint="eastAsia" w:ascii="宋体" w:hAnsi="宋体"/>
          <w:b/>
          <w:sz w:val="24"/>
          <w:szCs w:val="24"/>
          <w:highlight w:val="none"/>
        </w:rPr>
        <w:t xml:space="preserve">》</w:t>
      </w:r>
      <w:r>
        <w:rPr>
          <w:rFonts w:ascii="宋体" w:hAnsi="宋体"/>
          <w:b/>
          <w:sz w:val="24"/>
          <w:szCs w:val="24"/>
          <w:highlight w:val="none"/>
        </w:rPr>
        <w:t xml:space="preserve">的</w:t>
      </w:r>
      <w:r>
        <w:rPr>
          <w:rFonts w:hint="eastAsia" w:ascii="宋体" w:hAnsi="宋体"/>
          <w:b/>
          <w:sz w:val="24"/>
          <w:szCs w:val="24"/>
          <w:highlight w:val="none"/>
        </w:rPr>
        <w:t xml:space="preserve">响应总报价一致，否则以《</w:t>
      </w:r>
      <w:r>
        <w:rPr>
          <w:rFonts w:ascii="宋体" w:hAnsi="宋体"/>
          <w:b/>
          <w:sz w:val="24"/>
          <w:szCs w:val="24"/>
          <w:highlight w:val="none"/>
        </w:rPr>
        <w:t xml:space="preserve">磋商报价表</w:t>
      </w:r>
      <w:r>
        <w:rPr>
          <w:rFonts w:hint="eastAsia" w:ascii="宋体" w:hAnsi="宋体"/>
          <w:b/>
          <w:sz w:val="24"/>
          <w:szCs w:val="24"/>
          <w:highlight w:val="none"/>
        </w:rPr>
        <w:t xml:space="preserve">》为准。</w:t>
      </w:r>
      <w:r/>
    </w:p>
    <w:p>
      <w:pPr>
        <w:pStyle w:val="831"/>
        <w:rPr>
          <w:rFonts w:hint="eastAsia" w:ascii="宋体" w:hAnsi="宋体"/>
          <w:b/>
          <w:sz w:val="24"/>
          <w:szCs w:val="24"/>
          <w:highlight w:val="none"/>
        </w:rPr>
      </w:pPr>
      <w:r>
        <w:rPr>
          <w:rFonts w:hint="eastAsia" w:ascii="宋体" w:hAnsi="宋体"/>
          <w:b/>
          <w:sz w:val="24"/>
          <w:szCs w:val="24"/>
          <w:highlight w:val="none"/>
        </w:rPr>
      </w:r>
      <w:r/>
    </w:p>
    <w:p>
      <w:pPr>
        <w:ind w:left="0" w:firstLine="480"/>
        <w:jc w:val="left"/>
        <w:spacing w:line="360" w:lineRule="auto"/>
        <w:widowControl w:val="off"/>
        <w:rPr>
          <w:rFonts w:hint="eastAsia" w:ascii="宋体" w:hAnsi="宋体" w:cs="宋体"/>
          <w:sz w:val="24"/>
          <w:szCs w:val="24"/>
          <w:highlight w:val="none"/>
          <w:lang w:val="zh-CN"/>
        </w:rPr>
      </w:pPr>
      <w:r>
        <w:rPr>
          <w:rFonts w:hint="eastAsia" w:ascii="宋体" w:hAnsi="宋体" w:cs="宋体"/>
          <w:sz w:val="24"/>
          <w:szCs w:val="24"/>
          <w:highlight w:val="none"/>
        </w:rPr>
        <w:t xml:space="preserve">供应商名称：（公章）</w:t>
      </w:r>
      <w:r/>
    </w:p>
    <w:p>
      <w:pPr>
        <w:ind w:left="0" w:firstLine="480"/>
        <w:jc w:val="left"/>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法定代表人或</w:t>
      </w:r>
      <w:r>
        <w:rPr>
          <w:rFonts w:hint="eastAsia" w:ascii="宋体" w:hAnsi="宋体" w:cs="宋体"/>
          <w:sz w:val="24"/>
          <w:szCs w:val="24"/>
          <w:highlight w:val="none"/>
        </w:rPr>
        <w:t xml:space="preserve">代理人</w:t>
      </w:r>
      <w:r>
        <w:rPr>
          <w:rFonts w:hint="eastAsia" w:ascii="宋体" w:hAnsi="宋体" w:cs="宋体"/>
          <w:sz w:val="24"/>
          <w:szCs w:val="24"/>
          <w:highlight w:val="none"/>
          <w:lang w:val="zh-CN"/>
        </w:rPr>
        <w:t xml:space="preserve">：（签字或盖章）</w:t>
      </w:r>
      <w:r/>
    </w:p>
    <w:p>
      <w:pPr>
        <w:ind w:left="0" w:firstLine="480"/>
        <w:spacing w:line="360" w:lineRule="auto"/>
        <w:rPr>
          <w:highlight w:val="none"/>
        </w:rPr>
      </w:pPr>
      <w:r>
        <w:rPr>
          <w:rFonts w:hint="eastAsia" w:ascii="宋体" w:hAnsi="宋体" w:cs="宋体"/>
          <w:sz w:val="24"/>
          <w:szCs w:val="24"/>
          <w:highlight w:val="none"/>
          <w:lang w:val="zh-CN"/>
        </w:rPr>
        <w:t xml:space="preserve">日    期：     年</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月   </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日</w:t>
      </w:r>
      <w:r/>
    </w:p>
    <w:p>
      <w:pPr>
        <w:ind w:left="0"/>
        <w:jc w:val="left"/>
        <w:spacing w:line="360" w:lineRule="auto"/>
        <w:rPr>
          <w:rFonts w:hint="eastAsia" w:ascii="宋体" w:hAnsi="宋体" w:cs="宋体"/>
          <w:sz w:val="24"/>
          <w:szCs w:val="24"/>
          <w:highlight w:val="none"/>
        </w:rPr>
        <w:outlineLvl w:val="1"/>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附件4、法定代表人授权委托书</w:t>
      </w:r>
      <w:bookmarkEnd w:id="74"/>
      <w:r/>
      <w:r/>
    </w:p>
    <w:p>
      <w:pPr>
        <w:ind w:left="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ind w:left="0"/>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法定代表人授权委托书</w:t>
      </w:r>
      <w:r/>
    </w:p>
    <w:p>
      <w:pPr>
        <w:pStyle w:val="830"/>
        <w:rPr>
          <w:rFonts w:hint="eastAsia" w:ascii="宋体" w:hAnsi="宋体" w:cs="宋体"/>
          <w:highlight w:val="none"/>
        </w:rPr>
      </w:pPr>
      <w:r>
        <w:rPr>
          <w:rFonts w:hint="eastAsia" w:ascii="宋体" w:hAnsi="宋体" w:cs="宋体"/>
          <w:highlight w:val="none"/>
        </w:rPr>
      </w:r>
      <w:r/>
    </w:p>
    <w:p>
      <w:pPr>
        <w:ind w:left="0" w:firstLine="480"/>
        <w:jc w:val="left"/>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本授权委托书声明：  我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（姓名）系</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供应商名称）的法定代表人，现授权委托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（姓名）为我公司授权代表（即代理人），以本公司的名义参</w:t>
      </w:r>
      <w:r>
        <w:rPr>
          <w:rFonts w:hint="eastAsia" w:ascii="宋体" w:hAnsi="宋体" w:cs="宋体"/>
          <w:sz w:val="24"/>
          <w:szCs w:val="24"/>
          <w:highlight w:val="none"/>
          <w:u w:val="single"/>
        </w:rPr>
        <w:t xml:space="preserve">加苏州永正造价师事务所有限公司</w:t>
      </w:r>
      <w:r>
        <w:rPr>
          <w:rFonts w:hint="eastAsia" w:ascii="宋体" w:hAnsi="宋体" w:cs="宋体"/>
          <w:sz w:val="24"/>
          <w:szCs w:val="24"/>
          <w:highlight w:val="none"/>
        </w:rPr>
        <w:t xml:space="preserve">组织实施的编号为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号（项目编号）的竞争性磋商活动。代理人在磋商活动过程中所签署的一切文件和处理与这有关的一切事务，我均予以承认。</w:t>
      </w:r>
      <w:r/>
    </w:p>
    <w:p>
      <w:pPr>
        <w:ind w:left="0" w:firstLine="480"/>
        <w:jc w:val="left"/>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p>
    <w:p>
      <w:pPr>
        <w:ind w:left="0" w:firstLine="480"/>
        <w:jc w:val="left"/>
        <w:spacing w:line="480" w:lineRule="auto"/>
        <w:rPr>
          <w:rFonts w:hint="eastAsia" w:ascii="宋体" w:hAnsi="宋体" w:cs="宋体"/>
          <w:sz w:val="24"/>
          <w:szCs w:val="24"/>
          <w:highlight w:val="none"/>
        </w:rPr>
      </w:pPr>
      <w:r>
        <w:rPr>
          <w:rFonts w:hint="eastAsia" w:ascii="宋体" w:hAnsi="宋体" w:cs="宋体"/>
          <w:sz w:val="24"/>
          <w:szCs w:val="24"/>
          <w:highlight w:val="none"/>
        </w:rPr>
        <w:t xml:space="preserve">代理人无转委托权。特此委托。</w:t>
      </w:r>
      <w:r/>
    </w:p>
    <w:p>
      <w:pPr>
        <w:ind w:left="0"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left="0" w:firstLine="480"/>
        <w:jc w:val="left"/>
        <w:spacing w:line="360" w:lineRule="auto"/>
        <w:widowControl w:val="off"/>
        <w:rPr>
          <w:rFonts w:hint="eastAsia" w:ascii="宋体" w:hAnsi="宋体" w:cs="宋体"/>
          <w:sz w:val="24"/>
          <w:szCs w:val="24"/>
          <w:highlight w:val="none"/>
          <w:lang w:val="zh-CN"/>
        </w:rPr>
      </w:pPr>
      <w:r>
        <w:rPr>
          <w:rFonts w:hint="eastAsia" w:ascii="宋体" w:hAnsi="宋体" w:cs="宋体"/>
          <w:sz w:val="24"/>
          <w:szCs w:val="24"/>
          <w:highlight w:val="none"/>
        </w:rPr>
        <w:t xml:space="preserve">供应商名称：（公章）</w:t>
      </w:r>
      <w:r/>
    </w:p>
    <w:p>
      <w:pPr>
        <w:ind w:left="0" w:firstLine="480"/>
        <w:jc w:val="left"/>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法定代表人：（签字或盖章）</w:t>
      </w:r>
      <w:r/>
    </w:p>
    <w:p>
      <w:pPr>
        <w:ind w:left="0" w:firstLine="480"/>
        <w:jc w:val="left"/>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日   </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 期：     年</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月   </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日</w:t>
      </w:r>
      <w:r/>
    </w:p>
    <w:p>
      <w:pPr>
        <w:ind w:left="0"/>
        <w:jc w:val="left"/>
        <w:rPr>
          <w:rFonts w:hint="eastAsia" w:ascii="宋体" w:hAnsi="宋体" w:cs="宋体"/>
          <w:sz w:val="24"/>
          <w:szCs w:val="24"/>
          <w:highlight w:val="none"/>
        </w:rPr>
        <w:outlineLvl w:val="1"/>
      </w:pPr>
      <w:r>
        <w:rPr>
          <w:rFonts w:hint="eastAsia" w:ascii="宋体" w:hAnsi="宋体" w:cs="宋体"/>
          <w:b/>
          <w:sz w:val="21"/>
          <w:szCs w:val="21"/>
          <w:highlight w:val="none"/>
        </w:rPr>
        <w:br w:type="page" w:clear="all"/>
      </w:r>
      <w:bookmarkStart w:id="75" w:name="_Toc31308"/>
      <w:r>
        <w:rPr>
          <w:rFonts w:hint="eastAsia" w:ascii="宋体" w:hAnsi="宋体" w:cs="宋体"/>
          <w:b/>
          <w:sz w:val="24"/>
          <w:szCs w:val="24"/>
          <w:highlight w:val="none"/>
        </w:rPr>
        <w:t xml:space="preserve">附件5、关于资格文件的声明函</w:t>
      </w:r>
      <w:bookmarkEnd w:id="75"/>
      <w:r/>
      <w:r/>
    </w:p>
    <w:p>
      <w:pPr>
        <w:ind w:left="0" w:firstLine="420"/>
        <w:jc w:val="center"/>
        <w:rPr>
          <w:rFonts w:hint="eastAsia" w:ascii="宋体" w:hAnsi="宋体" w:cs="宋体"/>
          <w:b/>
          <w:sz w:val="24"/>
          <w:szCs w:val="24"/>
          <w:highlight w:val="none"/>
        </w:rPr>
      </w:pPr>
      <w:r>
        <w:rPr>
          <w:rFonts w:hint="eastAsia" w:ascii="宋体" w:hAnsi="宋体" w:cs="宋体"/>
          <w:b/>
          <w:sz w:val="24"/>
          <w:szCs w:val="24"/>
          <w:highlight w:val="none"/>
        </w:rPr>
      </w:r>
      <w:r/>
    </w:p>
    <w:p>
      <w:pPr>
        <w:ind w:left="0" w:firstLine="420"/>
        <w:jc w:val="center"/>
        <w:rPr>
          <w:rFonts w:hint="eastAsia" w:ascii="宋体" w:hAnsi="宋体" w:cs="宋体"/>
          <w:b/>
          <w:sz w:val="24"/>
          <w:szCs w:val="24"/>
          <w:highlight w:val="none"/>
        </w:rPr>
      </w:pPr>
      <w:r>
        <w:rPr>
          <w:rFonts w:hint="eastAsia" w:ascii="宋体" w:hAnsi="宋体" w:cs="宋体"/>
          <w:b/>
          <w:sz w:val="24"/>
          <w:szCs w:val="24"/>
          <w:highlight w:val="none"/>
        </w:rPr>
        <w:t xml:space="preserve">关于资格文件的声明函</w:t>
      </w:r>
      <w:r/>
    </w:p>
    <w:p>
      <w:pPr>
        <w:ind w:left="0" w:firstLine="420"/>
        <w:jc w:val="center"/>
        <w:rPr>
          <w:rFonts w:hint="eastAsia" w:ascii="宋体" w:hAnsi="宋体" w:cs="宋体"/>
          <w:sz w:val="24"/>
          <w:szCs w:val="24"/>
          <w:highlight w:val="none"/>
        </w:rPr>
      </w:pPr>
      <w:r>
        <w:rPr>
          <w:rFonts w:hint="eastAsia" w:ascii="宋体" w:hAnsi="宋体" w:cs="宋体"/>
          <w:sz w:val="24"/>
          <w:szCs w:val="24"/>
          <w:highlight w:val="none"/>
        </w:rPr>
      </w:r>
      <w:r/>
    </w:p>
    <w:p>
      <w:pPr>
        <w:ind w:left="0"/>
        <w:jc w:val="left"/>
        <w:spacing w:line="36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苏州永正造价师事务所有限公司</w:t>
      </w:r>
      <w:r>
        <w:rPr>
          <w:rFonts w:hint="eastAsia" w:ascii="宋体" w:hAnsi="宋体" w:cs="宋体"/>
          <w:sz w:val="24"/>
          <w:szCs w:val="24"/>
          <w:highlight w:val="none"/>
        </w:rPr>
        <w:t xml:space="preserve">：</w:t>
      </w:r>
      <w:r/>
    </w:p>
    <w:p>
      <w:pPr>
        <w:ind w:left="0"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本公司愿就由贵公司组织实施的编号为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0" w:firstLine="42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left="0" w:firstLine="42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left="0" w:right="-200"/>
        <w:jc w:val="left"/>
        <w:spacing w:line="360" w:lineRule="auto"/>
        <w:widowControl w:val="off"/>
        <w:rPr>
          <w:rFonts w:hint="eastAsia" w:ascii="宋体" w:hAnsi="宋体" w:cs="宋体"/>
          <w:sz w:val="24"/>
          <w:szCs w:val="24"/>
          <w:highlight w:val="none"/>
          <w:lang w:val="zh-CN"/>
        </w:rPr>
      </w:pPr>
      <w:r>
        <w:rPr>
          <w:rFonts w:hint="eastAsia" w:ascii="宋体" w:hAnsi="宋体" w:cs="宋体"/>
          <w:sz w:val="24"/>
          <w:szCs w:val="24"/>
          <w:highlight w:val="none"/>
        </w:rPr>
        <w:t xml:space="preserve">供应商名称：（公章）</w:t>
      </w:r>
      <w:r/>
    </w:p>
    <w:p>
      <w:pPr>
        <w:ind w:left="0"/>
        <w:jc w:val="left"/>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法定代表人或</w:t>
      </w:r>
      <w:r>
        <w:rPr>
          <w:rFonts w:hint="eastAsia" w:ascii="宋体" w:hAnsi="宋体" w:cs="宋体"/>
          <w:sz w:val="24"/>
          <w:szCs w:val="24"/>
          <w:highlight w:val="none"/>
        </w:rPr>
        <w:t xml:space="preserve">被授权</w:t>
      </w:r>
      <w:r>
        <w:rPr>
          <w:rFonts w:hint="eastAsia" w:ascii="宋体" w:hAnsi="宋体" w:cs="宋体"/>
          <w:sz w:val="24"/>
          <w:szCs w:val="24"/>
          <w:highlight w:val="none"/>
          <w:lang w:val="zh-CN"/>
        </w:rPr>
        <w:t xml:space="preserve">人：（签字或盖章）</w:t>
      </w:r>
      <w:r/>
    </w:p>
    <w:p>
      <w:pPr>
        <w:ind w:left="0" w:right="300"/>
        <w:jc w:val="left"/>
        <w:spacing w:line="4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日    期：     年</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月   </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日</w:t>
      </w:r>
      <w:r/>
    </w:p>
    <w:p>
      <w:pPr>
        <w:ind w:left="0"/>
        <w:jc w:val="left"/>
        <w:spacing w:line="360" w:lineRule="auto"/>
        <w:rPr>
          <w:rFonts w:hint="eastAsia" w:ascii="宋体" w:hAnsi="宋体" w:cs="宋体"/>
          <w:b/>
          <w:sz w:val="24"/>
          <w:szCs w:val="24"/>
          <w:highlight w:val="none"/>
        </w:rPr>
        <w:outlineLvl w:val="1"/>
      </w:pPr>
      <w:r>
        <w:rPr>
          <w:rFonts w:hint="eastAsia" w:ascii="宋体" w:hAnsi="宋体" w:cs="宋体"/>
          <w:b/>
          <w:sz w:val="21"/>
          <w:szCs w:val="21"/>
          <w:highlight w:val="none"/>
        </w:rPr>
        <w:br w:type="page" w:clear="all"/>
      </w:r>
      <w:bookmarkStart w:id="76" w:name="_Toc30056"/>
      <w:r>
        <w:rPr>
          <w:rFonts w:hint="eastAsia" w:ascii="宋体" w:hAnsi="宋体" w:cs="宋体"/>
          <w:b/>
          <w:sz w:val="24"/>
          <w:szCs w:val="24"/>
          <w:highlight w:val="none"/>
        </w:rPr>
        <w:t xml:space="preserve">附件6、磋商响应单位基本情况表</w:t>
      </w:r>
      <w:bookmarkEnd w:id="76"/>
      <w:r/>
      <w:r/>
    </w:p>
    <w:p>
      <w:pPr>
        <w:ind w:left="0"/>
        <w:jc w:val="center"/>
        <w:spacing w:line="360" w:lineRule="auto"/>
        <w:rPr>
          <w:rFonts w:hint="eastAsia" w:ascii="宋体" w:hAnsi="宋体" w:cs="宋体"/>
          <w:sz w:val="21"/>
          <w:szCs w:val="21"/>
          <w:highlight w:val="none"/>
        </w:rPr>
      </w:pPr>
      <w:r>
        <w:rPr>
          <w:rFonts w:hint="eastAsia" w:ascii="宋体" w:hAnsi="宋体" w:cs="宋体"/>
          <w:b/>
          <w:sz w:val="24"/>
          <w:szCs w:val="24"/>
          <w:highlight w:val="none"/>
        </w:rPr>
        <w:t xml:space="preserve">磋商响应单位基本情况表</w:t>
      </w:r>
      <w:r/>
    </w:p>
    <w:tbl>
      <w:tblPr>
        <w:tblStyle w:val="801"/>
        <w:tblW w:w="926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textDirection w:val="lrTb"/>
            <w:noWrap w:val="false"/>
          </w:tcPr>
          <w:p>
            <w:pPr>
              <w:pStyle w:val="1034"/>
              <w:ind w:left="0" w:firstLine="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法定代表人</w:t>
            </w:r>
            <w:r/>
          </w:p>
        </w:tc>
        <w:tc>
          <w:tcPr>
            <w:tcW w:w="2005" w:type="dxa"/>
            <w:textDirection w:val="lrTb"/>
            <w:noWrap w:val="false"/>
          </w:tcPr>
          <w:p>
            <w:pPr>
              <w:pStyle w:val="1034"/>
              <w:ind w:left="0" w:firstLine="0"/>
              <w:widowControl w:val="off"/>
              <w:rPr>
                <w:rStyle w:val="1033"/>
                <w:rFonts w:hint="eastAsia" w:ascii="宋体" w:hAnsi="宋体" w:cs="宋体"/>
                <w:szCs w:val="24"/>
                <w:highlight w:val="none"/>
              </w:rPr>
            </w:pPr>
            <w:r>
              <w:rPr>
                <w:rFonts w:hint="eastAsia" w:ascii="宋体" w:hAnsi="宋体" w:cs="宋体"/>
                <w:szCs w:val="24"/>
                <w:highlight w:val="none"/>
              </w:rPr>
            </w:r>
            <w:r/>
          </w:p>
        </w:tc>
        <w:tc>
          <w:tcPr>
            <w:tcW w:w="1461" w:type="dxa"/>
            <w:textDirection w:val="lrTb"/>
            <w:noWrap w:val="false"/>
          </w:tcPr>
          <w:p>
            <w:pPr>
              <w:pStyle w:val="1034"/>
              <w:ind w:left="0" w:firstLine="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成立日期</w:t>
            </w:r>
            <w:r/>
          </w:p>
        </w:tc>
        <w:tc>
          <w:tcPr>
            <w:gridSpan w:val="2"/>
            <w:tcW w:w="3292" w:type="dxa"/>
            <w:textDirection w:val="lrTb"/>
            <w:noWrap w:val="false"/>
          </w:tcPr>
          <w:p>
            <w:pPr>
              <w:pStyle w:val="1034"/>
              <w:ind w:left="0" w:firstLine="0"/>
              <w:widowControl w:val="off"/>
              <w:rPr>
                <w:rStyle w:val="1033"/>
                <w:rFonts w:hint="eastAsia" w:ascii="宋体" w:hAnsi="宋体" w:cs="宋体"/>
                <w:szCs w:val="24"/>
                <w:highlight w:val="none"/>
              </w:rPr>
            </w:pPr>
            <w:r>
              <w:rPr>
                <w:rFonts w:hint="eastAsia" w:ascii="宋体" w:hAnsi="宋体" w:cs="宋体"/>
                <w:szCs w:val="24"/>
                <w:highlight w:val="none"/>
              </w:rPr>
            </w:r>
            <w:r/>
          </w:p>
        </w:tc>
      </w:tr>
      <w:tr>
        <w:trPr>
          <w:cantSplit/>
        </w:trPr>
        <w:tc>
          <w:tcPr>
            <w:tcW w:w="2510" w:type="dxa"/>
            <w:textDirection w:val="lrTb"/>
            <w:noWrap w:val="false"/>
          </w:tcPr>
          <w:p>
            <w:pPr>
              <w:pStyle w:val="1034"/>
              <w:ind w:left="0" w:firstLine="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企业地址</w:t>
            </w:r>
            <w:r/>
          </w:p>
        </w:tc>
        <w:tc>
          <w:tcPr>
            <w:tcW w:w="2005" w:type="dxa"/>
            <w:textDirection w:val="lrTb"/>
            <w:noWrap w:val="false"/>
          </w:tcPr>
          <w:p>
            <w:pPr>
              <w:pStyle w:val="1034"/>
              <w:ind w:left="0" w:firstLine="0"/>
              <w:widowControl w:val="off"/>
              <w:rPr>
                <w:rStyle w:val="1033"/>
                <w:rFonts w:hint="eastAsia" w:ascii="宋体" w:hAnsi="宋体" w:cs="宋体"/>
                <w:szCs w:val="24"/>
                <w:highlight w:val="none"/>
              </w:rPr>
            </w:pPr>
            <w:r>
              <w:rPr>
                <w:rFonts w:hint="eastAsia" w:ascii="宋体" w:hAnsi="宋体" w:cs="宋体"/>
                <w:szCs w:val="24"/>
                <w:highlight w:val="none"/>
              </w:rPr>
            </w:r>
            <w:r/>
          </w:p>
        </w:tc>
        <w:tc>
          <w:tcPr>
            <w:tcW w:w="1461" w:type="dxa"/>
            <w:textDirection w:val="lrTb"/>
            <w:noWrap w:val="false"/>
          </w:tcPr>
          <w:p>
            <w:pPr>
              <w:pStyle w:val="1034"/>
              <w:ind w:left="0" w:firstLine="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注册资本</w:t>
            </w:r>
            <w:r/>
          </w:p>
        </w:tc>
        <w:tc>
          <w:tcPr>
            <w:gridSpan w:val="2"/>
            <w:tcW w:w="3292" w:type="dxa"/>
            <w:textDirection w:val="lrTb"/>
            <w:noWrap w:val="false"/>
          </w:tcPr>
          <w:p>
            <w:pPr>
              <w:pStyle w:val="1034"/>
              <w:ind w:left="0" w:firstLine="120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万元</w:t>
            </w:r>
            <w:r/>
          </w:p>
        </w:tc>
      </w:tr>
      <w:tr>
        <w:trPr>
          <w:cantSplit/>
        </w:trPr>
        <w:tc>
          <w:tcPr>
            <w:tcW w:w="2510" w:type="dxa"/>
            <w:textDirection w:val="lrTb"/>
            <w:noWrap w:val="false"/>
          </w:tcPr>
          <w:p>
            <w:pPr>
              <w:pStyle w:val="1034"/>
              <w:ind w:left="0" w:firstLine="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经营范围</w:t>
            </w:r>
            <w:r/>
          </w:p>
        </w:tc>
        <w:tc>
          <w:tcPr>
            <w:gridSpan w:val="4"/>
            <w:tcW w:w="6758" w:type="dxa"/>
            <w:textDirection w:val="lrTb"/>
            <w:noWrap w:val="false"/>
          </w:tcPr>
          <w:p>
            <w:pPr>
              <w:pStyle w:val="1034"/>
              <w:ind w:left="0" w:firstLine="0"/>
              <w:widowControl w:val="off"/>
              <w:rPr>
                <w:rStyle w:val="1033"/>
                <w:rFonts w:hint="eastAsia" w:ascii="宋体" w:hAnsi="宋体" w:cs="宋体"/>
                <w:szCs w:val="24"/>
                <w:highlight w:val="none"/>
              </w:rPr>
            </w:pPr>
            <w:r>
              <w:rPr>
                <w:rFonts w:hint="eastAsia" w:ascii="宋体" w:hAnsi="宋体" w:cs="宋体"/>
                <w:szCs w:val="24"/>
                <w:highlight w:val="none"/>
              </w:rPr>
            </w:r>
            <w:r/>
          </w:p>
        </w:tc>
      </w:tr>
      <w:tr>
        <w:trPr>
          <w:cantSplit/>
        </w:trPr>
        <w:tc>
          <w:tcPr>
            <w:tcW w:w="2510" w:type="dxa"/>
            <w:textDirection w:val="lrTb"/>
            <w:noWrap w:val="false"/>
          </w:tcPr>
          <w:p>
            <w:pPr>
              <w:pStyle w:val="1034"/>
              <w:ind w:left="0" w:firstLine="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职工人数</w:t>
            </w:r>
            <w:r/>
          </w:p>
        </w:tc>
        <w:tc>
          <w:tcPr>
            <w:tcW w:w="2005" w:type="dxa"/>
            <w:textDirection w:val="lrTb"/>
            <w:noWrap w:val="false"/>
          </w:tcPr>
          <w:p>
            <w:pPr>
              <w:pStyle w:val="1034"/>
              <w:ind w:left="0" w:firstLine="0"/>
              <w:widowControl w:val="off"/>
              <w:rPr>
                <w:rStyle w:val="1033"/>
                <w:rFonts w:hint="eastAsia" w:ascii="宋体" w:hAnsi="宋体" w:cs="宋体"/>
                <w:szCs w:val="24"/>
                <w:highlight w:val="none"/>
              </w:rPr>
            </w:pPr>
            <w:r>
              <w:rPr>
                <w:rFonts w:hint="eastAsia" w:ascii="宋体" w:hAnsi="宋体" w:cs="宋体"/>
                <w:szCs w:val="24"/>
                <w:highlight w:val="none"/>
              </w:rPr>
            </w:r>
            <w:r/>
          </w:p>
        </w:tc>
        <w:tc>
          <w:tcPr>
            <w:gridSpan w:val="2"/>
            <w:tcW w:w="3517" w:type="dxa"/>
            <w:textDirection w:val="lrTb"/>
            <w:noWrap w:val="false"/>
          </w:tcPr>
          <w:p>
            <w:pPr>
              <w:pStyle w:val="1034"/>
              <w:ind w:left="0" w:firstLine="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其中：有中高级以上职称的人数</w:t>
            </w:r>
            <w:r/>
          </w:p>
        </w:tc>
        <w:tc>
          <w:tcPr>
            <w:tcW w:w="1236" w:type="dxa"/>
            <w:textDirection w:val="lrTb"/>
            <w:noWrap w:val="false"/>
          </w:tcPr>
          <w:p>
            <w:pPr>
              <w:pStyle w:val="1034"/>
              <w:ind w:left="0" w:firstLine="0"/>
              <w:widowControl w:val="off"/>
              <w:rPr>
                <w:rStyle w:val="1033"/>
                <w:rFonts w:hint="eastAsia" w:ascii="宋体" w:hAnsi="宋体" w:cs="宋体"/>
                <w:szCs w:val="24"/>
                <w:highlight w:val="none"/>
              </w:rPr>
            </w:pPr>
            <w:r>
              <w:rPr>
                <w:rFonts w:hint="eastAsia" w:ascii="宋体" w:hAnsi="宋体" w:cs="宋体"/>
                <w:szCs w:val="24"/>
                <w:highlight w:val="none"/>
              </w:rPr>
            </w:r>
            <w:r/>
          </w:p>
        </w:tc>
      </w:tr>
      <w:tr>
        <w:trPr>
          <w:cantSplit/>
        </w:trPr>
        <w:tc>
          <w:tcPr>
            <w:tcW w:w="2510" w:type="dxa"/>
            <w:vAlign w:val="center"/>
            <w:textDirection w:val="lrTb"/>
            <w:noWrap w:val="false"/>
          </w:tcPr>
          <w:p>
            <w:pPr>
              <w:pStyle w:val="1034"/>
              <w:ind w:left="0" w:firstLine="0"/>
              <w:jc w:val="both"/>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资产总计</w:t>
            </w:r>
            <w:r/>
          </w:p>
        </w:tc>
        <w:tc>
          <w:tcPr>
            <w:tcW w:w="2005" w:type="dxa"/>
            <w:vAlign w:val="center"/>
            <w:textDirection w:val="lrTb"/>
            <w:noWrap w:val="false"/>
          </w:tcPr>
          <w:p>
            <w:pPr>
              <w:pStyle w:val="1034"/>
              <w:ind w:left="0" w:firstLine="0"/>
              <w:jc w:val="center"/>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         万元</w:t>
            </w:r>
            <w:r/>
          </w:p>
        </w:tc>
        <w:tc>
          <w:tcPr>
            <w:tcW w:w="1461" w:type="dxa"/>
            <w:vAlign w:val="center"/>
            <w:textDirection w:val="lrTb"/>
            <w:noWrap w:val="false"/>
          </w:tcPr>
          <w:p>
            <w:pPr>
              <w:pStyle w:val="1034"/>
              <w:ind w:left="0" w:firstLine="0"/>
              <w:jc w:val="both"/>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净资产</w:t>
            </w:r>
            <w:r/>
          </w:p>
        </w:tc>
        <w:tc>
          <w:tcPr>
            <w:gridSpan w:val="2"/>
            <w:tcW w:w="3292" w:type="dxa"/>
            <w:vAlign w:val="center"/>
            <w:textDirection w:val="lrTb"/>
            <w:noWrap w:val="false"/>
          </w:tcPr>
          <w:p>
            <w:pPr>
              <w:pStyle w:val="1034"/>
              <w:ind w:left="0" w:firstLine="0"/>
              <w:jc w:val="center"/>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                万元</w:t>
            </w:r>
            <w:r/>
          </w:p>
        </w:tc>
      </w:tr>
      <w:tr>
        <w:trPr>
          <w:cantSplit/>
        </w:trPr>
        <w:tc>
          <w:tcPr>
            <w:tcW w:w="2510" w:type="dxa"/>
            <w:vAlign w:val="center"/>
            <w:textDirection w:val="lrTb"/>
            <w:noWrap w:val="false"/>
          </w:tcPr>
          <w:p>
            <w:pPr>
              <w:pStyle w:val="1034"/>
              <w:ind w:left="0" w:firstLine="0"/>
              <w:jc w:val="both"/>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股东权益</w:t>
            </w:r>
            <w:r/>
          </w:p>
        </w:tc>
        <w:tc>
          <w:tcPr>
            <w:tcW w:w="2005" w:type="dxa"/>
            <w:vAlign w:val="center"/>
            <w:textDirection w:val="lrTb"/>
            <w:noWrap w:val="false"/>
          </w:tcPr>
          <w:p>
            <w:pPr>
              <w:pStyle w:val="1034"/>
              <w:ind w:left="0" w:firstLine="0"/>
              <w:jc w:val="center"/>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         万元</w:t>
            </w:r>
            <w:r/>
          </w:p>
        </w:tc>
        <w:tc>
          <w:tcPr>
            <w:tcW w:w="1461" w:type="dxa"/>
            <w:vAlign w:val="center"/>
            <w:textDirection w:val="lrTb"/>
            <w:noWrap w:val="false"/>
          </w:tcPr>
          <w:p>
            <w:pPr>
              <w:pStyle w:val="1034"/>
              <w:ind w:left="0" w:firstLine="0"/>
              <w:jc w:val="both"/>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销售收入</w:t>
            </w:r>
            <w:r/>
          </w:p>
        </w:tc>
        <w:tc>
          <w:tcPr>
            <w:gridSpan w:val="2"/>
            <w:tcW w:w="3292" w:type="dxa"/>
            <w:vAlign w:val="center"/>
            <w:textDirection w:val="lrTb"/>
            <w:noWrap w:val="false"/>
          </w:tcPr>
          <w:p>
            <w:pPr>
              <w:pStyle w:val="1034"/>
              <w:ind w:left="0" w:firstLine="0"/>
              <w:jc w:val="center"/>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年          万元</w:t>
            </w:r>
            <w:r/>
          </w:p>
        </w:tc>
      </w:tr>
      <w:tr>
        <w:trPr>
          <w:cantSplit/>
        </w:trPr>
        <w:tc>
          <w:tcPr>
            <w:tcW w:w="2510" w:type="dxa"/>
            <w:textDirection w:val="lrTb"/>
            <w:noWrap w:val="false"/>
          </w:tcPr>
          <w:p>
            <w:pPr>
              <w:pStyle w:val="1034"/>
              <w:ind w:left="0" w:firstLine="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实现利润</w:t>
            </w:r>
            <w:r/>
          </w:p>
        </w:tc>
        <w:tc>
          <w:tcPr>
            <w:tcW w:w="2005" w:type="dxa"/>
            <w:textDirection w:val="lrTb"/>
            <w:noWrap w:val="false"/>
          </w:tcPr>
          <w:p>
            <w:pPr>
              <w:pStyle w:val="1034"/>
              <w:ind w:left="0" w:firstLine="72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年    万元</w:t>
            </w:r>
            <w:r/>
          </w:p>
        </w:tc>
        <w:tc>
          <w:tcPr>
            <w:tcW w:w="1461" w:type="dxa"/>
            <w:textDirection w:val="lrTb"/>
            <w:noWrap w:val="false"/>
          </w:tcPr>
          <w:p>
            <w:pPr>
              <w:pStyle w:val="1034"/>
              <w:ind w:left="0" w:firstLine="0"/>
              <w:widowControl w:val="off"/>
              <w:rPr>
                <w:rStyle w:val="1033"/>
                <w:rFonts w:hint="eastAsia" w:ascii="宋体" w:hAnsi="宋体" w:cs="宋体"/>
                <w:szCs w:val="24"/>
                <w:highlight w:val="none"/>
              </w:rPr>
            </w:pPr>
            <w:r>
              <w:rPr>
                <w:rFonts w:hint="eastAsia" w:ascii="宋体" w:hAnsi="宋体" w:cs="宋体"/>
                <w:szCs w:val="24"/>
                <w:highlight w:val="none"/>
              </w:rPr>
            </w:r>
            <w:r/>
          </w:p>
        </w:tc>
        <w:tc>
          <w:tcPr>
            <w:gridSpan w:val="2"/>
            <w:tcW w:w="3292" w:type="dxa"/>
            <w:textDirection w:val="lrTb"/>
            <w:noWrap w:val="false"/>
          </w:tcPr>
          <w:p>
            <w:pPr>
              <w:pStyle w:val="1034"/>
              <w:ind w:left="0" w:firstLine="0"/>
              <w:widowControl w:val="off"/>
              <w:rPr>
                <w:rStyle w:val="1033"/>
                <w:rFonts w:hint="eastAsia" w:ascii="宋体" w:hAnsi="宋体" w:cs="宋体"/>
                <w:szCs w:val="24"/>
                <w:highlight w:val="none"/>
              </w:rPr>
            </w:pPr>
            <w:r>
              <w:rPr>
                <w:rFonts w:hint="eastAsia" w:ascii="宋体" w:hAnsi="宋体" w:cs="宋体"/>
                <w:szCs w:val="24"/>
                <w:highlight w:val="none"/>
              </w:rPr>
            </w:r>
            <w:r/>
          </w:p>
        </w:tc>
      </w:tr>
      <w:tr>
        <w:trPr>
          <w:cantSplit/>
        </w:trPr>
        <w:tc>
          <w:tcPr>
            <w:tcW w:w="2510" w:type="dxa"/>
            <w:textDirection w:val="lrTb"/>
            <w:noWrap w:val="false"/>
          </w:tcPr>
          <w:p>
            <w:pPr>
              <w:pStyle w:val="1034"/>
              <w:ind w:left="0" w:firstLine="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营业面积（含厂房面积）</w:t>
            </w:r>
            <w:r/>
          </w:p>
        </w:tc>
        <w:tc>
          <w:tcPr>
            <w:tcW w:w="2005" w:type="dxa"/>
            <w:vAlign w:val="center"/>
            <w:textDirection w:val="lrTb"/>
            <w:noWrap w:val="false"/>
          </w:tcPr>
          <w:p>
            <w:pPr>
              <w:pStyle w:val="1034"/>
              <w:ind w:left="0" w:firstLine="0"/>
              <w:jc w:val="both"/>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        平方米</w:t>
            </w:r>
            <w:r/>
          </w:p>
        </w:tc>
        <w:tc>
          <w:tcPr>
            <w:tcW w:w="1461" w:type="dxa"/>
            <w:textDirection w:val="lrTb"/>
            <w:noWrap w:val="false"/>
          </w:tcPr>
          <w:p>
            <w:pPr>
              <w:pStyle w:val="1034"/>
              <w:ind w:left="0" w:firstLine="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其中：</w:t>
            </w:r>
            <w:r/>
          </w:p>
        </w:tc>
        <w:tc>
          <w:tcPr>
            <w:gridSpan w:val="2"/>
            <w:tcW w:w="3292" w:type="dxa"/>
            <w:textDirection w:val="lrTb"/>
            <w:noWrap w:val="false"/>
          </w:tcPr>
          <w:p>
            <w:pPr>
              <w:pStyle w:val="1034"/>
              <w:ind w:left="0" w:firstLine="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自有面积         平方米</w:t>
            </w:r>
            <w:r/>
          </w:p>
          <w:p>
            <w:pPr>
              <w:pStyle w:val="1034"/>
              <w:ind w:left="0" w:firstLine="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承租面积         平方米</w:t>
            </w:r>
            <w:r/>
          </w:p>
        </w:tc>
      </w:tr>
      <w:tr>
        <w:trPr>
          <w:cantSplit/>
        </w:trPr>
        <w:tc>
          <w:tcPr>
            <w:tcW w:w="2510" w:type="dxa"/>
            <w:textDirection w:val="lrTb"/>
            <w:noWrap w:val="false"/>
          </w:tcPr>
          <w:p>
            <w:pPr>
              <w:pStyle w:val="1034"/>
              <w:ind w:left="0" w:firstLine="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单位简历及内设机构情况</w:t>
            </w:r>
            <w:r/>
          </w:p>
        </w:tc>
        <w:tc>
          <w:tcPr>
            <w:gridSpan w:val="4"/>
            <w:tcW w:w="6758" w:type="dxa"/>
            <w:textDirection w:val="lrTb"/>
            <w:noWrap w:val="false"/>
          </w:tcPr>
          <w:p>
            <w:pPr>
              <w:pStyle w:val="1034"/>
              <w:ind w:left="0" w:firstLine="0"/>
              <w:widowControl w:val="off"/>
              <w:rPr>
                <w:rStyle w:val="1033"/>
                <w:rFonts w:hint="eastAsia" w:ascii="宋体" w:hAnsi="宋体" w:cs="宋体"/>
                <w:szCs w:val="24"/>
                <w:highlight w:val="none"/>
              </w:rPr>
            </w:pPr>
            <w:r>
              <w:rPr>
                <w:rFonts w:hint="eastAsia" w:ascii="宋体" w:hAnsi="宋体" w:cs="宋体"/>
                <w:szCs w:val="24"/>
                <w:highlight w:val="none"/>
              </w:rPr>
            </w:r>
            <w:r/>
          </w:p>
        </w:tc>
      </w:tr>
      <w:tr>
        <w:trPr>
          <w:cantSplit/>
        </w:trPr>
        <w:tc>
          <w:tcPr>
            <w:tcW w:w="2510" w:type="dxa"/>
            <w:textDirection w:val="lrTb"/>
            <w:noWrap w:val="false"/>
          </w:tcPr>
          <w:p>
            <w:pPr>
              <w:pStyle w:val="1034"/>
              <w:ind w:left="0" w:firstLine="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单位优势及特长</w:t>
            </w:r>
            <w:r/>
          </w:p>
        </w:tc>
        <w:tc>
          <w:tcPr>
            <w:gridSpan w:val="4"/>
            <w:tcW w:w="6758" w:type="dxa"/>
            <w:textDirection w:val="lrTb"/>
            <w:noWrap w:val="false"/>
          </w:tcPr>
          <w:p>
            <w:pPr>
              <w:pStyle w:val="1034"/>
              <w:ind w:left="0" w:firstLine="0"/>
              <w:widowControl w:val="off"/>
              <w:rPr>
                <w:rStyle w:val="1033"/>
                <w:rFonts w:hint="eastAsia" w:ascii="宋体" w:hAnsi="宋体" w:cs="宋体"/>
                <w:szCs w:val="24"/>
                <w:highlight w:val="none"/>
              </w:rPr>
            </w:pPr>
            <w:r>
              <w:rPr>
                <w:rFonts w:hint="eastAsia" w:ascii="宋体" w:hAnsi="宋体" w:cs="宋体"/>
                <w:szCs w:val="24"/>
                <w:highlight w:val="none"/>
              </w:rPr>
            </w:r>
            <w:r/>
          </w:p>
        </w:tc>
      </w:tr>
      <w:tr>
        <w:trPr>
          <w:cantSplit/>
        </w:trPr>
        <w:tc>
          <w:tcPr>
            <w:tcW w:w="2510" w:type="dxa"/>
            <w:textDirection w:val="lrTb"/>
            <w:noWrap w:val="false"/>
          </w:tcPr>
          <w:p>
            <w:pPr>
              <w:pStyle w:val="1034"/>
              <w:ind w:left="0" w:firstLine="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近三年来完成或正在履行的重大合同情况</w:t>
            </w:r>
            <w:r/>
          </w:p>
        </w:tc>
        <w:tc>
          <w:tcPr>
            <w:gridSpan w:val="4"/>
            <w:tcW w:w="6758" w:type="dxa"/>
            <w:textDirection w:val="lrTb"/>
            <w:noWrap w:val="false"/>
          </w:tcPr>
          <w:p>
            <w:pPr>
              <w:pStyle w:val="1034"/>
              <w:ind w:left="0" w:firstLine="0"/>
              <w:widowControl w:val="off"/>
              <w:rPr>
                <w:rStyle w:val="1033"/>
                <w:rFonts w:hint="eastAsia" w:ascii="宋体" w:hAnsi="宋体" w:cs="宋体"/>
                <w:szCs w:val="24"/>
                <w:highlight w:val="none"/>
              </w:rPr>
            </w:pPr>
            <w:r>
              <w:rPr>
                <w:rFonts w:hint="eastAsia" w:ascii="宋体" w:hAnsi="宋体" w:cs="宋体"/>
                <w:szCs w:val="24"/>
                <w:highlight w:val="none"/>
              </w:rPr>
            </w:r>
            <w:r/>
          </w:p>
        </w:tc>
      </w:tr>
      <w:tr>
        <w:trPr>
          <w:cantSplit/>
        </w:trPr>
        <w:tc>
          <w:tcPr>
            <w:tcW w:w="2510" w:type="dxa"/>
            <w:textDirection w:val="lrTb"/>
            <w:noWrap w:val="false"/>
          </w:tcPr>
          <w:p>
            <w:pPr>
              <w:pStyle w:val="1034"/>
              <w:ind w:left="0" w:firstLine="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最近3年内在经营过程中受到何种奖励或处分（包括情况和结果）</w:t>
            </w:r>
            <w:r/>
          </w:p>
        </w:tc>
        <w:tc>
          <w:tcPr>
            <w:gridSpan w:val="4"/>
            <w:tcW w:w="6758" w:type="dxa"/>
            <w:textDirection w:val="lrTb"/>
            <w:noWrap w:val="false"/>
          </w:tcPr>
          <w:p>
            <w:pPr>
              <w:pStyle w:val="1034"/>
              <w:ind w:left="0" w:firstLine="0"/>
              <w:widowControl w:val="off"/>
              <w:rPr>
                <w:rStyle w:val="1033"/>
                <w:rFonts w:hint="eastAsia" w:ascii="宋体" w:hAnsi="宋体" w:cs="宋体"/>
                <w:szCs w:val="24"/>
                <w:highlight w:val="none"/>
              </w:rPr>
            </w:pPr>
            <w:r>
              <w:rPr>
                <w:rFonts w:hint="eastAsia" w:ascii="宋体" w:hAnsi="宋体" w:cs="宋体"/>
                <w:szCs w:val="24"/>
                <w:highlight w:val="none"/>
              </w:rPr>
            </w:r>
            <w:r/>
          </w:p>
        </w:tc>
      </w:tr>
      <w:tr>
        <w:trPr>
          <w:cantSplit/>
        </w:trPr>
        <w:tc>
          <w:tcPr>
            <w:tcW w:w="2510" w:type="dxa"/>
            <w:textDirection w:val="lrTb"/>
            <w:noWrap w:val="false"/>
          </w:tcPr>
          <w:p>
            <w:pPr>
              <w:pStyle w:val="1034"/>
              <w:ind w:left="0" w:firstLine="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最近3年内有无因售假、售劣或是其他原因被消费者投诉或起诉的情况及说明（包括解决方式和结果）</w:t>
            </w:r>
            <w:r/>
          </w:p>
        </w:tc>
        <w:tc>
          <w:tcPr>
            <w:gridSpan w:val="4"/>
            <w:tcW w:w="6758" w:type="dxa"/>
            <w:textDirection w:val="lrTb"/>
            <w:noWrap w:val="false"/>
          </w:tcPr>
          <w:p>
            <w:pPr>
              <w:pStyle w:val="1034"/>
              <w:ind w:left="0" w:firstLine="0"/>
              <w:widowControl w:val="off"/>
              <w:rPr>
                <w:rStyle w:val="1033"/>
                <w:rFonts w:hint="eastAsia" w:ascii="宋体" w:hAnsi="宋体" w:cs="宋体"/>
                <w:szCs w:val="24"/>
                <w:highlight w:val="none"/>
              </w:rPr>
            </w:pPr>
            <w:r>
              <w:rPr>
                <w:rFonts w:hint="eastAsia" w:ascii="宋体" w:hAnsi="宋体" w:cs="宋体"/>
                <w:szCs w:val="24"/>
                <w:highlight w:val="none"/>
              </w:rPr>
            </w:r>
            <w:r/>
          </w:p>
        </w:tc>
      </w:tr>
      <w:tr>
        <w:trPr>
          <w:cantSplit/>
        </w:trPr>
        <w:tc>
          <w:tcPr>
            <w:tcW w:w="2510" w:type="dxa"/>
            <w:textDirection w:val="lrTb"/>
            <w:noWrap w:val="false"/>
          </w:tcPr>
          <w:p>
            <w:pPr>
              <w:pStyle w:val="1034"/>
              <w:ind w:left="0" w:firstLine="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最近3年内主要负责人有无因经济犯罪被司法机关追究的情况及说明</w:t>
            </w:r>
            <w:r/>
          </w:p>
        </w:tc>
        <w:tc>
          <w:tcPr>
            <w:gridSpan w:val="4"/>
            <w:tcW w:w="6758" w:type="dxa"/>
            <w:textDirection w:val="lrTb"/>
            <w:noWrap w:val="false"/>
          </w:tcPr>
          <w:p>
            <w:pPr>
              <w:pStyle w:val="1034"/>
              <w:ind w:left="0" w:firstLine="0"/>
              <w:widowControl w:val="off"/>
              <w:rPr>
                <w:rStyle w:val="1033"/>
                <w:rFonts w:hint="eastAsia" w:ascii="宋体" w:hAnsi="宋体" w:cs="宋体"/>
                <w:szCs w:val="24"/>
                <w:highlight w:val="none"/>
              </w:rPr>
            </w:pPr>
            <w:r>
              <w:rPr>
                <w:rFonts w:hint="eastAsia" w:ascii="宋体" w:hAnsi="宋体" w:cs="宋体"/>
                <w:szCs w:val="24"/>
                <w:highlight w:val="none"/>
              </w:rPr>
            </w:r>
            <w:r/>
          </w:p>
        </w:tc>
      </w:tr>
      <w:tr>
        <w:trPr>
          <w:cantSplit/>
        </w:trPr>
        <w:tc>
          <w:tcPr>
            <w:tcW w:w="2510" w:type="dxa"/>
            <w:textDirection w:val="lrTb"/>
            <w:noWrap w:val="false"/>
          </w:tcPr>
          <w:p>
            <w:pPr>
              <w:pStyle w:val="1034"/>
              <w:ind w:left="0" w:firstLine="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获得技术认证的工程师及简介</w:t>
            </w:r>
            <w:r/>
          </w:p>
        </w:tc>
        <w:tc>
          <w:tcPr>
            <w:gridSpan w:val="4"/>
            <w:tcW w:w="6758" w:type="dxa"/>
            <w:textDirection w:val="lrTb"/>
            <w:noWrap w:val="false"/>
          </w:tcPr>
          <w:p>
            <w:pPr>
              <w:pStyle w:val="1034"/>
              <w:ind w:left="0" w:firstLine="0"/>
              <w:widowControl w:val="off"/>
              <w:rPr>
                <w:rStyle w:val="1033"/>
                <w:rFonts w:hint="eastAsia" w:ascii="宋体" w:hAnsi="宋体" w:cs="宋体"/>
                <w:szCs w:val="24"/>
                <w:highlight w:val="none"/>
              </w:rPr>
            </w:pPr>
            <w:r>
              <w:rPr>
                <w:rFonts w:hint="eastAsia" w:ascii="宋体" w:hAnsi="宋体" w:cs="宋体"/>
                <w:szCs w:val="24"/>
                <w:highlight w:val="none"/>
              </w:rPr>
            </w:r>
            <w:r/>
          </w:p>
        </w:tc>
      </w:tr>
      <w:tr>
        <w:trPr>
          <w:cantSplit/>
          <w:trHeight w:val="560"/>
        </w:trPr>
        <w:tc>
          <w:tcPr>
            <w:tcW w:w="2510" w:type="dxa"/>
            <w:textDirection w:val="lrTb"/>
            <w:noWrap w:val="false"/>
          </w:tcPr>
          <w:p>
            <w:pPr>
              <w:pStyle w:val="1034"/>
              <w:ind w:left="0" w:firstLine="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其他需要说明的情况</w:t>
            </w:r>
            <w:r/>
          </w:p>
        </w:tc>
        <w:tc>
          <w:tcPr>
            <w:gridSpan w:val="4"/>
            <w:tcW w:w="6758" w:type="dxa"/>
            <w:textDirection w:val="lrTb"/>
            <w:noWrap w:val="false"/>
          </w:tcPr>
          <w:p>
            <w:pPr>
              <w:pStyle w:val="1034"/>
              <w:ind w:left="0" w:firstLine="0"/>
              <w:widowControl w:val="off"/>
              <w:rPr>
                <w:rStyle w:val="1033"/>
                <w:rFonts w:hint="eastAsia" w:ascii="宋体" w:hAnsi="宋体" w:cs="宋体"/>
                <w:szCs w:val="24"/>
                <w:highlight w:val="none"/>
              </w:rPr>
            </w:pPr>
            <w:r>
              <w:rPr>
                <w:rFonts w:hint="eastAsia" w:ascii="宋体" w:hAnsi="宋体" w:cs="宋体"/>
                <w:szCs w:val="24"/>
                <w:highlight w:val="none"/>
              </w:rPr>
            </w:r>
            <w:r/>
          </w:p>
        </w:tc>
      </w:tr>
    </w:tbl>
    <w:p>
      <w:pPr>
        <w:ind w:left="0" w:firstLine="315"/>
        <w:jc w:val="left"/>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ind w:left="0" w:right="-200"/>
        <w:jc w:val="left"/>
        <w:spacing w:line="360" w:lineRule="auto"/>
        <w:widowControl w:val="off"/>
        <w:rPr>
          <w:rFonts w:hint="eastAsia" w:ascii="宋体" w:hAnsi="宋体" w:cs="宋体"/>
          <w:sz w:val="24"/>
          <w:szCs w:val="24"/>
          <w:highlight w:val="none"/>
        </w:rPr>
      </w:pPr>
      <w:r/>
      <w:bookmarkStart w:id="77" w:name="_Toc241"/>
      <w:r/>
      <w:bookmarkStart w:id="78" w:name="_Toc7945"/>
      <w:r/>
      <w:r/>
    </w:p>
    <w:p>
      <w:pPr>
        <w:ind w:left="0" w:right="-200"/>
        <w:jc w:val="left"/>
        <w:spacing w:line="360" w:lineRule="auto"/>
        <w:widowControl w:val="off"/>
        <w:rPr>
          <w:rFonts w:hint="eastAsia" w:ascii="宋体" w:hAnsi="宋体" w:cs="宋体"/>
          <w:sz w:val="24"/>
          <w:szCs w:val="24"/>
          <w:highlight w:val="none"/>
          <w:lang w:val="zh-CN"/>
        </w:rPr>
      </w:pPr>
      <w:r>
        <w:rPr>
          <w:rFonts w:hint="eastAsia" w:ascii="宋体" w:hAnsi="宋体" w:cs="宋体"/>
          <w:sz w:val="24"/>
          <w:szCs w:val="24"/>
          <w:highlight w:val="none"/>
        </w:rPr>
        <w:t xml:space="preserve">供应商名称：（公章）</w:t>
      </w:r>
      <w:r>
        <w:rPr>
          <w:rFonts w:hint="eastAsia" w:ascii="宋体" w:hAnsi="宋体" w:cs="宋体"/>
          <w:sz w:val="24"/>
          <w:szCs w:val="24"/>
          <w:highlight w:val="none"/>
          <w:lang w:val="zh-CN"/>
        </w:rPr>
        <w:t xml:space="preserve"> </w:t>
      </w:r>
      <w:r/>
    </w:p>
    <w:p>
      <w:pPr>
        <w:ind w:left="0"/>
        <w:jc w:val="left"/>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法定代表人或</w:t>
      </w:r>
      <w:r>
        <w:rPr>
          <w:rFonts w:hint="eastAsia" w:ascii="宋体" w:hAnsi="宋体" w:cs="宋体"/>
          <w:sz w:val="24"/>
          <w:szCs w:val="24"/>
          <w:highlight w:val="none"/>
        </w:rPr>
        <w:t xml:space="preserve">被授权</w:t>
      </w:r>
      <w:r>
        <w:rPr>
          <w:rFonts w:hint="eastAsia" w:ascii="宋体" w:hAnsi="宋体" w:cs="宋体"/>
          <w:sz w:val="24"/>
          <w:szCs w:val="24"/>
          <w:highlight w:val="none"/>
          <w:lang w:val="zh-CN"/>
        </w:rPr>
        <w:t xml:space="preserve">人：（签字或盖章）</w:t>
      </w:r>
      <w:r/>
    </w:p>
    <w:p>
      <w:pPr>
        <w:ind w:left="0" w:right="300"/>
        <w:jc w:val="left"/>
        <w:spacing w:line="4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日    期：     年</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月   </w:t>
      </w:r>
      <w:r>
        <w:rPr>
          <w:rFonts w:hint="eastAsia" w:ascii="宋体" w:hAnsi="宋体" w:cs="宋体"/>
          <w:sz w:val="24"/>
          <w:szCs w:val="24"/>
          <w:highlight w:val="none"/>
        </w:rPr>
        <w:t xml:space="preserve"> </w:t>
      </w:r>
      <w:r>
        <w:rPr>
          <w:rFonts w:hint="eastAsia" w:ascii="宋体" w:hAnsi="宋体" w:cs="宋体"/>
          <w:sz w:val="24"/>
          <w:szCs w:val="24"/>
          <w:highlight w:val="none"/>
          <w:lang w:val="zh-CN"/>
        </w:rPr>
        <w:t xml:space="preserve">日</w:t>
      </w:r>
      <w:r/>
    </w:p>
    <w:p>
      <w:pPr>
        <w:ind w:left="0" w:right="300" w:firstLine="840"/>
        <w:jc w:val="right"/>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r>
      <w:bookmarkEnd w:id="77"/>
      <w:r/>
      <w:bookmarkEnd w:id="78"/>
      <w:r/>
      <w:r/>
    </w:p>
    <w:p>
      <w:pPr>
        <w:ind w:left="0"/>
        <w:rPr>
          <w:rFonts w:hint="eastAsia" w:ascii="宋体" w:hAnsi="宋体" w:cs="宋体"/>
          <w:sz w:val="21"/>
          <w:szCs w:val="21"/>
          <w:highlight w:val="none"/>
        </w:rPr>
      </w:pPr>
      <w:r>
        <w:rPr>
          <w:rFonts w:hint="eastAsia" w:ascii="宋体" w:hAnsi="宋体" w:cs="宋体"/>
          <w:sz w:val="21"/>
          <w:szCs w:val="21"/>
          <w:highlight w:val="none"/>
        </w:rPr>
      </w:r>
      <w:r/>
    </w:p>
    <w:p>
      <w:pPr>
        <w:pStyle w:val="1034"/>
        <w:ind w:left="0" w:firstLine="0"/>
        <w:jc w:val="both"/>
        <w:widowControl w:val="off"/>
        <w:rPr>
          <w:rStyle w:val="1033"/>
          <w:rFonts w:hint="eastAsia" w:ascii="宋体" w:hAnsi="宋体" w:cs="宋体"/>
          <w:b/>
          <w:szCs w:val="24"/>
          <w:highlight w:val="none"/>
        </w:rPr>
        <w:outlineLvl w:val="1"/>
      </w:pPr>
      <w:r/>
      <w:bookmarkStart w:id="79" w:name="_Toc19621"/>
      <w:r/>
      <w:bookmarkStart w:id="80" w:name="_Toc21574"/>
      <w:r>
        <w:rPr>
          <w:rFonts w:hint="eastAsia" w:ascii="宋体" w:hAnsi="宋体" w:cs="宋体"/>
          <w:b/>
          <w:sz w:val="21"/>
          <w:szCs w:val="21"/>
          <w:highlight w:val="none"/>
        </w:rPr>
        <w:br w:type="page" w:clear="all"/>
      </w:r>
      <w:r>
        <w:rPr>
          <w:rFonts w:hint="eastAsia" w:ascii="宋体" w:hAnsi="宋体" w:cs="宋体"/>
          <w:b/>
          <w:sz w:val="21"/>
          <w:szCs w:val="21"/>
          <w:highlight w:val="none"/>
        </w:rPr>
        <w:t xml:space="preserve">附件</w:t>
      </w:r>
      <w:r>
        <w:rPr>
          <w:rStyle w:val="1033"/>
          <w:rFonts w:hint="eastAsia" w:ascii="宋体" w:hAnsi="宋体" w:cs="宋体"/>
          <w:b/>
          <w:bCs/>
          <w:szCs w:val="24"/>
          <w:highlight w:val="none"/>
        </w:rPr>
        <w:t xml:space="preserve">7、服务要求偏离表</w:t>
      </w:r>
      <w:r/>
    </w:p>
    <w:p>
      <w:pPr>
        <w:ind w:left="0"/>
        <w:jc w:val="center"/>
        <w:spacing w:line="360" w:lineRule="auto"/>
        <w:widowControl w:val="off"/>
        <w:rPr>
          <w:rStyle w:val="1033"/>
          <w:rFonts w:hint="eastAsia" w:ascii="宋体" w:hAnsi="宋体" w:cs="宋体"/>
          <w:b/>
          <w:sz w:val="24"/>
          <w:szCs w:val="24"/>
          <w:highlight w:val="none"/>
        </w:rPr>
      </w:pPr>
      <w:r>
        <w:rPr>
          <w:rStyle w:val="1033"/>
          <w:rFonts w:hint="eastAsia" w:ascii="宋体" w:hAnsi="宋体" w:cs="宋体"/>
          <w:b/>
          <w:sz w:val="24"/>
          <w:szCs w:val="24"/>
          <w:highlight w:val="none"/>
        </w:rPr>
        <w:t xml:space="preserve">服务要求偏离表</w:t>
      </w:r>
      <w:r/>
    </w:p>
    <w:p>
      <w:pP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bl>
      <w:tblPr>
        <w:tblStyle w:val="801"/>
        <w:tblW w:w="914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jc w:val="center"/>
          <w:trHeight w:val="680"/>
        </w:trPr>
        <w:tc>
          <w:tcPr>
            <w:tcW w:w="828" w:type="dxa"/>
            <w:vAlign w:val="center"/>
            <w:textDirection w:val="lrTb"/>
            <w:noWrap w:val="false"/>
          </w:tcPr>
          <w:p>
            <w:pPr>
              <w:ind w:left="0"/>
              <w:jc w:val="center"/>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序号</w:t>
            </w:r>
            <w:r/>
          </w:p>
        </w:tc>
        <w:tc>
          <w:tcPr>
            <w:tcW w:w="18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项目名称</w:t>
            </w:r>
            <w:r/>
          </w:p>
        </w:tc>
        <w:tc>
          <w:tcPr>
            <w:tcW w:w="1620" w:type="dxa"/>
            <w:vAlign w:val="center"/>
            <w:textDirection w:val="lrTb"/>
            <w:noWrap w:val="false"/>
          </w:tcPr>
          <w:p>
            <w:pPr>
              <w:ind w:left="0"/>
              <w:jc w:val="center"/>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采购要求</w:t>
            </w:r>
            <w:r/>
          </w:p>
        </w:tc>
        <w:tc>
          <w:tcPr>
            <w:tcW w:w="1440" w:type="dxa"/>
            <w:vAlign w:val="center"/>
            <w:textDirection w:val="lrTb"/>
            <w:noWrap w:val="false"/>
          </w:tcPr>
          <w:p>
            <w:pPr>
              <w:ind w:left="0"/>
              <w:jc w:val="center"/>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响应要求</w:t>
            </w:r>
            <w:r/>
          </w:p>
        </w:tc>
        <w:tc>
          <w:tcPr>
            <w:tcW w:w="1699" w:type="dxa"/>
            <w:vAlign w:val="center"/>
            <w:textDirection w:val="lrTb"/>
            <w:noWrap w:val="false"/>
          </w:tcPr>
          <w:p>
            <w:pPr>
              <w:ind w:left="0"/>
              <w:jc w:val="center"/>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偏离/响应</w:t>
            </w:r>
            <w:r/>
          </w:p>
        </w:tc>
        <w:tc>
          <w:tcPr>
            <w:tcW w:w="1757" w:type="dxa"/>
            <w:vAlign w:val="center"/>
            <w:textDirection w:val="lrTb"/>
            <w:noWrap w:val="false"/>
          </w:tcPr>
          <w:p>
            <w:pPr>
              <w:ind w:left="0"/>
              <w:jc w:val="center"/>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说明</w:t>
            </w:r>
            <w:r/>
          </w:p>
        </w:tc>
      </w:tr>
      <w:tr>
        <w:trPr>
          <w:jc w:val="center"/>
          <w:trHeight w:val="680"/>
        </w:trPr>
        <w:tc>
          <w:tcPr>
            <w:tcW w:w="828"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8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62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44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699"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757"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8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62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44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699"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757"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8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62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44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699"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757"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8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62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44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699"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757"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8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62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44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699"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757"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8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62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44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699"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757"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8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62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44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699"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757"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8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62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44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699"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757"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8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62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44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699"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757"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680"/>
        </w:trPr>
        <w:tc>
          <w:tcPr>
            <w:tcW w:w="828"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8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62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44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699"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757"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bl>
    <w:p>
      <w:pPr>
        <w:ind w:left="0" w:firstLine="482"/>
        <w:widowControl w:val="off"/>
        <w:rPr>
          <w:rStyle w:val="1033"/>
          <w:rFonts w:hint="eastAsia" w:ascii="宋体" w:hAnsi="宋体" w:cs="宋体"/>
          <w:b/>
          <w:sz w:val="24"/>
          <w:szCs w:val="24"/>
          <w:highlight w:val="none"/>
        </w:rPr>
      </w:pPr>
      <w:r>
        <w:rPr>
          <w:rStyle w:val="1033"/>
          <w:rFonts w:hint="eastAsia" w:ascii="宋体" w:hAnsi="宋体" w:cs="宋体"/>
          <w:b/>
          <w:sz w:val="24"/>
          <w:szCs w:val="24"/>
          <w:highlight w:val="none"/>
        </w:rPr>
        <w:t xml:space="preserve">注：1.响应人应对照磋商文件服务要求等要求，所投标的物与磋商文件的规定有偏离的，应在此表中申明与服务要求条文的偏差和例外。</w:t>
      </w:r>
      <w:r/>
    </w:p>
    <w:p>
      <w:pPr>
        <w:ind w:left="0" w:firstLine="482"/>
        <w:widowControl w:val="off"/>
        <w:rPr>
          <w:rStyle w:val="1033"/>
          <w:rFonts w:hint="eastAsia" w:ascii="宋体" w:hAnsi="宋体" w:cs="宋体"/>
          <w:sz w:val="24"/>
          <w:szCs w:val="24"/>
          <w:highlight w:val="none"/>
        </w:rPr>
      </w:pPr>
      <w:r>
        <w:rPr>
          <w:rStyle w:val="1033"/>
          <w:rFonts w:hint="eastAsia" w:ascii="宋体" w:hAnsi="宋体" w:cs="宋体"/>
          <w:b/>
          <w:sz w:val="24"/>
          <w:szCs w:val="24"/>
          <w:highlight w:val="none"/>
        </w:rPr>
        <w:t xml:space="preserve">2.未在上表中说明的，如在响应文件其他内容中已有文字说明的，则以已有文字说明为准，否则，将被认为完全响应磋商文件的规定。但该表不作为响应人对所投服务关于服务要求等详细描述和说明的替代。</w:t>
      </w:r>
      <w:r/>
    </w:p>
    <w:p>
      <w:pP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p>
      <w:pPr>
        <w:pStyle w:val="1027"/>
        <w:ind w:firstLine="480"/>
        <w:rPr>
          <w:rFonts w:hint="eastAsia" w:hAnsi="宋体" w:cs="宋体"/>
          <w:highlight w:val="none"/>
        </w:rPr>
      </w:pPr>
      <w:r>
        <w:rPr>
          <w:rFonts w:hint="eastAsia" w:hAnsi="宋体" w:cs="宋体"/>
          <w:highlight w:val="none"/>
        </w:rPr>
      </w:r>
      <w:r/>
    </w:p>
    <w:p>
      <w:pPr>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供应商：（盖章）</w:t>
      </w:r>
      <w:r/>
    </w:p>
    <w:p>
      <w:pPr>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法定代表人或代理人：（签字或盖章）</w:t>
      </w:r>
      <w:r/>
    </w:p>
    <w:p>
      <w:pPr>
        <w:spacing w:line="360" w:lineRule="auto"/>
        <w:widowControl w:val="off"/>
        <w:rPr>
          <w:rFonts w:hint="eastAsia" w:ascii="宋体" w:hAnsi="宋体" w:cs="宋体"/>
          <w:sz w:val="24"/>
          <w:szCs w:val="24"/>
          <w:highlight w:val="none"/>
        </w:rPr>
      </w:pPr>
      <w:r>
        <w:rPr>
          <w:rStyle w:val="1033"/>
          <w:rFonts w:hint="eastAsia" w:ascii="宋体" w:hAnsi="宋体" w:cs="宋体"/>
          <w:sz w:val="24"/>
          <w:szCs w:val="24"/>
          <w:highlight w:val="none"/>
        </w:rPr>
        <w:t xml:space="preserve">日期：      年    月    日</w:t>
      </w:r>
      <w:r/>
    </w:p>
    <w:p>
      <w:pPr>
        <w:pStyle w:val="1034"/>
        <w:ind w:left="0" w:firstLine="0"/>
        <w:widowControl w:val="off"/>
        <w:rPr>
          <w:rStyle w:val="1033"/>
          <w:rFonts w:hint="eastAsia" w:ascii="宋体" w:hAnsi="宋体" w:cs="宋体"/>
          <w:b/>
          <w:szCs w:val="24"/>
          <w:highlight w:val="none"/>
        </w:rPr>
        <w:outlineLvl w:val="1"/>
      </w:pPr>
      <w:r>
        <w:rPr>
          <w:rStyle w:val="1033"/>
          <w:rFonts w:hint="eastAsia" w:ascii="宋体" w:hAnsi="宋体" w:cs="宋体"/>
          <w:b/>
          <w:szCs w:val="24"/>
          <w:highlight w:val="none"/>
        </w:rPr>
        <w:br w:type="page" w:clear="all"/>
      </w:r>
      <w:bookmarkStart w:id="81" w:name="_Toc6051"/>
      <w:r>
        <w:rPr>
          <w:rStyle w:val="1033"/>
          <w:rFonts w:hint="eastAsia" w:ascii="宋体" w:hAnsi="宋体" w:cs="宋体"/>
          <w:b/>
          <w:szCs w:val="24"/>
          <w:highlight w:val="none"/>
        </w:rPr>
        <w:t xml:space="preserve">附件8、商务条款偏离表</w:t>
      </w:r>
      <w:bookmarkEnd w:id="81"/>
      <w:r/>
      <w:r/>
    </w:p>
    <w:p>
      <w:pPr>
        <w:pStyle w:val="1036"/>
        <w:ind w:left="0" w:firstLine="0"/>
        <w:jc w:val="center"/>
        <w:widowControl w:val="off"/>
        <w:rPr>
          <w:rStyle w:val="1033"/>
          <w:rFonts w:hint="eastAsia" w:ascii="宋体" w:hAnsi="宋体" w:cs="宋体"/>
          <w:b/>
          <w:highlight w:val="none"/>
        </w:rPr>
      </w:pPr>
      <w:r>
        <w:rPr>
          <w:rStyle w:val="1033"/>
          <w:rFonts w:hint="eastAsia" w:ascii="宋体" w:hAnsi="宋体" w:cs="宋体"/>
          <w:b/>
          <w:highlight w:val="none"/>
        </w:rPr>
        <w:t xml:space="preserve">商务条款偏离表</w:t>
      </w:r>
      <w:r/>
    </w:p>
    <w:p>
      <w:pP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bl>
      <w:tblPr>
        <w:tblStyle w:val="801"/>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jc w:val="center"/>
          <w:trHeight w:val="624"/>
        </w:trPr>
        <w:tc>
          <w:tcPr>
            <w:tcW w:w="708" w:type="dxa"/>
            <w:vAlign w:val="center"/>
            <w:textDirection w:val="lrTb"/>
            <w:noWrap w:val="false"/>
          </w:tcPr>
          <w:p>
            <w:pPr>
              <w:ind w:left="0"/>
              <w:jc w:val="center"/>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序号</w:t>
            </w:r>
            <w:r/>
          </w:p>
        </w:tc>
        <w:tc>
          <w:tcPr>
            <w:tcW w:w="1920" w:type="dxa"/>
            <w:vAlign w:val="center"/>
            <w:textDirection w:val="lrTb"/>
            <w:noWrap w:val="false"/>
          </w:tcPr>
          <w:p>
            <w:pPr>
              <w:ind w:left="0"/>
              <w:jc w:val="center"/>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磋商文件条目号</w:t>
            </w:r>
            <w:r/>
          </w:p>
        </w:tc>
        <w:tc>
          <w:tcPr>
            <w:tcW w:w="24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磋商文件的商务条款</w:t>
            </w:r>
            <w:r/>
          </w:p>
        </w:tc>
        <w:tc>
          <w:tcPr>
            <w:tcW w:w="24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响应文件的商务条款</w:t>
            </w:r>
            <w:r/>
          </w:p>
        </w:tc>
        <w:tc>
          <w:tcPr>
            <w:tcW w:w="1097" w:type="dxa"/>
            <w:vAlign w:val="center"/>
            <w:textDirection w:val="lrTb"/>
            <w:noWrap w:val="false"/>
          </w:tcPr>
          <w:p>
            <w:pPr>
              <w:ind w:left="0"/>
              <w:jc w:val="center"/>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说明</w:t>
            </w:r>
            <w:r/>
          </w:p>
        </w:tc>
      </w:tr>
      <w:tr>
        <w:trPr>
          <w:jc w:val="center"/>
          <w:trHeight w:val="624"/>
        </w:trPr>
        <w:tc>
          <w:tcPr>
            <w:tcW w:w="708"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92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24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24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097"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92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24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24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097"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92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24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24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097"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92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24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24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097"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92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24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24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097"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92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24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24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097"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92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24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24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097"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92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24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24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097"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92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24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24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097"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624"/>
        </w:trPr>
        <w:tc>
          <w:tcPr>
            <w:tcW w:w="708"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92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24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2400"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097" w:type="dxa"/>
            <w:vAlign w:val="center"/>
            <w:textDirection w:val="lrTb"/>
            <w:noWrap w:val="false"/>
          </w:tcPr>
          <w:p>
            <w:pPr>
              <w:ind w:left="0"/>
              <w:jc w:val="center"/>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bl>
    <w:p>
      <w:pPr>
        <w:pStyle w:val="1036"/>
        <w:spacing w:line="240" w:lineRule="auto"/>
        <w:widowControl w:val="off"/>
        <w:rPr>
          <w:rStyle w:val="1033"/>
          <w:rFonts w:hint="eastAsia" w:ascii="宋体" w:hAnsi="宋体" w:cs="宋体"/>
          <w:b/>
          <w:highlight w:val="none"/>
        </w:rPr>
      </w:pPr>
      <w:r>
        <w:rPr>
          <w:rStyle w:val="1033"/>
          <w:rFonts w:hint="eastAsia" w:ascii="宋体" w:hAnsi="宋体" w:cs="宋体"/>
          <w:b/>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p>
    <w:p>
      <w:pPr>
        <w:ind w:firstLine="480"/>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p>
      <w:pPr>
        <w:pStyle w:val="1036"/>
        <w:widowControl w:val="off"/>
        <w:rPr>
          <w:rStyle w:val="1033"/>
          <w:rFonts w:hint="eastAsia" w:ascii="宋体" w:hAnsi="宋体" w:cs="宋体"/>
          <w:highlight w:val="none"/>
        </w:rPr>
      </w:pPr>
      <w:r>
        <w:rPr>
          <w:rStyle w:val="1033"/>
          <w:rFonts w:hint="eastAsia" w:ascii="宋体" w:hAnsi="宋体" w:cs="宋体"/>
          <w:highlight w:val="none"/>
        </w:rPr>
        <w:t xml:space="preserve">供应商：（盖章）</w:t>
      </w:r>
      <w:r/>
    </w:p>
    <w:p>
      <w:pPr>
        <w:pStyle w:val="1036"/>
        <w:widowControl w:val="off"/>
        <w:rPr>
          <w:rStyle w:val="1033"/>
          <w:rFonts w:hint="eastAsia" w:ascii="宋体" w:hAnsi="宋体" w:cs="宋体"/>
          <w:highlight w:val="none"/>
        </w:rPr>
      </w:pPr>
      <w:r>
        <w:rPr>
          <w:rStyle w:val="1033"/>
          <w:rFonts w:hint="eastAsia" w:ascii="宋体" w:hAnsi="宋体" w:cs="宋体"/>
          <w:highlight w:val="none"/>
        </w:rPr>
        <w:t xml:space="preserve">法定代表人或代理人：（签字或盖章）</w:t>
      </w:r>
      <w:r/>
    </w:p>
    <w:p>
      <w:pPr>
        <w:pStyle w:val="1036"/>
        <w:widowControl w:val="off"/>
        <w:rPr>
          <w:rStyle w:val="1033"/>
          <w:rFonts w:hint="eastAsia" w:ascii="宋体" w:hAnsi="宋体" w:cs="宋体"/>
          <w:sz w:val="21"/>
          <w:szCs w:val="21"/>
          <w:highlight w:val="none"/>
        </w:rPr>
      </w:pPr>
      <w:r>
        <w:rPr>
          <w:rStyle w:val="1033"/>
          <w:rFonts w:hint="eastAsia" w:ascii="宋体" w:hAnsi="宋体" w:cs="宋体"/>
          <w:highlight w:val="none"/>
        </w:rPr>
        <w:t xml:space="preserve">日期：      年    月    日</w:t>
      </w:r>
      <w:r/>
    </w:p>
    <w:p>
      <w:pPr>
        <w:pStyle w:val="1034"/>
        <w:ind w:left="0" w:firstLine="0"/>
        <w:jc w:val="both"/>
        <w:spacing w:line="360" w:lineRule="auto"/>
        <w:widowControl w:val="off"/>
        <w:rPr>
          <w:rStyle w:val="1033"/>
          <w:rFonts w:hint="eastAsia" w:ascii="宋体" w:hAnsi="宋体" w:cs="宋体"/>
          <w:b/>
          <w:szCs w:val="24"/>
          <w:highlight w:val="none"/>
        </w:rPr>
        <w:outlineLvl w:val="1"/>
      </w:pPr>
      <w:r>
        <w:rPr>
          <w:rStyle w:val="1033"/>
          <w:rFonts w:hint="eastAsia" w:ascii="宋体" w:hAnsi="宋体" w:cs="宋体"/>
          <w:b/>
          <w:sz w:val="21"/>
          <w:szCs w:val="21"/>
          <w:highlight w:val="none"/>
        </w:rPr>
        <w:br w:type="page" w:clear="all"/>
      </w:r>
      <w:bookmarkStart w:id="82" w:name="_Toc5258"/>
      <w:r/>
      <w:bookmarkStart w:id="83" w:name="_Toc23227"/>
      <w:r>
        <w:rPr>
          <w:rStyle w:val="1033"/>
          <w:rFonts w:hint="eastAsia" w:ascii="宋体" w:hAnsi="宋体" w:cs="宋体"/>
          <w:b/>
          <w:szCs w:val="24"/>
          <w:highlight w:val="none"/>
        </w:rPr>
        <w:t xml:space="preserve">附件9</w:t>
      </w:r>
      <w:r>
        <w:rPr>
          <w:rStyle w:val="1033"/>
          <w:rFonts w:hint="eastAsia" w:ascii="宋体" w:hAnsi="宋体" w:cs="宋体"/>
          <w:b/>
          <w:bCs/>
          <w:szCs w:val="24"/>
          <w:highlight w:val="none"/>
        </w:rPr>
        <w:t xml:space="preserve">、</w:t>
      </w:r>
      <w:r>
        <w:rPr>
          <w:rStyle w:val="1033"/>
          <w:rFonts w:hint="eastAsia" w:ascii="宋体" w:hAnsi="宋体" w:cs="宋体"/>
          <w:b/>
          <w:szCs w:val="24"/>
          <w:highlight w:val="none"/>
        </w:rPr>
        <w:t xml:space="preserve">实施方案</w:t>
      </w:r>
      <w:r/>
    </w:p>
    <w:p>
      <w:pPr>
        <w:pStyle w:val="1034"/>
        <w:ind w:left="0" w:firstLine="0"/>
        <w:jc w:val="center"/>
        <w:spacing w:line="360" w:lineRule="auto"/>
        <w:widowControl w:val="off"/>
        <w:rPr>
          <w:rStyle w:val="1033"/>
          <w:rFonts w:hint="eastAsia" w:ascii="宋体" w:hAnsi="宋体" w:cs="宋体"/>
          <w:b/>
          <w:szCs w:val="24"/>
          <w:highlight w:val="none"/>
        </w:rPr>
      </w:pPr>
      <w:r>
        <w:rPr>
          <w:rStyle w:val="1033"/>
          <w:rFonts w:hint="eastAsia" w:ascii="宋体" w:hAnsi="宋体" w:cs="宋体"/>
          <w:b/>
          <w:szCs w:val="24"/>
          <w:highlight w:val="none"/>
        </w:rPr>
        <w:t xml:space="preserve">实施方案</w:t>
      </w:r>
      <w:r/>
    </w:p>
    <w:tbl>
      <w:tblPr>
        <w:tblStyle w:val="801"/>
        <w:tblW w:w="848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jc w:val="center"/>
          <w:trHeight w:val="1676"/>
        </w:trPr>
        <w:tc>
          <w:tcPr>
            <w:tcW w:w="8482" w:type="dxa"/>
            <w:textDirection w:val="lrTb"/>
            <w:noWrap w:val="false"/>
          </w:tcPr>
          <w:p>
            <w:pPr>
              <w:pStyle w:val="1042"/>
              <w:ind w:left="0"/>
              <w:widowControl w:val="off"/>
              <w:rPr>
                <w:rStyle w:val="1033"/>
                <w:rFonts w:hint="eastAsia" w:hAnsi="宋体" w:cs="宋体"/>
                <w:sz w:val="24"/>
                <w:szCs w:val="24"/>
                <w:highlight w:val="none"/>
              </w:rPr>
            </w:pPr>
            <w:r>
              <w:rPr>
                <w:rStyle w:val="1033"/>
                <w:rFonts w:hint="eastAsia" w:hAnsi="宋体" w:cs="宋体"/>
                <w:sz w:val="24"/>
                <w:szCs w:val="24"/>
                <w:highlight w:val="none"/>
              </w:rPr>
              <w:t xml:space="preserve">提示：</w:t>
            </w:r>
            <w:r/>
          </w:p>
          <w:p>
            <w:pPr>
              <w:pStyle w:val="1042"/>
              <w:ind w:left="0"/>
              <w:widowControl w:val="off"/>
              <w:rPr>
                <w:rStyle w:val="1033"/>
                <w:rFonts w:hint="eastAsia" w:hAnsi="宋体" w:cs="宋体"/>
                <w:sz w:val="24"/>
                <w:szCs w:val="24"/>
                <w:highlight w:val="none"/>
              </w:rPr>
            </w:pPr>
            <w:r>
              <w:rPr>
                <w:rStyle w:val="1033"/>
                <w:rFonts w:hint="eastAsia" w:hAnsi="宋体" w:cs="宋体"/>
                <w:sz w:val="24"/>
                <w:szCs w:val="24"/>
                <w:highlight w:val="none"/>
              </w:rPr>
              <w:t xml:space="preserve">1.供应商应根据本次采购项目要求，对所投服务进行详细的说明与描述。</w:t>
            </w:r>
            <w:r/>
          </w:p>
          <w:p>
            <w:pPr>
              <w:pStyle w:val="1042"/>
              <w:ind w:left="0"/>
              <w:widowControl w:val="off"/>
              <w:rPr>
                <w:rStyle w:val="1033"/>
                <w:rFonts w:hint="eastAsia" w:hAnsi="宋体" w:cs="宋体"/>
                <w:sz w:val="24"/>
                <w:szCs w:val="24"/>
                <w:highlight w:val="none"/>
              </w:rPr>
            </w:pPr>
            <w:r>
              <w:rPr>
                <w:rStyle w:val="1033"/>
                <w:rFonts w:hint="eastAsia" w:hAnsi="宋体" w:cs="宋体"/>
                <w:sz w:val="24"/>
                <w:szCs w:val="24"/>
                <w:highlight w:val="none"/>
              </w:rPr>
              <w:t xml:space="preserve">2.供应商可根据自身情况编写，本页不够可另加页附后。</w:t>
            </w:r>
            <w:r/>
          </w:p>
        </w:tc>
      </w:tr>
      <w:tr>
        <w:trPr>
          <w:jc w:val="center"/>
          <w:trHeight w:val="8913"/>
        </w:trPr>
        <w:tc>
          <w:tcPr>
            <w:tcW w:w="8482" w:type="dxa"/>
            <w:vAlign w:val="bottom"/>
            <w:textDirection w:val="lrTb"/>
            <w:noWrap w:val="false"/>
          </w:tcPr>
          <w:p>
            <w:pPr>
              <w:ind w:left="0" w:firstLine="240"/>
              <w:widowControl w:val="off"/>
              <w:tabs>
                <w:tab w:val="left" w:pos="1320" w:leader="none"/>
              </w:tabs>
              <w:rPr>
                <w:rStyle w:val="1033"/>
                <w:rFonts w:hint="eastAsia" w:ascii="宋体" w:hAnsi="宋体" w:cs="宋体"/>
                <w:sz w:val="24"/>
                <w:szCs w:val="24"/>
                <w:highlight w:val="none"/>
                <w:u w:val="single"/>
              </w:rPr>
            </w:pPr>
            <w:r>
              <w:rPr>
                <w:rFonts w:hint="eastAsia" w:ascii="宋体" w:hAnsi="宋体" w:cs="宋体"/>
                <w:sz w:val="24"/>
                <w:szCs w:val="24"/>
                <w:highlight w:val="none"/>
                <w:u w:val="single"/>
              </w:rPr>
            </w:r>
            <w:r/>
          </w:p>
        </w:tc>
      </w:tr>
    </w:tbl>
    <w:p>
      <w:pPr>
        <w:pStyle w:val="1034"/>
        <w:ind w:firstLine="0"/>
        <w:widowControl w:val="off"/>
        <w:rPr>
          <w:rStyle w:val="1033"/>
          <w:rFonts w:hint="eastAsia" w:ascii="宋体" w:hAnsi="宋体" w:cs="宋体"/>
          <w:b/>
          <w:szCs w:val="24"/>
          <w:highlight w:val="none"/>
        </w:rPr>
      </w:pPr>
      <w:r>
        <w:rPr>
          <w:rFonts w:hint="eastAsia" w:ascii="宋体" w:hAnsi="宋体" w:cs="宋体"/>
          <w:b/>
          <w:szCs w:val="24"/>
          <w:highlight w:val="none"/>
        </w:rPr>
      </w:r>
      <w:r/>
    </w:p>
    <w:p>
      <w:pPr>
        <w:ind w:firstLine="480"/>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供应商：（盖章）</w:t>
      </w:r>
      <w:r/>
    </w:p>
    <w:p>
      <w:pPr>
        <w:ind w:firstLine="480"/>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法定代表人或代理人：（签字或盖章）</w:t>
      </w:r>
      <w:r/>
    </w:p>
    <w:p>
      <w:pPr>
        <w:ind w:firstLine="480"/>
        <w:spacing w:line="360" w:lineRule="auto"/>
        <w:widowControl w:val="off"/>
        <w:rPr>
          <w:rStyle w:val="1033"/>
          <w:rFonts w:hint="eastAsia" w:ascii="宋体" w:hAnsi="宋体" w:cs="宋体"/>
          <w:b/>
          <w:sz w:val="24"/>
          <w:szCs w:val="24"/>
          <w:highlight w:val="none"/>
        </w:rPr>
      </w:pPr>
      <w:r>
        <w:rPr>
          <w:rStyle w:val="1033"/>
          <w:rFonts w:hint="eastAsia" w:ascii="宋体" w:hAnsi="宋体" w:cs="宋体"/>
          <w:sz w:val="24"/>
          <w:szCs w:val="24"/>
          <w:highlight w:val="none"/>
        </w:rPr>
        <w:t xml:space="preserve">日期：      年    月    日</w:t>
      </w:r>
      <w:r/>
    </w:p>
    <w:p>
      <w:pPr>
        <w:pStyle w:val="1036"/>
        <w:ind w:left="0" w:firstLine="0"/>
        <w:widowControl w:val="off"/>
        <w:rPr>
          <w:rStyle w:val="1033"/>
          <w:rFonts w:hint="eastAsia" w:ascii="宋体" w:hAnsi="宋体" w:cs="宋体"/>
          <w:szCs w:val="24"/>
          <w:highlight w:val="none"/>
        </w:rPr>
        <w:outlineLvl w:val="1"/>
      </w:pPr>
      <w:r>
        <w:rPr>
          <w:rStyle w:val="1033"/>
          <w:rFonts w:hint="eastAsia" w:ascii="宋体" w:hAnsi="宋体" w:cs="宋体"/>
          <w:b/>
          <w:szCs w:val="24"/>
          <w:highlight w:val="none"/>
        </w:rPr>
        <w:br w:type="page" w:clear="all"/>
      </w:r>
      <w:r>
        <w:rPr>
          <w:rStyle w:val="1033"/>
          <w:rFonts w:hint="eastAsia" w:ascii="宋体" w:hAnsi="宋体" w:cs="宋体"/>
          <w:b/>
          <w:szCs w:val="24"/>
          <w:highlight w:val="none"/>
        </w:rPr>
        <w:t xml:space="preserve">附件10、拟投入本项目人员配备一览表</w:t>
      </w:r>
      <w:bookmarkEnd w:id="82"/>
      <w:r/>
      <w:bookmarkEnd w:id="83"/>
      <w:r/>
      <w:r/>
    </w:p>
    <w:p>
      <w:pPr>
        <w:widowControl w:val="off"/>
        <w:rPr>
          <w:rStyle w:val="1033"/>
          <w:rFonts w:hint="eastAsia" w:ascii="宋体" w:hAnsi="宋体" w:cs="宋体"/>
          <w:b/>
          <w:sz w:val="24"/>
          <w:szCs w:val="24"/>
          <w:highlight w:val="none"/>
        </w:rPr>
      </w:pPr>
      <w:r>
        <w:rPr>
          <w:rFonts w:hint="eastAsia" w:ascii="宋体" w:hAnsi="宋体" w:cs="宋体"/>
          <w:b/>
          <w:sz w:val="24"/>
          <w:szCs w:val="24"/>
          <w:highlight w:val="none"/>
        </w:rPr>
      </w:r>
      <w:r/>
    </w:p>
    <w:p>
      <w:pPr>
        <w:pStyle w:val="1036"/>
        <w:ind w:left="0" w:firstLine="0"/>
        <w:jc w:val="center"/>
        <w:widowControl w:val="off"/>
        <w:rPr>
          <w:rStyle w:val="1033"/>
          <w:rFonts w:hint="eastAsia" w:ascii="宋体" w:hAnsi="宋体" w:cs="宋体"/>
          <w:b/>
          <w:szCs w:val="24"/>
          <w:highlight w:val="none"/>
        </w:rPr>
      </w:pPr>
      <w:r>
        <w:rPr>
          <w:rStyle w:val="1033"/>
          <w:rFonts w:hint="eastAsia" w:ascii="宋体" w:hAnsi="宋体" w:cs="宋体"/>
          <w:b/>
          <w:szCs w:val="24"/>
          <w:highlight w:val="none"/>
        </w:rPr>
        <w:t xml:space="preserve">拟投入本项目人员配备一览表</w:t>
      </w:r>
      <w:r/>
    </w:p>
    <w:tbl>
      <w:tblPr>
        <w:tblStyle w:val="801"/>
        <w:tblW w:w="8897"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
        <w:gridCol w:w="1211"/>
        <w:gridCol w:w="991"/>
        <w:gridCol w:w="566"/>
        <w:gridCol w:w="567"/>
        <w:gridCol w:w="931"/>
        <w:gridCol w:w="1337"/>
        <w:gridCol w:w="1288"/>
        <w:gridCol w:w="1547"/>
      </w:tblGrid>
      <w:tr>
        <w:trPr>
          <w:jc w:val="center"/>
        </w:trPr>
        <w:tc>
          <w:tcPr>
            <w:tcW w:w="459"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序号</w:t>
            </w:r>
            <w:r/>
          </w:p>
        </w:tc>
        <w:tc>
          <w:tcPr>
            <w:tcW w:w="121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项目组所任职务</w:t>
            </w:r>
            <w:r/>
          </w:p>
        </w:tc>
        <w:tc>
          <w:tcPr>
            <w:tcW w:w="99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姓名</w:t>
            </w:r>
            <w:r/>
          </w:p>
        </w:tc>
        <w:tc>
          <w:tcPr>
            <w:tcW w:w="566"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性别</w:t>
            </w:r>
            <w:r/>
          </w:p>
        </w:tc>
        <w:tc>
          <w:tcPr>
            <w:tcW w:w="56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年龄</w:t>
            </w:r>
            <w:r/>
          </w:p>
        </w:tc>
        <w:tc>
          <w:tcPr>
            <w:tcW w:w="93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职称</w:t>
            </w:r>
            <w:r/>
          </w:p>
        </w:tc>
        <w:tc>
          <w:tcPr>
            <w:tcW w:w="133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专业/资格</w:t>
            </w:r>
            <w:r/>
          </w:p>
        </w:tc>
        <w:tc>
          <w:tcPr>
            <w:tcW w:w="1288"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从事本工作时间</w:t>
            </w:r>
            <w:r/>
          </w:p>
        </w:tc>
        <w:tc>
          <w:tcPr>
            <w:tcW w:w="154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典型业务与技术专长</w:t>
            </w:r>
            <w:r/>
          </w:p>
        </w:tc>
      </w:tr>
      <w:tr>
        <w:trPr>
          <w:jc w:val="center"/>
        </w:trPr>
        <w:tc>
          <w:tcPr>
            <w:tcW w:w="459"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1</w:t>
            </w:r>
            <w:r/>
          </w:p>
        </w:tc>
        <w:tc>
          <w:tcPr>
            <w:tcW w:w="121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99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566"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56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93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33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288"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54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459"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2</w:t>
            </w:r>
            <w:r/>
          </w:p>
        </w:tc>
        <w:tc>
          <w:tcPr>
            <w:tcW w:w="121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99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566"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56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93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33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288"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54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459"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3</w:t>
            </w:r>
            <w:r/>
          </w:p>
        </w:tc>
        <w:tc>
          <w:tcPr>
            <w:tcW w:w="121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99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566"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56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93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33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288"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54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459"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4</w:t>
            </w:r>
            <w:r/>
          </w:p>
        </w:tc>
        <w:tc>
          <w:tcPr>
            <w:tcW w:w="121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99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566"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56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93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33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288"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54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459"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5</w:t>
            </w:r>
            <w:r/>
          </w:p>
        </w:tc>
        <w:tc>
          <w:tcPr>
            <w:tcW w:w="121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99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566"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56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93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33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288"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54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459"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6</w:t>
            </w:r>
            <w:r/>
          </w:p>
        </w:tc>
        <w:tc>
          <w:tcPr>
            <w:tcW w:w="121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99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566"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56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93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33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288"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54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459"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7</w:t>
            </w:r>
            <w:r/>
          </w:p>
        </w:tc>
        <w:tc>
          <w:tcPr>
            <w:tcW w:w="121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99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566"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56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93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33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288"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54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459"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8</w:t>
            </w:r>
            <w:r/>
          </w:p>
        </w:tc>
        <w:tc>
          <w:tcPr>
            <w:tcW w:w="121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99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566"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56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93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33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288"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54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459"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9</w:t>
            </w:r>
            <w:r/>
          </w:p>
        </w:tc>
        <w:tc>
          <w:tcPr>
            <w:tcW w:w="121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99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566"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56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931"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33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288"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547" w:type="dxa"/>
            <w:vAlign w:val="center"/>
            <w:textDirection w:val="lrTb"/>
            <w:noWrap w:val="false"/>
          </w:tcPr>
          <w:p>
            <w:pPr>
              <w:pStyle w:val="1037"/>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459" w:type="dxa"/>
            <w:vAlign w:val="center"/>
            <w:textDirection w:val="lrTb"/>
            <w:noWrap w:val="false"/>
          </w:tcPr>
          <w:p>
            <w:pPr>
              <w:ind w:left="0"/>
              <w:jc w:val="center"/>
              <w:spacing w:line="360" w:lineRule="auto"/>
              <w:widowControl w:val="off"/>
              <w:rPr>
                <w:rStyle w:val="1033"/>
                <w:rFonts w:hint="eastAsia" w:ascii="宋体" w:hAnsi="宋体" w:cs="宋体"/>
                <w:sz w:val="24"/>
                <w:szCs w:val="24"/>
                <w:highlight w:val="none"/>
              </w:rPr>
            </w:pPr>
            <w:r>
              <w:rPr>
                <w:rStyle w:val="1033"/>
                <w:rFonts w:hint="eastAsia" w:ascii="宋体" w:hAnsi="宋体" w:cs="宋体"/>
                <w:sz w:val="24"/>
                <w:szCs w:val="24"/>
                <w:highlight w:val="none"/>
              </w:rPr>
              <w:t xml:space="preserve">10</w:t>
            </w:r>
            <w:r/>
          </w:p>
        </w:tc>
        <w:tc>
          <w:tcPr>
            <w:tcW w:w="1211" w:type="dxa"/>
            <w:vAlign w:val="center"/>
            <w:textDirection w:val="lrTb"/>
            <w:noWrap w:val="false"/>
          </w:tcPr>
          <w:p>
            <w:pPr>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991" w:type="dxa"/>
            <w:vAlign w:val="center"/>
            <w:textDirection w:val="lrTb"/>
            <w:noWrap w:val="false"/>
          </w:tcPr>
          <w:p>
            <w:pPr>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566" w:type="dxa"/>
            <w:vAlign w:val="center"/>
            <w:textDirection w:val="lrTb"/>
            <w:noWrap w:val="false"/>
          </w:tcPr>
          <w:p>
            <w:pPr>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567" w:type="dxa"/>
            <w:vAlign w:val="center"/>
            <w:textDirection w:val="lrTb"/>
            <w:noWrap w:val="false"/>
          </w:tcPr>
          <w:p>
            <w:pPr>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931" w:type="dxa"/>
            <w:vAlign w:val="center"/>
            <w:textDirection w:val="lrTb"/>
            <w:noWrap w:val="false"/>
          </w:tcPr>
          <w:p>
            <w:pPr>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337" w:type="dxa"/>
            <w:vAlign w:val="center"/>
            <w:textDirection w:val="lrTb"/>
            <w:noWrap w:val="false"/>
          </w:tcPr>
          <w:p>
            <w:pPr>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288" w:type="dxa"/>
            <w:vAlign w:val="center"/>
            <w:textDirection w:val="lrTb"/>
            <w:noWrap w:val="false"/>
          </w:tcPr>
          <w:p>
            <w:pPr>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c>
          <w:tcPr>
            <w:tcW w:w="1547" w:type="dxa"/>
            <w:vAlign w:val="center"/>
            <w:textDirection w:val="lrTb"/>
            <w:noWrap w:val="false"/>
          </w:tcPr>
          <w:p>
            <w:pPr>
              <w:ind w:left="0"/>
              <w:jc w:val="center"/>
              <w:spacing w:line="360" w:lineRule="auto"/>
              <w:widowControl w:val="off"/>
              <w:rPr>
                <w:rStyle w:val="1033"/>
                <w:rFonts w:hint="eastAsia" w:ascii="宋体" w:hAnsi="宋体" w:cs="宋体"/>
                <w:sz w:val="24"/>
                <w:szCs w:val="24"/>
                <w:highlight w:val="none"/>
              </w:rPr>
            </w:pPr>
            <w:r>
              <w:rPr>
                <w:rFonts w:hint="eastAsia" w:ascii="宋体" w:hAnsi="宋体" w:cs="宋体"/>
                <w:sz w:val="24"/>
                <w:szCs w:val="24"/>
                <w:highlight w:val="none"/>
              </w:rPr>
            </w:r>
            <w:r/>
          </w:p>
        </w:tc>
      </w:tr>
    </w:tbl>
    <w:p>
      <w:pPr>
        <w:pStyle w:val="1036"/>
        <w:widowControl w:val="off"/>
        <w:rPr>
          <w:rStyle w:val="1033"/>
          <w:rFonts w:hint="eastAsia" w:ascii="宋体" w:hAnsi="宋体" w:cs="宋体"/>
          <w:szCs w:val="24"/>
          <w:highlight w:val="none"/>
        </w:rPr>
      </w:pPr>
      <w:r>
        <w:rPr>
          <w:rFonts w:hint="eastAsia" w:ascii="宋体" w:hAnsi="宋体" w:cs="宋体"/>
          <w:szCs w:val="24"/>
          <w:highlight w:val="none"/>
        </w:rPr>
      </w:r>
      <w:r/>
    </w:p>
    <w:p>
      <w:pPr>
        <w:ind w:firstLine="482"/>
        <w:spacing w:line="360" w:lineRule="auto"/>
        <w:widowControl w:val="off"/>
        <w:rPr>
          <w:rStyle w:val="1033"/>
          <w:rFonts w:hint="eastAsia" w:ascii="宋体" w:hAnsi="宋体" w:cs="宋体"/>
          <w:b/>
          <w:sz w:val="24"/>
          <w:szCs w:val="24"/>
          <w:highlight w:val="none"/>
        </w:rPr>
      </w:pPr>
      <w:r>
        <w:rPr>
          <w:rFonts w:hint="eastAsia" w:ascii="宋体" w:hAnsi="宋体" w:cs="宋体"/>
          <w:b/>
          <w:sz w:val="24"/>
          <w:szCs w:val="24"/>
          <w:highlight w:val="none"/>
        </w:rPr>
      </w:r>
      <w:r/>
    </w:p>
    <w:p>
      <w:pPr>
        <w:pStyle w:val="1036"/>
        <w:ind w:left="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供应商：（单位盖章）</w:t>
      </w:r>
      <w:r/>
    </w:p>
    <w:p>
      <w:pPr>
        <w:pStyle w:val="1036"/>
        <w:ind w:left="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法定代表人或代理人：（签字或盖章）</w:t>
      </w:r>
      <w:r/>
    </w:p>
    <w:p>
      <w:pPr>
        <w:pStyle w:val="1036"/>
        <w:ind w:left="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日期：      年    月    日</w:t>
      </w:r>
      <w:r/>
    </w:p>
    <w:p>
      <w:pPr>
        <w:pStyle w:val="1036"/>
        <w:ind w:left="0" w:firstLine="0"/>
        <w:widowControl w:val="off"/>
        <w:rPr>
          <w:rStyle w:val="1033"/>
          <w:rFonts w:hint="eastAsia" w:ascii="宋体" w:hAnsi="宋体" w:cs="宋体"/>
          <w:b/>
          <w:highlight w:val="none"/>
        </w:rPr>
        <w:outlineLvl w:val="1"/>
      </w:pPr>
      <w:r>
        <w:rPr>
          <w:rStyle w:val="1033"/>
          <w:rFonts w:hint="eastAsia" w:ascii="宋体" w:hAnsi="宋体" w:cs="宋体"/>
          <w:sz w:val="21"/>
          <w:szCs w:val="21"/>
          <w:highlight w:val="none"/>
        </w:rPr>
        <w:br w:type="page" w:clear="all"/>
      </w:r>
      <w:bookmarkStart w:id="84" w:name="_Toc5921"/>
      <w:r>
        <w:rPr>
          <w:rStyle w:val="1033"/>
          <w:rFonts w:hint="eastAsia" w:ascii="宋体" w:hAnsi="宋体" w:cs="宋体"/>
          <w:b/>
          <w:highlight w:val="none"/>
        </w:rPr>
        <w:t xml:space="preserve">附件11、企业类似项目一览表</w:t>
      </w:r>
      <w:r/>
    </w:p>
    <w:p>
      <w:pPr>
        <w:ind w:left="0"/>
        <w:widowControl w:val="off"/>
        <w:rPr>
          <w:rFonts w:hint="eastAsia" w:ascii="宋体" w:hAnsi="宋体" w:cs="宋体"/>
          <w:sz w:val="24"/>
          <w:szCs w:val="24"/>
          <w:highlight w:val="none"/>
        </w:rPr>
      </w:pPr>
      <w:r>
        <w:rPr>
          <w:rFonts w:hint="eastAsia" w:ascii="宋体" w:hAnsi="宋体" w:cs="宋体"/>
          <w:sz w:val="24"/>
          <w:szCs w:val="24"/>
          <w:highlight w:val="none"/>
        </w:rPr>
      </w:r>
      <w:r/>
    </w:p>
    <w:p>
      <w:pPr>
        <w:ind w:left="0"/>
        <w:jc w:val="center"/>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企业类似项目一览表</w:t>
      </w:r>
      <w:r/>
    </w:p>
    <w:p>
      <w:pPr>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r>
      <w:r/>
    </w:p>
    <w:tbl>
      <w:tblPr>
        <w:tblStyle w:val="8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jc w:val="center"/>
          <w:trHeight w:val="1253"/>
        </w:trPr>
        <w:tc>
          <w:tcPr>
            <w:tcW w:w="861" w:type="dxa"/>
            <w:vAlign w:val="center"/>
            <w:textDirection w:val="lrTb"/>
            <w:noWrap w:val="false"/>
          </w:tcPr>
          <w:p>
            <w:pPr>
              <w:ind w:left="0"/>
              <w:jc w:val="center"/>
              <w:widowControl w:val="off"/>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1649" w:type="dxa"/>
            <w:vAlign w:val="center"/>
            <w:textDirection w:val="lrTb"/>
            <w:noWrap w:val="false"/>
          </w:tcPr>
          <w:p>
            <w:pPr>
              <w:ind w:left="0"/>
              <w:jc w:val="center"/>
              <w:widowControl w:val="off"/>
              <w:rPr>
                <w:rFonts w:hint="eastAsia" w:ascii="宋体" w:hAnsi="宋体" w:cs="宋体"/>
                <w:sz w:val="24"/>
                <w:szCs w:val="24"/>
                <w:highlight w:val="none"/>
              </w:rPr>
            </w:pPr>
            <w:r>
              <w:rPr>
                <w:rFonts w:hint="eastAsia" w:ascii="宋体" w:hAnsi="宋体" w:cs="宋体"/>
                <w:sz w:val="24"/>
                <w:szCs w:val="24"/>
                <w:highlight w:val="none"/>
              </w:rPr>
              <w:t xml:space="preserve">合同名称</w:t>
            </w:r>
            <w:r/>
          </w:p>
        </w:tc>
        <w:tc>
          <w:tcPr>
            <w:tcW w:w="1506" w:type="dxa"/>
            <w:vAlign w:val="center"/>
            <w:textDirection w:val="lrTb"/>
            <w:noWrap w:val="false"/>
          </w:tcPr>
          <w:p>
            <w:pPr>
              <w:ind w:left="0"/>
              <w:jc w:val="center"/>
              <w:widowControl w:val="off"/>
              <w:tabs>
                <w:tab w:val="left" w:pos="6252" w:leader="none"/>
              </w:tabs>
              <w:rPr>
                <w:rFonts w:hint="eastAsia" w:ascii="宋体" w:hAnsi="宋体" w:cs="宋体"/>
                <w:sz w:val="24"/>
                <w:szCs w:val="24"/>
                <w:highlight w:val="none"/>
              </w:rPr>
            </w:pPr>
            <w:r>
              <w:rPr>
                <w:rFonts w:hint="eastAsia" w:ascii="宋体" w:hAnsi="宋体" w:cs="宋体"/>
                <w:sz w:val="24"/>
                <w:szCs w:val="24"/>
                <w:highlight w:val="none"/>
              </w:rPr>
              <w:t xml:space="preserve">业主单位</w:t>
            </w:r>
            <w:r/>
          </w:p>
        </w:tc>
        <w:tc>
          <w:tcPr>
            <w:tcW w:w="1506" w:type="dxa"/>
            <w:vAlign w:val="center"/>
            <w:textDirection w:val="lrTb"/>
            <w:noWrap w:val="false"/>
          </w:tcPr>
          <w:p>
            <w:pPr>
              <w:ind w:left="0"/>
              <w:jc w:val="center"/>
              <w:widowControl w:val="off"/>
              <w:tabs>
                <w:tab w:val="left" w:pos="6252" w:leader="none"/>
              </w:tabs>
              <w:rPr>
                <w:rFonts w:hint="eastAsia" w:ascii="宋体" w:hAnsi="宋体" w:cs="宋体"/>
                <w:sz w:val="24"/>
                <w:szCs w:val="24"/>
                <w:highlight w:val="none"/>
              </w:rPr>
            </w:pPr>
            <w:r>
              <w:rPr>
                <w:rFonts w:hint="eastAsia" w:ascii="宋体" w:hAnsi="宋体" w:cs="宋体"/>
                <w:sz w:val="24"/>
                <w:szCs w:val="24"/>
                <w:highlight w:val="none"/>
              </w:rPr>
              <w:t xml:space="preserve">项目时间</w:t>
            </w:r>
            <w:r/>
          </w:p>
        </w:tc>
        <w:tc>
          <w:tcPr>
            <w:tcW w:w="1757" w:type="dxa"/>
            <w:vAlign w:val="center"/>
            <w:textDirection w:val="lrTb"/>
            <w:noWrap w:val="false"/>
          </w:tcPr>
          <w:p>
            <w:pPr>
              <w:ind w:left="0"/>
              <w:jc w:val="center"/>
              <w:widowControl w:val="off"/>
              <w:tabs>
                <w:tab w:val="left" w:pos="6252" w:leader="none"/>
              </w:tabs>
              <w:rPr>
                <w:rFonts w:hint="eastAsia" w:ascii="宋体" w:hAnsi="宋体" w:cs="宋体"/>
                <w:sz w:val="24"/>
                <w:szCs w:val="24"/>
                <w:highlight w:val="none"/>
              </w:rPr>
            </w:pPr>
            <w:r>
              <w:rPr>
                <w:rFonts w:hint="eastAsia" w:ascii="宋体" w:hAnsi="宋体" w:cs="宋体"/>
                <w:sz w:val="24"/>
                <w:szCs w:val="24"/>
                <w:highlight w:val="none"/>
              </w:rPr>
              <w:t xml:space="preserve">合同金额</w:t>
            </w:r>
            <w:r/>
          </w:p>
        </w:tc>
        <w:tc>
          <w:tcPr>
            <w:tcW w:w="1201" w:type="dxa"/>
            <w:vAlign w:val="center"/>
            <w:textDirection w:val="lrTb"/>
            <w:noWrap w:val="false"/>
          </w:tcPr>
          <w:p>
            <w:pPr>
              <w:ind w:left="0"/>
              <w:jc w:val="center"/>
              <w:widowControl w:val="off"/>
              <w:tabs>
                <w:tab w:val="left" w:pos="6252" w:leader="none"/>
              </w:tabs>
              <w:rPr>
                <w:rFonts w:hint="eastAsia" w:ascii="宋体" w:hAnsi="宋体" w:cs="宋体"/>
                <w:sz w:val="24"/>
                <w:szCs w:val="24"/>
                <w:highlight w:val="none"/>
              </w:rPr>
            </w:pPr>
            <w:r>
              <w:rPr>
                <w:rFonts w:hint="eastAsia" w:ascii="宋体" w:hAnsi="宋体" w:cs="宋体"/>
                <w:sz w:val="24"/>
                <w:szCs w:val="24"/>
                <w:highlight w:val="none"/>
              </w:rPr>
              <w:t xml:space="preserve">备注</w:t>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1649"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1649"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1649"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1649"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W w:w="1649"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6</w:t>
            </w:r>
            <w:r/>
          </w:p>
        </w:tc>
        <w:tc>
          <w:tcPr>
            <w:tcW w:w="1649"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7</w:t>
            </w:r>
            <w:r/>
          </w:p>
        </w:tc>
        <w:tc>
          <w:tcPr>
            <w:tcW w:w="1649"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w:t>
            </w:r>
            <w:r/>
          </w:p>
        </w:tc>
        <w:tc>
          <w:tcPr>
            <w:tcW w:w="1649"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506"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757"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c>
          <w:tcPr>
            <w:tcW w:w="1201" w:type="dxa"/>
            <w:vAlign w:val="center"/>
            <w:textDirection w:val="lrTb"/>
            <w:noWrap w:val="false"/>
          </w:tcPr>
          <w:p>
            <w:pPr>
              <w:ind w:left="0"/>
              <w:jc w:val="center"/>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r>
            <w:r/>
          </w:p>
        </w:tc>
      </w:tr>
    </w:tbl>
    <w:p>
      <w:pPr>
        <w:widowControl w:val="off"/>
        <w:rPr>
          <w:rFonts w:hint="eastAsia" w:ascii="宋体" w:hAnsi="宋体" w:cs="宋体"/>
          <w:sz w:val="24"/>
          <w:szCs w:val="24"/>
          <w:highlight w:val="none"/>
        </w:rPr>
      </w:pPr>
      <w:r>
        <w:rPr>
          <w:rFonts w:hint="eastAsia" w:ascii="宋体" w:hAnsi="宋体" w:cs="宋体"/>
          <w:sz w:val="24"/>
          <w:szCs w:val="24"/>
          <w:highlight w:val="none"/>
        </w:rPr>
      </w:r>
      <w:r/>
    </w:p>
    <w:p>
      <w:pPr>
        <w:pStyle w:val="1034"/>
        <w:ind w:firstLine="0"/>
        <w:jc w:val="both"/>
        <w:spacing w:line="360" w:lineRule="auto"/>
        <w:widowControl w:val="off"/>
        <w:rPr>
          <w:rStyle w:val="1033"/>
          <w:rFonts w:hint="eastAsia" w:ascii="宋体" w:hAnsi="宋体" w:cs="宋体"/>
          <w:b/>
          <w:szCs w:val="24"/>
          <w:highlight w:val="none"/>
        </w:rPr>
      </w:pPr>
      <w:r>
        <w:rPr>
          <w:rFonts w:hint="eastAsia" w:ascii="宋体" w:hAnsi="宋体" w:cs="宋体"/>
          <w:b/>
          <w:szCs w:val="24"/>
          <w:highlight w:val="none"/>
        </w:rPr>
      </w:r>
      <w:r/>
    </w:p>
    <w:p>
      <w:pPr>
        <w:pStyle w:val="1036"/>
        <w:widowControl w:val="off"/>
        <w:rPr>
          <w:rStyle w:val="1033"/>
          <w:rFonts w:hint="eastAsia" w:ascii="宋体" w:hAnsi="宋体" w:cs="宋体"/>
          <w:highlight w:val="none"/>
        </w:rPr>
      </w:pPr>
      <w:r>
        <w:rPr>
          <w:rStyle w:val="1033"/>
          <w:rFonts w:hint="eastAsia" w:ascii="宋体" w:hAnsi="宋体" w:cs="宋体"/>
          <w:highlight w:val="none"/>
        </w:rPr>
        <w:t xml:space="preserve">供应商：（单位盖章）</w:t>
      </w:r>
      <w:r/>
    </w:p>
    <w:p>
      <w:pPr>
        <w:pStyle w:val="1036"/>
        <w:widowControl w:val="off"/>
        <w:rPr>
          <w:rStyle w:val="1033"/>
          <w:rFonts w:hint="eastAsia" w:ascii="宋体" w:hAnsi="宋体" w:cs="宋体"/>
          <w:highlight w:val="none"/>
        </w:rPr>
      </w:pPr>
      <w:r>
        <w:rPr>
          <w:rStyle w:val="1033"/>
          <w:rFonts w:hint="eastAsia" w:ascii="宋体" w:hAnsi="宋体" w:cs="宋体"/>
          <w:highlight w:val="none"/>
        </w:rPr>
        <w:t xml:space="preserve">法定代表人或代理人：（签字或盖章）</w:t>
      </w:r>
      <w:r/>
    </w:p>
    <w:p>
      <w:pPr>
        <w:pStyle w:val="1036"/>
        <w:widowControl w:val="off"/>
        <w:rPr>
          <w:rStyle w:val="1033"/>
          <w:rFonts w:hint="eastAsia" w:ascii="宋体" w:hAnsi="宋体" w:cs="宋体"/>
          <w:highlight w:val="none"/>
        </w:rPr>
      </w:pPr>
      <w:r>
        <w:rPr>
          <w:rStyle w:val="1033"/>
          <w:rFonts w:hint="eastAsia" w:ascii="宋体" w:hAnsi="宋体" w:cs="宋体"/>
          <w:highlight w:val="none"/>
        </w:rPr>
        <w:t xml:space="preserve">日期：   年   月   日</w:t>
      </w:r>
      <w:r/>
    </w:p>
    <w:p>
      <w:pPr>
        <w:pStyle w:val="1034"/>
        <w:ind w:left="0" w:firstLine="0"/>
        <w:jc w:val="both"/>
        <w:spacing w:line="360" w:lineRule="auto"/>
        <w:widowControl w:val="off"/>
        <w:rPr>
          <w:rFonts w:hint="eastAsia" w:ascii="宋体" w:hAnsi="宋体" w:cs="宋体"/>
          <w:b/>
          <w:sz w:val="21"/>
          <w:szCs w:val="21"/>
          <w:highlight w:val="none"/>
        </w:rPr>
        <w:outlineLvl w:val="1"/>
      </w:pPr>
      <w:r>
        <w:rPr>
          <w:rFonts w:hint="eastAsia" w:ascii="宋体" w:hAnsi="宋体" w:cs="宋体"/>
          <w:b/>
          <w:sz w:val="21"/>
          <w:szCs w:val="21"/>
          <w:highlight w:val="none"/>
        </w:rPr>
        <w:br w:type="page" w:clear="all"/>
      </w:r>
      <w:r>
        <w:rPr>
          <w:rFonts w:hint="eastAsia" w:ascii="宋体" w:hAnsi="宋体" w:cs="宋体"/>
          <w:b/>
          <w:szCs w:val="24"/>
          <w:highlight w:val="none"/>
        </w:rPr>
        <w:t xml:space="preserve">附件12、中小企业声明函</w:t>
      </w:r>
      <w:bookmarkEnd w:id="79"/>
      <w:r/>
      <w:bookmarkEnd w:id="80"/>
      <w:r/>
      <w:bookmarkEnd w:id="84"/>
      <w:r/>
      <w:r/>
    </w:p>
    <w:p>
      <w:pPr>
        <w:ind w:left="0"/>
        <w:jc w:val="center"/>
        <w:spacing w:line="400" w:lineRule="exact"/>
        <w:widowControl w:val="off"/>
        <w:rPr>
          <w:rStyle w:val="1033"/>
          <w:rFonts w:hint="eastAsia" w:ascii="宋体" w:hAnsi="宋体" w:cs="宋体"/>
          <w:sz w:val="24"/>
          <w:szCs w:val="24"/>
          <w:highlight w:val="none"/>
          <w:lang w:val="zh-CN"/>
        </w:rPr>
      </w:pPr>
      <w:r>
        <w:rPr>
          <w:rStyle w:val="1033"/>
          <w:rFonts w:hint="eastAsia" w:ascii="宋体" w:hAnsi="宋体" w:cs="宋体"/>
          <w:sz w:val="24"/>
          <w:szCs w:val="24"/>
          <w:highlight w:val="none"/>
          <w:lang w:val="zh-CN"/>
        </w:rPr>
        <w:t xml:space="preserve">中小企业声明函</w:t>
      </w:r>
      <w:r/>
    </w:p>
    <w:p>
      <w:pPr>
        <w:ind w:left="0" w:firstLine="480"/>
        <w:spacing w:line="360" w:lineRule="auto"/>
        <w:widowControl w:val="off"/>
        <w:rPr>
          <w:rStyle w:val="1033"/>
          <w:rFonts w:hint="eastAsia" w:ascii="宋体" w:hAnsi="宋体" w:cs="宋体"/>
          <w:sz w:val="24"/>
          <w:szCs w:val="24"/>
          <w:highlight w:val="none"/>
          <w:lang w:val="zh-CN"/>
        </w:rPr>
      </w:pPr>
      <w:r>
        <w:rPr>
          <w:rFonts w:hint="eastAsia" w:ascii="宋体" w:hAnsi="宋体" w:cs="宋体"/>
          <w:sz w:val="24"/>
          <w:szCs w:val="24"/>
          <w:highlight w:val="none"/>
          <w:lang w:val="zh-CN"/>
        </w:rPr>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本公司(联合体）郑重声明，根据《政府采购促进中小企业发展管理办法》(财库【2020】46号）的规定，本公司(联合体）参加</w:t>
      </w:r>
      <w:r>
        <w:rPr>
          <w:rFonts w:hint="eastAsia" w:ascii="宋体" w:hAnsi="宋体" w:cs="宋体"/>
          <w:b/>
          <w:sz w:val="24"/>
          <w:szCs w:val="24"/>
          <w:highlight w:val="none"/>
          <w:u w:val="single"/>
        </w:rPr>
        <w:t xml:space="preserve">                  </w:t>
      </w:r>
      <w:r>
        <w:rPr>
          <w:rFonts w:hint="eastAsia" w:ascii="宋体" w:hAnsi="宋体" w:cs="宋体"/>
          <w:sz w:val="24"/>
          <w:szCs w:val="24"/>
          <w:highlight w:val="none"/>
        </w:rPr>
        <w:t xml:space="preserve">采购活动，服务全部由符合政策要求的中小企业承接。相关企业（含联合体中的中小企业、签订分包意向协议的中小企业）的具体情况如下:</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（标的名称)</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（采购文件中明确的所属行业)</w:t>
      </w:r>
      <w:r>
        <w:rPr>
          <w:rFonts w:hint="eastAsia" w:ascii="宋体" w:hAnsi="宋体" w:cs="宋体"/>
          <w:sz w:val="24"/>
          <w:szCs w:val="24"/>
          <w:highlight w:val="none"/>
        </w:rPr>
        <w:t xml:space="preserve">；承建（承接）企业为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，从业人员__人，营业收入为__万元，资产总额为__万元，属于（中型企业、小型企业、微型企业)；</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(标的名称)</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(采购文件中明确的所属行业)</w:t>
      </w:r>
      <w:r>
        <w:rPr>
          <w:rFonts w:hint="eastAsia" w:ascii="宋体" w:hAnsi="宋体" w:cs="宋体"/>
          <w:sz w:val="24"/>
          <w:szCs w:val="24"/>
          <w:highlight w:val="none"/>
        </w:rPr>
        <w:t xml:space="preserve">；承建（承接）企业为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人，营业收入为___万元，资产总额为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pStyle w:val="1027"/>
        <w:ind w:firstLine="480"/>
        <w:rPr>
          <w:rFonts w:hint="eastAsia" w:hAnsi="宋体" w:cs="宋体"/>
          <w:sz w:val="21"/>
          <w:szCs w:val="21"/>
          <w:highlight w:val="none"/>
        </w:rPr>
      </w:pPr>
      <w:r>
        <w:rPr>
          <w:rFonts w:hint="eastAsia" w:hAnsi="宋体" w:cs="宋体"/>
          <w:szCs w:val="24"/>
          <w:highlight w:val="none"/>
        </w:rPr>
        <w:t xml:space="preserve">本企业对上述声明内容的真实性负责。如有虚假，将依法承担相应责任。</w:t>
      </w:r>
      <w:r/>
    </w:p>
    <w:p>
      <w:pPr>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注：从业人员、营业收入、资产总额填报上一年度数据，无上一年度数据的新成立企业可不填报。</w:t>
      </w:r>
      <w:r/>
    </w:p>
    <w:p>
      <w:pPr>
        <w:pStyle w:val="831"/>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831"/>
        <w:ind w:left="0" w:firstLine="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831"/>
        <w:ind w:left="0"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企业名称（盖章）：</w:t>
      </w:r>
      <w:r/>
    </w:p>
    <w:p>
      <w:pPr>
        <w:pStyle w:val="831"/>
        <w:ind w:left="0"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831"/>
        <w:ind w:left="0"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日  期：</w:t>
      </w:r>
      <w:r/>
    </w:p>
    <w:p>
      <w:pPr>
        <w:pStyle w:val="831"/>
        <w:ind w:left="0" w:firstLine="0"/>
        <w:jc w:val="left"/>
        <w:spacing w:line="360" w:lineRule="auto"/>
        <w:rPr>
          <w:rFonts w:hint="eastAsia" w:ascii="宋体" w:hAnsi="宋体" w:cs="宋体"/>
          <w:b/>
          <w:bCs/>
          <w:sz w:val="24"/>
          <w:szCs w:val="24"/>
          <w:highlight w:val="none"/>
        </w:rPr>
        <w:outlineLvl w:val="1"/>
      </w:pPr>
      <w:r>
        <w:rPr>
          <w:rFonts w:hint="eastAsia" w:ascii="宋体" w:hAnsi="宋体" w:cs="宋体"/>
          <w:b/>
          <w:bCs/>
          <w:sz w:val="21"/>
          <w:szCs w:val="21"/>
          <w:highlight w:val="none"/>
        </w:rPr>
        <w:br w:type="page" w:clear="all"/>
      </w:r>
      <w:bookmarkStart w:id="85" w:name="_Toc14042"/>
      <w:r>
        <w:rPr>
          <w:rFonts w:hint="eastAsia" w:ascii="宋体" w:hAnsi="宋体" w:cs="宋体"/>
          <w:b/>
          <w:bCs/>
          <w:sz w:val="24"/>
          <w:szCs w:val="24"/>
          <w:highlight w:val="none"/>
        </w:rPr>
        <w:t xml:space="preserve">附：中小企业划型标准规定</w:t>
      </w:r>
      <w:r/>
    </w:p>
    <w:p>
      <w:pPr>
        <w:pStyle w:val="831"/>
        <w:ind w:left="0" w:firstLine="0"/>
        <w:jc w:val="left"/>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831"/>
        <w:ind w:left="0" w:firstLine="0"/>
        <w:jc w:val="left"/>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31"/>
        <w:ind w:left="0" w:firstLine="0"/>
        <w:jc w:val="left"/>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31"/>
        <w:ind w:left="0" w:firstLine="0"/>
        <w:jc w:val="left"/>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31"/>
        <w:ind w:left="0" w:firstLine="0"/>
        <w:jc w:val="left"/>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31"/>
        <w:ind w:left="0" w:firstLine="0"/>
        <w:jc w:val="left"/>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31"/>
        <w:ind w:left="0" w:firstLine="0"/>
        <w:jc w:val="left"/>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31"/>
        <w:ind w:left="0" w:firstLine="0"/>
        <w:jc w:val="left"/>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31"/>
        <w:ind w:left="0" w:firstLine="0"/>
        <w:jc w:val="left"/>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31"/>
        <w:ind w:left="0" w:firstLine="0"/>
        <w:jc w:val="left"/>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31"/>
        <w:ind w:left="0" w:firstLine="0"/>
        <w:jc w:val="left"/>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31"/>
        <w:ind w:left="0" w:firstLine="0"/>
        <w:jc w:val="left"/>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31"/>
        <w:ind w:left="0" w:firstLine="0"/>
        <w:jc w:val="left"/>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31"/>
        <w:ind w:left="0" w:firstLine="0"/>
        <w:jc w:val="left"/>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31"/>
        <w:ind w:left="0" w:firstLine="0"/>
        <w:jc w:val="left"/>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31"/>
        <w:ind w:left="0" w:firstLine="0"/>
        <w:jc w:val="left"/>
        <w:spacing w:line="360" w:lineRule="auto"/>
        <w:rPr>
          <w:rFonts w:hint="eastAsia" w:ascii="宋体" w:hAnsi="宋体" w:cs="宋体"/>
          <w:sz w:val="24"/>
          <w:szCs w:val="24"/>
          <w:highlight w:val="none"/>
        </w:rPr>
        <w:outlineLvl w:val="1"/>
      </w:pPr>
      <w:r>
        <w:rPr>
          <w:rFonts w:hint="eastAsia" w:ascii="宋体" w:hAnsi="宋体" w:cs="宋体"/>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831"/>
        <w:ind w:left="0" w:firstLine="0"/>
        <w:jc w:val="left"/>
        <w:spacing w:line="360" w:lineRule="auto"/>
        <w:rPr>
          <w:rFonts w:hint="eastAsia" w:ascii="宋体" w:hAnsi="宋体" w:cs="宋体"/>
          <w:b/>
          <w:bCs/>
          <w:sz w:val="24"/>
          <w:szCs w:val="24"/>
          <w:highlight w:val="none"/>
        </w:rPr>
        <w:outlineLvl w:val="1"/>
      </w:pPr>
      <w:r>
        <w:rPr>
          <w:rFonts w:hint="eastAsia" w:ascii="宋体" w:hAnsi="宋体" w:cs="宋体"/>
          <w:b/>
          <w:bCs/>
          <w:sz w:val="24"/>
          <w:szCs w:val="24"/>
          <w:highlight w:val="none"/>
        </w:rPr>
        <w:br w:type="page" w:clear="all"/>
      </w:r>
      <w:r>
        <w:rPr>
          <w:rFonts w:hint="eastAsia" w:ascii="宋体" w:hAnsi="宋体" w:cs="宋体"/>
          <w:b/>
          <w:bCs/>
          <w:sz w:val="24"/>
          <w:szCs w:val="24"/>
          <w:highlight w:val="none"/>
        </w:rPr>
        <w:t xml:space="preserve">附件13、</w:t>
      </w:r>
      <w:r>
        <w:rPr>
          <w:rFonts w:hint="eastAsia" w:ascii="宋体" w:hAnsi="宋体" w:cs="宋体"/>
          <w:b/>
          <w:bCs/>
          <w:sz w:val="24"/>
          <w:szCs w:val="24"/>
          <w:highlight w:val="none"/>
          <w:lang w:val="zh-CN"/>
        </w:rPr>
        <w:t xml:space="preserve">残疾人福利性单位声明函</w:t>
      </w:r>
      <w:bookmarkEnd w:id="85"/>
      <w:r/>
      <w:r/>
    </w:p>
    <w:p>
      <w:pPr>
        <w:pStyle w:val="1025"/>
        <w:ind w:left="0"/>
        <w:rPr>
          <w:rFonts w:hint="eastAsia" w:ascii="宋体" w:hAnsi="宋体" w:cs="宋体"/>
          <w:sz w:val="24"/>
          <w:szCs w:val="24"/>
          <w:highlight w:val="none"/>
        </w:rPr>
      </w:pPr>
      <w:r>
        <w:rPr>
          <w:rFonts w:hint="eastAsia" w:ascii="宋体" w:hAnsi="宋体" w:cs="宋体"/>
          <w:sz w:val="24"/>
          <w:szCs w:val="24"/>
          <w:highlight w:val="none"/>
        </w:rPr>
      </w:r>
      <w:r/>
    </w:p>
    <w:p>
      <w:pPr>
        <w:ind w:left="0" w:firstLine="482"/>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ind w:left="0"/>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残疾人福利性单位声明函</w:t>
      </w:r>
      <w:r/>
    </w:p>
    <w:p>
      <w:pPr>
        <w:ind w:left="0"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 w:val="24"/>
          <w:szCs w:val="24"/>
          <w:highlight w:val="none"/>
          <w:lang w:val="zh-CN"/>
        </w:rPr>
        <w:t xml:space="preserve">贵中心组织实施的编号为</w:t>
      </w:r>
      <w:r>
        <w:rPr>
          <w:rFonts w:hint="eastAsia" w:ascii="宋体" w:hAnsi="宋体" w:cs="宋体"/>
          <w:sz w:val="24"/>
          <w:szCs w:val="24"/>
          <w:highlight w:val="none"/>
          <w:u w:val="single"/>
          <w:lang w:val="zh-CN"/>
        </w:rPr>
        <w:t xml:space="preserve">              </w:t>
      </w:r>
      <w:r>
        <w:rPr>
          <w:rFonts w:hint="eastAsia" w:ascii="宋体" w:hAnsi="宋体" w:cs="宋体"/>
          <w:sz w:val="24"/>
          <w:szCs w:val="24"/>
          <w:highlight w:val="none"/>
          <w:lang w:val="zh-CN"/>
        </w:rPr>
        <w:t xml:space="preserve">号的采购活动</w:t>
      </w:r>
      <w:r>
        <w:rPr>
          <w:rFonts w:hint="eastAsia" w:ascii="宋体" w:hAnsi="宋体" w:cs="宋体"/>
          <w:sz w:val="24"/>
          <w:szCs w:val="24"/>
          <w:highlight w:val="none"/>
        </w:rPr>
        <w:t xml:space="preserve">提供本单位制造的货物（由本单位承担工程/提供服务），或者提供其他残疾人福利性单位制造的货物（不包括使用非残疾人福利性单位注册商标的货物）。</w:t>
      </w:r>
      <w:r/>
    </w:p>
    <w:p>
      <w:pPr>
        <w:ind w:left="0"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本单位对上述声明的真实性负责。如有虚假，将依法承担相应责任。</w:t>
      </w:r>
      <w:r/>
    </w:p>
    <w:p>
      <w:pPr>
        <w:pStyle w:val="1029"/>
        <w:ind w:left="0" w:firstLine="480"/>
        <w:spacing w:line="360" w:lineRule="auto"/>
        <w:rPr>
          <w:rFonts w:hint="eastAsia" w:hAnsi="宋体" w:cs="宋体"/>
          <w:sz w:val="24"/>
          <w:szCs w:val="24"/>
          <w:highlight w:val="none"/>
        </w:rPr>
      </w:pPr>
      <w:r>
        <w:rPr>
          <w:rFonts w:hint="eastAsia" w:hAnsi="宋体" w:cs="宋体"/>
          <w:sz w:val="24"/>
          <w:szCs w:val="24"/>
          <w:highlight w:val="none"/>
        </w:rPr>
      </w:r>
      <w:r/>
    </w:p>
    <w:p>
      <w:pPr>
        <w:ind w:left="0"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ind w:left="0"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ind w:left="0"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ind w:left="0"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供应商名称：（盖章）</w:t>
      </w:r>
      <w:r/>
    </w:p>
    <w:p>
      <w:pPr>
        <w:ind w:left="0"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left="0" w:firstLine="480"/>
        <w:jc w:val="left"/>
        <w:spacing w:line="360" w:lineRule="auto"/>
        <w:rPr>
          <w:rFonts w:hint="eastAsia" w:ascii="宋体" w:hAnsi="宋体" w:cs="宋体"/>
          <w:b/>
          <w:sz w:val="24"/>
          <w:szCs w:val="24"/>
          <w:highlight w:val="none"/>
        </w:rPr>
      </w:pPr>
      <w:r>
        <w:rPr>
          <w:rFonts w:hint="eastAsia" w:ascii="宋体" w:hAnsi="宋体" w:cs="宋体"/>
          <w:sz w:val="24"/>
          <w:szCs w:val="24"/>
          <w:highlight w:val="none"/>
        </w:rPr>
        <w:t xml:space="preserve">日期:       年      月     日</w:t>
      </w:r>
      <w:r/>
    </w:p>
    <w:p>
      <w:pPr>
        <w:ind w:left="0"/>
        <w:spacing w:line="360" w:lineRule="auto"/>
        <w:widowControl w:val="off"/>
        <w:rPr>
          <w:rFonts w:hint="eastAsia" w:ascii="宋体" w:hAnsi="宋体" w:cs="宋体"/>
          <w:b/>
          <w:sz w:val="21"/>
          <w:szCs w:val="21"/>
          <w:highlight w:val="none"/>
        </w:rPr>
      </w:pPr>
      <w:r>
        <w:rPr>
          <w:rFonts w:hint="eastAsia" w:ascii="宋体" w:hAnsi="宋体" w:cs="宋体"/>
          <w:b/>
          <w:sz w:val="21"/>
          <w:szCs w:val="21"/>
          <w:highlight w:val="none"/>
        </w:rPr>
      </w:r>
      <w:r/>
    </w:p>
    <w:p>
      <w:pPr>
        <w:ind w:left="0" w:right="480"/>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r>
      <w:r/>
    </w:p>
    <w:p>
      <w:pPr>
        <w:ind w:left="0"/>
        <w:jc w:val="left"/>
        <w:rPr>
          <w:rFonts w:hint="eastAsia" w:ascii="宋体" w:hAnsi="宋体" w:cs="宋体"/>
          <w:sz w:val="21"/>
          <w:szCs w:val="21"/>
          <w:highlight w:val="none"/>
        </w:rPr>
      </w:pPr>
      <w:r>
        <w:rPr>
          <w:rFonts w:hint="eastAsia" w:ascii="宋体" w:hAnsi="宋体" w:cs="宋体"/>
          <w:sz w:val="21"/>
          <w:szCs w:val="21"/>
          <w:highlight w:val="none"/>
        </w:rPr>
      </w:r>
      <w:r/>
    </w:p>
    <w:p>
      <w:pPr>
        <w:ind w:left="0" w:right="480"/>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r>
      <w:r/>
    </w:p>
    <w:p>
      <w:pPr>
        <w:ind w:left="0"/>
        <w:jc w:val="center"/>
        <w:spacing w:line="480" w:lineRule="exact"/>
        <w:rPr>
          <w:rFonts w:hint="eastAsia" w:ascii="宋体" w:hAnsi="宋体" w:cs="宋体"/>
          <w:sz w:val="21"/>
          <w:szCs w:val="21"/>
          <w:highlight w:val="none"/>
        </w:rPr>
      </w:pPr>
      <w:r>
        <w:rPr>
          <w:rFonts w:hint="eastAsia" w:ascii="宋体" w:hAnsi="宋体" w:cs="宋体"/>
          <w:sz w:val="21"/>
          <w:szCs w:val="21"/>
          <w:highlight w:val="none"/>
        </w:rPr>
      </w:r>
      <w:r/>
    </w:p>
    <w:p>
      <w:pPr>
        <w:ind w:left="0"/>
        <w:spacing w:line="480" w:lineRule="exact"/>
        <w:rPr>
          <w:rFonts w:hint="eastAsia" w:ascii="宋体" w:hAnsi="宋体" w:cs="宋体"/>
          <w:sz w:val="21"/>
          <w:szCs w:val="21"/>
          <w:highlight w:val="none"/>
        </w:rPr>
      </w:pPr>
      <w:r>
        <w:rPr>
          <w:rFonts w:hint="eastAsia" w:ascii="宋体" w:hAnsi="宋体" w:cs="宋体"/>
          <w:sz w:val="21"/>
          <w:szCs w:val="21"/>
          <w:highlight w:val="none"/>
        </w:rPr>
      </w:r>
      <w:r/>
    </w:p>
    <w:p>
      <w:pPr>
        <w:ind w:left="0"/>
        <w:spacing w:line="400" w:lineRule="exact"/>
        <w:rPr>
          <w:rFonts w:hint="eastAsia" w:ascii="宋体" w:hAnsi="宋体" w:cs="宋体"/>
          <w:b/>
          <w:sz w:val="24"/>
          <w:szCs w:val="24"/>
          <w:highlight w:val="none"/>
        </w:rPr>
        <w:outlineLvl w:val="1"/>
      </w:pPr>
      <w:r>
        <w:rPr>
          <w:rFonts w:hint="eastAsia" w:ascii="宋体" w:hAnsi="宋体" w:cs="宋体"/>
          <w:sz w:val="21"/>
          <w:szCs w:val="21"/>
          <w:highlight w:val="none"/>
        </w:rPr>
        <w:br w:type="page" w:clear="all"/>
      </w:r>
      <w:bookmarkStart w:id="86" w:name="_Toc7573"/>
      <w:r>
        <w:rPr>
          <w:rFonts w:hint="eastAsia" w:ascii="宋体" w:hAnsi="宋体" w:cs="宋体"/>
          <w:b/>
          <w:sz w:val="24"/>
          <w:szCs w:val="24"/>
          <w:highlight w:val="none"/>
        </w:rPr>
        <w:t xml:space="preserve">附件14、响应保证承诺书</w:t>
      </w:r>
      <w:bookmarkEnd w:id="86"/>
      <w:r/>
      <w:r/>
    </w:p>
    <w:p>
      <w:pPr>
        <w:ind w:left="0"/>
        <w:jc w:val="center"/>
        <w:widowControl w:val="off"/>
        <w:rPr>
          <w:rFonts w:hint="eastAsia" w:ascii="宋体" w:hAnsi="宋体" w:cs="宋体"/>
          <w:b/>
          <w:bCs/>
          <w:sz w:val="24"/>
          <w:szCs w:val="24"/>
          <w:highlight w:val="none"/>
        </w:rPr>
      </w:pPr>
      <w:r>
        <w:rPr>
          <w:rFonts w:hint="eastAsia" w:ascii="宋体" w:hAnsi="宋体" w:cs="宋体"/>
          <w:b/>
          <w:bCs/>
          <w:sz w:val="24"/>
          <w:szCs w:val="24"/>
          <w:highlight w:val="none"/>
        </w:rPr>
      </w:r>
      <w:r/>
    </w:p>
    <w:p>
      <w:pPr>
        <w:ind w:left="0"/>
        <w:jc w:val="center"/>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响应保证承诺书</w:t>
      </w:r>
      <w:r/>
    </w:p>
    <w:p>
      <w:pPr>
        <w:ind w:left="0"/>
        <w:widowControl w:val="off"/>
        <w:rPr>
          <w:rFonts w:hint="eastAsia" w:ascii="宋体" w:hAnsi="宋体" w:cs="宋体"/>
          <w:sz w:val="24"/>
          <w:szCs w:val="24"/>
          <w:highlight w:val="none"/>
          <w:u w:val="single"/>
        </w:rPr>
      </w:pPr>
      <w:r>
        <w:rPr>
          <w:rFonts w:hint="eastAsia" w:ascii="宋体" w:hAnsi="宋体" w:cs="宋体"/>
          <w:sz w:val="24"/>
          <w:szCs w:val="24"/>
          <w:highlight w:val="none"/>
        </w:rPr>
        <w:t xml:space="preserve">致</w:t>
      </w:r>
      <w:r>
        <w:rPr>
          <w:rFonts w:hint="eastAsia" w:ascii="宋体" w:hAnsi="宋体" w:cs="宋体"/>
          <w:sz w:val="24"/>
          <w:szCs w:val="24"/>
          <w:highlight w:val="none"/>
          <w:u w:val="single"/>
        </w:rPr>
        <w:t xml:space="preserve">：（采购代理机构名称）</w:t>
      </w:r>
      <w:r/>
    </w:p>
    <w:p>
      <w:pPr>
        <w:ind w:left="0" w:firstLine="480"/>
        <w:widowControl w:val="off"/>
        <w:rPr>
          <w:rFonts w:hint="eastAsia" w:ascii="宋体" w:hAnsi="宋体" w:cs="宋体"/>
          <w:sz w:val="24"/>
          <w:szCs w:val="24"/>
          <w:highlight w:val="none"/>
        </w:rPr>
      </w:pPr>
      <w:r>
        <w:rPr>
          <w:rFonts w:hint="eastAsia" w:ascii="宋体" w:hAnsi="宋体" w:cs="宋体"/>
          <w:sz w:val="24"/>
          <w:szCs w:val="24"/>
          <w:highlight w:val="none"/>
        </w:rPr>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我（单位/本人，以下统称我单位）自愿参加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（项目名称和采购编号）的响应,并做出如下承诺：</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一、除不可抗力外，我单位如果发生以下行为，将在行为发生的10个工作日内，向贵方</w:t>
      </w:r>
      <w:r>
        <w:rPr>
          <w:rFonts w:hint="eastAsia" w:ascii="宋体" w:hAnsi="宋体" w:cs="宋体"/>
          <w:sz w:val="24"/>
          <w:szCs w:val="24"/>
          <w:highlight w:val="none"/>
          <w:u w:val="single"/>
        </w:rPr>
        <w:t xml:space="preserve">（或采购人）</w:t>
      </w:r>
      <w:r>
        <w:rPr>
          <w:rFonts w:hint="eastAsia" w:ascii="宋体" w:hAnsi="宋体" w:cs="宋体"/>
          <w:sz w:val="24"/>
          <w:szCs w:val="24"/>
          <w:highlight w:val="none"/>
        </w:rPr>
        <w:t xml:space="preserve">支付本采购文件公布的预算金额（或最高限价）的2%作为违约赔偿金（数量不确定的单价采购须约定具体金额）。</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1.自响应截止时间至本项目发布成交公告为止，撤销响应；</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2.成交后不依法与采购人签订合同；</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3.成交后不按本采购文件规定向采购人提交履约保证金；</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4.成交后不按本采购文件规定向贵方缴纳采购代理费。</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二、我单位知晓上述行为的法律后果，承认本承诺书作为贵方（或采购人）要求我单位履行违约赔偿义务的依据作用。</w:t>
      </w:r>
      <w:r/>
    </w:p>
    <w:p>
      <w:pPr>
        <w:ind w:left="0"/>
        <w:widowControl w:val="off"/>
        <w:rPr>
          <w:rFonts w:hint="eastAsia" w:ascii="宋体" w:hAnsi="宋体" w:cs="宋体"/>
          <w:sz w:val="24"/>
          <w:szCs w:val="24"/>
          <w:highlight w:val="none"/>
        </w:rPr>
      </w:pPr>
      <w:r>
        <w:rPr>
          <w:rFonts w:hint="eastAsia" w:ascii="宋体" w:hAnsi="宋体" w:cs="宋体"/>
          <w:sz w:val="24"/>
          <w:szCs w:val="24"/>
          <w:highlight w:val="none"/>
        </w:rPr>
      </w:r>
      <w:r/>
    </w:p>
    <w:p>
      <w:pPr>
        <w:ind w:left="0"/>
        <w:widowControl w:val="off"/>
        <w:rPr>
          <w:rFonts w:hint="eastAsia" w:ascii="宋体" w:hAnsi="宋体" w:cs="宋体"/>
          <w:sz w:val="24"/>
          <w:szCs w:val="24"/>
          <w:highlight w:val="none"/>
        </w:rPr>
      </w:pPr>
      <w:r>
        <w:rPr>
          <w:rFonts w:hint="eastAsia" w:ascii="宋体" w:hAnsi="宋体" w:cs="宋体"/>
          <w:sz w:val="24"/>
          <w:szCs w:val="24"/>
          <w:highlight w:val="none"/>
        </w:rPr>
        <w:t xml:space="preserve"> </w:t>
      </w:r>
      <w:r/>
    </w:p>
    <w:p>
      <w:pPr>
        <w:ind w:left="0"/>
        <w:widowControl w:val="off"/>
        <w:rPr>
          <w:rFonts w:hint="eastAsia" w:ascii="宋体" w:hAnsi="宋体" w:cs="宋体"/>
          <w:sz w:val="24"/>
          <w:szCs w:val="24"/>
          <w:highlight w:val="none"/>
        </w:rPr>
      </w:pPr>
      <w:r>
        <w:rPr>
          <w:rFonts w:hint="eastAsia" w:ascii="宋体" w:hAnsi="宋体" w:cs="宋体"/>
          <w:sz w:val="24"/>
          <w:szCs w:val="24"/>
          <w:highlight w:val="none"/>
        </w:rPr>
      </w:r>
      <w:r/>
    </w:p>
    <w:p>
      <w:pPr>
        <w:ind w:left="0"/>
        <w:widowControl w:val="off"/>
        <w:rPr>
          <w:rFonts w:hint="eastAsia" w:ascii="宋体" w:hAnsi="宋体" w:cs="宋体"/>
          <w:sz w:val="24"/>
          <w:szCs w:val="24"/>
          <w:highlight w:val="none"/>
        </w:rPr>
      </w:pPr>
      <w:r>
        <w:rPr>
          <w:rFonts w:hint="eastAsia" w:ascii="宋体" w:hAnsi="宋体" w:cs="宋体"/>
          <w:sz w:val="24"/>
          <w:szCs w:val="24"/>
          <w:highlight w:val="none"/>
        </w:rPr>
        <w:t xml:space="preserve">投标（响应）人：        （盖公章）</w:t>
      </w:r>
      <w:r/>
    </w:p>
    <w:p>
      <w:pPr>
        <w:ind w:left="0"/>
        <w:widowControl w:val="off"/>
        <w:rPr>
          <w:rFonts w:hint="eastAsia" w:ascii="宋体" w:hAnsi="宋体" w:cs="宋体"/>
          <w:sz w:val="24"/>
          <w:szCs w:val="24"/>
          <w:highlight w:val="none"/>
        </w:rPr>
      </w:pPr>
      <w:r>
        <w:rPr>
          <w:rFonts w:hint="eastAsia" w:ascii="宋体" w:hAnsi="宋体" w:cs="宋体"/>
          <w:sz w:val="24"/>
          <w:szCs w:val="24"/>
          <w:highlight w:val="none"/>
        </w:rPr>
      </w:r>
      <w:r/>
    </w:p>
    <w:p>
      <w:pPr>
        <w:ind w:left="0"/>
        <w:widowControl w:val="off"/>
        <w:rPr>
          <w:rFonts w:hint="eastAsia" w:ascii="宋体" w:hAnsi="宋体" w:cs="宋体"/>
          <w:sz w:val="24"/>
          <w:szCs w:val="24"/>
          <w:highlight w:val="none"/>
        </w:rPr>
      </w:pPr>
      <w:r>
        <w:rPr>
          <w:rFonts w:hint="eastAsia" w:ascii="宋体" w:hAnsi="宋体" w:cs="宋体"/>
          <w:sz w:val="24"/>
          <w:szCs w:val="24"/>
          <w:highlight w:val="none"/>
        </w:rPr>
        <w:t xml:space="preserve">地址：                                                                </w:t>
      </w:r>
      <w:r/>
    </w:p>
    <w:p>
      <w:pPr>
        <w:ind w:left="0"/>
        <w:widowControl w:val="off"/>
        <w:rPr>
          <w:rFonts w:hint="eastAsia" w:ascii="宋体" w:hAnsi="宋体" w:cs="宋体"/>
          <w:sz w:val="24"/>
          <w:szCs w:val="24"/>
          <w:highlight w:val="none"/>
        </w:rPr>
      </w:pPr>
      <w:r>
        <w:rPr>
          <w:rFonts w:hint="eastAsia" w:ascii="宋体" w:hAnsi="宋体" w:cs="宋体"/>
          <w:sz w:val="24"/>
          <w:szCs w:val="24"/>
          <w:highlight w:val="none"/>
        </w:rPr>
      </w:r>
      <w:r/>
    </w:p>
    <w:p>
      <w:pPr>
        <w:ind w:left="0"/>
        <w:widowControl w:val="off"/>
        <w:rPr>
          <w:rFonts w:hint="eastAsia" w:ascii="宋体" w:hAnsi="宋体" w:cs="宋体"/>
          <w:sz w:val="24"/>
          <w:szCs w:val="24"/>
          <w:highlight w:val="none"/>
        </w:rPr>
      </w:pPr>
      <w:r>
        <w:rPr>
          <w:rFonts w:hint="eastAsia" w:ascii="宋体" w:hAnsi="宋体" w:cs="宋体"/>
          <w:sz w:val="24"/>
          <w:szCs w:val="24"/>
          <w:highlight w:val="none"/>
        </w:rPr>
        <w:t xml:space="preserve">电话：                     传真：                      </w:t>
      </w:r>
      <w:r/>
    </w:p>
    <w:p>
      <w:pPr>
        <w:ind w:left="0"/>
        <w:widowControl w:val="off"/>
        <w:rPr>
          <w:rFonts w:hint="eastAsia" w:ascii="宋体" w:hAnsi="宋体" w:cs="宋体"/>
          <w:sz w:val="24"/>
          <w:szCs w:val="24"/>
          <w:highlight w:val="none"/>
        </w:rPr>
      </w:pPr>
      <w:r>
        <w:rPr>
          <w:rFonts w:hint="eastAsia" w:ascii="宋体" w:hAnsi="宋体" w:cs="宋体"/>
          <w:sz w:val="24"/>
          <w:szCs w:val="24"/>
          <w:highlight w:val="none"/>
        </w:rPr>
      </w:r>
      <w:r/>
    </w:p>
    <w:p>
      <w:pPr>
        <w:ind w:left="0"/>
        <w:widowControl w:val="off"/>
        <w:rPr>
          <w:rFonts w:hint="eastAsia" w:ascii="宋体" w:hAnsi="宋体" w:cs="宋体"/>
          <w:sz w:val="24"/>
          <w:szCs w:val="24"/>
          <w:highlight w:val="none"/>
        </w:rPr>
      </w:pPr>
      <w:r>
        <w:rPr>
          <w:rFonts w:hint="eastAsia" w:ascii="宋体" w:hAnsi="宋体" w:cs="宋体"/>
          <w:sz w:val="24"/>
          <w:szCs w:val="24"/>
          <w:highlight w:val="none"/>
        </w:rPr>
        <w:t xml:space="preserve">电子邮件：                 邮编：                      </w:t>
      </w:r>
      <w:r/>
    </w:p>
    <w:p>
      <w:pPr>
        <w:ind w:left="0"/>
        <w:widowControl w:val="off"/>
        <w:rPr>
          <w:rFonts w:hint="eastAsia" w:ascii="宋体" w:hAnsi="宋体" w:cs="宋体"/>
          <w:sz w:val="24"/>
          <w:szCs w:val="24"/>
          <w:highlight w:val="none"/>
        </w:rPr>
      </w:pPr>
      <w:r>
        <w:rPr>
          <w:rFonts w:hint="eastAsia" w:ascii="宋体" w:hAnsi="宋体" w:cs="宋体"/>
          <w:sz w:val="24"/>
          <w:szCs w:val="24"/>
          <w:highlight w:val="none"/>
        </w:rPr>
      </w:r>
      <w:r/>
    </w:p>
    <w:p>
      <w:pPr>
        <w:ind w:left="0"/>
        <w:widowControl w:val="off"/>
        <w:rPr>
          <w:rFonts w:hint="eastAsia" w:ascii="宋体" w:hAnsi="宋体" w:cs="宋体"/>
          <w:sz w:val="24"/>
          <w:szCs w:val="24"/>
          <w:highlight w:val="none"/>
        </w:rPr>
      </w:pPr>
      <w:r>
        <w:rPr>
          <w:rFonts w:hint="eastAsia" w:ascii="宋体" w:hAnsi="宋体" w:cs="宋体"/>
          <w:sz w:val="24"/>
          <w:szCs w:val="24"/>
          <w:highlight w:val="none"/>
        </w:rPr>
        <w:t xml:space="preserve">法定代表人或委托代理人(签字或签章)：                                 </w:t>
      </w:r>
      <w:r/>
    </w:p>
    <w:p>
      <w:pPr>
        <w:ind w:left="0"/>
        <w:widowControl w:val="off"/>
        <w:rPr>
          <w:rFonts w:hint="eastAsia" w:ascii="宋体" w:hAnsi="宋体" w:cs="宋体"/>
          <w:sz w:val="24"/>
          <w:szCs w:val="24"/>
          <w:highlight w:val="none"/>
        </w:rPr>
      </w:pPr>
      <w:r>
        <w:rPr>
          <w:rFonts w:hint="eastAsia" w:ascii="宋体" w:hAnsi="宋体" w:cs="宋体"/>
          <w:sz w:val="24"/>
          <w:szCs w:val="24"/>
          <w:highlight w:val="none"/>
        </w:rPr>
      </w:r>
      <w:r/>
    </w:p>
    <w:p>
      <w:pPr>
        <w:ind w:left="0"/>
        <w:widowControl w:val="off"/>
        <w:rPr>
          <w:rFonts w:hint="eastAsia" w:ascii="宋体" w:hAnsi="宋体" w:cs="宋体"/>
          <w:sz w:val="24"/>
          <w:szCs w:val="24"/>
          <w:highlight w:val="none"/>
        </w:rPr>
      </w:pPr>
      <w:r>
        <w:rPr>
          <w:rFonts w:hint="eastAsia" w:ascii="宋体" w:hAnsi="宋体" w:cs="宋体"/>
          <w:sz w:val="24"/>
          <w:szCs w:val="24"/>
          <w:highlight w:val="none"/>
        </w:rPr>
        <w:t xml:space="preserve">日期： </w:t>
      </w:r>
      <w:r/>
    </w:p>
    <w:p>
      <w:pPr>
        <w:ind w:left="0"/>
        <w:widowControl w:val="off"/>
        <w:rPr>
          <w:rFonts w:hint="eastAsia" w:ascii="宋体" w:hAnsi="宋体" w:cs="宋体"/>
          <w:b/>
          <w:sz w:val="24"/>
          <w:szCs w:val="24"/>
          <w:highlight w:val="none"/>
        </w:rPr>
        <w:outlineLvl w:val="1"/>
      </w:pPr>
      <w:r>
        <w:rPr>
          <w:rFonts w:hint="eastAsia" w:ascii="宋体" w:hAnsi="宋体" w:cs="宋体"/>
          <w:sz w:val="21"/>
          <w:szCs w:val="21"/>
          <w:highlight w:val="none"/>
        </w:rPr>
        <w:br w:type="page" w:clear="all"/>
      </w:r>
      <w:bookmarkStart w:id="87" w:name="_Toc9516"/>
      <w:r>
        <w:rPr>
          <w:rFonts w:hint="eastAsia" w:ascii="宋体" w:hAnsi="宋体" w:cs="宋体"/>
          <w:b/>
          <w:sz w:val="24"/>
          <w:szCs w:val="24"/>
          <w:highlight w:val="none"/>
        </w:rPr>
        <w:t xml:space="preserve">附件15、响应单位与其他单位存在控股、管理关系情况表</w:t>
      </w:r>
      <w:bookmarkEnd w:id="87"/>
      <w:r/>
      <w:r/>
    </w:p>
    <w:p>
      <w:pPr>
        <w:pStyle w:val="830"/>
        <w:ind w:firstLine="0"/>
        <w:jc w:val="left"/>
        <w:rPr>
          <w:rFonts w:hint="eastAsia" w:ascii="宋体" w:hAnsi="宋体" w:cs="宋体"/>
          <w:sz w:val="24"/>
          <w:szCs w:val="24"/>
          <w:highlight w:val="none"/>
        </w:rPr>
      </w:pPr>
      <w:r>
        <w:rPr>
          <w:rFonts w:hint="eastAsia" w:ascii="宋体" w:hAnsi="宋体" w:cs="宋体"/>
          <w:sz w:val="24"/>
          <w:szCs w:val="24"/>
          <w:highlight w:val="none"/>
        </w:rPr>
      </w:r>
      <w:r/>
    </w:p>
    <w:p>
      <w:pPr>
        <w:ind w:left="0"/>
        <w:jc w:val="center"/>
        <w:spacing w:line="30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响应单位与其他单位存在控股、管理关系情况表</w:t>
      </w:r>
      <w:r/>
    </w:p>
    <w:p>
      <w:pPr>
        <w:pStyle w:val="830"/>
        <w:rPr>
          <w:rFonts w:hint="eastAsia" w:ascii="宋体" w:hAnsi="宋体" w:cs="宋体"/>
          <w:highlight w:val="none"/>
        </w:rPr>
      </w:pPr>
      <w:r>
        <w:rPr>
          <w:rFonts w:hint="eastAsia" w:ascii="宋体" w:hAnsi="宋体" w:cs="宋体"/>
          <w:highlight w:val="none"/>
        </w:rPr>
      </w:r>
      <w:r/>
    </w:p>
    <w:tbl>
      <w:tblPr>
        <w:tblStyle w:val="801"/>
        <w:tblW w:w="9248" w:type="dxa"/>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30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30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sz w:val="24"/>
                <w:szCs w:val="24"/>
                <w:highlight w:val="none"/>
              </w:rPr>
            </w:pPr>
            <w:r>
              <w:rPr>
                <w:rFonts w:hint="eastAsia" w:ascii="宋体" w:hAnsi="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sz w:val="24"/>
                <w:szCs w:val="24"/>
                <w:highlight w:val="none"/>
              </w:rPr>
            </w:pPr>
            <w:r>
              <w:rPr>
                <w:rFonts w:hint="eastAsia" w:ascii="宋体" w:hAnsi="宋体" w:cs="宋体"/>
                <w:b/>
                <w:bCs/>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sz w:val="24"/>
                <w:szCs w:val="24"/>
                <w:highlight w:val="none"/>
              </w:rPr>
            </w:pPr>
            <w:r>
              <w:rPr>
                <w:rFonts w:hint="eastAsia" w:ascii="宋体" w:hAnsi="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sz w:val="24"/>
                <w:szCs w:val="24"/>
                <w:highlight w:val="none"/>
              </w:rPr>
            </w:pPr>
            <w:r>
              <w:rPr>
                <w:rFonts w:hint="eastAsia" w:ascii="宋体" w:hAnsi="宋体" w:cs="宋体"/>
                <w:b/>
                <w:bCs/>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sz w:val="24"/>
                <w:szCs w:val="24"/>
                <w:highlight w:val="none"/>
              </w:rPr>
            </w:pPr>
            <w:r>
              <w:rPr>
                <w:rFonts w:hint="eastAsia" w:ascii="宋体" w:hAnsi="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sz w:val="24"/>
                <w:szCs w:val="24"/>
                <w:highlight w:val="none"/>
              </w:rPr>
            </w:pPr>
            <w:r>
              <w:rPr>
                <w:rFonts w:hint="eastAsia" w:ascii="宋体" w:hAnsi="宋体" w:cs="宋体"/>
                <w:b/>
                <w:bCs/>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sz w:val="24"/>
                <w:szCs w:val="24"/>
                <w:highlight w:val="none"/>
              </w:rPr>
            </w:pPr>
            <w:r>
              <w:rPr>
                <w:rFonts w:hint="eastAsia" w:ascii="宋体" w:hAnsi="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sz w:val="24"/>
                <w:szCs w:val="24"/>
                <w:highlight w:val="none"/>
              </w:rPr>
            </w:pPr>
            <w:r>
              <w:rPr>
                <w:rFonts w:hint="eastAsia" w:ascii="宋体" w:hAnsi="宋体" w:cs="宋体"/>
                <w:b/>
                <w:bCs/>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sz w:val="24"/>
                <w:szCs w:val="24"/>
                <w:highlight w:val="none"/>
              </w:rPr>
            </w:pPr>
            <w:r>
              <w:rPr>
                <w:rFonts w:hint="eastAsia" w:ascii="宋体" w:hAnsi="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sz w:val="24"/>
                <w:szCs w:val="24"/>
                <w:highlight w:val="none"/>
              </w:rPr>
            </w:pPr>
            <w:r>
              <w:rPr>
                <w:rFonts w:hint="eastAsia" w:ascii="宋体" w:hAnsi="宋体" w:cs="宋体"/>
                <w:b/>
                <w:bCs/>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sz w:val="24"/>
                <w:szCs w:val="24"/>
                <w:highlight w:val="none"/>
              </w:rPr>
            </w:pPr>
            <w:r>
              <w:rPr>
                <w:rFonts w:hint="eastAsia" w:ascii="宋体" w:hAnsi="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sz w:val="24"/>
                <w:szCs w:val="24"/>
                <w:highlight w:val="none"/>
              </w:rPr>
            </w:pPr>
            <w:r>
              <w:rPr>
                <w:rFonts w:hint="eastAsia" w:ascii="宋体" w:hAnsi="宋体" w:cs="宋体"/>
                <w:b/>
                <w:bCs/>
                <w:sz w:val="24"/>
                <w:szCs w:val="24"/>
                <w:highlight w:val="none"/>
              </w:rPr>
            </w:r>
            <w:r/>
          </w:p>
        </w:tc>
      </w:tr>
    </w:tbl>
    <w:p>
      <w:pPr>
        <w:ind w:left="0" w:firstLine="482"/>
        <w:jc w:val="left"/>
        <w:spacing w:line="30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注：响应单位应当按实填写所有与之有控股、管理关系的情况。</w:t>
      </w:r>
      <w:r/>
    </w:p>
    <w:p>
      <w:pPr>
        <w:jc w:val="left"/>
        <w:spacing w:line="30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1036"/>
        <w:ind w:left="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供应商：（单位盖章）</w:t>
      </w:r>
      <w:r/>
    </w:p>
    <w:p>
      <w:pPr>
        <w:pStyle w:val="1036"/>
        <w:ind w:left="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法定代表人或代理人：（签字或盖章）</w:t>
      </w:r>
      <w:r/>
    </w:p>
    <w:p>
      <w:pPr>
        <w:pStyle w:val="1036"/>
        <w:ind w:left="0"/>
        <w:widowControl w:val="off"/>
        <w:rPr>
          <w:rStyle w:val="1033"/>
          <w:rFonts w:hint="eastAsia" w:ascii="宋体" w:hAnsi="宋体" w:cs="宋体"/>
          <w:szCs w:val="24"/>
          <w:highlight w:val="none"/>
        </w:rPr>
      </w:pPr>
      <w:r>
        <w:rPr>
          <w:rStyle w:val="1033"/>
          <w:rFonts w:hint="eastAsia" w:ascii="宋体" w:hAnsi="宋体" w:cs="宋体"/>
          <w:szCs w:val="24"/>
          <w:highlight w:val="none"/>
        </w:rPr>
        <w:t xml:space="preserve">日期：   年   月   日</w:t>
      </w:r>
      <w:r/>
    </w:p>
    <w:p>
      <w:pPr>
        <w:rPr>
          <w:rStyle w:val="1033"/>
          <w:rFonts w:hint="eastAsia" w:ascii="宋体" w:hAnsi="宋体" w:cs="宋体"/>
          <w:szCs w:val="24"/>
          <w:highlight w:val="none"/>
        </w:rPr>
      </w:pPr>
      <w:r>
        <w:rPr>
          <w:rStyle w:val="1033"/>
          <w:rFonts w:hint="eastAsia" w:ascii="宋体" w:hAnsi="宋体" w:cs="宋体"/>
          <w:szCs w:val="24"/>
          <w:highlight w:val="none"/>
        </w:rPr>
        <w:br w:type="page" w:clear="all"/>
      </w:r>
      <w:r/>
    </w:p>
    <w:p>
      <w:pPr>
        <w:ind w:left="0"/>
        <w:jc w:val="left"/>
        <w:rPr>
          <w:rFonts w:hint="eastAsia" w:ascii="宋体" w:hAnsi="宋体" w:eastAsia="宋体" w:cs="宋体"/>
          <w:b/>
          <w:sz w:val="24"/>
          <w:szCs w:val="24"/>
          <w:highlight w:val="none"/>
          <w:lang w:val="en-US" w:eastAsia="zh-CN"/>
        </w:rPr>
        <w:outlineLvl w:val="0"/>
      </w:pPr>
      <w:r>
        <w:rPr>
          <w:rFonts w:hint="eastAsia" w:ascii="宋体" w:hAnsi="宋体" w:cs="宋体"/>
          <w:b/>
          <w:sz w:val="24"/>
          <w:szCs w:val="24"/>
          <w:highlight w:val="none"/>
        </w:rPr>
        <w:t xml:space="preserve">附件1</w:t>
      </w:r>
      <w:r>
        <w:rPr>
          <w:rFonts w:hint="eastAsia" w:ascii="宋体" w:hAnsi="宋体" w:cs="宋体"/>
          <w:b/>
          <w:sz w:val="24"/>
          <w:szCs w:val="24"/>
          <w:highlight w:val="none"/>
          <w:lang w:val="en-US" w:eastAsia="zh-CN"/>
        </w:rPr>
        <w:t xml:space="preserve">6</w:t>
      </w:r>
      <w:r>
        <w:rPr>
          <w:rFonts w:hint="eastAsia" w:ascii="宋体" w:hAnsi="宋体" w:eastAsia="宋体" w:cs="宋体"/>
          <w:b/>
          <w:sz w:val="24"/>
          <w:szCs w:val="24"/>
          <w:highlight w:val="none"/>
          <w:lang w:val="en-US" w:eastAsia="zh-CN"/>
        </w:rPr>
        <w:t xml:space="preserve">、关于投标（响应）报价合理性的澄清说明</w:t>
      </w:r>
      <w:r/>
    </w:p>
    <w:p>
      <w:pPr>
        <w:ind w:left="0" w:firstLine="4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关于投标（响应）报价合理性的澄清说明</w:t>
      </w:r>
      <w:r/>
    </w:p>
    <w:p>
      <w:pPr>
        <w:ind w:left="0"/>
        <w:jc w:val="left"/>
        <w:spacing w:line="360" w:lineRule="auto"/>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806"/>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号（项目编号）的招标活动进行投标，对于本公司的投标报价合理性作出说明如下：</w:t>
      </w:r>
      <w:r/>
    </w:p>
    <w:tbl>
      <w:tblPr>
        <w:tblStyle w:val="80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eastAsia="宋体" w:cs="宋体"/>
                <w:b/>
                <w:color w:val="auto"/>
                <w:sz w:val="24"/>
                <w:szCs w:val="24"/>
                <w:highlight w:val="none"/>
                <w:shd w:val="pct10" w:color="auto" w:fill="ffffff"/>
              </w:rPr>
            </w:pPr>
            <w:r>
              <w:rPr>
                <w:rFonts w:hint="eastAsia" w:ascii="宋体" w:hAnsi="宋体" w:eastAsia="宋体" w:cs="宋体"/>
                <w:b/>
                <w:color w:val="auto"/>
                <w:sz w:val="24"/>
                <w:szCs w:val="24"/>
                <w:highlight w:val="none"/>
              </w:rPr>
              <w:t xml:space="preserve">供应商应当根据实际情况自拟答复并根据评标委员会关于澄清的要求提供相关证明材料作为附件。</w:t>
            </w:r>
            <w:bookmarkStart w:id="111" w:name="_GoBack"/>
            <w:r/>
            <w:bookmarkEnd w:id="111"/>
            <w:r/>
            <w:r/>
          </w:p>
        </w:tc>
      </w:tr>
    </w:tbl>
    <w:p>
      <w:pPr>
        <w:ind w:left="0" w:firstLine="422"/>
        <w:spacing w:line="360" w:lineRule="auto"/>
        <w:rPr>
          <w:rFonts w:hint="eastAsia" w:ascii="宋体" w:hAnsi="宋体" w:eastAsia="宋体" w:cs="宋体"/>
          <w:b/>
          <w:color w:val="auto"/>
          <w:sz w:val="24"/>
          <w:szCs w:val="24"/>
          <w:highlight w:val="none"/>
          <w:lang w:val="zh-CN"/>
        </w:rPr>
      </w:pPr>
      <w:r/>
      <w:bookmarkStart w:id="88" w:name="OLE_LINK21"/>
      <w:r/>
      <w:bookmarkStart w:id="89" w:name="OLE_LINK23"/>
      <w:r/>
      <w:bookmarkStart w:id="90" w:name="OLE_LINK24"/>
      <w:r>
        <w:rPr>
          <w:rFonts w:hint="eastAsia" w:ascii="宋体" w:hAnsi="宋体" w:eastAsia="宋体" w:cs="宋体"/>
          <w:b/>
          <w:color w:val="auto"/>
          <w:sz w:val="24"/>
          <w:szCs w:val="24"/>
          <w:highlight w:val="none"/>
          <w:lang w:val="zh-CN"/>
        </w:rPr>
        <w:t xml:space="preserve">备注:根据评审办法要求。投标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人不能证明其报价合理性的，评标委员会应当将其作为无效投标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处理。</w:t>
      </w:r>
      <w:bookmarkEnd w:id="88"/>
      <w:r/>
      <w:bookmarkEnd w:id="89"/>
      <w:r/>
      <w:bookmarkEnd w:id="90"/>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600"/>
        <w:jc w:val="both"/>
        <w:spacing w:line="360" w:lineRule="auto"/>
        <w:widowControl w:val="off"/>
        <w:rPr>
          <w:rStyle w:val="1033"/>
          <w:rFonts w:hint="eastAsia" w:ascii="宋体" w:hAnsi="宋体" w:eastAsia="宋体" w:cs="宋体"/>
          <w:sz w:val="24"/>
          <w:szCs w:val="24"/>
          <w:highlight w:val="none"/>
          <w:lang w:val="en-US" w:eastAsia="zh-CN" w:bidi="ar-SA"/>
        </w:rPr>
      </w:pPr>
      <w:r>
        <w:rPr>
          <w:rStyle w:val="1033"/>
          <w:rFonts w:hint="eastAsia" w:ascii="宋体" w:hAnsi="宋体" w:eastAsia="宋体" w:cs="宋体"/>
          <w:sz w:val="24"/>
          <w:szCs w:val="24"/>
          <w:highlight w:val="none"/>
          <w:lang w:val="en-US" w:eastAsia="zh-CN" w:bidi="ar-SA"/>
        </w:rPr>
        <w:t xml:space="preserve">供应商：（单位盖章）</w:t>
      </w:r>
      <w:r/>
    </w:p>
    <w:p>
      <w:pPr>
        <w:ind w:left="0" w:firstLine="600"/>
        <w:jc w:val="both"/>
        <w:spacing w:line="360" w:lineRule="auto"/>
        <w:widowControl w:val="off"/>
        <w:rPr>
          <w:rStyle w:val="1033"/>
          <w:rFonts w:hint="eastAsia" w:ascii="宋体" w:hAnsi="宋体" w:eastAsia="宋体" w:cs="宋体"/>
          <w:sz w:val="24"/>
          <w:szCs w:val="24"/>
          <w:highlight w:val="none"/>
          <w:lang w:val="en-US" w:eastAsia="zh-CN" w:bidi="ar-SA"/>
        </w:rPr>
      </w:pPr>
      <w:r>
        <w:rPr>
          <w:rStyle w:val="1033"/>
          <w:rFonts w:hint="eastAsia" w:ascii="宋体" w:hAnsi="宋体" w:eastAsia="宋体" w:cs="宋体"/>
          <w:sz w:val="24"/>
          <w:szCs w:val="24"/>
          <w:highlight w:val="none"/>
          <w:lang w:val="en-US" w:eastAsia="zh-CN" w:bidi="ar-SA"/>
        </w:rPr>
        <w:t xml:space="preserve">法定代表人或代理人：（签字或盖章）</w:t>
      </w:r>
      <w:r/>
    </w:p>
    <w:p>
      <w:pPr>
        <w:ind w:left="0" w:firstLine="600"/>
        <w:spacing w:line="360" w:lineRule="auto"/>
        <w:tabs>
          <w:tab w:val="left" w:pos="8930" w:leader="none"/>
          <w:tab w:val="left" w:pos="9306" w:leader="none"/>
        </w:tabs>
        <w:rPr>
          <w:rFonts w:hint="eastAsia" w:ascii="宋体" w:hAnsi="宋体" w:eastAsia="宋体" w:cs="宋体"/>
          <w:color w:val="auto"/>
          <w:sz w:val="24"/>
          <w:highlight w:val="none"/>
        </w:rPr>
      </w:pPr>
      <w:r>
        <w:rPr>
          <w:rStyle w:val="1033"/>
          <w:rFonts w:hint="eastAsia" w:ascii="宋体" w:hAnsi="宋体" w:eastAsia="宋体" w:cs="宋体"/>
          <w:sz w:val="24"/>
          <w:szCs w:val="24"/>
          <w:highlight w:val="none"/>
          <w:lang w:val="en-US" w:eastAsia="zh-CN" w:bidi="ar-SA"/>
        </w:rPr>
        <w:t xml:space="preserve">日期：   年   月   日</w:t>
      </w:r>
      <w:r/>
    </w:p>
    <w:p>
      <w:pPr>
        <w:pStyle w:val="1036"/>
        <w:ind w:left="0"/>
        <w:widowControl w:val="off"/>
        <w:rPr>
          <w:rStyle w:val="1033"/>
          <w:rFonts w:hint="eastAsia" w:ascii="宋体" w:hAnsi="宋体" w:cs="宋体"/>
          <w:szCs w:val="24"/>
          <w:highlight w:val="none"/>
        </w:rPr>
      </w:pPr>
      <w:r>
        <w:rPr>
          <w:rFonts w:hint="eastAsia" w:ascii="宋体" w:hAnsi="宋体" w:cs="宋体"/>
          <w:szCs w:val="24"/>
          <w:highlight w:val="none"/>
        </w:rPr>
      </w:r>
      <w:r/>
    </w:p>
    <w:p>
      <w:pPr>
        <w:pStyle w:val="830"/>
        <w:ind w:firstLine="0"/>
        <w:rPr>
          <w:rFonts w:hint="eastAsia" w:ascii="宋体" w:hAnsi="宋体" w:cs="宋体"/>
          <w:highlight w:val="none"/>
        </w:rPr>
      </w:pPr>
      <w:r>
        <w:rPr>
          <w:rFonts w:hint="eastAsia" w:ascii="宋体" w:hAnsi="宋体" w:cs="宋体"/>
          <w:highlight w:val="none"/>
        </w:rPr>
      </w:r>
      <w:r/>
    </w:p>
    <w:p>
      <w:pPr>
        <w:ind w:left="0"/>
        <w:jc w:val="center"/>
        <w:spacing w:line="360" w:lineRule="auto"/>
        <w:rPr>
          <w:rFonts w:hint="eastAsia" w:ascii="宋体" w:hAnsi="宋体" w:cs="宋体"/>
          <w:b/>
          <w:sz w:val="44"/>
          <w:szCs w:val="44"/>
          <w:highlight w:val="none"/>
        </w:rPr>
      </w:pPr>
      <w:r/>
      <w:bookmarkStart w:id="91" w:name="_Toc4098"/>
      <w:r/>
      <w:bookmarkStart w:id="92" w:name="_Toc23660"/>
      <w:r/>
      <w:bookmarkStart w:id="93" w:name="_Toc57376408"/>
      <w:r/>
      <w:bookmarkStart w:id="94" w:name="_Toc58248882"/>
      <w:r/>
      <w:bookmarkStart w:id="95" w:name="_Toc6898"/>
      <w:r>
        <w:rPr>
          <w:rFonts w:hint="eastAsia" w:ascii="宋体" w:hAnsi="宋体" w:cs="宋体"/>
          <w:b/>
          <w:sz w:val="44"/>
          <w:szCs w:val="44"/>
          <w:highlight w:val="none"/>
        </w:rPr>
        <w:br w:type="page" w:clear="all"/>
      </w:r>
      <w:r/>
    </w:p>
    <w:p>
      <w:pPr>
        <w:ind w:left="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ind w:left="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ind w:left="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ind w:left="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bookmarkEnd w:id="91"/>
      <w:r/>
      <w:bookmarkEnd w:id="92"/>
      <w:r/>
      <w:bookmarkEnd w:id="93"/>
      <w:r/>
      <w:bookmarkEnd w:id="94"/>
      <w:r/>
      <w:r/>
    </w:p>
    <w:p>
      <w:pPr>
        <w:ind w:left="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numPr>
          <w:ilvl w:val="0"/>
          <w:numId w:val="4"/>
        </w:numPr>
        <w:ind w:left="0"/>
        <w:jc w:val="center"/>
        <w:spacing w:line="360" w:lineRule="auto"/>
        <w:rPr>
          <w:rFonts w:hint="eastAsia" w:ascii="宋体" w:hAnsi="宋体" w:cs="宋体"/>
          <w:b/>
          <w:sz w:val="44"/>
          <w:szCs w:val="44"/>
          <w:highlight w:val="none"/>
        </w:rPr>
        <w:outlineLvl w:val="0"/>
      </w:pPr>
      <w:r/>
      <w:bookmarkStart w:id="96" w:name="招标书"/>
      <w:r/>
      <w:bookmarkEnd w:id="96"/>
      <w:r/>
      <w:bookmarkStart w:id="97" w:name="_Toc19236"/>
      <w:r>
        <w:rPr>
          <w:rFonts w:hint="eastAsia" w:ascii="宋体" w:hAnsi="宋体" w:cs="宋体"/>
          <w:b/>
          <w:sz w:val="44"/>
          <w:szCs w:val="44"/>
          <w:highlight w:val="none"/>
        </w:rPr>
        <w:t xml:space="preserve"> </w:t>
      </w:r>
      <w:bookmarkStart w:id="98" w:name="_Toc23981"/>
      <w:r>
        <w:rPr>
          <w:rFonts w:hint="eastAsia" w:ascii="宋体" w:hAnsi="宋体" w:cs="宋体"/>
          <w:b/>
          <w:sz w:val="44"/>
          <w:szCs w:val="44"/>
          <w:highlight w:val="none"/>
        </w:rPr>
        <w:t xml:space="preserve">采购内容</w:t>
      </w:r>
      <w:bookmarkEnd w:id="95"/>
      <w:r/>
      <w:bookmarkEnd w:id="97"/>
      <w:r/>
      <w:bookmarkEnd w:id="98"/>
      <w:r/>
      <w:r/>
    </w:p>
    <w:p>
      <w:pPr>
        <w:pStyle w:val="830"/>
        <w:ind w:firstLine="400"/>
        <w:rPr>
          <w:rFonts w:hint="eastAsia" w:ascii="宋体" w:hAnsi="宋体" w:cs="宋体"/>
          <w:highlight w:val="none"/>
        </w:rPr>
      </w:pPr>
      <w:r>
        <w:rPr>
          <w:rFonts w:hint="eastAsia" w:ascii="宋体" w:hAnsi="宋体" w:cs="宋体"/>
          <w:highlight w:val="none"/>
        </w:rPr>
      </w:r>
      <w:r/>
    </w:p>
    <w:p>
      <w:pPr>
        <w:ind w:left="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br w:type="page" w:clear="all"/>
      </w:r>
      <w:r>
        <w:rPr>
          <w:rStyle w:val="1033"/>
          <w:rFonts w:hint="eastAsia" w:ascii="宋体" w:hAnsi="宋体" w:cs="宋体"/>
          <w:b/>
          <w:sz w:val="28"/>
          <w:szCs w:val="28"/>
          <w:highlight w:val="none"/>
        </w:rPr>
        <w:t xml:space="preserve">采购内容</w:t>
      </w:r>
      <w:r/>
    </w:p>
    <w:p>
      <w:pPr>
        <w:ind w:left="0" w:firstLine="480"/>
        <w:spacing w:line="360" w:lineRule="auto"/>
        <w:rPr>
          <w:rFonts w:hint="eastAsia" w:ascii="宋体" w:hAnsi="宋体" w:cs="宋体"/>
          <w:sz w:val="21"/>
          <w:szCs w:val="21"/>
          <w:highlight w:val="none"/>
        </w:rPr>
      </w:pPr>
      <w:r>
        <w:rPr>
          <w:rFonts w:hint="eastAsia" w:ascii="宋体" w:hAnsi="宋体" w:cs="宋体"/>
          <w:sz w:val="24"/>
          <w:szCs w:val="24"/>
          <w:highlight w:val="none"/>
        </w:rPr>
        <w:t xml:space="preserve">苏州永正造价师事务所有限公司受</w:t>
      </w:r>
      <w:r>
        <w:rPr>
          <w:rFonts w:hint="eastAsia" w:ascii="宋体" w:hAnsi="宋体" w:cs="宋体"/>
          <w:sz w:val="24"/>
          <w:szCs w:val="24"/>
          <w:highlight w:val="none"/>
          <w:u w:val="single"/>
        </w:rPr>
        <w:t xml:space="preserve">苏州市相城区公路事业发展中心</w:t>
      </w:r>
      <w:r>
        <w:rPr>
          <w:rFonts w:hint="eastAsia" w:ascii="宋体" w:hAnsi="宋体" w:cs="宋体"/>
          <w:sz w:val="24"/>
          <w:szCs w:val="24"/>
          <w:highlight w:val="none"/>
        </w:rPr>
        <w:t xml:space="preserve">的委托，就其拟采购的</w:t>
      </w:r>
      <w:r>
        <w:rPr>
          <w:rFonts w:hint="eastAsia" w:ascii="宋体" w:hAnsi="宋体" w:cs="宋体"/>
          <w:sz w:val="24"/>
          <w:szCs w:val="24"/>
          <w:highlight w:val="none"/>
          <w:u w:val="single"/>
          <w:lang w:eastAsia="zh-CN"/>
        </w:rPr>
        <w:t xml:space="preserve">相城区2026年桥梁(区管道路及县道)定期检测及水中桩检测项目</w:t>
      </w:r>
      <w:r>
        <w:rPr>
          <w:rFonts w:hint="eastAsia" w:ascii="宋体" w:hAnsi="宋体" w:cs="宋体"/>
          <w:sz w:val="24"/>
          <w:szCs w:val="24"/>
          <w:highlight w:val="none"/>
        </w:rPr>
        <w:t xml:space="preserve">采用竞争性磋商方式进行采购。欢迎符合资格条件的供应商前来报名参加磋商。</w:t>
      </w:r>
      <w:r/>
    </w:p>
    <w:p>
      <w:pPr>
        <w:ind w:left="0" w:firstLine="482"/>
        <w:spacing w:line="360" w:lineRule="auto"/>
        <w:widowControl w:val="off"/>
        <w:rPr>
          <w:rFonts w:hint="eastAsia" w:ascii="宋体" w:hAnsi="宋体" w:cs="宋体"/>
          <w:b/>
          <w:bCs/>
          <w:sz w:val="24"/>
          <w:szCs w:val="24"/>
          <w:highlight w:val="none"/>
        </w:rPr>
      </w:pPr>
      <w:r/>
      <w:bookmarkStart w:id="99" w:name="_Toc63066515"/>
      <w:r/>
      <w:bookmarkStart w:id="100" w:name="_Toc8564"/>
      <w:r/>
      <w:bookmarkStart w:id="101" w:name="_Toc27667"/>
      <w:r/>
      <w:bookmarkStart w:id="102" w:name="_Toc58248884"/>
      <w:r/>
      <w:bookmarkStart w:id="103" w:name="_Toc57376410"/>
      <w:r>
        <w:rPr>
          <w:rFonts w:hint="eastAsia" w:ascii="宋体" w:hAnsi="宋体" w:cs="宋体"/>
          <w:b/>
          <w:bCs/>
          <w:sz w:val="24"/>
          <w:szCs w:val="24"/>
          <w:highlight w:val="none"/>
        </w:rPr>
        <w:t xml:space="preserve">一、磋商编号：</w:t>
      </w:r>
      <w:r>
        <w:rPr>
          <w:rFonts w:hint="eastAsia" w:ascii="宋体" w:hAnsi="宋体" w:cs="宋体"/>
          <w:b/>
          <w:bCs/>
          <w:sz w:val="24"/>
          <w:szCs w:val="24"/>
          <w:highlight w:val="none"/>
          <w:lang w:eastAsia="zh-CN"/>
        </w:rPr>
        <w:t xml:space="preserve">JSZC-320507-YZZJ-C2026-0005</w:t>
      </w:r>
      <w:r>
        <w:rPr>
          <w:rFonts w:hint="eastAsia" w:ascii="宋体" w:hAnsi="宋体" w:cs="宋体"/>
          <w:b/>
          <w:bCs/>
          <w:sz w:val="24"/>
          <w:szCs w:val="24"/>
          <w:highlight w:val="none"/>
        </w:rPr>
        <w:t xml:space="preserve">号</w:t>
      </w:r>
      <w:r/>
    </w:p>
    <w:p>
      <w:pPr>
        <w:ind w:left="0" w:firstLine="482"/>
        <w:rPr>
          <w:rFonts w:hint="eastAsia" w:ascii="宋体" w:hAnsi="宋体" w:cs="宋体"/>
          <w:b/>
          <w:sz w:val="24"/>
          <w:highlight w:val="none"/>
        </w:rPr>
      </w:pPr>
      <w:r>
        <w:rPr>
          <w:rFonts w:hint="eastAsia" w:ascii="宋体" w:hAnsi="宋体" w:cs="宋体"/>
          <w:b/>
          <w:bCs/>
          <w:sz w:val="24"/>
          <w:szCs w:val="24"/>
          <w:highlight w:val="none"/>
        </w:rPr>
        <w:t xml:space="preserve">二、</w:t>
      </w:r>
      <w:r>
        <w:rPr>
          <w:rFonts w:hint="eastAsia" w:ascii="宋体" w:hAnsi="宋体" w:cs="宋体"/>
          <w:b/>
          <w:sz w:val="24"/>
          <w:highlight w:val="none"/>
        </w:rPr>
        <w:t xml:space="preserve">采购内容：</w:t>
      </w:r>
      <w:r/>
    </w:p>
    <w:p>
      <w:pPr>
        <w:ind w:left="0" w:firstLine="420"/>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相城区2026年桥梁(区管道路及县道)定期检测及水中桩检测项目</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服务期限：合同签订后，至202</w:t>
      </w: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t xml:space="preserve">年</w:t>
      </w:r>
      <w:r>
        <w:rPr>
          <w:rFonts w:hint="eastAsia" w:ascii="宋体" w:hAnsi="宋体" w:cs="宋体"/>
          <w:color w:val="000000"/>
          <w:sz w:val="24"/>
          <w:szCs w:val="24"/>
          <w:highlight w:val="none"/>
        </w:rPr>
        <w:t xml:space="preserve">11</w:t>
      </w:r>
      <w:r>
        <w:rPr>
          <w:rFonts w:ascii="宋体" w:hAnsi="宋体" w:cs="宋体"/>
          <w:color w:val="000000"/>
          <w:sz w:val="24"/>
          <w:szCs w:val="24"/>
          <w:highlight w:val="none"/>
        </w:rPr>
        <w:t xml:space="preserve">月30日（具体开工日期以采购人通知为准。）</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服务地点：采购人指定地点。</w:t>
      </w:r>
      <w:r/>
    </w:p>
    <w:p>
      <w:pPr>
        <w:ind w:left="0"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三、采购需求：</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1、招标范围：</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1.1对相城区S230、G524、</w:t>
      </w:r>
      <w:r>
        <w:rPr>
          <w:rFonts w:hint="eastAsia" w:ascii="宋体" w:hAnsi="宋体" w:cs="宋体"/>
          <w:color w:val="000000"/>
          <w:sz w:val="24"/>
          <w:szCs w:val="24"/>
          <w:highlight w:val="none"/>
        </w:rPr>
        <w:t xml:space="preserve">228省道高架</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太阳路、御窑路等区管道路及其他农村公路县道桥梁实施两年一次的定期检测；</w:t>
      </w:r>
      <w:r/>
    </w:p>
    <w:p>
      <w:pPr>
        <w:ind w:left="0" w:firstLine="420"/>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1.2对中环北线东挺河路以西段1.5km高架桥梁及匝道桥，G524跨阳澄湖路、华元路高架桥梁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228省道高架</w:t>
      </w:r>
      <w:r>
        <w:rPr>
          <w:rFonts w:ascii="宋体" w:hAnsi="宋体" w:cs="宋体"/>
          <w:color w:val="000000"/>
          <w:sz w:val="24"/>
          <w:szCs w:val="24"/>
          <w:highlight w:val="none"/>
        </w:rPr>
        <w:t xml:space="preserve">等实施检测；对三座下穿实施定期检测。</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1.3</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2、检测清单： </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2.1 相城区S230、G524、太阳路、御窑路等区管道路及其他农村公路县道桥梁清单</w:t>
      </w:r>
      <w:r/>
    </w:p>
    <w:tbl>
      <w:tblPr>
        <w:tblStyle w:val="825"/>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52"/>
        <w:gridCol w:w="1555"/>
        <w:gridCol w:w="1555"/>
        <w:gridCol w:w="1555"/>
        <w:gridCol w:w="1555"/>
      </w:tblGrid>
      <w:tr>
        <w:trPr>
          <w:jc w:val="center"/>
          <w:trHeight w:val="2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道路名称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特大桥（座）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大桥（座）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中桥（座）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小桥（座）</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G312辅道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G524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S230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北黄线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漕湖大道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6</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澄林路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19</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澄阳路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2</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春申湖路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6</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东挺河路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凤北荡路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凤阳路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25</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广济北路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16</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黄新线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南天成路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5</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清鹤线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太东路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6</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太阳路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16</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望东线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10</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望通线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7</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渭元线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渭中线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10</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西塘河路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相城大道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12</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湘北线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阳澄湖路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阳跨线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6</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阳相线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16</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阳元线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11</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永方路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7</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御窑路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w:t>
            </w:r>
            <w:r/>
          </w:p>
        </w:tc>
      </w:tr>
      <w:tr>
        <w:trPr>
          <w:jc w:val="cente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bottom"/>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汇总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17</w:t>
            </w:r>
            <w:r/>
          </w:p>
        </w:tc>
      </w:tr>
    </w:tbl>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2.2中环北线东挺河路以西段1.5km高架桥梁及匝道桥，G524跨阳澄湖路、华元路高架桥梁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228省道高架（春申湖路互通-相城界）</w:t>
      </w:r>
      <w:r>
        <w:rPr>
          <w:rFonts w:ascii="宋体" w:hAnsi="宋体" w:cs="宋体"/>
          <w:color w:val="000000"/>
          <w:sz w:val="24"/>
          <w:szCs w:val="24"/>
          <w:highlight w:val="none"/>
        </w:rPr>
        <w:t xml:space="preserve">等、三座下穿清单</w:t>
      </w:r>
      <w:r/>
    </w:p>
    <w:tbl>
      <w:tblPr>
        <w:tblStyle w:val="825"/>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27"/>
        <w:gridCol w:w="2017"/>
        <w:gridCol w:w="7230"/>
      </w:tblGrid>
      <w:tr>
        <w:trPr>
          <w:trHeight w:val="900"/>
        </w:trPr>
        <w:tc>
          <w:tcPr>
            <w:tcMar>
              <w:left w:w="108" w:type="dxa"/>
              <w:top w:w="0" w:type="dxa"/>
              <w:right w:w="108" w:type="dxa"/>
              <w:bottom w:w="0" w:type="dxa"/>
            </w:tcMar>
            <w:tcW w:w="527" w:type="dxa"/>
            <w:vAlign w:val="center"/>
            <w:vMerge w:val="restart"/>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桥梁</w:t>
            </w:r>
            <w:r>
              <w:rPr>
                <w:rFonts w:hint="eastAsia" w:ascii="宋体" w:hAnsi="宋体" w:cs="宋体"/>
                <w:color w:val="000000"/>
                <w:sz w:val="24"/>
                <w:szCs w:val="24"/>
                <w:highlight w:val="none"/>
                <w:lang w:eastAsia="zh-CN"/>
              </w:rPr>
              <w:t xml:space="preserve">及下穿</w:t>
            </w:r>
            <w:r>
              <w:rPr>
                <w:rFonts w:ascii="宋体" w:hAnsi="宋体" w:cs="宋体"/>
                <w:color w:val="000000"/>
                <w:sz w:val="24"/>
                <w:szCs w:val="24"/>
                <w:highlight w:val="none"/>
              </w:rPr>
              <w:t xml:space="preserve">名称</w:t>
            </w:r>
            <w:r/>
          </w:p>
        </w:tc>
        <w:tc>
          <w:tcPr>
            <w:tcMar>
              <w:left w:w="108" w:type="dxa"/>
              <w:top w:w="0" w:type="dxa"/>
              <w:right w:w="108" w:type="dxa"/>
              <w:bottom w:w="0" w:type="dxa"/>
            </w:tcMar>
            <w:tcW w:w="2017" w:type="dxa"/>
            <w:vAlign w:val="center"/>
            <w:textDirection w:val="lrTb"/>
            <w:noWrap/>
          </w:tcPr>
          <w:p>
            <w:pPr>
              <w:ind w:left="0"/>
              <w:jc w:val="cente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G524跨阳澄湖东路高架桥</w:t>
            </w:r>
            <w:r/>
          </w:p>
        </w:tc>
        <w:tc>
          <w:tcPr>
            <w:tcMar>
              <w:left w:w="108" w:type="dxa"/>
              <w:top w:w="0" w:type="dxa"/>
              <w:right w:w="108" w:type="dxa"/>
              <w:bottom w:w="0" w:type="dxa"/>
            </w:tcMar>
            <w:tcW w:w="7230"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（3×22）+（35+57+35）+（3×45）</w:t>
            </w:r>
            <w:r/>
          </w:p>
        </w:tc>
      </w:tr>
      <w:tr>
        <w:trPr>
          <w:trHeight w:val="415"/>
        </w:trPr>
        <w:tc>
          <w:tcPr>
            <w:tcW w:w="527" w:type="dxa"/>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2017"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中环北线东挺河路以西高架桥</w:t>
            </w:r>
            <w:r/>
          </w:p>
        </w:tc>
        <w:tc>
          <w:tcPr>
            <w:tcMar>
              <w:left w:w="108" w:type="dxa"/>
              <w:top w:w="0" w:type="dxa"/>
              <w:right w:w="108" w:type="dxa"/>
              <w:bottom w:w="0" w:type="dxa"/>
            </w:tcMar>
            <w:tcW w:w="7230"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（3×32）+（4×32）+（2×20）+（3×30）+（3×32）+（3×32）+（3×32）+（3×30）+（3×32）+（3×32）+（3×30）+（3×30）+（2×30）+（2×30）+（4×30）+（3×30）+（3×30）</w:t>
            </w:r>
            <w:r/>
          </w:p>
        </w:tc>
      </w:tr>
      <w:tr>
        <w:trPr>
          <w:trHeight w:val="280"/>
        </w:trPr>
        <w:tc>
          <w:tcPr>
            <w:tcW w:w="527" w:type="dxa"/>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2017"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G524跨华元路高架桥</w:t>
            </w:r>
            <w:r/>
          </w:p>
        </w:tc>
        <w:tc>
          <w:tcPr>
            <w:tcMar>
              <w:left w:w="108" w:type="dxa"/>
              <w:top w:w="0" w:type="dxa"/>
              <w:right w:w="108" w:type="dxa"/>
              <w:bottom w:w="0" w:type="dxa"/>
            </w:tcMar>
            <w:tcW w:w="7230"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3×30+（35+57+35）+3×30+3×30</w:t>
            </w:r>
            <w:r/>
          </w:p>
        </w:tc>
      </w:tr>
      <w:tr>
        <w:trPr>
          <w:trHeight w:val="280"/>
        </w:trPr>
        <w:tc>
          <w:tcPr>
            <w:tcW w:w="527" w:type="dxa"/>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2017" w:type="dxa"/>
            <w:vAlign w:val="center"/>
            <w:textDirection w:val="lrTb"/>
            <w:noWrap/>
          </w:tcPr>
          <w:p>
            <w:pPr>
              <w:ind w:left="0"/>
              <w:jc w:val="center"/>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228省道高架（春申湖路互通-相城界）</w:t>
            </w:r>
            <w:r/>
          </w:p>
        </w:tc>
        <w:tc>
          <w:tcPr>
            <w:tcMar>
              <w:left w:w="108" w:type="dxa"/>
              <w:top w:w="0" w:type="dxa"/>
              <w:right w:w="108" w:type="dxa"/>
              <w:bottom w:w="0" w:type="dxa"/>
            </w:tcMar>
            <w:tcW w:w="7230" w:type="dxa"/>
            <w:vAlign w:val="center"/>
            <w:textDirection w:val="lrTb"/>
            <w:noWrap/>
          </w:tcPr>
          <w:p>
            <w:pPr>
              <w:ind w:left="0"/>
              <w:jc w:val="center"/>
              <w:spacing w:line="360" w:lineRule="auto"/>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1933m</w:t>
            </w:r>
            <w:r/>
          </w:p>
        </w:tc>
      </w:tr>
      <w:tr>
        <w:trPr>
          <w:trHeight w:val="280"/>
        </w:trPr>
        <w:tc>
          <w:tcPr>
            <w:tcW w:w="527" w:type="dxa"/>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2017"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南天城路相城大道下穿</w:t>
            </w:r>
            <w:r/>
          </w:p>
        </w:tc>
        <w:tc>
          <w:tcPr>
            <w:tcMar>
              <w:left w:w="108" w:type="dxa"/>
              <w:top w:w="0" w:type="dxa"/>
              <w:right w:w="108" w:type="dxa"/>
              <w:bottom w:w="0" w:type="dxa"/>
            </w:tcMar>
            <w:tcW w:w="7230"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433.5m</w:t>
            </w:r>
            <w:r/>
          </w:p>
        </w:tc>
      </w:tr>
      <w:tr>
        <w:trPr>
          <w:trHeight w:val="280"/>
        </w:trPr>
        <w:tc>
          <w:tcPr>
            <w:tcW w:w="527" w:type="dxa"/>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2017"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御窑路渭西路下穿</w:t>
            </w:r>
            <w:r/>
          </w:p>
        </w:tc>
        <w:tc>
          <w:tcPr>
            <w:tcMar>
              <w:left w:w="108" w:type="dxa"/>
              <w:top w:w="0" w:type="dxa"/>
              <w:right w:w="108" w:type="dxa"/>
              <w:bottom w:w="0" w:type="dxa"/>
            </w:tcMar>
            <w:tcW w:w="7230"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613.5m</w:t>
            </w:r>
            <w:r/>
          </w:p>
        </w:tc>
      </w:tr>
      <w:tr>
        <w:trPr>
          <w:trHeight w:val="280"/>
        </w:trPr>
        <w:tc>
          <w:tcPr>
            <w:tcW w:w="527" w:type="dxa"/>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2017"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御窑路太东路下穿</w:t>
            </w:r>
            <w:r/>
          </w:p>
        </w:tc>
        <w:tc>
          <w:tcPr>
            <w:tcMar>
              <w:left w:w="108" w:type="dxa"/>
              <w:top w:w="0" w:type="dxa"/>
              <w:right w:w="108" w:type="dxa"/>
              <w:bottom w:w="0" w:type="dxa"/>
            </w:tcMar>
            <w:tcW w:w="7230" w:type="dxa"/>
            <w:vAlign w:val="center"/>
            <w:textDirection w:val="lrTb"/>
            <w:noWrap/>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653.3m</w:t>
            </w:r>
            <w:r/>
          </w:p>
        </w:tc>
      </w:tr>
    </w:tbl>
    <w:p>
      <w:pPr>
        <w:ind w:left="0" w:firstLine="42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2.3水中桩检测</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00根。</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3、技术标准和要求：</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3.1当使用于质量鉴定检测的几种标准与规范出现意义不明或不一致时，在引用标准或规范发生分歧时应按以下顺序优先考虑：</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3.1.1现行的交通部的行业标准或规范；</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3.1.2中华人民共和国国家标准；</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交通部2019年第38号令关于修改《公路水运工程试验检测管理办法》的决定</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《回弹法检测混凝土抗压强度技术规程》（JGJ/T23-2011）</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《公路桥梁技术状况评定标准》（JTG/T H21-2011）</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《混凝土中钢筋检测技术标准》（JGJ/T 152-2019）</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《工程测量规范》（GB50026-2020）</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《公路桥梁橡胶支座病害评定技术标准》（DB32∕T 2172-2012）</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《公路桥梁加固设计规范》（JTG J22-2008）</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《公路桥涵养护规范》（JTG 5120-2021）</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《城市桥梁养护技术标准》（CJJ 99-2017）</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《城市桥梁检测与评定技术规范》（CJJT 233-2015）</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《公路桥梁承载能力检测评定规程》（JTG/T J21-2011）</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《公路桥梁荷载试验规程》（JTG∕T J21-01-2015）</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《公路隧道设计规范》(JTG D70-2004)；</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《公路隧道通风照明设计规范》（JTJ026.1-1999）；</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《公路隧道施工技术规范》(JTG F60-2009)</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《公路隧道设计细则》(JTG/T D70-2010)</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《公路隧道施工技术细则》(JTG/T F60-2009)</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《公路隧道交通工程与附属设施施工技术规范》(JTG/T F72-2011)</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《公路隧道养护技术规范》（JTG H12-2003）</w:t>
      </w:r>
      <w:r/>
    </w:p>
    <w:p>
      <w:pPr>
        <w:ind w:left="0" w:firstLine="42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《铁路隧道监控量测技术规程》(TB 10121-2007)</w:t>
      </w:r>
      <w:r/>
    </w:p>
    <w:p>
      <w:pPr>
        <w:ind w:left="0" w:firstLine="42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《公路桥梁水下构件检测技术规程》（T/CECS G:J56-2019）</w:t>
      </w:r>
      <w:r/>
    </w:p>
    <w:p>
      <w:pPr>
        <w:ind w:left="0" w:firstLine="42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《公路养护安全作业规程》（JTG H30-2015）</w:t>
      </w:r>
      <w:r/>
    </w:p>
    <w:p>
      <w:pPr>
        <w:ind w:left="0" w:firstLine="42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《公路工程质量检验评定标准（第一册 土建工程）》（JTG F80/1-2017）</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采购文件所引用的标准或规范，如果目前有新颁或修改，则按新的规范、标准执行。在工程实施全过程中，所引用的标准或规范如果有修改或新颁，应由采购单位决定是否采用新标准或规范，成交单位应按采购单位的决定执行。采用新标准、规范所增加的费用由成交单位承担。</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本项目包含公路桥梁、市政桥梁，最终报告应分别按照响应规范进行检测评定。涉及市政桥梁的，应完成桥梁风险评估报告。</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3.1.3相关行业的标准或规范。</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采购文件所引用的标准或规范，如果目前有新颁或修改，则按新的规范、标准执行。在工程实施全过程中，所引用的标准或规范如果有修改或新颁，应由采购单位决定是否采用新标准或规范，成交单位应按采购单位的决定执行。采用新标准、规范所增加的费用由成交单位承担。</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3.2技术要求</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3.2.1响应单位应认真做好检测前期工作，响应单位应编制详细的工作大纲、检测操作规程和评定标准，经评审后才可实施。</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3.2.2响应单位应根据采购单位规定的检测频率和要求，及时、主动组织检测活动，并及时主动与被检单位联系，按时间要求做好检测活动安排。</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3.2.3响应单位应于每次检测完成后的7日内提供本批次试验检测结果，并满足现场施工进度的要求。</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3.2.4现场检测结束后，及时提交各合同段的最终检测报告一式3份、工作报告一式3份及各合同段初步质量评分表3份，以上报告、表格电子版2份。</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3.2.5检测报告中至少应包括以下内容：</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检测概况：检测项目、检测频率、检测时间、所测桩号、所用仪器、遵照规范等。</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检测结果：主要指标统计合格率、质量等级等；</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检测结论：检测结果的统计与分析，对存在的质量缺陷提出初步结论及补救措施建议等，以及采购方提出的其他检测结果要求。</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3.2.6工作报告中至少应包括对本次检测实施手段、方法及检测工作质量的总结和评价，本次检测结果与以往类似工程检测结果的对比分析，对检测工程质量状况的分析及建议，检测工作中发现的问题及改进措施。</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4、检测服务的内容：</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4.1区管道路及其他农村公路县道桥梁定期检测，检查桥梁上部结构、下部结构及附属设施等的基本情况，外观质量、缺损、病害情况、混凝土强度、钢筋锈蚀状况、混凝土碳化深度检测</w:t>
      </w:r>
      <w:r>
        <w:rPr>
          <w:rFonts w:ascii="宋体" w:hAnsi="宋体" w:cs="宋体"/>
          <w:color w:val="000000"/>
          <w:sz w:val="24"/>
          <w:szCs w:val="24"/>
          <w:highlight w:val="none"/>
        </w:rPr>
        <w:t xml:space="preserve">和桥梁线形检测等，要求配备桥梁检测专用车，并根据检查结果出具检查报告和养护维修建议方案，同时填写桥梁数据采集表和定期检查表，并同步更新桥梁养护系统，为桥梁养护、维修提供决策的可靠数据。涉及桥下通航的桥梁，补充调查通航标志、防撞墩的检查内容。针对临水临涯、急弯道等处的桥梁安全防护予以调查；对桥梁过渡段防护设置、护栏防撞等级进行调查。针对养护施工后的桥梁重点病害进行复查；涉及市政桥梁的，同步完成桥梁安全风险评估报告，按采购单位要求将相关检测数据录入江苏省农村公路桥梁管理系统，建立基础数据模板，提供桥梁卡片资料。</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w:t>
      </w:r>
      <w:r>
        <w:rPr>
          <w:rFonts w:ascii="宋体" w:hAnsi="宋体" w:cs="宋体"/>
          <w:color w:val="000000"/>
          <w:sz w:val="24"/>
          <w:szCs w:val="24"/>
          <w:highlight w:val="none"/>
        </w:rPr>
        <w:t xml:space="preserve">.2高架桥定期检测，检查高架桥梁上部结构、下部结构及附属设施等的基本情况，外观质量、缺损、病害情况、混凝土强度、钢筋锈蚀状况、混凝土碳化深度检测和桥梁线形检测等，要求配备桥梁检测专用车，并根据检查结果出具检查报告和养护维修建议方案，同时填写桥梁数据采集表和定期检查表，并同步更新桥梁养护系统，为桥梁养护、维修提供决策的可靠数据。涉及桥下通航的桥梁，补充调查通航标志、防撞墩的检查内容。对桥梁过渡段防护设置、护栏防撞等级进行调查。针对养护施工后的桥梁重点病害进行复查；涉及市政桥梁的，同步完成桥梁安全风险评估报告。</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4.3下穿检测：完成下穿洞口、洞门、主体结构、路面、检修道、排水系统、装饰板、吊顶与预埋件、标志、标线、轮廓标等构造物外观缺陷的检查；对衬砌结构渗水、漏水重点检查，并抽检内部钢筋混凝土材质（混凝土强度、碳化、裂缝发展状况），对其进行技术状况评定，提出养护意见。</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4.4下穿具体检测内容：</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4.4.1外观检查</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（1）根据结构现状特点，外观检查主要内容和评定标准参照《公路隧道养护技术规范》（JTG H12－2015）中定期检查相关内容执行。</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外观检查采用步行或在登高车上目测方式为主，并配备必要的检查工具或设备。检查时，应尽量靠近结构，依次检查各个结构部位，注意存在异常情况和原有异常情况的发展变化。对于有异常情况的结构，应在其适当位置作出标记，检查结果宜尽可能量化。</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（3）对洞口、洞门、衬砌、路面、排水系统等进行外观检查，包含衬砌、内装、防火涂层等裂缝形态和分布、外观缺陷、渗漏水等。</w:t>
      </w:r>
      <w:r/>
    </w:p>
    <w:p>
      <w:pPr>
        <w:ind w:left="0" w:firstLine="42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外观检查内容一览表</w:t>
      </w:r>
      <w:r/>
    </w:p>
    <w:tbl>
      <w:tblPr>
        <w:tblStyle w:val="825"/>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587"/>
        <w:gridCol w:w="7768"/>
      </w:tblGrid>
      <w:tr>
        <w:trPr/>
        <w:tc>
          <w:tcPr>
            <w:tcMar>
              <w:left w:w="108" w:type="dxa"/>
              <w:top w:w="0" w:type="dxa"/>
              <w:right w:w="108" w:type="dxa"/>
              <w:bottom w:w="0" w:type="dxa"/>
            </w:tcMar>
            <w:tcW w:w="1587"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检查分项</w:t>
            </w:r>
            <w:r/>
          </w:p>
        </w:tc>
        <w:tc>
          <w:tcPr>
            <w:tcMar>
              <w:left w:w="108" w:type="dxa"/>
              <w:top w:w="0" w:type="dxa"/>
              <w:right w:w="108" w:type="dxa"/>
              <w:bottom w:w="0" w:type="dxa"/>
            </w:tcMar>
            <w:tcW w:w="7768"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检查内容</w:t>
            </w:r>
            <w:r/>
          </w:p>
        </w:tc>
      </w:tr>
      <w:tr>
        <w:trPr/>
        <w:tc>
          <w:tcPr>
            <w:tcMar>
              <w:left w:w="108" w:type="dxa"/>
              <w:top w:w="0" w:type="dxa"/>
              <w:right w:w="108" w:type="dxa"/>
              <w:bottom w:w="0" w:type="dxa"/>
            </w:tcMar>
            <w:tcW w:w="1587" w:type="dxa"/>
            <w:vAlign w:val="center"/>
            <w:vMerge w:val="restart"/>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洞口检查</w:t>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山体滑坡、岩石崩塌的征兆及其发展趋势：边坡、碎落台、护坡道的缺口、冲沟、潜流涌水、沉陷、塌落等及其发展趋势</w:t>
            </w:r>
            <w:r/>
          </w:p>
        </w:tc>
      </w:tr>
      <w:tr>
        <w:trPr/>
        <w:tc>
          <w:tcPr>
            <w:tcW w:w="0" w:type="auto"/>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护坡、挡土墙的裂缝、断缝、倾斜、鼓肚、滑动、下沉的位置、范围及其程度，有无表面风化、泄水孔堵塞、墙后积水、地基错台、空隙等现象及其程度</w:t>
            </w:r>
            <w:r/>
          </w:p>
        </w:tc>
      </w:tr>
      <w:tr>
        <w:trPr/>
        <w:tc>
          <w:tcPr>
            <w:tcMar>
              <w:left w:w="108" w:type="dxa"/>
              <w:top w:w="0" w:type="dxa"/>
              <w:right w:w="108" w:type="dxa"/>
              <w:bottom w:w="0" w:type="dxa"/>
            </w:tcMar>
            <w:tcW w:w="1587" w:type="dxa"/>
            <w:vAlign w:val="center"/>
            <w:vMerge w:val="restart"/>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洞门检查</w:t>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墙身裂缝的位置、宽度、长度、范围或程度</w:t>
            </w:r>
            <w:r/>
          </w:p>
        </w:tc>
      </w:tr>
      <w:tr>
        <w:trPr/>
        <w:tc>
          <w:tcPr>
            <w:tcW w:w="0" w:type="auto"/>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结构倾斜、沉陷、断裂范围、变位量、发展趋势</w:t>
            </w:r>
            <w:r/>
          </w:p>
        </w:tc>
      </w:tr>
      <w:tr>
        <w:trPr/>
        <w:tc>
          <w:tcPr>
            <w:tcW w:w="0" w:type="auto"/>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洞门与洞身连接处环向裂缝开展情况、外倾趋势</w:t>
            </w:r>
            <w:r/>
          </w:p>
        </w:tc>
      </w:tr>
      <w:tr>
        <w:trPr/>
        <w:tc>
          <w:tcPr>
            <w:tcW w:w="0" w:type="auto"/>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混凝土起层、剥落的范围和深度，钢筋有无外漏、受到锈蚀</w:t>
            </w:r>
            <w:r/>
          </w:p>
        </w:tc>
      </w:tr>
      <w:tr>
        <w:trPr/>
        <w:tc>
          <w:tcPr>
            <w:tcW w:w="0" w:type="auto"/>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墙背流失范围和程度</w:t>
            </w:r>
            <w:r/>
          </w:p>
        </w:tc>
      </w:tr>
      <w:tr>
        <w:trPr/>
        <w:tc>
          <w:tcPr>
            <w:tcMar>
              <w:left w:w="108" w:type="dxa"/>
              <w:top w:w="0" w:type="dxa"/>
              <w:right w:w="108" w:type="dxa"/>
              <w:bottom w:w="0" w:type="dxa"/>
            </w:tcMar>
            <w:tcW w:w="1587" w:type="dxa"/>
            <w:vAlign w:val="center"/>
            <w:vMerge w:val="restart"/>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衬砌检查</w:t>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衬砌裂缝的位置、宽度、长度、范围或程度，墙身施工缝开裂宽度、错位量</w:t>
            </w:r>
            <w:r/>
          </w:p>
        </w:tc>
      </w:tr>
      <w:tr>
        <w:trPr/>
        <w:tc>
          <w:tcPr>
            <w:tcW w:w="0" w:type="auto"/>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衬砌表面起层、剥落的范围或深度</w:t>
            </w:r>
            <w:r/>
          </w:p>
        </w:tc>
      </w:tr>
      <w:tr>
        <w:trPr/>
        <w:tc>
          <w:tcPr>
            <w:tcW w:w="0" w:type="auto"/>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衬砌渗漏水的位置、水量、浑浊、冻结状况</w:t>
            </w:r>
            <w:r/>
          </w:p>
        </w:tc>
      </w:tr>
      <w:tr>
        <w:trPr/>
        <w:tc>
          <w:tcPr>
            <w:tcMar>
              <w:left w:w="108" w:type="dxa"/>
              <w:top w:w="0" w:type="dxa"/>
              <w:right w:w="108" w:type="dxa"/>
              <w:bottom w:w="0" w:type="dxa"/>
            </w:tcMar>
            <w:tcW w:w="1587" w:type="dxa"/>
            <w:vAlign w:val="center"/>
            <w:vMerge w:val="restart"/>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路面检查</w:t>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路面拱起、沉陷、错台、开裂、溜滑的范围和程度</w:t>
            </w:r>
            <w:r/>
          </w:p>
        </w:tc>
      </w:tr>
      <w:tr>
        <w:trPr/>
        <w:tc>
          <w:tcPr>
            <w:tcW w:w="0" w:type="auto"/>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路面积水、结冰等范围和程度</w:t>
            </w:r>
            <w:r/>
          </w:p>
        </w:tc>
      </w:tr>
      <w:tr>
        <w:trPr/>
        <w:tc>
          <w:tcPr>
            <w:tcMar>
              <w:left w:w="108" w:type="dxa"/>
              <w:top w:w="0" w:type="dxa"/>
              <w:right w:w="108" w:type="dxa"/>
              <w:bottom w:w="0" w:type="dxa"/>
            </w:tcMar>
            <w:tcW w:w="1587" w:type="dxa"/>
            <w:vAlign w:val="center"/>
            <w:vMerge w:val="restart"/>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检修道检查</w:t>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检修道毁坏、盖板缺损的位置和状况</w:t>
            </w:r>
            <w:r/>
          </w:p>
        </w:tc>
      </w:tr>
      <w:tr>
        <w:trPr/>
        <w:tc>
          <w:tcPr>
            <w:tcW w:w="0" w:type="auto"/>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栏杆变形、锈蚀、缺损等的位置和状况</w:t>
            </w:r>
            <w:r/>
          </w:p>
        </w:tc>
      </w:tr>
      <w:tr>
        <w:trPr/>
        <w:tc>
          <w:tcPr>
            <w:tcMar>
              <w:left w:w="108" w:type="dxa"/>
              <w:top w:w="0" w:type="dxa"/>
              <w:right w:w="108" w:type="dxa"/>
              <w:bottom w:w="0" w:type="dxa"/>
            </w:tcMar>
            <w:tcW w:w="1587" w:type="dxa"/>
            <w:vAlign w:val="center"/>
            <w:vMerge w:val="restart"/>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排水系统检查</w:t>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结构缺损程度</w:t>
            </w:r>
            <w:r/>
          </w:p>
        </w:tc>
      </w:tr>
      <w:tr>
        <w:trPr/>
        <w:tc>
          <w:tcPr>
            <w:tcW w:w="0" w:type="auto"/>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中央窨井盖、边沟盖板等完好程度，沟管开裂漏水状况</w:t>
            </w:r>
            <w:r/>
          </w:p>
        </w:tc>
      </w:tr>
      <w:tr>
        <w:trPr/>
        <w:tc>
          <w:tcPr>
            <w:tcW w:w="0" w:type="auto"/>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排水沟（管）、积水井等淤积堵塞、沉沙、滞水、结冰等状况</w:t>
            </w:r>
            <w:r/>
          </w:p>
        </w:tc>
      </w:tr>
      <w:tr>
        <w:trPr/>
        <w:tc>
          <w:tcPr>
            <w:tcMar>
              <w:left w:w="108" w:type="dxa"/>
              <w:top w:w="0" w:type="dxa"/>
              <w:right w:w="108" w:type="dxa"/>
              <w:bottom w:w="0" w:type="dxa"/>
            </w:tcMar>
            <w:tcW w:w="1587" w:type="dxa"/>
            <w:vAlign w:val="center"/>
            <w:vMerge w:val="restart"/>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内装饰（含防火涂层等）检查</w:t>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表面脏污、缺损的范围和程度</w:t>
            </w:r>
            <w:r/>
          </w:p>
        </w:tc>
      </w:tr>
      <w:tr>
        <w:trPr/>
        <w:tc>
          <w:tcPr>
            <w:tcW w:w="0" w:type="auto"/>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内装裂缝的位置、宽度、长度、范围或程度，墙身施工缝处开裂宽度、错位量</w:t>
            </w:r>
            <w:r/>
          </w:p>
        </w:tc>
      </w:tr>
      <w:tr>
        <w:trPr/>
        <w:tc>
          <w:tcPr>
            <w:tcW w:w="0" w:type="auto"/>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内装表面脱落的范围或深度</w:t>
            </w:r>
            <w:r/>
          </w:p>
        </w:tc>
      </w:tr>
      <w:tr>
        <w:trPr/>
        <w:tc>
          <w:tcPr>
            <w:tcW w:w="0" w:type="auto"/>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内装渗漏水的位置、水量状况等</w:t>
            </w:r>
            <w:r/>
          </w:p>
        </w:tc>
      </w:tr>
      <w:tr>
        <w:trPr/>
        <w:tc>
          <w:tcPr>
            <w:tcW w:w="0" w:type="auto"/>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装饰板变形、缺损的范围和程度等</w:t>
            </w:r>
            <w:r/>
          </w:p>
        </w:tc>
      </w:tr>
      <w:tr>
        <w:trPr/>
        <w:tc>
          <w:tcPr>
            <w:tcMar>
              <w:left w:w="108" w:type="dxa"/>
              <w:top w:w="0" w:type="dxa"/>
              <w:right w:w="108" w:type="dxa"/>
              <w:bottom w:w="0" w:type="dxa"/>
            </w:tcMar>
            <w:tcW w:w="1587"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标志、标线、轮廓标检查</w:t>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外观缺损、表面脏污状况，连接件牢固状况、光度是否满足要求等</w:t>
            </w:r>
            <w:r/>
          </w:p>
        </w:tc>
      </w:tr>
    </w:tbl>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4.4.2衬砌裂缝和渗漏水专项检查</w:t>
      </w:r>
      <w:r/>
    </w:p>
    <w:tbl>
      <w:tblPr>
        <w:tblStyle w:val="825"/>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587"/>
        <w:gridCol w:w="7768"/>
      </w:tblGrid>
      <w:tr>
        <w:trPr/>
        <w:tc>
          <w:tcPr>
            <w:tcMar>
              <w:left w:w="108" w:type="dxa"/>
              <w:top w:w="0" w:type="dxa"/>
              <w:right w:w="108" w:type="dxa"/>
              <w:bottom w:w="0" w:type="dxa"/>
            </w:tcMar>
            <w:tcW w:w="1587"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检查分项</w:t>
            </w:r>
            <w:r/>
          </w:p>
        </w:tc>
        <w:tc>
          <w:tcPr>
            <w:tcMar>
              <w:left w:w="108" w:type="dxa"/>
              <w:top w:w="0" w:type="dxa"/>
              <w:right w:w="108" w:type="dxa"/>
              <w:bottom w:w="0" w:type="dxa"/>
            </w:tcMar>
            <w:tcW w:w="7768"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检查内容</w:t>
            </w:r>
            <w:r/>
          </w:p>
        </w:tc>
      </w:tr>
      <w:tr>
        <w:trPr/>
        <w:tc>
          <w:tcPr>
            <w:tcMar>
              <w:left w:w="108" w:type="dxa"/>
              <w:top w:w="0" w:type="dxa"/>
              <w:right w:w="108" w:type="dxa"/>
              <w:bottom w:w="0" w:type="dxa"/>
            </w:tcMar>
            <w:tcW w:w="1587" w:type="dxa"/>
            <w:vAlign w:val="center"/>
            <w:vMerge w:val="restart"/>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衬砌裂缝</w:t>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衬砌裂损的类型包括：衬砌开裂、蜂窝状、混凝土剥落、涂料脱落等，对衬砌裂缝的位置、分布状态进行描述，根据隧道相关规范进行等级评定，分析判断裂缝性质和对结构的影响。并提出合理的整治建议</w:t>
            </w:r>
            <w:r/>
          </w:p>
        </w:tc>
      </w:tr>
      <w:tr>
        <w:trPr/>
        <w:tc>
          <w:tcPr>
            <w:tcW w:w="0" w:type="auto"/>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衬砌裂缝按形态可以分为：纵向裂缝、环向裂缝、斜向裂缝、网状裂缝等</w:t>
            </w:r>
            <w:r/>
          </w:p>
        </w:tc>
      </w:tr>
      <w:tr>
        <w:trPr/>
        <w:tc>
          <w:tcPr>
            <w:tcW w:w="0" w:type="auto"/>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衬砌裂缝检测包括：裂缝位置、走向、长度、宽度、深度、形态等</w:t>
            </w:r>
            <w:r/>
          </w:p>
        </w:tc>
      </w:tr>
      <w:tr>
        <w:trPr/>
        <w:tc>
          <w:tcPr>
            <w:tcW w:w="0" w:type="auto"/>
            <w:vMerge w:val="continue"/>
            <w:textDirection w:val="lrTb"/>
            <w:noWrap w:val="false"/>
          </w:tcPr>
          <w:p>
            <w:pPr>
              <w:spacing w:line="360" w:lineRule="auto"/>
              <w:rPr>
                <w:sz w:val="24"/>
                <w:szCs w:val="24"/>
                <w:highlight w:val="none"/>
              </w:rPr>
            </w:pPr>
            <w:r>
              <w:rPr>
                <w:sz w:val="24"/>
                <w:szCs w:val="24"/>
                <w:highlight w:val="none"/>
              </w:rPr>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裂缝统计采用目测法，配以数码相机、钢尺、读数显微镜等工具；裂缝宽度检测采用液晶式裂缝宽度观测仪；裂缝深度测试采用超声法</w:t>
            </w:r>
            <w:r/>
          </w:p>
        </w:tc>
      </w:tr>
      <w:tr>
        <w:trPr/>
        <w:tc>
          <w:tcPr>
            <w:tcMar>
              <w:left w:w="108" w:type="dxa"/>
              <w:top w:w="0" w:type="dxa"/>
              <w:right w:w="108" w:type="dxa"/>
              <w:bottom w:w="0" w:type="dxa"/>
            </w:tcMar>
            <w:tcW w:w="1587"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渗漏水</w:t>
            </w:r>
            <w:r/>
          </w:p>
        </w:tc>
        <w:tc>
          <w:tcPr>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检查渗水、漏水情况，查明渗水、漏水位置及渗漏水方式，分析其产生原因</w:t>
            </w:r>
            <w:r/>
          </w:p>
        </w:tc>
      </w:tr>
    </w:tbl>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4.4.3防火涂层专项检查</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7"/>
        <w:gridCol w:w="776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检查分项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68"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检查内容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防火涂层专项检查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8" w:type="dxa"/>
            <w:vAlign w:val="center"/>
            <w:textDirection w:val="lrTb"/>
            <w:noWrap w:val="false"/>
          </w:tcPr>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检查防火表面脏污、脱落、缺损的范围和程度、内装渗漏水的位置、水量状况等，并分析其原因</w:t>
            </w:r>
            <w:r/>
          </w:p>
        </w:tc>
      </w:tr>
    </w:tbl>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4.4.4病害记录方法</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病害记录以表格和图形的形式体现出来，表格中描述病害位置和大小及造成影响，病害记录表格如下表；</w:t>
      </w:r>
      <w:r/>
    </w:p>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表1-1 病害记录表</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601"/>
        <w:gridCol w:w="1475"/>
        <w:gridCol w:w="1550"/>
        <w:gridCol w:w="1427"/>
        <w:gridCol w:w="896"/>
        <w:gridCol w:w="1138"/>
      </w:tblGrid>
      <w:tr>
        <w:trPr>
          <w:trHeight w:val="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里程桩号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病害类型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是否影响交通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病害描述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长度（m）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备注</w:t>
            </w:r>
            <w:r/>
          </w:p>
        </w:tc>
      </w:tr>
      <w:tr>
        <w:trPr>
          <w:trHeight w:val="4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r>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p>
        </w:tc>
      </w:tr>
    </w:tbl>
    <w:p>
      <w:pPr>
        <w:ind w:left="0" w:firstLine="420"/>
        <w:spacing w:before="240" w:after="240"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4.4.</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无损检测，针对衬砌检测，不仅要检测衬砌厚度、是否脱空以及混凝土缺陷，还要检测混凝土背后围岩的情况。</w:t>
      </w:r>
      <w:r/>
    </w:p>
    <w:p>
      <w:pPr>
        <w:ind w:left="0" w:firstLine="420"/>
        <w:spacing w:before="240" w:after="24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4.5水中桩检测主要内容：</w:t>
      </w:r>
      <w:r/>
    </w:p>
    <w:tbl>
      <w:tblPr>
        <w:tblStyle w:val="8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43"/>
        <w:gridCol w:w="8211"/>
      </w:tblGrid>
      <w:tr>
        <w:trPr>
          <w:trHeight w:val="756"/>
        </w:trPr>
        <w:tc>
          <w:tcPr>
            <w:tcW w:w="1674" w:type="dxa"/>
            <w:vAlign w:val="center"/>
            <w:textDirection w:val="lrTb"/>
            <w:noWrap w:val="false"/>
          </w:tcPr>
          <w:p>
            <w:pPr>
              <w:ind w:left="0"/>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检测项目</w:t>
            </w:r>
            <w:r/>
          </w:p>
        </w:tc>
        <w:tc>
          <w:tcPr>
            <w:tcW w:w="8406" w:type="dxa"/>
            <w:vAlign w:val="center"/>
            <w:textDirection w:val="lrTb"/>
            <w:noWrap w:val="false"/>
          </w:tcPr>
          <w:p>
            <w:pPr>
              <w:ind w:left="0"/>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检查内容</w:t>
            </w:r>
            <w:r/>
          </w:p>
        </w:tc>
      </w:tr>
      <w:tr>
        <w:trPr/>
        <w:tc>
          <w:tcPr>
            <w:tcW w:w="1674" w:type="dxa"/>
            <w:vAlign w:val="center"/>
            <w:textDirection w:val="lrTb"/>
            <w:noWrap w:val="false"/>
          </w:tcPr>
          <w:p>
            <w:pPr>
              <w:ind w:left="0"/>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外观检查</w:t>
            </w:r>
            <w:r/>
          </w:p>
        </w:tc>
        <w:tc>
          <w:tcPr>
            <w:tcW w:w="8406" w:type="dxa"/>
            <w:vAlign w:val="center"/>
            <w:textDirection w:val="lrTb"/>
            <w:noWrap w:val="false"/>
          </w:tcPr>
          <w:p>
            <w:pPr>
              <w:ind w:left="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检查桩基外露部分是否有裂缝</w:t>
            </w:r>
            <w:r>
              <w:rPr>
                <w:rFonts w:hint="eastAsia" w:ascii="宋体" w:hAnsi="宋体" w:cs="宋体"/>
                <w:color w:val="000000"/>
                <w:sz w:val="24"/>
                <w:szCs w:val="24"/>
                <w:highlight w:val="none"/>
              </w:rPr>
              <w:t xml:space="preserve">；</w:t>
            </w:r>
            <w:r/>
          </w:p>
          <w:p>
            <w:pPr>
              <w:ind w:left="0"/>
              <w:jc w:val="left"/>
              <w:rPr>
                <w:rFonts w:hint="eastAsia" w:ascii="宋体" w:hAnsi="宋体" w:cs="宋体"/>
                <w:color w:val="000000"/>
                <w:sz w:val="24"/>
                <w:szCs w:val="24"/>
                <w:highlight w:val="none"/>
              </w:rPr>
            </w:pPr>
            <w:r>
              <w:rPr>
                <w:rFonts w:ascii="宋体" w:hAnsi="宋体" w:cs="宋体"/>
                <w:color w:val="000000"/>
                <w:sz w:val="24"/>
                <w:szCs w:val="24"/>
                <w:highlight w:val="none"/>
              </w:rPr>
              <w:t xml:space="preserve">2、基础有无滑动、倾斜、下沉、压曲或破碎</w:t>
            </w:r>
            <w:r>
              <w:rPr>
                <w:rFonts w:hint="eastAsia" w:ascii="宋体" w:hAnsi="宋体" w:cs="宋体"/>
                <w:color w:val="000000"/>
                <w:sz w:val="24"/>
                <w:szCs w:val="24"/>
                <w:highlight w:val="none"/>
              </w:rPr>
              <w:t xml:space="preserve">；</w:t>
            </w:r>
            <w:r/>
          </w:p>
          <w:p>
            <w:pPr>
              <w:ind w:left="0"/>
              <w:jc w:val="left"/>
              <w:rPr>
                <w:rFonts w:hint="eastAsia" w:ascii="宋体" w:hAnsi="宋体" w:cs="宋体"/>
                <w:color w:val="000000"/>
                <w:sz w:val="24"/>
                <w:szCs w:val="24"/>
                <w:highlight w:val="none"/>
              </w:rPr>
            </w:pPr>
            <w:r>
              <w:rPr>
                <w:rFonts w:ascii="宋体" w:hAnsi="宋体" w:cs="宋体"/>
                <w:color w:val="000000"/>
                <w:sz w:val="24"/>
                <w:szCs w:val="24"/>
                <w:highlight w:val="none"/>
              </w:rPr>
              <w:t xml:space="preserve">3、基础是否有冲刷或淘空现象</w:t>
            </w:r>
            <w:r>
              <w:rPr>
                <w:rFonts w:hint="eastAsia" w:ascii="宋体" w:hAnsi="宋体" w:cs="宋体"/>
                <w:color w:val="000000"/>
                <w:sz w:val="24"/>
                <w:szCs w:val="24"/>
                <w:highlight w:val="none"/>
              </w:rPr>
              <w:t xml:space="preserve">；</w:t>
            </w:r>
            <w:r/>
          </w:p>
          <w:p>
            <w:pPr>
              <w:ind w:left="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基础是否被侵蚀，有磨损、缩颈、露筋、环状冻裂现象、桩基顶面出现空洞，是否受到污水、咸水或生物的腐蚀等</w:t>
            </w:r>
            <w:r>
              <w:rPr>
                <w:rFonts w:hint="eastAsia" w:ascii="宋体" w:hAnsi="宋体" w:cs="宋体"/>
                <w:color w:val="000000"/>
                <w:sz w:val="24"/>
                <w:szCs w:val="24"/>
                <w:highlight w:val="none"/>
              </w:rPr>
              <w:t xml:space="preserve">；</w:t>
            </w:r>
            <w:r/>
          </w:p>
          <w:p>
            <w:pPr>
              <w:ind w:left="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t xml:space="preserve">桩基是否存在错位情况</w:t>
            </w:r>
            <w:r>
              <w:rPr>
                <w:rFonts w:hint="eastAsia" w:ascii="宋体" w:hAnsi="宋体" w:cs="宋体"/>
                <w:color w:val="000000"/>
                <w:sz w:val="24"/>
                <w:szCs w:val="24"/>
                <w:highlight w:val="none"/>
              </w:rPr>
              <w:t xml:space="preserve">；</w:t>
            </w:r>
            <w:r/>
          </w:p>
          <w:p>
            <w:pPr>
              <w:ind w:left="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t xml:space="preserve">桥墩有无破损、露筋、蜂窝、麻面、剥落、孔洞、空洞、钢筋锈蚀、磨损、混凝土碳化、腐蚀等。</w:t>
            </w:r>
            <w:r/>
          </w:p>
        </w:tc>
      </w:tr>
      <w:tr>
        <w:trPr/>
        <w:tc>
          <w:tcPr>
            <w:tcW w:w="1674" w:type="dxa"/>
            <w:vAlign w:val="center"/>
            <w:textDirection w:val="lrTb"/>
            <w:noWrap w:val="false"/>
          </w:tcPr>
          <w:p>
            <w:pPr>
              <w:ind w:left="0"/>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结构尺寸</w:t>
            </w:r>
            <w:r/>
          </w:p>
        </w:tc>
        <w:tc>
          <w:tcPr>
            <w:tcW w:w="8406" w:type="dxa"/>
            <w:vAlign w:val="center"/>
            <w:textDirection w:val="lrTb"/>
            <w:noWrap w:val="false"/>
          </w:tcPr>
          <w:p>
            <w:pPr>
              <w:ind w:left="0"/>
              <w:jc w:val="left"/>
              <w:tabs>
                <w:tab w:val="left" w:pos="8000" w:leader="none"/>
              </w:tabs>
              <w:rPr>
                <w:rFonts w:hint="eastAsia" w:ascii="宋体" w:hAnsi="宋体" w:cs="宋体"/>
                <w:color w:val="000000"/>
                <w:sz w:val="24"/>
                <w:szCs w:val="24"/>
                <w:highlight w:val="none"/>
              </w:rPr>
            </w:pPr>
            <w:r>
              <w:rPr>
                <w:rFonts w:ascii="宋体" w:hAnsi="宋体" w:cs="宋体"/>
                <w:color w:val="000000"/>
                <w:sz w:val="24"/>
                <w:szCs w:val="24"/>
                <w:highlight w:val="none"/>
              </w:rPr>
              <w:t xml:space="preserve">1、测量可达结构的周长、间距、高度</w:t>
            </w:r>
            <w:r>
              <w:rPr>
                <w:rFonts w:hint="eastAsia" w:ascii="宋体" w:hAnsi="宋体" w:cs="宋体"/>
                <w:color w:val="000000"/>
                <w:sz w:val="24"/>
                <w:szCs w:val="24"/>
                <w:highlight w:val="none"/>
              </w:rPr>
              <w:t xml:space="preserve">；</w:t>
            </w:r>
            <w:r/>
          </w:p>
          <w:p>
            <w:pPr>
              <w:ind w:left="0"/>
              <w:jc w:val="left"/>
              <w:tabs>
                <w:tab w:val="left" w:pos="8000" w:leader="none"/>
              </w:tabs>
              <w:rPr>
                <w:rFonts w:hint="eastAsia" w:ascii="宋体" w:hAnsi="宋体" w:cs="宋体"/>
                <w:color w:val="000000"/>
                <w:sz w:val="24"/>
                <w:szCs w:val="24"/>
                <w:highlight w:val="none"/>
              </w:rPr>
            </w:pPr>
            <w:r>
              <w:rPr>
                <w:rFonts w:ascii="宋体" w:hAnsi="宋体" w:cs="宋体"/>
                <w:color w:val="000000"/>
                <w:sz w:val="24"/>
                <w:szCs w:val="24"/>
                <w:highlight w:val="none"/>
              </w:rPr>
              <w:t xml:space="preserve">2、根据水下摸桩情况判断桩基是否有缩颈情况，并对其缩颈程度进行测量。</w:t>
            </w:r>
            <w:r/>
          </w:p>
        </w:tc>
      </w:tr>
      <w:tr>
        <w:trPr/>
        <w:tc>
          <w:tcPr>
            <w:tcW w:w="1674" w:type="dxa"/>
            <w:vAlign w:val="center"/>
            <w:textDirection w:val="lrTb"/>
            <w:noWrap w:val="false"/>
          </w:tcPr>
          <w:p>
            <w:pPr>
              <w:ind w:left="0"/>
              <w:jc w:val="center"/>
              <w:rPr>
                <w:rFonts w:hint="eastAsia" w:ascii="宋体" w:hAnsi="宋体" w:cs="宋体"/>
                <w:color w:val="000000"/>
                <w:sz w:val="24"/>
                <w:szCs w:val="24"/>
                <w:highlight w:val="none"/>
              </w:rPr>
            </w:pPr>
            <w:r>
              <w:rPr>
                <w:rFonts w:ascii="宋体" w:hAnsi="宋体" w:cs="宋体"/>
                <w:color w:val="000000"/>
                <w:sz w:val="24"/>
                <w:szCs w:val="24"/>
                <w:highlight w:val="none"/>
              </w:rPr>
              <w:t xml:space="preserve">水下基础及河床冲刷检查</w:t>
            </w:r>
            <w:r/>
          </w:p>
        </w:tc>
        <w:tc>
          <w:tcPr>
            <w:tcW w:w="8406" w:type="dxa"/>
            <w:vAlign w:val="center"/>
            <w:textDirection w:val="lrTb"/>
            <w:noWrap w:val="false"/>
          </w:tcPr>
          <w:p>
            <w:pPr>
              <w:ind w:left="0"/>
              <w:jc w:val="left"/>
              <w:rPr>
                <w:rFonts w:hint="eastAsia" w:ascii="宋体" w:hAnsi="宋体" w:cs="宋体"/>
                <w:color w:val="000000"/>
                <w:sz w:val="24"/>
                <w:szCs w:val="24"/>
                <w:highlight w:val="none"/>
              </w:rPr>
            </w:pPr>
            <w:r>
              <w:rPr>
                <w:rFonts w:ascii="宋体" w:hAnsi="宋体" w:cs="宋体"/>
                <w:color w:val="000000"/>
                <w:sz w:val="24"/>
                <w:szCs w:val="24"/>
                <w:highlight w:val="none"/>
              </w:rPr>
              <w:t xml:space="preserve">1、检查基础有无冲蚀、淘空等现象</w:t>
            </w:r>
            <w:r>
              <w:rPr>
                <w:rFonts w:hint="eastAsia" w:ascii="宋体" w:hAnsi="宋体" w:cs="宋体"/>
                <w:color w:val="000000"/>
                <w:sz w:val="24"/>
                <w:szCs w:val="24"/>
                <w:highlight w:val="none"/>
              </w:rPr>
              <w:t xml:space="preserve">；</w:t>
            </w:r>
            <w:r/>
          </w:p>
          <w:p>
            <w:pPr>
              <w:ind w:left="0"/>
              <w:jc w:val="left"/>
              <w:rPr>
                <w:rFonts w:hint="eastAsia" w:ascii="宋体" w:hAnsi="宋体" w:cs="宋体"/>
                <w:color w:val="000000"/>
                <w:sz w:val="24"/>
                <w:szCs w:val="24"/>
                <w:highlight w:val="none"/>
              </w:rPr>
            </w:pPr>
            <w:r>
              <w:rPr>
                <w:rFonts w:ascii="宋体" w:hAnsi="宋体" w:cs="宋体"/>
                <w:color w:val="000000"/>
                <w:sz w:val="24"/>
                <w:szCs w:val="24"/>
                <w:highlight w:val="none"/>
              </w:rPr>
              <w:t xml:space="preserve">2、对本桥河床断面进行测量，以便于后续检测进行历史比对。</w:t>
            </w:r>
            <w:r/>
          </w:p>
        </w:tc>
      </w:tr>
    </w:tbl>
    <w:p>
      <w:pPr>
        <w:ind w:left="0" w:firstLine="420"/>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t xml:space="preserve">响应单位必须做到以下几点：</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①在规定的时间内完成检测任务，提供检查报告，并完成桥梁养护管理系统的数据更新工作；</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②检测工作要满足相关规范、规程规定要求，检测频率符合国家检测标准。</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③因环境等相关因素导致桥梁未能检测评定的，应另行安排合适时间进行补充检测。</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5、人员要求：</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5.1拟投入的项目负责人应具有交通运输部质量监督机构核发的公路工程试验检测工程师（桥梁专业）或公路工程试验检测师资格（桥梁隧道专业）；</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5.2拟投入的其他检测人员不得少于5人：应具有交通运输部公路工程试验检测员（桥梁专业）或以上资格；</w:t>
      </w:r>
      <w:r/>
    </w:p>
    <w:p>
      <w:pPr>
        <w:ind w:left="0" w:firstLine="420"/>
        <w:spacing w:line="360" w:lineRule="auto"/>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highlight w:val="none"/>
        </w:rPr>
        <w:t xml:space="preserve">注：响应文件中须提供以上人员的证书复印件，否则为无效标。</w:t>
      </w:r>
      <w:r/>
    </w:p>
    <w:p>
      <w:pPr>
        <w:numPr>
          <w:ilvl w:val="0"/>
          <w:numId w:val="3"/>
        </w:numPr>
        <w:ind w:left="0" w:firstLine="480"/>
        <w:spacing w:line="360" w:lineRule="auto"/>
        <w:rPr>
          <w:rFonts w:hint="eastAsia" w:ascii="宋体" w:hAnsi="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设备要求：</w:t>
      </w:r>
      <w:r/>
    </w:p>
    <w:p>
      <w:pPr>
        <w:numPr>
          <w:ilvl w:val="0"/>
          <w:numId w:val="0"/>
        </w:numPr>
        <w:ind w:left="480"/>
        <w:spacing w:line="360" w:lineRule="auto"/>
        <w:rPr>
          <w:rFonts w:hint="eastAsia" w:ascii="宋体" w:hAnsi="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szCs w:val="24"/>
          <w:highlight w:val="none"/>
          <w:lang w:val="en-US" w:eastAsia="zh-CN"/>
        </w:rPr>
        <w:t xml:space="preserve">拟投入的设备除常用检测设备外，至少需要配备以下设备：</w:t>
      </w:r>
      <w:r/>
    </w:p>
    <w:tbl>
      <w:tblPr>
        <w:tblStyle w:val="80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2"/>
        <w:gridCol w:w="5884"/>
        <w:gridCol w:w="1050"/>
      </w:tblGrid>
      <w:tr>
        <w:trPr>
          <w:jc w:val="center"/>
          <w:trHeight w:val="481"/>
          <w:tblHeader/>
        </w:trPr>
        <w:tc>
          <w:tcPr>
            <w:tcW w:w="762" w:type="dxa"/>
            <w:vAlign w:val="center"/>
            <w:textDirection w:val="lrTb"/>
            <w:noWrap w:val="false"/>
          </w:tcPr>
          <w:p>
            <w:pPr>
              <w:ind w:left="1022" w:hanging="1022"/>
              <w:jc w:val="center"/>
              <w:tabs>
                <w:tab w:val="left" w:pos="200" w:leader="none"/>
                <w:tab w:val="left" w:pos="400" w:leader="none"/>
                <w:tab w:val="left" w:pos="600"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5884" w:type="dxa"/>
            <w:vAlign w:val="center"/>
            <w:textDirection w:val="lrTb"/>
            <w:noWrap w:val="false"/>
          </w:tcPr>
          <w:p>
            <w:pPr>
              <w:ind w:left="0" w:firstLine="0"/>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仪器名称</w:t>
            </w:r>
            <w:r/>
          </w:p>
        </w:tc>
        <w:tc>
          <w:tcPr>
            <w:tcW w:w="1050" w:type="dxa"/>
            <w:vAlign w:val="center"/>
            <w:textDirection w:val="lrTb"/>
            <w:noWrap w:val="false"/>
          </w:tcPr>
          <w:p>
            <w:pPr>
              <w:ind w:left="222" w:hanging="222"/>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jc w:val="center"/>
          <w:trHeight w:val="304"/>
        </w:trPr>
        <w:tc>
          <w:tcPr>
            <w:tcBorders>
              <w:bottom w:val="single" w:color="auto" w:sz="4" w:space="0"/>
            </w:tcBorders>
            <w:tcW w:w="762" w:type="dxa"/>
            <w:vAlign w:val="center"/>
            <w:textDirection w:val="lrTb"/>
            <w:noWrap w:val="false"/>
          </w:tcPr>
          <w:p>
            <w:pPr>
              <w:ind w:left="1022" w:hanging="1022"/>
              <w:jc w:val="center"/>
              <w:spacing w:line="360" w:lineRule="auto"/>
              <w:tabs>
                <w:tab w:val="left" w:pos="200" w:leader="none"/>
                <w:tab w:val="left" w:pos="600"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bottom w:val="single" w:color="auto" w:sz="4" w:space="0"/>
            </w:tcBorders>
            <w:tcW w:w="5884" w:type="dxa"/>
            <w:vAlign w:val="center"/>
            <w:textDirection w:val="lrTb"/>
            <w:noWrap w:val="false"/>
          </w:tcPr>
          <w:p>
            <w:pPr>
              <w:ind w:left="0" w:firstLine="0"/>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混凝土强度检测设备（回弹仪）</w:t>
            </w:r>
            <w:r/>
          </w:p>
        </w:tc>
        <w:tc>
          <w:tcPr>
            <w:tcBorders>
              <w:bottom w:val="single" w:color="auto" w:sz="4" w:space="0"/>
            </w:tcBorders>
            <w:tcW w:w="1050" w:type="dxa"/>
            <w:vAlign w:val="center"/>
            <w:textDirection w:val="lrTb"/>
            <w:noWrap w:val="false"/>
          </w:tcPr>
          <w:p>
            <w:pPr>
              <w:ind w:left="222" w:hanging="2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115"/>
        </w:trPr>
        <w:tc>
          <w:tcPr>
            <w:tcBorders>
              <w:top w:val="single" w:color="auto" w:sz="4" w:space="0"/>
              <w:bottom w:val="single" w:color="auto" w:sz="4" w:space="0"/>
            </w:tcBorders>
            <w:tcW w:w="762" w:type="dxa"/>
            <w:vAlign w:val="center"/>
            <w:textDirection w:val="lrTb"/>
            <w:noWrap w:val="false"/>
          </w:tcPr>
          <w:p>
            <w:pPr>
              <w:ind w:left="1022" w:hanging="1022"/>
              <w:jc w:val="center"/>
              <w:spacing w:line="360" w:lineRule="auto"/>
              <w:tabs>
                <w:tab w:val="left" w:pos="200" w:leader="none"/>
                <w:tab w:val="left" w:pos="600"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auto" w:sz="4" w:space="0"/>
              <w:bottom w:val="single" w:color="auto" w:sz="4" w:space="0"/>
            </w:tcBorders>
            <w:tcW w:w="5884" w:type="dxa"/>
            <w:vAlign w:val="center"/>
            <w:textDirection w:val="lrTb"/>
            <w:noWrap w:val="false"/>
          </w:tcPr>
          <w:p>
            <w:pPr>
              <w:ind w:left="0" w:firstLine="0"/>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混凝土碳化深度检测设备</w:t>
            </w:r>
            <w:r/>
          </w:p>
        </w:tc>
        <w:tc>
          <w:tcPr>
            <w:tcBorders>
              <w:top w:val="single" w:color="auto" w:sz="4" w:space="0"/>
              <w:bottom w:val="single" w:color="auto" w:sz="4" w:space="0"/>
            </w:tcBorders>
            <w:tcW w:w="1050" w:type="dxa"/>
            <w:vAlign w:val="center"/>
            <w:textDirection w:val="lrTb"/>
            <w:noWrap w:val="false"/>
          </w:tcPr>
          <w:p>
            <w:pPr>
              <w:ind w:left="222" w:hanging="2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342"/>
        </w:trPr>
        <w:tc>
          <w:tcPr>
            <w:tcBorders>
              <w:top w:val="single" w:color="auto" w:sz="4" w:space="0"/>
              <w:bottom w:val="single" w:color="auto" w:sz="4" w:space="0"/>
            </w:tcBorders>
            <w:tcW w:w="762" w:type="dxa"/>
            <w:vAlign w:val="center"/>
            <w:textDirection w:val="lrTb"/>
            <w:noWrap w:val="false"/>
          </w:tcPr>
          <w:p>
            <w:pPr>
              <w:ind w:left="1022" w:hanging="1022"/>
              <w:jc w:val="center"/>
              <w:spacing w:line="360" w:lineRule="auto"/>
              <w:tabs>
                <w:tab w:val="left" w:pos="200" w:leader="none"/>
                <w:tab w:val="left" w:pos="600"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auto" w:sz="4" w:space="0"/>
              <w:bottom w:val="single" w:color="auto" w:sz="4" w:space="0"/>
            </w:tcBorders>
            <w:tcW w:w="5884" w:type="dxa"/>
            <w:vAlign w:val="center"/>
            <w:textDirection w:val="lrTb"/>
            <w:noWrap w:val="false"/>
          </w:tcPr>
          <w:p>
            <w:pPr>
              <w:ind w:left="0" w:firstLine="0"/>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钢筋保护层厚度检测设备</w:t>
            </w:r>
            <w:r/>
          </w:p>
        </w:tc>
        <w:tc>
          <w:tcPr>
            <w:tcBorders>
              <w:top w:val="single" w:color="auto" w:sz="4" w:space="0"/>
              <w:bottom w:val="single" w:color="auto" w:sz="4" w:space="0"/>
            </w:tcBorders>
            <w:tcW w:w="1050" w:type="dxa"/>
            <w:vAlign w:val="center"/>
            <w:textDirection w:val="lrTb"/>
            <w:noWrap w:val="false"/>
          </w:tcPr>
          <w:p>
            <w:pPr>
              <w:ind w:left="222" w:hanging="2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348"/>
        </w:trPr>
        <w:tc>
          <w:tcPr>
            <w:tcBorders>
              <w:top w:val="single" w:color="auto" w:sz="4" w:space="0"/>
              <w:bottom w:val="single" w:color="auto" w:sz="4" w:space="0"/>
            </w:tcBorders>
            <w:tcW w:w="762" w:type="dxa"/>
            <w:vAlign w:val="center"/>
            <w:textDirection w:val="lrTb"/>
            <w:noWrap w:val="false"/>
          </w:tcPr>
          <w:p>
            <w:pPr>
              <w:ind w:left="1022" w:hanging="1022"/>
              <w:jc w:val="center"/>
              <w:spacing w:line="360" w:lineRule="auto"/>
              <w:tabs>
                <w:tab w:val="left" w:pos="200" w:leader="none"/>
                <w:tab w:val="left" w:pos="600"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auto" w:sz="4" w:space="0"/>
              <w:bottom w:val="single" w:color="auto" w:sz="4" w:space="0"/>
            </w:tcBorders>
            <w:tcW w:w="5884" w:type="dxa"/>
            <w:vAlign w:val="center"/>
            <w:textDirection w:val="lrTb"/>
            <w:noWrap w:val="false"/>
          </w:tcPr>
          <w:p>
            <w:pPr>
              <w:ind w:left="0" w:firstLine="0"/>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桥梁结构动态数据采集系统</w:t>
            </w:r>
            <w:r/>
          </w:p>
        </w:tc>
        <w:tc>
          <w:tcPr>
            <w:tcBorders>
              <w:top w:val="single" w:color="auto" w:sz="4" w:space="0"/>
              <w:bottom w:val="single" w:color="auto" w:sz="4" w:space="0"/>
            </w:tcBorders>
            <w:tcW w:w="1050" w:type="dxa"/>
            <w:vAlign w:val="center"/>
            <w:textDirection w:val="lrTb"/>
            <w:noWrap w:val="false"/>
          </w:tcPr>
          <w:p>
            <w:pPr>
              <w:ind w:left="222" w:hanging="2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264"/>
        </w:trPr>
        <w:tc>
          <w:tcPr>
            <w:tcBorders>
              <w:top w:val="single" w:color="auto" w:sz="4" w:space="0"/>
              <w:bottom w:val="single" w:color="auto" w:sz="4" w:space="0"/>
            </w:tcBorders>
            <w:tcW w:w="762" w:type="dxa"/>
            <w:vAlign w:val="center"/>
            <w:textDirection w:val="lrTb"/>
            <w:noWrap w:val="false"/>
          </w:tcPr>
          <w:p>
            <w:pPr>
              <w:ind w:left="1022" w:hanging="1022"/>
              <w:jc w:val="center"/>
              <w:spacing w:line="360" w:lineRule="auto"/>
              <w:tabs>
                <w:tab w:val="left" w:pos="200" w:leader="none"/>
                <w:tab w:val="left" w:pos="600"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auto" w:sz="4" w:space="0"/>
              <w:bottom w:val="single" w:color="auto" w:sz="4" w:space="0"/>
            </w:tcBorders>
            <w:tcW w:w="5884" w:type="dxa"/>
            <w:vAlign w:val="center"/>
            <w:textDirection w:val="lrTb"/>
            <w:noWrap w:val="false"/>
          </w:tcPr>
          <w:p>
            <w:pPr>
              <w:ind w:left="0" w:firstLine="0"/>
              <w:jc w:val="center"/>
              <w:rPr>
                <w:rFonts w:ascii="宋体" w:hAnsi="宋体" w:eastAsia="宋体" w:cs="宋体"/>
                <w:sz w:val="21"/>
                <w:szCs w:val="21"/>
                <w:highlight w:val="none"/>
              </w:rPr>
            </w:pPr>
            <w:r>
              <w:rPr>
                <w:rFonts w:hint="eastAsia" w:ascii="宋体" w:hAnsi="宋体" w:eastAsia="宋体" w:cs="宋体"/>
                <w:sz w:val="21"/>
                <w:szCs w:val="21"/>
                <w:highlight w:val="none"/>
              </w:rPr>
              <w:t xml:space="preserve">无线静态应变测试分析系统</w:t>
            </w:r>
            <w:r/>
          </w:p>
        </w:tc>
        <w:tc>
          <w:tcPr>
            <w:tcBorders>
              <w:top w:val="single" w:color="auto" w:sz="4" w:space="0"/>
              <w:bottom w:val="single" w:color="auto" w:sz="4" w:space="0"/>
            </w:tcBorders>
            <w:tcW w:w="1050" w:type="dxa"/>
            <w:vAlign w:val="center"/>
            <w:textDirection w:val="lrTb"/>
            <w:noWrap w:val="false"/>
          </w:tcPr>
          <w:p>
            <w:pPr>
              <w:ind w:left="222" w:hanging="2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bl>
    <w:p>
      <w:pPr>
        <w:numPr>
          <w:ilvl w:val="0"/>
          <w:numId w:val="0"/>
        </w:numPr>
        <w:ind w:left="480"/>
        <w:spacing w:line="360" w:lineRule="auto"/>
        <w:rPr>
          <w:rFonts w:hint="eastAsia" w:ascii="宋体" w:hAnsi="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注：</w:t>
      </w:r>
      <w:r>
        <w:rPr>
          <w:rFonts w:ascii="宋体" w:hAnsi="宋体" w:cs="宋体"/>
          <w:b/>
          <w:bCs/>
          <w:color w:val="000000"/>
          <w:sz w:val="24"/>
          <w:szCs w:val="24"/>
          <w:highlight w:val="none"/>
        </w:rPr>
        <w:t xml:space="preserve">响应文件中须提供以上</w:t>
      </w:r>
      <w:r>
        <w:rPr>
          <w:rFonts w:hint="eastAsia" w:ascii="宋体" w:hAnsi="宋体" w:cs="宋体"/>
          <w:b/>
          <w:bCs/>
          <w:color w:val="000000"/>
          <w:sz w:val="24"/>
          <w:szCs w:val="24"/>
          <w:highlight w:val="none"/>
          <w:lang w:eastAsia="zh-CN"/>
        </w:rPr>
        <w:t xml:space="preserve">设备清单</w:t>
      </w:r>
      <w:r>
        <w:rPr>
          <w:rFonts w:ascii="宋体" w:hAnsi="宋体" w:cs="宋体"/>
          <w:b/>
          <w:bCs/>
          <w:color w:val="000000"/>
          <w:sz w:val="24"/>
          <w:szCs w:val="24"/>
          <w:highlight w:val="none"/>
        </w:rPr>
        <w:t xml:space="preserve">，否则为无效标。</w:t>
      </w:r>
      <w:r/>
    </w:p>
    <w:p>
      <w:pPr>
        <w:ind w:left="0" w:firstLine="42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四、检测职责：</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1、认真执行关于试验检测的各项规范、制度，规范检测和报告程序，切实做到真实、全面、独立、公正、准确、及时。</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2、有关规范、规程、标准等技术文件应齐全，响应单位人员要严格按有关标准、规程及规范进行操作，保证试验检测数据的准确性。</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3、对试验检测工作统筹安排，细化工作内容，根据本项目情况制定切实可行的检测工作方案，保证检测工作的全面完成。</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4、保证试验检测数据真实反映现场情况。</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5、保证试验设备的标识、检定、使用、保养、维修符合要求，为试验检测数据的准确提供良好的基础。</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6、严格执行现场抽样、检测、样品留存等制度，保证试验过程中样品传递的规范性。</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7、严格执行台帐制度，保证试验检测各个环节都有台帐记录，做到所有试验检测数据都可追溯。</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8、严格执行环境安全管理制度，保证试验检测工作的正常开展。</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9、保证试验检测的及时性，及时进行相关试验检测，及时出具报告，及时上报检测中发现的问题。</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10、加强对试验检测方法的研究，积极采用先进的检测方法。</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11、严格执行工作人员守则，加强廉政管理。</w:t>
      </w:r>
      <w:r/>
    </w:p>
    <w:p>
      <w:pPr>
        <w:ind w:left="0" w:firstLine="42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五、安全措施：</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（1）响应单位应严格遵守《中华人民共和国安全</w:t>
      </w:r>
      <w:r>
        <w:rPr>
          <w:rFonts w:ascii="宋体" w:hAnsi="宋体" w:cs="宋体"/>
          <w:color w:val="000000"/>
          <w:sz w:val="24"/>
          <w:szCs w:val="24"/>
          <w:highlight w:val="none"/>
        </w:rPr>
        <w:t xml:space="preserve">生产法》、《建设工程安全生产管理条例》、《江苏省安全生产条例》、《公路水运工程安全生产监督管理办法》、《江苏省公路水运建设工程安全监管规定》等法律法规的规定，建立健全的安全生产组织体系和责任体系，落实安全生产的保障措施，严格按照安全标准检测，采取必要的安全防护措施并对检测人员进行安全生产教育和管理；健全组织制度，指定主要领导负责安全工作，确保作业人员和车辆、设备的安全。响应单位在检测过程中发生的任何交通、生产事故造成财产损失或人员伤亡的，以及与其他第三方发生的任何纠纷或事故，采购单位概不承担任何责任和费用。</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针对在试验检测期间需不中断交通保持过往车辆顺利通行，响应单位应严格遵守《《中华人民共和国安全生产法》、《建设工程安全生产管理条例》、《江苏省安全生产条例》、《公路水运工程安全生产监督管理办法》、《江苏省公路水运建设工程安全监管规定》、《江苏省公路条例》、《江苏省高速公路条例》及《江苏省道路安全条例》的有关规定，服从公安、路政部门的管理，自觉保</w:t>
      </w:r>
      <w:r>
        <w:rPr>
          <w:rFonts w:ascii="宋体" w:hAnsi="宋体" w:cs="宋体"/>
          <w:color w:val="000000"/>
          <w:sz w:val="24"/>
          <w:szCs w:val="24"/>
          <w:highlight w:val="none"/>
        </w:rPr>
        <w:t xml:space="preserve">护施工公路路产；遵守地方政府和有关部门对检测场地交通等管理规定，否则将承担由此造成的有权部门的处罚。响应单位上路作业应按规定办理相关手续，并服从公安、路政部门的管理；作业人员须穿着统一的安全标记服在作业区内作业，严禁随意穿越车道；在作业封闭区内的车辆和设备应按要求设置安全标记，并开启黄色警示灯和双跳灯。响应单位应按照有关规定向路政、交警部门办理行政许可及交纳相关费用。响应单位应杜绝因自身原因产生道路严重阻塞、中断等不良社会影响的现象发生，如发生上述情况，产生的一切责任（包括连带附带责任）均由响应单位承担。 </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在现场工作时，响应单位应遵守政府有关部门、采购单位及有关单位安全保卫制度，并对其人员的安全负责，响应单位应对由于自己或其代理人的过错包括侵犯版权或发明权而给采购单位或任何第三方造成的损失负赔偿责任。在作业现场，响应单位应采取必要的安全措施，并应保障采购单位免于承担由此导致的一切诉讼、争执、索赔、罚款。</w:t>
      </w:r>
      <w:r/>
    </w:p>
    <w:p>
      <w:pPr>
        <w:ind w:left="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（4）响应单位应根据现场实际情况，针对水中作业、夜间、雨雾冰雪等特殊气候条件，制定完善的安全保障措施，确保安全。如因上述情况，产生的一切责任（包括连带附带责任）均由响应单位承担。</w:t>
      </w:r>
      <w:r/>
    </w:p>
    <w:p>
      <w:pPr>
        <w:ind w:left="0" w:firstLine="42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六、服务要求：</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响应单位应派专人与采购单位保持联系，按规定准备开工报告,并在得到批复后开展试验检测或测量工作。如工地出现特殊情况，仍应根据采购单位要求及时到现场进行试验检测，并在检测完成7个工作日内将初步检测结果或相关报告提供给采购单位，在合同期内提供所有服务内容的成果报告。</w:t>
      </w:r>
      <w:r/>
    </w:p>
    <w:p>
      <w:pPr>
        <w:ind w:left="0" w:firstLine="420"/>
        <w:spacing w:before="240" w:after="240"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2、202</w:t>
      </w: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t xml:space="preserve">年</w:t>
      </w:r>
      <w:r>
        <w:rPr>
          <w:rFonts w:hint="eastAsia" w:ascii="宋体" w:hAnsi="宋体" w:cs="宋体"/>
          <w:color w:val="000000"/>
          <w:sz w:val="24"/>
          <w:szCs w:val="24"/>
          <w:highlight w:val="none"/>
        </w:rPr>
        <w:t xml:space="preserve">11</w:t>
      </w:r>
      <w:r>
        <w:rPr>
          <w:rFonts w:ascii="宋体" w:hAnsi="宋体" w:cs="宋体"/>
          <w:color w:val="000000"/>
          <w:sz w:val="24"/>
          <w:szCs w:val="24"/>
          <w:highlight w:val="none"/>
        </w:rPr>
        <w:t xml:space="preserve">月底将排查结果提交检测报告；</w:t>
      </w:r>
      <w:r/>
    </w:p>
    <w:p>
      <w:pPr>
        <w:ind w:left="0" w:firstLine="42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七、综合说明：</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1、响应单位所提供的服务能够至少达到以上要求，同时明确详细的服务方案。</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2、响应单位必须承诺磋商响应文件中提出的全部要求，如果其中某些条款不响应时，应在文件中逐条列出，未列出的视同响应。</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3、本项目的安全生产费用应按国家相关规定提取，并考虑在总投标报价中。</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4、响应单位应对所投项目的全部服务内容进行报价，只投其中部分内容者，其磋商响应文件将被拒绝。中标单位对服务缺陷不予更正，采购方有权另请其他单位更正，所发生的费用有中标单位承担。</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5、人员费用：响应单位必须按照《劳动法》及苏州市的有关规定，并支付工资（充分考虑本地区最低工资标准）、交纳正常的社会保险，加班费按国家有关规定费用一并包含在磋商报价中。</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6、服务地点：采购人指定地点。</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7、付款方式：详见合同主要条款。</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8、履约保证金：</w:t>
      </w:r>
      <w:r>
        <w:rPr>
          <w:rFonts w:hint="eastAsia" w:ascii="宋体" w:hAnsi="宋体" w:cs="宋体"/>
          <w:color w:val="000000"/>
          <w:sz w:val="24"/>
          <w:szCs w:val="24"/>
          <w:highlight w:val="none"/>
          <w:lang w:eastAsia="zh-CN"/>
        </w:rPr>
        <w:t xml:space="preserve">详见前附表</w:t>
      </w:r>
      <w:r>
        <w:rPr>
          <w:rFonts w:ascii="宋体" w:hAnsi="宋体" w:cs="宋体"/>
          <w:color w:val="000000"/>
          <w:sz w:val="24"/>
          <w:szCs w:val="24"/>
          <w:highlight w:val="none"/>
        </w:rPr>
        <w:t xml:space="preserve">。</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成交的响应单位必须按规定在合同签订时递交履约保证金（履约保函），否则将视为拒绝与采购单位签订合同，采购单位可以按照评审报告推荐的成交候选人名单排序，确定下一候选人为成交单位或者重新开展政府采购活动。</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履约保证金在服务期满且履约验收合格后支付。如成交单位对服务缺陷不予更正，采购单位有权另请其他单位更正，所发生的费用在履约保证金中扣除。</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9、凡涉及磋商响应文件的补充说明和修改，均以江苏省政府采购网、苏州市政府采购网发布的通知为准。</w:t>
      </w:r>
      <w:r/>
    </w:p>
    <w:p>
      <w:pPr>
        <w:ind w:left="0" w:firstLine="425"/>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八、政府采购节能产品、环境标志产品实施品目清单管理</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根据政府采购等相关法律法规的规定，现对相关政府采购政策的具体实施规定如下：</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（一）政府采购节能产品、环境标志产品</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根据《关于贯彻执行绿色采购、促进残疾人就业和支持监狱企业发展有关政策的通知（苏财购〔2019〕10号）》的通知规定，采购人拟采购产品属于《节能产品政府采购品目清单》、《环境标志产品政府采购品目清单》范围内的，应当通过中国政府采购网（</w:t>
      </w:r>
      <w:r>
        <w:rPr>
          <w:highlight w:val="none"/>
        </w:rPr>
        <w:fldChar w:fldCharType="begin"/>
      </w:r>
      <w:r>
        <w:rPr>
          <w:highlight w:val="none"/>
        </w:rPr>
        <w:instrText xml:space="preserve"> HYPERLINK "qq://txfile/" \o "qq://txfile/" </w:instrText>
      </w:r>
      <w:r>
        <w:rPr>
          <w:highlight w:val="none"/>
        </w:rPr>
        <w:fldChar w:fldCharType="separate"/>
      </w:r>
      <w:r>
        <w:rPr>
          <w:rStyle w:val="828"/>
          <w:rFonts w:ascii="宋体" w:hAnsi="宋体" w:cs="宋体"/>
          <w:color w:val="0000ee"/>
          <w:sz w:val="24"/>
          <w:szCs w:val="24"/>
          <w:highlight w:val="none"/>
        </w:rPr>
        <w:t xml:space="preserve">www.ccgp.gov.cn</w:t>
      </w:r>
      <w:r>
        <w:rPr>
          <w:rStyle w:val="828"/>
          <w:rFonts w:ascii="宋体" w:hAnsi="宋体" w:cs="宋体"/>
          <w:color w:val="0000ee"/>
          <w:sz w:val="24"/>
          <w:szCs w:val="24"/>
          <w:highlight w:val="none"/>
        </w:rPr>
        <w:fldChar w:fldCharType="end"/>
      </w:r>
      <w:r>
        <w:rPr>
          <w:rFonts w:ascii="宋体" w:hAnsi="宋体" w:cs="宋体"/>
          <w:color w:val="000000"/>
          <w:sz w:val="24"/>
          <w:szCs w:val="24"/>
          <w:highlight w:val="none"/>
        </w:rPr>
        <w:t xml:space="preserve">）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注：本项目产品不涉及强制或优先采购品目清单。</w:t>
      </w:r>
      <w:r/>
    </w:p>
    <w:p>
      <w:pPr>
        <w:ind w:left="0" w:firstLine="42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九、进一步明确政府采购促进残疾人就业政策</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符合《关于促进残疾人就业政府采购政策的通知》（财库〔2017〕141号）规定条件的残疾人福利性单位在参加本次政府采购活动时，应当提供《残疾人福利性单位声明函》（见附件），并对声明的真实性负责。供应商提供的《残疾人福利性单位声明函》与事实不符的，依照《政府采购法》第七十七条第一款的规定追究法律责任。</w:t>
      </w:r>
      <w:r/>
    </w:p>
    <w:p>
      <w:pPr>
        <w:ind w:left="0" w:firstLine="42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十、进一步明确政府采购支持监狱企业发展政策</w:t>
      </w:r>
      <w:r/>
    </w:p>
    <w:p>
      <w:pPr>
        <w:ind w:left="0" w:firstLine="42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符合《关于政府采购支持监狱企业发展有关问题的通知》（财库〔2014〕68号）条件的监狱企业参加本次政府采购活动时，应当提供由省级以上监狱管理局、戒毒管理局（含新疆生产建设兵团）出具的属于监狱企业的证明文件。</w:t>
      </w:r>
      <w:r/>
    </w:p>
    <w:p>
      <w:pPr>
        <w:ind w:left="0" w:firstLine="422"/>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十一、针对中小型企业、残疾人福利企业和监狱企业的评审：</w:t>
      </w:r>
      <w:r/>
    </w:p>
    <w:p>
      <w:pPr>
        <w:ind w:left="0" w:firstLine="480"/>
        <w:spacing w:line="360" w:lineRule="auto"/>
        <w:widowControl w:val="off"/>
        <w:rPr>
          <w:rFonts w:hint="eastAsia" w:ascii="宋体" w:hAnsi="宋体" w:cs="宋体"/>
          <w:sz w:val="21"/>
          <w:szCs w:val="21"/>
          <w:highlight w:val="none"/>
        </w:rPr>
      </w:pPr>
      <w:r>
        <w:rPr>
          <w:rFonts w:ascii="宋体" w:hAnsi="宋体" w:cs="宋体"/>
          <w:color w:val="000000"/>
          <w:sz w:val="24"/>
          <w:szCs w:val="24"/>
          <w:highlight w:val="none"/>
        </w:rPr>
        <w:t xml:space="preserve">本项目为专门面向中小企业采购的项目，故不执行价格评审优惠的扶持政策。</w:t>
      </w:r>
      <w:r/>
    </w:p>
    <w:p>
      <w:pPr>
        <w:ind w:left="0" w:firstLine="420"/>
        <w:spacing w:line="360" w:lineRule="auto"/>
        <w:widowControl w:val="off"/>
        <w:rPr>
          <w:rFonts w:hint="eastAsia" w:ascii="宋体" w:hAnsi="宋体" w:cs="宋体"/>
          <w:sz w:val="21"/>
          <w:szCs w:val="21"/>
          <w:highlight w:val="none"/>
        </w:rPr>
      </w:pPr>
      <w:r>
        <w:rPr>
          <w:rFonts w:hint="eastAsia" w:ascii="宋体" w:hAnsi="宋体" w:cs="宋体"/>
          <w:sz w:val="24"/>
          <w:szCs w:val="24"/>
          <w:highlight w:val="none"/>
        </w:rPr>
        <w:t xml:space="preserve">11、凡涉及采购文件的补充说明和修改，均以最后在苏州市政府采购网发布的内容为准。</w:t>
      </w:r>
      <w:r/>
    </w:p>
    <w:p>
      <w:pPr>
        <w:jc w:val="center"/>
        <w:spacing w:before="340" w:after="330" w:line="578" w:lineRule="auto"/>
        <w:rPr>
          <w:rFonts w:hint="eastAsia" w:ascii="宋体" w:hAnsi="宋体" w:cs="宋体"/>
          <w:b/>
          <w:sz w:val="44"/>
          <w:szCs w:val="44"/>
          <w:highlight w:val="none"/>
        </w:rPr>
      </w:pPr>
      <w:r>
        <w:rPr>
          <w:rFonts w:hint="eastAsia" w:ascii="宋体" w:hAnsi="宋体" w:cs="宋体"/>
          <w:b/>
          <w:sz w:val="44"/>
          <w:szCs w:val="44"/>
          <w:highlight w:val="none"/>
        </w:rPr>
        <w:br w:type="page" w:clear="all"/>
      </w:r>
      <w:r/>
    </w:p>
    <w:p>
      <w:pPr>
        <w:jc w:val="center"/>
        <w:spacing w:before="340" w:after="330" w:line="578" w:lineRule="auto"/>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before="340" w:after="330" w:line="578" w:lineRule="auto"/>
        <w:rPr>
          <w:rFonts w:hint="eastAsia" w:ascii="宋体" w:hAnsi="宋体" w:cs="宋体"/>
          <w:b/>
          <w:sz w:val="44"/>
          <w:szCs w:val="44"/>
          <w:highlight w:val="none"/>
        </w:rPr>
      </w:pPr>
      <w:r>
        <w:rPr>
          <w:rFonts w:hint="eastAsia" w:ascii="宋体" w:hAnsi="宋体" w:cs="宋体"/>
          <w:b/>
          <w:sz w:val="44"/>
          <w:szCs w:val="44"/>
          <w:highlight w:val="none"/>
        </w:rPr>
      </w:r>
      <w:r/>
    </w:p>
    <w:p>
      <w:pPr>
        <w:jc w:val="center"/>
        <w:spacing w:before="340" w:after="330" w:line="578" w:lineRule="auto"/>
        <w:rPr>
          <w:rFonts w:hint="eastAsia" w:ascii="宋体" w:hAnsi="宋体" w:cs="宋体"/>
          <w:b/>
          <w:sz w:val="44"/>
          <w:szCs w:val="44"/>
          <w:highlight w:val="none"/>
        </w:rPr>
      </w:pPr>
      <w:r>
        <w:rPr>
          <w:rFonts w:hint="eastAsia" w:ascii="宋体" w:hAnsi="宋体" w:cs="宋体"/>
          <w:b/>
          <w:sz w:val="44"/>
          <w:szCs w:val="44"/>
          <w:highlight w:val="none"/>
        </w:rPr>
      </w:r>
      <w:r/>
    </w:p>
    <w:p>
      <w:pPr>
        <w:numPr>
          <w:ilvl w:val="0"/>
          <w:numId w:val="4"/>
        </w:numPr>
        <w:ind w:left="0"/>
        <w:jc w:val="center"/>
        <w:spacing w:before="340" w:after="330" w:line="579" w:lineRule="auto"/>
        <w:rPr>
          <w:rFonts w:hint="eastAsia" w:ascii="宋体" w:hAnsi="宋体" w:cs="宋体"/>
          <w:b/>
          <w:sz w:val="44"/>
          <w:szCs w:val="44"/>
          <w:highlight w:val="none"/>
        </w:rPr>
        <w:outlineLvl w:val="0"/>
      </w:pPr>
      <w:r/>
      <w:bookmarkStart w:id="104" w:name="合同的特殊条款"/>
      <w:r/>
      <w:bookmarkEnd w:id="104"/>
      <w:r/>
      <w:bookmarkStart w:id="105" w:name="_Toc3589"/>
      <w:r>
        <w:rPr>
          <w:rFonts w:hint="eastAsia" w:ascii="宋体" w:hAnsi="宋体" w:cs="宋体"/>
          <w:b/>
          <w:sz w:val="44"/>
          <w:szCs w:val="44"/>
          <w:highlight w:val="none"/>
        </w:rPr>
        <w:t xml:space="preserve"> </w:t>
      </w:r>
      <w:bookmarkStart w:id="106" w:name="_Toc26481"/>
      <w:r>
        <w:rPr>
          <w:rFonts w:hint="eastAsia" w:ascii="宋体" w:hAnsi="宋体" w:cs="宋体"/>
          <w:b/>
          <w:sz w:val="44"/>
          <w:szCs w:val="44"/>
          <w:highlight w:val="none"/>
        </w:rPr>
        <w:t xml:space="preserve">合同及主要条款</w:t>
      </w:r>
      <w:bookmarkEnd w:id="99"/>
      <w:r/>
      <w:bookmarkEnd w:id="105"/>
      <w:r/>
      <w:bookmarkEnd w:id="106"/>
      <w:r/>
      <w:r/>
    </w:p>
    <w:p>
      <w:pPr>
        <w:pStyle w:val="830"/>
        <w:ind w:firstLine="0"/>
        <w:rPr>
          <w:rFonts w:hint="eastAsia" w:ascii="宋体" w:hAnsi="宋体" w:cs="宋体"/>
          <w:highlight w:val="none"/>
        </w:rPr>
      </w:pPr>
      <w:r>
        <w:rPr>
          <w:rFonts w:hint="eastAsia" w:ascii="宋体" w:hAnsi="宋体" w:cs="宋体"/>
          <w:highlight w:val="none"/>
        </w:rPr>
      </w:r>
      <w:r/>
    </w:p>
    <w:p>
      <w:pPr>
        <w:ind w:left="0"/>
        <w:spacing w:line="85"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szCs w:val="44"/>
          <w:highlight w:val="none"/>
        </w:rPr>
        <w:br w:type="page" w:clear="all"/>
      </w:r>
      <w:bookmarkStart w:id="107" w:name="_Toc32730"/>
      <w:r>
        <w:rPr>
          <w:rFonts w:ascii="宋体" w:hAnsi="宋体" w:cs="宋体"/>
          <w:b/>
          <w:color w:val="000000"/>
          <w:sz w:val="24"/>
          <w:szCs w:val="22"/>
          <w:highlight w:val="none"/>
        </w:rPr>
        <w:t xml:space="preserve">甲方（需方）： </w:t>
      </w:r>
      <w:r/>
    </w:p>
    <w:p>
      <w:pPr>
        <w:ind w:left="0"/>
        <w:spacing w:line="85"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地址：</w:t>
      </w:r>
      <w:r/>
    </w:p>
    <w:p>
      <w:pPr>
        <w:ind w:left="0"/>
        <w:spacing w:line="85"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联系电话：</w:t>
      </w:r>
      <w:r/>
    </w:p>
    <w:p>
      <w:pPr>
        <w:ind w:left="0"/>
        <w:spacing w:line="85"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 </w:t>
      </w:r>
      <w:r/>
    </w:p>
    <w:p>
      <w:pPr>
        <w:ind w:left="0"/>
        <w:spacing w:line="85"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乙方（供方）：</w:t>
      </w:r>
      <w:r/>
    </w:p>
    <w:p>
      <w:pPr>
        <w:ind w:left="0"/>
        <w:spacing w:line="85"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地址：</w:t>
      </w:r>
      <w:r/>
    </w:p>
    <w:p>
      <w:pPr>
        <w:ind w:left="0"/>
        <w:spacing w:line="85"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联系人：</w:t>
      </w:r>
      <w:r/>
    </w:p>
    <w:p>
      <w:pPr>
        <w:ind w:left="0"/>
        <w:spacing w:line="85"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联系电话：</w:t>
      </w:r>
      <w:r/>
    </w:p>
    <w:p>
      <w:pPr>
        <w:ind w:left="0"/>
        <w:spacing w:line="85"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 </w:t>
      </w:r>
      <w:r/>
    </w:p>
    <w:p>
      <w:pPr>
        <w:ind w:left="0" w:firstLine="480"/>
        <w:spacing w:line="85"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根据采购编号</w:t>
      </w:r>
      <w:r>
        <w:rPr>
          <w:rFonts w:hint="eastAsia" w:ascii="宋体" w:hAnsi="宋体" w:cs="宋体"/>
          <w:b/>
          <w:bCs/>
          <w:color w:val="000000"/>
          <w:sz w:val="24"/>
          <w:szCs w:val="22"/>
          <w:highlight w:val="none"/>
          <w:u w:val="single"/>
          <w:lang w:eastAsia="zh-CN"/>
        </w:rPr>
        <w:t xml:space="preserve">JSZC-320507-YZZJ-C2026-0005</w:t>
      </w:r>
      <w:r>
        <w:rPr>
          <w:rFonts w:ascii="宋体" w:hAnsi="宋体" w:cs="宋体"/>
          <w:color w:val="000000"/>
          <w:sz w:val="24"/>
          <w:szCs w:val="22"/>
          <w:highlight w:val="none"/>
        </w:rPr>
        <w:t xml:space="preserve">号竞争性磋商的磋商响应文件及成交单位的磋商响应文件和成交通知书，甲乙双方就此次成交的</w:t>
      </w:r>
      <w:r>
        <w:rPr>
          <w:rFonts w:hint="eastAsia" w:ascii="宋体" w:hAnsi="宋体" w:cs="宋体"/>
          <w:b/>
          <w:color w:val="000000"/>
          <w:sz w:val="24"/>
          <w:szCs w:val="22"/>
          <w:highlight w:val="none"/>
          <w:u w:val="single"/>
          <w:lang w:eastAsia="zh-CN"/>
        </w:rPr>
        <w:t xml:space="preserve">相城区2026年桥梁(区管道路及县道)定期检测及水中桩检测项目</w:t>
      </w:r>
      <w:r>
        <w:rPr>
          <w:rFonts w:ascii="宋体" w:hAnsi="宋体" w:cs="宋体"/>
          <w:color w:val="000000"/>
          <w:sz w:val="24"/>
          <w:szCs w:val="22"/>
          <w:highlight w:val="none"/>
        </w:rPr>
        <w:t xml:space="preserve">的购销事宜，签订本合同书。</w:t>
      </w:r>
      <w:r/>
    </w:p>
    <w:p>
      <w:pPr>
        <w:ind w:left="0" w:firstLine="422"/>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一、服务内容：</w:t>
      </w:r>
      <w:r>
        <w:rPr>
          <w:rFonts w:ascii="宋体" w:hAnsi="宋体" w:cs="宋体"/>
          <w:color w:val="000000"/>
          <w:sz w:val="24"/>
          <w:szCs w:val="22"/>
          <w:highlight w:val="none"/>
        </w:rPr>
        <w:t xml:space="preserve">详见采购文件第四章</w:t>
      </w:r>
      <w:r/>
    </w:p>
    <w:p>
      <w:pPr>
        <w:ind w:left="0" w:firstLine="422"/>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二、服务范围：</w:t>
      </w:r>
      <w:r>
        <w:rPr>
          <w:rFonts w:ascii="宋体" w:hAnsi="宋体" w:cs="宋体"/>
          <w:color w:val="000000"/>
          <w:sz w:val="24"/>
          <w:szCs w:val="22"/>
          <w:highlight w:val="none"/>
        </w:rPr>
        <w:t xml:space="preserve">详见采购文件第四章</w:t>
      </w:r>
      <w:r/>
    </w:p>
    <w:p>
      <w:pPr>
        <w:ind w:left="0" w:firstLine="422"/>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三、服务期限：</w:t>
      </w:r>
      <w:r>
        <w:rPr>
          <w:rFonts w:ascii="宋体" w:hAnsi="宋体" w:cs="宋体"/>
          <w:color w:val="000000"/>
          <w:sz w:val="24"/>
          <w:szCs w:val="22"/>
          <w:highlight w:val="none"/>
        </w:rPr>
        <w:t xml:space="preserve">合同签订后，至202</w:t>
      </w:r>
      <w:r>
        <w:rPr>
          <w:rFonts w:hint="eastAsia" w:ascii="宋体" w:hAnsi="宋体" w:cs="宋体"/>
          <w:color w:val="000000"/>
          <w:sz w:val="24"/>
          <w:szCs w:val="22"/>
          <w:highlight w:val="none"/>
        </w:rPr>
        <w:t xml:space="preserve">6</w:t>
      </w:r>
      <w:r>
        <w:rPr>
          <w:rFonts w:ascii="宋体" w:hAnsi="宋体" w:cs="宋体"/>
          <w:color w:val="000000"/>
          <w:sz w:val="24"/>
          <w:szCs w:val="22"/>
          <w:highlight w:val="none"/>
        </w:rPr>
        <w:t xml:space="preserve">年</w:t>
      </w:r>
      <w:r>
        <w:rPr>
          <w:rFonts w:hint="eastAsia" w:ascii="宋体" w:hAnsi="宋体" w:cs="宋体"/>
          <w:color w:val="000000"/>
          <w:sz w:val="24"/>
          <w:szCs w:val="22"/>
          <w:highlight w:val="none"/>
        </w:rPr>
        <w:t xml:space="preserve">11</w:t>
      </w:r>
      <w:r>
        <w:rPr>
          <w:rFonts w:ascii="宋体" w:hAnsi="宋体" w:cs="宋体"/>
          <w:color w:val="000000"/>
          <w:sz w:val="24"/>
          <w:szCs w:val="22"/>
          <w:highlight w:val="none"/>
        </w:rPr>
        <w:t xml:space="preserve">月30日（具体开工日期以甲方通知为准。）</w:t>
      </w:r>
      <w:r/>
    </w:p>
    <w:p>
      <w:pPr>
        <w:ind w:left="0" w:firstLine="422"/>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四、合同价格：</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4.1合同价格（大写）人民币           元整（￥      ）合同价格包括：全部服务所需的人工费、通讯费、交通费、资料费、调查费、编制费（含印刷费）、检测费、后续服务费、利润、税金、政策性文件规定及合同包含的所有风险、责任等完成本项目的各项应有费用，甲方不再支付其他任何费用。</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4.2根据现行税法对甲方征收的与本合同有关的一切税费均由甲方承担；根据现行税法对乙方征收的与本合同有关的一切税费均由乙方承担。</w:t>
      </w:r>
      <w:r/>
    </w:p>
    <w:p>
      <w:pPr>
        <w:ind w:left="0" w:firstLine="422"/>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五、付款步骤：</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5.1</w:t>
      </w:r>
      <w:r>
        <w:rPr>
          <w:rFonts w:hint="eastAsia" w:ascii="宋体" w:hAnsi="宋体" w:cs="宋体"/>
          <w:color w:val="000000"/>
          <w:sz w:val="24"/>
          <w:szCs w:val="22"/>
          <w:highlight w:val="none"/>
        </w:rPr>
        <w:t xml:space="preserve">签订合同后，甲方向乙方支付合同金额的10%作为项目预付款，在收到检测报告后支付至合同金额的30%，验收（考核）合格后支付至合同金额的70%，余款在验收（考核）合格后1年内付清。（按实际工作量结算）</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5.2乙方要求付款应提供以下资料：</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（1）合格的发票。</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（2）其他（若有）。</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5.3支付方式：银行转账。</w:t>
      </w:r>
      <w:r/>
    </w:p>
    <w:p>
      <w:pPr>
        <w:ind w:left="0" w:firstLine="422"/>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六、检测人员</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6.1针对本项目所配备人员情况：详见乙方磋商响应文件；</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甲方对重要岗位检测人员的要求：</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乙方应按采购文件投入相应的检测人员，在检测工作实施过程中，为满足工作需要须另行增加相关检测人员，保证所投入人员专业结构搭配合理，工作分工明确。</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为了履行检测服务，乙方应在检测工作细则中指定一名授权代表与甲方的授权代表建立工作联系。</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6.2乙方未经甲方批准不得随意更改拟投入人员。若确因特殊原因需要更换项目负责人、技术负责人或现场负责人时，须提前7天提交与拟更换人员具备同等或更高资质的人员报甲方批准，经甲方批准后，乙方必须支付甲方5万元/人违约金。若甲方提出人员更换要求，乙方应在接到通知的7天内选派资格和经验为甲方接受的人员进行更换。由于更换人员引起的费用由乙方承担，其更换人员的资质仍应得到甲方的认可。</w:t>
      </w:r>
      <w:r/>
    </w:p>
    <w:p>
      <w:pPr>
        <w:ind w:left="0" w:firstLine="422"/>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七、保密</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在检测合同有效期及以后的5年内，未经甲方同意，乙方不得泄露甲方与本项目合同有关的保密资料。</w:t>
      </w:r>
      <w:r/>
    </w:p>
    <w:p>
      <w:pPr>
        <w:ind w:left="0" w:firstLine="422"/>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八、乙方的义务</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8.1文件和资料</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（1）甲方将向乙方免费提供与履行检测服务有关的资料；</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（2）甲方应指定一名授权代表与乙方的授权代表建立工作联系参与本项目全过程的监督、协调、沟通工作。更换该代表或变更其授权时，应及时通知乙方。</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8.2决定</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甲方根据试验检测人有关针对本项目的质量和安全等重大问题的请示及时予以决定。甲方对上述请示给予书面答复的期限，自收到书面请示之日起最长不超过10日。</w:t>
      </w:r>
      <w:r/>
    </w:p>
    <w:p>
      <w:pPr>
        <w:ind w:left="0" w:firstLine="422"/>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九、责任和保障</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9.1乙方的违约及赔偿责任</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（1）未经甲方批准而擅自更换的一般检测人员未达到甲方要求，经通报批评仍不能限期更正。</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2）检测人员责任心不强、检测工作不到位，伪造检测数据出具错误检测数据或错误鉴定结论，导致发生质量事故，造成经济损失或不良影响。乙方发现有危及工程结构安全和重要使用功能安全的问题时，未及时向甲方报告。</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（3）乙方检测制度不全，检测仪器设备不全，档案资料不按规定存档。</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乙方发生以上第（1）～（3）条情况，甲方将视情节轻重对有关人员提出警告、责令更正、通报批评至逐出现场，乙方须支付甲方1千元至5万元的损失赔偿金。</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（4）一方违约后，另一方要求违约方继续履行合同时，违约方承担上述违约责任后仍应继续履行合同。</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9.2赔偿的限额</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乙方因自身原因未按期向甲方提交检测成果，乙方应向甲方偿付由此而导致的甲方的损失费，每天的损失费按合同总价的0.5‰计算。最高限额为合同总价的10％。</w:t>
      </w:r>
      <w:r/>
    </w:p>
    <w:p>
      <w:pPr>
        <w:ind w:left="0" w:firstLine="422"/>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十、不可抗力：</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10.1因不可抗力不能履行合同的，根据不可抗力的影响，部分或者全部免除责任。但合同一方延迟履行后发生不可抗力的，不能免除责任。</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10.2合同一方因不可抗力不能履行合同的，应当及时通知对方，以减轻可能给对方造成的损失，并应当在合理期限内提供证明。</w:t>
      </w:r>
      <w:r/>
    </w:p>
    <w:p>
      <w:pPr>
        <w:ind w:left="0" w:firstLine="422"/>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十一、合同修改：</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甲方和乙方都不得擅自变更本合同，但合同继续履行将损害国家和社会公共利益的除外。如必须对合同条款进行改动时，当事人双方须共同签署书面文件，作为合同的补充。</w:t>
      </w:r>
      <w:r/>
    </w:p>
    <w:p>
      <w:pPr>
        <w:ind w:left="0" w:firstLine="422"/>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十二、合同的解除和转让：</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12.1有下列情形之一，合同一方可以解除合同：</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（1）因不可抗力致使不能实现合同目的，未受不可抗力影响的一方有权解除合同。</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（2）因合同一方违约导致合同不能履行，另一方有权解除合同。</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12.2有权解除合同的一方，应当在违约事实或不可抗力发生之后三十天内书面通知对方以主张解除合同，合同在书面通知到达对方时解除。</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12.3合同的部分和全部都不得转让。</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十三、争议解决办法</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因本合同或与本合同有关的一切事项发生争议，由双方友好协商解决。协商不成的，任何一方均可选择以下方式解决：</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方式一：双方达成仲裁协议，向约定的仲裁委员会申请仲裁，本合同约定的仲裁委员会是合同履约地仲裁机构；</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方式二：向甲方所在地的人民法院起诉。</w:t>
      </w:r>
      <w:r/>
    </w:p>
    <w:p>
      <w:pPr>
        <w:ind w:left="0" w:firstLine="422"/>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highlight w:val="none"/>
        </w:rPr>
        <w:t xml:space="preserve">十四、合同生效及份数</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14.1本合同经双方法定（授权）代表人签字（或盖章）并盖单位公章后生效。</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14.2下列文件为本合同不可分割部分：</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（1）成交通知书；</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（2）乙方磋商响应文件；</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（3）磋商采购文件；</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（4）乙方在磋商过程中所作的其他承诺、声明、书面澄清等。</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14.3本合同一式肆份，甲方、乙方各执壹份，政府采购监督管理部门壹份，采购代理机构壹份。</w:t>
      </w:r>
      <w:r/>
    </w:p>
    <w:p>
      <w:pPr>
        <w:ind w:left="0" w:firstLine="420"/>
        <w:spacing w:line="499"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 </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24"/>
        <w:gridCol w:w="4210"/>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24" w:type="dxa"/>
            <w:vAlign w:val="center"/>
            <w:textDirection w:val="lrTb"/>
            <w:noWrap w:val="false"/>
          </w:tcPr>
          <w:p>
            <w:pPr>
              <w:ind w:left="0"/>
              <w:spacing w:line="85"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10" w:type="dxa"/>
            <w:vAlign w:val="center"/>
            <w:textDirection w:val="lrTb"/>
            <w:noWrap w:val="false"/>
          </w:tcPr>
          <w:p>
            <w:pPr>
              <w:ind w:left="0"/>
              <w:spacing w:line="85"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乙方（盖章）：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24" w:type="dxa"/>
            <w:vAlign w:val="center"/>
            <w:textDirection w:val="lrTb"/>
            <w:noWrap w:val="false"/>
          </w:tcPr>
          <w:p>
            <w:pPr>
              <w:ind w:left="0"/>
              <w:spacing w:line="85"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法定（授权）代表人（签字）：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10" w:type="dxa"/>
            <w:vAlign w:val="center"/>
            <w:textDirection w:val="lrTb"/>
            <w:noWrap w:val="false"/>
          </w:tcPr>
          <w:p>
            <w:pPr>
              <w:ind w:left="0"/>
              <w:spacing w:line="85"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法定（授权）代表人（签字）：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24" w:type="dxa"/>
            <w:vAlign w:val="center"/>
            <w:textDirection w:val="lrTb"/>
            <w:noWrap w:val="false"/>
          </w:tcPr>
          <w:p>
            <w:pPr>
              <w:ind w:left="0"/>
              <w:spacing w:line="85"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10" w:type="dxa"/>
            <w:vAlign w:val="center"/>
            <w:textDirection w:val="lrTb"/>
            <w:noWrap w:val="false"/>
          </w:tcPr>
          <w:p>
            <w:pPr>
              <w:ind w:left="0"/>
              <w:spacing w:line="85" w:lineRule="atLeast"/>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日期：</w:t>
            </w:r>
            <w:r/>
          </w:p>
        </w:tc>
      </w:tr>
    </w:tbl>
    <w:p>
      <w:pPr>
        <w:ind w:left="0" w:firstLine="480"/>
        <w:spacing w:line="360" w:lineRule="auto"/>
        <w:widowControl w:val="off"/>
        <w:rPr>
          <w:rFonts w:hint="eastAsia" w:ascii="宋体" w:hAnsi="宋体" w:cs="宋体"/>
          <w:sz w:val="21"/>
          <w:szCs w:val="21"/>
          <w:highlight w:val="none"/>
          <w:lang w:val="zh-CN"/>
        </w:rPr>
      </w:pPr>
      <w:r>
        <w:rPr>
          <w:rFonts w:hint="eastAsia" w:ascii="宋体" w:hAnsi="宋体" w:cs="宋体"/>
          <w:sz w:val="21"/>
          <w:szCs w:val="21"/>
          <w:highlight w:val="none"/>
          <w:lang w:val="zh-CN"/>
        </w:rPr>
      </w:r>
      <w:r/>
    </w:p>
    <w:p>
      <w:pPr>
        <w:pStyle w:val="998"/>
        <w:ind w:left="0" w:firstLine="0"/>
        <w:rPr>
          <w:rFonts w:hint="eastAsia" w:ascii="宋体" w:hAnsi="宋体" w:cs="宋体"/>
          <w:bCs/>
          <w:sz w:val="24"/>
          <w:szCs w:val="24"/>
          <w:highlight w:val="none"/>
        </w:rPr>
      </w:pPr>
      <w:r/>
      <w:bookmarkStart w:id="108" w:name="评分要点"/>
      <w:r/>
      <w:bookmarkEnd w:id="108"/>
      <w:r/>
      <w:r/>
    </w:p>
    <w:p>
      <w:pPr>
        <w:pStyle w:val="998"/>
        <w:ind w:left="0" w:firstLine="0"/>
        <w:rPr>
          <w:rFonts w:hint="eastAsia" w:ascii="宋体" w:hAnsi="宋体" w:cs="宋体"/>
          <w:bCs/>
          <w:sz w:val="24"/>
          <w:szCs w:val="24"/>
          <w:highlight w:val="none"/>
        </w:rPr>
      </w:pPr>
      <w:r>
        <w:rPr>
          <w:rFonts w:hint="eastAsia" w:ascii="宋体" w:hAnsi="宋体" w:cs="宋体"/>
          <w:bCs/>
          <w:sz w:val="24"/>
          <w:szCs w:val="24"/>
          <w:highlight w:val="none"/>
        </w:rPr>
      </w:r>
      <w:r/>
    </w:p>
    <w:p>
      <w:pPr>
        <w:pStyle w:val="998"/>
        <w:ind w:left="0" w:firstLine="0"/>
        <w:rPr>
          <w:rFonts w:hint="eastAsia" w:ascii="宋体" w:hAnsi="宋体" w:cs="宋体"/>
          <w:bCs/>
          <w:sz w:val="24"/>
          <w:szCs w:val="24"/>
          <w:highlight w:val="none"/>
        </w:rPr>
      </w:pPr>
      <w:r>
        <w:rPr>
          <w:rFonts w:hint="eastAsia" w:ascii="宋体" w:hAnsi="宋体" w:cs="宋体"/>
          <w:bCs/>
          <w:sz w:val="24"/>
          <w:szCs w:val="24"/>
          <w:highlight w:val="none"/>
        </w:rPr>
      </w:r>
      <w:r/>
    </w:p>
    <w:p>
      <w:pPr>
        <w:pStyle w:val="998"/>
        <w:ind w:left="0" w:firstLine="0"/>
        <w:rPr>
          <w:rFonts w:hint="eastAsia" w:ascii="宋体" w:hAnsi="宋体" w:cs="宋体"/>
          <w:bCs/>
          <w:sz w:val="24"/>
          <w:szCs w:val="24"/>
          <w:highlight w:val="none"/>
        </w:rPr>
      </w:pPr>
      <w:r>
        <w:rPr>
          <w:rFonts w:hint="eastAsia" w:ascii="宋体" w:hAnsi="宋体" w:cs="宋体"/>
          <w:bCs/>
          <w:sz w:val="24"/>
          <w:szCs w:val="24"/>
          <w:highlight w:val="none"/>
        </w:rPr>
      </w:r>
      <w:r/>
    </w:p>
    <w:p>
      <w:pPr>
        <w:pStyle w:val="998"/>
        <w:ind w:left="0" w:firstLine="0"/>
        <w:rPr>
          <w:rFonts w:hint="eastAsia" w:ascii="宋体" w:hAnsi="宋体" w:cs="宋体"/>
          <w:bCs/>
          <w:sz w:val="24"/>
          <w:szCs w:val="24"/>
          <w:highlight w:val="none"/>
        </w:rPr>
      </w:pPr>
      <w:r>
        <w:rPr>
          <w:rFonts w:hint="eastAsia" w:ascii="宋体" w:hAnsi="宋体" w:cs="宋体"/>
          <w:bCs/>
          <w:sz w:val="24"/>
          <w:szCs w:val="24"/>
          <w:highlight w:val="none"/>
        </w:rPr>
      </w:r>
      <w:r/>
    </w:p>
    <w:p>
      <w:pPr>
        <w:rPr>
          <w:rFonts w:hint="eastAsia" w:ascii="宋体" w:hAnsi="宋体" w:cs="宋体"/>
          <w:bCs/>
          <w:sz w:val="24"/>
          <w:szCs w:val="24"/>
          <w:highlight w:val="none"/>
        </w:rPr>
      </w:pPr>
      <w:r>
        <w:rPr>
          <w:rFonts w:hint="eastAsia" w:ascii="宋体" w:hAnsi="宋体" w:cs="宋体"/>
          <w:bCs/>
          <w:sz w:val="24"/>
          <w:szCs w:val="24"/>
          <w:highlight w:val="none"/>
        </w:rPr>
        <w:br w:type="page" w:clear="all"/>
      </w:r>
      <w:r/>
    </w:p>
    <w:p>
      <w:pPr>
        <w:pStyle w:val="998"/>
        <w:ind w:left="0" w:firstLine="0"/>
        <w:rPr>
          <w:rFonts w:hint="eastAsia" w:ascii="宋体" w:hAnsi="宋体" w:cs="宋体"/>
          <w:bCs/>
          <w:sz w:val="24"/>
          <w:szCs w:val="24"/>
          <w:highlight w:val="none"/>
        </w:rPr>
      </w:pPr>
      <w:r>
        <w:rPr>
          <w:rFonts w:hint="eastAsia" w:ascii="宋体" w:hAnsi="宋体" w:cs="宋体"/>
          <w:bCs/>
          <w:sz w:val="24"/>
          <w:szCs w:val="24"/>
          <w:highlight w:val="none"/>
        </w:rPr>
        <w:t xml:space="preserve">附件：</w:t>
      </w:r>
      <w:r/>
    </w:p>
    <w:p>
      <w:pPr>
        <w:pStyle w:val="998"/>
        <w:ind w:left="0" w:firstLine="0"/>
        <w:jc w:val="center"/>
        <w:rPr>
          <w:rFonts w:hint="eastAsia" w:ascii="宋体" w:hAnsi="宋体" w:cs="宋体"/>
          <w:bCs/>
          <w:sz w:val="24"/>
          <w:szCs w:val="24"/>
          <w:highlight w:val="none"/>
        </w:rPr>
      </w:pPr>
      <w:r>
        <w:rPr>
          <w:rFonts w:hint="eastAsia" w:ascii="宋体" w:hAnsi="宋体" w:cs="宋体"/>
          <w:bCs/>
          <w:sz w:val="24"/>
          <w:szCs w:val="24"/>
          <w:highlight w:val="none"/>
        </w:rPr>
        <w:t xml:space="preserve">政府采购合同信用融资政策告知函</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各政府采购供应商:</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欢迎贵公司参加苏州市政府采购活动!</w:t>
      </w:r>
      <w:r/>
    </w:p>
    <w:p>
      <w:pPr>
        <w:ind w:left="0" w:firstLine="48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pStyle w:val="998"/>
        <w:ind w:left="0" w:firstLine="0"/>
        <w:jc w:val="center"/>
        <w:rPr>
          <w:rFonts w:hint="eastAsia" w:ascii="宋体" w:hAnsi="宋体" w:cs="宋体"/>
          <w:b/>
          <w:sz w:val="44"/>
          <w:szCs w:val="44"/>
          <w:highlight w:val="none"/>
        </w:rPr>
      </w:pPr>
      <w:r>
        <w:rPr>
          <w:rFonts w:hint="eastAsia" w:ascii="宋体" w:hAnsi="宋体" w:cs="宋体"/>
          <w:b/>
          <w:sz w:val="44"/>
          <w:szCs w:val="44"/>
          <w:highlight w:val="none"/>
        </w:rPr>
      </w:r>
      <w:r/>
    </w:p>
    <w:p>
      <w:pPr>
        <w:pStyle w:val="998"/>
        <w:ind w:left="0" w:firstLine="0"/>
        <w:rPr>
          <w:rFonts w:hint="eastAsia" w:ascii="宋体" w:hAnsi="宋体" w:cs="宋体"/>
          <w:b/>
          <w:sz w:val="44"/>
          <w:szCs w:val="44"/>
          <w:highlight w:val="none"/>
        </w:rPr>
      </w:pPr>
      <w:r>
        <w:rPr>
          <w:rFonts w:hint="eastAsia" w:ascii="宋体" w:hAnsi="宋体" w:cs="宋体"/>
          <w:b/>
          <w:sz w:val="44"/>
          <w:szCs w:val="44"/>
          <w:highlight w:val="none"/>
        </w:rPr>
      </w:r>
      <w:r/>
    </w:p>
    <w:p>
      <w:pPr>
        <w:rPr>
          <w:highlight w:val="none"/>
        </w:rPr>
      </w:pPr>
      <w:r>
        <w:rPr>
          <w:rFonts w:hint="eastAsia"/>
          <w:highlight w:val="none"/>
        </w:rPr>
        <w:br w:type="page" w:clear="all"/>
      </w:r>
      <w:r/>
    </w:p>
    <w:p>
      <w:pPr>
        <w:pStyle w:val="1025"/>
        <w:ind w:firstLine="400"/>
        <w:rPr>
          <w:highlight w:val="none"/>
        </w:rPr>
      </w:pPr>
      <w:r>
        <w:rPr>
          <w:highlight w:val="none"/>
        </w:rPr>
      </w:r>
      <w:r/>
    </w:p>
    <w:p>
      <w:pPr>
        <w:pStyle w:val="1025"/>
        <w:ind w:firstLine="400"/>
        <w:rPr>
          <w:highlight w:val="none"/>
        </w:rPr>
      </w:pPr>
      <w:r>
        <w:rPr>
          <w:highlight w:val="none"/>
        </w:rPr>
      </w:r>
      <w:r/>
    </w:p>
    <w:p>
      <w:pPr>
        <w:pStyle w:val="1025"/>
        <w:ind w:firstLine="400"/>
        <w:rPr>
          <w:highlight w:val="none"/>
        </w:rPr>
      </w:pPr>
      <w:r>
        <w:rPr>
          <w:highlight w:val="none"/>
        </w:rPr>
      </w:r>
      <w:r/>
    </w:p>
    <w:p>
      <w:pPr>
        <w:pStyle w:val="1025"/>
        <w:ind w:firstLine="400"/>
        <w:rPr>
          <w:highlight w:val="none"/>
        </w:rPr>
      </w:pPr>
      <w:r>
        <w:rPr>
          <w:highlight w:val="none"/>
        </w:rPr>
      </w:r>
      <w:r/>
    </w:p>
    <w:p>
      <w:pPr>
        <w:pStyle w:val="1025"/>
        <w:ind w:firstLine="400"/>
        <w:rPr>
          <w:highlight w:val="none"/>
        </w:rPr>
      </w:pPr>
      <w:r>
        <w:rPr>
          <w:highlight w:val="none"/>
        </w:rPr>
      </w:r>
      <w:r/>
    </w:p>
    <w:p>
      <w:pPr>
        <w:pStyle w:val="1025"/>
        <w:ind w:firstLine="400"/>
        <w:rPr>
          <w:highlight w:val="none"/>
        </w:rPr>
      </w:pPr>
      <w:r>
        <w:rPr>
          <w:highlight w:val="none"/>
        </w:rPr>
      </w:r>
      <w:r/>
    </w:p>
    <w:p>
      <w:pPr>
        <w:pStyle w:val="1025"/>
        <w:ind w:firstLine="400"/>
        <w:rPr>
          <w:highlight w:val="none"/>
        </w:rPr>
      </w:pPr>
      <w:r>
        <w:rPr>
          <w:highlight w:val="none"/>
        </w:rPr>
      </w:r>
      <w:r/>
    </w:p>
    <w:p>
      <w:pPr>
        <w:pStyle w:val="1025"/>
        <w:ind w:firstLine="400"/>
        <w:rPr>
          <w:highlight w:val="none"/>
        </w:rPr>
      </w:pPr>
      <w:r>
        <w:rPr>
          <w:highlight w:val="none"/>
        </w:rPr>
      </w:r>
      <w:r/>
    </w:p>
    <w:p>
      <w:pPr>
        <w:pStyle w:val="1025"/>
        <w:ind w:firstLine="400"/>
        <w:rPr>
          <w:highlight w:val="none"/>
        </w:rPr>
      </w:pPr>
      <w:r>
        <w:rPr>
          <w:highlight w:val="none"/>
        </w:rPr>
      </w:r>
      <w:r/>
    </w:p>
    <w:p>
      <w:pPr>
        <w:pStyle w:val="1025"/>
        <w:ind w:firstLine="400"/>
        <w:rPr>
          <w:highlight w:val="none"/>
        </w:rPr>
      </w:pPr>
      <w:r>
        <w:rPr>
          <w:highlight w:val="none"/>
        </w:rPr>
      </w:r>
      <w:r/>
    </w:p>
    <w:p>
      <w:pPr>
        <w:pStyle w:val="1025"/>
        <w:ind w:firstLine="400"/>
        <w:rPr>
          <w:highlight w:val="none"/>
        </w:rPr>
      </w:pPr>
      <w:r>
        <w:rPr>
          <w:highlight w:val="none"/>
        </w:rPr>
      </w:r>
      <w:r/>
    </w:p>
    <w:p>
      <w:pPr>
        <w:pStyle w:val="1025"/>
        <w:ind w:firstLine="400"/>
        <w:rPr>
          <w:highlight w:val="none"/>
        </w:rPr>
      </w:pPr>
      <w:r>
        <w:rPr>
          <w:highlight w:val="none"/>
        </w:rPr>
      </w:r>
      <w:r/>
    </w:p>
    <w:p>
      <w:pPr>
        <w:pStyle w:val="1025"/>
        <w:ind w:firstLine="400"/>
        <w:rPr>
          <w:highlight w:val="none"/>
        </w:rPr>
      </w:pPr>
      <w:r>
        <w:rPr>
          <w:highlight w:val="none"/>
        </w:rPr>
      </w:r>
      <w:r/>
    </w:p>
    <w:p>
      <w:pPr>
        <w:pStyle w:val="1025"/>
        <w:ind w:firstLine="400"/>
        <w:rPr>
          <w:highlight w:val="none"/>
        </w:rPr>
      </w:pPr>
      <w:r>
        <w:rPr>
          <w:highlight w:val="none"/>
        </w:rPr>
      </w:r>
      <w:r/>
    </w:p>
    <w:p>
      <w:pPr>
        <w:pStyle w:val="998"/>
        <w:numPr>
          <w:ilvl w:val="0"/>
          <w:numId w:val="4"/>
        </w:numPr>
        <w:ind w:left="0" w:firstLine="0"/>
        <w:jc w:val="center"/>
        <w:spacing w:line="579" w:lineRule="auto"/>
        <w:rPr>
          <w:rFonts w:hint="eastAsia" w:ascii="宋体" w:hAnsi="宋体" w:cs="宋体"/>
          <w:b/>
          <w:sz w:val="44"/>
          <w:szCs w:val="44"/>
          <w:highlight w:val="none"/>
        </w:rPr>
      </w:pPr>
      <w:r>
        <w:rPr>
          <w:rFonts w:hint="eastAsia" w:ascii="宋体" w:hAnsi="宋体" w:cs="宋体"/>
          <w:b/>
          <w:sz w:val="44"/>
          <w:szCs w:val="44"/>
          <w:highlight w:val="none"/>
        </w:rPr>
        <w:t xml:space="preserve"> </w:t>
      </w:r>
      <w:bookmarkStart w:id="109" w:name="_Toc16154"/>
      <w:r/>
      <w:bookmarkStart w:id="110" w:name="_Toc27775"/>
      <w:r>
        <w:rPr>
          <w:rFonts w:hint="eastAsia" w:ascii="宋体" w:hAnsi="宋体" w:cs="宋体"/>
          <w:b/>
          <w:sz w:val="44"/>
          <w:szCs w:val="44"/>
          <w:highlight w:val="none"/>
        </w:rPr>
        <w:t xml:space="preserve">评审办法</w:t>
      </w:r>
      <w:bookmarkEnd w:id="100"/>
      <w:r/>
      <w:bookmarkEnd w:id="101"/>
      <w:r/>
      <w:bookmarkEnd w:id="102"/>
      <w:r/>
      <w:bookmarkEnd w:id="103"/>
      <w:r/>
      <w:bookmarkEnd w:id="107"/>
      <w:r/>
      <w:bookmarkEnd w:id="109"/>
      <w:r/>
      <w:bookmarkEnd w:id="110"/>
      <w:r/>
      <w:r/>
    </w:p>
    <w:p>
      <w:pPr>
        <w:rPr>
          <w:rFonts w:hint="eastAsia" w:ascii="宋体" w:hAnsi="宋体" w:cs="宋体"/>
          <w:b/>
          <w:sz w:val="24"/>
          <w:szCs w:val="24"/>
          <w:highlight w:val="none"/>
        </w:rPr>
      </w:pPr>
      <w:r>
        <w:rPr>
          <w:rFonts w:hint="eastAsia" w:ascii="宋体" w:hAnsi="宋体" w:cs="宋体"/>
          <w:b/>
          <w:sz w:val="24"/>
          <w:szCs w:val="24"/>
          <w:highlight w:val="none"/>
        </w:rPr>
      </w:r>
      <w:r/>
    </w:p>
    <w:p>
      <w:pPr>
        <w:pStyle w:val="830"/>
        <w:rPr>
          <w:rFonts w:hint="eastAsia" w:ascii="宋体" w:hAnsi="宋体" w:cs="宋体"/>
          <w:sz w:val="24"/>
          <w:szCs w:val="24"/>
          <w:highlight w:val="none"/>
        </w:rPr>
      </w:pPr>
      <w:r>
        <w:rPr>
          <w:rFonts w:hint="eastAsia" w:ascii="宋体" w:hAnsi="宋体" w:cs="宋体"/>
          <w:sz w:val="24"/>
          <w:szCs w:val="24"/>
          <w:highlight w:val="none"/>
        </w:rPr>
      </w:r>
      <w:r/>
    </w:p>
    <w:p>
      <w:pPr>
        <w:ind w:left="0" w:firstLine="480"/>
        <w:spacing w:line="360" w:lineRule="auto"/>
        <w:rPr>
          <w:rStyle w:val="1033"/>
          <w:rFonts w:hint="eastAsia" w:ascii="宋体" w:hAnsi="宋体" w:cs="宋体"/>
          <w:b/>
          <w:bCs/>
          <w:sz w:val="24"/>
          <w:highlight w:val="none"/>
        </w:rPr>
      </w:pPr>
      <w:r>
        <w:rPr>
          <w:rFonts w:hint="eastAsia" w:ascii="宋体" w:hAnsi="宋体" w:cs="宋体"/>
          <w:sz w:val="24"/>
          <w:szCs w:val="24"/>
          <w:highlight w:val="none"/>
        </w:rPr>
        <w:br w:type="page" w:clear="all"/>
      </w:r>
      <w:r>
        <w:rPr>
          <w:rStyle w:val="1033"/>
          <w:rFonts w:hint="eastAsia" w:ascii="宋体" w:hAnsi="宋体" w:cs="宋体"/>
          <w:b/>
          <w:bCs/>
          <w:sz w:val="24"/>
          <w:highlight w:val="none"/>
        </w:rPr>
        <w:t xml:space="preserve">一、评审方法</w:t>
      </w:r>
      <w:r/>
    </w:p>
    <w:p>
      <w:pPr>
        <w:ind w:left="0" w:firstLine="480"/>
        <w:spacing w:line="360" w:lineRule="auto"/>
        <w:widowControl w:val="off"/>
        <w:rPr>
          <w:rStyle w:val="1033"/>
          <w:rFonts w:hint="eastAsia" w:ascii="宋体" w:hAnsi="宋体" w:cs="宋体"/>
          <w:sz w:val="24"/>
          <w:highlight w:val="none"/>
        </w:rPr>
      </w:pPr>
      <w:r>
        <w:rPr>
          <w:rStyle w:val="1033"/>
          <w:rFonts w:hint="eastAsia" w:ascii="宋体" w:hAnsi="宋体" w:cs="宋体"/>
          <w:sz w:val="24"/>
          <w:highlight w:val="none"/>
        </w:rPr>
        <w:t xml:space="preserve">1、本次磋商采用综合评分法，即在响应文件满足采购文件全部实质性要求且按评审因素的量化指标评审得分最高的供应商为成交候选供应商。采购人书面授权磋商小组直接确定成交单位。</w:t>
      </w:r>
      <w:r/>
    </w:p>
    <w:p>
      <w:pPr>
        <w:ind w:left="0" w:firstLine="480"/>
        <w:spacing w:line="360" w:lineRule="auto"/>
        <w:widowControl w:val="off"/>
        <w:rPr>
          <w:rStyle w:val="1033"/>
          <w:rFonts w:hint="eastAsia" w:ascii="宋体" w:hAnsi="宋体" w:cs="宋体"/>
          <w:sz w:val="24"/>
          <w:highlight w:val="none"/>
        </w:rPr>
      </w:pPr>
      <w:r>
        <w:rPr>
          <w:rStyle w:val="1033"/>
          <w:rFonts w:hint="eastAsia" w:ascii="宋体" w:hAnsi="宋体" w:cs="宋体"/>
          <w:sz w:val="24"/>
          <w:highlight w:val="none"/>
        </w:rPr>
        <w:t xml:space="preserve">2、评审小组各成员独立对每个进入打分程序的有效磋商供应商的响应文件技术和资质部分以打分的形式进行评审和评价。</w:t>
      </w:r>
      <w:r/>
    </w:p>
    <w:p>
      <w:pPr>
        <w:ind w:left="0" w:firstLine="480"/>
        <w:spacing w:line="360" w:lineRule="auto"/>
        <w:widowControl w:val="off"/>
        <w:rPr>
          <w:rStyle w:val="1033"/>
          <w:rFonts w:hint="eastAsia" w:ascii="宋体" w:hAnsi="宋体" w:cs="宋体"/>
          <w:sz w:val="24"/>
          <w:highlight w:val="none"/>
        </w:rPr>
      </w:pPr>
      <w:r>
        <w:rPr>
          <w:rStyle w:val="1033"/>
          <w:rFonts w:hint="eastAsia" w:ascii="宋体" w:hAnsi="宋体" w:cs="宋体"/>
          <w:sz w:val="24"/>
          <w:highlight w:val="none"/>
        </w:rPr>
        <w:t xml:space="preserve">3、对评委的评分（除价格分外）进行统计汇总，直接算术平均计算出每个磋商供应商的得分，加上价格得分即为每个磋商供应商的综合得分。</w:t>
      </w:r>
      <w:r/>
    </w:p>
    <w:p>
      <w:pPr>
        <w:ind w:left="0" w:firstLine="480"/>
        <w:spacing w:line="360" w:lineRule="auto"/>
        <w:widowControl w:val="off"/>
        <w:rPr>
          <w:rStyle w:val="1033"/>
          <w:rFonts w:hint="eastAsia" w:ascii="宋体" w:hAnsi="宋体" w:cs="宋体"/>
          <w:sz w:val="24"/>
          <w:highlight w:val="none"/>
        </w:rPr>
      </w:pPr>
      <w:r>
        <w:rPr>
          <w:rStyle w:val="1033"/>
          <w:rFonts w:hint="eastAsia" w:ascii="宋体" w:hAnsi="宋体" w:cs="宋体"/>
          <w:sz w:val="24"/>
          <w:highlight w:val="none"/>
        </w:rPr>
        <w:t xml:space="preserve">注：评审过程中出现下列情形之一的，评审委员会根据《苏财购〔2026〕2号》文应当启动异常低价投标（响应）审查程序：</w:t>
      </w:r>
      <w:r/>
    </w:p>
    <w:p>
      <w:pPr>
        <w:ind w:left="0" w:firstLine="480"/>
        <w:spacing w:line="360" w:lineRule="auto"/>
        <w:widowControl w:val="off"/>
        <w:rPr>
          <w:rStyle w:val="1033"/>
          <w:rFonts w:hint="eastAsia" w:ascii="宋体" w:hAnsi="宋体" w:cs="宋体"/>
          <w:sz w:val="24"/>
          <w:highlight w:val="none"/>
        </w:rPr>
      </w:pPr>
      <w:r>
        <w:rPr>
          <w:rStyle w:val="1033"/>
          <w:rFonts w:hint="eastAsia" w:ascii="宋体" w:hAnsi="宋体" w:cs="宋体"/>
          <w:sz w:val="24"/>
          <w:highlight w:val="none"/>
        </w:rPr>
        <w:t xml:space="preserve">（一）评审过程中出现下列情形之一的，评审委员会应当启动异常低价投标（响应）审查程序：</w:t>
      </w:r>
      <w:r/>
    </w:p>
    <w:p>
      <w:pPr>
        <w:ind w:left="0" w:firstLine="480"/>
        <w:spacing w:line="360" w:lineRule="auto"/>
        <w:widowControl w:val="off"/>
        <w:rPr>
          <w:rStyle w:val="1033"/>
          <w:rFonts w:hint="eastAsia" w:ascii="宋体" w:hAnsi="宋体" w:cs="宋体"/>
          <w:sz w:val="24"/>
          <w:highlight w:val="none"/>
        </w:rPr>
      </w:pPr>
      <w:r>
        <w:rPr>
          <w:rStyle w:val="1033"/>
          <w:rFonts w:hint="eastAsia" w:ascii="宋体" w:hAnsi="宋体" w:cs="宋体"/>
          <w:sz w:val="24"/>
          <w:highlight w:val="none"/>
        </w:rPr>
        <w:t xml:space="preserve">1.投标（响应）报价低于全部通过符合性审查供应商投标（响应）报价平均值50%的，即投标（响应）报价&lt;全部通过符合性审查供应商投标（响应）报价平均值×50%；</w:t>
      </w:r>
      <w:r/>
    </w:p>
    <w:p>
      <w:pPr>
        <w:ind w:left="0" w:firstLine="480"/>
        <w:spacing w:line="360" w:lineRule="auto"/>
        <w:widowControl w:val="off"/>
        <w:rPr>
          <w:rStyle w:val="1033"/>
          <w:rFonts w:hint="eastAsia" w:ascii="宋体" w:hAnsi="宋体" w:cs="宋体"/>
          <w:sz w:val="24"/>
          <w:highlight w:val="none"/>
        </w:rPr>
      </w:pPr>
      <w:r>
        <w:rPr>
          <w:rStyle w:val="1033"/>
          <w:rFonts w:hint="eastAsia" w:ascii="宋体" w:hAnsi="宋体" w:cs="宋体"/>
          <w:sz w:val="24"/>
          <w:highlight w:val="none"/>
        </w:rPr>
        <w:t xml:space="preserve">2.投标（响应）报价低于通过符合性审查的次低报价供应商投标（响应）报价50%的，即投标（响应）报价&lt;通过符合性审查的次低报价供应商投标（响应）报价×50%；</w:t>
      </w:r>
      <w:r/>
    </w:p>
    <w:p>
      <w:pPr>
        <w:ind w:left="0" w:firstLine="480"/>
        <w:spacing w:line="360" w:lineRule="auto"/>
        <w:widowControl w:val="off"/>
        <w:rPr>
          <w:rStyle w:val="1033"/>
          <w:rFonts w:hint="eastAsia" w:ascii="宋体" w:hAnsi="宋体" w:cs="宋体"/>
          <w:sz w:val="24"/>
          <w:highlight w:val="none"/>
        </w:rPr>
      </w:pPr>
      <w:r>
        <w:rPr>
          <w:rStyle w:val="1033"/>
          <w:rFonts w:hint="eastAsia" w:ascii="宋体" w:hAnsi="宋体" w:cs="宋体"/>
          <w:sz w:val="24"/>
          <w:highlight w:val="none"/>
        </w:rPr>
        <w:t xml:space="preserve">3.投标（响应）报价低于采购项目最高限价45%的，即投标（响应）报价&lt;采购项目最高限价×45%；</w:t>
      </w:r>
      <w:r/>
    </w:p>
    <w:p>
      <w:pPr>
        <w:ind w:left="0" w:firstLine="480"/>
        <w:spacing w:line="360" w:lineRule="auto"/>
        <w:widowControl w:val="off"/>
        <w:rPr>
          <w:rStyle w:val="1033"/>
          <w:rFonts w:hint="eastAsia" w:ascii="宋体" w:hAnsi="宋体" w:cs="宋体"/>
          <w:sz w:val="24"/>
          <w:highlight w:val="none"/>
        </w:rPr>
      </w:pPr>
      <w:r>
        <w:rPr>
          <w:rStyle w:val="1033"/>
          <w:rFonts w:hint="eastAsia" w:ascii="宋体" w:hAnsi="宋体" w:cs="宋体"/>
          <w:sz w:val="24"/>
          <w:highlight w:val="none"/>
        </w:rPr>
        <w:t xml:space="preserve">4.评审委员会基于专业判断，认为供应商报价过低，有可能影响产品质量或者不能诚信履约的其他情形。</w:t>
      </w:r>
      <w:r/>
    </w:p>
    <w:p>
      <w:pPr>
        <w:ind w:left="0" w:firstLine="480"/>
        <w:spacing w:line="360" w:lineRule="auto"/>
        <w:widowControl w:val="off"/>
        <w:rPr>
          <w:rStyle w:val="1033"/>
          <w:rFonts w:hint="eastAsia" w:ascii="宋体" w:hAnsi="宋体" w:cs="宋体"/>
          <w:sz w:val="24"/>
          <w:highlight w:val="none"/>
        </w:rPr>
      </w:pPr>
      <w:r>
        <w:rPr>
          <w:rStyle w:val="1033"/>
          <w:rFonts w:hint="eastAsia" w:ascii="宋体" w:hAnsi="宋体" w:cs="宋体"/>
          <w:sz w:val="24"/>
          <w:highlight w:val="none"/>
        </w:rPr>
        <w:t xml:space="preserve">采购人可以结合具体项目实际情况，提高上述第1项至第3项中启动异常低价投标（响应）审查的数值标准，但是最高不得超过65%。</w:t>
      </w:r>
      <w:r/>
    </w:p>
    <w:p>
      <w:pPr>
        <w:ind w:left="0" w:firstLine="480"/>
        <w:spacing w:line="360" w:lineRule="auto"/>
        <w:widowControl w:val="off"/>
        <w:rPr>
          <w:rStyle w:val="1033"/>
          <w:rFonts w:hint="eastAsia" w:ascii="宋体" w:hAnsi="宋体" w:cs="宋体"/>
          <w:sz w:val="24"/>
          <w:highlight w:val="none"/>
        </w:rPr>
      </w:pPr>
      <w:r>
        <w:rPr>
          <w:rStyle w:val="1033"/>
          <w:rFonts w:hint="eastAsia" w:ascii="宋体" w:hAnsi="宋体" w:cs="宋体"/>
          <w:sz w:val="24"/>
          <w:highlight w:val="none"/>
        </w:rPr>
        <w:t xml:space="preserve">相关法律法规对供应商报价有规定的，从其规定。</w:t>
      </w:r>
      <w:r/>
    </w:p>
    <w:p>
      <w:pPr>
        <w:ind w:left="0" w:firstLine="480"/>
        <w:spacing w:line="360" w:lineRule="auto"/>
        <w:widowControl w:val="off"/>
        <w:rPr>
          <w:rStyle w:val="1033"/>
          <w:rFonts w:hint="eastAsia" w:ascii="宋体" w:hAnsi="宋体" w:cs="宋体"/>
          <w:sz w:val="24"/>
          <w:highlight w:val="none"/>
        </w:rPr>
      </w:pPr>
      <w:r>
        <w:rPr>
          <w:rStyle w:val="1033"/>
          <w:rFonts w:hint="eastAsia" w:ascii="宋体" w:hAnsi="宋体" w:cs="宋体"/>
          <w:sz w:val="24"/>
          <w:highlight w:val="none"/>
        </w:rPr>
        <w:t xml:space="preserve">（二）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spacing w:line="360" w:lineRule="auto"/>
        <w:widowControl w:val="off"/>
        <w:rPr>
          <w:rStyle w:val="1033"/>
          <w:rFonts w:hint="eastAsia" w:ascii="宋体" w:hAnsi="宋体" w:cs="宋体"/>
          <w:sz w:val="24"/>
          <w:highlight w:val="none"/>
        </w:rPr>
      </w:pPr>
      <w:r>
        <w:rPr>
          <w:rStyle w:val="1033"/>
          <w:rFonts w:hint="eastAsia" w:ascii="宋体" w:hAnsi="宋体" w:cs="宋体"/>
          <w:sz w:val="24"/>
          <w:highlight w:val="none"/>
        </w:rPr>
        <w:t xml:space="preserve">4、如出现评审总得分最高的磋商供应商有两个或两个以上的，以磋商报价较低者优先作为成交候选人，如果磋商报价也相同的，则由采购人组织以抽签方式确定成交候选人。</w:t>
      </w:r>
      <w:r/>
    </w:p>
    <w:p>
      <w:pPr>
        <w:ind w:left="0" w:firstLine="480"/>
        <w:spacing w:line="360" w:lineRule="auto"/>
        <w:widowControl w:val="off"/>
        <w:rPr>
          <w:rStyle w:val="1033"/>
          <w:rFonts w:hint="eastAsia" w:ascii="宋体" w:hAnsi="宋体" w:cs="宋体"/>
          <w:sz w:val="24"/>
          <w:highlight w:val="none"/>
        </w:rPr>
      </w:pPr>
      <w:r>
        <w:rPr>
          <w:rStyle w:val="1033"/>
          <w:rFonts w:hint="eastAsia" w:ascii="宋体" w:hAnsi="宋体" w:cs="宋体"/>
          <w:sz w:val="24"/>
          <w:highlight w:val="none"/>
        </w:rPr>
        <w:t xml:space="preserve">5、针对小微企业、残疾人福利性单位及监狱企业的价格分评审：</w:t>
      </w:r>
      <w:r/>
    </w:p>
    <w:p>
      <w:pPr>
        <w:ind w:left="0" w:firstLine="480"/>
        <w:spacing w:line="360" w:lineRule="auto"/>
        <w:widowControl w:val="off"/>
        <w:rPr>
          <w:rStyle w:val="1033"/>
          <w:rFonts w:hint="eastAsia" w:ascii="宋体" w:hAnsi="宋体" w:cs="宋体"/>
          <w:sz w:val="24"/>
          <w:highlight w:val="none"/>
        </w:rPr>
      </w:pPr>
      <w:r>
        <w:rPr>
          <w:rStyle w:val="1033"/>
          <w:rFonts w:hint="eastAsia" w:ascii="宋体" w:hAnsi="宋体" w:cs="宋体"/>
          <w:sz w:val="24"/>
          <w:highlight w:val="none"/>
        </w:rPr>
        <w:t xml:space="preserve">本采购项目对应的中小企业划分标准所属行业为：其他未列明行业。根据《政府采购促进中小企业发展管理办法》（财库﹝2020﹞46号）、《关于促进残疾人就业政府采购政策的通知》（财库〔2017〕141号）、《关于政府采购支持监狱企业发展有关问题的通知》（财库〔2014〕68号）、《关于新冠肺炎疫情防控期间加大政府采购支持中小微企业力度的通知》苏财购〔2020〕19号等文件的精神，对属于小微企业、监狱企业、残疾人福利性单位给予价格评审加分。</w:t>
      </w:r>
      <w:r/>
    </w:p>
    <w:p>
      <w:pPr>
        <w:ind w:left="0" w:firstLine="480"/>
        <w:spacing w:line="360" w:lineRule="auto"/>
        <w:widowControl w:val="off"/>
        <w:rPr>
          <w:rStyle w:val="1033"/>
          <w:rFonts w:hint="eastAsia" w:ascii="宋体" w:hAnsi="宋体" w:cs="宋体"/>
          <w:sz w:val="24"/>
          <w:highlight w:val="none"/>
        </w:rPr>
      </w:pPr>
      <w:r>
        <w:rPr>
          <w:rStyle w:val="1033"/>
          <w:rFonts w:hint="eastAsia" w:ascii="宋体" w:hAnsi="宋体" w:cs="宋体"/>
          <w:sz w:val="24"/>
          <w:highlight w:val="none"/>
        </w:rPr>
        <w:t xml:space="preserve">（1）如响应单位属于小型或微型企业且提供服务的，对其报价给予20%的扣除；用扣除后的价格参与价格评审；如响应单位属于残疾人福利性单位或监狱企业的，其价格在评审时给予6%的扣除，用扣除后的价格参与评审。</w:t>
      </w:r>
      <w:r/>
    </w:p>
    <w:p>
      <w:pPr>
        <w:ind w:left="0" w:firstLine="480"/>
        <w:spacing w:line="360" w:lineRule="auto"/>
        <w:widowControl w:val="off"/>
        <w:rPr>
          <w:rStyle w:val="1033"/>
          <w:rFonts w:hint="eastAsia" w:ascii="宋体" w:hAnsi="宋体" w:cs="宋体"/>
          <w:sz w:val="24"/>
          <w:highlight w:val="none"/>
        </w:rPr>
      </w:pPr>
      <w:r>
        <w:rPr>
          <w:rStyle w:val="1033"/>
          <w:rFonts w:hint="eastAsia" w:ascii="宋体" w:hAnsi="宋体" w:cs="宋体"/>
          <w:sz w:val="24"/>
          <w:highlight w:val="none"/>
        </w:rPr>
        <w:t xml:space="preserve">注：残疾人福利性单位和监狱企业属于小型、微型企业的，不重复享受政策。</w:t>
      </w:r>
      <w:r/>
    </w:p>
    <w:p>
      <w:pPr>
        <w:ind w:left="0" w:firstLine="480"/>
        <w:spacing w:line="360" w:lineRule="auto"/>
        <w:widowControl w:val="off"/>
        <w:rPr>
          <w:rStyle w:val="1033"/>
          <w:rFonts w:hint="eastAsia" w:ascii="宋体" w:hAnsi="宋体" w:cs="宋体"/>
          <w:sz w:val="24"/>
          <w:highlight w:val="none"/>
        </w:rPr>
      </w:pPr>
      <w:r>
        <w:rPr>
          <w:rStyle w:val="1033"/>
          <w:rFonts w:hint="eastAsia" w:ascii="宋体" w:hAnsi="宋体" w:cs="宋体"/>
          <w:sz w:val="24"/>
          <w:highlight w:val="none"/>
        </w:rPr>
        <w:t xml:space="preserve">（2）中小微企业在响应文件中，必须提供企业注册地经信部门出具的中小微企业认定书，或提供《中小企业声明函》。未在响应文件中提供中小微企业认定书或《中小企业声明函》，不享受促进中小微企业发展的相关政府采购政策。</w:t>
      </w:r>
      <w:r/>
    </w:p>
    <w:p>
      <w:pPr>
        <w:ind w:left="0" w:firstLine="480"/>
        <w:spacing w:line="360" w:lineRule="auto"/>
        <w:widowControl w:val="off"/>
        <w:rPr>
          <w:rStyle w:val="1033"/>
          <w:rFonts w:hint="eastAsia" w:ascii="宋体" w:hAnsi="宋体" w:cs="宋体"/>
          <w:sz w:val="24"/>
          <w:highlight w:val="none"/>
        </w:rPr>
      </w:pPr>
      <w:r>
        <w:rPr>
          <w:rStyle w:val="1033"/>
          <w:rFonts w:hint="eastAsia" w:ascii="宋体" w:hAnsi="宋体" w:cs="宋体"/>
          <w:sz w:val="24"/>
          <w:highlight w:val="none"/>
        </w:rPr>
        <w:t xml:space="preserve">（3）以上规定未尽事项，按《政府采购促进中小企业发展暂行办法》等有关制度规定执行。</w:t>
      </w:r>
      <w:r/>
    </w:p>
    <w:p>
      <w:pPr>
        <w:ind w:left="0" w:firstLine="480"/>
        <w:spacing w:line="360" w:lineRule="auto"/>
        <w:widowControl w:val="off"/>
        <w:rPr>
          <w:rStyle w:val="1033"/>
          <w:rFonts w:hint="eastAsia" w:ascii="宋体" w:hAnsi="宋体" w:cs="宋体"/>
          <w:sz w:val="24"/>
          <w:highlight w:val="none"/>
        </w:rPr>
      </w:pPr>
      <w:r>
        <w:rPr>
          <w:rStyle w:val="1033"/>
          <w:rFonts w:hint="eastAsia" w:ascii="宋体" w:hAnsi="宋体" w:cs="宋体"/>
          <w:sz w:val="24"/>
          <w:highlight w:val="none"/>
        </w:rPr>
        <w:t xml:space="preserve">注：①填报“中小企业声明函”需严格按“工信部联企业〔2011〕300号通知”中的《中小企业划型标准规定》进行。</w:t>
      </w:r>
      <w:r/>
    </w:p>
    <w:p>
      <w:pPr>
        <w:ind w:left="0" w:firstLine="480"/>
        <w:spacing w:line="360" w:lineRule="auto"/>
        <w:widowControl w:val="off"/>
        <w:rPr>
          <w:rStyle w:val="1033"/>
          <w:rFonts w:hint="eastAsia" w:ascii="宋体" w:hAnsi="宋体" w:cs="宋体"/>
          <w:sz w:val="24"/>
          <w:highlight w:val="none"/>
        </w:rPr>
      </w:pPr>
      <w:r>
        <w:rPr>
          <w:rStyle w:val="1033"/>
          <w:rFonts w:hint="eastAsia" w:ascii="宋体" w:hAnsi="宋体" w:cs="宋体"/>
          <w:sz w:val="24"/>
          <w:highlight w:val="none"/>
        </w:rPr>
        <w:t xml:space="preserve">②若响应单位提供的 “中小企业声明函”（详见第三章） 或认定证明为虚假声明则视同提供虚假材料，按“政府采购法”相关规定处理并报请政府监管部门给予行政处罚。</w:t>
      </w:r>
      <w:r/>
    </w:p>
    <w:p>
      <w:pPr>
        <w:ind w:left="0" w:firstLine="480"/>
        <w:spacing w:line="360" w:lineRule="auto"/>
        <w:widowControl w:val="off"/>
        <w:rPr>
          <w:rStyle w:val="1033"/>
          <w:rFonts w:hint="eastAsia" w:ascii="宋体" w:hAnsi="宋体" w:cs="宋体"/>
          <w:sz w:val="24"/>
          <w:highlight w:val="none"/>
        </w:rPr>
      </w:pPr>
      <w:r>
        <w:rPr>
          <w:rStyle w:val="1033"/>
          <w:rFonts w:hint="eastAsia" w:ascii="宋体" w:hAnsi="宋体" w:cs="宋体"/>
          <w:sz w:val="24"/>
          <w:highlight w:val="none"/>
        </w:rPr>
        <w:t xml:space="preserve">③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w:t>
      </w:r>
      <w:r/>
    </w:p>
    <w:p>
      <w:pPr>
        <w:ind w:left="0" w:firstLine="480"/>
        <w:spacing w:line="360" w:lineRule="auto"/>
        <w:widowControl w:val="off"/>
        <w:rPr>
          <w:rStyle w:val="1033"/>
          <w:rFonts w:hint="eastAsia" w:ascii="宋体" w:hAnsi="宋体" w:cs="宋体"/>
          <w:b/>
          <w:bCs/>
          <w:sz w:val="24"/>
          <w:highlight w:val="none"/>
        </w:rPr>
      </w:pPr>
      <w:r>
        <w:rPr>
          <w:rStyle w:val="1033"/>
          <w:rFonts w:hint="eastAsia" w:ascii="宋体" w:hAnsi="宋体" w:cs="宋体"/>
          <w:b/>
          <w:bCs/>
          <w:sz w:val="24"/>
          <w:highlight w:val="none"/>
        </w:rPr>
        <w:t xml:space="preserve">本项目为专门面向中小企业采购的项目，故不执行价格评审优惠的扶持政策。</w:t>
      </w:r>
      <w:r/>
    </w:p>
    <w:p>
      <w:pPr>
        <w:pStyle w:val="1034"/>
        <w:ind w:left="0" w:firstLine="482"/>
        <w:jc w:val="both"/>
        <w:spacing w:line="360" w:lineRule="auto"/>
        <w:widowControl w:val="off"/>
        <w:rPr>
          <w:rStyle w:val="1033"/>
          <w:rFonts w:hint="eastAsia" w:ascii="宋体" w:hAnsi="宋体" w:cs="宋体"/>
          <w:b/>
          <w:highlight w:val="none"/>
        </w:rPr>
      </w:pPr>
      <w:r>
        <w:rPr>
          <w:rStyle w:val="1033"/>
          <w:rFonts w:hint="eastAsia" w:ascii="宋体" w:hAnsi="宋体" w:cs="宋体"/>
          <w:b/>
          <w:highlight w:val="none"/>
        </w:rPr>
        <w:t xml:space="preserve">二、评分标准</w:t>
      </w:r>
      <w:r/>
    </w:p>
    <w:p>
      <w:pPr>
        <w:ind w:left="0"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（一）价格分：15分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第一步：磋商报价低于或等于财政预算价格及最高限价的，为有效磋商报价。超财政预算及最高限价的磋商报价文件为未实质性响应文件，不参与评审。</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第二步：在所有有效磋商报价中满足采购文件要求，且磋商价格最低的磋商报价为评标基准价，其价格分为15分，其他供应商的价格分按照下列公式计算（计算结果四舍五入保留两位小数）</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磋商报价得分＝（评审基准价/最后磋商报价）×15%×100</w:t>
      </w:r>
      <w:r/>
    </w:p>
    <w:p>
      <w:pPr>
        <w:ind w:left="0"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（二）技术及组织实施方案：5</w:t>
      </w:r>
      <w:r>
        <w:rPr>
          <w:rFonts w:hint="eastAsia" w:ascii="宋体" w:hAnsi="宋体" w:cs="宋体"/>
          <w:b/>
          <w:sz w:val="24"/>
          <w:szCs w:val="24"/>
          <w:highlight w:val="none"/>
          <w:lang w:val="en-US" w:eastAsia="zh-CN"/>
        </w:rPr>
        <w:t xml:space="preserve">4</w:t>
      </w:r>
      <w:r>
        <w:rPr>
          <w:rFonts w:hint="eastAsia" w:ascii="宋体" w:hAnsi="宋体" w:cs="宋体"/>
          <w:b/>
          <w:sz w:val="24"/>
          <w:szCs w:val="24"/>
          <w:highlight w:val="none"/>
        </w:rPr>
        <w:t xml:space="preserve">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1、对项目的理解（</w:t>
      </w:r>
      <w:r>
        <w:rPr>
          <w:rFonts w:hint="eastAsia" w:ascii="宋体" w:hAnsi="宋体" w:cs="宋体"/>
          <w:bCs/>
          <w:sz w:val="24"/>
          <w:szCs w:val="24"/>
          <w:highlight w:val="none"/>
          <w:lang w:val="en-US" w:eastAsia="zh-CN"/>
        </w:rPr>
        <w:t xml:space="preserve">12</w:t>
      </w:r>
      <w:r>
        <w:rPr>
          <w:rFonts w:hint="eastAsia" w:ascii="宋体" w:hAnsi="宋体" w:cs="宋体"/>
          <w:bCs/>
          <w:sz w:val="24"/>
          <w:szCs w:val="24"/>
          <w:highlight w:val="none"/>
        </w:rPr>
        <w:t xml:space="preserve">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包括不限于对本项目服务内容与需求、工期及成果要求以及对原始资料的掌握情况或踏勘情况进行评审，对本项目服务需求明确、项目掌握充分的，得</w:t>
      </w:r>
      <w:r>
        <w:rPr>
          <w:rFonts w:hint="eastAsia" w:ascii="宋体" w:hAnsi="宋体" w:cs="宋体"/>
          <w:bCs/>
          <w:sz w:val="24"/>
          <w:szCs w:val="24"/>
          <w:highlight w:val="none"/>
          <w:lang w:val="en-US" w:eastAsia="zh-CN"/>
        </w:rPr>
        <w:t xml:space="preserve">12</w:t>
      </w:r>
      <w:r>
        <w:rPr>
          <w:rFonts w:hint="eastAsia" w:ascii="宋体" w:hAnsi="宋体" w:cs="宋体"/>
          <w:bCs/>
          <w:sz w:val="24"/>
          <w:szCs w:val="24"/>
          <w:highlight w:val="none"/>
        </w:rPr>
        <w:t xml:space="preserve">分；服务需求明确、项目掌握充分一般的得</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分；服务需求明确、项目掌握充分较差的得</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分；未提供不得分。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2、检测工作的程序与方法（</w:t>
      </w:r>
      <w:r>
        <w:rPr>
          <w:rFonts w:hint="eastAsia" w:ascii="宋体" w:hAnsi="宋体" w:cs="宋体"/>
          <w:bCs/>
          <w:sz w:val="24"/>
          <w:szCs w:val="24"/>
          <w:highlight w:val="none"/>
          <w:lang w:val="en-US" w:eastAsia="zh-CN"/>
        </w:rPr>
        <w:t xml:space="preserve">12</w:t>
      </w:r>
      <w:r>
        <w:rPr>
          <w:rFonts w:hint="eastAsia" w:ascii="宋体" w:hAnsi="宋体" w:cs="宋体"/>
          <w:bCs/>
          <w:sz w:val="24"/>
          <w:szCs w:val="24"/>
          <w:highlight w:val="none"/>
        </w:rPr>
        <w:t xml:space="preserve">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根据检测工作的程序、检测的内容、方法、检测频率、检测手段、检测资料及分析报告、最终报告的形成的可行性、针对性和可靠性等方面进行评审：可行性、针对性和可靠性强的得</w:t>
      </w:r>
      <w:r>
        <w:rPr>
          <w:rFonts w:hint="eastAsia" w:ascii="宋体" w:hAnsi="宋体" w:cs="宋体"/>
          <w:bCs/>
          <w:sz w:val="24"/>
          <w:szCs w:val="24"/>
          <w:highlight w:val="none"/>
          <w:lang w:val="en-US" w:eastAsia="zh-CN"/>
        </w:rPr>
        <w:t xml:space="preserve">12</w:t>
      </w:r>
      <w:r>
        <w:rPr>
          <w:rFonts w:hint="eastAsia" w:ascii="宋体" w:hAnsi="宋体" w:cs="宋体"/>
          <w:bCs/>
          <w:sz w:val="24"/>
          <w:szCs w:val="24"/>
          <w:highlight w:val="none"/>
        </w:rPr>
        <w:t xml:space="preserve">分；可行性、针对性和可靠性比较强的得</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分；可行性、针对性和可靠性一般的得</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分；未提供不得分。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3、检测工作服务的目标及保证措施（</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根据检测工作服务的目标、保证检测精度的技术措施、检测进度计划及保证检测进度的措施、检测工作质量与服务保证措施、安全生产管理措施等方面进行评审：相关措施方案详细的得</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分；相关措施方案比较详细的得</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分；相关措施方案笼统的得</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分；未提供不得分。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4、本项目的重点和难点分析及对策措施（</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根据投标人对招标项目的理解、本项目的重点和难点分析及对策措施等方面进行评分：分析透彻、对策措施方案详细的得</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分；分析比较透彻、对策措施方案比较详细的得</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分；分析笼统、对策措施笼统的得</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分；未提供不得分。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5、合理化建议（</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针对本项目提出合理化建议的可行性情况进行评分：可行性强的得</w:t>
      </w: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分；可行性比较强的得</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分；可行性一般的得</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分；未提供不得分。</w:t>
      </w:r>
      <w:r/>
    </w:p>
    <w:p>
      <w:pPr>
        <w:ind w:left="0"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（三）人员及设备情况：</w:t>
      </w:r>
      <w:r>
        <w:rPr>
          <w:rFonts w:hint="eastAsia" w:ascii="宋体" w:hAnsi="宋体" w:cs="宋体"/>
          <w:b/>
          <w:sz w:val="24"/>
          <w:szCs w:val="24"/>
          <w:highlight w:val="none"/>
          <w:lang w:val="en-US" w:eastAsia="zh-CN"/>
        </w:rPr>
        <w:t xml:space="preserve">22</w:t>
      </w:r>
      <w:r>
        <w:rPr>
          <w:rFonts w:hint="eastAsia" w:ascii="宋体" w:hAnsi="宋体" w:cs="宋体"/>
          <w:b/>
          <w:sz w:val="24"/>
          <w:szCs w:val="24"/>
          <w:highlight w:val="none"/>
        </w:rPr>
        <w:t xml:space="preserve">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1、项目负责人（6分）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1.1项目负责人具有公路水运工程试验检测师证书的，得2分。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1.2具有高级工程师</w:t>
      </w:r>
      <w:r>
        <w:rPr>
          <w:rFonts w:hint="eastAsia" w:ascii="宋体" w:hAnsi="宋体" w:cs="宋体"/>
          <w:bCs/>
          <w:sz w:val="24"/>
          <w:szCs w:val="24"/>
          <w:highlight w:val="none"/>
          <w:lang w:eastAsia="zh-CN"/>
        </w:rPr>
        <w:t xml:space="preserve">及以上</w:t>
      </w:r>
      <w:r>
        <w:rPr>
          <w:rFonts w:hint="eastAsia" w:ascii="宋体" w:hAnsi="宋体" w:cs="宋体"/>
          <w:bCs/>
          <w:sz w:val="24"/>
          <w:szCs w:val="24"/>
          <w:highlight w:val="none"/>
        </w:rPr>
        <w:t xml:space="preserve">职称的得2分；</w:t>
      </w:r>
      <w:r>
        <w:rPr>
          <w:rFonts w:hint="eastAsia" w:ascii="宋体" w:hAnsi="宋体" w:cs="宋体"/>
          <w:bCs/>
          <w:sz w:val="24"/>
          <w:szCs w:val="24"/>
          <w:highlight w:val="none"/>
          <w:lang w:eastAsia="zh-CN"/>
        </w:rPr>
        <w:t xml:space="preserve">具有</w:t>
      </w:r>
      <w:r>
        <w:rPr>
          <w:rFonts w:hint="eastAsia" w:ascii="宋体" w:hAnsi="宋体" w:cs="宋体"/>
          <w:bCs/>
          <w:sz w:val="24"/>
          <w:szCs w:val="24"/>
          <w:highlight w:val="none"/>
        </w:rPr>
        <w:t xml:space="preserve">工程师职称得1分；</w:t>
      </w:r>
      <w:r/>
    </w:p>
    <w:p>
      <w:pPr>
        <w:ind w:left="0" w:firstLine="482"/>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1.3</w:t>
      </w:r>
      <w:r>
        <w:rPr>
          <w:rFonts w:hint="eastAsia" w:ascii="宋体" w:hAnsi="宋体" w:cs="宋体"/>
          <w:bCs/>
          <w:sz w:val="24"/>
          <w:szCs w:val="24"/>
          <w:highlight w:val="none"/>
          <w:lang w:eastAsia="zh-CN"/>
        </w:rPr>
        <w:t xml:space="preserve">项目负责人</w:t>
      </w:r>
      <w:r>
        <w:rPr>
          <w:rFonts w:hint="eastAsia" w:ascii="宋体" w:hAnsi="宋体" w:cs="宋体"/>
          <w:bCs/>
          <w:sz w:val="24"/>
          <w:szCs w:val="24"/>
          <w:highlight w:val="none"/>
        </w:rPr>
        <w:t xml:space="preserve">提供2021年1月1日（以签发报告日期为准）以来承担过类似业绩的每个得1分，最高得2分；</w:t>
      </w:r>
      <w:r>
        <w:rPr>
          <w:rFonts w:hint="eastAsia" w:ascii="宋体" w:hAnsi="宋体" w:cs="宋体"/>
          <w:bCs/>
          <w:sz w:val="24"/>
          <w:szCs w:val="24"/>
          <w:highlight w:val="none"/>
          <w:lang w:eastAsia="zh-CN"/>
        </w:rPr>
        <w:t xml:space="preserve">（需提供体现项目负责人参与的证明材料）</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注：响应文件中提供相关证书以及近3个月投标人为上述人员缴纳社保的证明复印件，未提供的不得分，否则不得分。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2、技术负责人（</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2.1具有高级工程师</w:t>
      </w:r>
      <w:r>
        <w:rPr>
          <w:rFonts w:hint="eastAsia" w:ascii="宋体" w:hAnsi="宋体" w:cs="宋体"/>
          <w:bCs/>
          <w:sz w:val="24"/>
          <w:szCs w:val="24"/>
          <w:highlight w:val="none"/>
          <w:lang w:eastAsia="zh-CN"/>
        </w:rPr>
        <w:t xml:space="preserve">及以上</w:t>
      </w:r>
      <w:r>
        <w:rPr>
          <w:rFonts w:hint="eastAsia" w:ascii="宋体" w:hAnsi="宋体" w:cs="宋体"/>
          <w:bCs/>
          <w:sz w:val="24"/>
          <w:szCs w:val="24"/>
          <w:highlight w:val="none"/>
        </w:rPr>
        <w:t xml:space="preserve">职称的得2分；</w:t>
      </w:r>
      <w:r>
        <w:rPr>
          <w:rFonts w:hint="eastAsia" w:ascii="宋体" w:hAnsi="宋体" w:cs="宋体"/>
          <w:bCs/>
          <w:sz w:val="24"/>
          <w:szCs w:val="24"/>
          <w:highlight w:val="none"/>
          <w:lang w:eastAsia="zh-CN"/>
        </w:rPr>
        <w:t xml:space="preserve">具有</w:t>
      </w:r>
      <w:r>
        <w:rPr>
          <w:rFonts w:hint="eastAsia" w:ascii="宋体" w:hAnsi="宋体" w:cs="宋体"/>
          <w:bCs/>
          <w:sz w:val="24"/>
          <w:szCs w:val="24"/>
          <w:highlight w:val="none"/>
        </w:rPr>
        <w:t xml:space="preserve">工程师职称得1分；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2.2技术负责人具有一级注册结构工程师的得2分</w:t>
      </w:r>
      <w:r>
        <w:rPr>
          <w:rFonts w:hint="eastAsia" w:ascii="宋体" w:hAnsi="宋体" w:cs="宋体"/>
          <w:bCs/>
          <w:sz w:val="24"/>
          <w:szCs w:val="24"/>
          <w:highlight w:val="none"/>
          <w:lang w:eastAsia="zh-CN"/>
        </w:rPr>
        <w:t xml:space="preserve">，二级</w:t>
      </w:r>
      <w:r>
        <w:rPr>
          <w:rFonts w:hint="eastAsia" w:ascii="宋体" w:hAnsi="宋体" w:cs="宋体"/>
          <w:bCs/>
          <w:sz w:val="24"/>
          <w:szCs w:val="24"/>
          <w:highlight w:val="none"/>
        </w:rPr>
        <w:t xml:space="preserve">注册结构工程师的得</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注：响应文件中提供相关证书以及近3个月投标人为上述人员缴纳社保的证明复印件，未提供的不得分，否则不得分。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3、主要人员（不包括项目负责人、技术负责人）（</w:t>
      </w: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3.1主要人员中有人具有一级注册结构工程师证书的得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w:t>
      </w:r>
      <w:r>
        <w:rPr>
          <w:rFonts w:hint="eastAsia" w:ascii="宋体" w:hAnsi="宋体" w:cs="宋体"/>
          <w:bCs/>
          <w:sz w:val="24"/>
          <w:szCs w:val="24"/>
          <w:highlight w:val="none"/>
          <w:lang w:eastAsia="zh-CN"/>
        </w:rPr>
        <w:t xml:space="preserve">；具有二级</w:t>
      </w:r>
      <w:r>
        <w:rPr>
          <w:rFonts w:hint="eastAsia" w:ascii="宋体" w:hAnsi="宋体" w:cs="宋体"/>
          <w:bCs/>
          <w:sz w:val="24"/>
          <w:szCs w:val="24"/>
          <w:highlight w:val="none"/>
        </w:rPr>
        <w:t xml:space="preserve">注册结构工程师的得</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最高得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3.2主要人员中有人具有高级工程师及以上职称的，每提供一人得1分；具有工程师职称的，每提供一人得0.5分，最高得3分；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3.3具有公路水运工程试验检测师证书的，有一个得</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分，最高得3分。</w:t>
      </w:r>
      <w:r/>
    </w:p>
    <w:p>
      <w:pPr>
        <w:ind w:left="0" w:firstLine="482"/>
        <w:spacing w:line="360" w:lineRule="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3.4拟投入人员具有特种作业操作证(高处作业)的，有一个得1分，最高得2分。</w:t>
      </w:r>
      <w:r/>
    </w:p>
    <w:p>
      <w:pPr>
        <w:ind w:left="0" w:firstLine="482"/>
        <w:spacing w:line="360" w:lineRule="auto"/>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3.5拟投入人员具有注册安全工程师证书的，有一个得1分，最高得1分。</w:t>
      </w:r>
      <w:r/>
    </w:p>
    <w:p>
      <w:pPr>
        <w:ind w:left="0" w:firstLine="482"/>
        <w:spacing w:line="360" w:lineRule="auto"/>
        <w:rPr>
          <w:rFonts w:hint="default" w:ascii="宋体" w:hAnsi="宋体" w:cs="宋体"/>
          <w:bCs/>
          <w:sz w:val="24"/>
          <w:szCs w:val="24"/>
          <w:highlight w:val="none"/>
          <w:lang w:val="en-US" w:eastAsia="zh-CN"/>
        </w:rPr>
      </w:pPr>
      <w:r>
        <w:rPr>
          <w:rFonts w:hint="eastAsia" w:ascii="宋体" w:hAnsi="宋体" w:cs="宋体"/>
          <w:bCs/>
          <w:sz w:val="24"/>
          <w:szCs w:val="24"/>
          <w:highlight w:val="none"/>
        </w:rPr>
        <w:t xml:space="preserve">注：</w:t>
      </w:r>
      <w:r>
        <w:rPr>
          <w:rFonts w:hint="eastAsia" w:ascii="宋体" w:hAnsi="宋体" w:cs="宋体"/>
          <w:bCs/>
          <w:sz w:val="24"/>
          <w:szCs w:val="24"/>
          <w:highlight w:val="none"/>
          <w:lang w:eastAsia="zh-CN"/>
        </w:rPr>
        <w:t xml:space="preserve">以上人员不重复计分，</w:t>
      </w:r>
      <w:r>
        <w:rPr>
          <w:rFonts w:hint="eastAsia" w:ascii="宋体" w:hAnsi="宋体" w:cs="宋体"/>
          <w:bCs/>
          <w:sz w:val="24"/>
          <w:szCs w:val="24"/>
          <w:highlight w:val="none"/>
        </w:rPr>
        <w:t xml:space="preserve">响应文件中提供相关证书以及近3个月投标人为上述人员缴纳社保的证明复印件，未提供的不得分，否则不得分。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4、机械、设备仪器（</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投标人提供1辆</w:t>
      </w:r>
      <w:r>
        <w:rPr>
          <w:rFonts w:hint="eastAsia" w:ascii="宋体" w:hAnsi="宋体" w:eastAsia="宋体" w:cs="宋体"/>
          <w:bCs/>
          <w:color w:val="auto"/>
          <w:sz w:val="24"/>
          <w:szCs w:val="24"/>
          <w:highlight w:val="none"/>
          <w:lang w:val="en-US" w:eastAsia="zh-CN"/>
        </w:rPr>
        <w:t xml:space="preserve">防撞缓冲车</w:t>
      </w:r>
      <w:r>
        <w:rPr>
          <w:rFonts w:hint="eastAsia" w:ascii="宋体" w:hAnsi="宋体" w:cs="宋体"/>
          <w:bCs/>
          <w:sz w:val="24"/>
          <w:szCs w:val="24"/>
          <w:highlight w:val="none"/>
          <w:lang w:eastAsia="zh-CN"/>
        </w:rPr>
        <w:t xml:space="preserve">的得</w:t>
      </w:r>
      <w:r>
        <w:rPr>
          <w:rFonts w:hint="eastAsia" w:ascii="宋体" w:hAnsi="宋体" w:cs="宋体"/>
          <w:bCs/>
          <w:sz w:val="24"/>
          <w:szCs w:val="24"/>
          <w:highlight w:val="none"/>
          <w:lang w:val="en-US" w:eastAsia="zh-CN"/>
        </w:rPr>
        <w:t xml:space="preserve">1分，最高得1分</w:t>
      </w:r>
      <w:r>
        <w:rPr>
          <w:rFonts w:hint="eastAsia" w:ascii="宋体" w:hAnsi="宋体" w:cs="宋体"/>
          <w:bCs/>
          <w:sz w:val="24"/>
          <w:szCs w:val="24"/>
          <w:highlight w:val="none"/>
        </w:rPr>
        <w:t xml:space="preserve">。</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注：以上</w:t>
      </w:r>
      <w:r>
        <w:rPr>
          <w:rFonts w:hint="eastAsia" w:ascii="宋体" w:hAnsi="宋体" w:cs="宋体"/>
          <w:bCs/>
          <w:sz w:val="24"/>
          <w:szCs w:val="24"/>
          <w:highlight w:val="none"/>
          <w:lang w:eastAsia="zh-CN"/>
        </w:rPr>
        <w:t xml:space="preserve">机械、</w:t>
      </w:r>
      <w:r>
        <w:rPr>
          <w:rFonts w:hint="eastAsia" w:ascii="宋体" w:hAnsi="宋体" w:cs="宋体"/>
          <w:bCs/>
          <w:sz w:val="24"/>
          <w:szCs w:val="24"/>
          <w:highlight w:val="none"/>
        </w:rPr>
        <w:t xml:space="preserve">设备</w:t>
      </w:r>
      <w:r>
        <w:rPr>
          <w:rFonts w:hint="eastAsia" w:ascii="宋体" w:hAnsi="宋体" w:cs="宋体"/>
          <w:bCs/>
          <w:sz w:val="24"/>
          <w:szCs w:val="24"/>
          <w:highlight w:val="none"/>
          <w:lang w:eastAsia="zh-CN"/>
        </w:rPr>
        <w:t xml:space="preserve">仪器</w:t>
      </w:r>
      <w:r>
        <w:rPr>
          <w:rFonts w:hint="eastAsia" w:ascii="宋体" w:hAnsi="宋体" w:cs="宋体"/>
          <w:bCs/>
          <w:sz w:val="24"/>
          <w:szCs w:val="24"/>
          <w:highlight w:val="none"/>
        </w:rPr>
        <w:t xml:space="preserve">如为自有的须提供发票复印件；如为租赁的须提供租赁合同复印件；如承诺成交后购买的须提供相关承诺函，否则不得分。</w:t>
      </w:r>
      <w:r/>
    </w:p>
    <w:p>
      <w:pPr>
        <w:ind w:left="0"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（四）企业综合能力（</w:t>
      </w:r>
      <w:r>
        <w:rPr>
          <w:rFonts w:hint="eastAsia" w:ascii="宋体" w:hAnsi="宋体" w:cs="宋体"/>
          <w:b/>
          <w:sz w:val="24"/>
          <w:szCs w:val="24"/>
          <w:highlight w:val="none"/>
          <w:lang w:val="en-US" w:eastAsia="zh-CN"/>
        </w:rPr>
        <w:t xml:space="preserve">9</w:t>
      </w:r>
      <w:r>
        <w:rPr>
          <w:rFonts w:hint="eastAsia" w:ascii="宋体" w:hAnsi="宋体" w:cs="宋体"/>
          <w:b/>
          <w:sz w:val="24"/>
          <w:szCs w:val="24"/>
          <w:highlight w:val="none"/>
        </w:rPr>
        <w:t xml:space="preserve">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1、业绩情况（9分）：自2021年1月1日承担过类似业绩的，每提供一项得3分，最多得9分。</w:t>
      </w:r>
      <w:r/>
    </w:p>
    <w:p>
      <w:pPr>
        <w:ind w:left="0"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注：业绩均须提供合同复印件加盖公章，否则不得分。</w:t>
      </w:r>
      <w:r/>
    </w:p>
    <w:p>
      <w:pPr>
        <w:pStyle w:val="1032"/>
        <w:ind w:left="0"/>
        <w:jc w:val="right"/>
        <w:rPr>
          <w:rStyle w:val="1033"/>
          <w:rFonts w:hint="eastAsia" w:ascii="宋体" w:hAnsi="宋体" w:eastAsia="宋体" w:cs="宋体"/>
          <w:b/>
          <w:bCs/>
          <w:sz w:val="24"/>
          <w:szCs w:val="24"/>
          <w:highlight w:val="none"/>
        </w:rPr>
      </w:pPr>
      <w:r>
        <w:rPr>
          <w:rStyle w:val="1033"/>
          <w:rFonts w:hint="eastAsia" w:ascii="宋体" w:hAnsi="宋体" w:eastAsia="宋体" w:cs="宋体"/>
          <w:b/>
          <w:bCs/>
          <w:sz w:val="24"/>
          <w:szCs w:val="24"/>
          <w:highlight w:val="none"/>
        </w:rPr>
        <w:t xml:space="preserve">（全文完）</w:t>
      </w:r>
      <w:r/>
    </w:p>
    <w:sectPr>
      <w:footerReference w:type="default" r:id="rId17"/>
      <w:footerReference w:type="first" r:id="rId18"/>
      <w:footnotePr/>
      <w:endnotePr/>
      <w:type w:val="nextPage"/>
      <w:pgSz w:w="11906" w:h="16838" w:orient="portrait"/>
      <w:pgMar w:top="1418" w:right="1021" w:bottom="1418" w:left="1021" w:header="794" w:footer="56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等线">
    <w:panose1 w:val="02010600030101010101"/>
  </w:font>
  <w:font w:name="Courier New">
    <w:panose1 w:val="02070309020205020404"/>
  </w:font>
  <w:font w:name="Cambria">
    <w:panose1 w:val="02040503050406030204"/>
  </w:font>
  <w:font w:name="方正仿宋简体">
    <w:panose1 w:val="020B0503020202020204"/>
  </w:font>
  <w:font w:name="Calibri">
    <w:panose1 w:val="020F050202020403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rPr>
        <w:rStyle w:val="1021"/>
      </w:rPr>
      <w:framePr w:wrap="around" w:vAnchor="text" w:hAnchor="margin" w:xAlign="center" w:y="1"/>
    </w:pPr>
    <w:r>
      <w:rPr>
        <w:rStyle w:val="1021"/>
      </w:rPr>
      <w:fldChar w:fldCharType="begin"/>
    </w:r>
    <w:r>
      <w:rPr>
        <w:rStyle w:val="1021"/>
      </w:rPr>
      <w:instrText xml:space="preserve"> PAGE </w:instrText>
    </w:r>
    <w:r>
      <w:rPr>
        <w:rStyle w:val="1021"/>
      </w:rPr>
      <w:fldChar w:fldCharType="end"/>
    </w:r>
    <w:r/>
  </w:p>
  <w:p>
    <w:pPr>
      <w:pStyle w:val="10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0"/>
      <w:jc w:val="center"/>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0"/>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0"/>
      <w:jc w:val="center"/>
      <w:rPr>
        <w:rFonts w:ascii="Times New Roman" w:hAnsi="Times New Roman"/>
        <w:sz w:val="18"/>
      </w:rPr>
    </w:pPr>
    <w:r>
      <w:rPr>
        <w:rFonts w:ascii="Times New Roman" w:hAnsi="Times New Roman"/>
        <w:sz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firstLine="0"/>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703"/>
      <w:tabs>
        <w:tab w:val="center" w:pos="4153" w:leader="none"/>
        <w:tab w:val="right" w:pos="8640" w:leader="none"/>
      </w:tabs>
      <w:rPr>
        <w:rFonts w:hint="eastAsia" w:ascii="宋体" w:hAnsi="宋体" w:eastAsia="宋体"/>
        <w:sz w:val="18"/>
        <w:highlight w:val="yellow"/>
        <w:lang w:eastAsia="zh-CN"/>
      </w:rPr>
      <w:pBdr>
        <w:bottom w:val="single" w:color="000000" w:sz="6" w:space="1"/>
      </w:pBdr>
    </w:pPr>
    <w:r>
      <w:rPr>
        <w:rFonts w:hint="eastAsia" w:ascii="宋体" w:hAnsi="宋体"/>
        <w:sz w:val="18"/>
      </w:rPr>
      <w:t xml:space="preserve">苏州永正造价师事务所有限公司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highlight w:val="yellow"/>
        <w:lang w:eastAsia="zh-CN"/>
      </w:rPr>
      <w:t xml:space="preserve">JSZC-320507-YZZJ-C2026-0005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Fonts w:hint="eastAsia"/>
      </w:rPr>
      <w:t xml:space="preserve"> </w:t>
    </w:r>
    <w: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703"/>
      <w:tabs>
        <w:tab w:val="center" w:pos="4153" w:leader="none"/>
        <w:tab w:val="right" w:pos="8640" w:leader="none"/>
      </w:tabs>
      <w:rPr>
        <w:rFonts w:hint="eastAsia" w:ascii="宋体" w:hAnsi="宋体" w:eastAsia="宋体"/>
        <w:sz w:val="18"/>
        <w:highlight w:val="yellow"/>
        <w:lang w:eastAsia="zh-CN"/>
      </w:rPr>
      <w:pBdr>
        <w:bottom w:val="single" w:color="000000" w:sz="6" w:space="1"/>
      </w:pBdr>
    </w:pPr>
    <w:r>
      <w:rPr>
        <w:rFonts w:hint="eastAsia" w:ascii="宋体" w:hAnsi="宋体"/>
        <w:sz w:val="18"/>
      </w:rPr>
      <w:t xml:space="preserve">苏州永正造价师事务所有限公司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JSZC-320507-YZZJ-C2026-0005</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firstLine="0"/>
      <w:jc w:val="left"/>
      <w:pBdr>
        <w:bottom w:val="single" w:color="000000" w:sz="4" w:space="0"/>
      </w:pBdr>
    </w:pPr>
    <w:r>
      <w:rPr>
        <w:rFonts w:hint="eastAsia" w:ascii="宋体" w:hAnsi="宋体"/>
        <w:sz w:val="18"/>
      </w:rPr>
      <w:t xml:space="preserve">苏州永正造价师事务所有限公司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JSZC-320507-YZZJ-C2026-0005</w:t>
    </w:r>
    <w:r>
      <w:rPr>
        <w:rFonts w:hint="eastAsia" w:ascii="宋体" w:hAnsi="宋体"/>
        <w:sz w:val="18"/>
      </w:rPr>
      <w:t xml:space="preserve"> </w:t>
    </w: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6"/>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08"/>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0">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9">
    <w:name w:val="TOC Heading"/>
    <w:uiPriority w:val="39"/>
    <w:unhideWhenUsed/>
  </w:style>
  <w:style w:type="paragraph" w:styleId="790" w:default="1">
    <w:name w:val="Normal"/>
    <w:next w:val="802"/>
    <w:uiPriority w:val="0"/>
    <w:qFormat/>
    <w:pPr>
      <w:ind w:left="1024"/>
      <w:jc w:val="both"/>
    </w:pPr>
    <w:rPr>
      <w:rFonts w:ascii="Calibri" w:hAnsi="Calibri" w:eastAsia="宋体" w:cs="Times New Roman"/>
      <w:lang w:val="en-US" w:eastAsia="zh-CN" w:bidi="ar-SA"/>
    </w:rPr>
  </w:style>
  <w:style w:type="paragraph" w:styleId="791">
    <w:name w:val="Heading 1"/>
    <w:basedOn w:val="790"/>
    <w:next w:val="790"/>
    <w:link w:val="869"/>
    <w:uiPriority w:val="9"/>
    <w:qFormat/>
    <w:pPr>
      <w:keepLines/>
      <w:keepNext/>
      <w:spacing w:before="480" w:after="200"/>
      <w:outlineLvl w:val="0"/>
    </w:pPr>
    <w:rPr>
      <w:rFonts w:ascii="Arial" w:hAnsi="Arial" w:eastAsia="Arial" w:cs="Arial"/>
      <w:sz w:val="40"/>
      <w:szCs w:val="40"/>
    </w:rPr>
  </w:style>
  <w:style w:type="paragraph" w:styleId="792">
    <w:name w:val="Heading 2"/>
    <w:basedOn w:val="790"/>
    <w:next w:val="790"/>
    <w:link w:val="870"/>
    <w:uiPriority w:val="9"/>
    <w:unhideWhenUsed/>
    <w:qFormat/>
    <w:pPr>
      <w:keepLines/>
      <w:keepNext/>
      <w:spacing w:before="360" w:after="200"/>
      <w:outlineLvl w:val="1"/>
    </w:pPr>
    <w:rPr>
      <w:rFonts w:ascii="Arial" w:hAnsi="Arial" w:eastAsia="Arial" w:cs="Arial"/>
      <w:sz w:val="34"/>
    </w:rPr>
  </w:style>
  <w:style w:type="paragraph" w:styleId="793">
    <w:name w:val="Heading 3"/>
    <w:basedOn w:val="790"/>
    <w:next w:val="790"/>
    <w:link w:val="871"/>
    <w:uiPriority w:val="9"/>
    <w:unhideWhenUsed/>
    <w:qFormat/>
    <w:pPr>
      <w:keepLines/>
      <w:keepNext/>
      <w:spacing w:before="320" w:after="200"/>
      <w:outlineLvl w:val="2"/>
    </w:pPr>
    <w:rPr>
      <w:rFonts w:ascii="Arial" w:hAnsi="Arial" w:eastAsia="Arial" w:cs="Arial"/>
      <w:sz w:val="30"/>
      <w:szCs w:val="30"/>
    </w:rPr>
  </w:style>
  <w:style w:type="paragraph" w:styleId="794">
    <w:name w:val="Heading 4"/>
    <w:basedOn w:val="790"/>
    <w:next w:val="790"/>
    <w:link w:val="872"/>
    <w:uiPriority w:val="9"/>
    <w:unhideWhenUsed/>
    <w:qFormat/>
    <w:pPr>
      <w:keepLines/>
      <w:keepNext/>
      <w:spacing w:before="320" w:after="200"/>
      <w:outlineLvl w:val="3"/>
    </w:pPr>
    <w:rPr>
      <w:rFonts w:ascii="Arial" w:hAnsi="Arial" w:eastAsia="Arial" w:cs="Arial"/>
      <w:b/>
      <w:bCs/>
      <w:sz w:val="26"/>
      <w:szCs w:val="26"/>
    </w:rPr>
  </w:style>
  <w:style w:type="paragraph" w:styleId="795">
    <w:name w:val="Heading 5"/>
    <w:basedOn w:val="790"/>
    <w:next w:val="790"/>
    <w:link w:val="873"/>
    <w:uiPriority w:val="9"/>
    <w:unhideWhenUsed/>
    <w:qFormat/>
    <w:pPr>
      <w:keepLines/>
      <w:keepNext/>
      <w:spacing w:before="320" w:after="200"/>
      <w:outlineLvl w:val="4"/>
    </w:pPr>
    <w:rPr>
      <w:rFonts w:ascii="Arial" w:hAnsi="Arial" w:eastAsia="Arial" w:cs="Arial"/>
      <w:b/>
      <w:bCs/>
      <w:sz w:val="24"/>
      <w:szCs w:val="24"/>
    </w:rPr>
  </w:style>
  <w:style w:type="paragraph" w:styleId="796">
    <w:name w:val="Heading 6"/>
    <w:basedOn w:val="790"/>
    <w:next w:val="790"/>
    <w:link w:val="874"/>
    <w:uiPriority w:val="9"/>
    <w:unhideWhenUsed/>
    <w:qFormat/>
    <w:pPr>
      <w:keepLines/>
      <w:keepNext/>
      <w:spacing w:before="320" w:after="200"/>
      <w:outlineLvl w:val="5"/>
    </w:pPr>
    <w:rPr>
      <w:rFonts w:ascii="Arial" w:hAnsi="Arial" w:eastAsia="Arial" w:cs="Arial"/>
      <w:b/>
      <w:bCs/>
      <w:sz w:val="22"/>
      <w:szCs w:val="22"/>
    </w:rPr>
  </w:style>
  <w:style w:type="paragraph" w:styleId="797">
    <w:name w:val="Heading 7"/>
    <w:basedOn w:val="790"/>
    <w:next w:val="790"/>
    <w:link w:val="875"/>
    <w:uiPriority w:val="9"/>
    <w:unhideWhenUsed/>
    <w:qFormat/>
    <w:pPr>
      <w:keepLines/>
      <w:keepNext/>
      <w:spacing w:before="320" w:after="200"/>
      <w:outlineLvl w:val="6"/>
    </w:pPr>
    <w:rPr>
      <w:rFonts w:ascii="Arial" w:hAnsi="Arial" w:eastAsia="Arial" w:cs="Arial"/>
      <w:b/>
      <w:bCs/>
      <w:i/>
      <w:iCs/>
      <w:sz w:val="22"/>
      <w:szCs w:val="22"/>
    </w:rPr>
  </w:style>
  <w:style w:type="paragraph" w:styleId="798">
    <w:name w:val="Heading 8"/>
    <w:basedOn w:val="790"/>
    <w:next w:val="790"/>
    <w:link w:val="876"/>
    <w:uiPriority w:val="9"/>
    <w:unhideWhenUsed/>
    <w:qFormat/>
    <w:pPr>
      <w:keepLines/>
      <w:keepNext/>
      <w:spacing w:before="320" w:after="200"/>
      <w:outlineLvl w:val="7"/>
    </w:pPr>
    <w:rPr>
      <w:rFonts w:ascii="Arial" w:hAnsi="Arial" w:eastAsia="Arial" w:cs="Arial"/>
      <w:i/>
      <w:iCs/>
      <w:sz w:val="22"/>
      <w:szCs w:val="22"/>
    </w:rPr>
  </w:style>
  <w:style w:type="paragraph" w:styleId="799">
    <w:name w:val="Heading 9"/>
    <w:basedOn w:val="790"/>
    <w:next w:val="790"/>
    <w:link w:val="877"/>
    <w:uiPriority w:val="9"/>
    <w:unhideWhenUsed/>
    <w:qFormat/>
    <w:pPr>
      <w:keepLines/>
      <w:keepNext/>
      <w:spacing w:before="320" w:after="200"/>
      <w:outlineLvl w:val="8"/>
    </w:pPr>
    <w:rPr>
      <w:rFonts w:ascii="Arial" w:hAnsi="Arial" w:eastAsia="Arial" w:cs="Arial"/>
      <w:i/>
      <w:iCs/>
      <w:sz w:val="21"/>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Body Text"/>
    <w:basedOn w:val="790"/>
    <w:next w:val="803"/>
    <w:uiPriority w:val="0"/>
    <w:qFormat/>
    <w:pPr>
      <w:spacing w:after="120"/>
    </w:pPr>
  </w:style>
  <w:style w:type="paragraph" w:styleId="803">
    <w:name w:val="Normal Indent"/>
    <w:basedOn w:val="790"/>
    <w:next w:val="790"/>
    <w:uiPriority w:val="0"/>
    <w:qFormat/>
    <w:pPr>
      <w:ind w:firstLine="200"/>
    </w:pPr>
    <w:rPr>
      <w:sz w:val="24"/>
    </w:rPr>
  </w:style>
  <w:style w:type="paragraph" w:styleId="804">
    <w:name w:val="toc 7"/>
    <w:basedOn w:val="790"/>
    <w:next w:val="790"/>
    <w:uiPriority w:val="39"/>
    <w:unhideWhenUsed/>
    <w:qFormat/>
    <w:pPr>
      <w:ind w:left="1701"/>
      <w:spacing w:after="57"/>
    </w:pPr>
  </w:style>
  <w:style w:type="paragraph" w:styleId="805">
    <w:name w:val="Caption"/>
    <w:basedOn w:val="790"/>
    <w:next w:val="7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6">
    <w:name w:val="Body Text Indent"/>
    <w:basedOn w:val="790"/>
    <w:next w:val="790"/>
    <w:uiPriority w:val="0"/>
    <w:qFormat/>
    <w:pPr>
      <w:ind w:left="570"/>
      <w:spacing w:line="520" w:lineRule="exact"/>
    </w:pPr>
    <w:rPr>
      <w:rFonts w:ascii="方正仿宋简体" w:hAnsi="创艺简仿宋" w:eastAsia="方正仿宋简体"/>
      <w:sz w:val="24"/>
    </w:rPr>
  </w:style>
  <w:style w:type="paragraph" w:styleId="807">
    <w:name w:val="toc 5"/>
    <w:basedOn w:val="790"/>
    <w:next w:val="790"/>
    <w:uiPriority w:val="39"/>
    <w:unhideWhenUsed/>
    <w:qFormat/>
    <w:pPr>
      <w:ind w:left="1134"/>
      <w:spacing w:after="57"/>
    </w:pPr>
  </w:style>
  <w:style w:type="paragraph" w:styleId="808">
    <w:name w:val="toc 3"/>
    <w:basedOn w:val="790"/>
    <w:next w:val="790"/>
    <w:uiPriority w:val="39"/>
    <w:unhideWhenUsed/>
    <w:qFormat/>
    <w:pPr>
      <w:ind w:left="567"/>
      <w:spacing w:after="57"/>
    </w:pPr>
  </w:style>
  <w:style w:type="paragraph" w:styleId="809">
    <w:name w:val="toc 8"/>
    <w:basedOn w:val="790"/>
    <w:next w:val="790"/>
    <w:uiPriority w:val="39"/>
    <w:unhideWhenUsed/>
    <w:qFormat/>
    <w:pPr>
      <w:ind w:left="1984"/>
      <w:spacing w:after="57"/>
    </w:pPr>
  </w:style>
  <w:style w:type="paragraph" w:styleId="810">
    <w:name w:val="endnote text"/>
    <w:basedOn w:val="790"/>
    <w:link w:val="996"/>
    <w:uiPriority w:val="99"/>
    <w:semiHidden/>
    <w:unhideWhenUsed/>
    <w:qFormat/>
  </w:style>
  <w:style w:type="paragraph" w:styleId="811">
    <w:name w:val="Balloon Text"/>
    <w:basedOn w:val="790"/>
    <w:link w:val="1051"/>
    <w:uiPriority w:val="99"/>
    <w:semiHidden/>
    <w:unhideWhenUsed/>
    <w:qFormat/>
    <w:rPr>
      <w:sz w:val="18"/>
      <w:szCs w:val="18"/>
    </w:rPr>
  </w:style>
  <w:style w:type="paragraph" w:styleId="812">
    <w:name w:val="Footer"/>
    <w:basedOn w:val="790"/>
    <w:link w:val="888"/>
    <w:uiPriority w:val="99"/>
    <w:unhideWhenUsed/>
    <w:qFormat/>
    <w:pPr>
      <w:tabs>
        <w:tab w:val="center" w:pos="7143" w:leader="none"/>
        <w:tab w:val="right" w:pos="14287" w:leader="none"/>
      </w:tabs>
    </w:pPr>
  </w:style>
  <w:style w:type="paragraph" w:styleId="813">
    <w:name w:val="envelope return"/>
    <w:basedOn w:val="790"/>
    <w:uiPriority w:val="0"/>
    <w:qFormat/>
    <w:pPr>
      <w:spacing w:line="360" w:lineRule="atLeast"/>
    </w:pPr>
    <w:rPr>
      <w:rFonts w:ascii="Arial" w:hAnsi="Arial" w:cs="Arial"/>
      <w:szCs w:val="24"/>
    </w:rPr>
  </w:style>
  <w:style w:type="paragraph" w:styleId="814">
    <w:name w:val="Header"/>
    <w:basedOn w:val="790"/>
    <w:link w:val="886"/>
    <w:uiPriority w:val="99"/>
    <w:unhideWhenUsed/>
    <w:qFormat/>
    <w:pPr>
      <w:tabs>
        <w:tab w:val="center" w:pos="7143" w:leader="none"/>
        <w:tab w:val="right" w:pos="14287" w:leader="none"/>
      </w:tabs>
    </w:pPr>
  </w:style>
  <w:style w:type="paragraph" w:styleId="815">
    <w:name w:val="toc 1"/>
    <w:basedOn w:val="790"/>
    <w:next w:val="790"/>
    <w:uiPriority w:val="39"/>
    <w:unhideWhenUsed/>
    <w:qFormat/>
    <w:pPr>
      <w:ind w:left="0"/>
      <w:spacing w:after="57"/>
    </w:pPr>
  </w:style>
  <w:style w:type="paragraph" w:styleId="816">
    <w:name w:val="toc 4"/>
    <w:basedOn w:val="790"/>
    <w:next w:val="790"/>
    <w:uiPriority w:val="39"/>
    <w:unhideWhenUsed/>
    <w:qFormat/>
    <w:pPr>
      <w:ind w:left="850"/>
      <w:spacing w:after="57"/>
    </w:pPr>
  </w:style>
  <w:style w:type="paragraph" w:styleId="817">
    <w:name w:val="Subtitle"/>
    <w:basedOn w:val="790"/>
    <w:next w:val="790"/>
    <w:link w:val="881"/>
    <w:uiPriority w:val="11"/>
    <w:qFormat/>
    <w:pPr>
      <w:spacing w:before="200" w:after="200"/>
    </w:pPr>
    <w:rPr>
      <w:sz w:val="24"/>
      <w:szCs w:val="24"/>
    </w:rPr>
  </w:style>
  <w:style w:type="paragraph" w:styleId="818">
    <w:name w:val="footnote text"/>
    <w:basedOn w:val="790"/>
    <w:link w:val="995"/>
    <w:uiPriority w:val="99"/>
    <w:semiHidden/>
    <w:unhideWhenUsed/>
    <w:qFormat/>
    <w:pPr>
      <w:spacing w:after="40"/>
    </w:pPr>
    <w:rPr>
      <w:sz w:val="18"/>
    </w:rPr>
  </w:style>
  <w:style w:type="paragraph" w:styleId="819">
    <w:name w:val="toc 6"/>
    <w:basedOn w:val="790"/>
    <w:next w:val="790"/>
    <w:uiPriority w:val="39"/>
    <w:unhideWhenUsed/>
    <w:qFormat/>
    <w:pPr>
      <w:ind w:left="1417"/>
      <w:spacing w:after="57"/>
    </w:pPr>
  </w:style>
  <w:style w:type="paragraph" w:styleId="820">
    <w:name w:val="table of figures"/>
    <w:basedOn w:val="790"/>
    <w:next w:val="790"/>
    <w:uiPriority w:val="99"/>
    <w:unhideWhenUsed/>
    <w:qFormat/>
  </w:style>
  <w:style w:type="paragraph" w:styleId="821">
    <w:name w:val="toc 2"/>
    <w:basedOn w:val="790"/>
    <w:next w:val="790"/>
    <w:uiPriority w:val="39"/>
    <w:unhideWhenUsed/>
    <w:qFormat/>
    <w:pPr>
      <w:ind w:left="283"/>
      <w:spacing w:after="57"/>
    </w:pPr>
  </w:style>
  <w:style w:type="paragraph" w:styleId="822">
    <w:name w:val="toc 9"/>
    <w:basedOn w:val="790"/>
    <w:next w:val="790"/>
    <w:uiPriority w:val="39"/>
    <w:unhideWhenUsed/>
    <w:qFormat/>
    <w:pPr>
      <w:ind w:left="2268"/>
      <w:spacing w:after="57"/>
    </w:pPr>
  </w:style>
  <w:style w:type="paragraph" w:styleId="823">
    <w:name w:val="Normal (Web)"/>
    <w:basedOn w:val="790"/>
    <w:uiPriority w:val="99"/>
    <w:semiHidden/>
    <w:unhideWhenUsed/>
    <w:qFormat/>
    <w:rPr>
      <w:sz w:val="24"/>
    </w:rPr>
  </w:style>
  <w:style w:type="paragraph" w:styleId="824">
    <w:name w:val="Title"/>
    <w:basedOn w:val="790"/>
    <w:next w:val="790"/>
    <w:link w:val="880"/>
    <w:uiPriority w:val="10"/>
    <w:qFormat/>
    <w:pPr>
      <w:contextualSpacing/>
      <w:spacing w:before="300" w:after="200"/>
    </w:pPr>
    <w:rPr>
      <w:sz w:val="48"/>
      <w:szCs w:val="48"/>
    </w:rPr>
  </w:style>
  <w:style w:type="table" w:styleId="8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Strong"/>
    <w:basedOn w:val="800"/>
    <w:uiPriority w:val="22"/>
    <w:qFormat/>
    <w:rPr>
      <w:b/>
      <w:bCs/>
    </w:rPr>
  </w:style>
  <w:style w:type="character" w:styleId="827">
    <w:name w:val="endnote reference"/>
    <w:uiPriority w:val="99"/>
    <w:semiHidden/>
    <w:unhideWhenUsed/>
    <w:qFormat/>
    <w:rPr>
      <w:vertAlign w:val="superscript"/>
    </w:rPr>
  </w:style>
  <w:style w:type="character" w:styleId="828">
    <w:name w:val="Hyperlink"/>
    <w:uiPriority w:val="99"/>
    <w:unhideWhenUsed/>
    <w:qFormat/>
    <w:rPr>
      <w:color w:val="0000ff" w:themeColor="hyperlink"/>
      <w:u w:val="single"/>
      <w14:textFill>
        <w14:solidFill>
          <w14:schemeClr w14:val="hlink"/>
        </w14:solidFill>
      </w14:textFill>
    </w:rPr>
  </w:style>
  <w:style w:type="character" w:styleId="829">
    <w:name w:val="footnote reference"/>
    <w:uiPriority w:val="99"/>
    <w:unhideWhenUsed/>
    <w:qFormat/>
    <w:rPr>
      <w:vertAlign w:val="superscript"/>
    </w:rPr>
  </w:style>
  <w:style w:type="paragraph" w:styleId="830" w:customStyle="1">
    <w:name w:val="正文文本1"/>
    <w:basedOn w:val="790"/>
    <w:next w:val="831"/>
    <w:uiPriority w:val="0"/>
    <w:qFormat/>
    <w:pPr>
      <w:ind w:left="0" w:firstLine="2560"/>
    </w:pPr>
  </w:style>
  <w:style w:type="paragraph" w:styleId="831" w:customStyle="1">
    <w:name w:val="正文缩进1"/>
    <w:basedOn w:val="790"/>
    <w:next w:val="790"/>
    <w:uiPriority w:val="0"/>
    <w:qFormat/>
    <w:pPr>
      <w:ind w:left="420" w:firstLine="4772"/>
    </w:pPr>
  </w:style>
  <w:style w:type="character" w:styleId="832" w:customStyle="1">
    <w:name w:val="Heading 1 Char"/>
    <w:basedOn w:val="800"/>
    <w:uiPriority w:val="9"/>
    <w:qFormat/>
    <w:rPr>
      <w:rFonts w:ascii="Arial" w:hAnsi="Arial" w:eastAsia="Arial" w:cs="Arial"/>
      <w:sz w:val="40"/>
      <w:szCs w:val="40"/>
    </w:rPr>
  </w:style>
  <w:style w:type="character" w:styleId="833" w:customStyle="1">
    <w:name w:val="Heading 2 Char"/>
    <w:basedOn w:val="800"/>
    <w:uiPriority w:val="9"/>
    <w:qFormat/>
    <w:rPr>
      <w:rFonts w:ascii="Arial" w:hAnsi="Arial" w:eastAsia="Arial" w:cs="Arial"/>
      <w:sz w:val="34"/>
    </w:rPr>
  </w:style>
  <w:style w:type="character" w:styleId="834" w:customStyle="1">
    <w:name w:val="Heading 3 Char"/>
    <w:basedOn w:val="800"/>
    <w:uiPriority w:val="9"/>
    <w:qFormat/>
    <w:rPr>
      <w:rFonts w:ascii="Arial" w:hAnsi="Arial" w:eastAsia="Arial" w:cs="Arial"/>
      <w:sz w:val="30"/>
      <w:szCs w:val="30"/>
    </w:rPr>
  </w:style>
  <w:style w:type="character" w:styleId="835" w:customStyle="1">
    <w:name w:val="Heading 4 Char"/>
    <w:basedOn w:val="800"/>
    <w:uiPriority w:val="9"/>
    <w:qFormat/>
    <w:rPr>
      <w:rFonts w:ascii="Arial" w:hAnsi="Arial" w:eastAsia="Arial" w:cs="Arial"/>
      <w:b/>
      <w:bCs/>
      <w:sz w:val="26"/>
      <w:szCs w:val="26"/>
    </w:rPr>
  </w:style>
  <w:style w:type="character" w:styleId="836" w:customStyle="1">
    <w:name w:val="Heading 5 Char"/>
    <w:basedOn w:val="800"/>
    <w:uiPriority w:val="9"/>
    <w:qFormat/>
    <w:rPr>
      <w:rFonts w:ascii="Arial" w:hAnsi="Arial" w:eastAsia="Arial" w:cs="Arial"/>
      <w:b/>
      <w:bCs/>
      <w:sz w:val="24"/>
      <w:szCs w:val="24"/>
    </w:rPr>
  </w:style>
  <w:style w:type="character" w:styleId="837" w:customStyle="1">
    <w:name w:val="Heading 6 Char"/>
    <w:basedOn w:val="800"/>
    <w:uiPriority w:val="9"/>
    <w:qFormat/>
    <w:rPr>
      <w:rFonts w:ascii="Arial" w:hAnsi="Arial" w:eastAsia="Arial" w:cs="Arial"/>
      <w:b/>
      <w:bCs/>
      <w:sz w:val="22"/>
      <w:szCs w:val="22"/>
    </w:rPr>
  </w:style>
  <w:style w:type="character" w:styleId="838" w:customStyle="1">
    <w:name w:val="Heading 7 Char"/>
    <w:basedOn w:val="800"/>
    <w:uiPriority w:val="9"/>
    <w:qFormat/>
    <w:rPr>
      <w:rFonts w:ascii="Arial" w:hAnsi="Arial" w:eastAsia="Arial" w:cs="Arial"/>
      <w:b/>
      <w:bCs/>
      <w:i/>
      <w:iCs/>
      <w:sz w:val="22"/>
      <w:szCs w:val="22"/>
    </w:rPr>
  </w:style>
  <w:style w:type="character" w:styleId="839" w:customStyle="1">
    <w:name w:val="Heading 8 Char"/>
    <w:basedOn w:val="800"/>
    <w:uiPriority w:val="9"/>
    <w:qFormat/>
    <w:rPr>
      <w:rFonts w:ascii="Arial" w:hAnsi="Arial" w:eastAsia="Arial" w:cs="Arial"/>
      <w:i/>
      <w:iCs/>
      <w:sz w:val="22"/>
      <w:szCs w:val="22"/>
    </w:rPr>
  </w:style>
  <w:style w:type="character" w:styleId="840" w:customStyle="1">
    <w:name w:val="Heading 9 Char"/>
    <w:basedOn w:val="800"/>
    <w:uiPriority w:val="9"/>
    <w:qFormat/>
    <w:rPr>
      <w:rFonts w:ascii="Arial" w:hAnsi="Arial" w:eastAsia="Arial" w:cs="Arial"/>
      <w:i/>
      <w:iCs/>
      <w:sz w:val="21"/>
      <w:szCs w:val="21"/>
    </w:rPr>
  </w:style>
  <w:style w:type="character" w:styleId="841" w:customStyle="1">
    <w:name w:val="Title Char"/>
    <w:basedOn w:val="800"/>
    <w:uiPriority w:val="10"/>
    <w:qFormat/>
    <w:rPr>
      <w:sz w:val="48"/>
      <w:szCs w:val="48"/>
    </w:rPr>
  </w:style>
  <w:style w:type="character" w:styleId="842" w:customStyle="1">
    <w:name w:val="Subtitle Char"/>
    <w:basedOn w:val="800"/>
    <w:uiPriority w:val="11"/>
    <w:qFormat/>
    <w:rPr>
      <w:sz w:val="24"/>
      <w:szCs w:val="24"/>
    </w:rPr>
  </w:style>
  <w:style w:type="character" w:styleId="843" w:customStyle="1">
    <w:name w:val="Quote Char"/>
    <w:uiPriority w:val="29"/>
    <w:qFormat/>
    <w:rPr>
      <w:i/>
    </w:rPr>
  </w:style>
  <w:style w:type="character" w:styleId="844" w:customStyle="1">
    <w:name w:val="Intense Quote Char"/>
    <w:uiPriority w:val="30"/>
    <w:qFormat/>
    <w:rPr>
      <w:i/>
    </w:rPr>
  </w:style>
  <w:style w:type="character" w:styleId="845" w:customStyle="1">
    <w:name w:val="Header Char"/>
    <w:basedOn w:val="800"/>
    <w:uiPriority w:val="99"/>
    <w:qFormat/>
  </w:style>
  <w:style w:type="character" w:styleId="846" w:customStyle="1">
    <w:name w:val="Caption Char"/>
    <w:uiPriority w:val="99"/>
    <w:qFormat/>
  </w:style>
  <w:style w:type="table" w:styleId="847" w:customStyle="1">
    <w:name w:val="无格式表格 11"/>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21"/>
    <w:basedOn w:val="8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31"/>
    <w:basedOn w:val="8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无格式表格 41"/>
    <w:basedOn w:val="8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无格式表格 51"/>
    <w:basedOn w:val="80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网格表 1 浅色1"/>
    <w:basedOn w:val="8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网格表 2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网格表 3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网格表 41"/>
    <w:basedOn w:val="8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网格表 5 深色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网格表 6 彩色1"/>
    <w:basedOn w:val="8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网格表 7 彩色1"/>
    <w:basedOn w:val="8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清单表 1 浅色1"/>
    <w:basedOn w:val="80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清单表 21"/>
    <w:basedOn w:val="8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清单表 3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清单表 4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清单表 5 深色1"/>
    <w:basedOn w:val="8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清单表 6 彩色1"/>
    <w:basedOn w:val="80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清单表 7 彩色1"/>
    <w:basedOn w:val="80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6" w:customStyle="1">
    <w:name w:val="Footnote Text Char"/>
    <w:uiPriority w:val="99"/>
    <w:qFormat/>
    <w:rPr>
      <w:sz w:val="18"/>
    </w:rPr>
  </w:style>
  <w:style w:type="character" w:styleId="867" w:customStyle="1">
    <w:name w:val="Endnote Text Char"/>
    <w:uiPriority w:val="99"/>
    <w:qFormat/>
    <w:rPr>
      <w:sz w:val="20"/>
    </w:rPr>
  </w:style>
  <w:style w:type="paragraph" w:styleId="868" w:customStyle="1">
    <w:name w:val="TOC 标题1"/>
    <w:uiPriority w:val="39"/>
    <w:unhideWhenUsed/>
    <w:qFormat/>
    <w:rPr>
      <w:rFonts w:ascii="Times New Roman" w:hAnsi="Times New Roman" w:eastAsia="宋体" w:cs="Times New Roman"/>
      <w:lang w:val="en-US" w:eastAsia="zh-CN" w:bidi="ar-SA"/>
    </w:rPr>
  </w:style>
  <w:style w:type="character" w:styleId="869" w:customStyle="1">
    <w:name w:val="标题 1 字符"/>
    <w:link w:val="791"/>
    <w:uiPriority w:val="9"/>
    <w:qFormat/>
    <w:rPr>
      <w:rFonts w:ascii="Arial" w:hAnsi="Arial" w:eastAsia="Arial" w:cs="Arial"/>
      <w:sz w:val="40"/>
      <w:szCs w:val="40"/>
    </w:rPr>
  </w:style>
  <w:style w:type="character" w:styleId="870" w:customStyle="1">
    <w:name w:val="标题 2 字符"/>
    <w:link w:val="792"/>
    <w:uiPriority w:val="9"/>
    <w:qFormat/>
    <w:rPr>
      <w:rFonts w:ascii="Arial" w:hAnsi="Arial" w:eastAsia="Arial" w:cs="Arial"/>
      <w:sz w:val="34"/>
    </w:rPr>
  </w:style>
  <w:style w:type="character" w:styleId="871" w:customStyle="1">
    <w:name w:val="标题 3 字符"/>
    <w:link w:val="793"/>
    <w:uiPriority w:val="9"/>
    <w:qFormat/>
    <w:rPr>
      <w:rFonts w:ascii="Arial" w:hAnsi="Arial" w:eastAsia="Arial" w:cs="Arial"/>
      <w:sz w:val="30"/>
      <w:szCs w:val="30"/>
    </w:rPr>
  </w:style>
  <w:style w:type="character" w:styleId="872" w:customStyle="1">
    <w:name w:val="标题 4 字符"/>
    <w:link w:val="794"/>
    <w:uiPriority w:val="9"/>
    <w:qFormat/>
    <w:rPr>
      <w:rFonts w:ascii="Arial" w:hAnsi="Arial" w:eastAsia="Arial" w:cs="Arial"/>
      <w:b/>
      <w:bCs/>
      <w:sz w:val="26"/>
      <w:szCs w:val="26"/>
    </w:rPr>
  </w:style>
  <w:style w:type="character" w:styleId="873" w:customStyle="1">
    <w:name w:val="标题 5 字符"/>
    <w:link w:val="795"/>
    <w:uiPriority w:val="9"/>
    <w:qFormat/>
    <w:rPr>
      <w:rFonts w:ascii="Arial" w:hAnsi="Arial" w:eastAsia="Arial" w:cs="Arial"/>
      <w:b/>
      <w:bCs/>
      <w:sz w:val="24"/>
      <w:szCs w:val="24"/>
    </w:rPr>
  </w:style>
  <w:style w:type="character" w:styleId="874" w:customStyle="1">
    <w:name w:val="标题 6 字符"/>
    <w:link w:val="796"/>
    <w:uiPriority w:val="9"/>
    <w:qFormat/>
    <w:rPr>
      <w:rFonts w:ascii="Arial" w:hAnsi="Arial" w:eastAsia="Arial" w:cs="Arial"/>
      <w:b/>
      <w:bCs/>
      <w:sz w:val="22"/>
      <w:szCs w:val="22"/>
    </w:rPr>
  </w:style>
  <w:style w:type="character" w:styleId="875" w:customStyle="1">
    <w:name w:val="标题 7 字符"/>
    <w:link w:val="797"/>
    <w:uiPriority w:val="9"/>
    <w:qFormat/>
    <w:rPr>
      <w:rFonts w:ascii="Arial" w:hAnsi="Arial" w:eastAsia="Arial" w:cs="Arial"/>
      <w:b/>
      <w:bCs/>
      <w:i/>
      <w:iCs/>
      <w:sz w:val="22"/>
      <w:szCs w:val="22"/>
    </w:rPr>
  </w:style>
  <w:style w:type="character" w:styleId="876" w:customStyle="1">
    <w:name w:val="标题 8 字符"/>
    <w:link w:val="798"/>
    <w:uiPriority w:val="9"/>
    <w:qFormat/>
    <w:rPr>
      <w:rFonts w:ascii="Arial" w:hAnsi="Arial" w:eastAsia="Arial" w:cs="Arial"/>
      <w:i/>
      <w:iCs/>
      <w:sz w:val="22"/>
      <w:szCs w:val="22"/>
    </w:rPr>
  </w:style>
  <w:style w:type="character" w:styleId="877" w:customStyle="1">
    <w:name w:val="标题 9 字符"/>
    <w:link w:val="799"/>
    <w:uiPriority w:val="9"/>
    <w:qFormat/>
    <w:rPr>
      <w:rFonts w:ascii="Arial" w:hAnsi="Arial" w:eastAsia="Arial" w:cs="Arial"/>
      <w:i/>
      <w:iCs/>
      <w:sz w:val="21"/>
      <w:szCs w:val="21"/>
    </w:rPr>
  </w:style>
  <w:style w:type="paragraph" w:styleId="878">
    <w:name w:val="List Paragraph"/>
    <w:basedOn w:val="790"/>
    <w:uiPriority w:val="34"/>
    <w:qFormat/>
    <w:pPr>
      <w:contextualSpacing/>
      <w:ind w:left="720"/>
    </w:pPr>
  </w:style>
  <w:style w:type="paragraph" w:styleId="879">
    <w:name w:val="No Spacing"/>
    <w:uiPriority w:val="1"/>
    <w:qFormat/>
    <w:rPr>
      <w:rFonts w:ascii="Times New Roman" w:hAnsi="Times New Roman" w:eastAsia="宋体" w:cs="Times New Roman"/>
      <w:lang w:val="en-US" w:eastAsia="zh-CN" w:bidi="ar-SA"/>
    </w:rPr>
  </w:style>
  <w:style w:type="character" w:styleId="880" w:customStyle="1">
    <w:name w:val="标题 字符"/>
    <w:link w:val="824"/>
    <w:uiPriority w:val="10"/>
    <w:qFormat/>
    <w:rPr>
      <w:sz w:val="48"/>
      <w:szCs w:val="48"/>
    </w:rPr>
  </w:style>
  <w:style w:type="character" w:styleId="881" w:customStyle="1">
    <w:name w:val="副标题 字符"/>
    <w:link w:val="817"/>
    <w:uiPriority w:val="11"/>
    <w:qFormat/>
    <w:rPr>
      <w:sz w:val="24"/>
      <w:szCs w:val="24"/>
    </w:rPr>
  </w:style>
  <w:style w:type="paragraph" w:styleId="882">
    <w:name w:val="Quote"/>
    <w:basedOn w:val="790"/>
    <w:next w:val="790"/>
    <w:link w:val="883"/>
    <w:uiPriority w:val="29"/>
    <w:qFormat/>
    <w:pPr>
      <w:ind w:left="720" w:right="720"/>
    </w:pPr>
    <w:rPr>
      <w:i/>
    </w:rPr>
  </w:style>
  <w:style w:type="character" w:styleId="883" w:customStyle="1">
    <w:name w:val="引用 字符"/>
    <w:link w:val="882"/>
    <w:uiPriority w:val="29"/>
    <w:qFormat/>
    <w:rPr>
      <w:i/>
    </w:rPr>
  </w:style>
  <w:style w:type="paragraph" w:styleId="884">
    <w:name w:val="Intense Quote"/>
    <w:basedOn w:val="790"/>
    <w:next w:val="790"/>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明显引用 字符"/>
    <w:link w:val="884"/>
    <w:uiPriority w:val="30"/>
    <w:qFormat/>
    <w:rPr>
      <w:i/>
    </w:rPr>
  </w:style>
  <w:style w:type="character" w:styleId="886" w:customStyle="1">
    <w:name w:val="页眉 字符"/>
    <w:link w:val="814"/>
    <w:uiPriority w:val="99"/>
    <w:qFormat/>
  </w:style>
  <w:style w:type="character" w:styleId="887" w:customStyle="1">
    <w:name w:val="Footer Char"/>
    <w:uiPriority w:val="99"/>
    <w:qFormat/>
  </w:style>
  <w:style w:type="character" w:styleId="888" w:customStyle="1">
    <w:name w:val="页脚 字符"/>
    <w:link w:val="812"/>
    <w:uiPriority w:val="99"/>
    <w:qFormat/>
  </w:style>
  <w:style w:type="table" w:styleId="88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5" w:customStyle="1">
    <w:name w:val="脚注文本 字符"/>
    <w:link w:val="818"/>
    <w:uiPriority w:val="99"/>
    <w:qFormat/>
    <w:rPr>
      <w:sz w:val="18"/>
    </w:rPr>
  </w:style>
  <w:style w:type="character" w:styleId="996" w:customStyle="1">
    <w:name w:val="尾注文本 字符"/>
    <w:link w:val="810"/>
    <w:uiPriority w:val="99"/>
    <w:qFormat/>
    <w:rPr>
      <w:sz w:val="20"/>
    </w:rPr>
  </w:style>
  <w:style w:type="paragraph" w:styleId="997" w:customStyle="1">
    <w:name w:val="TOC 标题11"/>
    <w:uiPriority w:val="39"/>
    <w:unhideWhenUsed/>
    <w:qFormat/>
    <w:rPr>
      <w:rFonts w:ascii="Times New Roman" w:hAnsi="Times New Roman" w:eastAsia="宋体" w:cs="Times New Roman"/>
      <w:lang w:val="en-US" w:eastAsia="zh-CN" w:bidi="ar-SA"/>
    </w:rPr>
  </w:style>
  <w:style w:type="paragraph" w:styleId="998" w:customStyle="1">
    <w:name w:val="标题 11"/>
    <w:basedOn w:val="790"/>
    <w:next w:val="790"/>
    <w:uiPriority w:val="0"/>
    <w:qFormat/>
    <w:pPr>
      <w:ind w:left="432" w:firstLine="18"/>
      <w:spacing w:before="340" w:after="330" w:line="578" w:lineRule="auto"/>
      <w:outlineLvl w:val="0"/>
    </w:pPr>
  </w:style>
  <w:style w:type="paragraph" w:styleId="999" w:customStyle="1">
    <w:name w:val="标题 21"/>
    <w:basedOn w:val="790"/>
    <w:next w:val="790"/>
    <w:uiPriority w:val="0"/>
    <w:qFormat/>
    <w:pPr>
      <w:keepNext/>
      <w:spacing w:before="240" w:after="60"/>
      <w:outlineLvl w:val="1"/>
    </w:pPr>
    <w:rPr>
      <w:rFonts w:ascii="Arial" w:hAnsi="Arial"/>
      <w:b/>
      <w:bCs/>
      <w:i/>
      <w:iCs/>
      <w:sz w:val="28"/>
      <w:szCs w:val="28"/>
    </w:rPr>
  </w:style>
  <w:style w:type="paragraph" w:styleId="1000" w:customStyle="1">
    <w:name w:val="标题 31"/>
    <w:basedOn w:val="998"/>
    <w:next w:val="790"/>
    <w:uiPriority w:val="0"/>
    <w:qFormat/>
    <w:pPr>
      <w:jc w:val="left"/>
      <w:spacing w:before="100" w:beforeAutospacing="1" w:after="100" w:afterAutospacing="1"/>
      <w:outlineLvl w:val="2"/>
    </w:pPr>
    <w:rPr>
      <w:rFonts w:hint="eastAsia" w:ascii="宋体" w:hAnsi="宋体"/>
      <w:b/>
      <w:bCs/>
      <w:sz w:val="27"/>
      <w:szCs w:val="27"/>
    </w:rPr>
  </w:style>
  <w:style w:type="paragraph" w:styleId="1001" w:customStyle="1">
    <w:name w:val="标题 41"/>
    <w:basedOn w:val="790"/>
    <w:next w:val="790"/>
    <w:uiPriority w:val="0"/>
    <w:qFormat/>
    <w:pPr>
      <w:keepLines/>
      <w:keepNext/>
      <w:spacing w:before="280" w:after="290" w:line="372" w:lineRule="auto"/>
      <w:outlineLvl w:val="3"/>
    </w:pPr>
    <w:rPr>
      <w:rFonts w:ascii="Cambria" w:hAnsi="Cambria"/>
      <w:b/>
      <w:bCs/>
      <w:szCs w:val="28"/>
    </w:rPr>
  </w:style>
  <w:style w:type="character" w:styleId="1002" w:customStyle="1">
    <w:name w:val="默认段落字体1"/>
    <w:uiPriority w:val="0"/>
    <w:semiHidden/>
    <w:qFormat/>
  </w:style>
  <w:style w:type="table" w:styleId="1003" w:customStyle="1">
    <w:name w:val="普通表格1"/>
    <w:uiPriority w:val="0"/>
    <w:semiHidden/>
    <w:qFormat/>
    <w:tblPr>
      <w:tblCellMar>
        <w:left w:w="0" w:type="dxa"/>
        <w:top w:w="0" w:type="dxa"/>
        <w:right w:w="0" w:type="dxa"/>
        <w:bottom w:w="0" w:type="dxa"/>
      </w:tblCellMar>
    </w:tblPr>
  </w:style>
  <w:style w:type="paragraph" w:styleId="1004" w:customStyle="1">
    <w:name w:val="批注文字1"/>
    <w:basedOn w:val="790"/>
    <w:next w:val="790"/>
    <w:uiPriority w:val="0"/>
    <w:qFormat/>
    <w:pPr>
      <w:ind w:left="0" w:firstLine="3584"/>
      <w:spacing w:line="360" w:lineRule="auto"/>
    </w:pPr>
  </w:style>
  <w:style w:type="paragraph" w:styleId="1005" w:customStyle="1">
    <w:name w:val="正文文本缩进1"/>
    <w:basedOn w:val="790"/>
    <w:uiPriority w:val="0"/>
    <w:qFormat/>
    <w:pPr>
      <w:ind w:left="420" w:firstLine="1188"/>
      <w:spacing w:line="360" w:lineRule="exact"/>
    </w:pPr>
  </w:style>
  <w:style w:type="paragraph" w:styleId="1006" w:customStyle="1">
    <w:name w:val="列表编号 31"/>
    <w:basedOn w:val="998"/>
    <w:next w:val="790"/>
    <w:uiPriority w:val="0"/>
    <w:qFormat/>
    <w:pPr>
      <w:numPr>
        <w:ilvl w:val="0"/>
        <w:numId w:val="1"/>
      </w:numPr>
    </w:pPr>
  </w:style>
  <w:style w:type="paragraph" w:styleId="1007" w:customStyle="1">
    <w:name w:val="纯文本11"/>
    <w:basedOn w:val="790"/>
    <w:uiPriority w:val="0"/>
    <w:qFormat/>
    <w:rPr>
      <w:rFonts w:hAnsi="Courier New"/>
      <w:sz w:val="21"/>
    </w:rPr>
  </w:style>
  <w:style w:type="paragraph" w:styleId="1008" w:customStyle="1">
    <w:name w:val="列表项目符号 51"/>
    <w:basedOn w:val="998"/>
    <w:next w:val="1009"/>
    <w:uiPriority w:val="0"/>
    <w:qFormat/>
    <w:pPr>
      <w:numPr>
        <w:ilvl w:val="0"/>
        <w:numId w:val="2"/>
      </w:numPr>
    </w:pPr>
  </w:style>
  <w:style w:type="paragraph" w:styleId="1009" w:customStyle="1">
    <w:name w:val="正文首行缩进1"/>
    <w:next w:val="1006"/>
    <w:uiPriority w:val="0"/>
    <w:qFormat/>
    <w:pPr>
      <w:ind w:left="420" w:firstLine="2724"/>
      <w:spacing w:after="120" w:line="360" w:lineRule="auto"/>
    </w:pPr>
    <w:rPr>
      <w:rFonts w:ascii="Calibri" w:hAnsi="Calibri" w:eastAsia="宋体" w:cs="Times New Roman"/>
      <w:lang w:val="en-US" w:eastAsia="zh-CN" w:bidi="ar-SA"/>
    </w:rPr>
  </w:style>
  <w:style w:type="paragraph" w:styleId="1010" w:customStyle="1">
    <w:name w:val="日期1"/>
    <w:basedOn w:val="998"/>
    <w:next w:val="790"/>
    <w:uiPriority w:val="0"/>
    <w:qFormat/>
    <w:pPr>
      <w:ind w:left="0" w:firstLine="2560"/>
      <w:spacing w:before="0" w:after="0" w:line="240" w:lineRule="auto"/>
    </w:pPr>
  </w:style>
  <w:style w:type="paragraph" w:styleId="1011" w:customStyle="1">
    <w:name w:val="批注框文本1"/>
    <w:basedOn w:val="790"/>
    <w:uiPriority w:val="0"/>
    <w:unhideWhenUsed/>
    <w:qFormat/>
    <w:rPr>
      <w:sz w:val="18"/>
      <w:szCs w:val="18"/>
    </w:rPr>
  </w:style>
  <w:style w:type="paragraph" w:styleId="1012" w:customStyle="1">
    <w:name w:val="页脚1"/>
    <w:basedOn w:val="998"/>
    <w:next w:val="1013"/>
    <w:uiPriority w:val="99"/>
    <w:qFormat/>
    <w:pPr>
      <w:ind w:left="0" w:firstLine="3584"/>
      <w:spacing w:before="0" w:after="0" w:line="240" w:lineRule="auto"/>
    </w:pPr>
  </w:style>
  <w:style w:type="paragraph" w:styleId="1013" w:customStyle="1">
    <w:name w:val="Char Char Char Char Char Char Char Char Char Char Char Char Char"/>
    <w:basedOn w:val="998"/>
    <w:next w:val="790"/>
    <w:uiPriority w:val="0"/>
    <w:qFormat/>
    <w:pPr>
      <w:ind w:left="0" w:firstLine="3584"/>
      <w:spacing w:before="0" w:after="160" w:line="240" w:lineRule="exact"/>
    </w:pPr>
  </w:style>
  <w:style w:type="paragraph" w:styleId="1014" w:customStyle="1">
    <w:name w:val="寄信人地址1"/>
    <w:basedOn w:val="790"/>
    <w:uiPriority w:val="99"/>
    <w:unhideWhenUsed/>
    <w:qFormat/>
    <w:rPr>
      <w:rFonts w:ascii="Arial" w:hAnsi="Arial"/>
    </w:rPr>
  </w:style>
  <w:style w:type="paragraph" w:styleId="1015" w:customStyle="1">
    <w:name w:val="页眉1"/>
    <w:basedOn w:val="998"/>
    <w:next w:val="1010"/>
    <w:uiPriority w:val="99"/>
    <w:qFormat/>
    <w:pPr>
      <w:ind w:left="0" w:firstLine="3584"/>
      <w:jc w:val="center"/>
      <w:spacing w:before="0" w:after="0" w:line="240" w:lineRule="auto"/>
      <w:pBdr>
        <w:bottom w:val="none" w:color="000000" w:sz="0" w:space="0"/>
      </w:pBdr>
    </w:pPr>
  </w:style>
  <w:style w:type="paragraph" w:styleId="1016" w:customStyle="1">
    <w:name w:val="目录 11"/>
    <w:basedOn w:val="998"/>
    <w:next w:val="790"/>
    <w:uiPriority w:val="39"/>
    <w:qFormat/>
    <w:pPr>
      <w:ind w:left="0" w:firstLine="4608"/>
      <w:spacing w:before="0" w:after="0" w:line="240" w:lineRule="auto"/>
    </w:pPr>
  </w:style>
  <w:style w:type="paragraph" w:styleId="1017" w:customStyle="1">
    <w:name w:val="目录 21"/>
    <w:basedOn w:val="790"/>
    <w:next w:val="790"/>
    <w:uiPriority w:val="0"/>
    <w:qFormat/>
    <w:pPr>
      <w:ind w:left="420"/>
    </w:pPr>
  </w:style>
  <w:style w:type="paragraph" w:styleId="1018" w:customStyle="1">
    <w:name w:val="普通(网站)1"/>
    <w:basedOn w:val="790"/>
    <w:uiPriority w:val="0"/>
    <w:qFormat/>
    <w:rPr>
      <w:sz w:val="24"/>
    </w:rPr>
  </w:style>
  <w:style w:type="paragraph" w:styleId="1019" w:customStyle="1">
    <w:name w:val="正文首行缩进 21"/>
    <w:basedOn w:val="1005"/>
    <w:next w:val="790"/>
    <w:uiPriority w:val="0"/>
    <w:qFormat/>
    <w:pPr>
      <w:ind w:firstLine="420"/>
      <w:spacing w:after="120" w:line="240" w:lineRule="auto"/>
    </w:pPr>
    <w:rPr>
      <w:rFonts w:ascii="等线"/>
      <w:sz w:val="21"/>
      <w:szCs w:val="24"/>
    </w:rPr>
  </w:style>
  <w:style w:type="table" w:styleId="1020" w:customStyle="1">
    <w:name w:val="网格型1"/>
    <w:basedOn w:val="1003"/>
    <w:uiPriority w:val="59"/>
    <w:qFormat/>
    <w:tblPr/>
  </w:style>
  <w:style w:type="character" w:styleId="1021" w:customStyle="1">
    <w:name w:val="页码1"/>
    <w:uiPriority w:val="0"/>
    <w:qFormat/>
    <w:rPr>
      <w:sz w:val="20"/>
    </w:rPr>
  </w:style>
  <w:style w:type="character" w:styleId="1022" w:customStyle="1">
    <w:name w:val="已访问的超链接1"/>
    <w:uiPriority w:val="0"/>
    <w:qFormat/>
    <w:rPr>
      <w:color w:val="333333"/>
      <w:u w:val="none"/>
    </w:rPr>
  </w:style>
  <w:style w:type="character" w:styleId="1023" w:customStyle="1">
    <w:name w:val="强调1"/>
    <w:uiPriority w:val="0"/>
    <w:qFormat/>
  </w:style>
  <w:style w:type="character" w:styleId="1024" w:customStyle="1">
    <w:name w:val="超链接1"/>
    <w:uiPriority w:val="99"/>
    <w:qFormat/>
    <w:rPr>
      <w:color w:val="333333"/>
      <w:sz w:val="20"/>
      <w:u w:val="none"/>
    </w:rPr>
  </w:style>
  <w:style w:type="paragraph" w:styleId="1025" w:customStyle="1">
    <w:name w:val="首行缩进"/>
    <w:basedOn w:val="790"/>
    <w:uiPriority w:val="0"/>
    <w:qFormat/>
    <w:pPr>
      <w:ind w:firstLine="480"/>
    </w:pPr>
    <w:rPr>
      <w:lang w:val="zh-CN"/>
    </w:rPr>
  </w:style>
  <w:style w:type="paragraph" w:styleId="1026" w:customStyle="1">
    <w:name w:val="Default"/>
    <w:next w:val="1008"/>
    <w:uiPriority w:val="0"/>
    <w:qFormat/>
    <w:pPr>
      <w:ind w:firstLine="5120"/>
      <w:widowControl w:val="off"/>
    </w:pPr>
    <w:rPr>
      <w:rFonts w:ascii="Calibri" w:hAnsi="Calibri" w:eastAsia="宋体" w:cs="Times New Roman"/>
      <w:lang w:val="en-US" w:eastAsia="zh-CN" w:bidi="ar-SA"/>
    </w:rPr>
  </w:style>
  <w:style w:type="paragraph" w:styleId="1027" w:customStyle="1">
    <w:name w:val="段"/>
    <w:next w:val="790"/>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028" w:customStyle="1">
    <w:name w:val="_Style 6"/>
    <w:basedOn w:val="998"/>
    <w:next w:val="790"/>
    <w:uiPriority w:val="39"/>
    <w:qFormat/>
    <w:pPr>
      <w:ind w:left="0" w:firstLine="0"/>
      <w:keepLines/>
      <w:keepNext/>
      <w:spacing w:before="240" w:after="0" w:line="259" w:lineRule="auto"/>
      <w:outlineLvl w:val="9"/>
    </w:pPr>
    <w:rPr>
      <w:rFonts w:ascii="Cambria" w:hAnsi="Cambria"/>
      <w:color w:val="365f91"/>
      <w:sz w:val="32"/>
      <w:szCs w:val="32"/>
    </w:rPr>
  </w:style>
  <w:style w:type="paragraph" w:styleId="1029" w:customStyle="1">
    <w:name w:val="纯文本3"/>
    <w:basedOn w:val="790"/>
    <w:uiPriority w:val="0"/>
    <w:qFormat/>
    <w:rPr>
      <w:rFonts w:ascii="宋体" w:hAnsi="Courier New"/>
    </w:rPr>
  </w:style>
  <w:style w:type="character" w:styleId="1030" w:customStyle="1">
    <w:name w:val="font11"/>
    <w:uiPriority w:val="0"/>
    <w:qFormat/>
    <w:rPr>
      <w:rFonts w:ascii="Times New Roman" w:hAnsi="Times New Roman" w:cs="Times New Roman"/>
      <w:color w:val="000000"/>
      <w:sz w:val="21"/>
      <w:szCs w:val="21"/>
      <w:u w:val="none"/>
    </w:rPr>
  </w:style>
  <w:style w:type="character" w:styleId="1031" w:customStyle="1">
    <w:name w:val="font21"/>
    <w:uiPriority w:val="0"/>
    <w:qFormat/>
    <w:rPr>
      <w:rFonts w:hint="eastAsia" w:ascii="宋体" w:hAnsi="宋体" w:eastAsia="宋体" w:cs="宋体"/>
      <w:color w:val="000000"/>
      <w:sz w:val="21"/>
      <w:szCs w:val="21"/>
      <w:u w:val="none"/>
    </w:rPr>
  </w:style>
  <w:style w:type="paragraph" w:styleId="1032" w:customStyle="1">
    <w:name w:val="纯文本1"/>
    <w:basedOn w:val="790"/>
    <w:uiPriority w:val="0"/>
    <w:qFormat/>
    <w:rPr>
      <w:rFonts w:hAnsi="Courier New" w:eastAsia="楷体_GB2312"/>
      <w:sz w:val="28"/>
    </w:rPr>
  </w:style>
  <w:style w:type="character" w:styleId="1033" w:customStyle="1">
    <w:name w:val="NormalCharacter1"/>
    <w:uiPriority w:val="0"/>
    <w:semiHidden/>
    <w:qFormat/>
  </w:style>
  <w:style w:type="paragraph" w:styleId="1034" w:customStyle="1">
    <w:name w:val="NormalIndent1"/>
    <w:basedOn w:val="790"/>
    <w:uiPriority w:val="0"/>
    <w:qFormat/>
    <w:pPr>
      <w:ind w:firstLine="420"/>
      <w:jc w:val="left"/>
    </w:pPr>
    <w:rPr>
      <w:sz w:val="24"/>
    </w:rPr>
  </w:style>
  <w:style w:type="paragraph" w:styleId="1035" w:customStyle="1">
    <w:name w:val="UserStyle_34"/>
    <w:basedOn w:val="790"/>
    <w:uiPriority w:val="0"/>
    <w:qFormat/>
    <w:pPr>
      <w:ind w:firstLine="200"/>
      <w:spacing w:before="50" w:after="50" w:line="360" w:lineRule="auto"/>
    </w:pPr>
    <w:rPr>
      <w:sz w:val="24"/>
      <w:szCs w:val="24"/>
    </w:rPr>
  </w:style>
  <w:style w:type="paragraph" w:styleId="1036" w:customStyle="1">
    <w:name w:val="UserStyle_28"/>
    <w:basedOn w:val="790"/>
    <w:uiPriority w:val="0"/>
    <w:qFormat/>
    <w:pPr>
      <w:ind w:firstLine="480"/>
      <w:spacing w:line="360" w:lineRule="auto"/>
    </w:pPr>
    <w:rPr>
      <w:sz w:val="24"/>
    </w:rPr>
  </w:style>
  <w:style w:type="paragraph" w:styleId="1037" w:customStyle="1">
    <w:name w:val="Acetate1"/>
    <w:basedOn w:val="790"/>
    <w:uiPriority w:val="0"/>
    <w:semiHidden/>
    <w:qFormat/>
    <w:rPr>
      <w:sz w:val="18"/>
      <w:szCs w:val="18"/>
    </w:rPr>
  </w:style>
  <w:style w:type="paragraph" w:styleId="1038" w:customStyle="1">
    <w:name w:val="PlainText1"/>
    <w:basedOn w:val="790"/>
    <w:uiPriority w:val="0"/>
    <w:qFormat/>
    <w:rPr>
      <w:rFonts w:ascii="宋体" w:hAnsi="Courier New"/>
    </w:rPr>
  </w:style>
  <w:style w:type="paragraph" w:styleId="1039" w:customStyle="1">
    <w:name w:val="纯文本4"/>
    <w:basedOn w:val="790"/>
    <w:uiPriority w:val="0"/>
    <w:qFormat/>
    <w:pPr>
      <w:widowControl w:val="off"/>
    </w:pPr>
    <w:rPr>
      <w:rFonts w:ascii="宋体" w:hAnsi="Courier New"/>
      <w:lang w:val="zh-CN"/>
    </w:rPr>
  </w:style>
  <w:style w:type="paragraph" w:styleId="1040" w:customStyle="1">
    <w:name w:val="Andy_正文"/>
    <w:basedOn w:val="790"/>
    <w:uiPriority w:val="0"/>
    <w:qFormat/>
    <w:pPr>
      <w:ind w:firstLine="480"/>
      <w:spacing w:line="360" w:lineRule="auto"/>
      <w:widowControl w:val="off"/>
    </w:pPr>
    <w:rPr>
      <w:sz w:val="24"/>
    </w:rPr>
  </w:style>
  <w:style w:type="paragraph" w:styleId="1041" w:customStyle="1">
    <w:name w:val="WPSOffice手动目录 1"/>
    <w:uiPriority w:val="0"/>
    <w:qFormat/>
    <w:rPr>
      <w:rFonts w:ascii="Times New Roman" w:hAnsi="Times New Roman" w:eastAsia="宋体" w:cs="Times New Roman"/>
      <w:lang w:val="en-US" w:eastAsia="zh-CN" w:bidi="ar-SA"/>
    </w:rPr>
  </w:style>
  <w:style w:type="paragraph" w:styleId="1042" w:customStyle="1">
    <w:name w:val="UserStyle_62"/>
    <w:basedOn w:val="790"/>
    <w:uiPriority w:val="0"/>
    <w:qFormat/>
    <w:rPr>
      <w:rFonts w:ascii="宋体" w:hAnsi="Courier New"/>
    </w:rPr>
  </w:style>
  <w:style w:type="paragraph" w:styleId="1043" w:customStyle="1">
    <w:name w:val="Plain Text1"/>
    <w:basedOn w:val="790"/>
    <w:uiPriority w:val="0"/>
    <w:qFormat/>
    <w:pPr>
      <w:widowControl w:val="off"/>
    </w:pPr>
    <w:rPr>
      <w:rFonts w:hint="eastAsia" w:ascii="宋体" w:hAnsi="Courier New"/>
      <w:sz w:val="28"/>
    </w:rPr>
  </w:style>
  <w:style w:type="paragraph" w:styleId="1044" w:customStyle="1">
    <w:name w:val="__正文"/>
    <w:uiPriority w:val="0"/>
    <w:qFormat/>
    <w:pPr>
      <w:ind w:firstLine="200"/>
      <w:spacing w:line="360" w:lineRule="auto"/>
    </w:pPr>
    <w:rPr>
      <w:rFonts w:ascii="Calibri" w:hAnsi="Calibri" w:eastAsia="宋体" w:cs="Times New Roman"/>
      <w:sz w:val="24"/>
      <w:szCs w:val="21"/>
      <w:lang w:val="en-US" w:eastAsia="zh-CN" w:bidi="ar-SA"/>
    </w:rPr>
  </w:style>
  <w:style w:type="character" w:styleId="1045" w:customStyle="1">
    <w:name w:val="bds_more2"/>
    <w:uiPriority w:val="0"/>
    <w:qFormat/>
    <w:rPr>
      <w:rFonts w:hint="eastAsia" w:ascii="宋体" w:hAnsi="宋体" w:eastAsia="宋体" w:cs="宋体"/>
    </w:rPr>
  </w:style>
  <w:style w:type="character" w:styleId="1046" w:customStyle="1">
    <w:name w:val="bds_more3"/>
    <w:uiPriority w:val="0"/>
    <w:qFormat/>
  </w:style>
  <w:style w:type="character" w:styleId="1047" w:customStyle="1">
    <w:name w:val="bds_more4"/>
    <w:uiPriority w:val="0"/>
    <w:qFormat/>
  </w:style>
  <w:style w:type="character" w:styleId="1048" w:customStyle="1">
    <w:name w:val="bds_nopic"/>
    <w:uiPriority w:val="0"/>
    <w:qFormat/>
  </w:style>
  <w:style w:type="character" w:styleId="1049" w:customStyle="1">
    <w:name w:val="bds_nopic1"/>
    <w:uiPriority w:val="0"/>
    <w:qFormat/>
  </w:style>
  <w:style w:type="character" w:styleId="1050" w:customStyle="1">
    <w:name w:val="bds_nopic2"/>
    <w:uiPriority w:val="0"/>
    <w:qFormat/>
  </w:style>
  <w:style w:type="character" w:styleId="1051" w:customStyle="1">
    <w:name w:val="批注框文本 字符"/>
    <w:basedOn w:val="800"/>
    <w:link w:val="811"/>
    <w:uiPriority w:val="99"/>
    <w:semiHidden/>
    <w:qFormat/>
    <w:rPr>
      <w:rFonts w:ascii="Calibri" w:hAnsi="Calibri"/>
      <w:sz w:val="18"/>
      <w:szCs w:val="18"/>
    </w:rPr>
  </w:style>
  <w:style w:type="character" w:styleId="1052" w:customStyle="1">
    <w:name w:val="要点1"/>
    <w:basedOn w:val="1002"/>
    <w:uiPriority w:val="0"/>
    <w:qFormat/>
    <w:rPr>
      <w:rFonts w:ascii="Times New Roman" w:hAnsi="Times New Roman" w:eastAsia="宋体" w:cs="Times New Roman"/>
      <w:b/>
    </w:rPr>
  </w:style>
  <w:style w:type="paragraph" w:styleId="1053" w:customStyle="1">
    <w:name w:val="正文缩进11"/>
    <w:basedOn w:val="790"/>
    <w:next w:val="790"/>
    <w:uiPriority w:val="0"/>
    <w:qFormat/>
    <w:pPr>
      <w:ind w:firstLine="420"/>
      <w:jc w:val="left"/>
    </w:pPr>
    <w:rPr>
      <w:rFonts w:eastAsia="楷体_GB2312"/>
      <w:sz w:val="24"/>
    </w:rPr>
  </w:style>
  <w:style w:type="paragraph" w:styleId="1054" w:customStyle="1">
    <w:name w:val="正文文本缩进 31"/>
    <w:basedOn w:val="790"/>
    <w:uiPriority w:val="0"/>
    <w:qFormat/>
    <w:pPr>
      <w:ind w:firstLine="617"/>
      <w:spacing w:line="360" w:lineRule="auto"/>
    </w:pPr>
    <w:rPr>
      <w:sz w:val="24"/>
      <w:szCs w:val="24"/>
    </w:r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蒋杰</cp:lastModifiedBy>
  <cp:revision>24</cp:revision>
  <dcterms:created xsi:type="dcterms:W3CDTF">2026-02-26T03:49:00Z</dcterms:created>
  <dcterms:modified xsi:type="dcterms:W3CDTF">2026-08-13T02:05:25Z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63523757C4434BA1A103AB5DD216CF05_13</vt:lpwstr>
  </property>
  <property fmtid="{D5CDD505-2E9C-101B-9397-08002B2CF9AE}" pid="4" name="KSOTemplateDocerSaveRecord">
    <vt:lpwstr>eyJoZGlkIjoiNzE3ZWZhOTQ2MWJmYjY5YTI3NWFmZTUxZGJjYzU1ZDIiLCJ1c2VySWQiOiIxMzk0Nzg1MjYwIn0=</vt:lpwstr>
  </property>
</Properties>
</file>