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3"/>
        <w:ind w:firstLine="0"/>
        <w:jc w:val="center"/>
        <w:rPr>
          <w:rFonts w:hint="eastAsia" w:eastAsia="黑体"/>
          <w:b/>
          <w:bCs/>
          <w:sz w:val="84"/>
        </w:rPr>
      </w:pPr>
      <w:r>
        <w:rPr>
          <w:rFonts w:hint="eastAsia" w:eastAsia="黑体"/>
          <w:b/>
          <w:bCs/>
          <w:sz w:val="84"/>
        </w:rPr>
        <w:t xml:space="preserve">竞争性磋商文件</w:t>
      </w:r>
      <w:r/>
    </w:p>
    <w:p>
      <w:pPr>
        <w:jc w:val="center"/>
        <w:rPr>
          <w:rFonts w:hint="eastAsia" w:ascii="Arial" w:hAnsi="Arial"/>
          <w:b/>
          <w:bCs/>
          <w:sz w:val="32"/>
          <w:szCs w:val="24"/>
          <w:u w:val="single"/>
        </w:rPr>
      </w:pPr>
      <w:r>
        <w:rPr>
          <w:rFonts w:hint="eastAsia" w:ascii="Arial" w:hAnsi="Arial"/>
          <w:b/>
          <w:bCs/>
          <w:sz w:val="32"/>
          <w:szCs w:val="24"/>
        </w:rPr>
        <w:t xml:space="preserve">项目名称：</w:t>
      </w:r>
      <w:r>
        <w:rPr>
          <w:rFonts w:hint="eastAsia" w:ascii="Arial" w:hAnsi="Arial"/>
          <w:b/>
          <w:bCs/>
          <w:sz w:val="32"/>
          <w:szCs w:val="24"/>
          <w:lang w:eastAsia="zh-CN"/>
        </w:rPr>
        <w:t xml:space="preserve">森林防火智能监控维保服务</w:t>
      </w:r>
      <w:r/>
    </w:p>
    <w:p>
      <w:pPr>
        <w:ind w:firstLine="1606"/>
        <w:jc w:val="left"/>
        <w:spacing w:before="120" w:after="120" w:line="360" w:lineRule="auto"/>
        <w:rPr>
          <w:rFonts w:hint="eastAsia" w:eastAsia="宋体"/>
          <w:lang w:eastAsia="zh-CN"/>
        </w:rPr>
      </w:pPr>
      <w:r>
        <w:rPr>
          <w:rFonts w:hint="eastAsia" w:ascii="Arial" w:hAnsi="Arial"/>
          <w:b/>
          <w:bCs/>
          <w:sz w:val="32"/>
          <w:szCs w:val="24"/>
        </w:rPr>
        <w:t xml:space="preserve">项目编号：</w:t>
      </w:r>
      <w:r>
        <w:rPr>
          <w:rFonts w:hint="eastAsia"/>
          <w:b/>
          <w:color w:val="0000ff"/>
          <w:sz w:val="32"/>
          <w:szCs w:val="32"/>
          <w:lang w:eastAsia="zh-CN"/>
        </w:rPr>
        <w:t xml:space="preserve">JSZC-320117-NJMY-C2026-0003</w:t>
      </w:r>
      <w:bookmarkStart w:id="116" w:name="_GoBack"/>
      <w:r/>
      <w:bookmarkEnd w:id="116"/>
      <w:r/>
      <w:r/>
    </w:p>
    <w:p>
      <w:pPr>
        <w:jc w:val="center"/>
        <w:rPr>
          <w:rFonts w:hint="eastAsia"/>
          <w:b/>
          <w:sz w:val="30"/>
          <w:szCs w:val="30"/>
        </w:rPr>
      </w:pPr>
      <w:r>
        <w:rPr>
          <w:rFonts w:hint="eastAsia"/>
          <w:b/>
          <w:sz w:val="30"/>
          <w:szCs w:val="30"/>
        </w:rPr>
        <w:t xml:space="preserve">（</w:t>
      </w:r>
      <w:r>
        <w:rPr>
          <w:rFonts w:hint="eastAsia" w:ascii="宋体" w:hAnsi="宋体" w:eastAsia="宋体" w:cs="宋体"/>
          <w:b/>
          <w:bCs/>
          <w:color w:val="0000ff"/>
          <w:sz w:val="30"/>
          <w:szCs w:val="30"/>
          <w:highlight w:val="none"/>
          <w:lang w:eastAsia="zh-CN"/>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6"/>
        <w:rPr>
          <w:rFonts w:hint="eastAsia"/>
        </w:rPr>
      </w:pPr>
      <w:r>
        <w:rPr>
          <w:rFonts w:hint="eastAsia"/>
        </w:rPr>
      </w:r>
      <w:r/>
    </w:p>
    <w:p>
      <w:pPr>
        <w:jc w:val="left"/>
        <w:spacing w:line="360" w:lineRule="auto"/>
        <w:rPr>
          <w:rFonts w:hint="eastAsia" w:ascii="宋体" w:hAnsi="宋体"/>
          <w:sz w:val="24"/>
          <w:szCs w:val="24"/>
        </w:rPr>
      </w:pPr>
      <w:r>
        <w:rPr>
          <w:rFonts w:hint="eastAsia" w:ascii="宋体" w:hAnsi="宋体"/>
          <w:sz w:val="24"/>
          <w:szCs w:val="24"/>
        </w:rPr>
      </w:r>
      <w:r/>
    </w:p>
    <w:p>
      <w:pPr>
        <w:pStyle w:val="943"/>
        <w:ind w:firstLine="0"/>
        <w:jc w:val="center"/>
        <w:rPr>
          <w:rFonts w:hint="eastAsia"/>
          <w:b/>
          <w:bCs/>
          <w:sz w:val="32"/>
        </w:rPr>
      </w:pPr>
      <w:r>
        <w:rPr>
          <w:rFonts w:hint="eastAsia"/>
          <w:b/>
          <w:bCs/>
          <w:sz w:val="32"/>
        </w:rPr>
        <w:t xml:space="preserve">南京明莹工程项目管理有限公司</w:t>
      </w:r>
      <w:r/>
    </w:p>
    <w:p>
      <w:pPr>
        <w:jc w:val="center"/>
        <w:rPr>
          <w:rFonts w:hint="eastAsia"/>
          <w:b/>
          <w:color w:val="0000ff"/>
          <w:sz w:val="32"/>
          <w:szCs w:val="32"/>
        </w:rPr>
      </w:pPr>
      <w:r>
        <w:rPr>
          <w:rFonts w:hint="eastAsia"/>
          <w:b/>
          <w:color w:val="0000ff"/>
          <w:sz w:val="32"/>
          <w:szCs w:val="32"/>
        </w:rPr>
        <w:t xml:space="preserve">202</w:t>
      </w:r>
      <w:r>
        <w:rPr>
          <w:rFonts w:hint="eastAsia"/>
          <w:b/>
          <w:color w:val="0000ff"/>
          <w:sz w:val="32"/>
          <w:szCs w:val="32"/>
          <w:lang w:val="en-US" w:eastAsia="zh-CN"/>
        </w:rPr>
        <w:t xml:space="preserve">6</w:t>
      </w:r>
      <w:r>
        <w:rPr>
          <w:rFonts w:hint="eastAsia"/>
          <w:b/>
          <w:color w:val="0000ff"/>
          <w:sz w:val="32"/>
          <w:szCs w:val="32"/>
        </w:rPr>
        <w:t xml:space="preserve">年</w:t>
      </w:r>
      <w:r>
        <w:rPr>
          <w:rFonts w:hint="eastAsia"/>
          <w:b/>
          <w:color w:val="0000ff"/>
          <w:sz w:val="32"/>
          <w:szCs w:val="32"/>
          <w:lang w:val="en-US" w:eastAsia="zh-CN"/>
        </w:rPr>
        <w:t xml:space="preserve">8</w:t>
      </w:r>
      <w:r>
        <w:rPr>
          <w:rFonts w:hint="eastAsia"/>
          <w:b/>
          <w:color w:val="0000ff"/>
          <w:sz w:val="32"/>
          <w:szCs w:val="32"/>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spacing w:line="480" w:lineRule="exact"/>
        <w:rPr>
          <w:rFonts w:hint="eastAsia" w:ascii="宋体" w:hAnsi="宋体" w:cs="宋体"/>
          <w:b/>
          <w:bCs/>
          <w:color w:val="0000ff"/>
          <w:sz w:val="24"/>
          <w:szCs w:val="24"/>
        </w:rPr>
        <w:outlineLvl w:val="0"/>
      </w:pPr>
      <w:r>
        <w:rPr>
          <w:rFonts w:hint="eastAsia" w:ascii="宋体" w:hAnsi="宋体" w:cs="宋体"/>
          <w:b/>
          <w:bCs/>
          <w:color w:val="0000ff"/>
          <w:sz w:val="24"/>
          <w:szCs w:val="24"/>
        </w:rPr>
      </w:r>
      <w:r/>
    </w:p>
    <w:p>
      <w:pPr>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bookmarkStart w:id="0" w:name="_Toc20823272"/>
      <w:r/>
      <w:bookmarkStart w:id="1" w:name="_Toc16938516"/>
      <w:r/>
      <w:bookmarkStart w:id="2" w:name="_Toc479757206"/>
      <w:r/>
      <w:bookmarkStart w:id="3" w:name="_Toc120614210"/>
      <w:r/>
      <w:bookmarkStart w:id="4" w:name="_Toc513029200"/>
      <w:r/>
      <w:bookmarkStart w:id="5" w:name="_Toc523127445"/>
      <w:r/>
      <w:r/>
    </w:p>
    <w:p>
      <w:pPr>
        <w:numPr>
          <w:ilvl w:val="0"/>
          <w:numId w:val="4"/>
        </w:numPr>
        <w:jc w:val="left"/>
        <w:spacing w:line="960" w:lineRule="auto"/>
        <w:rPr>
          <w:rFonts w:hint="eastAsia" w:ascii="黑体" w:hAnsi="宋体" w:eastAsia="黑体"/>
          <w:sz w:val="36"/>
          <w:szCs w:val="21"/>
        </w:rPr>
        <w:outlineLvl w:val="0"/>
      </w:pPr>
      <w:r>
        <w:rPr>
          <w:rFonts w:hint="eastAsia" w:ascii="黑体" w:hAnsi="宋体" w:eastAsia="黑体"/>
          <w:sz w:val="36"/>
          <w:szCs w:val="21"/>
        </w:rPr>
        <w:t xml:space="preserve">磋商邀请</w:t>
      </w:r>
      <w:r/>
    </w:p>
    <w:p>
      <w:pPr>
        <w:numPr>
          <w:ilvl w:val="0"/>
          <w:numId w:val="4"/>
        </w:numPr>
        <w:jc w:val="left"/>
        <w:spacing w:line="960" w:lineRule="auto"/>
        <w:rPr>
          <w:rFonts w:hint="eastAsia" w:ascii="黑体" w:hAnsi="宋体" w:eastAsia="黑体"/>
          <w:sz w:val="36"/>
          <w:szCs w:val="21"/>
        </w:rPr>
        <w:outlineLvl w:val="0"/>
      </w:pPr>
      <w:r>
        <w:rPr>
          <w:rFonts w:hint="eastAsia" w:ascii="黑体" w:hAnsi="宋体" w:eastAsia="黑体"/>
          <w:sz w:val="36"/>
          <w:szCs w:val="21"/>
        </w:rPr>
        <w:t xml:space="preserve">供应商须知</w:t>
      </w:r>
      <w:r/>
    </w:p>
    <w:p>
      <w:pPr>
        <w:numPr>
          <w:ilvl w:val="0"/>
          <w:numId w:val="4"/>
        </w:numPr>
        <w:jc w:val="left"/>
        <w:spacing w:line="9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jc w:val="left"/>
        <w:spacing w:line="960" w:lineRule="auto"/>
        <w:rPr>
          <w:rFonts w:hint="eastAsia"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jc w:val="left"/>
        <w:spacing w:line="960" w:lineRule="auto"/>
        <w:rPr>
          <w:rFonts w:hint="eastAsia" w:ascii="黑体" w:hAnsi="宋体" w:eastAsia="黑体"/>
          <w:sz w:val="36"/>
          <w:szCs w:val="21"/>
        </w:rPr>
        <w:outlineLvl w:val="0"/>
      </w:pPr>
      <w:r>
        <w:rPr>
          <w:rFonts w:hint="eastAsia" w:ascii="黑体" w:hAnsi="宋体" w:eastAsia="黑体"/>
          <w:sz w:val="36"/>
          <w:szCs w:val="21"/>
        </w:rPr>
        <w:t xml:space="preserve">评审方法与评审标准</w:t>
      </w:r>
      <w:r/>
    </w:p>
    <w:p>
      <w:pPr>
        <w:numPr>
          <w:ilvl w:val="0"/>
          <w:numId w:val="4"/>
        </w:numPr>
        <w:jc w:val="left"/>
        <w:spacing w:line="960" w:lineRule="auto"/>
        <w:rPr>
          <w:rFonts w:hint="eastAsia" w:ascii="黑体" w:hAnsi="宋体" w:eastAsia="黑体"/>
          <w:sz w:val="36"/>
          <w:szCs w:val="21"/>
        </w:rPr>
        <w:outlineLvl w:val="0"/>
      </w:pPr>
      <w:r>
        <w:rPr>
          <w:rFonts w:hint="eastAsia" w:ascii="黑体" w:hAnsi="宋体" w:eastAsia="黑体"/>
          <w:sz w:val="36"/>
          <w:szCs w:val="21"/>
        </w:rPr>
        <w:t xml:space="preserve">响应文件格式</w:t>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磋商邀请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森林防火智能监控维保服务</w:t>
      </w:r>
      <w:r>
        <w:rPr>
          <w:rFonts w:hint="eastAsia" w:ascii="宋体" w:hAnsi="宋体" w:cs="宋体"/>
          <w:szCs w:val="21"/>
        </w:rPr>
        <w:t xml:space="preserve">的潜在供应商应在</w:t>
      </w:r>
      <w:r>
        <w:rPr>
          <w:rFonts w:hint="eastAsia" w:ascii="宋体" w:hAnsi="宋体" w:cs="宋体"/>
          <w:szCs w:val="21"/>
          <w:u w:val="single"/>
        </w:rPr>
        <w:t xml:space="preserve">江苏政府采购网</w:t>
      </w:r>
      <w:r>
        <w:rPr>
          <w:rFonts w:hint="eastAsia" w:ascii="宋体" w:hAnsi="宋体" w:cs="宋体"/>
          <w:szCs w:val="21"/>
        </w:rPr>
        <w:t xml:space="preserve">获取采购文件，并于</w:t>
      </w:r>
      <w:r>
        <w:rPr>
          <w:rFonts w:hint="eastAsia" w:ascii="宋体" w:hAnsi="宋体" w:cs="宋体"/>
          <w:szCs w:val="21"/>
          <w:u w:val="single"/>
          <w:lang w:eastAsia="zh-CN"/>
        </w:rPr>
        <w:t xml:space="preserve">2026年09月07日09：30</w:t>
      </w:r>
      <w:r>
        <w:rPr>
          <w:rFonts w:hint="eastAsia" w:ascii="宋体" w:hAnsi="宋体" w:cs="宋体"/>
          <w:szCs w:val="21"/>
        </w:rPr>
        <w:t xml:space="preserve">（</w:t>
      </w:r>
      <w:r>
        <w:rPr>
          <w:rFonts w:hint="eastAsia" w:ascii="宋体" w:hAnsi="宋体" w:cs="宋体"/>
          <w:bCs/>
          <w:szCs w:val="21"/>
        </w:rPr>
        <w:t xml:space="preserve">北京时间）前提交投标文件</w:t>
      </w:r>
      <w:r>
        <w:rPr>
          <w:rFonts w:hint="eastAsia" w:ascii="宋体" w:hAnsi="宋体" w:cs="宋体"/>
          <w:szCs w:val="21"/>
        </w:rPr>
        <w:t xml:space="preserve">。</w:t>
      </w:r>
      <w:r/>
    </w:p>
    <w:p>
      <w:pPr>
        <w:pStyle w:val="858"/>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64" w:lineRule="auto"/>
        <w:rPr>
          <w:rFonts w:hint="eastAsia" w:ascii="宋体" w:hAnsi="宋体" w:eastAsia="宋体"/>
          <w:color w:val="0000ff"/>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JSZC-320117-NJMY-C2026-0003</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color w:val="0000ff"/>
          <w:sz w:val="24"/>
          <w:szCs w:val="24"/>
          <w:lang w:eastAsia="zh-CN"/>
        </w:rPr>
        <w:t xml:space="preserve">森林防火智能监控维保服务</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3.预算金额：</w:t>
      </w:r>
      <w:r>
        <w:rPr>
          <w:rFonts w:hint="eastAsia" w:ascii="宋体" w:hAnsi="宋体"/>
          <w:color w:val="0000ff"/>
          <w:sz w:val="24"/>
          <w:szCs w:val="24"/>
          <w:lang w:eastAsia="zh-CN"/>
        </w:rPr>
        <w:t xml:space="preserve">135万元</w:t>
      </w:r>
      <w:r/>
    </w:p>
    <w:p>
      <w:pPr>
        <w:ind w:firstLine="480"/>
        <w:spacing w:line="264" w:lineRule="auto"/>
        <w:rPr>
          <w:rFonts w:hint="eastAsia" w:ascii="宋体" w:hAnsi="宋体"/>
          <w:color w:val="0000ff"/>
          <w:sz w:val="24"/>
          <w:szCs w:val="24"/>
        </w:rPr>
      </w:pPr>
      <w:r>
        <w:rPr>
          <w:rFonts w:hint="eastAsia" w:ascii="宋体" w:hAnsi="宋体"/>
          <w:sz w:val="24"/>
          <w:szCs w:val="24"/>
        </w:rPr>
        <w:t xml:space="preserve">4.最高限价：</w:t>
      </w:r>
      <w:r>
        <w:rPr>
          <w:rFonts w:hint="eastAsia" w:ascii="宋体" w:hAnsi="宋体"/>
          <w:color w:val="0000ff"/>
          <w:sz w:val="24"/>
          <w:szCs w:val="24"/>
          <w:lang w:eastAsia="zh-CN"/>
        </w:rPr>
        <w:t xml:space="preserve">135万元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w:t>
      </w:r>
      <w:r>
        <w:rPr>
          <w:rFonts w:hint="eastAsia" w:ascii="宋体" w:hAnsi="宋体" w:eastAsia="宋体"/>
          <w:color w:val="0000ff"/>
          <w:sz w:val="24"/>
          <w:szCs w:val="24"/>
          <w:lang w:val="en-US" w:eastAsia="zh-CN"/>
        </w:rPr>
        <w:t xml:space="preserve">主要针对前端21处云台等设备保养优化、后端指挥中心设备保养及软件优化升级以及应急维修及设备更换</w:t>
      </w:r>
      <w:r>
        <w:rPr>
          <w:rFonts w:hint="eastAsia" w:ascii="宋体" w:hAnsi="宋体" w:eastAsia="宋体"/>
          <w:color w:val="0000ff"/>
          <w:sz w:val="24"/>
          <w:szCs w:val="24"/>
          <w:lang w:eastAsia="zh-CN"/>
        </w:rPr>
        <w:t xml:space="preserve">。（详细内容见本磋商文件第四章） </w:t>
      </w:r>
      <w:r/>
    </w:p>
    <w:p>
      <w:pPr>
        <w:ind w:firstLine="480"/>
        <w:jc w:val="left"/>
        <w:spacing w:line="264" w:lineRule="auto"/>
        <w:rPr>
          <w:rFonts w:hint="eastAsia" w:ascii="宋体" w:hAnsi="宋体" w:eastAsia="宋体" w:cs="宋体"/>
          <w:sz w:val="24"/>
          <w:szCs w:val="24"/>
          <w:highlight w:val="yellow"/>
          <w:lang w:eastAsia="zh-CN"/>
        </w:rPr>
      </w:pPr>
      <w:r>
        <w:rPr>
          <w:rFonts w:hint="eastAsia" w:ascii="宋体" w:hAnsi="宋体"/>
          <w:sz w:val="24"/>
          <w:szCs w:val="24"/>
        </w:rPr>
        <w:t xml:space="preserve">6.合同履行期限：</w:t>
      </w:r>
      <w:r>
        <w:rPr>
          <w:rFonts w:hint="eastAsia" w:ascii="宋体" w:hAnsi="宋体"/>
          <w:sz w:val="24"/>
          <w:szCs w:val="24"/>
          <w:lang w:eastAsia="zh-CN"/>
        </w:rPr>
        <w:t xml:space="preserve">12个月</w:t>
      </w:r>
      <w:r/>
    </w:p>
    <w:p>
      <w:pPr>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color w:val="0000ff"/>
          <w:sz w:val="24"/>
          <w:szCs w:val="24"/>
        </w:rPr>
        <w:t xml:space="preserve">不接受</w:t>
      </w:r>
      <w:r>
        <w:rPr>
          <w:rFonts w:hint="eastAsia" w:ascii="宋体" w:hAnsi="宋体" w:cs="宋体"/>
          <w:sz w:val="24"/>
          <w:szCs w:val="24"/>
        </w:rPr>
        <w:t xml:space="preserve">联合体参加磋商。</w:t>
      </w:r>
      <w:r/>
    </w:p>
    <w:p>
      <w:pPr>
        <w:pStyle w:val="858"/>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ind w:firstLine="480"/>
        <w:spacing w:line="264"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p>
    <w:p>
      <w:pPr>
        <w:ind w:firstLine="480"/>
        <w:spacing w:line="264" w:lineRule="auto"/>
        <w:rPr>
          <w:rFonts w:hint="eastAsia" w:ascii="宋体" w:hAnsi="宋体" w:eastAsia="宋体"/>
          <w:sz w:val="24"/>
          <w:szCs w:val="24"/>
          <w:lang w:val="zh-CN"/>
        </w:rPr>
      </w:pPr>
      <w:r>
        <w:rPr>
          <w:rFonts w:hint="eastAsia" w:ascii="宋体" w:hAnsi="宋体" w:eastAsia="宋体"/>
          <w:sz w:val="24"/>
          <w:szCs w:val="24"/>
          <w:lang w:val="zh-CN"/>
        </w:rPr>
        <w:t xml:space="preserve">（1）具有独立承担民事责任的能力（提供法人或者其他组织的营业执照等证明文件，自然人的身份证明）；</w:t>
      </w:r>
      <w:r/>
    </w:p>
    <w:p>
      <w:pPr>
        <w:ind w:firstLine="480"/>
        <w:spacing w:line="264" w:lineRule="auto"/>
        <w:rPr>
          <w:rFonts w:hint="eastAsia" w:ascii="宋体" w:hAnsi="宋体" w:eastAsia="宋体"/>
          <w:sz w:val="24"/>
          <w:szCs w:val="24"/>
          <w:lang w:val="zh-CN"/>
        </w:rPr>
      </w:pPr>
      <w:r>
        <w:rPr>
          <w:rFonts w:hint="eastAsia" w:ascii="宋体" w:hAnsi="宋体" w:eastAsia="宋体"/>
          <w:sz w:val="24"/>
          <w:szCs w:val="24"/>
          <w:lang w:val="zh-CN"/>
        </w:rPr>
        <w:t xml:space="preserve">（2）具有良好的商业信誉和健全的财务会计制度（提供202</w:t>
      </w:r>
      <w:r>
        <w:rPr>
          <w:rFonts w:hint="eastAsia" w:ascii="宋体" w:hAnsi="宋体" w:eastAsia="宋体"/>
          <w:sz w:val="24"/>
          <w:szCs w:val="24"/>
          <w:lang w:val="zh-CN" w:eastAsia="zh-CN"/>
        </w:rPr>
        <w:t xml:space="preserve">5</w:t>
      </w:r>
      <w:r>
        <w:rPr>
          <w:rFonts w:hint="eastAsia" w:ascii="宋体" w:hAnsi="宋体" w:eastAsia="宋体"/>
          <w:sz w:val="24"/>
          <w:szCs w:val="24"/>
          <w:lang w:val="zh-CN"/>
        </w:rPr>
        <w:t xml:space="preserve">年经审计的财务报告或202</w:t>
      </w:r>
      <w:r>
        <w:rPr>
          <w:rFonts w:hint="eastAsia" w:ascii="宋体" w:hAnsi="宋体" w:eastAsia="宋体"/>
          <w:sz w:val="24"/>
          <w:szCs w:val="24"/>
          <w:lang w:val="zh-CN" w:eastAsia="zh-CN"/>
        </w:rPr>
        <w:t xml:space="preserve">5</w:t>
      </w:r>
      <w:r>
        <w:rPr>
          <w:rFonts w:hint="eastAsia" w:ascii="宋体" w:hAnsi="宋体" w:eastAsia="宋体"/>
          <w:sz w:val="24"/>
          <w:szCs w:val="24"/>
          <w:lang w:val="zh-CN"/>
        </w:rPr>
        <w:t xml:space="preserve">年财务报表，或响应文件提交截止时间前一年内银行出具的资信证明，成立不满一年无需提供，注：如202</w:t>
      </w:r>
      <w:r>
        <w:rPr>
          <w:rFonts w:hint="eastAsia" w:ascii="宋体" w:hAnsi="宋体" w:eastAsia="宋体"/>
          <w:sz w:val="24"/>
          <w:szCs w:val="24"/>
          <w:lang w:val="zh-CN" w:eastAsia="zh-CN"/>
        </w:rPr>
        <w:t xml:space="preserve">5</w:t>
      </w:r>
      <w:r>
        <w:rPr>
          <w:rFonts w:hint="eastAsia" w:ascii="宋体" w:hAnsi="宋体" w:eastAsia="宋体"/>
          <w:sz w:val="24"/>
          <w:szCs w:val="24"/>
          <w:lang w:val="zh-CN"/>
        </w:rPr>
        <w:t xml:space="preserve">年度财务审计报告未出，可提供202</w:t>
      </w:r>
      <w:r>
        <w:rPr>
          <w:rFonts w:hint="eastAsia" w:ascii="宋体" w:hAnsi="宋体" w:eastAsia="宋体"/>
          <w:sz w:val="24"/>
          <w:szCs w:val="24"/>
          <w:lang w:val="zh-CN" w:eastAsia="zh-CN"/>
        </w:rPr>
        <w:t xml:space="preserve">4</w:t>
      </w:r>
      <w:r>
        <w:rPr>
          <w:rFonts w:hint="eastAsia" w:ascii="宋体" w:hAnsi="宋体" w:eastAsia="宋体"/>
          <w:sz w:val="24"/>
          <w:szCs w:val="24"/>
          <w:lang w:val="zh-CN"/>
        </w:rPr>
        <w:t xml:space="preserve">年财务审计报告）；</w:t>
      </w:r>
      <w:r/>
    </w:p>
    <w:p>
      <w:pPr>
        <w:ind w:firstLine="480"/>
        <w:spacing w:line="264" w:lineRule="auto"/>
        <w:rPr>
          <w:rFonts w:hint="eastAsia" w:ascii="宋体" w:hAnsi="宋体" w:eastAsia="宋体"/>
          <w:sz w:val="24"/>
          <w:szCs w:val="24"/>
          <w:lang w:val="zh-CN"/>
        </w:rPr>
      </w:pPr>
      <w:r>
        <w:rPr>
          <w:rFonts w:hint="eastAsia" w:ascii="宋体" w:hAnsi="宋体" w:eastAsia="宋体"/>
          <w:sz w:val="24"/>
          <w:szCs w:val="24"/>
          <w:lang w:val="zh-CN"/>
        </w:rPr>
        <w:t xml:space="preserve">（3）具有履行合同所必需的设备和专业技术能力（供应商根据履行采购项目合同需要，提供履行合同所必需的设备和专业技术能力的证明材料）；</w:t>
      </w:r>
      <w:r/>
    </w:p>
    <w:p>
      <w:pPr>
        <w:ind w:firstLine="480"/>
        <w:spacing w:line="264" w:lineRule="auto"/>
        <w:rPr>
          <w:rFonts w:hint="eastAsia" w:ascii="宋体" w:hAnsi="宋体" w:eastAsia="宋体"/>
          <w:sz w:val="24"/>
          <w:szCs w:val="24"/>
          <w:lang w:val="zh-CN"/>
        </w:rPr>
      </w:pPr>
      <w:r>
        <w:rPr>
          <w:rFonts w:hint="eastAsia" w:ascii="宋体" w:hAnsi="宋体" w:eastAsia="宋体"/>
          <w:sz w:val="24"/>
          <w:szCs w:val="24"/>
          <w:lang w:val="zh-CN"/>
        </w:rPr>
        <w:t xml:space="preserve">（4）有依法缴纳税收和社会保障资金的良好记录（提供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p>
    <w:p>
      <w:pPr>
        <w:ind w:firstLine="480"/>
        <w:spacing w:line="264" w:lineRule="auto"/>
        <w:rPr>
          <w:rFonts w:hint="eastAsia" w:ascii="宋体" w:hAnsi="宋体" w:eastAsia="宋体"/>
          <w:sz w:val="24"/>
          <w:szCs w:val="24"/>
          <w:lang w:val="zh-CN"/>
        </w:rPr>
      </w:pPr>
      <w:r>
        <w:rPr>
          <w:rFonts w:hint="eastAsia" w:ascii="宋体" w:hAnsi="宋体" w:eastAsia="宋体"/>
          <w:sz w:val="24"/>
          <w:szCs w:val="24"/>
          <w:lang w:val="zh-CN"/>
        </w:rPr>
        <w:t xml:space="preserve">（5）参加政府采购活动前三年内，在经营活动中没有重大违法记录（提供参加政府采购活动前3年内在经营活动中没有重大违法记录的书面声明）；</w:t>
      </w:r>
      <w:r/>
    </w:p>
    <w:p>
      <w:pPr>
        <w:ind w:firstLine="480"/>
        <w:spacing w:line="264" w:lineRule="auto"/>
        <w:rPr>
          <w:rFonts w:hint="eastAsia" w:ascii="宋体" w:hAnsi="宋体" w:eastAsia="宋体"/>
          <w:sz w:val="24"/>
          <w:szCs w:val="24"/>
          <w:lang w:val="en-US" w:eastAsia="zh-CN"/>
        </w:rPr>
      </w:pPr>
      <w:r>
        <w:rPr>
          <w:rFonts w:hint="eastAsia" w:ascii="宋体" w:hAnsi="宋体" w:eastAsia="宋体"/>
          <w:sz w:val="24"/>
          <w:szCs w:val="24"/>
          <w:lang w:val="zh-CN"/>
        </w:rPr>
        <w:t xml:space="preserve">（</w:t>
      </w:r>
      <w:r>
        <w:rPr>
          <w:rFonts w:hint="eastAsia" w:ascii="宋体" w:hAnsi="宋体" w:eastAsia="宋体"/>
          <w:sz w:val="24"/>
          <w:szCs w:val="24"/>
          <w:lang w:val="en-US" w:eastAsia="zh-CN"/>
        </w:rPr>
        <w:t xml:space="preserve">6）</w:t>
      </w:r>
      <w:r>
        <w:rPr>
          <w:rFonts w:hint="eastAsia" w:ascii="宋体" w:hAnsi="宋体" w:eastAsia="宋体"/>
          <w:sz w:val="24"/>
          <w:szCs w:val="24"/>
          <w:lang w:val="zh-CN"/>
        </w:rPr>
        <w:t xml:space="preserve">法律、行政法规规定的其他条件：</w:t>
      </w:r>
      <w:r>
        <w:rPr>
          <w:rFonts w:hint="eastAsia" w:ascii="宋体" w:hAnsi="宋体" w:eastAsia="宋体"/>
          <w:sz w:val="24"/>
          <w:szCs w:val="24"/>
          <w:lang w:val="en-US" w:eastAsia="zh-CN"/>
        </w:rPr>
        <w:t xml:space="preserve">无</w:t>
      </w:r>
      <w:r/>
    </w:p>
    <w:p>
      <w:pPr>
        <w:ind w:firstLine="480"/>
        <w:spacing w:line="264"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2.落实政府采购政策需满足的资格要求：本项目为非预留份额的采购项目或采购包，执行价格扣除优惠政策，具体详见第三章评分标准</w:t>
      </w:r>
      <w:r>
        <w:rPr>
          <w:rFonts w:hint="eastAsia" w:ascii="宋体" w:hAnsi="宋体"/>
          <w:sz w:val="24"/>
          <w:szCs w:val="24"/>
          <w:lang w:val="zh-CN" w:eastAsia="zh-CN"/>
        </w:rPr>
        <w:t xml:space="preserve">。（声明函格式见第六章）</w:t>
      </w:r>
      <w:r/>
    </w:p>
    <w:p>
      <w:pPr>
        <w:ind w:firstLine="480"/>
        <w:pageBreakBefore w:val="0"/>
        <w:spacing w:line="264" w:lineRule="auto"/>
        <w:widowControl w:val="off"/>
        <w:rPr>
          <w:rFonts w:hint="eastAsia" w:ascii="宋体" w:hAnsi="宋体"/>
          <w:sz w:val="24"/>
          <w:szCs w:val="24"/>
        </w:rPr>
      </w:pPr>
      <w:r>
        <w:rPr>
          <w:rFonts w:hint="eastAsia" w:ascii="宋体" w:hAnsi="宋体" w:eastAsia="宋体" w:cs="Times New Roman"/>
          <w:i w:val="0"/>
          <w:iCs w:val="0"/>
          <w:caps w:val="0"/>
          <w:color w:val="auto"/>
          <w:spacing w:val="0"/>
          <w:sz w:val="24"/>
          <w:szCs w:val="24"/>
          <w:highlight w:val="none"/>
          <w:lang w:val="zh-CN" w:bidi="ar-SA"/>
        </w:rPr>
        <w:t xml:space="preserve">本项目采购标的对应的中小企业划分标准所属行业为：</w:t>
      </w:r>
      <w:r>
        <w:rPr>
          <w:rFonts w:hint="eastAsia" w:ascii="宋体" w:hAnsi="宋体" w:cs="Times New Roman"/>
          <w:color w:val="0000ff"/>
          <w:sz w:val="24"/>
          <w:szCs w:val="24"/>
          <w:u w:val="none"/>
          <w:lang w:val="en-US" w:eastAsia="zh-CN"/>
        </w:rPr>
        <w:t xml:space="preserve">软件和信息技术服务业</w:t>
      </w:r>
      <w:r>
        <w:rPr>
          <w:rFonts w:hint="eastAsia" w:ascii="宋体" w:hAnsi="宋体" w:eastAsia="宋体" w:cs="Times New Roman"/>
          <w:color w:val="0000ff"/>
          <w:sz w:val="24"/>
          <w:szCs w:val="24"/>
          <w:u w:val="none"/>
          <w:lang w:val="en-US" w:eastAsia="zh-CN"/>
        </w:rPr>
        <w:t xml:space="preserve">。</w:t>
      </w:r>
      <w:r/>
    </w:p>
    <w:p>
      <w:pPr>
        <w:ind w:firstLine="480"/>
        <w:spacing w:line="264" w:lineRule="auto"/>
        <w:rPr>
          <w:rFonts w:hint="default" w:ascii="宋体" w:hAnsi="宋体" w:eastAsia="宋体"/>
          <w:sz w:val="24"/>
          <w:szCs w:val="24"/>
          <w:lang w:val="en-US" w:eastAsia="zh-CN"/>
        </w:rPr>
      </w:pPr>
      <w:r>
        <w:rPr>
          <w:rFonts w:hint="eastAsia" w:ascii="宋体" w:hAnsi="宋体"/>
          <w:sz w:val="24"/>
          <w:szCs w:val="24"/>
        </w:rPr>
        <w:t xml:space="preserve">（二）本项目的特定资格要求：</w:t>
      </w:r>
      <w:r>
        <w:rPr>
          <w:rFonts w:hint="eastAsia" w:ascii="宋体" w:hAnsi="宋体" w:eastAsia="宋体" w:cs="Times New Roman"/>
          <w:color w:val="0000ff"/>
          <w:sz w:val="24"/>
          <w:szCs w:val="24"/>
          <w:u w:val="none"/>
          <w:lang w:val="en-US" w:eastAsia="zh-CN"/>
        </w:rPr>
        <w:t xml:space="preserve">无。</w:t>
      </w:r>
      <w:r/>
    </w:p>
    <w:p>
      <w:pPr>
        <w:ind w:firstLine="480"/>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p>
    <w:p>
      <w:pPr>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58"/>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1.时间：自磋商文件公告发布之日起。</w:t>
      </w:r>
      <w:r/>
    </w:p>
    <w:p>
      <w:pPr>
        <w:ind w:firstLine="480"/>
        <w:spacing w:line="264" w:lineRule="auto"/>
        <w:rPr>
          <w:rFonts w:ascii="宋体" w:hAnsi="宋体" w:cs="宋体"/>
          <w:sz w:val="24"/>
          <w:szCs w:val="24"/>
        </w:rPr>
      </w:pPr>
      <w:r>
        <w:rPr>
          <w:rFonts w:hint="eastAsia" w:ascii="宋体" w:hAnsi="宋体" w:cs="宋体"/>
          <w:sz w:val="24"/>
          <w:szCs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264" w:lineRule="auto"/>
        <w:rPr>
          <w:rFonts w:ascii="宋体" w:hAnsi="宋体" w:cs="宋体"/>
          <w:sz w:val="24"/>
          <w:szCs w:val="24"/>
        </w:rPr>
      </w:pPr>
      <w:r>
        <w:rPr>
          <w:rFonts w:hint="eastAsia" w:ascii="宋体" w:hAnsi="宋体" w:cs="宋体"/>
          <w:sz w:val="24"/>
          <w:szCs w:val="24"/>
        </w:rPr>
        <w:t xml:space="preserve">3.售价：0.00元。</w:t>
      </w:r>
      <w:r/>
    </w:p>
    <w:p>
      <w:pPr>
        <w:pStyle w:val="858"/>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pStyle w:val="858"/>
        <w:ind w:firstLine="372"/>
        <w:spacing w:before="145" w:after="145" w:line="264" w:lineRule="auto"/>
        <w:rPr>
          <w:rFonts w:hint="eastAsia" w:ascii="宋体" w:hAnsi="宋体"/>
          <w:b w:val="0"/>
          <w:bCs w:val="0"/>
          <w:sz w:val="24"/>
          <w:szCs w:val="24"/>
        </w:rPr>
      </w:pPr>
      <w:r>
        <w:rPr>
          <w:rFonts w:hint="eastAsia" w:ascii="宋体" w:hAnsi="宋体" w:cs="宋体"/>
          <w:b w:val="0"/>
          <w:bCs w:val="0"/>
          <w:color w:val="0000ff"/>
          <w:sz w:val="24"/>
          <w:szCs w:val="24"/>
        </w:rPr>
        <w:t xml:space="preserve"> </w:t>
      </w:r>
      <w:r>
        <w:rPr>
          <w:rFonts w:hint="eastAsia" w:ascii="宋体" w:hAnsi="宋体" w:cs="宋体"/>
          <w:b w:val="0"/>
          <w:bCs w:val="0"/>
          <w:color w:val="0000ff"/>
          <w:sz w:val="24"/>
          <w:szCs w:val="24"/>
          <w:u w:val="single"/>
          <w:lang w:eastAsia="zh-CN"/>
        </w:rPr>
        <w:t xml:space="preserve">2026年09月07日09：30</w:t>
      </w:r>
      <w:r>
        <w:rPr>
          <w:rFonts w:hint="eastAsia" w:ascii="宋体" w:hAnsi="宋体"/>
          <w:b w:val="0"/>
          <w:bCs w:val="0"/>
          <w:sz w:val="24"/>
          <w:szCs w:val="24"/>
        </w:rPr>
        <w:t xml:space="preserve">（北京时间）。</w:t>
      </w:r>
      <w:r/>
    </w:p>
    <w:p>
      <w:pPr>
        <w:pStyle w:val="858"/>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spacing w:line="264" w:lineRule="auto"/>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858"/>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jc w:val="left"/>
        <w:spacing w:line="264"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w:t>
      </w:r>
      <w:r>
        <w:rPr>
          <w:rFonts w:hint="eastAsia" w:ascii="宋体" w:hAnsi="宋体" w:cs="宋体"/>
          <w:sz w:val="24"/>
          <w:szCs w:val="24"/>
        </w:rPr>
        <w:t xml:space="preserve">集中勘察或答疑：不组织集中勘察，供应商如果对采购需求有疑问请和采购单位联系人沟通。未踏勘现场或踏勘工作不详细的供应商中标后，不得以不了解现场情况为由向采购人提出任何索赔或其他要求，对此采购人不承担任何责任。</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2、有关本次招标的事项若存在变动或修改，敬请及时关注“南京公共采购信息网”发布的信息更正公告。</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3、本项目需要使用CA数字证书制作、上传电子投标文件完成电子投标，请供应商在参加投标活动前办理好CA数字证书申领及电子签章等操作。</w:t>
      </w:r>
      <w:r/>
    </w:p>
    <w:p>
      <w:pPr>
        <w:ind w:firstLine="480"/>
        <w:spacing w:line="264"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w:t>
      </w:r>
      <w:r>
        <w:rPr>
          <w:rFonts w:hint="eastAsia" w:ascii="宋体" w:hAnsi="宋体" w:cs="宋体"/>
          <w:sz w:val="24"/>
          <w:szCs w:val="24"/>
          <w:lang w:val="zh-CN"/>
        </w:rPr>
        <w:t xml:space="preserve">江苏省政府采购交易系统</w:t>
      </w:r>
      <w:r>
        <w:rPr>
          <w:rFonts w:hint="eastAsia" w:ascii="宋体" w:hAnsi="宋体" w:cs="宋体"/>
          <w:sz w:val="24"/>
          <w:szCs w:val="24"/>
        </w:rPr>
        <w:t xml:space="preserve">（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p>
    <w:p>
      <w:pPr>
        <w:ind w:firstLine="480"/>
        <w:spacing w:line="264"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858"/>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spacing w:line="264" w:lineRule="auto"/>
        <w:rPr>
          <w:rFonts w:hint="eastAsia" w:ascii="宋体" w:hAnsi="宋体"/>
          <w:sz w:val="24"/>
          <w:szCs w:val="24"/>
        </w:rPr>
      </w:pPr>
      <w:r>
        <w:rPr>
          <w:rFonts w:hint="eastAsia" w:ascii="宋体" w:hAnsi="宋体"/>
          <w:sz w:val="24"/>
          <w:szCs w:val="24"/>
        </w:rPr>
        <w:t xml:space="preserve">1.采购人</w:t>
      </w:r>
      <w:r/>
    </w:p>
    <w:p>
      <w:pPr>
        <w:ind w:firstLine="480"/>
        <w:spacing w:line="264" w:lineRule="auto"/>
        <w:rPr>
          <w:rFonts w:hint="eastAsia" w:ascii="宋体" w:hAnsi="宋体"/>
          <w:sz w:val="24"/>
          <w:szCs w:val="24"/>
        </w:rPr>
      </w:pPr>
      <w:r>
        <w:rPr>
          <w:rFonts w:hint="eastAsia" w:ascii="宋体" w:hAnsi="宋体"/>
          <w:sz w:val="24"/>
          <w:szCs w:val="24"/>
        </w:rPr>
        <w:t xml:space="preserve">名  称：</w:t>
      </w:r>
      <w:r>
        <w:rPr>
          <w:rFonts w:hint="eastAsia" w:ascii="宋体" w:hAnsi="宋体"/>
          <w:color w:val="0000ff"/>
          <w:sz w:val="24"/>
          <w:szCs w:val="24"/>
          <w:lang w:eastAsia="zh-CN"/>
        </w:rPr>
        <w:t xml:space="preserve">南京市溧水区农业农村局</w:t>
      </w:r>
      <w:r>
        <w:rPr>
          <w:rFonts w:hint="eastAsia" w:ascii="宋体" w:hAnsi="宋体"/>
          <w:color w:val="0000ff"/>
          <w:sz w:val="24"/>
          <w:szCs w:val="24"/>
        </w:rPr>
        <w:t xml:space="preserve">           </w:t>
      </w:r>
      <w:r/>
    </w:p>
    <w:p>
      <w:pPr>
        <w:ind w:firstLine="480"/>
        <w:spacing w:line="264" w:lineRule="auto"/>
        <w:rPr>
          <w:rFonts w:hint="eastAsia" w:ascii="宋体" w:hAnsi="宋体"/>
          <w:sz w:val="24"/>
          <w:szCs w:val="24"/>
        </w:rPr>
      </w:pPr>
      <w:r>
        <w:rPr>
          <w:rFonts w:hint="eastAsia" w:ascii="宋体" w:hAnsi="宋体"/>
          <w:sz w:val="24"/>
          <w:szCs w:val="24"/>
        </w:rPr>
        <w:t xml:space="preserve">地  址：江苏省南京市溧水区珍珠南路73号</w:t>
      </w:r>
      <w:r/>
    </w:p>
    <w:p>
      <w:pPr>
        <w:ind w:firstLine="480"/>
        <w:spacing w:line="264" w:lineRule="auto"/>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陈工</w:t>
      </w:r>
      <w:r/>
    </w:p>
    <w:p>
      <w:pPr>
        <w:ind w:firstLine="480"/>
        <w:spacing w:line="264" w:lineRule="auto"/>
        <w:rPr>
          <w:rFonts w:hint="eastAsia" w:ascii="宋体" w:hAnsi="宋体" w:eastAsia="宋体"/>
          <w:sz w:val="24"/>
          <w:szCs w:val="24"/>
          <w:lang w:val="en-US" w:eastAsia="zh-CN"/>
        </w:rPr>
      </w:pPr>
      <w:r>
        <w:rPr>
          <w:rFonts w:hint="eastAsia" w:ascii="宋体" w:hAnsi="宋体"/>
          <w:sz w:val="24"/>
          <w:szCs w:val="24"/>
        </w:rPr>
        <w:t xml:space="preserve">联系电话：</w:t>
      </w:r>
      <w:bookmarkStart w:id="6" w:name="_Toc28359086"/>
      <w:r/>
      <w:bookmarkStart w:id="7" w:name="_Toc28359009"/>
      <w:r>
        <w:rPr>
          <w:rFonts w:hint="eastAsia" w:ascii="宋体" w:hAnsi="宋体"/>
          <w:sz w:val="24"/>
          <w:szCs w:val="24"/>
          <w:lang w:val="en-US" w:eastAsia="zh-CN"/>
        </w:rPr>
        <w:t xml:space="preserve">/</w:t>
      </w:r>
      <w:bookmarkEnd w:id="6"/>
      <w:bookmarkEnd w:id="7"/>
      <w:r/>
    </w:p>
    <w:p>
      <w:pPr>
        <w:ind w:firstLine="480"/>
        <w:spacing w:line="264" w:lineRule="auto"/>
        <w:rPr>
          <w:rFonts w:ascii="宋体" w:hAnsi="宋体"/>
          <w:sz w:val="24"/>
          <w:szCs w:val="24"/>
        </w:rPr>
      </w:pPr>
      <w:r>
        <w:rPr>
          <w:rFonts w:hint="eastAsia" w:ascii="宋体" w:hAnsi="宋体"/>
          <w:sz w:val="24"/>
          <w:szCs w:val="24"/>
        </w:rPr>
        <w:t xml:space="preserve">2.采购代理机构信息</w:t>
      </w:r>
      <w:r/>
    </w:p>
    <w:p>
      <w:pPr>
        <w:ind w:firstLine="480"/>
        <w:spacing w:line="264" w:lineRule="auto"/>
        <w:rPr>
          <w:rFonts w:ascii="宋体" w:hAnsi="宋体"/>
          <w:sz w:val="24"/>
          <w:szCs w:val="24"/>
        </w:rPr>
      </w:pPr>
      <w:r>
        <w:rPr>
          <w:rFonts w:hint="eastAsia" w:ascii="宋体" w:hAnsi="宋体"/>
          <w:sz w:val="24"/>
          <w:szCs w:val="24"/>
        </w:rPr>
        <w:t xml:space="preserve">名称：南京明莹工程项目管理有限公司</w:t>
      </w:r>
      <w:r/>
    </w:p>
    <w:p>
      <w:pPr>
        <w:ind w:firstLine="480"/>
        <w:spacing w:line="264" w:lineRule="auto"/>
        <w:rPr>
          <w:rFonts w:ascii="宋体" w:hAnsi="宋体"/>
          <w:sz w:val="24"/>
          <w:szCs w:val="24"/>
        </w:rPr>
      </w:pPr>
      <w:r>
        <w:rPr>
          <w:rFonts w:hint="eastAsia" w:ascii="宋体" w:hAnsi="宋体"/>
          <w:sz w:val="24"/>
          <w:szCs w:val="24"/>
        </w:rPr>
        <w:t xml:space="preserve">地址：南京市溧水区永阳街道琉璃路67号湖韵怡居B15幢106室</w:t>
      </w:r>
      <w:r/>
    </w:p>
    <w:p>
      <w:pPr>
        <w:ind w:firstLine="480"/>
        <w:spacing w:line="264" w:lineRule="auto"/>
        <w:rPr>
          <w:rFonts w:ascii="宋体" w:hAnsi="宋体"/>
          <w:sz w:val="24"/>
          <w:szCs w:val="24"/>
        </w:rPr>
      </w:pPr>
      <w:r>
        <w:rPr>
          <w:rFonts w:hint="eastAsia" w:ascii="宋体" w:hAnsi="宋体"/>
          <w:sz w:val="24"/>
          <w:szCs w:val="24"/>
        </w:rPr>
        <w:t xml:space="preserve">联系方式：李工 （025）57505729</w:t>
      </w:r>
      <w:r/>
    </w:p>
    <w:p>
      <w:pPr>
        <w:rPr>
          <w:rFonts w:hint="eastAsia"/>
        </w:rPr>
      </w:pPr>
      <w:r>
        <w:rPr>
          <w:rFonts w:hint="eastAsia"/>
        </w:rPr>
      </w:r>
      <w:r/>
    </w:p>
    <w:p>
      <w:pPr>
        <w:pStyle w:val="706"/>
        <w:rPr>
          <w:rFonts w:hint="eastAsia"/>
        </w:rPr>
      </w:pPr>
      <w:r>
        <w:rPr>
          <w:rFonts w:hint="eastAsia"/>
        </w:rPr>
      </w:r>
      <w:r/>
    </w:p>
    <w:p>
      <w:pPr>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第二章  供应商须知</w:t>
      </w:r>
      <w:r/>
    </w:p>
    <w:p>
      <w:pPr>
        <w:pStyle w:val="858"/>
        <w:ind w:firstLine="465"/>
        <w:spacing w:before="145" w:after="145" w:line="240" w:lineRule="auto"/>
        <w:rPr>
          <w:rFonts w:hint="eastAsia" w:ascii="方正黑体_GBK" w:hAnsi="方正黑体_GBK" w:eastAsia="方正黑体_GBK" w:cs="方正黑体_GBK"/>
          <w:b w:val="0"/>
          <w:bCs w:val="0"/>
          <w:sz w:val="30"/>
          <w:szCs w:val="30"/>
        </w:rPr>
      </w:pPr>
      <w:r/>
      <w:bookmarkStart w:id="8" w:name="_Toc120614214"/>
      <w:r/>
      <w:bookmarkStart w:id="9" w:name="_Toc513029203"/>
      <w:r/>
      <w:bookmarkStart w:id="10" w:name="_Toc20823275"/>
      <w:r/>
      <w:bookmarkStart w:id="11" w:name="_Toc16938519"/>
      <w:r>
        <w:rPr>
          <w:rFonts w:hint="eastAsia" w:ascii="方正黑体_GBK" w:hAnsi="方正黑体_GBK" w:eastAsia="方正黑体_GBK" w:cs="方正黑体_GBK"/>
          <w:b w:val="0"/>
          <w:bCs w:val="0"/>
          <w:sz w:val="30"/>
          <w:szCs w:val="30"/>
        </w:rPr>
        <w:t xml:space="preserve">一、总则</w:t>
      </w:r>
      <w:bookmarkEnd w:id="8"/>
      <w:r/>
      <w:bookmarkEnd w:id="9"/>
      <w:r/>
      <w:bookmarkEnd w:id="10"/>
      <w:r/>
      <w:bookmarkEnd w:id="11"/>
      <w:r/>
      <w:r/>
    </w:p>
    <w:p>
      <w:pPr>
        <w:pStyle w:val="859"/>
        <w:ind w:firstLine="420"/>
        <w:spacing w:before="0" w:after="0" w:line="240" w:lineRule="auto"/>
        <w:rPr>
          <w:rFonts w:hint="eastAsia" w:ascii="方正楷体_GBK" w:hAnsi="方正楷体_GBK" w:eastAsia="方正楷体_GBK" w:cs="方正楷体_GBK"/>
        </w:rPr>
      </w:pPr>
      <w:r/>
      <w:bookmarkStart w:id="12" w:name="_Hlt16619475"/>
      <w:r/>
      <w:bookmarkEnd w:id="12"/>
      <w:r/>
      <w:bookmarkStart w:id="13" w:name="_Toc458694821"/>
      <w:r/>
      <w:bookmarkStart w:id="14" w:name="_Toc20823276"/>
      <w:r/>
      <w:bookmarkStart w:id="15" w:name="_Toc16938520"/>
      <w:r/>
      <w:bookmarkStart w:id="16" w:name="_Toc513029204"/>
      <w:r>
        <w:rPr>
          <w:rFonts w:hint="eastAsia" w:ascii="方正楷体_GBK" w:hAnsi="方正楷体_GBK" w:eastAsia="方正楷体_GBK" w:cs="方正楷体_GBK"/>
        </w:rPr>
        <w:t xml:space="preserve">1</w:t>
      </w:r>
      <w:bookmarkEnd w:id="13"/>
      <w:r>
        <w:rPr>
          <w:rFonts w:hint="eastAsia" w:ascii="方正楷体_GBK" w:hAnsi="方正楷体_GBK" w:eastAsia="方正楷体_GBK" w:cs="方正楷体_GBK"/>
        </w:rPr>
        <w:t xml:space="preserve">.采购方式</w:t>
      </w:r>
      <w:bookmarkEnd w:id="14"/>
      <w:r/>
      <w:bookmarkEnd w:id="15"/>
      <w:r/>
      <w:bookmarkEnd w:id="16"/>
      <w:r/>
      <w:r/>
    </w:p>
    <w:p>
      <w:pPr>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59"/>
        <w:ind w:firstLine="420"/>
        <w:spacing w:before="0" w:after="0" w:line="240" w:lineRule="auto"/>
        <w:rPr>
          <w:rFonts w:hint="eastAsia" w:ascii="方正楷体_GBK" w:hAnsi="方正楷体_GBK" w:eastAsia="方正楷体_GBK" w:cs="方正楷体_GBK"/>
        </w:rPr>
      </w:pPr>
      <w:r/>
      <w:bookmarkStart w:id="17" w:name="_Toc513029205"/>
      <w:r/>
      <w:bookmarkStart w:id="18" w:name="_Toc16938521"/>
      <w:r/>
      <w:bookmarkStart w:id="19" w:name="_Toc20823277"/>
      <w:r>
        <w:rPr>
          <w:rFonts w:hint="eastAsia" w:ascii="方正楷体_GBK" w:hAnsi="方正楷体_GBK" w:eastAsia="方正楷体_GBK" w:cs="方正楷体_GBK"/>
        </w:rPr>
        <w:t xml:space="preserve">2.合格的</w:t>
      </w:r>
      <w:bookmarkEnd w:id="17"/>
      <w:r/>
      <w:bookmarkEnd w:id="18"/>
      <w:r/>
      <w:bookmarkEnd w:id="19"/>
      <w:r>
        <w:rPr>
          <w:rFonts w:hint="eastAsia" w:ascii="方正楷体_GBK" w:hAnsi="方正楷体_GBK" w:eastAsia="方正楷体_GBK" w:cs="方正楷体_GBK"/>
        </w:rPr>
        <w:t xml:space="preserve">供应商</w:t>
      </w:r>
      <w:r/>
    </w:p>
    <w:p>
      <w:pPr>
        <w:ind w:firstLine="420"/>
        <w:rPr>
          <w:rFonts w:hint="eastAsia" w:ascii="宋体" w:hAnsi="宋体"/>
          <w:sz w:val="24"/>
          <w:szCs w:val="21"/>
        </w:rPr>
      </w:pPr>
      <w:r>
        <w:rPr>
          <w:rFonts w:hint="eastAsia" w:ascii="宋体" w:hAnsi="宋体"/>
          <w:sz w:val="24"/>
          <w:szCs w:val="21"/>
        </w:rPr>
        <w:t xml:space="preserve">2.1 满足采购公告对供应商资格要求的规定。</w:t>
      </w:r>
      <w:r/>
    </w:p>
    <w:p>
      <w:pPr>
        <w:ind w:firstLine="420"/>
        <w:rPr>
          <w:rFonts w:hint="eastAsia" w:ascii="宋体" w:hAnsi="宋体"/>
          <w:sz w:val="24"/>
          <w:szCs w:val="21"/>
        </w:rPr>
      </w:pPr>
      <w:r>
        <w:rPr>
          <w:rFonts w:hint="eastAsia" w:ascii="宋体" w:hAnsi="宋体"/>
          <w:sz w:val="24"/>
          <w:szCs w:val="21"/>
        </w:rPr>
        <w:t xml:space="preserve">2.2 满足磋商文件规定的实质性要求和条件。</w:t>
      </w:r>
      <w:r/>
    </w:p>
    <w:p>
      <w:pPr>
        <w:pStyle w:val="859"/>
        <w:ind w:firstLine="420"/>
        <w:spacing w:before="0" w:after="0" w:line="240" w:lineRule="auto"/>
        <w:rPr>
          <w:rFonts w:hint="eastAsia" w:ascii="方正楷体_GBK" w:hAnsi="方正楷体_GBK" w:eastAsia="方正楷体_GBK" w:cs="方正楷体_GBK"/>
        </w:rPr>
      </w:pPr>
      <w:r/>
      <w:bookmarkStart w:id="20" w:name="_Toc16938522"/>
      <w:r/>
      <w:bookmarkStart w:id="21" w:name="_Toc513029206"/>
      <w:r/>
      <w:bookmarkStart w:id="22" w:name="_Toc20823278"/>
      <w:r>
        <w:rPr>
          <w:rFonts w:hint="eastAsia" w:ascii="方正楷体_GBK" w:hAnsi="方正楷体_GBK" w:eastAsia="方正楷体_GBK" w:cs="方正楷体_GBK"/>
        </w:rPr>
        <w:t xml:space="preserve">3.适用法律</w:t>
      </w:r>
      <w:bookmarkEnd w:id="20"/>
      <w:r/>
      <w:bookmarkEnd w:id="21"/>
      <w:r/>
      <w:bookmarkEnd w:id="22"/>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859"/>
        <w:ind w:firstLine="420"/>
        <w:spacing w:before="0" w:after="0" w:line="240" w:lineRule="auto"/>
        <w:rPr>
          <w:rFonts w:hint="eastAsia" w:ascii="方正楷体_GBK" w:hAnsi="方正楷体_GBK" w:eastAsia="方正楷体_GBK" w:cs="方正楷体_GBK"/>
        </w:rPr>
      </w:pPr>
      <w:r/>
      <w:bookmarkStart w:id="23" w:name="_Toc16938523"/>
      <w:r/>
      <w:bookmarkStart w:id="24" w:name="_Toc462564067"/>
      <w:r/>
      <w:bookmarkStart w:id="25" w:name="_Toc513029207"/>
      <w:r/>
      <w:bookmarkStart w:id="26" w:name="_Toc20823279"/>
      <w:r>
        <w:rPr>
          <w:rFonts w:hint="eastAsia" w:ascii="方正楷体_GBK" w:hAnsi="方正楷体_GBK" w:eastAsia="方正楷体_GBK" w:cs="方正楷体_GBK"/>
        </w:rPr>
        <w:t xml:space="preserve">4.磋商费用</w:t>
      </w:r>
      <w:bookmarkEnd w:id="23"/>
      <w:r/>
      <w:bookmarkEnd w:id="24"/>
      <w:r/>
      <w:bookmarkEnd w:id="25"/>
      <w:r/>
      <w:bookmarkEnd w:id="26"/>
      <w:r/>
      <w:r/>
    </w:p>
    <w:p>
      <w:pPr>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代理单位</w:t>
      </w:r>
      <w:r>
        <w:rPr>
          <w:rFonts w:hint="eastAsia" w:ascii="宋体" w:hAnsi="宋体"/>
          <w:sz w:val="24"/>
          <w:szCs w:val="21"/>
        </w:rPr>
        <w:t xml:space="preserve">在任何情况下均无义务和责任承担这些费用。</w:t>
      </w:r>
      <w:r/>
    </w:p>
    <w:p>
      <w:pPr>
        <w:ind w:firstLine="420"/>
        <w:rPr>
          <w:rFonts w:hint="eastAsia" w:ascii="宋体" w:hAnsi="宋体"/>
          <w:sz w:val="24"/>
          <w:szCs w:val="21"/>
        </w:rPr>
      </w:pPr>
      <w:r>
        <w:rPr>
          <w:rFonts w:hint="eastAsia" w:ascii="宋体" w:hAnsi="宋体"/>
          <w:sz w:val="24"/>
          <w:szCs w:val="21"/>
        </w:rPr>
        <w:t xml:space="preserve">4.2 本次采购组织的采购代理服务费由中标单位支付</w:t>
      </w:r>
      <w:r>
        <w:rPr>
          <w:rFonts w:hint="eastAsia" w:ascii="宋体" w:hAnsi="宋体"/>
          <w:sz w:val="24"/>
          <w:szCs w:val="21"/>
          <w:lang w:eastAsia="zh-CN"/>
        </w:rPr>
        <w:t xml:space="preserve">；专家评审费用由采购人支付</w:t>
      </w:r>
      <w:r>
        <w:rPr>
          <w:rFonts w:hint="eastAsia" w:ascii="宋体" w:hAnsi="宋体"/>
          <w:sz w:val="24"/>
          <w:szCs w:val="21"/>
        </w:rPr>
        <w:t xml:space="preserve">。</w:t>
      </w:r>
      <w:r/>
    </w:p>
    <w:p>
      <w:pPr>
        <w:ind w:firstLine="422"/>
        <w:rPr>
          <w:rFonts w:hint="eastAsia" w:ascii="宋体" w:hAnsi="宋体"/>
          <w:b/>
          <w:sz w:val="24"/>
          <w:szCs w:val="21"/>
        </w:rPr>
      </w:pPr>
      <w:r>
        <w:rPr>
          <w:rFonts w:hint="eastAsia" w:ascii="宋体" w:hAnsi="宋体"/>
          <w:b/>
          <w:sz w:val="24"/>
          <w:szCs w:val="21"/>
          <w:lang w:val="en-US" w:eastAsia="zh-CN"/>
        </w:rPr>
        <w:t xml:space="preserve">4.2.1</w:t>
      </w:r>
      <w:r>
        <w:rPr>
          <w:rFonts w:hint="eastAsia" w:ascii="宋体" w:hAnsi="宋体"/>
          <w:b/>
          <w:sz w:val="24"/>
          <w:szCs w:val="21"/>
        </w:rPr>
        <w:t xml:space="preserve">招标代理收费标准：</w:t>
      </w:r>
      <w:r>
        <w:rPr>
          <w:rFonts w:hint="eastAsia" w:ascii="宋体" w:hAnsi="宋体"/>
          <w:b/>
          <w:sz w:val="24"/>
          <w:szCs w:val="21"/>
          <w:lang w:val="en-US" w:eastAsia="zh-CN"/>
        </w:rPr>
        <w:t xml:space="preserve">5000元</w:t>
      </w:r>
      <w:r>
        <w:rPr>
          <w:rFonts w:hint="eastAsia" w:ascii="宋体" w:hAnsi="宋体"/>
          <w:b/>
          <w:sz w:val="24"/>
          <w:szCs w:val="21"/>
        </w:rPr>
        <w:t xml:space="preserve">，不单独计列，计入供应商报价中。</w:t>
      </w:r>
      <w:r/>
    </w:p>
    <w:p>
      <w:pPr>
        <w:pStyle w:val="85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58"/>
        <w:ind w:firstLine="465"/>
        <w:spacing w:before="145" w:after="145" w:line="240" w:lineRule="auto"/>
        <w:rPr>
          <w:rFonts w:hint="eastAsia" w:ascii="方正黑体_GBK" w:hAnsi="方正黑体_GBK" w:eastAsia="方正黑体_GBK" w:cs="方正黑体_GBK"/>
          <w:b w:val="0"/>
          <w:bCs w:val="0"/>
          <w:sz w:val="30"/>
          <w:szCs w:val="30"/>
        </w:rPr>
      </w:pPr>
      <w:r/>
      <w:bookmarkStart w:id="27" w:name="_Toc20823281"/>
      <w:r/>
      <w:bookmarkStart w:id="28" w:name="_Toc16938525"/>
      <w:r/>
      <w:bookmarkStart w:id="29" w:name="_Toc120614215"/>
      <w:r/>
      <w:bookmarkStart w:id="30" w:name="_Toc513029209"/>
      <w:r>
        <w:rPr>
          <w:rFonts w:hint="eastAsia" w:ascii="方正黑体_GBK" w:hAnsi="方正黑体_GBK" w:eastAsia="方正黑体_GBK" w:cs="方正黑体_GBK"/>
          <w:b w:val="0"/>
          <w:bCs w:val="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sz w:val="30"/>
          <w:szCs w:val="30"/>
        </w:rPr>
        <w:t xml:space="preserve">磋商文件</w:t>
      </w:r>
      <w:r/>
    </w:p>
    <w:p>
      <w:pPr>
        <w:pStyle w:val="859"/>
        <w:ind w:firstLine="420"/>
        <w:spacing w:before="0" w:after="0" w:line="240" w:lineRule="auto"/>
        <w:rPr>
          <w:rFonts w:hint="eastAsia" w:ascii="方正楷体_GBK" w:hAnsi="方正楷体_GBK" w:eastAsia="方正楷体_GBK" w:cs="方正楷体_GBK"/>
        </w:rPr>
      </w:pPr>
      <w:r/>
      <w:bookmarkStart w:id="31" w:name="_Toc513029210"/>
      <w:r/>
      <w:bookmarkStart w:id="32" w:name="_Toc20823282"/>
      <w:r/>
      <w:bookmarkStart w:id="33" w:name="_Toc16938526"/>
      <w:r>
        <w:rPr>
          <w:rFonts w:hint="eastAsia" w:ascii="方正楷体_GBK" w:hAnsi="方正楷体_GBK" w:eastAsia="方正楷体_GBK" w:cs="方正楷体_GBK"/>
        </w:rPr>
        <w:t xml:space="preserve">6.磋商文件构成</w:t>
      </w:r>
      <w:bookmarkEnd w:id="31"/>
      <w:r/>
      <w:bookmarkEnd w:id="32"/>
      <w:r/>
      <w:bookmarkEnd w:id="33"/>
      <w:r/>
      <w:r/>
    </w:p>
    <w:p>
      <w:pPr>
        <w:ind w:firstLine="420"/>
        <w:rPr>
          <w:rFonts w:hint="eastAsia" w:ascii="宋体" w:hAnsi="宋体"/>
          <w:sz w:val="24"/>
          <w:szCs w:val="21"/>
        </w:rPr>
      </w:pPr>
      <w:r>
        <w:rPr>
          <w:rFonts w:hint="eastAsia" w:ascii="宋体" w:hAnsi="宋体"/>
          <w:sz w:val="24"/>
          <w:szCs w:val="21"/>
        </w:rPr>
        <w:t xml:space="preserve">6.1 磋商文件由以下部分组成：</w:t>
      </w:r>
      <w:r/>
    </w:p>
    <w:p>
      <w:pPr>
        <w:ind w:firstLine="420"/>
        <w:rPr>
          <w:rFonts w:hint="eastAsia" w:ascii="宋体" w:hAnsi="宋体"/>
          <w:sz w:val="24"/>
          <w:szCs w:val="21"/>
        </w:rPr>
      </w:pPr>
      <w:r>
        <w:rPr>
          <w:rFonts w:hint="eastAsia" w:ascii="宋体" w:hAnsi="宋体"/>
          <w:sz w:val="24"/>
          <w:szCs w:val="21"/>
        </w:rPr>
        <w:t xml:space="preserve">（1）磋商邀请</w:t>
      </w:r>
      <w:r/>
    </w:p>
    <w:p>
      <w:pPr>
        <w:ind w:firstLine="420"/>
        <w:rPr>
          <w:rFonts w:hint="eastAsia" w:ascii="宋体" w:hAnsi="宋体"/>
          <w:sz w:val="24"/>
          <w:szCs w:val="21"/>
        </w:rPr>
      </w:pPr>
      <w:r>
        <w:rPr>
          <w:rFonts w:hint="eastAsia" w:ascii="宋体" w:hAnsi="宋体"/>
          <w:sz w:val="24"/>
          <w:szCs w:val="21"/>
        </w:rPr>
        <w:t xml:space="preserve">（2）供应商须知</w:t>
      </w:r>
      <w:r/>
    </w:p>
    <w:p>
      <w:pPr>
        <w:ind w:firstLine="420"/>
        <w:rPr>
          <w:rFonts w:hint="eastAsia" w:ascii="宋体" w:hAnsi="宋体"/>
          <w:sz w:val="24"/>
          <w:szCs w:val="21"/>
        </w:rPr>
      </w:pPr>
      <w:r>
        <w:rPr>
          <w:rFonts w:hint="eastAsia" w:ascii="宋体" w:hAnsi="宋体"/>
          <w:sz w:val="24"/>
          <w:szCs w:val="21"/>
        </w:rPr>
        <w:t xml:space="preserve">（3）合同文本</w:t>
      </w:r>
      <w:r/>
    </w:p>
    <w:p>
      <w:pPr>
        <w:ind w:firstLine="420"/>
        <w:rPr>
          <w:rFonts w:hint="eastAsia" w:ascii="宋体" w:hAnsi="宋体"/>
          <w:sz w:val="24"/>
          <w:szCs w:val="21"/>
        </w:rPr>
      </w:pPr>
      <w:r>
        <w:rPr>
          <w:rFonts w:hint="eastAsia" w:ascii="宋体" w:hAnsi="宋体"/>
          <w:sz w:val="24"/>
          <w:szCs w:val="21"/>
        </w:rPr>
        <w:t xml:space="preserve">（4）采购需求</w:t>
      </w:r>
      <w:r/>
    </w:p>
    <w:p>
      <w:pPr>
        <w:ind w:firstLine="420"/>
        <w:rPr>
          <w:rFonts w:hint="eastAsia" w:ascii="宋体" w:hAnsi="宋体"/>
          <w:sz w:val="24"/>
          <w:szCs w:val="21"/>
        </w:rPr>
      </w:pPr>
      <w:r>
        <w:rPr>
          <w:rFonts w:hint="eastAsia" w:ascii="宋体" w:hAnsi="宋体"/>
          <w:sz w:val="24"/>
          <w:szCs w:val="21"/>
        </w:rPr>
        <w:t xml:space="preserve">（5）评审方法与评审标准</w:t>
      </w:r>
      <w:r/>
    </w:p>
    <w:p>
      <w:pPr>
        <w:ind w:firstLine="420"/>
        <w:rPr>
          <w:rFonts w:hint="eastAsia" w:ascii="宋体" w:hAnsi="宋体"/>
          <w:sz w:val="24"/>
          <w:szCs w:val="21"/>
        </w:rPr>
      </w:pPr>
      <w:r>
        <w:rPr>
          <w:rFonts w:hint="eastAsia" w:ascii="宋体" w:hAnsi="宋体"/>
          <w:sz w:val="24"/>
          <w:szCs w:val="21"/>
        </w:rPr>
        <w:t xml:space="preserve">（6）响应文件格式</w:t>
      </w:r>
      <w:r/>
    </w:p>
    <w:p>
      <w:pPr>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供应商应仔细检查磋商文件是否齐全，如有缺漏请立即与代理单位联系。</w:t>
      </w:r>
      <w:r/>
    </w:p>
    <w:p>
      <w:pPr>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9"/>
        <w:ind w:firstLine="420"/>
        <w:spacing w:before="0" w:after="0" w:line="240" w:lineRule="auto"/>
        <w:rPr>
          <w:rFonts w:hint="eastAsia" w:ascii="方正楷体_GBK" w:hAnsi="方正楷体_GBK" w:eastAsia="方正楷体_GBK" w:cs="方正楷体_GBK"/>
        </w:rPr>
      </w:pPr>
      <w:r/>
      <w:bookmarkStart w:id="34" w:name="_Toc16938527"/>
      <w:r/>
      <w:bookmarkStart w:id="35" w:name="_Toc513029211"/>
      <w:r/>
      <w:bookmarkStart w:id="36" w:name="_Toc462564070"/>
      <w:r/>
      <w:bookmarkStart w:id="37" w:name="_Toc20823283"/>
      <w:r>
        <w:rPr>
          <w:rFonts w:hint="eastAsia" w:ascii="方正楷体_GBK" w:hAnsi="方正楷体_GBK" w:eastAsia="方正楷体_GBK" w:cs="方正楷体_GBK"/>
        </w:rPr>
        <w:t xml:space="preserve">7.磋商文件的澄清</w:t>
      </w:r>
      <w:bookmarkEnd w:id="34"/>
      <w:r/>
      <w:bookmarkEnd w:id="35"/>
      <w:r/>
      <w:bookmarkEnd w:id="36"/>
      <w:r/>
      <w:bookmarkEnd w:id="37"/>
      <w:r/>
      <w:r/>
    </w:p>
    <w:p>
      <w:pPr>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任何要求对磋商文件进行澄清的供应商，应在磋商截止期五日前按采购公告中的通讯地址，以书面形式通知代理单位。</w:t>
      </w:r>
      <w:r/>
    </w:p>
    <w:p>
      <w:pPr>
        <w:pStyle w:val="859"/>
        <w:ind w:firstLine="420"/>
        <w:spacing w:before="0" w:after="0" w:line="240" w:lineRule="auto"/>
        <w:rPr>
          <w:rFonts w:hint="eastAsia" w:ascii="方正楷体_GBK" w:hAnsi="方正楷体_GBK" w:eastAsia="方正楷体_GBK" w:cs="方正楷体_GBK"/>
        </w:rPr>
      </w:pPr>
      <w:r/>
      <w:bookmarkStart w:id="38" w:name="_Toc462564071"/>
      <w:r/>
      <w:bookmarkStart w:id="39" w:name="_Toc513029212"/>
      <w:r/>
      <w:bookmarkStart w:id="40" w:name="_Toc20823284"/>
      <w:r/>
      <w:bookmarkStart w:id="41" w:name="_Toc16938528"/>
      <w:r>
        <w:rPr>
          <w:rFonts w:hint="eastAsia" w:ascii="方正楷体_GBK" w:hAnsi="方正楷体_GBK" w:eastAsia="方正楷体_GBK" w:cs="方正楷体_GBK"/>
        </w:rPr>
        <w:t xml:space="preserve">8.磋商文件的修改</w:t>
      </w:r>
      <w:bookmarkEnd w:id="38"/>
      <w:r/>
      <w:bookmarkEnd w:id="39"/>
      <w:r/>
      <w:bookmarkEnd w:id="40"/>
      <w:r/>
      <w:bookmarkEnd w:id="41"/>
      <w:r/>
      <w:r/>
    </w:p>
    <w:p>
      <w:pPr>
        <w:ind w:firstLine="420"/>
        <w:rPr>
          <w:rFonts w:hint="eastAsia" w:ascii="宋体" w:hAnsi="宋体"/>
          <w:sz w:val="24"/>
          <w:szCs w:val="21"/>
        </w:rPr>
      </w:pPr>
      <w:r/>
      <w:bookmarkStart w:id="42" w:name="_Toc462564072"/>
      <w:r/>
      <w:bookmarkStart w:id="43" w:name="_Toc120614216"/>
      <w:r/>
      <w:bookmarkStart w:id="44" w:name="_Toc513029213"/>
      <w:r/>
      <w:bookmarkStart w:id="45" w:name="_Toc20823285"/>
      <w:r/>
      <w:bookmarkStart w:id="46" w:name="_Toc16938529"/>
      <w:r>
        <w:rPr>
          <w:rFonts w:hint="eastAsia" w:ascii="宋体" w:hAnsi="宋体"/>
          <w:sz w:val="24"/>
          <w:szCs w:val="21"/>
        </w:rPr>
        <w:t xml:space="preserve">8.1 在响应文件提交截止时间前，代理单位可以对磋商文件进行修改。磋商文件的修改将在原公告媒体发布更正公告，更正内容将作为磋商文件的组成部分，并对供应商具有约束力。</w:t>
      </w:r>
      <w:r/>
    </w:p>
    <w:p>
      <w:pPr>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sz w:val="24"/>
          <w:szCs w:val="21"/>
        </w:rPr>
      </w:pPr>
      <w:r>
        <w:rPr>
          <w:rFonts w:hint="eastAsia" w:ascii="宋体" w:hAnsi="宋体"/>
          <w:sz w:val="24"/>
          <w:szCs w:val="21"/>
        </w:rPr>
        <w:t xml:space="preserve">8.3 代理单位有权按照法定的要求推迟提交响应文件截止时间，并在原公告媒体发布更正公告。</w:t>
      </w:r>
      <w:r/>
    </w:p>
    <w:p>
      <w:pPr>
        <w:pStyle w:val="85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2"/>
      <w:r/>
      <w:bookmarkEnd w:id="43"/>
      <w:r/>
      <w:bookmarkEnd w:id="44"/>
      <w:r/>
      <w:bookmarkEnd w:id="45"/>
      <w:r/>
      <w:bookmarkEnd w:id="46"/>
      <w:r/>
      <w:r/>
    </w:p>
    <w:p>
      <w:pPr>
        <w:pStyle w:val="859"/>
        <w:ind w:firstLine="420"/>
        <w:spacing w:before="0" w:after="0" w:line="240" w:lineRule="auto"/>
        <w:rPr>
          <w:rFonts w:hint="eastAsia" w:ascii="方正楷体_GBK" w:hAnsi="方正楷体_GBK" w:eastAsia="方正楷体_GBK" w:cs="方正楷体_GBK"/>
        </w:rPr>
      </w:pPr>
      <w:r/>
      <w:bookmarkStart w:id="47" w:name="_Toc513029214"/>
      <w:r/>
      <w:bookmarkStart w:id="48" w:name="_Toc462564073"/>
      <w:r/>
      <w:bookmarkStart w:id="49" w:name="_Toc20823286"/>
      <w:r/>
      <w:bookmarkStart w:id="50" w:name="_Toc16938530"/>
      <w:r>
        <w:rPr>
          <w:rFonts w:hint="eastAsia" w:ascii="方正楷体_GBK" w:hAnsi="方正楷体_GBK" w:eastAsia="方正楷体_GBK" w:cs="方正楷体_GBK"/>
        </w:rPr>
        <w:t xml:space="preserve">9.响应文件的语言及度量衡单位</w:t>
      </w:r>
      <w:bookmarkEnd w:id="47"/>
      <w:r/>
      <w:bookmarkEnd w:id="48"/>
      <w:r/>
      <w:bookmarkEnd w:id="49"/>
      <w:r/>
      <w:bookmarkEnd w:id="50"/>
      <w:r/>
      <w:r/>
    </w:p>
    <w:p>
      <w:pPr>
        <w:ind w:firstLine="420"/>
        <w:rPr>
          <w:rFonts w:hint="eastAsia" w:ascii="宋体" w:hAnsi="宋体"/>
          <w:sz w:val="24"/>
          <w:szCs w:val="21"/>
        </w:rPr>
      </w:pPr>
      <w:r>
        <w:rPr>
          <w:rFonts w:hint="eastAsia" w:ascii="宋体" w:hAnsi="宋体"/>
          <w:sz w:val="24"/>
          <w:szCs w:val="21"/>
        </w:rPr>
        <w:t xml:space="preserve">9.1 供应商提交的响应文件以及供应商与代理单位就有关磋商的所有来往通知、函件和文件均应使用简体中文。</w:t>
      </w:r>
      <w:r/>
    </w:p>
    <w:p>
      <w:pPr>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859"/>
        <w:ind w:firstLine="420"/>
        <w:spacing w:before="0" w:after="0" w:line="240" w:lineRule="auto"/>
        <w:rPr>
          <w:rFonts w:hint="eastAsia" w:ascii="方正楷体_GBK" w:hAnsi="方正楷体_GBK" w:eastAsia="方正楷体_GBK" w:cs="方正楷体_GBK"/>
        </w:rPr>
      </w:pPr>
      <w:r/>
      <w:bookmarkStart w:id="51" w:name="_Toc513029215"/>
      <w:r/>
      <w:bookmarkStart w:id="52" w:name="_Toc16938531"/>
      <w:r/>
      <w:bookmarkStart w:id="53" w:name="_Toc20823287"/>
      <w:r/>
      <w:bookmarkStart w:id="54" w:name="_Toc462564074"/>
      <w:r>
        <w:rPr>
          <w:rFonts w:hint="eastAsia" w:ascii="方正楷体_GBK" w:hAnsi="方正楷体_GBK" w:eastAsia="方正楷体_GBK" w:cs="方正楷体_GBK"/>
        </w:rPr>
        <w:t xml:space="preserve">10.响应文件构成</w:t>
      </w:r>
      <w:bookmarkEnd w:id="51"/>
      <w:r/>
      <w:bookmarkEnd w:id="52"/>
      <w:r/>
      <w:bookmarkEnd w:id="53"/>
      <w:r/>
      <w:bookmarkEnd w:id="54"/>
      <w:r/>
      <w:r/>
    </w:p>
    <w:p>
      <w:pPr>
        <w:ind w:firstLine="420"/>
        <w:rPr>
          <w:rFonts w:hint="eastAsia" w:ascii="宋体" w:hAnsi="宋体"/>
          <w:sz w:val="24"/>
          <w:szCs w:val="21"/>
        </w:rPr>
      </w:pPr>
      <w:r/>
      <w:bookmarkStart w:id="55" w:name="_Hlt26954852"/>
      <w:r/>
      <w:bookmarkEnd w:id="55"/>
      <w:r/>
      <w:bookmarkStart w:id="56" w:name="_Hlt26954739"/>
      <w:r/>
      <w:bookmarkEnd w:id="56"/>
      <w:r/>
      <w:bookmarkStart w:id="57" w:name="_Toc20823296"/>
      <w:r/>
      <w:bookmarkStart w:id="58" w:name="_Toc513029224"/>
      <w:r/>
      <w:bookmarkStart w:id="59" w:name="_Toc120614217"/>
      <w:r/>
      <w:bookmarkStart w:id="60" w:name="_Toc16938540"/>
      <w:r>
        <w:rPr>
          <w:rFonts w:hint="eastAsia" w:ascii="宋体" w:hAnsi="宋体"/>
          <w:sz w:val="24"/>
          <w:szCs w:val="21"/>
        </w:rPr>
        <w:t xml:space="preserve">10.1供应商应当根据磋商文件要求编制响应文件，并根据自己的商务能力、技术水平对磋商文件提出的要求和条件逐条标明是否响应。响应文件由商务部分、技术部分、价格部分，以及其他部分组成。</w:t>
      </w:r>
      <w:r/>
    </w:p>
    <w:p>
      <w:pPr>
        <w:ind w:firstLine="420"/>
        <w:rPr>
          <w:rFonts w:hint="eastAsia" w:ascii="宋体" w:hAnsi="宋体"/>
          <w:sz w:val="24"/>
          <w:szCs w:val="21"/>
        </w:rPr>
      </w:pPr>
      <w:r>
        <w:rPr>
          <w:rFonts w:hint="eastAsia" w:ascii="宋体" w:hAnsi="宋体"/>
          <w:sz w:val="24"/>
          <w:szCs w:val="21"/>
        </w:rPr>
        <w:t xml:space="preserve">10.2响应文件的商务部分。商务部分是证明供应商有资格参加磋商和成交后有能力履行合同的文件，文件应能满足竞争性磋商采购文件的要求，包括但不限于下列文件， 其中加“★”项目不得有缺失或无效：</w:t>
      </w:r>
      <w:r/>
    </w:p>
    <w:p>
      <w:pPr>
        <w:ind w:firstLine="420"/>
        <w:rPr>
          <w:rFonts w:hint="eastAsia" w:ascii="宋体" w:hAnsi="宋体"/>
          <w:sz w:val="24"/>
          <w:szCs w:val="21"/>
        </w:rPr>
      </w:pPr>
      <w:r>
        <w:rPr>
          <w:rFonts w:hint="eastAsia" w:ascii="宋体" w:hAnsi="宋体"/>
          <w:sz w:val="24"/>
          <w:szCs w:val="21"/>
        </w:rPr>
        <w:t xml:space="preserve">（1）★磋商响应函；</w:t>
      </w:r>
      <w:r/>
    </w:p>
    <w:p>
      <w:pPr>
        <w:ind w:firstLine="420"/>
        <w:rPr>
          <w:rFonts w:hint="eastAsia" w:ascii="宋体" w:hAnsi="宋体"/>
          <w:sz w:val="24"/>
          <w:szCs w:val="21"/>
        </w:rPr>
      </w:pPr>
      <w:r>
        <w:rPr>
          <w:rFonts w:hint="eastAsia" w:ascii="宋体" w:hAnsi="宋体"/>
          <w:sz w:val="24"/>
          <w:szCs w:val="21"/>
        </w:rPr>
        <w:t xml:space="preserve">（2）★法定代表人授权委托书原件及委托代理人的身份证复印件；</w:t>
      </w:r>
      <w:r/>
    </w:p>
    <w:p>
      <w:pPr>
        <w:ind w:firstLine="420"/>
        <w:rPr>
          <w:rFonts w:hint="eastAsia" w:ascii="宋体" w:hAnsi="宋体"/>
          <w:sz w:val="24"/>
          <w:szCs w:val="21"/>
        </w:rPr>
      </w:pPr>
      <w:r>
        <w:rPr>
          <w:rFonts w:hint="eastAsia" w:ascii="宋体" w:hAnsi="宋体"/>
          <w:sz w:val="24"/>
          <w:szCs w:val="21"/>
        </w:rPr>
        <w:t xml:space="preserve">（3）★供应商资格证明文件；</w:t>
      </w:r>
      <w:r/>
    </w:p>
    <w:p>
      <w:pPr>
        <w:ind w:firstLine="420"/>
        <w:rPr>
          <w:rFonts w:hint="eastAsia" w:ascii="宋体" w:hAnsi="宋体"/>
          <w:sz w:val="24"/>
          <w:szCs w:val="21"/>
        </w:rPr>
      </w:pPr>
      <w:r>
        <w:rPr>
          <w:rFonts w:hint="eastAsia" w:ascii="宋体" w:hAnsi="宋体"/>
          <w:sz w:val="24"/>
          <w:szCs w:val="21"/>
        </w:rPr>
        <w:t xml:space="preserve">（4）中小企业声明函</w:t>
      </w:r>
      <w:r/>
    </w:p>
    <w:p>
      <w:pPr>
        <w:ind w:firstLine="420"/>
        <w:rPr>
          <w:rFonts w:hint="eastAsia" w:ascii="宋体" w:hAnsi="宋体"/>
          <w:sz w:val="24"/>
          <w:szCs w:val="21"/>
        </w:rPr>
      </w:pPr>
      <w:r>
        <w:rPr>
          <w:rFonts w:hint="eastAsia" w:ascii="宋体" w:hAnsi="宋体"/>
          <w:sz w:val="24"/>
          <w:szCs w:val="21"/>
        </w:rPr>
        <w:t xml:space="preserve">（5）《商务要求响应及偏离表》；</w:t>
      </w:r>
      <w:r/>
    </w:p>
    <w:p>
      <w:pPr>
        <w:ind w:firstLine="420"/>
        <w:rPr>
          <w:rFonts w:hint="eastAsia" w:ascii="宋体" w:hAnsi="宋体"/>
          <w:sz w:val="24"/>
          <w:szCs w:val="21"/>
        </w:rPr>
      </w:pPr>
      <w:r>
        <w:rPr>
          <w:rFonts w:hint="eastAsia" w:ascii="宋体" w:hAnsi="宋体"/>
          <w:sz w:val="24"/>
          <w:szCs w:val="21"/>
          <w:lang w:eastAsia="zh-CN"/>
        </w:rPr>
        <w:t xml:space="preserve">（</w:t>
      </w:r>
      <w:r>
        <w:rPr>
          <w:rFonts w:hint="eastAsia" w:ascii="宋体" w:hAnsi="宋体"/>
          <w:sz w:val="24"/>
          <w:szCs w:val="21"/>
          <w:lang w:val="en-US" w:eastAsia="zh-CN"/>
        </w:rPr>
        <w:t xml:space="preserve">6）</w:t>
      </w:r>
      <w:r>
        <w:rPr>
          <w:rFonts w:hint="eastAsia" w:ascii="宋体" w:hAnsi="宋体"/>
          <w:sz w:val="24"/>
          <w:szCs w:val="21"/>
        </w:rPr>
        <w:t xml:space="preserve">供应商认为需要提供的其他资格证明文件和商务资料。</w:t>
      </w:r>
      <w:r/>
    </w:p>
    <w:p>
      <w:pPr>
        <w:ind w:firstLine="420"/>
        <w:rPr>
          <w:rFonts w:hint="eastAsia" w:ascii="宋体" w:hAnsi="宋体"/>
          <w:sz w:val="24"/>
          <w:szCs w:val="21"/>
        </w:rPr>
      </w:pPr>
      <w:r>
        <w:rPr>
          <w:rFonts w:hint="eastAsia" w:ascii="宋体" w:hAnsi="宋体"/>
          <w:sz w:val="24"/>
          <w:szCs w:val="21"/>
        </w:rPr>
        <w:t xml:space="preserve">10.3响应文件的技术部分。技术部分是证明供应商提供的货物、服务和工程是合格的，并符合磋商文件要求的证明文件，以及对货物、服务和工程的详细说明，这些文件可以是文字资料、图纸和数据等。提供的货物、服务和工程如与磋商文件要求有不符之处，应说明其差别之所在。包括但不限于下列文件，其中加“★”项目不得有缺失或无效：</w:t>
      </w:r>
      <w:r/>
    </w:p>
    <w:p>
      <w:pPr>
        <w:ind w:firstLine="420"/>
        <w:rPr>
          <w:rFonts w:hint="eastAsia" w:ascii="宋体" w:hAnsi="宋体"/>
          <w:sz w:val="24"/>
          <w:szCs w:val="21"/>
        </w:rPr>
      </w:pPr>
      <w:r>
        <w:rPr>
          <w:rFonts w:hint="eastAsia" w:ascii="宋体" w:hAnsi="宋体"/>
          <w:sz w:val="24"/>
          <w:szCs w:val="21"/>
        </w:rPr>
        <w:t xml:space="preserve">（1）</w:t>
      </w:r>
      <w:r>
        <w:rPr>
          <w:rFonts w:hint="eastAsia" w:ascii="宋体" w:hAnsi="宋体"/>
          <w:sz w:val="24"/>
          <w:szCs w:val="21"/>
          <w:lang w:val="en-US" w:eastAsia="zh-CN"/>
        </w:rPr>
        <w:t xml:space="preserve">服务实施方案</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w:t>
      </w:r>
      <w:r>
        <w:rPr>
          <w:rFonts w:hint="eastAsia" w:ascii="宋体" w:hAnsi="宋体"/>
          <w:sz w:val="24"/>
          <w:szCs w:val="21"/>
          <w:lang w:val="en-US" w:eastAsia="zh-CN"/>
        </w:rPr>
        <w:t xml:space="preserve">2</w:t>
      </w:r>
      <w:r>
        <w:rPr>
          <w:rFonts w:hint="eastAsia" w:ascii="宋体" w:hAnsi="宋体"/>
          <w:sz w:val="24"/>
          <w:szCs w:val="21"/>
        </w:rPr>
        <w:t xml:space="preserve">）服务承诺</w:t>
      </w:r>
      <w:r>
        <w:rPr>
          <w:rFonts w:hint="eastAsia" w:ascii="宋体" w:hAnsi="宋体"/>
          <w:sz w:val="24"/>
          <w:szCs w:val="21"/>
          <w:lang w:val="zh-CN"/>
        </w:rPr>
        <w:t xml:space="preserve">（不得低于本项目磋商要求）</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w:t>
      </w:r>
      <w:r>
        <w:rPr>
          <w:rFonts w:hint="eastAsia" w:ascii="宋体" w:hAnsi="宋体"/>
          <w:sz w:val="24"/>
          <w:szCs w:val="21"/>
          <w:lang w:val="en-US" w:eastAsia="zh-CN"/>
        </w:rPr>
        <w:t xml:space="preserve">3</w:t>
      </w:r>
      <w:r>
        <w:rPr>
          <w:rFonts w:hint="eastAsia" w:ascii="宋体" w:hAnsi="宋体"/>
          <w:sz w:val="24"/>
          <w:szCs w:val="21"/>
        </w:rPr>
        <w:t xml:space="preserve">）《技术要求响应及偏离表》；</w:t>
      </w:r>
      <w:r/>
    </w:p>
    <w:p>
      <w:pPr>
        <w:ind w:firstLine="420"/>
        <w:rPr>
          <w:rFonts w:hint="eastAsia" w:ascii="宋体" w:hAnsi="宋体"/>
          <w:sz w:val="24"/>
          <w:szCs w:val="21"/>
        </w:rPr>
      </w:pPr>
      <w:r>
        <w:rPr>
          <w:rFonts w:hint="eastAsia" w:ascii="宋体" w:hAnsi="宋体"/>
          <w:sz w:val="24"/>
          <w:szCs w:val="21"/>
        </w:rPr>
        <w:t xml:space="preserve">（</w:t>
      </w:r>
      <w:r>
        <w:rPr>
          <w:rFonts w:hint="eastAsia" w:ascii="宋体" w:hAnsi="宋体"/>
          <w:sz w:val="24"/>
          <w:szCs w:val="21"/>
          <w:lang w:val="en-US" w:eastAsia="zh-CN"/>
        </w:rPr>
        <w:t xml:space="preserve">4</w:t>
      </w:r>
      <w:r>
        <w:rPr>
          <w:rFonts w:hint="eastAsia" w:ascii="宋体" w:hAnsi="宋体"/>
          <w:sz w:val="24"/>
          <w:szCs w:val="21"/>
        </w:rPr>
        <w:t xml:space="preserve">）供应商认为需要提供的其他技术资料。</w:t>
      </w:r>
      <w:r/>
    </w:p>
    <w:p>
      <w:pPr>
        <w:ind w:firstLine="420"/>
        <w:rPr>
          <w:rFonts w:hint="eastAsia" w:ascii="宋体" w:hAnsi="宋体"/>
          <w:sz w:val="24"/>
          <w:szCs w:val="21"/>
        </w:rPr>
      </w:pPr>
      <w:r>
        <w:rPr>
          <w:rFonts w:hint="eastAsia" w:ascii="宋体" w:hAnsi="宋体"/>
          <w:sz w:val="24"/>
          <w:szCs w:val="21"/>
        </w:rPr>
        <w:t xml:space="preserve">10.4响应文件的价格部分</w:t>
      </w:r>
      <w:r/>
    </w:p>
    <w:p>
      <w:pPr>
        <w:ind w:firstLine="420"/>
        <w:rPr>
          <w:rFonts w:hint="eastAsia" w:ascii="宋体" w:hAnsi="宋体"/>
          <w:sz w:val="24"/>
          <w:szCs w:val="21"/>
        </w:rPr>
      </w:pPr>
      <w:r>
        <w:rPr>
          <w:rFonts w:hint="eastAsia" w:ascii="宋体" w:hAnsi="宋体"/>
          <w:sz w:val="24"/>
          <w:szCs w:val="21"/>
        </w:rPr>
        <w:t xml:space="preserve">价格部分是对货物、服务和工程价格构成的说明，磋商文件如没有特别说明的话，对每一项货物、服务和工程仅接受一个价格。</w:t>
      </w:r>
      <w:r/>
    </w:p>
    <w:p>
      <w:pPr>
        <w:ind w:firstLine="420"/>
        <w:rPr>
          <w:rFonts w:hint="eastAsia" w:ascii="宋体" w:hAnsi="宋体"/>
          <w:sz w:val="24"/>
          <w:szCs w:val="21"/>
        </w:rPr>
      </w:pPr>
      <w:r>
        <w:rPr>
          <w:rFonts w:hint="eastAsia" w:ascii="宋体" w:hAnsi="宋体"/>
          <w:sz w:val="24"/>
          <w:szCs w:val="21"/>
        </w:rPr>
        <w:t xml:space="preserve">10.5报价应包含完成本货物、服务和工程项目发生的所有含税费用、支付给员工的工资和国家强制缴纳的各种社会保障资金，以及供应商认为需要的其他费用等。</w:t>
      </w:r>
      <w:r/>
    </w:p>
    <w:p>
      <w:pPr>
        <w:ind w:firstLine="420"/>
        <w:rPr>
          <w:rFonts w:hint="eastAsia" w:ascii="宋体" w:hAnsi="宋体"/>
          <w:sz w:val="24"/>
          <w:szCs w:val="21"/>
        </w:rPr>
      </w:pPr>
      <w:r>
        <w:rPr>
          <w:rFonts w:hint="eastAsia" w:ascii="宋体" w:hAnsi="宋体"/>
          <w:sz w:val="24"/>
          <w:szCs w:val="21"/>
        </w:rPr>
        <w:t xml:space="preserve">10.6供应商应充分考虑到市场价格变动，以及项目实施过程中的不可预见因素， 一旦成交，固定单价不变。如果有漏项，视同让利。</w:t>
      </w:r>
      <w:r/>
    </w:p>
    <w:p>
      <w:pPr>
        <w:ind w:firstLine="420"/>
        <w:rPr>
          <w:rFonts w:hint="eastAsia" w:ascii="宋体" w:hAnsi="宋体"/>
          <w:sz w:val="24"/>
          <w:szCs w:val="21"/>
        </w:rPr>
      </w:pPr>
      <w:r>
        <w:rPr>
          <w:rFonts w:hint="eastAsia" w:ascii="宋体" w:hAnsi="宋体"/>
          <w:sz w:val="24"/>
          <w:szCs w:val="21"/>
        </w:rPr>
        <w:t xml:space="preserve">10.7经磋商后，如果成交价低于响应文件首次报价，工程量清单同比例调整。</w:t>
      </w:r>
      <w:r/>
    </w:p>
    <w:p>
      <w:pPr>
        <w:ind w:firstLine="420"/>
        <w:rPr>
          <w:rFonts w:hint="eastAsia" w:ascii="宋体" w:hAnsi="宋体"/>
          <w:sz w:val="24"/>
          <w:szCs w:val="21"/>
        </w:rPr>
      </w:pPr>
      <w:r>
        <w:rPr>
          <w:rFonts w:hint="eastAsia" w:ascii="宋体" w:hAnsi="宋体"/>
          <w:sz w:val="24"/>
          <w:szCs w:val="21"/>
        </w:rPr>
        <w:t xml:space="preserve">10.8响应文件的其他部分。其他部分由供应商根据编制响应文件需要提供的其他相关文件。</w:t>
      </w:r>
      <w:r/>
    </w:p>
    <w:p>
      <w:pPr>
        <w:pStyle w:val="85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bookmarkEnd w:id="57"/>
      <w:r/>
      <w:bookmarkEnd w:id="58"/>
      <w:r/>
      <w:bookmarkEnd w:id="59"/>
      <w:r/>
      <w:bookmarkEnd w:id="60"/>
      <w:r/>
      <w:r/>
    </w:p>
    <w:p>
      <w:pPr>
        <w:pStyle w:val="859"/>
        <w:ind w:firstLine="420"/>
        <w:spacing w:before="0" w:after="0" w:line="240" w:lineRule="auto"/>
        <w:rPr>
          <w:rFonts w:hint="eastAsia" w:ascii="方正楷体_GBK" w:hAnsi="方正楷体_GBK" w:eastAsia="方正楷体_GBK" w:cs="方正楷体_GBK"/>
        </w:rPr>
      </w:pPr>
      <w:r/>
      <w:bookmarkStart w:id="61" w:name="_Toc513029225"/>
      <w:r/>
      <w:bookmarkStart w:id="62" w:name="_Toc462564084"/>
      <w:r/>
      <w:bookmarkStart w:id="63" w:name="_Toc16938541"/>
      <w:r/>
      <w:bookmarkStart w:id="64" w:name="_Toc20823297"/>
      <w:r>
        <w:rPr>
          <w:rFonts w:hint="eastAsia" w:ascii="方正楷体_GBK" w:hAnsi="方正楷体_GBK" w:eastAsia="方正楷体_GBK" w:cs="方正楷体_GBK"/>
        </w:rPr>
        <w:t xml:space="preserve">17.</w:t>
      </w:r>
      <w:bookmarkEnd w:id="61"/>
      <w:r/>
      <w:bookmarkEnd w:id="62"/>
      <w:r/>
      <w:bookmarkEnd w:id="63"/>
      <w:r/>
      <w:bookmarkEnd w:id="64"/>
      <w:r>
        <w:rPr>
          <w:rFonts w:hint="eastAsia" w:ascii="方正楷体_GBK" w:hAnsi="方正楷体_GBK" w:eastAsia="方正楷体_GBK" w:cs="方正楷体_GBK"/>
        </w:rPr>
        <w:t xml:space="preserve">响应文件的递交</w:t>
      </w:r>
      <w:r/>
    </w:p>
    <w:p>
      <w:pPr>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65" w:name="_Toc16938542"/>
      <w:r/>
      <w:bookmarkStart w:id="66" w:name="_Toc20823298"/>
      <w:r/>
      <w:bookmarkStart w:id="67" w:name="_Toc513029226"/>
      <w:r/>
      <w:bookmarkEnd w:id="65"/>
      <w:bookmarkEnd w:id="66"/>
      <w:bookmarkEnd w:id="67"/>
      <w:r/>
    </w:p>
    <w:p>
      <w:pPr>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ind w:firstLine="420"/>
        <w:rPr>
          <w:rFonts w:hint="eastAsia" w:ascii="宋体" w:hAnsi="宋体"/>
          <w:sz w:val="24"/>
          <w:szCs w:val="21"/>
        </w:rPr>
      </w:pPr>
      <w:r>
        <w:rPr>
          <w:rFonts w:hint="eastAsia" w:ascii="宋体" w:hAnsi="宋体"/>
          <w:sz w:val="24"/>
          <w:szCs w:val="21"/>
        </w:rPr>
        <w:t xml:space="preserve">17.3 代理单位可以按照规定，通过修改磋商文件酌情延长提交响应文件截止日期，在此情况下，供应商的所有权利和义务均以延长后新的截止日期为准。</w:t>
      </w:r>
      <w:r/>
    </w:p>
    <w:p>
      <w:pPr>
        <w:pStyle w:val="859"/>
        <w:ind w:firstLine="420"/>
        <w:spacing w:before="0" w:after="0" w:line="240" w:lineRule="auto"/>
        <w:rPr>
          <w:rFonts w:hint="eastAsia" w:ascii="方正楷体_GBK" w:hAnsi="方正楷体_GBK" w:eastAsia="方正楷体_GBK" w:cs="方正楷体_GBK"/>
        </w:rPr>
      </w:pPr>
      <w:r/>
      <w:bookmarkStart w:id="68" w:name="_Toc16938543"/>
      <w:r/>
      <w:bookmarkStart w:id="69" w:name="_Toc513029227"/>
      <w:r/>
      <w:bookmarkStart w:id="70" w:name="_Toc20823299"/>
      <w:r>
        <w:rPr>
          <w:rFonts w:hint="eastAsia" w:ascii="方正楷体_GBK" w:hAnsi="方正楷体_GBK" w:eastAsia="方正楷体_GBK" w:cs="方正楷体_GBK"/>
        </w:rPr>
        <w:t xml:space="preserve">18.响应文件</w:t>
      </w:r>
      <w:bookmarkEnd w:id="68"/>
      <w:r/>
      <w:bookmarkEnd w:id="69"/>
      <w:r/>
      <w:bookmarkEnd w:id="70"/>
      <w:r>
        <w:rPr>
          <w:rFonts w:hint="eastAsia" w:ascii="方正楷体_GBK" w:hAnsi="方正楷体_GBK" w:eastAsia="方正楷体_GBK" w:cs="方正楷体_GBK"/>
        </w:rPr>
        <w:t xml:space="preserve">的拒收</w:t>
      </w:r>
      <w:r/>
    </w:p>
    <w:p>
      <w:pPr>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p>
    <w:p>
      <w:pPr>
        <w:pStyle w:val="859"/>
        <w:ind w:firstLine="420"/>
        <w:spacing w:before="0" w:after="0" w:line="240" w:lineRule="auto"/>
        <w:rPr>
          <w:rFonts w:hint="eastAsia" w:ascii="方正楷体_GBK" w:hAnsi="方正楷体_GBK" w:eastAsia="方正楷体_GBK" w:cs="方正楷体_GBK"/>
        </w:rPr>
      </w:pPr>
      <w:r/>
      <w:bookmarkStart w:id="71" w:name="_Toc16938544"/>
      <w:r/>
      <w:bookmarkStart w:id="72" w:name="_Toc513029228"/>
      <w:r/>
      <w:bookmarkStart w:id="73" w:name="_Toc20823300"/>
      <w:r>
        <w:rPr>
          <w:rFonts w:hint="eastAsia" w:ascii="方正楷体_GBK" w:hAnsi="方正楷体_GBK" w:eastAsia="方正楷体_GBK" w:cs="方正楷体_GBK"/>
        </w:rPr>
        <w:t xml:space="preserve">19.响应文件的撤回和修改</w:t>
      </w:r>
      <w:bookmarkEnd w:id="71"/>
      <w:r/>
      <w:bookmarkEnd w:id="72"/>
      <w:r/>
      <w:bookmarkEnd w:id="73"/>
      <w:r/>
      <w:r/>
    </w:p>
    <w:p>
      <w:pPr>
        <w:ind w:firstLine="420"/>
        <w:rPr>
          <w:rFonts w:hint="eastAsia" w:ascii="宋体" w:hAnsi="宋体"/>
          <w:sz w:val="24"/>
          <w:szCs w:val="21"/>
        </w:rPr>
      </w:pPr>
      <w:r>
        <w:rPr>
          <w:rFonts w:hint="eastAsia" w:ascii="宋体" w:hAnsi="宋体"/>
          <w:sz w:val="24"/>
          <w:szCs w:val="21"/>
        </w:rPr>
        <w:t xml:space="preserve">19.1 响应文件的撤回</w:t>
      </w:r>
      <w:r/>
    </w:p>
    <w:p>
      <w:pPr>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p>
    <w:p>
      <w:pPr>
        <w:ind w:firstLine="420"/>
        <w:rPr>
          <w:rFonts w:hint="eastAsia" w:ascii="宋体" w:hAnsi="宋体"/>
          <w:sz w:val="24"/>
          <w:szCs w:val="21"/>
        </w:rPr>
      </w:pPr>
      <w:r>
        <w:rPr>
          <w:rFonts w:hint="eastAsia" w:ascii="宋体" w:hAnsi="宋体"/>
          <w:sz w:val="24"/>
          <w:szCs w:val="21"/>
        </w:rPr>
        <w:t xml:space="preserve">19.2 响应文件的修改</w:t>
      </w:r>
      <w:r/>
    </w:p>
    <w:p>
      <w:pPr>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858"/>
        <w:ind w:firstLine="465"/>
        <w:spacing w:before="145" w:after="145" w:line="240" w:lineRule="auto"/>
        <w:rPr>
          <w:rFonts w:hint="eastAsia" w:ascii="方正黑体_GBK" w:hAnsi="方正黑体_GBK" w:eastAsia="方正黑体_GBK" w:cs="方正黑体_GBK"/>
          <w:b w:val="0"/>
          <w:bCs w:val="0"/>
          <w:sz w:val="30"/>
          <w:szCs w:val="30"/>
        </w:rPr>
      </w:pPr>
      <w:r/>
      <w:bookmarkStart w:id="74" w:name="_Toc120614218"/>
      <w:r/>
      <w:bookmarkStart w:id="75" w:name="_Toc20823301"/>
      <w:r/>
      <w:bookmarkStart w:id="76" w:name="_Toc513029229"/>
      <w:r/>
      <w:bookmarkStart w:id="77" w:name="_Toc16938545"/>
      <w:r>
        <w:rPr>
          <w:rFonts w:hint="eastAsia" w:ascii="方正黑体_GBK" w:hAnsi="方正黑体_GBK" w:eastAsia="方正黑体_GBK" w:cs="方正黑体_GBK"/>
          <w:b w:val="0"/>
          <w:bCs w:val="0"/>
          <w:sz w:val="30"/>
          <w:szCs w:val="30"/>
        </w:rPr>
        <w:t xml:space="preserve">五、响应文件的解密与评审</w:t>
      </w:r>
      <w:bookmarkEnd w:id="74"/>
      <w:r/>
      <w:bookmarkEnd w:id="75"/>
      <w:r/>
      <w:bookmarkEnd w:id="76"/>
      <w:r/>
      <w:bookmarkEnd w:id="77"/>
      <w:r/>
      <w:r/>
    </w:p>
    <w:p>
      <w:pPr>
        <w:pStyle w:val="859"/>
        <w:ind w:firstLine="420"/>
        <w:spacing w:before="0" w:after="0" w:line="240" w:lineRule="auto"/>
        <w:rPr>
          <w:rFonts w:hint="eastAsia" w:ascii="方正楷体_GBK" w:hAnsi="方正楷体_GBK" w:eastAsia="方正楷体_GBK" w:cs="方正楷体_GBK"/>
        </w:rPr>
      </w:pPr>
      <w:r/>
      <w:bookmarkStart w:id="78" w:name="_Toc513029230"/>
      <w:r/>
      <w:bookmarkStart w:id="79" w:name="_Toc20823302"/>
      <w:r/>
      <w:bookmarkStart w:id="80" w:name="_Toc16938546"/>
      <w:r>
        <w:rPr>
          <w:rFonts w:hint="eastAsia" w:ascii="方正楷体_GBK" w:hAnsi="方正楷体_GBK" w:eastAsia="方正楷体_GBK" w:cs="方正楷体_GBK"/>
        </w:rPr>
        <w:t xml:space="preserve">2</w:t>
      </w:r>
      <w:bookmarkEnd w:id="78"/>
      <w:r/>
      <w:bookmarkEnd w:id="79"/>
      <w:r/>
      <w:bookmarkEnd w:id="80"/>
      <w:r>
        <w:rPr>
          <w:rFonts w:hint="eastAsia" w:ascii="方正楷体_GBK" w:hAnsi="方正楷体_GBK" w:eastAsia="方正楷体_GBK" w:cs="方正楷体_GBK"/>
        </w:rPr>
        <w:t xml:space="preserve">0.响应文件解密</w:t>
      </w:r>
      <w:r/>
    </w:p>
    <w:p>
      <w:pPr>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859"/>
        <w:ind w:firstLine="420"/>
        <w:spacing w:before="0" w:after="0" w:line="240" w:lineRule="auto"/>
        <w:rPr>
          <w:rFonts w:hint="eastAsia" w:ascii="方正楷体_GBK" w:hAnsi="方正楷体_GBK" w:eastAsia="方正楷体_GBK" w:cs="方正楷体_GBK"/>
        </w:rPr>
      </w:pPr>
      <w:r/>
      <w:bookmarkStart w:id="81" w:name="_Toc20823303"/>
      <w:r/>
      <w:bookmarkStart w:id="82" w:name="_Toc16938547"/>
      <w:r/>
      <w:bookmarkStart w:id="83" w:name="_Toc513029231"/>
      <w:r>
        <w:rPr>
          <w:rFonts w:hint="eastAsia" w:ascii="方正楷体_GBK" w:hAnsi="方正楷体_GBK" w:eastAsia="方正楷体_GBK" w:cs="方正楷体_GBK"/>
        </w:rPr>
        <w:t xml:space="preserve">21.磋商</w:t>
      </w:r>
      <w:r/>
    </w:p>
    <w:p>
      <w:pPr>
        <w:ind w:firstLine="420"/>
        <w:rPr>
          <w:rFonts w:hint="eastAsia" w:ascii="宋体" w:hAnsi="宋体"/>
          <w:sz w:val="24"/>
          <w:szCs w:val="21"/>
        </w:rPr>
      </w:pPr>
      <w:r>
        <w:rPr>
          <w:rFonts w:hint="eastAsia" w:ascii="宋体" w:hAnsi="宋体"/>
          <w:sz w:val="24"/>
          <w:szCs w:val="21"/>
        </w:rPr>
        <w:t xml:space="preserve">21.1 依法组建的磋商小组对响应文件进行评审。</w:t>
      </w:r>
      <w:r/>
    </w:p>
    <w:p>
      <w:pPr>
        <w:ind w:firstLine="420"/>
        <w:rPr>
          <w:rFonts w:hint="eastAsia" w:ascii="宋体" w:hAnsi="宋体"/>
          <w:sz w:val="24"/>
          <w:szCs w:val="21"/>
        </w:rPr>
      </w:pPr>
      <w:r>
        <w:rPr>
          <w:rFonts w:hint="eastAsia" w:ascii="宋体" w:hAnsi="宋体"/>
          <w:sz w:val="24"/>
          <w:szCs w:val="21"/>
        </w:rPr>
        <w:t xml:space="preserve">21.2 磋商小组由采购人代表和有关技术、经济或法律等方面的专家组成，且人员构成符合政府采购有关规定。</w:t>
      </w:r>
      <w:r/>
    </w:p>
    <w:p>
      <w:pPr>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85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bookmarkEnd w:id="81"/>
      <w:bookmarkEnd w:id="82"/>
      <w:bookmarkEnd w:id="83"/>
      <w:r/>
    </w:p>
    <w:p>
      <w:pPr>
        <w:ind w:firstLine="420"/>
        <w:rPr>
          <w:rFonts w:hint="eastAsia" w:ascii="宋体" w:hAnsi="宋体"/>
          <w:sz w:val="24"/>
          <w:szCs w:val="21"/>
        </w:rPr>
      </w:pPr>
      <w:r>
        <w:rPr>
          <w:rFonts w:hint="eastAsia" w:ascii="宋体" w:hAnsi="宋体"/>
          <w:sz w:val="24"/>
          <w:szCs w:val="21"/>
        </w:rPr>
        <w:t xml:space="preserve">22.1 磋商小组、采购人和代理单位工作人员、相关监督人员等与评审工作有关的人员，对评审情况以及在评审过程中获悉的国家秘密、商业秘密负有保密责任。</w:t>
      </w:r>
      <w:r/>
    </w:p>
    <w:p>
      <w:pPr>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hint="eastAsia" w:ascii="宋体" w:hAnsi="宋体"/>
          <w:sz w:val="24"/>
          <w:szCs w:val="21"/>
        </w:rPr>
      </w:pPr>
      <w:r>
        <w:rPr>
          <w:rFonts w:hint="eastAsia" w:ascii="宋体" w:hAnsi="宋体"/>
          <w:sz w:val="24"/>
          <w:szCs w:val="21"/>
        </w:rPr>
        <w:t xml:space="preserve">22.3 代理单位和磋商小组不向未成交的供应商解释未成交原因，也不公布评审过程中的相关细节。</w:t>
      </w:r>
      <w:r/>
    </w:p>
    <w:p>
      <w:pPr>
        <w:pStyle w:val="859"/>
        <w:ind w:firstLine="420"/>
        <w:spacing w:before="0" w:after="0" w:line="240" w:lineRule="auto"/>
        <w:rPr>
          <w:rFonts w:hint="eastAsia" w:ascii="方正楷体_GBK" w:hAnsi="方正楷体_GBK" w:eastAsia="方正楷体_GBK" w:cs="方正楷体_GBK"/>
        </w:rPr>
      </w:pPr>
      <w:r/>
      <w:bookmarkStart w:id="84" w:name="_Toc513029232"/>
      <w:r/>
      <w:bookmarkStart w:id="85" w:name="_Toc20823304"/>
      <w:r/>
      <w:bookmarkStart w:id="86" w:name="_Toc16938548"/>
      <w:r>
        <w:rPr>
          <w:rFonts w:hint="eastAsia" w:ascii="方正楷体_GBK" w:hAnsi="方正楷体_GBK" w:eastAsia="方正楷体_GBK" w:cs="方正楷体_GBK"/>
        </w:rPr>
        <w:t xml:space="preserve">23.评审过程中的澄清</w:t>
      </w:r>
      <w:bookmarkEnd w:id="84"/>
      <w:r/>
      <w:bookmarkEnd w:id="85"/>
      <w:r/>
      <w:bookmarkEnd w:id="86"/>
      <w:r/>
      <w:r/>
    </w:p>
    <w:p>
      <w:pPr>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859"/>
        <w:ind w:firstLine="420"/>
        <w:spacing w:before="0" w:after="0" w:line="240" w:lineRule="auto"/>
        <w:rPr>
          <w:rFonts w:hint="eastAsia" w:ascii="方正楷体_GBK" w:hAnsi="方正楷体_GBK" w:eastAsia="方正楷体_GBK" w:cs="方正楷体_GBK"/>
        </w:rPr>
      </w:pPr>
      <w:r/>
      <w:bookmarkStart w:id="87" w:name="_Toc20823305"/>
      <w:r/>
      <w:bookmarkStart w:id="88" w:name="_Toc513029233"/>
      <w:r/>
      <w:bookmarkStart w:id="89" w:name="_Toc16938549"/>
      <w:r>
        <w:rPr>
          <w:rFonts w:hint="eastAsia" w:ascii="方正楷体_GBK" w:hAnsi="方正楷体_GBK" w:eastAsia="方正楷体_GBK" w:cs="方正楷体_GBK"/>
        </w:rPr>
        <w:t xml:space="preserve">24.响应文件的审</w:t>
      </w:r>
      <w:bookmarkEnd w:id="87"/>
      <w:r/>
      <w:bookmarkEnd w:id="88"/>
      <w:r/>
      <w:bookmarkEnd w:id="89"/>
      <w:r>
        <w:rPr>
          <w:rFonts w:hint="eastAsia" w:ascii="方正楷体_GBK" w:hAnsi="方正楷体_GBK" w:eastAsia="方正楷体_GBK" w:cs="方正楷体_GBK"/>
        </w:rPr>
        <w:t xml:space="preserve">查</w:t>
      </w:r>
      <w:r/>
    </w:p>
    <w:p>
      <w:pPr>
        <w:ind w:firstLine="420"/>
        <w:rPr>
          <w:rFonts w:hint="eastAsia" w:ascii="宋体" w:hAnsi="宋体"/>
          <w:sz w:val="24"/>
          <w:szCs w:val="21"/>
        </w:rPr>
      </w:pPr>
      <w:r>
        <w:rPr>
          <w:rFonts w:hint="eastAsia" w:ascii="宋体" w:hAnsi="宋体"/>
          <w:sz w:val="24"/>
          <w:szCs w:val="21"/>
        </w:rPr>
        <w:t xml:space="preserve">24.1 响应文件审查分为资格审查和符合性审查。</w:t>
      </w:r>
      <w:r/>
    </w:p>
    <w:p>
      <w:pPr>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hint="eastAsia" w:ascii="宋体" w:hAnsi="宋体"/>
          <w:sz w:val="24"/>
          <w:szCs w:val="21"/>
        </w:rPr>
      </w:pPr>
      <w:r>
        <w:rPr>
          <w:rFonts w:hint="eastAsia" w:ascii="宋体" w:hAnsi="宋体"/>
          <w:sz w:val="24"/>
          <w:szCs w:val="21"/>
        </w:rPr>
        <w:t xml:space="preserve">24.3 未实质性响应磋商文件的情形</w:t>
      </w:r>
      <w:r/>
    </w:p>
    <w:p>
      <w:pPr>
        <w:ind w:firstLine="420"/>
        <w:rPr>
          <w:rFonts w:hint="eastAsia" w:ascii="宋体" w:hAnsi="宋体"/>
          <w:sz w:val="24"/>
          <w:szCs w:val="21"/>
        </w:rPr>
      </w:pPr>
      <w:r>
        <w:rPr>
          <w:rFonts w:hint="eastAsia" w:ascii="宋体" w:hAnsi="宋体"/>
          <w:sz w:val="24"/>
          <w:szCs w:val="21"/>
        </w:rPr>
        <w:t xml:space="preserve">24.3.1 供应商在苏采云系统规定的时间内未成功解密电子响应文件。</w:t>
      </w:r>
      <w:r/>
    </w:p>
    <w:p>
      <w:pPr>
        <w:ind w:firstLine="420"/>
        <w:rPr>
          <w:rFonts w:hint="eastAsia" w:ascii="宋体" w:hAnsi="宋体"/>
          <w:sz w:val="24"/>
          <w:szCs w:val="21"/>
        </w:rPr>
      </w:pPr>
      <w:r>
        <w:rPr>
          <w:rFonts w:hint="eastAsia" w:ascii="宋体" w:hAnsi="宋体"/>
          <w:sz w:val="24"/>
          <w:szCs w:val="21"/>
        </w:rPr>
        <w:t xml:space="preserve">24.3.2 供应商未按照磋商文件要求上传电子响应文件。</w:t>
      </w:r>
      <w:r/>
    </w:p>
    <w:p>
      <w:pPr>
        <w:ind w:firstLine="420"/>
        <w:rPr>
          <w:rFonts w:hint="eastAsia" w:ascii="宋体" w:hAnsi="宋体"/>
          <w:sz w:val="24"/>
          <w:szCs w:val="21"/>
        </w:rPr>
      </w:pPr>
      <w:r>
        <w:rPr>
          <w:rFonts w:hint="eastAsia" w:ascii="宋体" w:hAnsi="宋体"/>
          <w:sz w:val="24"/>
          <w:szCs w:val="21"/>
        </w:rPr>
        <w:t xml:space="preserve">24.3.3 同一供应商提交两个（含两个）以上不同的响应文件或者最后报价。</w:t>
      </w:r>
      <w:r/>
    </w:p>
    <w:p>
      <w:pPr>
        <w:ind w:firstLine="420"/>
        <w:rPr>
          <w:rFonts w:hint="eastAsia" w:ascii="宋体" w:hAnsi="宋体"/>
          <w:sz w:val="24"/>
          <w:szCs w:val="21"/>
        </w:rPr>
      </w:pPr>
      <w:r>
        <w:rPr>
          <w:rFonts w:hint="eastAsia" w:ascii="宋体" w:hAnsi="宋体"/>
          <w:sz w:val="24"/>
          <w:szCs w:val="21"/>
        </w:rPr>
        <w:t xml:space="preserve">24.3.4 供应商不具备磋商文件中规定的资格要求。</w:t>
      </w:r>
      <w:r/>
    </w:p>
    <w:p>
      <w:pPr>
        <w:ind w:firstLine="420"/>
        <w:rPr>
          <w:rFonts w:hint="eastAsia" w:ascii="宋体" w:hAnsi="宋体"/>
          <w:sz w:val="24"/>
          <w:szCs w:val="21"/>
        </w:rPr>
      </w:pPr>
      <w:r>
        <w:rPr>
          <w:rFonts w:hint="eastAsia" w:ascii="宋体" w:hAnsi="宋体"/>
          <w:sz w:val="24"/>
          <w:szCs w:val="21"/>
        </w:rPr>
        <w:t xml:space="preserve">24.3.5 供应商的最后报价超过了采购预算或最高限价。</w:t>
      </w:r>
      <w:r/>
    </w:p>
    <w:p>
      <w:pPr>
        <w:ind w:firstLine="420"/>
        <w:rPr>
          <w:rFonts w:hint="eastAsia" w:ascii="宋体" w:hAnsi="宋体"/>
          <w:sz w:val="24"/>
          <w:szCs w:val="21"/>
        </w:rPr>
      </w:pPr>
      <w:r>
        <w:rPr>
          <w:rFonts w:hint="eastAsia" w:ascii="宋体" w:hAnsi="宋体"/>
          <w:sz w:val="24"/>
          <w:szCs w:val="21"/>
        </w:rPr>
        <w:t xml:space="preserve">24.3.6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hint="eastAsia" w:ascii="宋体" w:hAnsi="宋体"/>
          <w:sz w:val="24"/>
          <w:szCs w:val="21"/>
        </w:rPr>
      </w:pPr>
      <w:r>
        <w:rPr>
          <w:rFonts w:hint="eastAsia" w:ascii="宋体" w:hAnsi="宋体"/>
          <w:sz w:val="24"/>
          <w:szCs w:val="21"/>
        </w:rPr>
        <w:t xml:space="preserve">24.3.8 响应文件含有采购人不能接受的附加条件。</w:t>
      </w:r>
      <w:r/>
    </w:p>
    <w:p>
      <w:pPr>
        <w:ind w:firstLine="420"/>
        <w:rPr>
          <w:rFonts w:hint="eastAsia" w:ascii="宋体" w:hAnsi="宋体"/>
          <w:sz w:val="24"/>
          <w:szCs w:val="21"/>
        </w:rPr>
      </w:pPr>
      <w:r>
        <w:rPr>
          <w:rFonts w:hint="eastAsia" w:ascii="宋体" w:hAnsi="宋体"/>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rPr>
          <w:rFonts w:hint="eastAsia" w:ascii="宋体" w:hAnsi="宋体"/>
          <w:sz w:val="24"/>
          <w:szCs w:val="21"/>
        </w:rPr>
      </w:pPr>
      <w:r>
        <w:rPr>
          <w:rFonts w:hint="eastAsia" w:ascii="宋体" w:hAnsi="宋体"/>
          <w:sz w:val="24"/>
          <w:szCs w:val="21"/>
        </w:rPr>
        <w:t xml:space="preserve">24.3.10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p>
    <w:p>
      <w:pPr>
        <w:ind w:firstLine="420"/>
        <w:rPr>
          <w:rFonts w:hint="eastAsia" w:ascii="宋体" w:hAnsi="宋体"/>
          <w:sz w:val="24"/>
          <w:szCs w:val="21"/>
        </w:rPr>
      </w:pPr>
      <w:r>
        <w:rPr>
          <w:rFonts w:hint="eastAsia" w:ascii="宋体" w:hAnsi="宋体"/>
          <w:sz w:val="24"/>
          <w:szCs w:val="21"/>
        </w:rPr>
        <w:t xml:space="preserve">24.3.11 响应文件未按照磋商文件要求加盖电子公章。</w:t>
      </w:r>
      <w:r/>
    </w:p>
    <w:p>
      <w:pPr>
        <w:ind w:firstLine="420"/>
        <w:rPr>
          <w:rFonts w:hint="eastAsia" w:ascii="宋体" w:hAnsi="宋体"/>
          <w:sz w:val="24"/>
          <w:szCs w:val="21"/>
        </w:rPr>
      </w:pPr>
      <w:r>
        <w:rPr>
          <w:rFonts w:hint="eastAsia" w:ascii="宋体" w:hAnsi="宋体"/>
          <w:sz w:val="24"/>
          <w:szCs w:val="21"/>
        </w:rPr>
        <w:t xml:space="preserve">24.3.12 法律法规及本磋商文件规定的其他无效响应的情形。</w:t>
      </w:r>
      <w:r/>
    </w:p>
    <w:p>
      <w:pPr>
        <w:ind w:firstLine="420"/>
        <w:rPr>
          <w:rFonts w:hint="eastAsia" w:ascii="宋体" w:hAnsi="宋体"/>
          <w:sz w:val="24"/>
          <w:szCs w:val="21"/>
        </w:rPr>
      </w:pPr>
      <w:r>
        <w:rPr>
          <w:rFonts w:hint="eastAsia" w:ascii="宋体" w:hAnsi="宋体"/>
          <w:sz w:val="24"/>
          <w:szCs w:val="21"/>
        </w:rPr>
        <w:t xml:space="preserve">24.4 未实质性响应磋商文件的响应文件按无效响应处理。</w:t>
      </w:r>
      <w:r/>
    </w:p>
    <w:p>
      <w:pPr>
        <w:ind w:firstLine="420"/>
        <w:rPr>
          <w:rFonts w:hint="eastAsia" w:ascii="宋体" w:hAnsi="宋体"/>
          <w:sz w:val="24"/>
          <w:szCs w:val="21"/>
        </w:rPr>
      </w:pPr>
      <w:r>
        <w:rPr>
          <w:rFonts w:hint="eastAsia" w:ascii="宋体" w:hAnsi="宋体"/>
          <w:sz w:val="24"/>
          <w:szCs w:val="21"/>
        </w:rPr>
        <w:t xml:space="preserve">24.5 如果响应文件实质上没有响应磋商文件的要求，磋商小组将予以拒绝，供应商不得通过修改或撤销不合要求的偏离或保留而使其成为实质性响应的文件。</w:t>
      </w:r>
      <w:r/>
    </w:p>
    <w:p>
      <w:pPr>
        <w:ind w:firstLine="420"/>
        <w:rPr>
          <w:rFonts w:hint="eastAsia" w:ascii="宋体" w:hAnsi="宋体"/>
          <w:sz w:val="24"/>
          <w:szCs w:val="21"/>
        </w:rPr>
      </w:pPr>
      <w:r/>
      <w:bookmarkStart w:id="90" w:name="_Toc20823306"/>
      <w:r/>
      <w:bookmarkStart w:id="91" w:name="_Toc513029234"/>
      <w:r/>
      <w:bookmarkStart w:id="92" w:name="_Toc16938550"/>
      <w:r>
        <w:rPr>
          <w:rFonts w:hint="eastAsia" w:ascii="宋体" w:hAnsi="宋体"/>
          <w:sz w:val="24"/>
          <w:szCs w:val="21"/>
        </w:rPr>
        <w:t xml:space="preserve">24.6 供应商在项目评审全过程中应保持通讯畅通，</w:t>
      </w:r>
      <w:r>
        <w:rPr>
          <w:rFonts w:hint="eastAsia" w:ascii="宋体" w:hAnsi="宋体"/>
          <w:sz w:val="24"/>
          <w:lang w:val="zh-CN"/>
        </w:rPr>
        <w:t xml:space="preserve">及时登录苏采云系统查阅、答复相关信息，并安排专人与代理单位及磋商小组联系。</w:t>
      </w:r>
      <w:r/>
    </w:p>
    <w:p>
      <w:pPr>
        <w:pStyle w:val="85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90"/>
      <w:r/>
      <w:bookmarkEnd w:id="91"/>
      <w:r/>
      <w:bookmarkEnd w:id="92"/>
      <w:r>
        <w:rPr>
          <w:rFonts w:hint="eastAsia" w:ascii="方正楷体_GBK" w:hAnsi="方正楷体_GBK" w:eastAsia="方正楷体_GBK" w:cs="方正楷体_GBK"/>
        </w:rPr>
        <w:t xml:space="preserve">5.磋商程序及评审方法与评审标准</w:t>
      </w:r>
      <w:r/>
    </w:p>
    <w:p>
      <w:pPr>
        <w:ind w:firstLine="420"/>
        <w:rPr>
          <w:rFonts w:hint="eastAsia" w:ascii="宋体" w:hAnsi="宋体"/>
          <w:sz w:val="24"/>
          <w:szCs w:val="21"/>
        </w:rPr>
      </w:pPr>
      <w:r/>
      <w:bookmarkStart w:id="93" w:name="_Toc513029235"/>
      <w:r/>
      <w:bookmarkStart w:id="94" w:name="_Toc20823307"/>
      <w:r/>
      <w:bookmarkStart w:id="95" w:name="_Toc120614219"/>
      <w:r/>
      <w:bookmarkStart w:id="96" w:name="_Toc16938551"/>
      <w:r>
        <w:rPr>
          <w:rFonts w:hint="eastAsia" w:ascii="宋体" w:hAnsi="宋体"/>
          <w:sz w:val="24"/>
          <w:szCs w:val="21"/>
        </w:rPr>
        <w:t xml:space="preserve">25.1 磋商程序</w:t>
      </w:r>
      <w:r/>
    </w:p>
    <w:p>
      <w:pPr>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hint="eastAsia" w:ascii="宋体" w:hAnsi="宋体"/>
          <w:sz w:val="24"/>
          <w:szCs w:val="21"/>
        </w:rPr>
      </w:pPr>
      <w:r>
        <w:rPr>
          <w:rFonts w:hint="eastAsia" w:ascii="宋体" w:hAnsi="宋体"/>
          <w:sz w:val="24"/>
          <w:szCs w:val="21"/>
        </w:rPr>
        <w:t xml:space="preserve">25.2 评审方法与评审标准</w:t>
      </w:r>
      <w:r/>
    </w:p>
    <w:p>
      <w:pPr>
        <w:ind w:firstLine="420"/>
        <w:rPr>
          <w:rFonts w:hint="eastAsia" w:ascii="宋体" w:hAnsi="宋体"/>
          <w:sz w:val="24"/>
          <w:szCs w:val="21"/>
        </w:rPr>
      </w:pPr>
      <w:r>
        <w:rPr>
          <w:rFonts w:hint="eastAsia" w:ascii="宋体" w:hAnsi="宋体"/>
          <w:sz w:val="24"/>
          <w:szCs w:val="21"/>
        </w:rPr>
        <w:t xml:space="preserve">25.2.1 评审方法。见磋商文件第五章。</w:t>
      </w:r>
      <w:r/>
    </w:p>
    <w:p>
      <w:pPr>
        <w:ind w:firstLine="420"/>
        <w:rPr>
          <w:rFonts w:hint="eastAsia" w:ascii="宋体" w:hAnsi="宋体"/>
          <w:sz w:val="24"/>
          <w:szCs w:val="21"/>
        </w:rPr>
      </w:pPr>
      <w:r>
        <w:rPr>
          <w:rFonts w:hint="eastAsia" w:ascii="宋体" w:hAnsi="宋体"/>
          <w:sz w:val="24"/>
          <w:szCs w:val="21"/>
        </w:rPr>
        <w:t xml:space="preserve">25.2.2 评审标准。见磋商文件第五章。</w:t>
      </w:r>
      <w:r/>
    </w:p>
    <w:p>
      <w:pPr>
        <w:ind w:firstLine="420"/>
        <w:rPr>
          <w:rFonts w:hint="eastAsia" w:ascii="宋体" w:hAnsi="宋体"/>
          <w:sz w:val="24"/>
          <w:szCs w:val="21"/>
        </w:rPr>
      </w:pPr>
      <w:r>
        <w:rPr>
          <w:rFonts w:hint="eastAsia" w:ascii="宋体" w:hAnsi="宋体"/>
          <w:sz w:val="24"/>
          <w:szCs w:val="21"/>
        </w:rPr>
        <w:t xml:space="preserve">25.3 采购活动终止</w:t>
      </w:r>
      <w:r/>
    </w:p>
    <w:p>
      <w:pPr>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p>
    <w:p>
      <w:pPr>
        <w:ind w:firstLine="420"/>
        <w:rPr>
          <w:rFonts w:hint="eastAsia" w:ascii="宋体" w:hAnsi="宋体"/>
          <w:sz w:val="24"/>
          <w:szCs w:val="21"/>
        </w:rPr>
      </w:pPr>
      <w:r>
        <w:rPr>
          <w:rFonts w:hint="eastAsia" w:ascii="宋体" w:hAnsi="宋体"/>
          <w:sz w:val="24"/>
          <w:szCs w:val="21"/>
        </w:rPr>
        <w:t xml:space="preserve">25.3.2 出现影响采购公正的违法、违规行为。</w:t>
      </w:r>
      <w:r/>
    </w:p>
    <w:p>
      <w:pPr>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p>
    <w:p>
      <w:pPr>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85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93"/>
      <w:r/>
      <w:bookmarkEnd w:id="94"/>
      <w:r/>
      <w:bookmarkEnd w:id="95"/>
      <w:r/>
      <w:bookmarkEnd w:id="96"/>
      <w:r>
        <w:rPr>
          <w:rFonts w:hint="eastAsia" w:ascii="方正黑体_GBK" w:hAnsi="方正黑体_GBK" w:eastAsia="方正黑体_GBK" w:cs="方正黑体_GBK"/>
          <w:b w:val="0"/>
          <w:bCs w:val="0"/>
          <w:sz w:val="30"/>
          <w:szCs w:val="30"/>
        </w:rPr>
        <w:t xml:space="preserve">成交</w:t>
      </w:r>
      <w:r/>
    </w:p>
    <w:p>
      <w:pPr>
        <w:pStyle w:val="859"/>
        <w:ind w:firstLine="420"/>
        <w:spacing w:before="0" w:after="0" w:line="240" w:lineRule="auto"/>
        <w:rPr>
          <w:rFonts w:hint="eastAsia" w:ascii="方正楷体_GBK" w:hAnsi="方正楷体_GBK" w:eastAsia="方正楷体_GBK" w:cs="方正楷体_GBK"/>
        </w:rPr>
      </w:pPr>
      <w:r/>
      <w:bookmarkStart w:id="97" w:name="_Toc513029238"/>
      <w:r/>
      <w:bookmarkStart w:id="98" w:name="_Toc20823310"/>
      <w:r/>
      <w:bookmarkStart w:id="99" w:name="_Toc16938554"/>
      <w:r>
        <w:rPr>
          <w:rFonts w:hint="eastAsia" w:ascii="方正楷体_GBK" w:hAnsi="方正楷体_GBK" w:eastAsia="方正楷体_GBK" w:cs="方正楷体_GBK"/>
        </w:rPr>
        <w:t xml:space="preserve">2</w:t>
      </w:r>
      <w:bookmarkEnd w:id="97"/>
      <w:r>
        <w:rPr>
          <w:rFonts w:hint="eastAsia" w:ascii="方正楷体_GBK" w:hAnsi="方正楷体_GBK" w:eastAsia="方正楷体_GBK" w:cs="方正楷体_GBK"/>
        </w:rPr>
        <w:t xml:space="preserve">6.确定</w:t>
      </w:r>
      <w:bookmarkEnd w:id="98"/>
      <w:r/>
      <w:bookmarkEnd w:id="99"/>
      <w:r>
        <w:rPr>
          <w:rFonts w:hint="eastAsia" w:ascii="方正楷体_GBK" w:hAnsi="方正楷体_GBK" w:eastAsia="方正楷体_GBK" w:cs="方正楷体_GBK"/>
        </w:rPr>
        <w:t xml:space="preserve">成交单位</w:t>
      </w:r>
      <w:r/>
    </w:p>
    <w:p>
      <w:pPr>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p>
    <w:p>
      <w:pPr>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的，代理单位自评审结束之日起两个工作日内将评审报告送交采购人，采购人自收到评审报告之日起五个工作日内，在评审报告推荐的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rPr>
      </w:pPr>
      <w:r>
        <w:rPr>
          <w:rFonts w:hint="eastAsia" w:ascii="宋体" w:hAnsi="宋体"/>
          <w:sz w:val="24"/>
          <w:szCs w:val="21"/>
        </w:rPr>
        <w:t xml:space="preserve">26.3 代理单位将在“江苏政府采购网”发布成交结果公告，公告期限为1个工作日。</w:t>
      </w:r>
      <w:r/>
    </w:p>
    <w:p>
      <w:pPr>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p>
    <w:p>
      <w:pPr>
        <w:ind w:firstLine="420"/>
        <w:rPr>
          <w:rFonts w:hint="eastAsia" w:ascii="宋体" w:hAnsi="宋体"/>
          <w:sz w:val="24"/>
          <w:szCs w:val="21"/>
        </w:rPr>
      </w:pPr>
      <w:r>
        <w:rPr>
          <w:rFonts w:hint="eastAsia" w:ascii="宋体" w:hAnsi="宋体"/>
          <w:sz w:val="24"/>
          <w:szCs w:val="21"/>
        </w:rPr>
        <w:t xml:space="preserve">26.4.1 提供虚假材料谋取成交。</w:t>
      </w:r>
      <w:r/>
    </w:p>
    <w:p>
      <w:pPr>
        <w:ind w:firstLine="420"/>
        <w:rPr>
          <w:rFonts w:hint="eastAsia" w:ascii="宋体" w:hAnsi="宋体"/>
          <w:sz w:val="24"/>
          <w:szCs w:val="21"/>
        </w:rPr>
      </w:pPr>
      <w:r>
        <w:rPr>
          <w:rFonts w:hint="eastAsia" w:ascii="宋体" w:hAnsi="宋体"/>
          <w:sz w:val="24"/>
          <w:szCs w:val="21"/>
        </w:rPr>
        <w:t xml:space="preserve">26.4.2 向评审专家、采购人或代理单位工作人员行贿或者提供其他不正当利益。</w:t>
      </w:r>
      <w:r/>
    </w:p>
    <w:p>
      <w:pPr>
        <w:ind w:firstLine="420"/>
        <w:rPr>
          <w:rFonts w:hint="eastAsia" w:ascii="宋体" w:hAnsi="宋体"/>
          <w:sz w:val="24"/>
          <w:szCs w:val="21"/>
        </w:rPr>
      </w:pPr>
      <w:r>
        <w:rPr>
          <w:rFonts w:hint="eastAsia" w:ascii="宋体" w:hAnsi="宋体"/>
          <w:sz w:val="24"/>
          <w:szCs w:val="21"/>
        </w:rPr>
        <w:t xml:space="preserve">26.4.3 与其他供应商、评审专家、采购人或代理单位工作人员恶意串通。</w:t>
      </w:r>
      <w:r/>
    </w:p>
    <w:p>
      <w:pPr>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ind w:firstLine="420"/>
        <w:rPr>
          <w:rFonts w:hint="eastAsia" w:ascii="宋体" w:hAnsi="宋体"/>
          <w:sz w:val="24"/>
          <w:szCs w:val="21"/>
        </w:rPr>
      </w:pPr>
      <w:r>
        <w:rPr>
          <w:rFonts w:hint="eastAsia" w:ascii="宋体" w:hAnsi="宋体"/>
          <w:sz w:val="24"/>
          <w:szCs w:val="21"/>
        </w:rPr>
        <w:t xml:space="preserve">26.4.5 采取不正当手段诋毁、排挤其他供应商。</w:t>
      </w:r>
      <w:r/>
    </w:p>
    <w:p>
      <w:pPr>
        <w:pStyle w:val="859"/>
        <w:ind w:firstLine="420"/>
        <w:spacing w:before="0" w:after="0" w:line="240" w:lineRule="auto"/>
        <w:rPr>
          <w:rFonts w:hint="eastAsia" w:ascii="方正楷体_GBK" w:hAnsi="方正楷体_GBK" w:eastAsia="方正楷体_GBK" w:cs="方正楷体_GBK"/>
        </w:rPr>
      </w:pPr>
      <w:r/>
      <w:bookmarkStart w:id="100" w:name="_Toc200451960"/>
      <w:r>
        <w:rPr>
          <w:rFonts w:hint="eastAsia" w:ascii="方正楷体_GBK" w:hAnsi="方正楷体_GBK" w:eastAsia="方正楷体_GBK" w:cs="方正楷体_GBK"/>
        </w:rPr>
        <w:t xml:space="preserve">27.成交通知书</w:t>
      </w:r>
      <w:r/>
    </w:p>
    <w:p>
      <w:pPr>
        <w:ind w:firstLine="420"/>
        <w:rPr>
          <w:rFonts w:hint="eastAsia" w:ascii="宋体" w:hAnsi="宋体"/>
          <w:sz w:val="24"/>
          <w:szCs w:val="21"/>
        </w:rPr>
      </w:pPr>
      <w:r>
        <w:rPr>
          <w:rFonts w:hint="eastAsia" w:ascii="宋体" w:hAnsi="宋体"/>
          <w:sz w:val="24"/>
          <w:szCs w:val="21"/>
        </w:rPr>
        <w:t xml:space="preserve">27.1 成交结果确定后，代理单位将向成交供应商发出《成交通知书》。成交供应商可在成交结果公告届满之日起三十日内，登录苏采云系统下载。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5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5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5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5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5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00"/>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规定以书面形式向采购人或代理单位提出质疑。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供应商应当在法定质疑期内一次性提出针对同一采购程序环节的质疑。供应商如在法定期限内对同一采购程序环节提出多次质疑的，代理单位</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供应商提出质疑应提交《质疑函》原件，且尽可能通过邮寄方式送达，代理单位和采购人不接受无运单的快件。《质疑函》应按照本磋商文件中《质疑函范本》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sz w:val="24"/>
          <w:lang w:val="zh-CN"/>
        </w:rPr>
        <w:t xml:space="preserve">供应商对除上述事项以外其他事项的询问、质疑向代理单位提出，由代理单位负责答复。</w:t>
      </w:r>
      <w:r>
        <w:rPr>
          <w:rFonts w:hint="eastAsia" w:ascii="宋体" w:hAnsi="宋体"/>
          <w:sz w:val="24"/>
        </w:rPr>
        <w:t xml:space="preserve">  </w:t>
      </w:r>
      <w:r/>
    </w:p>
    <w:p>
      <w:pPr>
        <w:ind w:firstLine="422"/>
        <w:rPr>
          <w:rFonts w:hint="eastAsia" w:ascii="宋体" w:hAnsi="宋体"/>
          <w:b/>
          <w:bCs/>
          <w:sz w:val="24"/>
          <w:lang w:val="zh-CN"/>
        </w:rPr>
      </w:pPr>
      <w:r>
        <w:rPr>
          <w:rFonts w:hint="eastAsia" w:ascii="宋体" w:hAnsi="宋体"/>
          <w:b/>
          <w:bCs/>
          <w:sz w:val="24"/>
          <w:lang w:val="zh-CN"/>
        </w:rPr>
        <w:t xml:space="preserve">采购人《质疑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p>
    <w:p>
      <w:pPr>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由采购人负责答复的质疑，采购人将《质疑答复函》抄送代理单位。</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单位或采购人有权依据政府采购的有关规定，报请政府采购监管部门对该供应商进行相应的行政处罚和记录该供应商的失信信息。</w:t>
      </w:r>
      <w:r/>
    </w:p>
    <w:p>
      <w:pPr>
        <w:pStyle w:val="858"/>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59"/>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59"/>
        <w:ind w:firstLine="420"/>
        <w:spacing w:before="0" w:after="0" w:line="240" w:lineRule="auto"/>
        <w:rPr>
          <w:rFonts w:hint="eastAsia" w:ascii="方正楷体_GBK" w:hAnsi="方正楷体_GBK" w:eastAsia="方正楷体_GBK" w:cs="方正楷体_GBK"/>
          <w:lang w:val="zh-CN" w:eastAsia="zh-CN"/>
        </w:rPr>
      </w:pPr>
      <w:r>
        <w:rPr>
          <w:rFonts w:hint="eastAsia" w:ascii="方正楷体_GBK" w:hAnsi="方正楷体_GBK" w:eastAsia="方正楷体_GBK" w:cs="方正楷体_GBK"/>
          <w:lang w:val="en-US" w:eastAsia="zh-CN"/>
        </w:rPr>
        <w:t xml:space="preserve">39</w:t>
      </w:r>
      <w:r>
        <w:rPr>
          <w:rFonts w:hint="eastAsia" w:ascii="方正楷体_GBK" w:hAnsi="方正楷体_GBK" w:eastAsia="方正楷体_GBK" w:cs="方正楷体_GBK"/>
          <w:lang w:val="zh-CN" w:eastAsia="zh-CN"/>
        </w:rPr>
        <w:t xml:space="preserve">本国产品支持政策</w:t>
      </w:r>
      <w:r/>
    </w:p>
    <w:p>
      <w:pPr>
        <w:ind w:firstLine="420"/>
        <w:rPr>
          <w:rFonts w:hint="eastAsia" w:ascii="宋体" w:hAnsi="宋体" w:eastAsia="宋体" w:cs="Times New Roman"/>
          <w:sz w:val="24"/>
          <w:lang w:val="zh-CN" w:eastAsia="zh-CN"/>
        </w:rPr>
      </w:pPr>
      <w:r>
        <w:rPr>
          <w:rFonts w:hint="eastAsia" w:ascii="宋体" w:hAnsi="宋体" w:eastAsia="宋体" w:cs="Times New Roman"/>
          <w:sz w:val="24"/>
          <w:lang w:val="en-US" w:eastAsia="zh-CN"/>
        </w:rPr>
        <w:t xml:space="preserve">39.1</w:t>
      </w:r>
      <w:r>
        <w:rPr>
          <w:rFonts w:hint="eastAsia" w:ascii="宋体" w:hAnsi="宋体" w:eastAsia="宋体" w:cs="Times New Roman"/>
          <w:sz w:val="24"/>
          <w:lang w:val="zh-CN" w:eastAsia="zh-CN"/>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rPr>
          <w:rFonts w:hint="eastAsia" w:ascii="宋体" w:hAnsi="宋体" w:eastAsia="宋体" w:cs="Times New Roman"/>
          <w:sz w:val="24"/>
          <w:lang w:val="zh-CN" w:eastAsia="zh-CN"/>
        </w:rPr>
      </w:pPr>
      <w:r>
        <w:rPr>
          <w:rFonts w:hint="eastAsia" w:ascii="宋体" w:hAnsi="宋体" w:eastAsia="宋体" w:cs="Times New Roman"/>
          <w:sz w:val="24"/>
          <w:lang w:val="en-US" w:eastAsia="zh-CN"/>
        </w:rPr>
        <w:t xml:space="preserve">39.2</w:t>
      </w:r>
      <w:r>
        <w:rPr>
          <w:rFonts w:hint="eastAsia" w:ascii="宋体" w:hAnsi="宋体" w:eastAsia="宋体" w:cs="Times New Roman"/>
          <w:sz w:val="24"/>
          <w:lang w:val="zh-CN"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24"/>
        <w:ind w:firstLine="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rPr>
      </w:pPr>
      <w:r>
        <w:rPr>
          <w:rFonts w:hint="eastAsia"/>
        </w:rPr>
      </w:r>
      <w:r/>
    </w:p>
    <w:p>
      <w:pPr>
        <w:pStyle w:val="924"/>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numPr>
          <w:ilvl w:val="0"/>
          <w:numId w:val="5"/>
        </w:numPr>
        <w:jc w:val="center"/>
        <w:spacing w:before="145" w:after="145"/>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 合同文本</w:t>
      </w:r>
      <w:r/>
    </w:p>
    <w:p>
      <w:pPr>
        <w:numPr>
          <w:ilvl w:val="0"/>
          <w:numId w:val="0"/>
        </w:numPr>
        <w:jc w:val="center"/>
        <w:spacing w:before="145" w:after="145"/>
        <w:rPr>
          <w:rFonts w:hint="eastAsia" w:ascii="宋体" w:hAnsi="宋体"/>
          <w:bCs/>
          <w:color w:val="000000"/>
          <w:sz w:val="24"/>
          <w:szCs w:val="21"/>
        </w:rPr>
        <w:outlineLvl w:val="0"/>
      </w:pPr>
      <w:r>
        <w:rPr>
          <w:rFonts w:hint="eastAsia" w:ascii="宋体" w:hAnsi="宋体"/>
          <w:bCs/>
          <w:color w:val="000000"/>
          <w:sz w:val="24"/>
          <w:szCs w:val="21"/>
        </w:rPr>
        <w:t xml:space="preserve">以下为本项目的合同条款，合同双方不得对磋商、响应文件内容作实质性修改。</w:t>
      </w:r>
      <w:r/>
    </w:p>
    <w:p>
      <w:pPr>
        <w:pStyle w:val="932"/>
        <w:ind w:left="0"/>
        <w:rPr>
          <w:rFonts w:hint="eastAsia"/>
        </w:rPr>
      </w:pPr>
      <w:r>
        <w:rPr>
          <w:rFonts w:hint="eastAsia"/>
        </w:rPr>
      </w:r>
      <w:r/>
    </w:p>
    <w:p>
      <w:pPr>
        <w:jc w:val="center"/>
        <w:spacing w:before="145" w:after="145"/>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w:t>
      </w:r>
      <w:r/>
    </w:p>
    <w:p>
      <w:pPr>
        <w:jc w:val="left"/>
        <w:spacing w:before="145" w:after="145"/>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outlineLvl w:val="0"/>
      </w:pPr>
      <w:r>
        <w:rPr>
          <w:rFonts w:ascii="宋体" w:hAnsi="宋体" w:cs="Courier New"/>
          <w:color w:val="000000"/>
          <w:sz w:val="24"/>
          <w:szCs w:val="24"/>
        </w:rPr>
        <w:t xml:space="preserve">甲方：</w:t>
      </w:r>
      <w:r/>
    </w:p>
    <w:p>
      <w:pPr>
        <w:jc w:val="left"/>
        <w:spacing w:before="145" w:after="145"/>
        <w:rPr>
          <w:rFonts w:ascii="宋体" w:hAnsi="宋体" w:cs="Courier New"/>
          <w:color w:val="000000"/>
          <w:sz w:val="24"/>
          <w:szCs w:val="24"/>
        </w:rPr>
        <w:outlineLvl w:val="0"/>
      </w:pPr>
      <w:r>
        <w:rPr>
          <w:rFonts w:ascii="宋体" w:hAnsi="宋体" w:cs="Courier New"/>
          <w:color w:val="000000"/>
          <w:sz w:val="24"/>
          <w:szCs w:val="24"/>
        </w:rPr>
        <w:t xml:space="preserve">乙方：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南京明莹工程项目管理有限公司组织的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ff"/>
          <w:sz w:val="24"/>
          <w:szCs w:val="24"/>
        </w:rPr>
        <w:t xml:space="preserve">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ff"/>
          <w:sz w:val="24"/>
          <w:szCs w:val="24"/>
        </w:rPr>
        <w:t xml:space="preserve">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color w:val="0000ff"/>
          <w:sz w:val="24"/>
          <w:szCs w:val="24"/>
        </w:rPr>
        <w:t xml:space="preserve">采购人指定地点。</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ff"/>
          <w:sz w:val="24"/>
          <w:szCs w:val="24"/>
        </w:rPr>
        <w:t xml:space="preserve">按磋商文件及响应文件执行。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84"/>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本合同金额为（大写）：____________________圆（____________________元）人民币。</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color w:val="0000ff"/>
          <w:sz w:val="24"/>
          <w:szCs w:val="24"/>
        </w:rPr>
      </w:pPr>
      <w:r>
        <w:rPr>
          <w:rFonts w:hint="eastAsia" w:ascii="宋体" w:hAnsi="宋体" w:cs="Courier New"/>
          <w:sz w:val="24"/>
          <w:szCs w:val="24"/>
        </w:rPr>
        <w:t xml:space="preserve">6.1</w:t>
      </w:r>
      <w:r>
        <w:rPr>
          <w:rFonts w:hint="eastAsia" w:ascii="宋体" w:hAnsi="宋体" w:cs="Courier New"/>
          <w:color w:val="0000ff"/>
          <w:sz w:val="24"/>
          <w:szCs w:val="24"/>
        </w:rPr>
        <w:t xml:space="preserve"> 本项目乙方无需缴纳履约保证金。</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684"/>
        <w:rPr>
          <w:rFonts w:hint="eastAsia" w:hAnsi="宋体"/>
          <w:sz w:val="24"/>
          <w:szCs w:val="24"/>
        </w:rPr>
      </w:pPr>
      <w:r>
        <w:rPr>
          <w:rFonts w:hint="eastAsia" w:hAnsi="宋体"/>
          <w:sz w:val="24"/>
          <w:szCs w:val="24"/>
        </w:rPr>
        <w:t xml:space="preserve">8.1 合同款项的支付方式及时间</w:t>
      </w:r>
      <w:r/>
    </w:p>
    <w:p>
      <w:pPr>
        <w:pStyle w:val="684"/>
        <w:rPr>
          <w:rFonts w:hint="eastAsia" w:hAnsi="宋体"/>
          <w:color w:val="0000ff"/>
          <w:sz w:val="24"/>
          <w:szCs w:val="24"/>
          <w:lang w:val="en-US" w:eastAsia="zh-CN"/>
        </w:rPr>
      </w:pPr>
      <w:r>
        <w:rPr>
          <w:rFonts w:hint="eastAsia" w:hAnsi="宋体"/>
          <w:color w:val="0000ff"/>
          <w:sz w:val="24"/>
          <w:szCs w:val="24"/>
        </w:rPr>
        <w:t xml:space="preserve">8.1</w:t>
      </w:r>
      <w:r>
        <w:rPr>
          <w:rFonts w:hint="eastAsia" w:hAnsi="宋体"/>
          <w:color w:val="0000ff"/>
          <w:sz w:val="24"/>
          <w:szCs w:val="24"/>
          <w:lang w:val="en-US" w:eastAsia="zh-CN"/>
        </w:rPr>
        <w:t xml:space="preserve">1、自合同签订之日起10日内支付中标价款的40%，服务期结束后经采购人验收中标供应商移交的设备及相关技术文档合格后10日内支付剩余60%中标价款。</w:t>
      </w:r>
      <w:r/>
    </w:p>
    <w:p>
      <w:pPr>
        <w:pStyle w:val="684"/>
        <w:rPr>
          <w:rFonts w:hint="eastAsia" w:hAnsi="宋体"/>
          <w:sz w:val="24"/>
          <w:szCs w:val="24"/>
        </w:rPr>
      </w:pPr>
      <w:r>
        <w:rPr>
          <w:rFonts w:hint="eastAsia" w:hAnsi="宋体"/>
          <w:sz w:val="24"/>
          <w:szCs w:val="24"/>
        </w:rPr>
        <w:t xml:space="preserve">8.1.2 满足合同约定支付条件的，甲方收到乙方发票后10个工作日内，将资金支付到合同约定的乙方账户。 </w:t>
      </w:r>
      <w:r/>
    </w:p>
    <w:p>
      <w:pPr>
        <w:pStyle w:val="684"/>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pPr>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684"/>
        <w:spacing w:before="120" w:after="120"/>
        <w:rPr>
          <w:rFonts w:hint="eastAsia" w:hAnsi="宋体"/>
          <w:sz w:val="24"/>
          <w:szCs w:val="24"/>
        </w:rPr>
      </w:pPr>
      <w:r>
        <w:rPr>
          <w:rFonts w:hint="eastAsia" w:hAnsi="宋体"/>
          <w:sz w:val="24"/>
          <w:szCs w:val="24"/>
        </w:rPr>
        <w:t xml:space="preserve">  </w:t>
      </w:r>
      <w:r/>
    </w:p>
    <w:p>
      <w:pPr>
        <w:pStyle w:val="684"/>
        <w:ind w:firstLine="240"/>
        <w:spacing w:before="120" w:after="120"/>
        <w:rPr>
          <w:rFonts w:hint="eastAsia" w:hAnsi="宋体"/>
          <w:sz w:val="24"/>
          <w:szCs w:val="24"/>
        </w:rPr>
      </w:pPr>
      <w:r>
        <w:rPr>
          <w:rFonts w:hint="eastAsia" w:hAnsi="宋体"/>
          <w:sz w:val="24"/>
          <w:szCs w:val="24"/>
        </w:rPr>
        <w:t xml:space="preserve">甲方：（公章）                       乙方：（公章） </w:t>
      </w:r>
      <w:r/>
    </w:p>
    <w:p>
      <w:pPr>
        <w:pStyle w:val="684"/>
        <w:spacing w:before="120" w:after="120"/>
        <w:rPr>
          <w:rFonts w:hint="eastAsia" w:hAnsi="宋体"/>
          <w:sz w:val="24"/>
          <w:szCs w:val="24"/>
        </w:rPr>
      </w:pPr>
      <w:r>
        <w:rPr>
          <w:rFonts w:hint="eastAsia" w:hAnsi="宋体"/>
          <w:sz w:val="24"/>
          <w:szCs w:val="24"/>
        </w:rPr>
        <w:t xml:space="preserve">  地址：                               地址： </w:t>
      </w:r>
      <w:r/>
    </w:p>
    <w:p>
      <w:pPr>
        <w:pStyle w:val="684"/>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684"/>
        <w:ind w:firstLine="240"/>
        <w:spacing w:before="120" w:after="120"/>
        <w:rPr>
          <w:rFonts w:hint="eastAsia" w:hAnsi="宋体"/>
          <w:sz w:val="24"/>
          <w:szCs w:val="24"/>
        </w:rPr>
      </w:pPr>
      <w:r>
        <w:rPr>
          <w:rFonts w:hint="eastAsia" w:hAnsi="宋体"/>
          <w:sz w:val="24"/>
          <w:szCs w:val="24"/>
        </w:rPr>
        <w:t xml:space="preserve">联系电话：                           联系电话：          </w:t>
      </w:r>
      <w:r/>
    </w:p>
    <w:p>
      <w:pPr>
        <w:pStyle w:val="684"/>
        <w:spacing w:before="120" w:after="120"/>
        <w:rPr>
          <w:rFonts w:hint="eastAsia" w:hAnsi="宋体"/>
          <w:sz w:val="24"/>
          <w:szCs w:val="24"/>
        </w:rPr>
      </w:pPr>
      <w:r>
        <w:rPr>
          <w:rFonts w:hint="eastAsia" w:hAnsi="宋体"/>
          <w:sz w:val="24"/>
          <w:szCs w:val="24"/>
        </w:rPr>
        <w:t xml:space="preserve">                                          </w:t>
      </w:r>
      <w:r/>
    </w:p>
    <w:p>
      <w:pPr>
        <w:pStyle w:val="684"/>
        <w:ind w:firstLine="5280"/>
        <w:spacing w:before="120" w:after="120"/>
        <w:rPr>
          <w:rFonts w:hint="eastAsia" w:hAnsi="宋体"/>
          <w:sz w:val="24"/>
          <w:szCs w:val="24"/>
        </w:rPr>
      </w:pPr>
      <w:r>
        <w:rPr>
          <w:rFonts w:hint="eastAsia" w:hAnsi="宋体"/>
          <w:sz w:val="24"/>
          <w:szCs w:val="24"/>
        </w:rPr>
        <w:t xml:space="preserve">签订日期：      年    月   日</w:t>
      </w:r>
      <w:r/>
    </w:p>
    <w:p>
      <w:pPr>
        <w:pStyle w:val="684"/>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szCs w:val="21"/>
        </w:rPr>
        <w:outlineLvl w:val="0"/>
      </w:pPr>
      <w:r>
        <w:rPr>
          <w:rFonts w:hint="eastAsia" w:ascii="宋体" w:hAnsi="宋体"/>
          <w:b/>
          <w:sz w:val="30"/>
          <w:szCs w:val="21"/>
        </w:rPr>
        <w:t xml:space="preserve">《*******合同》补充协议（合同附件）</w:t>
      </w:r>
      <w:r/>
    </w:p>
    <w:p>
      <w:pPr>
        <w:pStyle w:val="684"/>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bookmarkEnd w:id="0"/>
      <w:bookmarkEnd w:id="1"/>
      <w:bookmarkEnd w:id="2"/>
      <w:bookmarkEnd w:id="3"/>
      <w:bookmarkEnd w:id="4"/>
      <w:bookmarkEnd w:id="5"/>
      <w:r/>
    </w:p>
    <w:p>
      <w:pPr>
        <w:pStyle w:val="973"/>
        <w:jc w:val="center"/>
        <w:spacing w:before="120" w:after="120" w:line="0" w:lineRule="atLeast"/>
        <w:rPr>
          <w:rFonts w:hint="eastAsia" w:ascii="方正小标宋简体" w:hAnsi="方正小标宋简体" w:eastAsia="方正小标宋简体" w:cs="方正小标宋简体"/>
          <w:color w:val="000000"/>
          <w:sz w:val="36"/>
          <w:szCs w:val="36"/>
        </w:rPr>
      </w:pPr>
      <w:r/>
      <w:bookmarkStart w:id="101" w:name="_Toc49090575"/>
      <w:r/>
      <w:bookmarkStart w:id="102" w:name="_Toc26554093"/>
      <w:r/>
      <w:bookmarkStart w:id="103" w:name="_Toc479757211"/>
      <w:r/>
      <w:bookmarkStart w:id="104" w:name="_Toc462564139"/>
      <w:r>
        <w:rPr>
          <w:rFonts w:hint="eastAsia" w:ascii="方正小标宋简体" w:hAnsi="方正小标宋简体" w:eastAsia="方正小标宋简体" w:cs="方正小标宋简体"/>
          <w:color w:val="000000"/>
          <w:sz w:val="36"/>
          <w:szCs w:val="36"/>
        </w:rPr>
        <w:t xml:space="preserve">第四章  采购需求</w:t>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一、项目背景：</w:t>
      </w:r>
      <w:r/>
    </w:p>
    <w:p>
      <w:pPr>
        <w:ind w:firstLine="480"/>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南京市溧水区森林防火智能监测指挥系统是集远程视频监测、火灾报警、智能分析、数据存储、GIS地理信息、应急会商等功能于一体的核心防护平台，覆盖21个山区高点监控点位，地形复杂、火情隐患突出，森林防火形势严峻。系统设备长期暴露户外，受风雨、雷电、高温等自然环境影响，易出现硬件老化、软件故障、网络中断等问题；同时需专业技术团队提供定期维保、应急处置服务，保障系统稳定运行，提升火情监测预警、应急处置能力，减少森林火灾损失，保护森林资源与生态环境，维护社会稳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2、采购内容：</w:t>
      </w:r>
      <w:r/>
    </w:p>
    <w:tbl>
      <w:tblPr>
        <w:tblStyle w:val="7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5314"/>
        <w:gridCol w:w="856"/>
        <w:gridCol w:w="807"/>
        <w:gridCol w:w="2083"/>
      </w:tblGrid>
      <w:tr>
        <w:trPr>
          <w:trHeight w:val="820"/>
        </w:trPr>
        <w:tc>
          <w:tcPr>
            <w:tcW w:w="937" w:type="dxa"/>
            <w:vAlign w:val="center"/>
            <w:textDirection w:val="lrTb"/>
            <w:noWrap w:val="false"/>
          </w:tcPr>
          <w:p>
            <w:pPr>
              <w:jc w:val="center"/>
              <w:spacing w:after="0" w:line="5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5314" w:type="dxa"/>
            <w:vAlign w:val="center"/>
            <w:textDirection w:val="lrTb"/>
            <w:noWrap w:val="false"/>
          </w:tcPr>
          <w:p>
            <w:pPr>
              <w:jc w:val="center"/>
              <w:spacing w:after="0" w:line="500" w:lineRule="exact"/>
              <w:rPr>
                <w:rFonts w:hint="eastAsia" w:ascii="宋体" w:hAnsi="宋体" w:eastAsia="宋体" w:cs="宋体"/>
                <w:sz w:val="24"/>
                <w:szCs w:val="24"/>
              </w:rPr>
            </w:pPr>
            <w:r>
              <w:rPr>
                <w:rFonts w:hint="eastAsia" w:ascii="宋体" w:hAnsi="宋体" w:cs="宋体"/>
                <w:sz w:val="24"/>
                <w:szCs w:val="24"/>
                <w:lang w:val="en-US" w:eastAsia="zh-CN"/>
              </w:rPr>
              <w:t xml:space="preserve">项目</w:t>
            </w:r>
            <w:r>
              <w:rPr>
                <w:rFonts w:hint="eastAsia" w:ascii="宋体" w:hAnsi="宋体" w:eastAsia="宋体" w:cs="宋体"/>
                <w:sz w:val="24"/>
                <w:szCs w:val="24"/>
              </w:rPr>
              <w:t xml:space="preserve">名称</w:t>
            </w:r>
            <w:r/>
          </w:p>
        </w:tc>
        <w:tc>
          <w:tcPr>
            <w:tcW w:w="856" w:type="dxa"/>
            <w:vAlign w:val="center"/>
            <w:textDirection w:val="lrTb"/>
            <w:noWrap w:val="false"/>
          </w:tcPr>
          <w:p>
            <w:pPr>
              <w:jc w:val="center"/>
              <w:spacing w:after="0" w:line="50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807" w:type="dxa"/>
            <w:vAlign w:val="center"/>
            <w:textDirection w:val="lrTb"/>
            <w:noWrap w:val="false"/>
          </w:tcPr>
          <w:p>
            <w:pPr>
              <w:jc w:val="center"/>
              <w:spacing w:after="0" w:line="5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2083" w:type="dxa"/>
            <w:vAlign w:val="center"/>
            <w:textDirection w:val="lrTb"/>
            <w:noWrap w:val="false"/>
          </w:tcPr>
          <w:p>
            <w:pPr>
              <w:jc w:val="center"/>
              <w:spacing w:after="0" w:line="500" w:lineRule="exact"/>
              <w:rPr>
                <w:rFonts w:hint="eastAsia" w:ascii="宋体" w:hAnsi="宋体" w:eastAsia="宋体" w:cs="宋体"/>
                <w:sz w:val="24"/>
                <w:szCs w:val="24"/>
              </w:rPr>
            </w:pPr>
            <w:r>
              <w:rPr>
                <w:rFonts w:hint="eastAsia" w:ascii="宋体" w:hAnsi="宋体" w:eastAsia="宋体" w:cs="宋体"/>
                <w:sz w:val="24"/>
                <w:szCs w:val="24"/>
              </w:rPr>
              <w:t xml:space="preserve">所属行业类型</w:t>
            </w:r>
            <w:r/>
          </w:p>
        </w:tc>
      </w:tr>
      <w:tr>
        <w:trPr>
          <w:trHeight w:val="972"/>
        </w:trPr>
        <w:tc>
          <w:tcPr>
            <w:tcW w:w="937" w:type="dxa"/>
            <w:vAlign w:val="center"/>
            <w:textDirection w:val="lrTb"/>
            <w:noWrap w:val="false"/>
          </w:tcPr>
          <w:p>
            <w:pPr>
              <w:jc w:val="center"/>
              <w:spacing w:after="0"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14" w:type="dxa"/>
            <w:vAlign w:val="center"/>
            <w:textDirection w:val="lrTb"/>
            <w:noWrap w:val="false"/>
          </w:tcPr>
          <w:p>
            <w:pPr>
              <w:spacing w:after="0" w:line="50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森林防火智能监控维保服务</w:t>
            </w:r>
            <w:r/>
          </w:p>
        </w:tc>
        <w:tc>
          <w:tcPr>
            <w:tcW w:w="856" w:type="dxa"/>
            <w:vAlign w:val="center"/>
            <w:textDirection w:val="lrTb"/>
            <w:noWrap w:val="false"/>
          </w:tcPr>
          <w:p>
            <w:pPr>
              <w:jc w:val="center"/>
              <w:spacing w:after="0" w:line="500" w:lineRule="exact"/>
              <w:rPr>
                <w:rFonts w:hint="eastAsia" w:ascii="宋体" w:hAnsi="宋体" w:eastAsia="宋体" w:cs="宋体"/>
                <w:sz w:val="24"/>
                <w:szCs w:val="24"/>
              </w:rPr>
            </w:pPr>
            <w:r>
              <w:rPr>
                <w:rFonts w:hint="eastAsia" w:ascii="宋体" w:hAnsi="宋体" w:eastAsia="宋体" w:cs="宋体"/>
                <w:sz w:val="24"/>
                <w:szCs w:val="24"/>
              </w:rPr>
              <w:t xml:space="preserve">项</w:t>
            </w:r>
            <w:r/>
          </w:p>
        </w:tc>
        <w:tc>
          <w:tcPr>
            <w:tcW w:w="807" w:type="dxa"/>
            <w:vAlign w:val="center"/>
            <w:textDirection w:val="lrTb"/>
            <w:noWrap w:val="false"/>
          </w:tcPr>
          <w:p>
            <w:pPr>
              <w:jc w:val="center"/>
              <w:spacing w:after="0"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83" w:type="dxa"/>
            <w:vAlign w:val="center"/>
            <w:textDirection w:val="lrTb"/>
            <w:noWrap w:val="false"/>
          </w:tcPr>
          <w:p>
            <w:pPr>
              <w:jc w:val="center"/>
              <w:spacing w:after="0" w:line="50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软件和信息技术服务业</w:t>
            </w:r>
            <w:r/>
          </w:p>
        </w:tc>
      </w:tr>
    </w:tbl>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二、项目技术需求：</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表一：维保内容</w:t>
      </w:r>
      <w:r/>
    </w:p>
    <w:tbl>
      <w:tblPr>
        <w:tblStyle w:val="700"/>
        <w:tblpPr w:horzAnchor="text" w:tblpXSpec="center" w:vertAnchor="text" w:tblpY="1" w:leftFromText="180" w:topFromText="0" w:rightFromText="180" w:bottomFromText="0"/>
        <w:tblW w:w="88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627"/>
        <w:gridCol w:w="1350"/>
        <w:gridCol w:w="1933"/>
        <w:gridCol w:w="1175"/>
      </w:tblGrid>
      <w:tr>
        <w:trPr>
          <w:cantSplit/>
          <w:trHeight w:val="0"/>
        </w:trPr>
        <w:tc>
          <w:tcPr>
            <w:tcW w:w="806"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序号</w:t>
            </w:r>
            <w:r/>
          </w:p>
        </w:tc>
        <w:tc>
          <w:tcPr>
            <w:tcW w:w="3627"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主要设备名称</w:t>
            </w:r>
            <w:r/>
          </w:p>
        </w:tc>
        <w:tc>
          <w:tcPr>
            <w:tcW w:w="1350"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品牌</w:t>
            </w:r>
            <w:r/>
          </w:p>
        </w:tc>
        <w:tc>
          <w:tcPr>
            <w:tcW w:w="1933"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型号</w:t>
            </w:r>
            <w:r/>
          </w:p>
        </w:tc>
        <w:tc>
          <w:tcPr>
            <w:tcW w:w="1175"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数量</w:t>
            </w:r>
            <w:r/>
          </w:p>
        </w:tc>
      </w:tr>
      <w:tr>
        <w:trPr>
          <w:cantSplit/>
          <w:trHeight w:val="0"/>
        </w:trPr>
        <w:tc>
          <w:tcPr>
            <w:tcW w:w="806"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w:t>
            </w:r>
            <w:r/>
          </w:p>
        </w:tc>
        <w:tc>
          <w:tcPr>
            <w:tcW w:w="3627"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中型一体化云台</w:t>
            </w:r>
            <w:r/>
          </w:p>
        </w:tc>
        <w:tc>
          <w:tcPr>
            <w:tcW w:w="1350"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NB8002</w:t>
            </w:r>
            <w:r/>
          </w:p>
        </w:tc>
        <w:tc>
          <w:tcPr>
            <w:tcW w:w="1175"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21台</w:t>
            </w:r>
            <w:r/>
          </w:p>
        </w:tc>
      </w:tr>
      <w:tr>
        <w:trPr>
          <w:cantSplit/>
          <w:trHeight w:val="0"/>
        </w:trPr>
        <w:tc>
          <w:tcPr>
            <w:tcW w:w="806"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w:t>
            </w:r>
            <w:r/>
          </w:p>
        </w:tc>
        <w:tc>
          <w:tcPr>
            <w:tcW w:w="3627"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前置式林火智能识别报警器</w:t>
            </w:r>
            <w:r/>
          </w:p>
        </w:tc>
        <w:tc>
          <w:tcPr>
            <w:tcW w:w="1350"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NB320-2</w:t>
            </w:r>
            <w:r/>
          </w:p>
        </w:tc>
        <w:tc>
          <w:tcPr>
            <w:tcW w:w="1175"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21台</w:t>
            </w:r>
            <w:r/>
          </w:p>
        </w:tc>
      </w:tr>
      <w:tr>
        <w:trPr>
          <w:cantSplit/>
          <w:trHeight w:val="0"/>
        </w:trPr>
        <w:tc>
          <w:tcPr>
            <w:tcW w:w="806"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w:t>
            </w:r>
            <w:r/>
          </w:p>
        </w:tc>
        <w:tc>
          <w:tcPr>
            <w:tcW w:w="3627"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前端工业级网络交换机</w:t>
            </w:r>
            <w:r/>
          </w:p>
        </w:tc>
        <w:tc>
          <w:tcPr>
            <w:tcW w:w="1350"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有恒斯康</w:t>
            </w:r>
            <w:r/>
          </w:p>
        </w:tc>
        <w:tc>
          <w:tcPr>
            <w:tcW w:w="1933"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ISW-005N-DC</w:t>
            </w:r>
            <w:r/>
          </w:p>
        </w:tc>
        <w:tc>
          <w:tcPr>
            <w:tcW w:w="1175"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21台</w:t>
            </w:r>
            <w:r/>
          </w:p>
        </w:tc>
      </w:tr>
      <w:tr>
        <w:trPr>
          <w:cantSplit/>
          <w:trHeight w:val="0"/>
        </w:trPr>
        <w:tc>
          <w:tcPr>
            <w:tcW w:w="806"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4</w:t>
            </w:r>
            <w:r/>
          </w:p>
        </w:tc>
        <w:tc>
          <w:tcPr>
            <w:tcW w:w="3627"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电子屏蔽防雷箱</w:t>
            </w:r>
            <w:r/>
          </w:p>
        </w:tc>
        <w:tc>
          <w:tcPr>
            <w:tcW w:w="1350"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21台</w:t>
            </w:r>
            <w:r/>
          </w:p>
        </w:tc>
      </w:tr>
      <w:tr>
        <w:trPr>
          <w:cantSplit/>
          <w:trHeight w:val="0"/>
        </w:trPr>
        <w:tc>
          <w:tcPr>
            <w:tcW w:w="806"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5</w:t>
            </w:r>
            <w:r/>
          </w:p>
        </w:tc>
        <w:tc>
          <w:tcPr>
            <w:tcW w:w="3627"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5.8G无线网桥</w:t>
            </w:r>
            <w:r/>
          </w:p>
        </w:tc>
        <w:tc>
          <w:tcPr>
            <w:tcW w:w="1350"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优陪快</w:t>
            </w:r>
            <w:r/>
          </w:p>
        </w:tc>
        <w:tc>
          <w:tcPr>
            <w:tcW w:w="1933"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优陪快PBE-5AC-Gen2</w:t>
            </w:r>
            <w:r/>
          </w:p>
        </w:tc>
        <w:tc>
          <w:tcPr>
            <w:tcW w:w="1175"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34台</w:t>
            </w:r>
            <w:r/>
          </w:p>
        </w:tc>
      </w:tr>
      <w:tr>
        <w:trPr>
          <w:cantSplit/>
          <w:trHeight w:val="0"/>
        </w:trPr>
        <w:tc>
          <w:tcPr>
            <w:tcW w:w="806"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6</w:t>
            </w:r>
            <w:r/>
          </w:p>
        </w:tc>
        <w:tc>
          <w:tcPr>
            <w:tcW w:w="3627"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光纤收发器</w:t>
            </w:r>
            <w:r/>
          </w:p>
        </w:tc>
        <w:tc>
          <w:tcPr>
            <w:tcW w:w="1350"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有恒斯康</w:t>
            </w:r>
            <w:r/>
          </w:p>
        </w:tc>
        <w:tc>
          <w:tcPr>
            <w:tcW w:w="1933"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6个</w:t>
            </w:r>
            <w:r/>
          </w:p>
        </w:tc>
      </w:tr>
      <w:tr>
        <w:trPr>
          <w:cantSplit/>
          <w:trHeight w:val="0"/>
        </w:trPr>
        <w:tc>
          <w:tcPr>
            <w:tcW w:w="806"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7</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多功能监测站</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NB421</w:t>
            </w:r>
            <w:r/>
          </w:p>
        </w:tc>
        <w:tc>
          <w:tcPr>
            <w:tcW w:w="1175"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30套</w:t>
            </w:r>
            <w:r/>
          </w:p>
        </w:tc>
      </w:tr>
      <w:tr>
        <w:trPr>
          <w:cantSplit/>
          <w:trHeight w:val="0"/>
        </w:trPr>
        <w:tc>
          <w:tcPr>
            <w:tcW w:w="806"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8</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光缆</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电信级24芯屏蔽光纤</w:t>
            </w:r>
            <w:r/>
          </w:p>
        </w:tc>
        <w:tc>
          <w:tcPr>
            <w:tcW w:w="1175"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19000米</w:t>
            </w:r>
            <w:r/>
          </w:p>
        </w:tc>
      </w:tr>
      <w:tr>
        <w:trPr>
          <w:cantSplit/>
          <w:trHeight w:val="0"/>
        </w:trPr>
        <w:tc>
          <w:tcPr>
            <w:tcW w:w="806"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9</w:t>
            </w:r>
            <w:r/>
          </w:p>
        </w:tc>
        <w:tc>
          <w:tcPr>
            <w:tcW w:w="3627" w:type="dxa"/>
            <w:vAlign w:val="center"/>
            <w:textDirection w:val="lrTb"/>
            <w:noWrap w:val="false"/>
          </w:tcPr>
          <w:p>
            <w:pPr>
              <w:pStyle w:val="679"/>
              <w:ind w:left="0" w:right="0" w:firstLine="0"/>
              <w:jc w:val="center"/>
              <w:keepLines w:val="0"/>
              <w:keepNext/>
              <w:pageBreakBefore w:val="0"/>
              <w:spacing w:after="0" w:line="240" w:lineRule="auto"/>
              <w:tabs>
                <w:tab w:val="left" w:pos="1476" w:leader="none"/>
                <w:tab w:val="left" w:pos="2687" w:leader="none"/>
                <w:tab w:val="left" w:pos="3988" w:leader="none"/>
              </w:tabs>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电缆</w:t>
            </w:r>
            <w:r/>
          </w:p>
        </w:tc>
        <w:tc>
          <w:tcPr>
            <w:tcW w:w="1350" w:type="dxa"/>
            <w:vAlign w:val="center"/>
            <w:textDirection w:val="lrTb"/>
            <w:noWrap w:val="false"/>
          </w:tcPr>
          <w:p>
            <w:pPr>
              <w:ind w:left="0" w:right="0" w:firstLine="0"/>
              <w:jc w:val="center"/>
              <w:keepLines w:val="0"/>
              <w:keepNext/>
              <w:pageBreakBefore w:val="0"/>
              <w:spacing w:after="0"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933" w:type="dxa"/>
            <w:vAlign w:val="center"/>
            <w:textDirection w:val="lrTb"/>
            <w:noWrap w:val="false"/>
          </w:tcPr>
          <w:p>
            <w:pPr>
              <w:ind w:left="0" w:right="0" w:firstLine="0"/>
              <w:jc w:val="center"/>
              <w:keepLines w:val="0"/>
              <w:keepNext/>
              <w:pageBreakBefore w:val="0"/>
              <w:spacing w:after="0"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VLV2*10.0</w:t>
            </w:r>
            <w:r/>
          </w:p>
        </w:tc>
        <w:tc>
          <w:tcPr>
            <w:tcW w:w="1175" w:type="dxa"/>
            <w:vAlign w:val="center"/>
            <w:textDirection w:val="lrTb"/>
            <w:noWrap w:val="false"/>
          </w:tcPr>
          <w:p>
            <w:pPr>
              <w:pStyle w:val="979"/>
              <w:ind w:left="0" w:right="0" w:firstLine="0"/>
              <w:jc w:val="center"/>
              <w:keepLines w:val="0"/>
              <w:keepNext/>
              <w:pageBreakBefore w:val="0"/>
              <w:spacing w:line="24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40000米</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10</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触摸式视频控制器</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NB330</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11</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流媒体存储/分发服务器</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NB310</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12</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高清数字解码器</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NB341</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13</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GIS工作站</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14</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网络交换机</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华三</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S5110-52P-SI</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2台</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15</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设施管理子系统</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16</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人员管理子系统</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17</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物资管理子系统</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18</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林火云端智能检测服务</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19</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智慧防火“一张图”模块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20</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卫星热点监测模块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21</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林火预警模块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22</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火点定位模块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23</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火情发布模块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24</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扑救资源分析模块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25</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林火蔓延模拟模块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26</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扑救预案模块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27</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导航规划</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28</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电子沙盘模块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29</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灾后评估模块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30</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火灾档案管理</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31</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视频多级联网模块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32</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多源音视频会商模块</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33</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防火巡查终端子系统平台</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34</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无人机巡护子系统</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恩博</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35</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suppressLineNumbers w:val="0"/>
            </w:pPr>
            <w:r>
              <w:rPr>
                <w:rFonts w:hint="eastAsia" w:ascii="宋体" w:hAnsi="宋体" w:eastAsia="宋体" w:cs="宋体"/>
                <w:i w:val="0"/>
                <w:iCs w:val="0"/>
                <w:color w:val="000000"/>
                <w:spacing w:val="10"/>
                <w:sz w:val="24"/>
                <w:szCs w:val="24"/>
                <w:u w:val="none"/>
                <w:lang w:val="en-US" w:eastAsia="zh-CN" w:bidi="ar"/>
              </w:rPr>
              <w:t xml:space="preserve">55寸液晶拼接单元</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12套</w:t>
            </w:r>
            <w:r/>
          </w:p>
        </w:tc>
      </w:tr>
      <w:tr>
        <w:trPr>
          <w:cantSplit/>
          <w:trHeight w:val="0"/>
        </w:trPr>
        <w:tc>
          <w:tcPr>
            <w:tcW w:w="806"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36</w:t>
            </w:r>
            <w:r/>
          </w:p>
        </w:tc>
        <w:tc>
          <w:tcPr>
            <w:tcW w:w="362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suppressLineNumbers w:val="0"/>
            </w:pPr>
            <w:r>
              <w:rPr>
                <w:rFonts w:hint="eastAsia" w:ascii="宋体" w:hAnsi="宋体" w:eastAsia="宋体" w:cs="宋体"/>
                <w:i w:val="0"/>
                <w:iCs w:val="0"/>
                <w:color w:val="000000"/>
                <w:spacing w:val="10"/>
                <w:sz w:val="24"/>
                <w:szCs w:val="24"/>
                <w:u w:val="none"/>
                <w:lang w:val="en-US" w:eastAsia="zh-CN" w:bidi="ar"/>
              </w:rPr>
              <w:t xml:space="preserve">拼接矩阵</w:t>
            </w:r>
            <w:r/>
          </w:p>
        </w:tc>
        <w:tc>
          <w:tcPr>
            <w:tcW w:w="1350"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93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定制</w:t>
            </w:r>
            <w:r/>
          </w:p>
        </w:tc>
        <w:tc>
          <w:tcPr>
            <w:tcW w:w="1175"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1台</w:t>
            </w:r>
            <w:r/>
          </w:p>
        </w:tc>
      </w:tr>
    </w:tbl>
    <w:p>
      <w:pPr>
        <w:ind w:firstLine="260"/>
        <w:jc w:val="left"/>
        <w:keepLines w:val="0"/>
        <w:keepNext w:val="0"/>
        <w:pageBreakBefore w:val="0"/>
        <w:spacing w:after="157" w:line="590" w:lineRule="exact"/>
        <w:widowControl w:val="off"/>
        <w:rPr>
          <w:rFonts w:hint="eastAsia" w:ascii="宋体" w:hAnsi="宋体" w:eastAsia="宋体" w:cs="宋体"/>
          <w:b w:val="0"/>
          <w:bCs w:val="0"/>
          <w:spacing w:val="10"/>
          <w:sz w:val="24"/>
          <w:szCs w:val="24"/>
          <w:lang w:val="en-US" w:eastAsia="zh-CN" w:bidi="ar-SA"/>
        </w:rPr>
      </w:pPr>
      <w:r>
        <w:rPr>
          <w:rFonts w:hint="eastAsia" w:ascii="宋体" w:hAnsi="宋体" w:eastAsia="宋体" w:cs="宋体"/>
          <w:b w:val="0"/>
          <w:bCs w:val="0"/>
          <w:spacing w:val="10"/>
          <w:sz w:val="24"/>
          <w:szCs w:val="24"/>
          <w:lang w:val="en-US" w:eastAsia="zh-CN" w:bidi="ar-SA"/>
        </w:rPr>
        <w:t xml:space="preserve">表二：维保点位</w:t>
      </w:r>
      <w:r/>
    </w:p>
    <w:tbl>
      <w:tblPr>
        <w:tblStyle w:val="700"/>
        <w:tblW w:w="89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456"/>
        <w:gridCol w:w="3758"/>
        <w:gridCol w:w="1456"/>
        <w:gridCol w:w="1456"/>
      </w:tblGrid>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序号</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点位名称</w:t>
            </w:r>
            <w:r/>
          </w:p>
        </w:tc>
        <w:tc>
          <w:tcPr>
            <w:tcW w:w="3758"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前端检测设备</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传输方式</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取电方式</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平安山</w:t>
            </w:r>
            <w:r/>
          </w:p>
        </w:tc>
        <w:tc>
          <w:tcPr>
            <w:tcW w:w="3758"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有线</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祝家山</w:t>
            </w:r>
            <w:r/>
          </w:p>
        </w:tc>
        <w:tc>
          <w:tcPr>
            <w:tcW w:w="3758"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有线</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3</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顶公山</w:t>
            </w:r>
            <w:r/>
          </w:p>
        </w:tc>
        <w:tc>
          <w:tcPr>
            <w:tcW w:w="3758"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有线</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4</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和尚山</w:t>
            </w:r>
            <w:r/>
          </w:p>
        </w:tc>
        <w:tc>
          <w:tcPr>
            <w:tcW w:w="3758"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有线</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5</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老虎山</w:t>
            </w:r>
            <w:r/>
          </w:p>
        </w:tc>
        <w:tc>
          <w:tcPr>
            <w:tcW w:w="3758"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6</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成流子顶</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7</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山东头</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8</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后头山</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9</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东庐山北</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10</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朱山岗</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专线</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11</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雨山</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12</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老凹山</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13</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杨树山</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专线</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14</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姚家冲</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15</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榆树岭</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16</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官山头</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17</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芳山东</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18</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马占山</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19</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回峰山南</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20</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回峰山北</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r>
        <w:trPr>
          <w:cantSplit/>
          <w:jc w:val="center"/>
          <w:trHeight w:val="0"/>
        </w:trPr>
        <w:tc>
          <w:tcPr>
            <w:tcW w:w="827" w:type="dxa"/>
            <w:vAlign w:val="center"/>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21</w:t>
            </w:r>
            <w:r/>
          </w:p>
        </w:tc>
        <w:tc>
          <w:tcPr>
            <w:tcW w:w="14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芳山南</w:t>
            </w:r>
            <w:r/>
          </w:p>
        </w:tc>
        <w:tc>
          <w:tcPr>
            <w:tcW w:w="375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一体化高精度红外热像/高清透雾数字云台</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网桥</w:t>
            </w:r>
            <w:r/>
          </w:p>
        </w:tc>
        <w:tc>
          <w:tcPr>
            <w:tcW w:w="14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附近取电</w:t>
            </w:r>
            <w:r/>
          </w:p>
        </w:tc>
      </w:tr>
    </w:tbl>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w:t>
      </w:r>
      <w:r>
        <w:rPr>
          <w:rFonts w:hint="eastAsia" w:ascii="宋体" w:hAnsi="宋体" w:eastAsia="宋体" w:cs="宋体"/>
          <w:b/>
          <w:bCs/>
          <w:sz w:val="24"/>
          <w:szCs w:val="24"/>
          <w:lang w:val="en-US" w:eastAsia="zh-CN"/>
        </w:rPr>
        <w:t xml:space="preserve">服务内容</w:t>
      </w:r>
      <w:r>
        <w:rPr>
          <w:rFonts w:hint="eastAsia" w:ascii="宋体" w:hAnsi="宋体" w:eastAsia="宋体" w:cs="宋体"/>
          <w:b/>
          <w:bCs/>
          <w:sz w:val="24"/>
          <w:szCs w:val="24"/>
        </w:rPr>
        <w:t xml:space="preserve">：</w:t>
      </w:r>
      <w:r/>
    </w:p>
    <w:p>
      <w:pPr>
        <w:pStyle w:val="985"/>
        <w:ind w:firstLine="26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（一）服务范围内所有前端监控点、森林防火监控中心硬件设备的维护、保养及故障处理</w:t>
      </w:r>
      <w:r/>
    </w:p>
    <w:p>
      <w:pPr>
        <w:pStyle w:val="985"/>
        <w:numPr>
          <w:ilvl w:val="0"/>
          <w:numId w:val="6"/>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负责设备的日常保养、安装、检测检修、保修等工作，确保显示系统正常运作。</w:t>
      </w:r>
      <w:r/>
    </w:p>
    <w:p>
      <w:pPr>
        <w:pStyle w:val="985"/>
        <w:numPr>
          <w:ilvl w:val="0"/>
          <w:numId w:val="6"/>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硬件故障排查及处理，正确提出故障点并修复至正常状态。</w:t>
      </w:r>
      <w:r/>
    </w:p>
    <w:p>
      <w:pPr>
        <w:pStyle w:val="985"/>
        <w:numPr>
          <w:ilvl w:val="0"/>
          <w:numId w:val="6"/>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协助采购人做好设备固定资产的登记、管理、检查及派发、回收等工作。每月对固定资产管理状况进行巡检，确保固定资产不流失。</w:t>
      </w:r>
      <w:r/>
    </w:p>
    <w:p>
      <w:pPr>
        <w:pStyle w:val="985"/>
        <w:numPr>
          <w:ilvl w:val="0"/>
          <w:numId w:val="6"/>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供应商对原有系统中发生故障或无法兼容的系统及设备要提供免费更换，以确保整体系统的兼容性。</w:t>
      </w:r>
      <w:r/>
    </w:p>
    <w:p>
      <w:pPr>
        <w:pStyle w:val="985"/>
        <w:ind w:firstLine="26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（二）森林防火监控中心软件维护（包括但不限于：火情识别软件、大屏上墙管理软件、管理客户端、广播系统软件等相关软件）</w:t>
      </w:r>
      <w:r/>
    </w:p>
    <w:p>
      <w:pPr>
        <w:pStyle w:val="985"/>
        <w:numPr>
          <w:ilvl w:val="0"/>
          <w:numId w:val="7"/>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软件安装、升级、调整及故障排除。</w:t>
      </w:r>
      <w:r/>
    </w:p>
    <w:p>
      <w:pPr>
        <w:pStyle w:val="985"/>
        <w:numPr>
          <w:ilvl w:val="0"/>
          <w:numId w:val="7"/>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定期对服务范围内计算机系统安全情况进行例行检查，每月一次，发现安全问题立即修复。</w:t>
      </w:r>
      <w:r/>
    </w:p>
    <w:p>
      <w:pPr>
        <w:pStyle w:val="985"/>
        <w:numPr>
          <w:ilvl w:val="0"/>
          <w:numId w:val="7"/>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要求对超过授权许可使用期的火情识别软件、视频分发存储服务器相关应用软件、森林防火管理客户端软件提供原开发企业授权许可继续使用证明，确保软件超期后仍能正常运行。</w:t>
      </w:r>
      <w:r/>
    </w:p>
    <w:p>
      <w:pPr>
        <w:pStyle w:val="985"/>
        <w:numPr>
          <w:ilvl w:val="0"/>
          <w:numId w:val="7"/>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可与江苏省及南京市森林防火指挥系统监控视频联网平台兼容。</w:t>
      </w:r>
      <w:r/>
    </w:p>
    <w:p>
      <w:pPr>
        <w:pStyle w:val="985"/>
        <w:numPr>
          <w:ilvl w:val="0"/>
          <w:numId w:val="7"/>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供应商支持对现有软件的无缝升级，并不得另计费用。</w:t>
      </w:r>
      <w:r/>
    </w:p>
    <w:p>
      <w:pPr>
        <w:pStyle w:val="985"/>
        <w:ind w:firstLine="26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（三）网络、光缆、专线及综合布线 </w:t>
      </w:r>
      <w:r/>
    </w:p>
    <w:p>
      <w:pPr>
        <w:pStyle w:val="985"/>
        <w:numPr>
          <w:ilvl w:val="0"/>
          <w:numId w:val="8"/>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负责信息设备之间的一切强、弱电线路及接线盒，包括机房、网线(含电源线)、室内光纤、线盒、面板、接插件等的安装和日常维护工作。</w:t>
      </w:r>
      <w:r/>
    </w:p>
    <w:p>
      <w:pPr>
        <w:pStyle w:val="985"/>
        <w:numPr>
          <w:ilvl w:val="0"/>
          <w:numId w:val="8"/>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前端监控点专线要求速率不低于10MB/S，透明传输，网络信号稳定可靠，低丢包率，ping 65000的数据包延迟不高于200ms，支持TCP、UDP等多种数据业务类型，具有环保护功能，便于带宽提升。</w:t>
      </w:r>
      <w:r/>
    </w:p>
    <w:p>
      <w:pPr>
        <w:pStyle w:val="985"/>
        <w:numPr>
          <w:ilvl w:val="0"/>
          <w:numId w:val="8"/>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负责网络安装及调试，协助省、市、林场间网络调试，保持网络链路的畅通，确保网络到各前端点、各分控中心、省、市林业主管部门畅通，发现问题，及时通知并尽快协助解决。</w:t>
      </w:r>
      <w:r/>
    </w:p>
    <w:p>
      <w:pPr>
        <w:pStyle w:val="985"/>
        <w:numPr>
          <w:ilvl w:val="0"/>
          <w:numId w:val="8"/>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能够提供通过手机实时查询网络链路状态（支持Android、IOS），</w:t>
      </w:r>
      <w:r/>
    </w:p>
    <w:p>
      <w:pPr>
        <w:pStyle w:val="985"/>
        <w:numPr>
          <w:ilvl w:val="0"/>
          <w:numId w:val="8"/>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负责网段的IP地址增、删、改； VLAN及端口的增、删、改；VPN及防火墙的规则调整等网络数据日常维护工作，确保系统正常运作。</w:t>
      </w:r>
      <w:r/>
    </w:p>
    <w:p>
      <w:pPr>
        <w:pStyle w:val="985"/>
        <w:numPr>
          <w:ilvl w:val="0"/>
          <w:numId w:val="8"/>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负责保障电源线路，光纤等布线系统及其配件完好，加强人员巡检，防止安全隐患，有效采取防止电源线缆被偷、光纤中断措施，确保电源供应稳定，网络链路完好，发现问题，随时解决。 </w:t>
      </w:r>
      <w:r/>
    </w:p>
    <w:p>
      <w:pPr>
        <w:pStyle w:val="985"/>
        <w:ind w:firstLine="26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（四）定期对服务范围内设备进行保养、优化 </w:t>
      </w:r>
      <w:r/>
    </w:p>
    <w:p>
      <w:pPr>
        <w:pStyle w:val="985"/>
        <w:numPr>
          <w:ilvl w:val="0"/>
          <w:numId w:val="9"/>
        </w:numPr>
        <w:ind w:left="0" w:firstLine="522"/>
        <w:jc w:val="left"/>
        <w:keepLines w:val="0"/>
        <w:keepNext w:val="0"/>
        <w:pageBreakBefore w:val="0"/>
        <w:spacing w:line="360" w:lineRule="auto"/>
        <w:widowControl w:val="off"/>
        <w:rPr>
          <w:rFonts w:hint="eastAsia" w:ascii="宋体" w:hAnsi="宋体" w:eastAsia="宋体" w:cs="宋体"/>
          <w:b/>
          <w:bCs/>
          <w:spacing w:val="10"/>
          <w:sz w:val="24"/>
          <w:szCs w:val="24"/>
          <w:u w:val="none"/>
          <w:lang w:val="en-US" w:eastAsia="zh-CN" w:bidi="ar-SA"/>
        </w:rPr>
      </w:pPr>
      <w:r>
        <w:rPr>
          <w:rFonts w:hint="eastAsia" w:ascii="宋体" w:hAnsi="宋体" w:eastAsia="宋体" w:cs="宋体"/>
          <w:b/>
          <w:bCs/>
          <w:spacing w:val="10"/>
          <w:sz w:val="24"/>
          <w:szCs w:val="24"/>
          <w:u w:val="none"/>
          <w:lang w:val="en-US" w:eastAsia="zh-CN" w:bidi="ar-SA"/>
        </w:rPr>
        <w:t xml:space="preserve">每日维护要求：</w:t>
      </w:r>
      <w:r/>
    </w:p>
    <w:p>
      <w:pPr>
        <w:pStyle w:val="985"/>
        <w:numPr>
          <w:ilvl w:val="0"/>
          <w:numId w:val="10"/>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每日检查图像在线状况、网络链路状况、云台正常运转情况、服务器运行情况，并做好记录。</w:t>
      </w:r>
      <w:r/>
    </w:p>
    <w:p>
      <w:pPr>
        <w:pStyle w:val="985"/>
        <w:numPr>
          <w:ilvl w:val="0"/>
          <w:numId w:val="10"/>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每日查看森林防火软件运行记录，及时处理软件报警、警告信息，做好记录。</w:t>
      </w:r>
      <w:r/>
    </w:p>
    <w:p>
      <w:pPr>
        <w:pStyle w:val="985"/>
        <w:numPr>
          <w:ilvl w:val="0"/>
          <w:numId w:val="9"/>
        </w:numPr>
        <w:ind w:left="0" w:firstLine="522"/>
        <w:jc w:val="left"/>
        <w:keepLines w:val="0"/>
        <w:keepNext w:val="0"/>
        <w:pageBreakBefore w:val="0"/>
        <w:spacing w:line="360" w:lineRule="auto"/>
        <w:widowControl w:val="off"/>
        <w:rPr>
          <w:rFonts w:hint="eastAsia" w:ascii="宋体" w:hAnsi="宋体" w:eastAsia="宋体" w:cs="宋体"/>
          <w:b/>
          <w:bCs/>
          <w:spacing w:val="10"/>
          <w:sz w:val="24"/>
          <w:szCs w:val="24"/>
          <w:u w:val="none"/>
          <w:lang w:val="en-US" w:eastAsia="zh-CN" w:bidi="ar-SA"/>
        </w:rPr>
      </w:pPr>
      <w:r>
        <w:rPr>
          <w:rFonts w:hint="eastAsia" w:ascii="宋体" w:hAnsi="宋体" w:eastAsia="宋体" w:cs="宋体"/>
          <w:b/>
          <w:bCs/>
          <w:spacing w:val="10"/>
          <w:sz w:val="24"/>
          <w:szCs w:val="24"/>
          <w:u w:val="none"/>
          <w:lang w:val="en-US" w:eastAsia="zh-CN" w:bidi="ar-SA"/>
        </w:rPr>
        <w:t xml:space="preserve">每周维护要求：</w:t>
      </w:r>
      <w:r/>
    </w:p>
    <w:p>
      <w:pPr>
        <w:pStyle w:val="985"/>
        <w:numPr>
          <w:ilvl w:val="0"/>
          <w:numId w:val="11"/>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每周进行计算机、服务器、大屏系统、网络设备等硬件设备清洁、保养、维护。</w:t>
      </w:r>
      <w:r/>
    </w:p>
    <w:p>
      <w:pPr>
        <w:pStyle w:val="985"/>
        <w:numPr>
          <w:ilvl w:val="0"/>
          <w:numId w:val="11"/>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每周进行服务器、森林防火软件升级或打补丁服务；每周进行重要数据备份。</w:t>
      </w:r>
      <w:r/>
    </w:p>
    <w:p>
      <w:pPr>
        <w:pStyle w:val="985"/>
        <w:numPr>
          <w:ilvl w:val="0"/>
          <w:numId w:val="11"/>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每周至少安排一次对前端监控点设备及监控中心设备性能全面检查，包括网络链路状态检查、前端网络传输速率检查、图像清晰度检查、云台运转检查、计算机（服务器）工作性能检查及大屏系统检查等设备，每周排查一次，并做好记录。</w:t>
      </w:r>
      <w:r/>
    </w:p>
    <w:p>
      <w:pPr>
        <w:pStyle w:val="985"/>
        <w:numPr>
          <w:ilvl w:val="0"/>
          <w:numId w:val="9"/>
        </w:numPr>
        <w:ind w:left="0" w:firstLine="522"/>
        <w:jc w:val="left"/>
        <w:keepLines w:val="0"/>
        <w:keepNext w:val="0"/>
        <w:pageBreakBefore w:val="0"/>
        <w:spacing w:line="360" w:lineRule="auto"/>
        <w:widowControl w:val="off"/>
        <w:rPr>
          <w:rFonts w:hint="eastAsia" w:ascii="宋体" w:hAnsi="宋体" w:eastAsia="宋体" w:cs="宋体"/>
          <w:b/>
          <w:bCs/>
          <w:spacing w:val="10"/>
          <w:sz w:val="24"/>
          <w:szCs w:val="24"/>
          <w:u w:val="none"/>
          <w:lang w:val="en-US" w:eastAsia="zh-CN" w:bidi="ar-SA"/>
        </w:rPr>
      </w:pPr>
      <w:r>
        <w:rPr>
          <w:rFonts w:hint="eastAsia" w:ascii="宋体" w:hAnsi="宋体" w:eastAsia="宋体" w:cs="宋体"/>
          <w:b/>
          <w:bCs/>
          <w:spacing w:val="10"/>
          <w:sz w:val="24"/>
          <w:szCs w:val="24"/>
          <w:u w:val="none"/>
          <w:lang w:val="en-US" w:eastAsia="zh-CN" w:bidi="ar-SA"/>
        </w:rPr>
        <w:t xml:space="preserve">每月维护要求：</w:t>
      </w:r>
      <w:r/>
    </w:p>
    <w:p>
      <w:pPr>
        <w:pStyle w:val="985"/>
        <w:numPr>
          <w:ilvl w:val="0"/>
          <w:numId w:val="12"/>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前端监控点设备全面清洁维护，包括云台、网桥、防雷设备、流媒体终端等设备清洁维护、是否需要更换配件。</w:t>
      </w:r>
      <w:r/>
    </w:p>
    <w:p>
      <w:pPr>
        <w:pStyle w:val="985"/>
        <w:numPr>
          <w:ilvl w:val="0"/>
          <w:numId w:val="12"/>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分控中心设备清洁维护，包括网桥、交换机、计算机、监视器等设备维护，如有人请教使用森林防火软件，应主动培训。</w:t>
      </w:r>
      <w:r/>
    </w:p>
    <w:p>
      <w:pPr>
        <w:pStyle w:val="985"/>
        <w:numPr>
          <w:ilvl w:val="0"/>
          <w:numId w:val="12"/>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前端电缆、光缆、配电箱检查，做好防护防盗措施、安全措施，保障设备及第三人安全。</w:t>
      </w:r>
      <w:r/>
    </w:p>
    <w:p>
      <w:pPr>
        <w:pStyle w:val="985"/>
        <w:numPr>
          <w:ilvl w:val="0"/>
          <w:numId w:val="12"/>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检测前端防雷接地设备，采取措施，保证防雷可靠、有效。</w:t>
      </w:r>
      <w:r/>
    </w:p>
    <w:p>
      <w:pPr>
        <w:pStyle w:val="985"/>
        <w:numPr>
          <w:ilvl w:val="0"/>
          <w:numId w:val="12"/>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做好中心机房设备清洁维护，整理机房布线，保证布线系统整齐、合理、有序；采取机房安全措施，注意防火、防湿、防高温，保障机房安全可靠。</w:t>
      </w:r>
      <w:r/>
    </w:p>
    <w:p>
      <w:pPr>
        <w:pStyle w:val="985"/>
        <w:numPr>
          <w:ilvl w:val="0"/>
          <w:numId w:val="12"/>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做好计算机数据备份，保证数据完整，确保以往数据可查询。</w:t>
      </w:r>
      <w:r/>
    </w:p>
    <w:p>
      <w:pPr>
        <w:pStyle w:val="985"/>
        <w:numPr>
          <w:ilvl w:val="0"/>
          <w:numId w:val="9"/>
        </w:numPr>
        <w:ind w:left="0" w:firstLine="522"/>
        <w:jc w:val="left"/>
        <w:keepLines w:val="0"/>
        <w:keepNext w:val="0"/>
        <w:pageBreakBefore w:val="0"/>
        <w:spacing w:line="360" w:lineRule="auto"/>
        <w:widowControl w:val="off"/>
        <w:rPr>
          <w:rFonts w:hint="eastAsia" w:ascii="宋体" w:hAnsi="宋体" w:eastAsia="宋体" w:cs="宋体"/>
          <w:b/>
          <w:bCs/>
          <w:spacing w:val="10"/>
          <w:sz w:val="24"/>
          <w:szCs w:val="24"/>
          <w:u w:val="none"/>
          <w:lang w:val="en-US" w:eastAsia="zh-CN" w:bidi="ar-SA"/>
        </w:rPr>
      </w:pPr>
      <w:r>
        <w:rPr>
          <w:rFonts w:hint="eastAsia" w:ascii="宋体" w:hAnsi="宋体" w:eastAsia="宋体" w:cs="宋体"/>
          <w:b/>
          <w:bCs/>
          <w:spacing w:val="10"/>
          <w:sz w:val="24"/>
          <w:szCs w:val="24"/>
          <w:u w:val="none"/>
          <w:lang w:val="en-US" w:eastAsia="zh-CN" w:bidi="ar-SA"/>
        </w:rPr>
        <w:t xml:space="preserve">每季度维护要求：</w:t>
      </w:r>
      <w:r/>
    </w:p>
    <w:p>
      <w:pPr>
        <w:pStyle w:val="985"/>
        <w:numPr>
          <w:ilvl w:val="0"/>
          <w:numId w:val="13"/>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云台全面清洁维护，更换润滑油，更换雨刷条，更换同步齿形带，更换云台所有密封圈，检查云台航空插头状。</w:t>
      </w:r>
      <w:r/>
    </w:p>
    <w:p>
      <w:pPr>
        <w:pStyle w:val="985"/>
        <w:numPr>
          <w:ilvl w:val="0"/>
          <w:numId w:val="13"/>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确认网桥天线位置，检查网桥信号强度，网桥天线SMA接口清洁，清洁网桥RJ45口，确认是否更换发射器和功率放大模块，确认是否网桥防水密封圈，确认是否更换网桥电源，确认是否更换网桥防雷器，确认是否更换更换网桥主板。</w:t>
      </w:r>
      <w:r/>
    </w:p>
    <w:p>
      <w:pPr>
        <w:pStyle w:val="985"/>
        <w:numPr>
          <w:ilvl w:val="0"/>
          <w:numId w:val="13"/>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清洁交换机，检测交换机主板确认是否更换交换机。</w:t>
      </w:r>
      <w:r/>
    </w:p>
    <w:p>
      <w:pPr>
        <w:pStyle w:val="985"/>
        <w:numPr>
          <w:ilvl w:val="0"/>
          <w:numId w:val="13"/>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清洁光电转换器，确认是否更换光电转换器电源，确认是否更换光电转换器光功率模块。</w:t>
      </w:r>
      <w:r/>
    </w:p>
    <w:p>
      <w:pPr>
        <w:pStyle w:val="985"/>
        <w:numPr>
          <w:ilvl w:val="0"/>
          <w:numId w:val="13"/>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清洁视频服务器，对视频服务器的BNC接口及RJ45接口进行去氧化处理，对视频服务器主板进行检测确认是否需要更换。</w:t>
      </w:r>
      <w:r/>
    </w:p>
    <w:p>
      <w:pPr>
        <w:pStyle w:val="985"/>
        <w:numPr>
          <w:ilvl w:val="0"/>
          <w:numId w:val="13"/>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计算机清洁，机箱除尘，磁盘整理，操作系统病毒扫描。 </w:t>
      </w:r>
      <w:r/>
    </w:p>
    <w:p>
      <w:pPr>
        <w:pStyle w:val="985"/>
        <w:numPr>
          <w:ilvl w:val="0"/>
          <w:numId w:val="9"/>
        </w:numPr>
        <w:ind w:left="0" w:firstLine="522"/>
        <w:jc w:val="left"/>
        <w:keepLines w:val="0"/>
        <w:keepNext w:val="0"/>
        <w:pageBreakBefore w:val="0"/>
        <w:spacing w:line="360" w:lineRule="auto"/>
        <w:widowControl w:val="off"/>
        <w:rPr>
          <w:rFonts w:hint="eastAsia" w:ascii="宋体" w:hAnsi="宋体" w:eastAsia="宋体" w:cs="宋体"/>
          <w:b/>
          <w:bCs/>
          <w:spacing w:val="10"/>
          <w:sz w:val="24"/>
          <w:szCs w:val="24"/>
          <w:u w:val="none"/>
          <w:lang w:val="en-US" w:eastAsia="zh-CN" w:bidi="ar-SA"/>
        </w:rPr>
      </w:pPr>
      <w:r>
        <w:rPr>
          <w:rFonts w:hint="eastAsia" w:ascii="宋体" w:hAnsi="宋体" w:eastAsia="宋体" w:cs="宋体"/>
          <w:b/>
          <w:bCs/>
          <w:spacing w:val="10"/>
          <w:sz w:val="24"/>
          <w:szCs w:val="24"/>
          <w:u w:val="none"/>
          <w:lang w:val="en-US" w:eastAsia="zh-CN" w:bidi="ar-SA"/>
        </w:rPr>
        <w:t xml:space="preserve">备件服务</w:t>
      </w:r>
      <w:r/>
    </w:p>
    <w:p>
      <w:pPr>
        <w:pStyle w:val="985"/>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中标供应商应建立服务范围内设备的备件库。当损坏的设备不能及时修复，而影响到日常工作时，中标供应商应提供硬件冗余服务，对森林防火主要设备，不允许进行现场维修，必须使用设备冗余方式进行替换式维修。</w:t>
      </w:r>
      <w:r/>
    </w:p>
    <w:p>
      <w:pPr>
        <w:pStyle w:val="985"/>
        <w:numPr>
          <w:ilvl w:val="0"/>
          <w:numId w:val="14"/>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常规备件数量要求如下：</w:t>
      </w:r>
      <w:r/>
    </w:p>
    <w:tbl>
      <w:tblPr>
        <w:tblStyle w:val="675"/>
        <w:tblW w:w="8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3004"/>
        <w:gridCol w:w="1916"/>
        <w:gridCol w:w="3208"/>
      </w:tblGrid>
      <w:tr>
        <w:trPr>
          <w:jc w:val="center"/>
          <w:trHeight w:val="0"/>
          <w:tblHeader/>
        </w:trPr>
        <w:tc>
          <w:tcPr>
            <w:tcW w:w="775"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序号</w:t>
            </w:r>
            <w:r/>
          </w:p>
        </w:tc>
        <w:tc>
          <w:tcPr>
            <w:tcW w:w="3004"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备件名称</w:t>
            </w:r>
            <w:r/>
          </w:p>
        </w:tc>
        <w:tc>
          <w:tcPr>
            <w:tcW w:w="1916"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数量要求</w:t>
            </w:r>
            <w:r/>
          </w:p>
        </w:tc>
        <w:tc>
          <w:tcPr>
            <w:tcW w:w="3208" w:type="dxa"/>
            <w:vAlign w:val="center"/>
            <w:textDirection w:val="lrTb"/>
            <w:noWrap w:val="false"/>
          </w:tcPr>
          <w:p>
            <w:pPr>
              <w:ind w:left="0" w:right="0" w:firstLine="0"/>
              <w:jc w:val="center"/>
              <w:keepLines w:val="0"/>
              <w:keepNext w:val="0"/>
              <w:pageBreakBefore w:val="0"/>
              <w:spacing w:line="360" w:lineRule="auto"/>
              <w:widowControl w:val="off"/>
              <w:tabs>
                <w:tab w:val="left" w:pos="1080" w:leader="none"/>
              </w:tabs>
              <w:rPr>
                <w:rFonts w:hint="eastAsia" w:ascii="宋体" w:hAnsi="宋体" w:eastAsia="宋体" w:cs="宋体"/>
                <w:b w:val="0"/>
                <w:bCs/>
                <w:spacing w:val="10"/>
                <w:sz w:val="24"/>
                <w:szCs w:val="24"/>
                <w:u w:val="none"/>
              </w:rPr>
            </w:pPr>
            <w:r>
              <w:rPr>
                <w:rFonts w:hint="eastAsia" w:ascii="宋体" w:hAnsi="宋体" w:eastAsia="宋体" w:cs="宋体"/>
                <w:b w:val="0"/>
                <w:bCs/>
                <w:spacing w:val="10"/>
                <w:sz w:val="24"/>
                <w:szCs w:val="24"/>
                <w:u w:val="none"/>
              </w:rPr>
              <w:t xml:space="preserve">备注</w:t>
            </w:r>
            <w:r/>
          </w:p>
        </w:tc>
      </w:tr>
      <w:tr>
        <w:trPr>
          <w:jc w:val="center"/>
          <w:trHeight w:val="0"/>
        </w:trPr>
        <w:tc>
          <w:tcPr>
            <w:tcW w:w="775"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1</w:t>
            </w:r>
            <w:r/>
          </w:p>
        </w:tc>
        <w:tc>
          <w:tcPr>
            <w:tcW w:w="3004"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中型一体化云台</w:t>
            </w:r>
            <w:r/>
          </w:p>
        </w:tc>
        <w:tc>
          <w:tcPr>
            <w:tcW w:w="1916"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不少于1台</w:t>
            </w:r>
            <w:r/>
          </w:p>
        </w:tc>
        <w:tc>
          <w:tcPr>
            <w:tcW w:w="3208" w:type="dxa"/>
            <w:vAlign w:val="center"/>
            <w:vMerge w:val="restart"/>
            <w:textDirection w:val="lrTb"/>
            <w:noWrap w:val="false"/>
          </w:tcPr>
          <w:p>
            <w:pPr>
              <w:ind w:left="0" w:right="0" w:firstLine="0"/>
              <w:jc w:val="center"/>
              <w:keepLines w:val="0"/>
              <w:keepNext w:val="0"/>
              <w:pageBreakBefore w:val="0"/>
              <w:spacing w:line="360" w:lineRule="auto"/>
              <w:widowControl w:val="off"/>
              <w:tabs>
                <w:tab w:val="left" w:pos="1080" w:leader="none"/>
              </w:tabs>
              <w:rPr>
                <w:rFonts w:hint="eastAsia" w:ascii="宋体" w:hAnsi="宋体" w:eastAsia="宋体" w:cs="宋体"/>
                <w:b w:val="0"/>
                <w:bCs/>
                <w:spacing w:val="10"/>
                <w:sz w:val="24"/>
                <w:szCs w:val="24"/>
                <w:u w:val="none"/>
              </w:rPr>
            </w:pPr>
            <w:r>
              <w:rPr>
                <w:rFonts w:hint="eastAsia" w:ascii="宋体" w:hAnsi="宋体" w:eastAsia="宋体" w:cs="宋体"/>
                <w:b w:val="0"/>
                <w:bCs/>
                <w:spacing w:val="10"/>
                <w:sz w:val="24"/>
                <w:szCs w:val="24"/>
                <w:u w:val="none"/>
              </w:rPr>
              <w:t xml:space="preserve">与原供应商实际使用型号一致或者不低于原设备要求并保证兼容。</w:t>
            </w:r>
            <w:r/>
          </w:p>
        </w:tc>
      </w:tr>
      <w:tr>
        <w:trPr>
          <w:jc w:val="center"/>
          <w:trHeight w:val="0"/>
        </w:trPr>
        <w:tc>
          <w:tcPr>
            <w:tcW w:w="775"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2</w:t>
            </w:r>
            <w:r/>
          </w:p>
        </w:tc>
        <w:tc>
          <w:tcPr>
            <w:tcW w:w="3004"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流媒体存储/分发服务器</w:t>
            </w:r>
            <w:r/>
          </w:p>
        </w:tc>
        <w:tc>
          <w:tcPr>
            <w:tcW w:w="1916"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不少于1台</w:t>
            </w:r>
            <w:r/>
          </w:p>
        </w:tc>
        <w:tc>
          <w:tcPr>
            <w:tcW w:w="3208" w:type="dxa"/>
            <w:vAlign w:val="center"/>
            <w:vMerge w:val="continue"/>
            <w:textDirection w:val="lrTb"/>
            <w:noWrap w:val="false"/>
          </w:tcPr>
          <w:p>
            <w:pPr>
              <w:ind w:left="0" w:right="0" w:firstLine="0"/>
              <w:jc w:val="center"/>
              <w:keepLines w:val="0"/>
              <w:keepNext w:val="0"/>
              <w:pageBreakBefore w:val="0"/>
              <w:spacing w:line="360" w:lineRule="auto"/>
              <w:widowControl w:val="off"/>
              <w:tabs>
                <w:tab w:val="left" w:pos="1080" w:leader="none"/>
              </w:tabs>
              <w:rPr>
                <w:rFonts w:hint="eastAsia" w:ascii="宋体" w:hAnsi="宋体" w:eastAsia="宋体" w:cs="宋体"/>
                <w:b w:val="0"/>
                <w:bCs/>
                <w:spacing w:val="10"/>
                <w:sz w:val="24"/>
                <w:szCs w:val="24"/>
                <w:u w:val="none"/>
              </w:rPr>
            </w:pPr>
            <w:r>
              <w:rPr>
                <w:rFonts w:hint="eastAsia" w:ascii="宋体" w:hAnsi="宋体" w:eastAsia="宋体" w:cs="宋体"/>
                <w:b w:val="0"/>
                <w:bCs/>
                <w:spacing w:val="10"/>
                <w:sz w:val="24"/>
                <w:szCs w:val="24"/>
                <w:u w:val="none"/>
              </w:rPr>
            </w:r>
            <w:r/>
          </w:p>
        </w:tc>
      </w:tr>
      <w:tr>
        <w:trPr>
          <w:jc w:val="center"/>
          <w:trHeight w:val="0"/>
        </w:trPr>
        <w:tc>
          <w:tcPr>
            <w:tcW w:w="775"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3</w:t>
            </w:r>
            <w:r/>
          </w:p>
        </w:tc>
        <w:tc>
          <w:tcPr>
            <w:tcW w:w="3004"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高清数字解码器</w:t>
            </w:r>
            <w:r/>
          </w:p>
        </w:tc>
        <w:tc>
          <w:tcPr>
            <w:tcW w:w="1916"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不少于1套</w:t>
            </w:r>
            <w:r/>
          </w:p>
        </w:tc>
        <w:tc>
          <w:tcPr>
            <w:tcW w:w="3208" w:type="dxa"/>
            <w:vAlign w:val="center"/>
            <w:vMerge w:val="continue"/>
            <w:textDirection w:val="lrTb"/>
            <w:noWrap w:val="false"/>
          </w:tcPr>
          <w:p>
            <w:pPr>
              <w:ind w:left="0" w:right="0" w:firstLine="0"/>
              <w:jc w:val="center"/>
              <w:keepLines w:val="0"/>
              <w:keepNext w:val="0"/>
              <w:pageBreakBefore w:val="0"/>
              <w:spacing w:line="360" w:lineRule="auto"/>
              <w:widowControl w:val="off"/>
              <w:tabs>
                <w:tab w:val="left" w:pos="1080" w:leader="none"/>
              </w:tabs>
              <w:rPr>
                <w:rFonts w:hint="eastAsia" w:ascii="宋体" w:hAnsi="宋体" w:eastAsia="宋体" w:cs="宋体"/>
                <w:b w:val="0"/>
                <w:bCs/>
                <w:spacing w:val="10"/>
                <w:sz w:val="24"/>
                <w:szCs w:val="24"/>
                <w:u w:val="none"/>
              </w:rPr>
            </w:pPr>
            <w:r>
              <w:rPr>
                <w:rFonts w:hint="eastAsia" w:ascii="宋体" w:hAnsi="宋体" w:eastAsia="宋体" w:cs="宋体"/>
                <w:b w:val="0"/>
                <w:bCs/>
                <w:spacing w:val="10"/>
                <w:sz w:val="24"/>
                <w:szCs w:val="24"/>
                <w:u w:val="none"/>
              </w:rPr>
            </w:r>
            <w:r/>
          </w:p>
        </w:tc>
      </w:tr>
      <w:tr>
        <w:trPr>
          <w:jc w:val="center"/>
          <w:trHeight w:val="0"/>
        </w:trPr>
        <w:tc>
          <w:tcPr>
            <w:tcW w:w="775"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4</w:t>
            </w:r>
            <w:r/>
          </w:p>
        </w:tc>
        <w:tc>
          <w:tcPr>
            <w:tcW w:w="3004"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前置林火视频分析器</w:t>
            </w:r>
            <w:r/>
          </w:p>
        </w:tc>
        <w:tc>
          <w:tcPr>
            <w:tcW w:w="1916"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pacing w:val="10"/>
                <w:sz w:val="24"/>
                <w:szCs w:val="24"/>
                <w:u w:val="none"/>
                <w:lang w:val="en-US" w:eastAsia="zh-CN" w:bidi="ar-SA"/>
              </w:rPr>
            </w:pPr>
            <w:r>
              <w:rPr>
                <w:rFonts w:hint="eastAsia" w:ascii="宋体" w:hAnsi="宋体" w:eastAsia="宋体" w:cs="宋体"/>
                <w:b w:val="0"/>
                <w:bCs/>
                <w:spacing w:val="10"/>
                <w:sz w:val="24"/>
                <w:szCs w:val="24"/>
                <w:u w:val="none"/>
                <w:lang w:val="en-US" w:eastAsia="zh-CN" w:bidi="ar-SA"/>
              </w:rPr>
              <w:t xml:space="preserve">不少于1台</w:t>
            </w:r>
            <w:r/>
          </w:p>
        </w:tc>
        <w:tc>
          <w:tcPr>
            <w:tcW w:w="3208" w:type="dxa"/>
            <w:vAlign w:val="center"/>
            <w:vMerge w:val="continue"/>
            <w:textDirection w:val="lrTb"/>
            <w:noWrap w:val="false"/>
          </w:tcPr>
          <w:p>
            <w:pPr>
              <w:ind w:left="0" w:right="0" w:firstLine="0"/>
              <w:jc w:val="center"/>
              <w:keepLines w:val="0"/>
              <w:keepNext w:val="0"/>
              <w:pageBreakBefore w:val="0"/>
              <w:spacing w:line="360" w:lineRule="auto"/>
              <w:widowControl w:val="off"/>
              <w:tabs>
                <w:tab w:val="left" w:pos="1080" w:leader="none"/>
              </w:tabs>
              <w:rPr>
                <w:rFonts w:hint="eastAsia" w:ascii="宋体" w:hAnsi="宋体" w:eastAsia="宋体" w:cs="宋体"/>
                <w:b w:val="0"/>
                <w:bCs/>
                <w:spacing w:val="10"/>
                <w:sz w:val="24"/>
                <w:szCs w:val="24"/>
                <w:u w:val="none"/>
              </w:rPr>
            </w:pPr>
            <w:r>
              <w:rPr>
                <w:rFonts w:hint="eastAsia" w:ascii="宋体" w:hAnsi="宋体" w:eastAsia="宋体" w:cs="宋体"/>
                <w:b w:val="0"/>
                <w:bCs/>
                <w:spacing w:val="10"/>
                <w:sz w:val="24"/>
                <w:szCs w:val="24"/>
                <w:u w:val="none"/>
              </w:rPr>
            </w:r>
            <w:r/>
          </w:p>
        </w:tc>
      </w:tr>
    </w:tbl>
    <w:p>
      <w:pPr>
        <w:pStyle w:val="985"/>
        <w:numPr>
          <w:ilvl w:val="0"/>
          <w:numId w:val="14"/>
        </w:numPr>
        <w:ind w:left="0"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备件技术参数要求：</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u w:val="none"/>
          <w:lang w:val="en-US" w:eastAsia="zh-CN"/>
        </w:rPr>
      </w:pPr>
      <w:r>
        <w:rPr>
          <w:rFonts w:hint="eastAsia" w:ascii="宋体" w:hAnsi="宋体" w:eastAsia="宋体" w:cs="宋体"/>
          <w:b w:val="0"/>
          <w:bCs w:val="0"/>
          <w:spacing w:val="10"/>
          <w:sz w:val="24"/>
          <w:szCs w:val="24"/>
          <w:u w:val="none"/>
          <w:lang w:val="en-US" w:eastAsia="zh-CN"/>
        </w:rPr>
        <w:t xml:space="preserve">A.中型一体化云台</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①云台采用直流无刷电机转动；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▲②预置位精度优于或等于0.01°；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③云台能支持Pelco-D/P通讯协议；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④云台能支持1200/2400/4800/9600bps的波特率；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⑤摄像机有RS-485/UART/电平控制/RJ45的控制接口；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⑥云台水平状态下能360°无限制旋转，垂直的旋转范围优于或等于-75°~+45°；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⑦云台在水平的旋转速度优于或等于0.1~38°/s，垂直的旋转速度优于或等于0.1~30°/s；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⑧云台的地址范围优于或等于0-255，预置位数量不低于512个；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⑨云台的工作温度优于或等于-40℃~+70℃；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▲⑩云台数据具有水平、垂直、变焦、聚焦等四个类型数据的返回功能，四个控制量的数值直接设定功能；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⑪防护标准：整体防护等级不小于IP66。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b/>
          <w:bCs/>
          <w:spacing w:val="10"/>
          <w:sz w:val="24"/>
          <w:szCs w:val="24"/>
          <w:u w:val="none"/>
          <w:lang w:val="en-US" w:eastAsia="zh-CN"/>
        </w:rPr>
      </w:pPr>
      <w:r>
        <w:rPr>
          <w:rFonts w:hint="eastAsia" w:ascii="宋体" w:hAnsi="宋体" w:eastAsia="宋体" w:cs="宋体"/>
          <w:b w:val="0"/>
          <w:bCs w:val="0"/>
          <w:spacing w:val="10"/>
          <w:sz w:val="24"/>
          <w:szCs w:val="24"/>
          <w:u w:val="none"/>
          <w:lang w:val="en-US" w:eastAsia="zh-CN"/>
        </w:rPr>
        <w:t xml:space="preserve">B.镜头模块参数：</w:t>
      </w:r>
      <w:r>
        <w:rPr>
          <w:rFonts w:hint="eastAsia" w:ascii="宋体" w:hAnsi="宋体" w:eastAsia="宋体" w:cs="宋体"/>
          <w:b/>
          <w:bCs/>
          <w:spacing w:val="10"/>
          <w:sz w:val="24"/>
          <w:szCs w:val="24"/>
          <w:u w:val="none"/>
          <w:lang w:val="en-US" w:eastAsia="zh-CN"/>
        </w:rPr>
        <w:t xml:space="preserve">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①镜头光学变焦f范围：优于或等于8-560mm；不低于70X；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②光圈范围FNo优于或等于1.4-5.4；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③总像素优于或等于4K,800万像素；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④视场角（水平）优于或等于50—0.8（度）；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u w:val="none"/>
          <w:lang w:val="en-US" w:eastAsia="zh-CN"/>
        </w:rPr>
      </w:pPr>
      <w:r>
        <w:rPr>
          <w:rFonts w:hint="eastAsia" w:ascii="宋体" w:hAnsi="宋体" w:eastAsia="宋体" w:cs="宋体"/>
          <w:b w:val="0"/>
          <w:bCs w:val="0"/>
          <w:spacing w:val="10"/>
          <w:sz w:val="24"/>
          <w:szCs w:val="24"/>
          <w:u w:val="none"/>
          <w:lang w:val="en-US" w:eastAsia="zh-CN"/>
        </w:rPr>
        <w:t xml:space="preserve">C.摄像机模块参数：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①靶面尺寸大小优于或等于1/1.8"；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▲②总像素优于或等于800万；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③最大分辨率优于或等于3840*2160；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④接口类型：自动聚焦相机类型，对外接口：有网口、DC12V和串口；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⑤视频压缩模式：能支持H.265/H.264/H.264H/MJPEG等丰富的编码压缩模式；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⑥存储功能：支持EMMC存储功能或最大128G的TF卡存储功能；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⑦支持Onvif,GB28181,HTTP,RTSP,RTP,TCP,UDP网络协议；</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⑧智能报警：能支持移动侦测、遮挡报警、存储期满；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⑨支持百兆网络；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⑩最低照度：彩色：0.001Lux/F1.6；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⑪聚焦模式：有自动/手动/一次性自动聚焦；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⑫支持3码流输出，帧率、分辨率可设；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⑬支持光学透雾（日夜转换）功能，夜模式为光学透雾带通滤镜优于或等于900nm-1100nm；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⑭支持曝光补偿、背光补偿、强光抑制、宽动态、2D/3D功能的参数调节；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⑮支持图像风格、亮度、对比度、饱和度、锐度和伽马参数调整功能；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▲⑯支持时间、通道名称、光学倍率OSD叠加；支持图片叠加、异常OSD叠加和经纬度叠加；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u w:val="none"/>
          <w:lang w:val="en-US" w:eastAsia="zh-CN"/>
        </w:rPr>
      </w:pPr>
      <w:r>
        <w:rPr>
          <w:rFonts w:hint="eastAsia" w:ascii="宋体" w:hAnsi="宋体" w:eastAsia="宋体" w:cs="宋体"/>
          <w:b w:val="0"/>
          <w:bCs w:val="0"/>
          <w:spacing w:val="10"/>
          <w:sz w:val="24"/>
          <w:szCs w:val="24"/>
          <w:u w:val="none"/>
          <w:lang w:val="en-US" w:eastAsia="zh-CN"/>
        </w:rPr>
        <w:t xml:space="preserve">D.多光谱相机模块参数：</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①总像素：优于或等于200万像素；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▲②焦距范围f：8-520mm，65X；</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③光圈范围FNo：1.5-5.2；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④感光波段：①370-720nm②800-2400nm；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⑤采用RAW格式原始图像文件输出；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▲⑥采用全数字视频TCP/IP网络传输架构，采用RJ45接口连接。</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u w:val="none"/>
          <w:lang w:val="en-US" w:eastAsia="zh-CN"/>
        </w:rPr>
      </w:pPr>
      <w:r>
        <w:rPr>
          <w:rFonts w:hint="eastAsia" w:ascii="宋体" w:hAnsi="宋体" w:eastAsia="宋体" w:cs="宋体"/>
          <w:b w:val="0"/>
          <w:bCs w:val="0"/>
          <w:spacing w:val="10"/>
          <w:sz w:val="24"/>
          <w:szCs w:val="24"/>
          <w:u w:val="none"/>
          <w:lang w:val="en-US" w:eastAsia="zh-CN"/>
        </w:rPr>
        <w:t xml:space="preserve">E.流媒体存储/分发服务器</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①支持一千路以上前端视频管理。</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②支持流媒体分发，可同时将图像数据流分发至客户端/解码器/林火检测服务器等。</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③系统支持高清数字码流图像叠加功能，可以将云台的方位角，俯仰角，镜头倍率及观测区域经纬度以半透明方式在大屏及客户端上进行HUD显示；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④支持与已联网其他流媒体存储/分发服务器无缝级联，可调取已联网的其他流媒体存储/分发服务器上的视频；</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rPr>
      </w:pPr>
      <w:r>
        <w:rPr>
          <w:rFonts w:hint="eastAsia" w:ascii="宋体" w:hAnsi="宋体" w:eastAsia="宋体" w:cs="宋体"/>
          <w:spacing w:val="10"/>
          <w:sz w:val="24"/>
          <w:szCs w:val="24"/>
          <w:u w:val="none"/>
          <w:lang w:val="en-US" w:eastAsia="zh-CN"/>
        </w:rPr>
        <w:t xml:space="preserve">⑤支持基于国际标准ONVIF协议的主流监控设备的管理；</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u w:val="none"/>
          <w:lang w:val="en-US" w:eastAsia="zh-CN"/>
        </w:rPr>
      </w:pPr>
      <w:r>
        <w:rPr>
          <w:rFonts w:hint="eastAsia" w:ascii="宋体" w:hAnsi="宋体" w:eastAsia="宋体" w:cs="宋体"/>
          <w:b w:val="0"/>
          <w:bCs w:val="0"/>
          <w:spacing w:val="10"/>
          <w:sz w:val="24"/>
          <w:szCs w:val="24"/>
          <w:u w:val="none"/>
          <w:lang w:val="en-US" w:eastAsia="zh-CN"/>
        </w:rPr>
        <w:t xml:space="preserve">F.高清数字解码器</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①单台解码器同时支持四路高清解码；</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②支持轮巡及4画面同时轮巡查看；</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③解码器安装无线网络模块，可在有线网络及无线网络之间切换工作。</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rPr>
      </w:pPr>
      <w:r>
        <w:rPr>
          <w:rFonts w:hint="eastAsia" w:ascii="宋体" w:hAnsi="宋体" w:eastAsia="宋体" w:cs="宋体"/>
          <w:spacing w:val="10"/>
          <w:sz w:val="24"/>
          <w:szCs w:val="24"/>
          <w:u w:val="none"/>
          <w:lang w:val="en-US" w:eastAsia="zh-CN"/>
        </w:rPr>
        <w:t xml:space="preserve">④支持平行衍射抬头显示器（HUD）显示方式，即支持透明文字与图案叠加，可以叠加显示云台监测方位（用东西南北表示）/垂直角度/镜头光学倍率/画面中心点瞄准标识等信息。 </w:t>
      </w:r>
      <w:r/>
    </w:p>
    <w:p>
      <w:pPr>
        <w:numPr>
          <w:ilvl w:val="0"/>
          <w:numId w:val="0"/>
        </w:numPr>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u w:val="none"/>
          <w:lang w:val="en-US" w:eastAsia="zh-CN"/>
        </w:rPr>
      </w:pPr>
      <w:r>
        <w:rPr>
          <w:rFonts w:hint="eastAsia" w:ascii="宋体" w:hAnsi="宋体" w:eastAsia="宋体" w:cs="宋体"/>
          <w:b w:val="0"/>
          <w:bCs w:val="0"/>
          <w:spacing w:val="10"/>
          <w:sz w:val="24"/>
          <w:szCs w:val="24"/>
          <w:u w:val="none"/>
          <w:lang w:val="en-US" w:eastAsia="zh-CN"/>
        </w:rPr>
        <w:t xml:space="preserve">G.前置林火视频分析器</w:t>
      </w:r>
      <w:r/>
    </w:p>
    <w:p>
      <w:pPr>
        <w:pStyle w:val="679"/>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①能够对1000万像素及以下的高清视频进行林火图像分析。每路视频可以在五分钟之内完成360度的巡航检测，能够对五公里以内森林火灾进行准确报警；</w:t>
      </w:r>
      <w:r/>
    </w:p>
    <w:p>
      <w:pPr>
        <w:pStyle w:val="679"/>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②支持分区检测，对同一个预置位画面的不同区域采用不同的检测规则；</w:t>
      </w:r>
      <w:r/>
    </w:p>
    <w:p>
      <w:pPr>
        <w:pStyle w:val="679"/>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③支持正区和负区，在一个预置位中可选择设置烟火检测的检测区域与非检测区域；</w:t>
      </w:r>
      <w:r/>
    </w:p>
    <w:p>
      <w:pPr>
        <w:pStyle w:val="679"/>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▲④支持分时检测，不同时间段可以对同一个预置位采用不同的检测规则进行检测；</w:t>
      </w:r>
      <w:r/>
    </w:p>
    <w:p>
      <w:pPr>
        <w:pStyle w:val="679"/>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▲⑤可根据不同时间段及不同预置位修改前端摄像机图像的亮度、反差、锐度、增益等参数：；</w:t>
      </w:r>
      <w:r/>
    </w:p>
    <w:p>
      <w:pPr>
        <w:pStyle w:val="679"/>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▲⑥支持在线学习功能：系统实时将各类报警图像自动上传到服务器，服务器则会自动提取相应特征并添加到特征数据库中，并更新所有的在线检测设备；</w:t>
      </w:r>
      <w:r/>
    </w:p>
    <w:p>
      <w:pPr>
        <w:pStyle w:val="679"/>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⑦支持检测数据云端存储功能，所有检测服务器的配置参数都同时保存在本地服务器或者云服务器中，出现故障后，能快速更换及恢复数据；</w:t>
      </w:r>
      <w:r/>
    </w:p>
    <w:p>
      <w:pPr>
        <w:pStyle w:val="679"/>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⑧支持前后端混合识别；</w:t>
      </w:r>
      <w:r/>
    </w:p>
    <w:p>
      <w:pPr>
        <w:pStyle w:val="679"/>
        <w:ind w:firstLine="520"/>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▲⑨可见光能对10＊10像素烟雾报警，最小发现像素数5＊5。热像报警像素数为1＊2，可见光及热像检测误报率均低于万分之一。</w:t>
      </w:r>
      <w:r/>
    </w:p>
    <w:p>
      <w:pPr>
        <w:pStyle w:val="985"/>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u w:val="none"/>
          <w:lang w:val="en-US" w:eastAsia="zh-CN" w:bidi="ar-SA"/>
        </w:rPr>
      </w:pPr>
      <w:r>
        <w:rPr>
          <w:rFonts w:hint="eastAsia" w:ascii="宋体" w:hAnsi="宋体" w:eastAsia="宋体" w:cs="宋体"/>
          <w:b w:val="0"/>
          <w:bCs w:val="0"/>
          <w:spacing w:val="10"/>
          <w:sz w:val="24"/>
          <w:szCs w:val="24"/>
          <w:u w:val="none"/>
          <w:lang w:val="en-US" w:eastAsia="zh-CN" w:bidi="ar-SA"/>
        </w:rPr>
        <w:t xml:space="preserve">H.软件维护更新</w:t>
      </w:r>
      <w:r/>
    </w:p>
    <w:p>
      <w:pPr>
        <w:pStyle w:val="985"/>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供应商需对主监控室（包括火情识别软件、大屏上墙管理软件、管理客户端、广播系统软件等相关软件）进行免费维护与升级： </w:t>
      </w:r>
      <w:r/>
    </w:p>
    <w:p>
      <w:pPr>
        <w:pStyle w:val="985"/>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①林火视频分析软件每年至少升级三次及以上。</w:t>
      </w:r>
      <w:r/>
    </w:p>
    <w:p>
      <w:pPr>
        <w:pStyle w:val="985"/>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②定期对服务范围内计算机系统安全情况进行例行检查，每月一次，发现安全问题立即修复。</w:t>
      </w:r>
      <w:r/>
    </w:p>
    <w:p>
      <w:pPr>
        <w:pStyle w:val="985"/>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③其他相关管理软件，如视频分发存储服务器流媒体软件、森林防火管理客户端软件等继续提供升级服务，确保软件超期后仍能正常运行。</w:t>
      </w:r>
      <w:r/>
    </w:p>
    <w:p>
      <w:pPr>
        <w:pStyle w:val="985"/>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u w:val="none"/>
          <w:lang w:val="en-US" w:eastAsia="zh-CN" w:bidi="ar-SA"/>
        </w:rPr>
      </w:pPr>
      <w:r>
        <w:rPr>
          <w:rFonts w:hint="eastAsia" w:ascii="宋体" w:hAnsi="宋体" w:eastAsia="宋体" w:cs="宋体"/>
          <w:b w:val="0"/>
          <w:bCs w:val="0"/>
          <w:spacing w:val="10"/>
          <w:sz w:val="24"/>
          <w:szCs w:val="24"/>
          <w:u w:val="none"/>
          <w:lang w:val="en-US" w:eastAsia="zh-CN" w:bidi="ar-SA"/>
        </w:rPr>
        <w:t xml:space="preserve">I.应急服务</w:t>
      </w:r>
      <w:r/>
    </w:p>
    <w:p>
      <w:pPr>
        <w:pStyle w:val="985"/>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①遇到突发情况或不可抗力，供应商将派出不少于5人的应急抢修人员，全力协助修复溧水区森林防火智能监测系统。</w:t>
      </w:r>
      <w:r/>
    </w:p>
    <w:p>
      <w:pPr>
        <w:pStyle w:val="985"/>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②遇到上级领导视察，供应商将视情况派出足够的讲解人员进行现场演示，如有必要，供应商将派出上至总经理、副总经理、技术总监，下至普通员工的现场服务。</w:t>
      </w:r>
      <w:r/>
    </w:p>
    <w:p>
      <w:pPr>
        <w:pStyle w:val="985"/>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u w:val="none"/>
          <w:lang w:val="en-US" w:eastAsia="zh-CN" w:bidi="ar-SA"/>
        </w:rPr>
      </w:pPr>
      <w:r>
        <w:rPr>
          <w:rFonts w:hint="eastAsia" w:ascii="宋体" w:hAnsi="宋体" w:eastAsia="宋体" w:cs="宋体"/>
          <w:b w:val="0"/>
          <w:bCs w:val="0"/>
          <w:spacing w:val="10"/>
          <w:sz w:val="24"/>
          <w:szCs w:val="24"/>
          <w:u w:val="none"/>
          <w:lang w:val="en-US" w:eastAsia="zh-CN" w:bidi="ar-SA"/>
        </w:rPr>
        <w:t xml:space="preserve">J.互联网远程值守服务</w:t>
      </w:r>
      <w:r/>
    </w:p>
    <w:p>
      <w:pPr>
        <w:pStyle w:val="985"/>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①供应商必须提供法定森林防火期的全年24小时互联网值守服务，远程处理溧水区森林火险报警情况，以便在火灾发生时，能够及时向采购人提供报警信息。</w:t>
      </w:r>
      <w:r/>
    </w:p>
    <w:p>
      <w:pPr>
        <w:pStyle w:val="985"/>
        <w:jc w:val="left"/>
        <w:keepLines w:val="0"/>
        <w:keepNext w:val="0"/>
        <w:pageBreakBefore w:val="0"/>
        <w:spacing w:line="360" w:lineRule="auto"/>
        <w:widowControl w:val="off"/>
        <w:rPr>
          <w:rFonts w:hint="eastAsia" w:ascii="宋体" w:hAnsi="宋体" w:eastAsia="宋体" w:cs="宋体"/>
          <w:spacing w:val="10"/>
          <w:sz w:val="24"/>
          <w:szCs w:val="24"/>
          <w:u w:val="none"/>
          <w:lang w:val="en-US" w:eastAsia="zh-CN" w:bidi="ar-SA"/>
        </w:rPr>
      </w:pPr>
      <w:r>
        <w:rPr>
          <w:rFonts w:hint="eastAsia" w:ascii="宋体" w:hAnsi="宋体" w:eastAsia="宋体" w:cs="宋体"/>
          <w:spacing w:val="10"/>
          <w:sz w:val="24"/>
          <w:szCs w:val="24"/>
          <w:u w:val="none"/>
          <w:lang w:val="en-US" w:eastAsia="zh-CN" w:bidi="ar-SA"/>
        </w:rPr>
        <w:t xml:space="preserve">②采购人要求能够在溧水区主监控室查看到中标供应商提供的互联网远程值守情况。</w:t>
      </w:r>
      <w:r/>
    </w:p>
    <w:p>
      <w:pPr>
        <w:pStyle w:val="985"/>
        <w:jc w:val="left"/>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pacing w:val="10"/>
          <w:sz w:val="24"/>
          <w:szCs w:val="24"/>
          <w:u w:val="none"/>
          <w:lang w:val="en-US" w:eastAsia="zh-CN" w:bidi="ar-SA"/>
        </w:rPr>
        <w:t xml:space="preserve">③值班要求：接受警讯后，经人工判别初步确认烟火后，向客户指挥中心接警终端和指定人员智能手机推送烟火预警信息（警讯地理位置坐标、地图、烟火实况图片、气象信息）。增加警讯后20分钟的人工持续观察识别。在第一次推送烟火预警信息后，每5分钟发送一次。紧急情况下，云值守中心通过电话直接与客户指挥中心保持联系，提供必要信息。增加自警讯发生至警讯确认解除期间的人工持续观察识别。必要时，主动与客户指挥中心、护林人员保持联系，提供必要信息。增加提供通过微信发送的烟火预警实时现场视频。</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四、维护服务实施要求</w:t>
      </w:r>
      <w:r/>
    </w:p>
    <w:p>
      <w:pPr>
        <w:pStyle w:val="985"/>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lang w:val="en-US" w:eastAsia="zh-CN" w:bidi="ar-SA"/>
        </w:rPr>
        <w:outlineLvl w:val="1"/>
      </w:pPr>
      <w:r>
        <w:rPr>
          <w:rFonts w:hint="eastAsia" w:ascii="宋体" w:hAnsi="宋体" w:eastAsia="宋体" w:cs="宋体"/>
          <w:b w:val="0"/>
          <w:bCs w:val="0"/>
          <w:spacing w:val="10"/>
          <w:sz w:val="24"/>
          <w:szCs w:val="24"/>
          <w:lang w:val="en-US" w:eastAsia="zh-CN" w:bidi="ar-SA"/>
        </w:rPr>
        <w:t xml:space="preserve">（一）值守要求（互联网远程值守）</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接受警讯后，经人工判别初步确认烟火后，向客户指挥中心接警终端和指定人员智能手机推送烟火预警信息（警讯地理位置坐标、地图、烟火实况图片、气象信息）。增加警讯后20分钟的人工持续观察识别。在第一次推送烟火预警信息后，每5分钟发送一次。紧急情况下，云值守中心通过电话直接与客户指挥中心保持联系，提供必要信息。增加自警讯发生至警讯确认解除期间的人工持续观察识别。必要时，主动与客户指挥中心、护林人员保持联系，提供必要信息。增加提供通过微信发送的烟火预警实时现场视频。</w:t>
      </w:r>
      <w:r/>
    </w:p>
    <w:p>
      <w:pPr>
        <w:pStyle w:val="985"/>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lang w:val="en-US" w:eastAsia="zh-CN" w:bidi="ar-SA"/>
        </w:rPr>
        <w:outlineLvl w:val="1"/>
      </w:pPr>
      <w:r>
        <w:rPr>
          <w:rFonts w:hint="eastAsia" w:ascii="宋体" w:hAnsi="宋体" w:eastAsia="宋体" w:cs="宋体"/>
          <w:b w:val="0"/>
          <w:bCs w:val="0"/>
          <w:spacing w:val="10"/>
          <w:sz w:val="24"/>
          <w:szCs w:val="24"/>
          <w:lang w:val="en-US" w:eastAsia="zh-CN" w:bidi="ar-SA"/>
        </w:rPr>
        <w:t xml:space="preserve">（二）车辆要求</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南京市溧水区森林火险监控管理系统监控点分布比较广，相邻监控点间距离较远，要求提供运维车辆不少于1辆。(提供书面承诺并加盖公章)</w:t>
      </w:r>
      <w:r/>
    </w:p>
    <w:p>
      <w:pPr>
        <w:pStyle w:val="985"/>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lang w:val="en-US" w:eastAsia="zh-CN" w:bidi="ar-SA"/>
        </w:rPr>
        <w:outlineLvl w:val="1"/>
      </w:pPr>
      <w:r>
        <w:rPr>
          <w:rFonts w:hint="eastAsia" w:ascii="宋体" w:hAnsi="宋体" w:eastAsia="宋体" w:cs="宋体"/>
          <w:b w:val="0"/>
          <w:bCs w:val="0"/>
          <w:spacing w:val="10"/>
          <w:sz w:val="24"/>
          <w:szCs w:val="24"/>
          <w:lang w:val="en-US" w:eastAsia="zh-CN" w:bidi="ar-SA"/>
        </w:rPr>
        <w:t xml:space="preserve">（三）制度要求</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1、维护人员须严格遵守有关法规、森林防火内部规章制度及所有维护操作守则及规范。</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2、所有现场维护服务的人员佩戴工作证。工作人员及工作证必须报有关部门备案。</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3、维护人员在上岗前须签署保密协议书，不得擅自翻阅、复制、传播所接触的用户资料或数据。</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4、维护期间驻现场维护人员不得从事维护工作范围以外事务。</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5、保持维护团队人员的稳定，如需更换维护人员必须先征得采购人同意后方可进行，如维护人员提出辞职必须提前书面通知，做好工作交接，并在离职后两周内提供同等资质人员作替补。</w:t>
      </w:r>
      <w:r/>
    </w:p>
    <w:p>
      <w:pPr>
        <w:pStyle w:val="985"/>
        <w:jc w:val="left"/>
        <w:keepLines w:val="0"/>
        <w:keepNext w:val="0"/>
        <w:pageBreakBefore w:val="0"/>
        <w:spacing w:line="360" w:lineRule="auto"/>
        <w:rPr>
          <w:rFonts w:hint="eastAsia" w:ascii="宋体" w:hAnsi="宋体" w:eastAsia="宋体" w:cs="宋体"/>
          <w:b/>
          <w:bCs/>
          <w:spacing w:val="10"/>
          <w:sz w:val="24"/>
          <w:szCs w:val="24"/>
          <w:lang w:val="en-US" w:eastAsia="zh-CN" w:bidi="ar-SA"/>
        </w:rPr>
      </w:pPr>
      <w:r>
        <w:rPr>
          <w:rFonts w:hint="eastAsia" w:ascii="宋体" w:hAnsi="宋体" w:eastAsia="宋体" w:cs="宋体"/>
          <w:b/>
          <w:bCs/>
          <w:spacing w:val="10"/>
          <w:sz w:val="24"/>
          <w:szCs w:val="24"/>
          <w:lang w:val="en-US" w:eastAsia="zh-CN" w:bidi="ar-SA"/>
        </w:rPr>
        <w:t xml:space="preserve">说明：对于经常违反上述纪律要求的维护人员，采购人有权要求中标供应商更换合格的维护人员。</w:t>
      </w:r>
      <w:r/>
    </w:p>
    <w:p>
      <w:pPr>
        <w:pStyle w:val="985"/>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lang w:val="en-US" w:eastAsia="zh-CN" w:bidi="ar-SA"/>
        </w:rPr>
        <w:outlineLvl w:val="1"/>
      </w:pPr>
      <w:r>
        <w:rPr>
          <w:rFonts w:hint="eastAsia" w:ascii="宋体" w:hAnsi="宋体" w:eastAsia="宋体" w:cs="宋体"/>
          <w:b w:val="0"/>
          <w:bCs w:val="0"/>
          <w:spacing w:val="10"/>
          <w:sz w:val="24"/>
          <w:szCs w:val="24"/>
          <w:lang w:val="en-US" w:eastAsia="zh-CN" w:bidi="ar-SA"/>
        </w:rPr>
        <w:t xml:space="preserve">（四）应急维护</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中标供应商必须制定切实可行的应急维护方案，在运维服务场所内发生重大自然灾害和人为灾害时，尽最大努力，确保所有维护范围内的所有系统和设备能发挥应有的作用。</w:t>
      </w:r>
      <w:r/>
    </w:p>
    <w:p>
      <w:pPr>
        <w:pStyle w:val="985"/>
        <w:numPr>
          <w:ilvl w:val="0"/>
          <w:numId w:val="15"/>
        </w:numPr>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lang w:val="en-US" w:eastAsia="zh-CN" w:bidi="ar-SA"/>
        </w:rPr>
        <w:outlineLvl w:val="1"/>
      </w:pPr>
      <w:r>
        <w:rPr>
          <w:rFonts w:hint="eastAsia" w:ascii="宋体" w:hAnsi="宋体" w:eastAsia="宋体" w:cs="宋体"/>
          <w:b w:val="0"/>
          <w:bCs w:val="0"/>
          <w:spacing w:val="10"/>
          <w:sz w:val="24"/>
          <w:szCs w:val="24"/>
          <w:lang w:val="en-US" w:eastAsia="zh-CN" w:bidi="ar-SA"/>
        </w:rPr>
        <w:t xml:space="preserve">响应时间</w:t>
      </w:r>
      <w:r/>
    </w:p>
    <w:p>
      <w:pPr>
        <w:pStyle w:val="985"/>
        <w:numPr>
          <w:ilvl w:val="0"/>
          <w:numId w:val="16"/>
        </w:numPr>
        <w:ind w:left="0" w:firstLine="520"/>
        <w:jc w:val="left"/>
        <w:keepLines w:val="0"/>
        <w:keepNext w:val="0"/>
        <w:pageBreakBefore w:val="0"/>
        <w:spacing w:line="360" w:lineRule="auto"/>
        <w:widowControl w:val="off"/>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发生一级故障需要24小时响应，2个日历日内恢复（特殊不可抗因素导致的问题，征得甲方书面同意后，可酌情放宽维修时间）。</w:t>
      </w:r>
      <w:r/>
    </w:p>
    <w:p>
      <w:pPr>
        <w:pStyle w:val="985"/>
        <w:numPr>
          <w:ilvl w:val="0"/>
          <w:numId w:val="16"/>
        </w:numPr>
        <w:ind w:left="0" w:firstLine="520"/>
        <w:jc w:val="left"/>
        <w:keepLines w:val="0"/>
        <w:keepNext w:val="0"/>
        <w:pageBreakBefore w:val="0"/>
        <w:spacing w:line="360" w:lineRule="auto"/>
        <w:widowControl w:val="off"/>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发生二级故障需要24小时响应，7个日历日内恢复（特殊不可抗因素导致的问题，征得甲方书面同意后，可酌情放宽维修时间）。</w:t>
      </w:r>
      <w:r/>
    </w:p>
    <w:p>
      <w:pPr>
        <w:pStyle w:val="985"/>
        <w:numPr>
          <w:ilvl w:val="0"/>
          <w:numId w:val="16"/>
        </w:numPr>
        <w:ind w:left="0" w:firstLine="520"/>
        <w:jc w:val="left"/>
        <w:keepLines w:val="0"/>
        <w:keepNext w:val="0"/>
        <w:pageBreakBefore w:val="0"/>
        <w:spacing w:line="360" w:lineRule="auto"/>
        <w:widowControl w:val="off"/>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发生三级故障需要24小时响应，原则上不超过15个日历日（特殊不可抗因素导致的问题，征得甲方书面同意后，可酌情放宽维修时间）。</w:t>
      </w:r>
      <w:r/>
    </w:p>
    <w:p>
      <w:pPr>
        <w:pStyle w:val="985"/>
        <w:numPr>
          <w:ilvl w:val="0"/>
          <w:numId w:val="16"/>
        </w:numPr>
        <w:ind w:left="0" w:firstLine="520"/>
        <w:jc w:val="left"/>
        <w:keepLines w:val="0"/>
        <w:keepNext w:val="0"/>
        <w:pageBreakBefore w:val="0"/>
        <w:spacing w:line="360" w:lineRule="auto"/>
        <w:widowControl w:val="off"/>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特殊不可抗因素包含但不限于：</w:t>
      </w:r>
      <w:r/>
    </w:p>
    <w:p>
      <w:pPr>
        <w:ind w:firstLine="520"/>
        <w:jc w:val="left"/>
        <w:keepLines w:val="0"/>
        <w:keepNext w:val="0"/>
        <w:pageBreakBefore w:val="0"/>
        <w:spacing w:line="360" w:lineRule="auto"/>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☆雷击导致的设备批量故障；</w:t>
      </w:r>
      <w:r/>
    </w:p>
    <w:p>
      <w:pPr>
        <w:ind w:firstLine="520"/>
        <w:jc w:val="left"/>
        <w:keepLines w:val="0"/>
        <w:keepNext w:val="0"/>
        <w:pageBreakBefore w:val="0"/>
        <w:spacing w:line="360" w:lineRule="auto"/>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☆取电点迁移、通讯站点迁移、挖笋等采集作业或第三方施工破坏导致的线缆被挖断、通讯站点受损等问题；</w:t>
      </w:r>
      <w:r/>
    </w:p>
    <w:p>
      <w:pPr>
        <w:ind w:firstLine="520"/>
        <w:jc w:val="left"/>
        <w:keepLines w:val="0"/>
        <w:keepNext w:val="0"/>
        <w:pageBreakBefore w:val="0"/>
        <w:spacing w:line="360" w:lineRule="auto"/>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☆极端天气导致的运维受阻，如连续雨天、大雪封山、极端高温、山体滑坡等；</w:t>
      </w:r>
      <w:r/>
    </w:p>
    <w:p>
      <w:pPr>
        <w:ind w:firstLine="520"/>
        <w:jc w:val="left"/>
        <w:keepLines w:val="0"/>
        <w:keepNext w:val="0"/>
        <w:pageBreakBefore w:val="0"/>
        <w:spacing w:line="360" w:lineRule="auto"/>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☆设备停产重新选型、采购、付款导致的时间延误；</w:t>
      </w:r>
      <w:r/>
    </w:p>
    <w:p>
      <w:pPr>
        <w:ind w:firstLine="520"/>
        <w:jc w:val="left"/>
        <w:keepLines w:val="0"/>
        <w:keepNext w:val="0"/>
        <w:pageBreakBefore w:val="0"/>
        <w:spacing w:line="360" w:lineRule="auto"/>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☆人为破坏导致的相关故障，如设备被盗取、线缆被恶意破坏等；</w:t>
      </w:r>
      <w:r/>
    </w:p>
    <w:p>
      <w:pPr>
        <w:ind w:firstLine="520"/>
        <w:jc w:val="left"/>
        <w:keepLines w:val="0"/>
        <w:keepNext w:val="0"/>
        <w:pageBreakBefore w:val="0"/>
        <w:spacing w:line="360" w:lineRule="auto"/>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☆到达前端点位、通讯站点或取电点的路径中发生交通阻断，需要船舶等特定交通工具，或者经过政府审批才能到达情况下。</w:t>
      </w:r>
      <w:r/>
    </w:p>
    <w:p>
      <w:pPr>
        <w:pStyle w:val="985"/>
        <w:numPr>
          <w:ilvl w:val="0"/>
          <w:numId w:val="16"/>
        </w:numPr>
        <w:ind w:left="0" w:firstLine="520"/>
        <w:jc w:val="left"/>
        <w:keepLines w:val="0"/>
        <w:keepNext w:val="0"/>
        <w:pageBreakBefore w:val="0"/>
        <w:spacing w:line="360" w:lineRule="auto"/>
        <w:widowControl w:val="off"/>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一级故障：一级故障为单人通过简单培训即可修复的故障，如远程处理、更换易损配件、现场重启等无需更换前端主设备的故障为一级故障。</w:t>
      </w:r>
      <w:r/>
    </w:p>
    <w:p>
      <w:pPr>
        <w:pStyle w:val="985"/>
        <w:numPr>
          <w:ilvl w:val="0"/>
          <w:numId w:val="16"/>
        </w:numPr>
        <w:ind w:left="0" w:firstLine="520"/>
        <w:jc w:val="left"/>
        <w:keepLines w:val="0"/>
        <w:keepNext w:val="0"/>
        <w:pageBreakBefore w:val="0"/>
        <w:spacing w:line="360" w:lineRule="auto"/>
        <w:widowControl w:val="off"/>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二级故障：二级故障为现场2-4人团队配合可以修复的故障或需要更换主设备的故障，如更换太阳能控制器、逆变器、路由器、网桥、中型/重型一体化云台和前置林火智能识别报警器等故障。</w:t>
      </w:r>
      <w:r/>
    </w:p>
    <w:p>
      <w:pPr>
        <w:pStyle w:val="985"/>
        <w:numPr>
          <w:ilvl w:val="0"/>
          <w:numId w:val="16"/>
        </w:numPr>
        <w:ind w:left="0" w:firstLine="520"/>
        <w:jc w:val="left"/>
        <w:keepLines w:val="0"/>
        <w:keepNext w:val="0"/>
        <w:pageBreakBefore w:val="0"/>
        <w:spacing w:line="360" w:lineRule="auto"/>
        <w:widowControl w:val="off"/>
        <w:rPr>
          <w:rFonts w:hint="eastAsia" w:ascii="宋体" w:hAnsi="宋体" w:eastAsia="宋体" w:cs="宋体"/>
          <w:spacing w:val="10"/>
          <w:sz w:val="24"/>
          <w:szCs w:val="24"/>
          <w:lang w:val="en-US" w:eastAsia="zh-CN" w:bidi="ar-SA"/>
        </w:rPr>
        <w:outlineLvl w:val="1"/>
      </w:pPr>
      <w:r>
        <w:rPr>
          <w:rFonts w:hint="eastAsia" w:ascii="宋体" w:hAnsi="宋体" w:eastAsia="宋体" w:cs="宋体"/>
          <w:spacing w:val="10"/>
          <w:sz w:val="24"/>
          <w:szCs w:val="24"/>
          <w:lang w:val="en-US" w:eastAsia="zh-CN" w:bidi="ar-SA"/>
        </w:rPr>
        <w:t xml:space="preserve">三级故障：三级故障为需要工程施工队进场且3个日历日内无法修复的故障。如线缆更换、太阳能改造、线缆定位维修、光纤熔接等。</w:t>
      </w:r>
      <w:r/>
    </w:p>
    <w:p>
      <w:pPr>
        <w:pStyle w:val="985"/>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lang w:val="en-US" w:eastAsia="zh-CN" w:bidi="ar-SA"/>
        </w:rPr>
        <w:outlineLvl w:val="1"/>
      </w:pPr>
      <w:r>
        <w:rPr>
          <w:rFonts w:hint="eastAsia" w:ascii="宋体" w:hAnsi="宋体" w:eastAsia="宋体" w:cs="宋体"/>
          <w:b w:val="0"/>
          <w:bCs w:val="0"/>
          <w:spacing w:val="10"/>
          <w:sz w:val="24"/>
          <w:szCs w:val="24"/>
          <w:lang w:val="en-US" w:eastAsia="zh-CN" w:bidi="ar-SA"/>
        </w:rPr>
        <w:t xml:space="preserve">（六）故障现象指标</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1、要求前端监控点视频信号良好，云台运行控制正常。</w:t>
      </w:r>
      <w:r/>
    </w:p>
    <w:p>
      <w:pPr>
        <w:pStyle w:val="985"/>
        <w:ind w:firstLine="260"/>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  2、森林防火识别软件运行正常，确保森林防火识别软件识别准确，如森林防火识别软件准确度不高、误报及时应供应商协商解决并报告采购人。</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3、保障森林防火控制中心、分控中心所有软硬件正常，控制良好，随时可以启用。</w:t>
      </w:r>
      <w:r/>
    </w:p>
    <w:p>
      <w:pPr>
        <w:pStyle w:val="985"/>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lang w:val="en-US" w:eastAsia="zh-CN" w:bidi="ar-SA"/>
        </w:rPr>
        <w:outlineLvl w:val="1"/>
      </w:pPr>
      <w:r>
        <w:rPr>
          <w:rFonts w:hint="eastAsia" w:ascii="宋体" w:hAnsi="宋体" w:eastAsia="宋体" w:cs="宋体"/>
          <w:b w:val="0"/>
          <w:bCs w:val="0"/>
          <w:spacing w:val="10"/>
          <w:sz w:val="24"/>
          <w:szCs w:val="24"/>
          <w:lang w:val="en-US" w:eastAsia="zh-CN" w:bidi="ar-SA"/>
        </w:rPr>
        <w:t xml:space="preserve">（七）维护登记制度</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中标供应商必须按采购人制定的维护流程和文档登记制度，及时对各项维护工作进行登记，登记内容包括但不限于：服务单登记、维护日志、参数及一切维护所需资料。一切资料必须及时更新(必须在系统或设备配置改动后一周内对资料进行更新)，并确保资料与实际情况相符。</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2、中标供应商必须按采购人要求，分别按月份和年度向采购人提供电子版的维护、例检工作登记表、分类汇总报表及有关资料图纸，供采购人分析，为更好的开展维护服务工作提供依据。</w:t>
      </w:r>
      <w:r/>
    </w:p>
    <w:p>
      <w:pPr>
        <w:pStyle w:val="985"/>
        <w:ind w:firstLine="520"/>
        <w:jc w:val="left"/>
        <w:keepLines w:val="0"/>
        <w:keepNext w:val="0"/>
        <w:pageBreakBefore w:val="0"/>
        <w:spacing w:line="360" w:lineRule="auto"/>
        <w:widowControl w:val="off"/>
        <w:rPr>
          <w:rFonts w:hint="eastAsia" w:ascii="宋体" w:hAnsi="宋体" w:eastAsia="宋体" w:cs="宋体"/>
          <w:b w:val="0"/>
          <w:bCs w:val="0"/>
          <w:spacing w:val="10"/>
          <w:sz w:val="24"/>
          <w:szCs w:val="24"/>
          <w:lang w:val="en-US" w:eastAsia="zh-CN" w:bidi="ar-SA"/>
        </w:rPr>
        <w:outlineLvl w:val="1"/>
      </w:pPr>
      <w:r>
        <w:rPr>
          <w:rFonts w:hint="eastAsia" w:ascii="宋体" w:hAnsi="宋体" w:eastAsia="宋体" w:cs="宋体"/>
          <w:b w:val="0"/>
          <w:bCs w:val="0"/>
          <w:spacing w:val="10"/>
          <w:sz w:val="24"/>
          <w:szCs w:val="24"/>
          <w:lang w:val="en-US" w:eastAsia="zh-CN" w:bidi="ar-SA"/>
        </w:rPr>
        <w:t xml:space="preserve">（八）罚则</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1、若中标供应商调走驻场维护人员或采购人要求更换维护人员，中标供应商在三个月内未能提供符合要求的人员进行替换的，视情节轻重扣除维护费,若仍然没有改善，则视为中标供应商违约，采购人有权终止合同，并拒绝支付当期合同款。</w:t>
      </w:r>
      <w:r/>
    </w:p>
    <w:p>
      <w:pPr>
        <w:pStyle w:val="985"/>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2、因中标供应商维护人员在维护操作过程中造成重大故障或蓄意破坏信息系统设施或造成泄密事件的，一经查证，则视作中标供应商严重违约，将追究中标供应商的法律责任同时赔偿采购人的经济损失。</w:t>
      </w:r>
      <w:r/>
    </w:p>
    <w:p>
      <w:pPr>
        <w:pStyle w:val="985"/>
        <w:jc w:val="left"/>
        <w:keepLines w:val="0"/>
        <w:keepNext w:val="0"/>
        <w:pageBreakBefore w:val="0"/>
        <w:spacing w:line="360" w:lineRule="auto"/>
        <w:rPr>
          <w:rFonts w:hint="eastAsia" w:ascii="宋体" w:hAnsi="宋体" w:eastAsia="宋体" w:cs="宋体"/>
          <w:spacing w:val="10"/>
          <w:sz w:val="24"/>
          <w:szCs w:val="24"/>
        </w:rPr>
      </w:pPr>
      <w:r>
        <w:rPr>
          <w:rFonts w:hint="eastAsia" w:ascii="宋体" w:hAnsi="宋体" w:eastAsia="宋体" w:cs="宋体"/>
          <w:spacing w:val="10"/>
          <w:sz w:val="24"/>
          <w:szCs w:val="24"/>
          <w:lang w:val="en-US" w:eastAsia="zh-CN" w:bidi="ar-SA"/>
        </w:rPr>
        <w:t xml:space="preserve">3、若中标供应商在单月内违反其服务承诺或本磋商文件要求三次或以上，采购人有权视情节轻重扣罚部分或全部当月维护费。</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五、考核措施</w:t>
      </w:r>
      <w:r/>
    </w:p>
    <w:p>
      <w:pPr>
        <w:numPr>
          <w:ilvl w:val="0"/>
          <w:numId w:val="17"/>
        </w:numPr>
        <w:ind w:left="0" w:firstLine="420"/>
        <w:jc w:val="left"/>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月考核指标和年考核指标数据是支付和扣除服务费的依据。每个服务月和每个服务年，由采购人与中标人共同签字确认服务月度和服务年度考核指标数据。溧水区林场有限公司作为监督部门对整个考核过程进行监督。</w:t>
      </w:r>
      <w:r/>
    </w:p>
    <w:p>
      <w:pPr>
        <w:numPr>
          <w:ilvl w:val="0"/>
          <w:numId w:val="17"/>
        </w:numPr>
        <w:ind w:left="0" w:firstLine="4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每个服务年度结束前，采购人依据月考核结果进行年度考核，年度考核结果作为服务费用支付或扣除依据。</w:t>
      </w:r>
      <w:r/>
    </w:p>
    <w:p>
      <w:pPr>
        <w:numPr>
          <w:ilvl w:val="0"/>
          <w:numId w:val="17"/>
        </w:numPr>
        <w:ind w:left="0" w:firstLine="4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考核验收小组结考核数据、资料核查、现场验收情况，形成考核验收报告，明确验收结论（合格、基本合格、不合格）。验收完成后，考核验收小组将验收报告、现场记录等资料整理归档，甲方按照合同约定支付相应服务费用（扣除不合格对应的扣款）。</w:t>
      </w:r>
      <w:r/>
    </w:p>
    <w:p>
      <w:pPr>
        <w:numPr>
          <w:ilvl w:val="0"/>
          <w:numId w:val="17"/>
        </w:numPr>
        <w:ind w:left="0" w:firstLine="4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具体考核细则</w:t>
      </w:r>
      <w:r/>
    </w:p>
    <w:p>
      <w:pPr>
        <w:numPr>
          <w:ilvl w:val="0"/>
          <w:numId w:val="18"/>
        </w:numPr>
        <w:ind w:left="0" w:firstLine="5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重点时段设备在线率≥99.9%，其余时段设备在线率≥95%，该项目不扣分；在线率&lt;95%，每减少1%，扣1分。</w:t>
      </w:r>
      <w:r/>
    </w:p>
    <w:p>
      <w:pPr>
        <w:numPr>
          <w:ilvl w:val="0"/>
          <w:numId w:val="18"/>
        </w:numPr>
        <w:ind w:left="0" w:firstLine="5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单台监控摄像机日漏报次数每增加1次，扣5分。夜期间，对烟的识别不纳入考核，仅考核可视智能监控区域内对火的识别；白天、黑夜区分以溧水区日落、日出时间为准。对于超出监控设计的监测范围的火情，系统未发现的，不作为漏报处理；极端天气情况/现象下，如沙尘暴、重度灰霾、日食等，对于监控范围画面内，无直视火源的林火系统未报警的，不作为漏报处理。火点报警定位误差大于100米时视为火点报警定位不准确。每定位不准确1次，扣0.1分。</w:t>
      </w:r>
      <w:r/>
    </w:p>
    <w:p>
      <w:pPr>
        <w:numPr>
          <w:ilvl w:val="0"/>
          <w:numId w:val="18"/>
        </w:numPr>
        <w:ind w:left="0" w:firstLine="5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发生一级故障需要24小时响应，2个日历日内恢复（特殊不可抗因素导致的问题，征得甲方书面同意后，可酌情放宽维修时间）。</w:t>
      </w:r>
      <w:r/>
    </w:p>
    <w:p>
      <w:pPr>
        <w:numPr>
          <w:ilvl w:val="0"/>
          <w:numId w:val="18"/>
        </w:numPr>
        <w:ind w:left="0" w:firstLine="5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发生二级故障需要24小时响应，7个日历日内恢复（特殊不可抗因素导致的问题，征得甲方书面同意后，可酌情放宽维修时间）。</w:t>
      </w:r>
      <w:r/>
    </w:p>
    <w:p>
      <w:pPr>
        <w:numPr>
          <w:ilvl w:val="0"/>
          <w:numId w:val="18"/>
        </w:numPr>
        <w:ind w:left="0" w:firstLine="5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发生三级故障需要24小时响应，原则上不超过15个日历日（特殊不可抗因素导致的问题，征得甲方书面同意后，可酌情放宽维修时间）。</w:t>
      </w:r>
      <w:r/>
    </w:p>
    <w:p>
      <w:pPr>
        <w:numPr>
          <w:ilvl w:val="0"/>
          <w:numId w:val="18"/>
        </w:numPr>
        <w:ind w:left="0" w:firstLine="5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特殊不可抗因素包含但不限于：</w:t>
      </w:r>
      <w:r/>
    </w:p>
    <w:p>
      <w:pPr>
        <w:ind w:firstLine="64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☆雷击导致的设备批量故障；</w:t>
      </w:r>
      <w:r/>
    </w:p>
    <w:p>
      <w:pPr>
        <w:ind w:firstLine="64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☆取电点迁移、通讯站点迁移、挖笋等采集作业或第三方施工破坏导致的线缆被挖断、通讯站点受损等问题；</w:t>
      </w:r>
      <w:r/>
    </w:p>
    <w:p>
      <w:pPr>
        <w:ind w:firstLine="64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☆极端天气导致的运维受阻，如连续雨天、大雪封山、极端高温、山体滑坡等；</w:t>
      </w:r>
      <w:r/>
    </w:p>
    <w:p>
      <w:pPr>
        <w:ind w:firstLine="64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☆设备停产重新选型、采购、付款导致的时间延误；</w:t>
      </w:r>
      <w:r/>
    </w:p>
    <w:p>
      <w:pPr>
        <w:ind w:firstLine="64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☆人为破坏导致的相关故障，如设备被盗取、线缆被恶意破坏等；</w:t>
      </w:r>
      <w:r/>
    </w:p>
    <w:p>
      <w:pPr>
        <w:ind w:firstLine="64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☆到达前端点位、通讯站点或取电点的路径中发生交通阻断，需要船舶等特定交通工具，或者经过政府审批才能到达情况下。</w:t>
      </w:r>
      <w:r/>
    </w:p>
    <w:p>
      <w:pPr>
        <w:numPr>
          <w:ilvl w:val="0"/>
          <w:numId w:val="18"/>
        </w:numPr>
        <w:ind w:left="0" w:firstLine="5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一级故障：一级故障为单人通过简单培训即可修复的故障，如远程处理、更换易损配件、现场重启等无需更换前端主设备的故障为一级故障。</w:t>
      </w:r>
      <w:r/>
    </w:p>
    <w:p>
      <w:pPr>
        <w:numPr>
          <w:ilvl w:val="0"/>
          <w:numId w:val="18"/>
        </w:numPr>
        <w:ind w:left="0" w:firstLine="5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二级故障：二级故障为现场2-4人团队配合可以修复的故障或需要更换主设备的故障，如更换太阳能控制器、逆变器、路由器、网桥、中型/重型一体化云台和前置林火智能识别报警器等故障。</w:t>
      </w:r>
      <w:r/>
    </w:p>
    <w:p>
      <w:pPr>
        <w:numPr>
          <w:ilvl w:val="0"/>
          <w:numId w:val="18"/>
        </w:numPr>
        <w:ind w:left="0" w:firstLine="5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三级故障：三级故障为需要工程施工队进场且3个日历日内无法修复的故障。如线缆更换、太阳能改造、线缆定位维修、光纤熔接等。</w:t>
      </w:r>
      <w:r/>
    </w:p>
    <w:p>
      <w:pPr>
        <w:numPr>
          <w:ilvl w:val="0"/>
          <w:numId w:val="18"/>
        </w:numPr>
        <w:ind w:left="0" w:firstLine="5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故障处理及时率100%，不扣分；故障处理及时率每减少1%，扣1分。</w:t>
      </w:r>
      <w:r/>
    </w:p>
    <w:p>
      <w:pPr>
        <w:numPr>
          <w:ilvl w:val="0"/>
          <w:numId w:val="18"/>
        </w:numPr>
        <w:ind w:left="0" w:firstLine="520"/>
        <w:jc w:val="left"/>
        <w:keepLines w:val="0"/>
        <w:keepNext w:val="0"/>
        <w:pageBreakBefore w:val="0"/>
        <w:spacing w:line="360" w:lineRule="auto"/>
        <w:widowControl/>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服务运营人员的服务态度和服务意识良好、积极，不扣分；发现运营人员不积极配合或服务态度不好的情况，每次扣1分，10分扣完为止。</w:t>
      </w:r>
      <w:r/>
    </w:p>
    <w:p>
      <w:pPr>
        <w:ind w:firstLine="480"/>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注意事项：考核总分为100分，85~100分则支付合同价100%、70~84支付合同价80以此内推，直至扣完。</w:t>
      </w:r>
      <w:bookmarkStart w:id="105" w:name="_Toc120614281"/>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六、付款条件</w:t>
      </w:r>
      <w:r/>
    </w:p>
    <w:p>
      <w:pPr>
        <w:ind w:firstLine="480"/>
        <w:keepLines w:val="0"/>
        <w:keepNext w:val="0"/>
        <w:pageBreakBefore w:val="0"/>
        <w:spacing w:line="360" w:lineRule="auto"/>
        <w:rPr>
          <w:rFonts w:hint="eastAsia" w:ascii="宋体" w:hAnsi="宋体" w:eastAsia="宋体" w:cs="宋体"/>
          <w:spacing w:val="10"/>
          <w:sz w:val="24"/>
          <w:szCs w:val="24"/>
          <w:lang w:val="en-US" w:eastAsia="zh-CN" w:bidi="ar-SA"/>
        </w:rPr>
      </w:pPr>
      <w:r>
        <w:rPr>
          <w:rFonts w:hint="eastAsia" w:ascii="宋体" w:hAnsi="宋体" w:eastAsia="宋体" w:cs="宋体"/>
          <w:spacing w:val="10"/>
          <w:sz w:val="24"/>
          <w:szCs w:val="24"/>
          <w:lang w:val="en-US" w:eastAsia="zh-CN" w:bidi="ar-SA"/>
        </w:rPr>
        <w:t xml:space="preserve">自合同签订之日起10日内支付中标价款的40%，服务期结束后经采购人验收中标供应商移交的设备及相关技术文档合格后10日内支付剩余60%中标价款。</w:t>
      </w:r>
      <w:r/>
    </w:p>
    <w:p>
      <w:pPr>
        <w:ind w:firstLine="480"/>
        <w:keepLines w:val="0"/>
        <w:keepNext w:val="0"/>
        <w:pageBreakBefore w:val="0"/>
        <w:spacing w:line="360" w:lineRule="auto"/>
        <w:rPr>
          <w:rFonts w:hint="eastAsia" w:ascii="黑体" w:eastAsia="黑体"/>
          <w:bCs/>
          <w:sz w:val="44"/>
          <w:szCs w:val="28"/>
        </w:rPr>
      </w:pPr>
      <w:r>
        <w:rPr>
          <w:rFonts w:hint="eastAsia" w:ascii="黑体" w:eastAsia="黑体"/>
          <w:bCs/>
          <w:sz w:val="44"/>
          <w:szCs w:val="28"/>
        </w:rPr>
        <w:br w:type="page" w:clear="all"/>
      </w:r>
      <w:r>
        <w:rPr>
          <w:rFonts w:hint="eastAsia" w:ascii="黑体" w:eastAsia="黑体"/>
          <w:sz w:val="44"/>
          <w:szCs w:val="44"/>
        </w:rPr>
        <w:t xml:space="preserve">第五章  评审方法与评审标准</w:t>
      </w:r>
      <w:r/>
    </w:p>
    <w:p>
      <w:pPr>
        <w:ind w:firstLine="420"/>
        <w:spacing w:line="264" w:lineRule="auto"/>
        <w:rPr>
          <w:rFonts w:hint="eastAsia"/>
          <w:szCs w:val="21"/>
        </w:rPr>
      </w:pPr>
      <w:r>
        <w:rPr>
          <w:rFonts w:hint="eastAsia"/>
          <w:szCs w:val="21"/>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p>
    <w:p>
      <w:pPr>
        <w:ind w:firstLine="480"/>
        <w:spacing w:line="264" w:lineRule="auto"/>
        <w:rPr>
          <w:rFonts w:hint="default" w:ascii="黑体" w:hAnsi="黑体" w:eastAsia="黑体" w:cs="黑体"/>
          <w:sz w:val="24"/>
          <w:szCs w:val="24"/>
          <w:lang w:val="en-US" w:eastAsia="zh-CN"/>
        </w:rPr>
      </w:pPr>
      <w:r>
        <w:rPr>
          <w:rFonts w:hint="eastAsia" w:ascii="黑体" w:hAnsi="黑体" w:eastAsia="黑体" w:cs="黑体"/>
          <w:sz w:val="24"/>
          <w:szCs w:val="24"/>
        </w:rPr>
        <w:t xml:space="preserve">二、</w:t>
      </w:r>
      <w:r>
        <w:rPr>
          <w:rFonts w:hint="eastAsia" w:ascii="黑体" w:hAnsi="黑体" w:eastAsia="黑体" w:cs="黑体"/>
          <w:sz w:val="24"/>
          <w:szCs w:val="24"/>
          <w:lang w:val="en-US" w:eastAsia="zh-CN"/>
        </w:rPr>
        <w:t xml:space="preserve">政策文件</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olor w:val="0000ff"/>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3.本国产品的价格扣除</w:t>
      </w:r>
      <w:r/>
    </w:p>
    <w:p>
      <w:pPr>
        <w:ind w:firstLine="480"/>
        <w:spacing w:line="264"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3.1本国产品标准、本国产品标准的适用范围、对本国产品的支持政策等详见《国务院办公厅关于在政府采购中实施本国产品标准及相关政策的通知》（国办发〔2025〕34号）。</w:t>
      </w:r>
      <w:r/>
    </w:p>
    <w:p>
      <w:pPr>
        <w:ind w:firstLine="480"/>
        <w:spacing w:line="264"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3.2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264"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264" w:lineRule="auto"/>
        <w:rPr>
          <w:rFonts w:hint="eastAsia" w:ascii="黑体" w:hAnsi="黑体" w:eastAsia="黑体" w:cs="黑体"/>
          <w:color w:val="0000ff"/>
          <w:sz w:val="24"/>
          <w:szCs w:val="24"/>
        </w:rPr>
      </w:pPr>
      <w:r>
        <w:rPr>
          <w:rFonts w:hint="eastAsia" w:ascii="黑体" w:hAnsi="黑体" w:eastAsia="黑体" w:cs="黑体"/>
          <w:sz w:val="24"/>
          <w:szCs w:val="24"/>
        </w:rPr>
        <w:t xml:space="preserve">三、评审标准</w:t>
      </w:r>
      <w:r/>
    </w:p>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tbl>
      <w:tblPr>
        <w:tblStyle w:val="675"/>
        <w:tblW w:w="99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5"/>
        <w:gridCol w:w="757"/>
        <w:gridCol w:w="784"/>
        <w:gridCol w:w="7240"/>
        <w:gridCol w:w="602"/>
      </w:tblGrid>
      <w:tr>
        <w:trPr>
          <w:trHeight w:val="333"/>
          <w:tblHeader/>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序号</w:t>
            </w:r>
            <w:r/>
          </w:p>
        </w:tc>
        <w:tc>
          <w:tcPr>
            <w:gridSpan w:val="2"/>
            <w:shd w:val="clear" w:color="auto" w:fill="auto"/>
            <w:tcW w:w="15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评审因素</w:t>
            </w:r>
            <w:r/>
          </w:p>
        </w:tc>
        <w:tc>
          <w:tcPr>
            <w:shd w:val="clear" w:color="auto" w:fill="auto"/>
            <w:tcW w:w="724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评审标准</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分值</w:t>
            </w:r>
            <w:r/>
          </w:p>
        </w:tc>
      </w:tr>
      <w:tr>
        <w:trPr>
          <w:trHeight w:val="1314"/>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w:t>
            </w:r>
            <w:r/>
          </w:p>
        </w:tc>
        <w:tc>
          <w:tcPr>
            <w:gridSpan w:val="2"/>
            <w:shd w:val="clear" w:color="auto" w:fill="auto"/>
            <w:tcW w:w="15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价格(10分)</w:t>
            </w:r>
            <w:r/>
          </w:p>
        </w:tc>
        <w:tc>
          <w:tcPr>
            <w:shd w:val="clear" w:color="auto" w:fill="auto"/>
            <w:tcW w:w="7240" w:type="dxa"/>
            <w:vAlign w:val="center"/>
            <w:textDirection w:val="lrTb"/>
            <w:noWrap w:val="false"/>
          </w:tcPr>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采用低价优先法，以供应商满足磋商文件要求的最终最低报价为基准价，其价格分为满分10分。其他供应商的价格分按照下列公式计算（小数点保留两位）：供应商报价得分=（基准价/其他供应商最终投标价）*10。</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10</w:t>
            </w:r>
            <w:r/>
          </w:p>
        </w:tc>
      </w:tr>
      <w:tr>
        <w:trPr>
          <w:trHeight w:val="2623"/>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2.1</w:t>
            </w:r>
            <w:r/>
          </w:p>
        </w:tc>
        <w:tc>
          <w:tcPr>
            <w:shd w:val="clear" w:color="auto" w:fill="auto"/>
            <w:tcW w:w="757"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服</w:t>
            </w:r>
            <w:r/>
          </w:p>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务</w:t>
            </w:r>
            <w:r/>
          </w:p>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方</w:t>
            </w:r>
            <w:r/>
          </w:p>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案</w:t>
            </w:r>
            <w:r/>
          </w:p>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(35分)</w:t>
            </w:r>
            <w:r/>
          </w:p>
        </w:tc>
        <w:tc>
          <w:tcPr>
            <w:shd w:val="clear" w:color="auto" w:fill="auto"/>
            <w:tcW w:w="78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维护保养计划方案(10分)</w:t>
            </w:r>
            <w:r/>
          </w:p>
        </w:tc>
        <w:tc>
          <w:tcPr>
            <w:shd w:val="clear" w:color="auto" w:fill="auto"/>
            <w:tcW w:w="7240" w:type="dxa"/>
            <w:vAlign w:val="center"/>
            <w:textDirection w:val="lrTb"/>
            <w:noWrap w:val="false"/>
          </w:tcPr>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由评委根据供应商针对本项目维护保养计划方案进行综合评审。</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1、维护保养计划方案全面细致完整、科学合理、针对性强、重点难点把握准确、措施有力的得10分；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2、维护保养计划方案较完整、有一定的针对性、重点难点把握较准确的得6分；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3、维护保养计划方案不完整、针对性差的得2分；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不提供不得分。</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10</w:t>
            </w:r>
            <w:r/>
          </w:p>
        </w:tc>
      </w:tr>
      <w:tr>
        <w:trPr>
          <w:trHeight w:val="90"/>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2.2</w:t>
            </w:r>
            <w:r/>
          </w:p>
        </w:tc>
        <w:tc>
          <w:tcPr>
            <w:shd w:val="clear" w:color="auto" w:fill="auto"/>
            <w:tcW w:w="757"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r>
            <w:r/>
          </w:p>
        </w:tc>
        <w:tc>
          <w:tcPr>
            <w:shd w:val="clear" w:color="auto" w:fill="auto"/>
            <w:tcW w:w="78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维护进度计划及保障措施</w:t>
            </w:r>
            <w:r/>
          </w:p>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(10分)</w:t>
            </w:r>
            <w:r/>
          </w:p>
        </w:tc>
        <w:tc>
          <w:tcPr>
            <w:shd w:val="clear" w:color="auto" w:fill="auto"/>
            <w:tcW w:w="7240" w:type="dxa"/>
            <w:vAlign w:val="center"/>
            <w:textDirection w:val="lrTb"/>
            <w:noWrap w:val="false"/>
          </w:tcPr>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根据供应商针对本项目维护进度计划及保障措施进行综合评审。</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1、项目维护进度计划及保障措施的合理性强、措施全面、可操作性强的得10分；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2、项目维护进度计划及保障措施的合理可行、可操作性较强的的得6分；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3、项目维护进度计划及保障措施的不够合理、可操作性差的得2分；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不提供不得分。</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10</w:t>
            </w:r>
            <w:r/>
          </w:p>
        </w:tc>
      </w:tr>
      <w:tr>
        <w:trPr>
          <w:trHeight w:val="333"/>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2.3</w:t>
            </w:r>
            <w:r/>
          </w:p>
        </w:tc>
        <w:tc>
          <w:tcPr>
            <w:shd w:val="clear" w:color="auto" w:fill="auto"/>
            <w:tcW w:w="757"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r>
            <w:r/>
          </w:p>
        </w:tc>
        <w:tc>
          <w:tcPr>
            <w:shd w:val="clear" w:color="auto" w:fill="auto"/>
            <w:tcW w:w="78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应急服务方案</w:t>
            </w:r>
            <w:r/>
          </w:p>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（10分）</w:t>
            </w:r>
            <w:r/>
          </w:p>
        </w:tc>
        <w:tc>
          <w:tcPr>
            <w:shd w:val="clear" w:color="auto" w:fill="auto"/>
            <w:tcW w:w="7240" w:type="dxa"/>
            <w:vAlign w:val="center"/>
            <w:textDirection w:val="lrTb"/>
            <w:noWrap w:val="false"/>
          </w:tcPr>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根据供应商提供的对各类突发状况或事件的应急预案和处理方案描述情况进行综合评审。</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1、安全及应急事件的分析较全面，有相应的解决方案且合理 有效，突发故障时有高效保障措施和备用方案，能够指导迅速排故的得10分；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2、安全及应急事件的分析及处理方案较为简略，解决方案、突发故障时的保障措施和备用方案基本合理但存在偏差的得6分；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3、安全及应急事件的分析不全面，方案不合理的得2分；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不提供则本项不得分。</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10</w:t>
            </w:r>
            <w:r/>
          </w:p>
        </w:tc>
      </w:tr>
      <w:tr>
        <w:trPr>
          <w:trHeight w:val="1643"/>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2.4</w:t>
            </w:r>
            <w:r/>
          </w:p>
        </w:tc>
        <w:tc>
          <w:tcPr>
            <w:shd w:val="clear" w:color="auto" w:fill="auto"/>
            <w:tcW w:w="757"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r>
            <w:r/>
          </w:p>
        </w:tc>
        <w:tc>
          <w:tcPr>
            <w:shd w:val="clear" w:color="auto" w:fill="auto"/>
            <w:tcW w:w="78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GB" w:eastAsia="zh-CN" w:bidi="ar-SA"/>
              </w:rPr>
              <w:t xml:space="preserve">互联网远程值守</w:t>
            </w:r>
            <w:r>
              <w:rPr>
                <w:rFonts w:hint="eastAsia" w:ascii="宋体" w:hAnsi="宋体" w:eastAsia="宋体" w:cs="宋体"/>
                <w:b w:val="0"/>
                <w:bCs/>
                <w:spacing w:val="10"/>
                <w:sz w:val="24"/>
                <w:szCs w:val="24"/>
                <w:lang w:val="en-US" w:eastAsia="zh-CN" w:bidi="ar-SA"/>
              </w:rPr>
              <w:t xml:space="preserve">服务方案</w:t>
            </w:r>
            <w:r/>
          </w:p>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（5分）</w:t>
            </w:r>
            <w:r/>
          </w:p>
        </w:tc>
        <w:tc>
          <w:tcPr>
            <w:shd w:val="clear" w:color="auto" w:fill="auto"/>
            <w:tcW w:w="7240" w:type="dxa"/>
            <w:vAlign w:val="center"/>
            <w:textDirection w:val="lrTb"/>
            <w:noWrap w:val="false"/>
          </w:tcPr>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根据供应商提供的针对本项目的</w:t>
            </w:r>
            <w:r>
              <w:rPr>
                <w:rFonts w:hint="eastAsia" w:ascii="宋体" w:hAnsi="宋体" w:eastAsia="宋体" w:cs="宋体"/>
                <w:b w:val="0"/>
                <w:bCs/>
                <w:spacing w:val="10"/>
                <w:sz w:val="24"/>
                <w:szCs w:val="24"/>
                <w:lang w:val="en-GB" w:eastAsia="zh-CN" w:bidi="ar-SA"/>
              </w:rPr>
              <w:t xml:space="preserve">互联网远程值守服务</w:t>
            </w:r>
            <w:r>
              <w:rPr>
                <w:rFonts w:hint="eastAsia" w:ascii="宋体" w:hAnsi="宋体" w:eastAsia="宋体" w:cs="宋体"/>
                <w:b w:val="0"/>
                <w:bCs/>
                <w:spacing w:val="10"/>
                <w:sz w:val="24"/>
                <w:szCs w:val="24"/>
                <w:lang w:val="en-US" w:eastAsia="zh-CN" w:bidi="ar-SA"/>
              </w:rPr>
              <w:t xml:space="preserve">方案等进行综合评审。</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1、方案详细、全面、科学，完全满足采购需求的得5分；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2、方案不完整，不能满足采购需求的得1分；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未提供的本项不得分。</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5</w:t>
            </w:r>
            <w:r/>
          </w:p>
        </w:tc>
      </w:tr>
      <w:tr>
        <w:trPr>
          <w:trHeight w:val="90"/>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3</w:t>
            </w:r>
            <w:r/>
          </w:p>
        </w:tc>
        <w:tc>
          <w:tcPr>
            <w:gridSpan w:val="2"/>
            <w:shd w:val="clear" w:color="auto" w:fill="auto"/>
            <w:tcW w:w="15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备件服务</w:t>
            </w:r>
            <w:r/>
          </w:p>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(20分)</w:t>
            </w:r>
            <w:r/>
          </w:p>
        </w:tc>
        <w:tc>
          <w:tcPr>
            <w:shd w:val="clear" w:color="auto" w:fill="auto"/>
            <w:tcW w:w="7240" w:type="dxa"/>
            <w:vAlign w:val="center"/>
            <w:textDirection w:val="lrTb"/>
            <w:noWrap w:val="false"/>
          </w:tcPr>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供应商须自行编制并提交《备件参数技术偏离表》，对照采购需求中规定的备件的技术参数进行逐项应答。未逐项应答的响应文件将被视为无效响应文件。评标委员会根据各供应商提交的《备件参数技术偏离表》，供应商所投备件产品技术参数和性能要求完全满足磋商文件备件技术参数的得满分20分；</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2、若备件产品技术参数中出现任何一项“▲”指标技术性能负偏离，则视为该件产品有重要偏离，每偏离一项扣2分，扣完为止。（需在投标文件中提供省级或省级以上质量监督部门出具的检测报告复印件）</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3、若备件产品技术参数中，出现任何一项非“▲”指标技术性能负偏离，则视为该件产品有一般负偏离，每偏离一项扣1分，扣完为止。</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20</w:t>
            </w:r>
            <w:r/>
          </w:p>
        </w:tc>
      </w:tr>
      <w:tr>
        <w:trPr>
          <w:trHeight w:val="346"/>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4</w:t>
            </w:r>
            <w:r/>
          </w:p>
        </w:tc>
        <w:tc>
          <w:tcPr>
            <w:gridSpan w:val="2"/>
            <w:shd w:val="clear" w:color="auto" w:fill="auto"/>
            <w:tcW w:w="15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人员配备情况（9分）</w:t>
            </w:r>
            <w:r/>
          </w:p>
        </w:tc>
        <w:tc>
          <w:tcPr>
            <w:shd w:val="clear" w:color="auto" w:fill="auto"/>
            <w:tcW w:w="7240" w:type="dxa"/>
            <w:vAlign w:val="center"/>
            <w:textDirection w:val="lrTb"/>
            <w:noWrap w:val="false"/>
          </w:tcPr>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1、本项目的负责人具有电子信息类专业高级职称的得3分；（提供证书复印件并加盖公章及社保机构出具的近六个月投标人为其缴纳的社保缴费证明【加盖社保公章或具有可验证的二维码（或验证码）】。</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2、本项目的技术负责人具有机电工程二级及以上注册建造师并具有有效的安全生产考核合格证书（B类证）的得3分，（提供证书复印件并加盖公章及社保机构出具的近六个月投标人为其缴纳的社保缴费证明【加盖社保公章或具有可验证的二维码（或验证码）】。</w:t>
            </w:r>
            <w:r/>
          </w:p>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3、项目团队人员（项目负责人、技术负责人除外）具有信息系统项目管理师、注册信息安全专业人员（CISP）、通信工程师，每提供一种资格人员得1分，最高得3分。（一人多证不重复得分，提供证书复印件并加盖公章以及社保机构出具的近六个月投标人为其缴纳的社保缴费证明【加盖社保公章或具有可验证的二维码（或验证码）】。</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9</w:t>
            </w:r>
            <w:r/>
          </w:p>
        </w:tc>
      </w:tr>
      <w:tr>
        <w:trPr>
          <w:trHeight w:val="987"/>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5</w:t>
            </w:r>
            <w:r/>
          </w:p>
        </w:tc>
        <w:tc>
          <w:tcPr>
            <w:gridSpan w:val="2"/>
            <w:shd w:val="clear" w:color="auto" w:fill="auto"/>
            <w:tcW w:w="15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业绩</w:t>
            </w:r>
            <w:r/>
          </w:p>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(12分)</w:t>
            </w:r>
            <w:r/>
          </w:p>
        </w:tc>
        <w:tc>
          <w:tcPr>
            <w:shd w:val="clear" w:color="auto" w:fill="auto"/>
            <w:tcW w:w="7240" w:type="dxa"/>
            <w:vAlign w:val="center"/>
            <w:textDirection w:val="lrTb"/>
            <w:noWrap w:val="false"/>
          </w:tcPr>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供应商具有类似森林防火项目的业绩，每提供一个得3分，最高得12分（提供合同复印件并加盖公章，原件备查）。</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12</w:t>
            </w:r>
            <w:r/>
          </w:p>
        </w:tc>
      </w:tr>
      <w:tr>
        <w:trPr>
          <w:trHeight w:val="1314"/>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6.1</w:t>
            </w:r>
            <w:r/>
          </w:p>
        </w:tc>
        <w:tc>
          <w:tcPr>
            <w:gridSpan w:val="2"/>
            <w:shd w:val="clear" w:color="auto" w:fill="auto"/>
            <w:tcW w:w="1541"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综合实力</w:t>
            </w:r>
            <w:r/>
          </w:p>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(14分)</w:t>
            </w:r>
            <w:r/>
          </w:p>
        </w:tc>
        <w:tc>
          <w:tcPr>
            <w:shd w:val="clear" w:color="auto" w:fill="auto"/>
            <w:tcW w:w="7240" w:type="dxa"/>
            <w:vAlign w:val="center"/>
            <w:textDirection w:val="lrTb"/>
            <w:noWrap w:val="false"/>
          </w:tcPr>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供应商具有在有效期内的信息技术服务标准（ITSS）符合性证书运行维护证书，一级得3分，二级得2分，三级得1分，没有不得分；本项最高得3分（提供证书复印件并加盖公章），未提供的不得分。</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3</w:t>
            </w:r>
            <w:r/>
          </w:p>
        </w:tc>
      </w:tr>
      <w:tr>
        <w:trPr>
          <w:trHeight w:val="1314"/>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6.2</w:t>
            </w:r>
            <w:r/>
          </w:p>
        </w:tc>
        <w:tc>
          <w:tcPr>
            <w:gridSpan w:val="2"/>
            <w:shd w:val="clear" w:color="auto" w:fill="auto"/>
            <w:tcW w:w="1541"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r>
            <w:r/>
          </w:p>
        </w:tc>
        <w:tc>
          <w:tcPr>
            <w:shd w:val="clear" w:color="auto" w:fill="auto"/>
            <w:tcW w:w="7240" w:type="dxa"/>
            <w:vAlign w:val="center"/>
            <w:textDirection w:val="lrTb"/>
            <w:noWrap w:val="false"/>
          </w:tcPr>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供应商具有CCRC信息安全服务资质认证证书(信息系统安全运维)，一级得3分，二级得2分，三级得1分，没有不得分；本项最高得3分（提供证书复印件并加盖公章），未提供的不得分。</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3</w:t>
            </w:r>
            <w:r/>
          </w:p>
        </w:tc>
      </w:tr>
      <w:tr>
        <w:trPr>
          <w:trHeight w:val="1314"/>
        </w:trPr>
        <w:tc>
          <w:tcPr>
            <w:shd w:val="clear" w:color="auto" w:fill="auto"/>
            <w:tcW w:w="59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6.3</w:t>
            </w:r>
            <w:r/>
          </w:p>
        </w:tc>
        <w:tc>
          <w:tcPr>
            <w:gridSpan w:val="2"/>
            <w:shd w:val="clear" w:color="auto" w:fill="auto"/>
            <w:tcW w:w="1541"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r>
            <w:r/>
          </w:p>
        </w:tc>
        <w:tc>
          <w:tcPr>
            <w:shd w:val="clear" w:color="auto" w:fill="auto"/>
            <w:tcW w:w="7240" w:type="dxa"/>
            <w:vAlign w:val="center"/>
            <w:textDirection w:val="lrTb"/>
            <w:noWrap w:val="false"/>
          </w:tcPr>
          <w:p>
            <w:pPr>
              <w:ind w:left="0" w:right="0" w:firstLine="0"/>
              <w:jc w:val="both"/>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供应商具有信息技术服务标准（ITSS）符合性证书（业务领域：智能运维）、大数据安全管理体系认证证书的，每提供1个得4分，最高得8分（提供证书复印件并加盖公章），未提供的不得分。</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8</w:t>
            </w:r>
            <w:r/>
          </w:p>
        </w:tc>
      </w:tr>
      <w:tr>
        <w:trPr>
          <w:trHeight w:val="337"/>
        </w:trPr>
        <w:tc>
          <w:tcPr>
            <w:gridSpan w:val="4"/>
            <w:shd w:val="clear" w:color="auto" w:fill="auto"/>
            <w:tcW w:w="937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合计</w:t>
            </w:r>
            <w:r/>
          </w:p>
        </w:tc>
        <w:tc>
          <w:tcPr>
            <w:shd w:val="clear" w:color="auto" w:fill="auto"/>
            <w:tcW w:w="60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spacing w:val="10"/>
                <w:sz w:val="24"/>
                <w:szCs w:val="24"/>
                <w:lang w:val="en-US" w:eastAsia="zh-CN" w:bidi="ar-SA"/>
              </w:rPr>
            </w:pPr>
            <w:r>
              <w:rPr>
                <w:rFonts w:hint="eastAsia" w:ascii="宋体" w:hAnsi="宋体" w:eastAsia="宋体" w:cs="宋体"/>
                <w:b w:val="0"/>
                <w:bCs/>
                <w:spacing w:val="10"/>
                <w:sz w:val="24"/>
                <w:szCs w:val="24"/>
                <w:lang w:val="en-US" w:eastAsia="zh-CN" w:bidi="ar-SA"/>
              </w:rPr>
              <w:t xml:space="preserve">100</w:t>
            </w:r>
            <w:r/>
          </w:p>
        </w:tc>
      </w:tr>
    </w:tbl>
    <w:p>
      <w:pPr>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sz w:val="44"/>
          <w:szCs w:val="44"/>
        </w:rPr>
        <w:t xml:space="preserve">第六章  </w:t>
      </w:r>
      <w:bookmarkEnd w:id="101"/>
      <w:r/>
      <w:bookmarkEnd w:id="102"/>
      <w:r/>
      <w:bookmarkEnd w:id="105"/>
      <w:r>
        <w:rPr>
          <w:rFonts w:hint="eastAsia" w:ascii="黑体" w:eastAsia="黑体"/>
          <w:sz w:val="44"/>
          <w:szCs w:val="44"/>
        </w:rPr>
        <w:t xml:space="preserve">响应文件格式 </w:t>
      </w:r>
      <w:r/>
    </w:p>
    <w:p>
      <w:pPr>
        <w:jc w:val="center"/>
        <w:rPr>
          <w:rFonts w:hint="eastAsia" w:ascii="宋体" w:hAnsi="宋体"/>
          <w:b/>
          <w:sz w:val="72"/>
          <w:szCs w:val="21"/>
        </w:rPr>
      </w:pPr>
      <w:r/>
      <w:bookmarkStart w:id="106" w:name="_Hlt26671244"/>
      <w:r/>
      <w:bookmarkEnd w:id="106"/>
      <w:r/>
      <w:bookmarkStart w:id="107" w:name="_Hlt26955039"/>
      <w:r/>
      <w:bookmarkEnd w:id="107"/>
      <w:r/>
      <w:bookmarkStart w:id="108" w:name="_Toc120614282"/>
      <w:r/>
      <w:bookmarkStart w:id="109" w:name="_Toc49090576"/>
      <w:r/>
      <w:bookmarkStart w:id="110"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sz w:val="24"/>
          <w:szCs w:val="24"/>
        </w:rPr>
      </w:pPr>
      <w:r>
        <w:rPr>
          <w:rFonts w:hint="eastAsia" w:ascii="黑体" w:hAnsi="黑体" w:eastAsia="黑体"/>
          <w:i/>
          <w:sz w:val="32"/>
          <w:szCs w:val="32"/>
          <w:u w:val="single"/>
        </w:rPr>
        <w:br w:type="page" w:clear="all"/>
      </w:r>
      <w:bookmarkEnd w:id="108"/>
      <w:bookmarkEnd w:id="109"/>
      <w:bookmarkEnd w:id="110"/>
      <w:r/>
    </w:p>
    <w:p>
      <w:pPr>
        <w:rPr>
          <w:rFonts w:hint="eastAsia" w:ascii="黑体" w:hAnsi="黑体" w:eastAsia="黑体"/>
          <w:sz w:val="32"/>
          <w:szCs w:val="32"/>
        </w:rPr>
      </w:pPr>
      <w:r/>
      <w:bookmarkStart w:id="111" w:name="_Toc120614284"/>
      <w:r/>
      <w:r/>
    </w:p>
    <w:p>
      <w:pPr>
        <w:rPr>
          <w:rFonts w:hint="eastAsia" w:ascii="黑体" w:hAnsi="黑体" w:eastAsia="黑体"/>
          <w:sz w:val="32"/>
          <w:szCs w:val="32"/>
        </w:rPr>
      </w:pPr>
      <w:r>
        <w:rPr>
          <w:rFonts w:hint="eastAsia" w:ascii="黑体" w:hAnsi="黑体" w:eastAsia="黑体"/>
          <w:sz w:val="32"/>
          <w:szCs w:val="32"/>
          <w:lang w:val="en-US" w:eastAsia="zh-CN"/>
        </w:rPr>
        <w:t xml:space="preserve">一</w:t>
      </w:r>
      <w:r>
        <w:rPr>
          <w:rFonts w:hint="eastAsia" w:ascii="黑体" w:hAnsi="黑体" w:eastAsia="黑体"/>
          <w:sz w:val="32"/>
          <w:szCs w:val="32"/>
        </w:rPr>
        <w:t xml:space="preserve">、供应商资格证明文件</w:t>
      </w:r>
      <w:r/>
    </w:p>
    <w:p>
      <w:pPr>
        <w:spacing w:line="460" w:lineRule="exact"/>
        <w:rPr>
          <w:rFonts w:hint="eastAsia" w:ascii="宋体" w:hAnsi="宋体"/>
          <w:bCs/>
          <w:sz w:val="24"/>
          <w:szCs w:val="21"/>
        </w:rPr>
      </w:pPr>
      <w:r>
        <w:rPr>
          <w:rFonts w:hint="eastAsia" w:ascii="宋体" w:hAnsi="宋体"/>
          <w:sz w:val="24"/>
          <w:szCs w:val="21"/>
        </w:rPr>
        <w:t xml:space="preserve">  </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lang w:val="en-US" w:eastAsia="zh-CN"/>
        </w:rPr>
        <w:t xml:space="preserve">二</w:t>
      </w:r>
      <w:r>
        <w:rPr>
          <w:rFonts w:hint="eastAsia" w:ascii="黑体" w:hAnsi="黑体" w:eastAsia="黑体"/>
          <w:sz w:val="32"/>
          <w:szCs w:val="32"/>
        </w:rPr>
        <w:t xml:space="preserve">、法人授权书</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zh-CN"/>
        </w:rPr>
        <w:t xml:space="preserve">法人授权书</w:t>
      </w:r>
      <w:r/>
    </w:p>
    <w:p>
      <w:pPr>
        <w:pStyle w:val="941"/>
        <w:ind w:firstLine="480"/>
        <w:spacing w:line="480" w:lineRule="auto"/>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41"/>
        <w:ind w:firstLine="480"/>
        <w:spacing w:line="480" w:lineRule="auto"/>
        <w:rPr>
          <w:rFonts w:hint="eastAsia"/>
          <w:sz w:val="24"/>
          <w:szCs w:val="24"/>
        </w:rPr>
      </w:pPr>
      <w:r>
        <w:rPr>
          <w:rFonts w:hint="eastAsia"/>
          <w:sz w:val="24"/>
          <w:szCs w:val="24"/>
        </w:rPr>
        <w:t xml:space="preserve">本授权书于______年____月____日起生效，特此声明。</w:t>
      </w:r>
      <w:r/>
    </w:p>
    <w:p>
      <w:pPr>
        <w:pStyle w:val="941"/>
        <w:ind w:firstLine="0"/>
        <w:spacing w:line="480" w:lineRule="auto"/>
        <w:rPr>
          <w:rFonts w:hint="eastAsia"/>
          <w:sz w:val="24"/>
          <w:szCs w:val="24"/>
          <w:u w:val="single"/>
        </w:rPr>
      </w:pPr>
      <w:r>
        <w:rPr>
          <w:rFonts w:hint="eastAsia"/>
          <w:sz w:val="24"/>
          <w:szCs w:val="24"/>
        </w:rPr>
        <w:t xml:space="preserve">    被授权人身份证号码：</w:t>
      </w:r>
      <w:r/>
    </w:p>
    <w:p>
      <w:pPr>
        <w:pStyle w:val="941"/>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941"/>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941"/>
        <w:ind w:firstLine="480"/>
        <w:spacing w:line="480" w:lineRule="auto"/>
        <w:rPr>
          <w:rFonts w:hint="eastAsia"/>
          <w:sz w:val="24"/>
          <w:szCs w:val="24"/>
          <w:u w:val="single"/>
        </w:rPr>
      </w:pPr>
      <w:r>
        <w:rPr>
          <w:rFonts w:hint="eastAsia"/>
          <w:sz w:val="24"/>
          <w:szCs w:val="24"/>
        </w:rPr>
        <w:t xml:space="preserve">单位地址：</w:t>
      </w:r>
      <w:r/>
    </w:p>
    <w:p>
      <w:pPr>
        <w:pStyle w:val="941"/>
        <w:ind w:firstLine="480"/>
        <w:spacing w:line="480" w:lineRule="auto"/>
        <w:rPr>
          <w:rFonts w:hint="eastAsia"/>
          <w:sz w:val="24"/>
          <w:szCs w:val="24"/>
        </w:rPr>
      </w:pPr>
      <w:r>
        <w:rPr>
          <w:rFonts w:hint="eastAsia"/>
          <w:sz w:val="24"/>
          <w:szCs w:val="24"/>
        </w:rPr>
        <w:t xml:space="preserve">日    期：</w:t>
      </w:r>
      <w:bookmarkStart w:id="112" w:name="_Hlt26955070"/>
      <w:r/>
      <w:bookmarkEnd w:id="112"/>
      <w:r/>
      <w:bookmarkStart w:id="113" w:name="_格式3__银行出具的资信证明"/>
      <w:r/>
      <w:bookmarkEnd w:id="113"/>
      <w:r/>
      <w:bookmarkStart w:id="114" w:name="_Hlt26671380"/>
      <w:r/>
      <w:bookmarkEnd w:id="114"/>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tabs>
          <w:tab w:val="left" w:pos="360" w:leader="none"/>
        </w:tabs>
        <w:rPr>
          <w:rFonts w:hint="eastAsia"/>
          <w:sz w:val="24"/>
          <w:szCs w:val="24"/>
          <w:u w:val="single"/>
        </w:rPr>
      </w:pPr>
      <w:r>
        <w:rPr>
          <w:rFonts w:hint="eastAsia"/>
          <w:sz w:val="24"/>
          <w:szCs w:val="24"/>
          <w:u w:val="single"/>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br w:type="page" w:clear="all"/>
      </w:r>
      <w:r/>
    </w:p>
    <w:p>
      <w:pPr>
        <w:rPr>
          <w:rFonts w:hint="eastAsia" w:ascii="黑体" w:hAnsi="黑体" w:eastAsia="黑体"/>
          <w:sz w:val="32"/>
          <w:szCs w:val="32"/>
        </w:rPr>
      </w:pPr>
      <w:r>
        <w:rPr>
          <w:rFonts w:hint="eastAsia" w:ascii="黑体" w:hAnsi="黑体" w:eastAsia="黑体"/>
          <w:sz w:val="32"/>
          <w:szCs w:val="32"/>
          <w:lang w:val="en-US" w:eastAsia="zh-CN"/>
        </w:rPr>
        <w:t xml:space="preserve">三</w:t>
      </w:r>
      <w:r>
        <w:rPr>
          <w:rFonts w:hint="eastAsia" w:ascii="黑体" w:hAnsi="黑体" w:eastAsia="黑体"/>
          <w:sz w:val="32"/>
          <w:szCs w:val="32"/>
        </w:rPr>
        <w:t xml:space="preserve">、磋商响应函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rPr>
        <w:t xml:space="preserve">磋商响应函</w:t>
      </w:r>
      <w:r/>
    </w:p>
    <w:p>
      <w:pPr>
        <w:jc w:val="left"/>
        <w:spacing w:line="360" w:lineRule="auto"/>
        <w:rPr>
          <w:rFonts w:hint="eastAsia" w:ascii="宋体" w:hAnsi="宋体"/>
          <w:sz w:val="24"/>
          <w:szCs w:val="21"/>
        </w:rPr>
      </w:pPr>
      <w:r>
        <w:rPr>
          <w:rFonts w:hint="eastAsia" w:ascii="宋体" w:hAnsi="宋体"/>
          <w:sz w:val="24"/>
          <w:szCs w:val="21"/>
        </w:rPr>
        <w:t xml:space="preserve">致：南京明莹工程项目管理有限公司</w:t>
      </w:r>
      <w:r/>
    </w:p>
    <w:p>
      <w:pPr>
        <w:pStyle w:val="943"/>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8.我方与本磋商有关的正式通讯地址为：</w:t>
      </w:r>
      <w:r/>
    </w:p>
    <w:p>
      <w:pPr>
        <w:pStyle w:val="943"/>
        <w:spacing w:before="0" w:after="0"/>
        <w:rPr>
          <w:rFonts w:hint="eastAsia" w:ascii="宋体" w:hAnsi="宋体"/>
          <w:szCs w:val="21"/>
        </w:rPr>
      </w:pPr>
      <w:r>
        <w:rPr>
          <w:rFonts w:hint="eastAsia" w:ascii="宋体" w:hAnsi="宋体"/>
          <w:szCs w:val="21"/>
        </w:rPr>
        <w:t xml:space="preserve">地  址：</w:t>
      </w:r>
      <w:r/>
    </w:p>
    <w:p>
      <w:pPr>
        <w:pStyle w:val="943"/>
        <w:spacing w:before="0" w:after="0"/>
        <w:rPr>
          <w:rFonts w:hint="eastAsia" w:ascii="宋体" w:hAnsi="宋体"/>
          <w:szCs w:val="21"/>
        </w:rPr>
      </w:pPr>
      <w:r>
        <w:rPr>
          <w:rFonts w:hint="eastAsia" w:ascii="宋体" w:hAnsi="宋体"/>
          <w:szCs w:val="21"/>
        </w:rPr>
        <w:t xml:space="preserve">邮  编：</w:t>
      </w:r>
      <w:r/>
    </w:p>
    <w:p>
      <w:pPr>
        <w:pStyle w:val="943"/>
        <w:spacing w:before="0" w:after="0"/>
        <w:rPr>
          <w:rFonts w:hint="eastAsia" w:ascii="宋体" w:hAnsi="宋体"/>
          <w:szCs w:val="21"/>
          <w:u w:val="single"/>
        </w:rPr>
      </w:pPr>
      <w:r>
        <w:rPr>
          <w:rFonts w:hint="eastAsia" w:ascii="宋体" w:hAnsi="宋体"/>
          <w:szCs w:val="21"/>
        </w:rPr>
        <w:t xml:space="preserve">电  话：</w:t>
      </w:r>
      <w:r/>
    </w:p>
    <w:p>
      <w:pPr>
        <w:pStyle w:val="943"/>
        <w:spacing w:before="0" w:after="0"/>
        <w:rPr>
          <w:rFonts w:hint="eastAsia" w:ascii="宋体" w:hAnsi="宋体"/>
          <w:szCs w:val="21"/>
          <w:u w:val="single"/>
        </w:rPr>
      </w:pPr>
      <w:r>
        <w:rPr>
          <w:rFonts w:hint="eastAsia" w:ascii="宋体" w:hAnsi="宋体"/>
          <w:szCs w:val="21"/>
        </w:rPr>
        <w:t xml:space="preserve">传  真：</w:t>
      </w:r>
      <w:r/>
    </w:p>
    <w:p>
      <w:pPr>
        <w:pStyle w:val="943"/>
        <w:spacing w:before="0" w:after="0"/>
        <w:rPr>
          <w:rFonts w:hint="eastAsia" w:ascii="宋体" w:hAnsi="宋体"/>
          <w:szCs w:val="21"/>
          <w:u w:val="single"/>
        </w:rPr>
      </w:pPr>
      <w:r>
        <w:rPr>
          <w:rFonts w:hint="eastAsia" w:ascii="宋体" w:hAnsi="宋体"/>
          <w:szCs w:val="21"/>
        </w:rPr>
        <w:t xml:space="preserve">开户行：</w:t>
      </w:r>
      <w:r/>
    </w:p>
    <w:p>
      <w:pPr>
        <w:pStyle w:val="943"/>
        <w:spacing w:before="0" w:after="0"/>
        <w:rPr>
          <w:rFonts w:hint="eastAsia" w:ascii="宋体" w:hAnsi="宋体"/>
          <w:szCs w:val="21"/>
          <w:u w:val="single"/>
        </w:rPr>
      </w:pPr>
      <w:r>
        <w:rPr>
          <w:rFonts w:hint="eastAsia" w:ascii="宋体" w:hAnsi="宋体"/>
          <w:szCs w:val="21"/>
        </w:rPr>
        <w:t xml:space="preserve">账  号：</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43"/>
        <w:spacing w:before="0" w:after="0"/>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lang w:val="en-US" w:eastAsia="zh-CN"/>
        </w:rPr>
        <w:t xml:space="preserve">四</w:t>
      </w:r>
      <w:r>
        <w:rPr>
          <w:rFonts w:hint="eastAsia" w:ascii="黑体" w:hAnsi="黑体" w:eastAsia="黑体"/>
          <w:sz w:val="32"/>
          <w:szCs w:val="32"/>
        </w:rPr>
        <w:t xml:space="preserve">、磋商报价表</w:t>
      </w:r>
      <w:r/>
    </w:p>
    <w:p>
      <w:pPr>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widowControl/>
        <w:rPr>
          <w:rFonts w:hint="eastAsia" w:ascii="宋体" w:hAnsi="宋体"/>
          <w:sz w:val="24"/>
          <w:szCs w:val="24"/>
        </w:rPr>
      </w:pPr>
      <w:r>
        <w:rPr>
          <w:rFonts w:hint="eastAsia" w:ascii="宋体" w:hAnsi="宋体"/>
          <w:sz w:val="24"/>
          <w:szCs w:val="24"/>
        </w:rPr>
        <w:t xml:space="preserve">项目名称：</w:t>
      </w:r>
      <w:r/>
    </w:p>
    <w:p>
      <w:pPr>
        <w:widowControl/>
        <w:rPr>
          <w:rFonts w:hint="eastAsia" w:ascii="宋体" w:hAnsi="宋体"/>
          <w:sz w:val="24"/>
          <w:szCs w:val="24"/>
        </w:rPr>
      </w:pPr>
      <w:r>
        <w:rPr>
          <w:rFonts w:hint="eastAsia" w:ascii="宋体" w:hAnsi="宋体"/>
          <w:sz w:val="24"/>
          <w:szCs w:val="24"/>
        </w:rPr>
        <w:t xml:space="preserve">项目编号：                                   分包号：</w:t>
      </w:r>
      <w:r/>
    </w:p>
    <w:tbl>
      <w:tblPr>
        <w:tblStyle w:val="675"/>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43"/>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32"/>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jc w:val="center"/>
        <w:spacing w:line="480" w:lineRule="auto"/>
        <w:rPr>
          <w:rFonts w:hint="eastAsia" w:ascii="方正小标宋简体" w:hAnsi="方正小标宋简体" w:eastAsia="方正小标宋简体" w:cs="方正小标宋简体"/>
          <w:color w:val="0000ff"/>
          <w:sz w:val="32"/>
          <w:szCs w:val="32"/>
        </w:rPr>
        <w:outlineLvl w:val="0"/>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outlineLvl w:val="0"/>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outlineLvl w:val="0"/>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outlineLvl w:val="0"/>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outlineLvl w:val="0"/>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outlineLvl w:val="0"/>
      </w:pPr>
      <w:r>
        <w:rPr>
          <w:rFonts w:hint="eastAsia" w:ascii="方正小标宋简体" w:hAnsi="方正小标宋简体" w:eastAsia="方正小标宋简体" w:cs="方正小标宋简体"/>
          <w:color w:val="0000ff"/>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8"/>
        <w:ind w:firstLine="480"/>
        <w:jc w:val="both"/>
        <w:spacing w:before="0" w:beforeAutospacing="0" w:after="0" w:afterAutospacing="0" w:line="360" w:lineRule="auto"/>
        <w:rPr>
          <w:rFonts w:hint="eastAsia" w:ascii="黑体" w:hAnsi="黑体" w:eastAsia="黑体"/>
          <w:sz w:val="32"/>
          <w:szCs w:val="32"/>
        </w:rPr>
      </w:pPr>
      <w:r>
        <w:rPr>
          <w:rFonts w:hint="eastAsia" w:ascii="黑体" w:hAnsi="黑体" w:eastAsia="黑体"/>
          <w:sz w:val="32"/>
          <w:szCs w:val="32"/>
          <w:lang w:val="en-US" w:eastAsia="zh-CN"/>
        </w:rPr>
        <w:t xml:space="preserve">五</w:t>
      </w:r>
      <w:r>
        <w:rPr>
          <w:rFonts w:hint="eastAsia" w:ascii="黑体" w:hAnsi="黑体" w:eastAsia="黑体"/>
          <w:sz w:val="32"/>
          <w:szCs w:val="32"/>
        </w:rPr>
        <w:t xml:space="preserve">、分项报价表</w:t>
      </w:r>
      <w:r/>
    </w:p>
    <w:p>
      <w:pPr>
        <w:pStyle w:val="918"/>
        <w:ind w:firstLine="480"/>
        <w:jc w:val="both"/>
        <w:spacing w:before="0" w:beforeAutospacing="0" w:after="0" w:afterAutospacing="0" w:line="360" w:lineRule="auto"/>
        <w:rPr>
          <w:rFonts w:hint="eastAsia" w:ascii="黑体" w:hAnsi="黑体" w:eastAsia="黑体"/>
          <w:sz w:val="32"/>
          <w:szCs w:val="32"/>
          <w:lang w:val="zh-CN"/>
        </w:rPr>
      </w:pPr>
      <w:r>
        <w:rPr>
          <w:rFonts w:hint="eastAsia" w:ascii="黑体" w:hAnsi="黑体" w:eastAsia="黑体"/>
          <w:sz w:val="32"/>
          <w:szCs w:val="32"/>
          <w:lang w:val="zh-CN"/>
        </w:rPr>
      </w:r>
      <w:r/>
    </w:p>
    <w:p>
      <w:pPr>
        <w:pStyle w:val="918"/>
        <w:ind w:firstLine="480"/>
        <w:jc w:val="center"/>
        <w:spacing w:before="0" w:beforeAutospacing="0" w:after="0" w:afterAutospacing="0" w:line="360" w:lineRule="auto"/>
        <w:rPr>
          <w:rFonts w:hint="eastAsia" w:ascii="黑体" w:hAnsi="黑体" w:eastAsia="黑体"/>
          <w:sz w:val="32"/>
          <w:szCs w:val="32"/>
          <w:lang w:val="zh-CN"/>
        </w:rPr>
      </w:pPr>
      <w:r>
        <w:rPr>
          <w:rFonts w:hint="eastAsia" w:ascii="黑体" w:hAnsi="黑体" w:eastAsia="黑体"/>
          <w:sz w:val="32"/>
          <w:szCs w:val="32"/>
          <w:lang w:val="zh-CN"/>
        </w:rPr>
        <w:t xml:space="preserve">分项报价表（</w:t>
      </w:r>
      <w:r>
        <w:rPr>
          <w:rFonts w:hint="eastAsia" w:ascii="黑体" w:hAnsi="黑体" w:eastAsia="黑体"/>
          <w:sz w:val="32"/>
          <w:szCs w:val="32"/>
        </w:rPr>
        <w:t xml:space="preserve">如有，格式自拟</w:t>
      </w:r>
      <w:r>
        <w:rPr>
          <w:rFonts w:hint="eastAsia" w:ascii="黑体" w:hAnsi="黑体" w:eastAsia="黑体"/>
          <w:sz w:val="32"/>
          <w:szCs w:val="32"/>
          <w:lang w:val="zh-CN"/>
        </w:rPr>
        <w:t xml:space="preserve">）</w:t>
      </w:r>
      <w:r/>
    </w:p>
    <w:p>
      <w:pPr>
        <w:pStyle w:val="918"/>
        <w:ind w:firstLine="480"/>
        <w:jc w:val="both"/>
        <w:spacing w:before="0" w:beforeAutospacing="0" w:after="0" w:afterAutospacing="0" w:line="360" w:lineRule="auto"/>
        <w:rPr>
          <w:rFonts w:hint="eastAsia" w:ascii="黑体" w:hAnsi="黑体" w:eastAsia="黑体"/>
          <w:sz w:val="32"/>
          <w:szCs w:val="32"/>
        </w:rPr>
      </w:pPr>
      <w:r>
        <w:rPr>
          <w:rFonts w:hint="eastAsia" w:ascii="黑体" w:hAnsi="黑体" w:eastAsia="黑体"/>
          <w:sz w:val="32"/>
          <w:szCs w:val="32"/>
        </w:rPr>
      </w:r>
      <w:r/>
    </w:p>
    <w:p>
      <w:pPr>
        <w:pStyle w:val="918"/>
        <w:ind w:firstLine="480"/>
        <w:jc w:val="both"/>
        <w:spacing w:before="0" w:beforeAutospacing="0" w:after="0" w:afterAutospacing="0" w:line="360" w:lineRule="auto"/>
        <w:rPr>
          <w:rFonts w:hint="eastAsia" w:ascii="黑体" w:hAnsi="黑体" w:eastAsia="黑体"/>
          <w:sz w:val="32"/>
          <w:szCs w:val="32"/>
          <w:lang w:val="en-US"/>
        </w:rPr>
      </w:pPr>
      <w:r>
        <w:rPr>
          <w:rFonts w:hint="eastAsia" w:ascii="黑体" w:hAnsi="黑体" w:eastAsia="黑体"/>
          <w:sz w:val="32"/>
          <w:szCs w:val="32"/>
        </w:rPr>
        <w:t xml:space="preserve">供应商名称：</w:t>
      </w:r>
      <w:r>
        <w:rPr>
          <w:rFonts w:hint="eastAsia" w:ascii="黑体" w:hAnsi="黑体" w:eastAsia="黑体"/>
          <w:sz w:val="32"/>
          <w:szCs w:val="32"/>
          <w:lang w:val="en-US"/>
        </w:rPr>
        <w:t xml:space="preserve">      （加盖CA电子公章）      </w:t>
      </w:r>
      <w:r/>
    </w:p>
    <w:p>
      <w:pPr>
        <w:pStyle w:val="918"/>
        <w:ind w:firstLine="480"/>
        <w:jc w:val="both"/>
        <w:spacing w:before="0" w:beforeAutospacing="0" w:after="0" w:afterAutospacing="0" w:line="360" w:lineRule="auto"/>
        <w:rPr>
          <w:color w:val="000000"/>
        </w:rPr>
      </w:pPr>
      <w:r>
        <w:rPr>
          <w:color w:val="000000"/>
        </w:rPr>
        <w:t xml:space="preserve">备注： </w:t>
      </w:r>
      <w:r/>
    </w:p>
    <w:p>
      <w:pPr>
        <w:pStyle w:val="918"/>
        <w:ind w:firstLine="480"/>
        <w:jc w:val="both"/>
        <w:spacing w:before="0" w:beforeAutospacing="0" w:after="0" w:afterAutospacing="0" w:line="360" w:lineRule="auto"/>
        <w:rPr>
          <w:rFonts w:hint="eastAsia"/>
          <w:color w:val="000000"/>
        </w:rPr>
      </w:pPr>
      <w:r>
        <w:rPr>
          <w:rFonts w:hint="eastAsia"/>
          <w:color w:val="000000"/>
        </w:rPr>
        <w:t xml:space="preserve">1.应包括为完成整个项目所产生的所有费用，采购文件另有规定的除外。</w:t>
      </w:r>
      <w:r/>
    </w:p>
    <w:p>
      <w:pPr>
        <w:pStyle w:val="918"/>
        <w:ind w:firstLine="480"/>
        <w:jc w:val="both"/>
        <w:spacing w:before="0" w:beforeAutospacing="0" w:after="0" w:afterAutospacing="0" w:line="360" w:lineRule="auto"/>
        <w:rPr>
          <w:rFonts w:hint="eastAsia"/>
          <w:color w:val="000000"/>
        </w:rPr>
      </w:pPr>
      <w:r>
        <w:rPr>
          <w:rFonts w:hint="eastAsia"/>
          <w:color w:val="000000"/>
        </w:rPr>
        <w:t xml:space="preserve">2.已标价的工程量清单应当与《磋商报价表》中“总报价”一致。</w:t>
      </w:r>
      <w:r/>
    </w:p>
    <w:p>
      <w:pPr>
        <w:pStyle w:val="918"/>
        <w:jc w:val="both"/>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03"/>
      <w:r/>
      <w:bookmarkEnd w:id="104"/>
      <w:r/>
      <w:bookmarkEnd w:id="111"/>
      <w:r>
        <w:rPr>
          <w:rFonts w:hint="eastAsia" w:ascii="黑体" w:hAnsi="黑体" w:eastAsia="黑体" w:cs="Times New Roman"/>
          <w:sz w:val="32"/>
          <w:szCs w:val="32"/>
          <w:lang w:val="en-US" w:eastAsia="zh-CN"/>
        </w:rPr>
        <w:t xml:space="preserve">六</w:t>
      </w:r>
      <w:r>
        <w:rPr>
          <w:rFonts w:hint="eastAsia" w:ascii="黑体" w:hAnsi="黑体" w:eastAsia="黑体" w:cs="Times New Roman"/>
          <w:sz w:val="32"/>
          <w:szCs w:val="32"/>
        </w:rPr>
        <w:t xml:space="preserve">、</w:t>
      </w:r>
      <w:r>
        <w:rPr>
          <w:rFonts w:hint="eastAsia" w:ascii="黑体" w:hAnsi="黑体" w:eastAsia="黑体" w:cs="Times New Roman"/>
          <w:iCs/>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6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18"/>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rPr>
          <w:rFonts w:hint="eastAsia" w:ascii="宋体" w:hAnsi="宋体"/>
          <w:sz w:val="24"/>
          <w:szCs w:val="24"/>
        </w:rPr>
      </w:pPr>
      <w:r>
        <w:rPr>
          <w:rFonts w:hint="eastAsia" w:ascii="宋体" w:hAnsi="宋体"/>
          <w:sz w:val="24"/>
          <w:szCs w:val="24"/>
        </w:rPr>
      </w:r>
      <w:r/>
    </w:p>
    <w:p>
      <w:pPr>
        <w:pStyle w:val="918"/>
        <w:ind w:firstLine="480"/>
        <w:jc w:val="both"/>
        <w:spacing w:before="0" w:beforeAutospacing="0" w:after="0" w:afterAutospacing="0" w:line="360" w:lineRule="auto"/>
      </w:pPr>
      <w:r>
        <w:t xml:space="preserve">备注： </w:t>
      </w:r>
      <w:r/>
    </w:p>
    <w:p>
      <w:pPr>
        <w:pStyle w:val="918"/>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918"/>
        <w:ind w:firstLine="480"/>
        <w:jc w:val="both"/>
        <w:spacing w:before="0" w:beforeAutospacing="0" w:after="0" w:afterAutospacing="0" w:line="360" w:lineRule="auto"/>
        <w:rPr>
          <w:rFonts w:hint="eastAsia"/>
        </w:rPr>
      </w:pPr>
      <w:r>
        <w:rPr>
          <w:rFonts w:hint="eastAsia"/>
        </w:rPr>
        <w:t xml:space="preserve">2.行数不够，可自行添加。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iCs/>
          <w:color w:val="0000ff"/>
          <w:sz w:val="32"/>
          <w:szCs w:val="32"/>
        </w:rPr>
      </w:pPr>
      <w:r/>
      <w:bookmarkStart w:id="115" w:name="_Hlt26955054"/>
      <w:r/>
      <w:bookmarkEnd w:id="115"/>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pStyle w:val="706"/>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pStyle w:val="706"/>
        <w:rPr>
          <w:rFonts w:hint="eastAsia"/>
        </w:rPr>
      </w:pPr>
      <w:r>
        <w:rPr>
          <w:rFonts w:hint="eastAsia"/>
        </w:rPr>
      </w:r>
      <w:r/>
    </w:p>
    <w:p>
      <w:pPr>
        <w:rPr>
          <w:rFonts w:hint="eastAsia" w:ascii="黑体" w:hAnsi="黑体" w:eastAsia="黑体"/>
          <w:iCs/>
          <w:sz w:val="32"/>
          <w:szCs w:val="32"/>
        </w:rPr>
      </w:pPr>
      <w:r>
        <w:rPr>
          <w:rFonts w:hint="eastAsia" w:ascii="黑体" w:hAnsi="黑体" w:eastAsia="黑体"/>
          <w:iCs/>
          <w:sz w:val="32"/>
          <w:szCs w:val="32"/>
          <w:lang w:val="en-US" w:eastAsia="zh-CN"/>
        </w:rPr>
        <w:t xml:space="preserve">七</w:t>
      </w:r>
      <w:r>
        <w:rPr>
          <w:rFonts w:hint="eastAsia" w:ascii="黑体" w:hAnsi="黑体" w:eastAsia="黑体"/>
          <w:iCs/>
          <w:sz w:val="32"/>
          <w:szCs w:val="32"/>
        </w:rPr>
        <w:t xml:space="preserve">、商务要求响应及偏离表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18"/>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918"/>
        <w:ind w:firstLine="480"/>
        <w:jc w:val="both"/>
        <w:spacing w:before="0" w:beforeAutospacing="0" w:after="0" w:afterAutospacing="0" w:line="360" w:lineRule="auto"/>
        <w:rPr>
          <w:rFonts w:hint="eastAsia"/>
        </w:rPr>
      </w:pPr>
      <w:r>
        <w:rPr>
          <w:rFonts w:hint="eastAsia"/>
        </w:rPr>
        <w:t xml:space="preserve">备注： </w:t>
      </w:r>
      <w:r/>
    </w:p>
    <w:p>
      <w:pPr>
        <w:pStyle w:val="918"/>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18"/>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32"/>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pStyle w:val="706"/>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pStyle w:val="706"/>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pStyle w:val="706"/>
        <w:rPr>
          <w:rFonts w:hint="eastAsia"/>
        </w:rPr>
      </w:pPr>
      <w:r>
        <w:rPr>
          <w:rFonts w:hint="eastAsia"/>
        </w:rPr>
      </w:r>
      <w:r/>
    </w:p>
    <w:p>
      <w:pPr>
        <w:rPr>
          <w:rFonts w:hint="eastAsia" w:ascii="黑体" w:hAnsi="黑体" w:eastAsia="黑体"/>
          <w:iCs/>
          <w:sz w:val="32"/>
          <w:szCs w:val="32"/>
        </w:rPr>
      </w:pPr>
      <w:r>
        <w:rPr>
          <w:rFonts w:hint="eastAsia" w:ascii="黑体" w:hAnsi="黑体" w:eastAsia="黑体"/>
          <w:iCs/>
          <w:sz w:val="32"/>
          <w:szCs w:val="32"/>
          <w:lang w:val="en-US" w:eastAsia="zh-CN"/>
        </w:rPr>
        <w:t xml:space="preserve">八</w:t>
      </w:r>
      <w:r>
        <w:rPr>
          <w:rFonts w:hint="eastAsia" w:ascii="黑体" w:hAnsi="黑体" w:eastAsia="黑体"/>
          <w:iCs/>
          <w:sz w:val="32"/>
          <w:szCs w:val="32"/>
        </w:rPr>
        <w:t xml:space="preserve">、中小企业声明函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）的采购活动，，工程的施工单位全部为符合政策要求的中小企业。根据《工业和信息化部、国家统计局、国家发展和改革委员会、财政部关于印发中小企业划型标准规定的通知》(工信部联企业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932"/>
        <w:ind w:left="0"/>
        <w:spacing w:line="360" w:lineRule="auto"/>
        <w:rPr>
          <w:rFonts w:hint="eastAsia" w:ascii="宋体" w:hAnsi="宋体" w:eastAsia="宋体"/>
          <w:sz w:val="24"/>
          <w:szCs w:val="24"/>
          <w:lang w:eastAsia="zh-CN"/>
        </w:rPr>
      </w:pPr>
      <w:r>
        <w:rPr>
          <w:rFonts w:hint="eastAsia" w:ascii="宋体" w:hAnsi="宋体" w:eastAsia="宋体" w:cs="Times New Roman"/>
          <w:sz w:val="24"/>
          <w:szCs w:val="24"/>
          <w:lang w:bidi="ar"/>
        </w:rPr>
        <w:t xml:space="preserve">本项目采购标的对应的中小企业划分标准所属行业为：</w:t>
      </w:r>
      <w:r>
        <w:rPr>
          <w:rFonts w:hint="eastAsia" w:ascii="宋体" w:hAnsi="宋体" w:eastAsia="宋体" w:cs="Times New Roman"/>
          <w:color w:val="0000ff"/>
          <w:sz w:val="24"/>
          <w:szCs w:val="24"/>
          <w:u w:val="none"/>
          <w:lang w:val="en-US" w:eastAsia="zh-CN"/>
        </w:rPr>
        <w:t xml:space="preserve">软件和信息技术服务业</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b w:val="0"/>
          <w:bCs/>
          <w:sz w:val="32"/>
          <w:szCs w:val="32"/>
          <w:lang w:val="en-US" w:eastAsia="zh-CN"/>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2"/>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sz w:val="24"/>
        </w:rPr>
      </w:pPr>
      <w:r>
        <w:rPr>
          <w:rFonts w:hint="eastAsia" w:ascii="宋体" w:hAnsi="宋体"/>
          <w:sz w:val="24"/>
        </w:rPr>
      </w:r>
      <w:r/>
    </w:p>
    <w:p>
      <w:pPr>
        <w:numPr>
          <w:ilvl w:val="0"/>
          <w:numId w:val="19"/>
        </w:num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关于符合本国产品标准的声明函</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关于符合本国产品标准的声明函</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03"/>
          <w:rFonts w:hint="eastAsia" w:ascii="宋体" w:hAnsi="宋体" w:eastAsia="宋体" w:cs="宋体"/>
          <w:i w:val="0"/>
          <w:iCs w:val="0"/>
          <w:caps w:val="0"/>
          <w:color w:val="333333"/>
          <w:spacing w:val="0"/>
          <w:sz w:val="24"/>
          <w:szCs w:val="24"/>
          <w:u w:val="single"/>
          <w:shd w:val="clear" w:color="auto" w:fill="ffffff"/>
        </w:rPr>
        <w:t xml:space="preserve">（产品名称1）</w:t>
      </w:r>
      <w:r>
        <w:rPr>
          <w:rStyle w:val="703"/>
          <w:rFonts w:hint="eastAsia" w:ascii="宋体" w:hAnsi="宋体" w:eastAsia="宋体" w:cs="宋体"/>
          <w:i w:val="0"/>
          <w:iCs w:val="0"/>
          <w:caps w:val="0"/>
          <w:color w:val="333333"/>
          <w:spacing w:val="0"/>
          <w:sz w:val="24"/>
          <w:szCs w:val="24"/>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03"/>
          <w:rFonts w:hint="eastAsia" w:ascii="宋体" w:hAnsi="宋体" w:eastAsia="宋体" w:cs="宋体"/>
          <w:i w:val="0"/>
          <w:iCs w:val="0"/>
          <w:caps w:val="0"/>
          <w:color w:val="333333"/>
          <w:spacing w:val="0"/>
          <w:sz w:val="24"/>
          <w:szCs w:val="24"/>
          <w:u w:val="single"/>
          <w:shd w:val="clear" w:color="auto" w:fill="ffffff"/>
        </w:rPr>
        <w:t xml:space="preserve">（厂名）</w:t>
      </w:r>
      <w:r>
        <w:rPr>
          <w:rStyle w:val="703"/>
          <w:rFonts w:hint="eastAsia" w:ascii="宋体" w:hAnsi="宋体" w:eastAsia="宋体" w:cs="宋体"/>
          <w:i w:val="0"/>
          <w:iCs w:val="0"/>
          <w:caps w:val="0"/>
          <w:color w:val="333333"/>
          <w:spacing w:val="0"/>
          <w:sz w:val="24"/>
          <w:szCs w:val="24"/>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03"/>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03"/>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03"/>
          <w:rFonts w:hint="eastAsia" w:ascii="宋体" w:hAnsi="宋体" w:eastAsia="宋体" w:cs="宋体"/>
          <w:i w:val="0"/>
          <w:iCs w:val="0"/>
          <w:caps w:val="0"/>
          <w:color w:val="333333"/>
          <w:spacing w:val="0"/>
          <w:sz w:val="24"/>
          <w:szCs w:val="24"/>
          <w:u w:val="single"/>
          <w:shd w:val="clear" w:color="auto" w:fill="ffffff"/>
        </w:rPr>
        <w:t xml:space="preserve">（规定比例）</w:t>
      </w:r>
      <w:r>
        <w:rPr>
          <w:rStyle w:val="703"/>
          <w:rFonts w:hint="eastAsia" w:ascii="宋体" w:hAnsi="宋体" w:eastAsia="宋体" w:cs="宋体"/>
          <w:i w:val="0"/>
          <w:iCs w:val="0"/>
          <w:caps w:val="0"/>
          <w:color w:val="333333"/>
          <w:spacing w:val="0"/>
          <w:sz w:val="24"/>
          <w:szCs w:val="24"/>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03"/>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03"/>
          <w:rFonts w:hint="eastAsia" w:ascii="宋体" w:hAnsi="宋体" w:eastAsia="宋体" w:cs="宋体"/>
          <w:i w:val="0"/>
          <w:iCs w:val="0"/>
          <w:caps w:val="0"/>
          <w:color w:val="333333"/>
          <w:spacing w:val="0"/>
          <w:sz w:val="24"/>
          <w:szCs w:val="24"/>
          <w:u w:val="single"/>
          <w:shd w:val="clear" w:color="auto" w:fill="ffffff"/>
        </w:rPr>
        <w:t xml:space="preserve">（关键组件）</w:t>
      </w:r>
      <w:r>
        <w:rPr>
          <w:rStyle w:val="703"/>
          <w:rFonts w:hint="eastAsia" w:ascii="宋体" w:hAnsi="宋体" w:eastAsia="宋体" w:cs="宋体"/>
          <w:i w:val="0"/>
          <w:iCs w:val="0"/>
          <w:caps w:val="0"/>
          <w:color w:val="333333"/>
          <w:spacing w:val="0"/>
          <w:sz w:val="24"/>
          <w:szCs w:val="24"/>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03"/>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03"/>
          <w:rFonts w:hint="eastAsia" w:ascii="宋体" w:hAnsi="宋体" w:eastAsia="宋体" w:cs="宋体"/>
          <w:i w:val="0"/>
          <w:iCs w:val="0"/>
          <w:caps w:val="0"/>
          <w:color w:val="333333"/>
          <w:spacing w:val="0"/>
          <w:sz w:val="24"/>
          <w:szCs w:val="24"/>
          <w:u w:val="single"/>
          <w:shd w:val="clear" w:color="auto" w:fill="ffffff"/>
        </w:rPr>
        <w:t xml:space="preserve">（关键工序）</w:t>
      </w:r>
      <w:r>
        <w:rPr>
          <w:rStyle w:val="703"/>
          <w:rFonts w:hint="eastAsia" w:ascii="宋体" w:hAnsi="宋体" w:eastAsia="宋体" w:cs="宋体"/>
          <w:i w:val="0"/>
          <w:iCs w:val="0"/>
          <w:caps w:val="0"/>
          <w:color w:val="333333"/>
          <w:spacing w:val="0"/>
          <w:sz w:val="24"/>
          <w:szCs w:val="24"/>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69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03"/>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03"/>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03"/>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03"/>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03"/>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03"/>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03"/>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03"/>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03"/>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本公司（单位）对上述声明内容的真实性负责。如有虚假，愿承担相应法律责任。</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公司（单位）名称（盖章）：　        </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日期：　     年　  月　  日         </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__________________</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1.产品如有型号，请在“产品名称”栏一并填写。</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2.生产厂名与厂址应与生产厂营业执照载明的相关信息保持一致。</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3.该产品的中国境内生产的组件成本占比相关要求实施前，“规定比例”栏可不填，下同。</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4.该产品的关键组件要求实施前，“关键组件”栏可不填，下同。</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5.该产品的关键工序要求实施前，“关键工序”栏可不填，下同。</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numPr>
          <w:ilvl w:val="0"/>
          <w:numId w:val="19"/>
        </w:num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供应商认为需要提供的其他资料</w:t>
      </w:r>
      <w:r/>
    </w:p>
    <w:p>
      <w:pPr>
        <w:pStyle w:val="932"/>
        <w:rPr>
          <w:rFonts w:hint="eastAsia"/>
        </w:rPr>
      </w:pPr>
      <w:r>
        <w:rPr>
          <w:rFonts w:hint="eastAsia"/>
        </w:rPr>
        <w:br w:type="page" w:clear="all"/>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28"/>
        <w:rFonts w:ascii="宋体" w:hAnsi="宋体"/>
      </w:rPr>
      <w:framePr w:wrap="around" w:vAnchor="text" w:hAnchor="margin" w:xAlign="center" w:y="1"/>
    </w:pPr>
    <w:r>
      <w:rPr>
        <w:rFonts w:ascii="宋体" w:hAnsi="宋体"/>
      </w:rPr>
      <w:fldChar w:fldCharType="begin"/>
    </w:r>
    <w:r>
      <w:rPr>
        <w:rStyle w:val="928"/>
        <w:rFonts w:ascii="宋体" w:hAnsi="宋体"/>
      </w:rPr>
      <w:instrText xml:space="preserve">PAGE  </w:instrText>
    </w:r>
    <w:r>
      <w:rPr>
        <w:rFonts w:ascii="宋体" w:hAnsi="宋体"/>
      </w:rPr>
      <w:fldChar w:fldCharType="separate"/>
    </w:r>
    <w:r>
      <w:rPr>
        <w:rStyle w:val="928"/>
        <w:rFonts w:ascii="宋体" w:hAnsi="宋体"/>
      </w:rPr>
      <w:t xml:space="preserve">３９</w:t>
    </w:r>
    <w:r>
      <w:rPr>
        <w:rFonts w:ascii="宋体" w:hAnsi="宋体"/>
      </w:rPr>
      <w:fldChar w:fldCharType="end"/>
    </w:r>
    <w:r/>
  </w:p>
  <w:p>
    <w:pPr>
      <w:pStyle w:val="903"/>
      <w:jc w:val="center"/>
      <w:rPr>
        <w:rFonts w:hint="eastAsia"/>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1"/>
      <w:isLgl w:val="false"/>
      <w:suff w:val="nothing"/>
      <w:lvlText w:val=""/>
      <w:lvlJc w:val="left"/>
      <w:pPr>
        <w:ind w:left="0" w:firstLine="0"/>
      </w:pPr>
      <w:rPr>
        <w:rFonts w:hint="eastAsia"/>
      </w:rPr>
    </w:lvl>
    <w:lvl w:ilvl="6">
      <w:start w:val="1"/>
      <w:numFmt w:val="decimal"/>
      <w:pStyle w:val="862"/>
      <w:isLgl w:val="false"/>
      <w:suff w:val="nothing"/>
      <w:lvlText w:val=""/>
      <w:lvlJc w:val="left"/>
      <w:pPr>
        <w:ind w:left="0" w:firstLine="0"/>
      </w:pPr>
      <w:rPr>
        <w:rFonts w:hint="eastAsia"/>
      </w:rPr>
    </w:lvl>
    <w:lvl w:ilvl="7">
      <w:start w:val="1"/>
      <w:numFmt w:val="decimal"/>
      <w:pStyle w:val="863"/>
      <w:isLgl w:val="false"/>
      <w:suff w:val="nothing"/>
      <w:lvlText w:val=""/>
      <w:lvlJc w:val="left"/>
      <w:pPr>
        <w:ind w:left="0" w:firstLine="0"/>
      </w:pPr>
      <w:rPr>
        <w:rFonts w:hint="eastAsia"/>
      </w:rPr>
    </w:lvl>
    <w:lvl w:ilvl="8">
      <w:start w:val="1"/>
      <w:numFmt w:val="decimal"/>
      <w:pStyle w:val="864"/>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17"/>
  </w:num>
  <w:num w:numId="4">
    <w:abstractNumId w:val="4"/>
  </w:num>
  <w:num w:numId="5">
    <w:abstractNumId w:val="14"/>
  </w:num>
  <w:num w:numId="6">
    <w:abstractNumId w:val="13"/>
  </w:num>
  <w:num w:numId="7">
    <w:abstractNumId w:val="2"/>
  </w:num>
  <w:num w:numId="8">
    <w:abstractNumId w:val="10"/>
  </w:num>
  <w:num w:numId="9">
    <w:abstractNumId w:val="6"/>
  </w:num>
  <w:num w:numId="10">
    <w:abstractNumId w:val="9"/>
  </w:num>
  <w:num w:numId="11">
    <w:abstractNumId w:val="16"/>
  </w:num>
  <w:num w:numId="12">
    <w:abstractNumId w:val="0"/>
  </w:num>
  <w:num w:numId="13">
    <w:abstractNumId w:val="3"/>
  </w:num>
  <w:num w:numId="14">
    <w:abstractNumId w:val="18"/>
  </w:num>
  <w:num w:numId="15">
    <w:abstractNumId w:val="5"/>
  </w:num>
  <w:num w:numId="16">
    <w:abstractNumId w:val="11"/>
  </w:num>
  <w:num w:numId="17">
    <w:abstractNumId w:val="15"/>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link w:val="93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5">
    <w:name w:val="Heading 1"/>
    <w:basedOn w:val="664"/>
    <w:next w:val="664"/>
    <w:link w:val="707"/>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708"/>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09"/>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10"/>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11"/>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12"/>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13"/>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14"/>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15"/>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right="0" w:firstLine="0"/>
      <w:spacing w:after="57"/>
    </w:pPr>
  </w:style>
  <w:style w:type="paragraph" w:styleId="677">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Document Map"/>
    <w:basedOn w:val="664"/>
    <w:uiPriority w:val="0"/>
    <w:semiHidden/>
    <w:qFormat/>
    <w:pPr>
      <w:jc w:val="left"/>
      <w:shd w:val="clear" w:color="auto" w:fill="000080"/>
      <w:widowControl/>
    </w:pPr>
    <w:rPr>
      <w:sz w:val="24"/>
      <w:szCs w:val="20"/>
    </w:rPr>
  </w:style>
  <w:style w:type="paragraph" w:styleId="679">
    <w:name w:val="Body Text"/>
    <w:basedOn w:val="664"/>
    <w:next w:val="664"/>
    <w:uiPriority w:val="1"/>
    <w:qFormat/>
    <w:rPr>
      <w:sz w:val="21"/>
      <w:szCs w:val="21"/>
      <w:u w:val="single"/>
    </w:rPr>
  </w:style>
  <w:style w:type="paragraph" w:styleId="680">
    <w:name w:val="Body Text Indent"/>
    <w:basedOn w:val="664"/>
    <w:next w:val="681"/>
    <w:uiPriority w:val="0"/>
    <w:unhideWhenUsed/>
    <w:qFormat/>
    <w:pPr>
      <w:ind w:left="420"/>
      <w:spacing w:after="120"/>
    </w:pPr>
  </w:style>
  <w:style w:type="paragraph" w:styleId="681">
    <w:name w:val="envelope return"/>
    <w:basedOn w:val="664"/>
    <w:uiPriority w:val="0"/>
    <w:qFormat/>
    <w:rPr>
      <w:rFonts w:ascii="Arial" w:hAnsi="Arial" w:eastAsia="宋体" w:cs="宋体"/>
    </w:rPr>
  </w:style>
  <w:style w:type="paragraph" w:styleId="682">
    <w:name w:val="toc 5"/>
    <w:basedOn w:val="664"/>
    <w:next w:val="664"/>
    <w:uiPriority w:val="39"/>
    <w:unhideWhenUsed/>
    <w:qFormat/>
    <w:pPr>
      <w:ind w:left="1134" w:right="0" w:firstLine="0"/>
      <w:spacing w:after="57"/>
    </w:pPr>
  </w:style>
  <w:style w:type="paragraph" w:styleId="683">
    <w:name w:val="toc 3"/>
    <w:basedOn w:val="664"/>
    <w:next w:val="664"/>
    <w:uiPriority w:val="39"/>
    <w:unhideWhenUsed/>
    <w:qFormat/>
    <w:pPr>
      <w:ind w:left="567" w:right="0" w:firstLine="0"/>
      <w:spacing w:after="57"/>
    </w:pPr>
  </w:style>
  <w:style w:type="paragraph" w:styleId="684">
    <w:name w:val="Plain Text"/>
    <w:basedOn w:val="664"/>
    <w:uiPriority w:val="0"/>
    <w:unhideWhenUsed/>
    <w:qFormat/>
    <w:pPr>
      <w:jc w:val="both"/>
    </w:pPr>
    <w:rPr>
      <w:rFonts w:hAnsi="Courier New" w:cs="Times New Roman"/>
      <w:sz w:val="21"/>
      <w:szCs w:val="20"/>
    </w:rPr>
  </w:style>
  <w:style w:type="paragraph" w:styleId="685">
    <w:name w:val="toc 8"/>
    <w:basedOn w:val="664"/>
    <w:next w:val="664"/>
    <w:uiPriority w:val="39"/>
    <w:unhideWhenUsed/>
    <w:qFormat/>
    <w:pPr>
      <w:ind w:left="1984" w:right="0" w:firstLine="0"/>
      <w:spacing w:after="57"/>
    </w:pPr>
  </w:style>
  <w:style w:type="paragraph" w:styleId="686">
    <w:name w:val="endnote text"/>
    <w:basedOn w:val="664"/>
    <w:link w:val="853"/>
    <w:uiPriority w:val="99"/>
    <w:semiHidden/>
    <w:unhideWhenUsed/>
    <w:qFormat/>
    <w:pPr>
      <w:spacing w:after="0" w:line="240" w:lineRule="auto"/>
    </w:pPr>
    <w:rPr>
      <w:sz w:val="20"/>
    </w:rPr>
  </w:style>
  <w:style w:type="paragraph" w:styleId="687">
    <w:name w:val="Footer"/>
    <w:basedOn w:val="664"/>
    <w:link w:val="726"/>
    <w:uiPriority w:val="99"/>
    <w:unhideWhenUsed/>
    <w:qFormat/>
    <w:pPr>
      <w:spacing w:after="0" w:line="240" w:lineRule="auto"/>
      <w:tabs>
        <w:tab w:val="center" w:pos="7143" w:leader="none"/>
        <w:tab w:val="right" w:pos="14287" w:leader="none"/>
      </w:tabs>
    </w:pPr>
  </w:style>
  <w:style w:type="paragraph" w:styleId="688">
    <w:name w:val="Header"/>
    <w:basedOn w:val="664"/>
    <w:link w:val="724"/>
    <w:uiPriority w:val="99"/>
    <w:unhideWhenUsed/>
    <w:qFormat/>
    <w:pPr>
      <w:spacing w:after="0" w:line="240" w:lineRule="auto"/>
      <w:tabs>
        <w:tab w:val="center" w:pos="7143" w:leader="none"/>
        <w:tab w:val="right" w:pos="14287" w:leader="none"/>
      </w:tabs>
    </w:pPr>
  </w:style>
  <w:style w:type="paragraph" w:styleId="689">
    <w:name w:val="toc 1"/>
    <w:basedOn w:val="664"/>
    <w:next w:val="664"/>
    <w:uiPriority w:val="39"/>
    <w:unhideWhenUsed/>
    <w:qFormat/>
    <w:pPr>
      <w:ind w:left="0" w:right="0" w:firstLine="0"/>
      <w:spacing w:after="57"/>
    </w:pPr>
  </w:style>
  <w:style w:type="paragraph" w:styleId="690">
    <w:name w:val="toc 4"/>
    <w:basedOn w:val="664"/>
    <w:next w:val="664"/>
    <w:uiPriority w:val="39"/>
    <w:unhideWhenUsed/>
    <w:qFormat/>
    <w:pPr>
      <w:ind w:left="850" w:right="0" w:firstLine="0"/>
      <w:spacing w:after="57"/>
    </w:pPr>
  </w:style>
  <w:style w:type="paragraph" w:styleId="691">
    <w:name w:val="Subtitle"/>
    <w:basedOn w:val="664"/>
    <w:next w:val="664"/>
    <w:link w:val="719"/>
    <w:uiPriority w:val="11"/>
    <w:qFormat/>
    <w:pPr>
      <w:spacing w:before="200" w:after="200"/>
    </w:pPr>
    <w:rPr>
      <w:sz w:val="24"/>
      <w:szCs w:val="24"/>
    </w:rPr>
  </w:style>
  <w:style w:type="paragraph" w:styleId="692">
    <w:name w:val="footnote text"/>
    <w:basedOn w:val="664"/>
    <w:link w:val="852"/>
    <w:uiPriority w:val="99"/>
    <w:semiHidden/>
    <w:unhideWhenUsed/>
    <w:qFormat/>
    <w:pPr>
      <w:spacing w:after="40" w:line="240" w:lineRule="auto"/>
    </w:pPr>
    <w:rPr>
      <w:sz w:val="18"/>
    </w:rPr>
  </w:style>
  <w:style w:type="paragraph" w:styleId="693">
    <w:name w:val="toc 6"/>
    <w:basedOn w:val="664"/>
    <w:next w:val="664"/>
    <w:uiPriority w:val="39"/>
    <w:unhideWhenUsed/>
    <w:qFormat/>
    <w:pPr>
      <w:ind w:left="1417" w:right="0" w:firstLine="0"/>
      <w:spacing w:after="57"/>
    </w:pPr>
  </w:style>
  <w:style w:type="paragraph" w:styleId="694">
    <w:name w:val="table of figures"/>
    <w:basedOn w:val="664"/>
    <w:next w:val="664"/>
    <w:uiPriority w:val="99"/>
    <w:unhideWhenUsed/>
    <w:qFormat/>
    <w:pPr>
      <w:spacing w:after="0" w:afterAutospacing="0"/>
    </w:pPr>
  </w:style>
  <w:style w:type="paragraph" w:styleId="695">
    <w:name w:val="toc 2"/>
    <w:basedOn w:val="664"/>
    <w:next w:val="664"/>
    <w:uiPriority w:val="39"/>
    <w:unhideWhenUsed/>
    <w:qFormat/>
    <w:pPr>
      <w:ind w:left="283" w:right="0" w:firstLine="0"/>
      <w:spacing w:after="57"/>
    </w:pPr>
  </w:style>
  <w:style w:type="paragraph" w:styleId="696">
    <w:name w:val="toc 9"/>
    <w:basedOn w:val="664"/>
    <w:next w:val="664"/>
    <w:uiPriority w:val="39"/>
    <w:unhideWhenUsed/>
    <w:qFormat/>
    <w:pPr>
      <w:ind w:left="2268" w:right="0" w:firstLine="0"/>
      <w:spacing w:after="57"/>
    </w:pPr>
  </w:style>
  <w:style w:type="paragraph" w:styleId="697">
    <w:name w:val="Normal (Web)"/>
    <w:basedOn w:val="664"/>
    <w:uiPriority w:val="0"/>
    <w:qFormat/>
    <w:pPr>
      <w:jc w:val="left"/>
      <w:spacing w:before="100" w:beforeAutospacing="1" w:after="100" w:afterAutospacing="1"/>
      <w:widowControl/>
    </w:pPr>
    <w:rPr>
      <w:rFonts w:ascii="宋体" w:hAnsi="宋体" w:cs="宋体"/>
      <w:sz w:val="24"/>
    </w:rPr>
  </w:style>
  <w:style w:type="paragraph" w:styleId="698">
    <w:name w:val="Title"/>
    <w:basedOn w:val="664"/>
    <w:next w:val="664"/>
    <w:link w:val="718"/>
    <w:uiPriority w:val="10"/>
    <w:qFormat/>
    <w:pPr>
      <w:contextualSpacing/>
      <w:spacing w:before="300" w:after="200"/>
    </w:pPr>
    <w:rPr>
      <w:sz w:val="48"/>
      <w:szCs w:val="48"/>
    </w:rPr>
  </w:style>
  <w:style w:type="paragraph" w:styleId="699">
    <w:name w:val="Body Text First Indent 2"/>
    <w:basedOn w:val="680"/>
    <w:next w:val="664"/>
    <w:uiPriority w:val="0"/>
    <w:qFormat/>
    <w:pPr>
      <w:ind w:left="0" w:firstLine="420"/>
      <w:spacing w:after="0" w:line="360" w:lineRule="auto"/>
    </w:pPr>
    <w:rPr>
      <w:rFonts w:ascii="宋体" w:hAnsi="宋体" w:eastAsia="宋体" w:cs="Times New Roman"/>
      <w:szCs w:val="20"/>
    </w:rPr>
  </w:style>
  <w:style w:type="table" w:styleId="7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Strong"/>
    <w:uiPriority w:val="0"/>
    <w:qFormat/>
    <w:rPr>
      <w:b/>
    </w:rPr>
  </w:style>
  <w:style w:type="character" w:styleId="702">
    <w:name w:val="endnote reference"/>
    <w:uiPriority w:val="99"/>
    <w:semiHidden/>
    <w:unhideWhenUsed/>
    <w:qFormat/>
    <w:rPr>
      <w:vertAlign w:val="superscript"/>
    </w:rPr>
  </w:style>
  <w:style w:type="character" w:styleId="703">
    <w:name w:val="Emphasis"/>
    <w:uiPriority w:val="0"/>
    <w:qFormat/>
    <w:rPr>
      <w:b/>
      <w:i/>
      <w:spacing w:val="10"/>
      <w:shd w:val="clear" w:color="auto" w:fill="auto"/>
    </w:rPr>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footnote reference"/>
    <w:uiPriority w:val="99"/>
    <w:unhideWhenUsed/>
    <w:qFormat/>
    <w:rPr>
      <w:vertAlign w:val="superscript"/>
    </w:rPr>
  </w:style>
  <w:style w:type="paragraph" w:styleId="706" w:customStyle="1">
    <w:name w:val="正文1"/>
    <w:next w:val="664"/>
    <w:uiPriority w:val="99"/>
    <w:qFormat/>
    <w:pPr>
      <w:jc w:val="both"/>
      <w:widowControl w:val="off"/>
    </w:pPr>
    <w:rPr>
      <w:rFonts w:ascii="Calibri" w:hAnsi="Calibri" w:eastAsia="宋体" w:cs="Times New Roman"/>
      <w:sz w:val="21"/>
      <w:szCs w:val="22"/>
      <w:lang w:val="en-US" w:eastAsia="zh-CN" w:bidi="ar-SA"/>
    </w:rPr>
  </w:style>
  <w:style w:type="character" w:styleId="707" w:customStyle="1">
    <w:name w:val="Heading 1 Char"/>
    <w:link w:val="665"/>
    <w:uiPriority w:val="9"/>
    <w:qFormat/>
    <w:rPr>
      <w:rFonts w:ascii="Arial" w:hAnsi="Arial" w:eastAsia="Arial" w:cs="Arial"/>
      <w:sz w:val="40"/>
      <w:szCs w:val="40"/>
    </w:rPr>
  </w:style>
  <w:style w:type="character" w:styleId="708" w:customStyle="1">
    <w:name w:val="Heading 2 Char"/>
    <w:link w:val="666"/>
    <w:uiPriority w:val="9"/>
    <w:qFormat/>
    <w:rPr>
      <w:rFonts w:ascii="Arial" w:hAnsi="Arial" w:eastAsia="Arial" w:cs="Arial"/>
      <w:sz w:val="34"/>
    </w:rPr>
  </w:style>
  <w:style w:type="character" w:styleId="709" w:customStyle="1">
    <w:name w:val="Heading 3 Char"/>
    <w:link w:val="667"/>
    <w:uiPriority w:val="9"/>
    <w:qFormat/>
    <w:rPr>
      <w:rFonts w:ascii="Arial" w:hAnsi="Arial" w:eastAsia="Arial" w:cs="Arial"/>
      <w:sz w:val="30"/>
      <w:szCs w:val="30"/>
    </w:rPr>
  </w:style>
  <w:style w:type="character" w:styleId="710" w:customStyle="1">
    <w:name w:val="Heading 4 Char"/>
    <w:link w:val="668"/>
    <w:uiPriority w:val="9"/>
    <w:qFormat/>
    <w:rPr>
      <w:rFonts w:ascii="Arial" w:hAnsi="Arial" w:eastAsia="Arial" w:cs="Arial"/>
      <w:b/>
      <w:bCs/>
      <w:sz w:val="26"/>
      <w:szCs w:val="26"/>
    </w:rPr>
  </w:style>
  <w:style w:type="character" w:styleId="711" w:customStyle="1">
    <w:name w:val="Heading 5 Char"/>
    <w:link w:val="669"/>
    <w:uiPriority w:val="9"/>
    <w:qFormat/>
    <w:rPr>
      <w:rFonts w:ascii="Arial" w:hAnsi="Arial" w:eastAsia="Arial" w:cs="Arial"/>
      <w:b/>
      <w:bCs/>
      <w:sz w:val="24"/>
      <w:szCs w:val="24"/>
    </w:rPr>
  </w:style>
  <w:style w:type="character" w:styleId="712" w:customStyle="1">
    <w:name w:val="Heading 6 Char"/>
    <w:link w:val="670"/>
    <w:uiPriority w:val="9"/>
    <w:qFormat/>
    <w:rPr>
      <w:rFonts w:ascii="Arial" w:hAnsi="Arial" w:eastAsia="Arial" w:cs="Arial"/>
      <w:b/>
      <w:bCs/>
      <w:sz w:val="22"/>
      <w:szCs w:val="22"/>
    </w:rPr>
  </w:style>
  <w:style w:type="character" w:styleId="713" w:customStyle="1">
    <w:name w:val="Heading 7 Char"/>
    <w:link w:val="671"/>
    <w:uiPriority w:val="9"/>
    <w:qFormat/>
    <w:rPr>
      <w:rFonts w:ascii="Arial" w:hAnsi="Arial" w:eastAsia="Arial" w:cs="Arial"/>
      <w:b/>
      <w:bCs/>
      <w:i/>
      <w:iCs/>
      <w:sz w:val="22"/>
      <w:szCs w:val="22"/>
    </w:rPr>
  </w:style>
  <w:style w:type="character" w:styleId="714" w:customStyle="1">
    <w:name w:val="Heading 8 Char"/>
    <w:link w:val="672"/>
    <w:uiPriority w:val="9"/>
    <w:qFormat/>
    <w:rPr>
      <w:rFonts w:ascii="Arial" w:hAnsi="Arial" w:eastAsia="Arial" w:cs="Arial"/>
      <w:i/>
      <w:iCs/>
      <w:sz w:val="22"/>
      <w:szCs w:val="22"/>
    </w:rPr>
  </w:style>
  <w:style w:type="character" w:styleId="715" w:customStyle="1">
    <w:name w:val="Heading 9 Char"/>
    <w:link w:val="673"/>
    <w:uiPriority w:val="9"/>
    <w:qFormat/>
    <w:rPr>
      <w:rFonts w:ascii="Arial" w:hAnsi="Arial" w:eastAsia="Arial" w:cs="Arial"/>
      <w:i/>
      <w:iCs/>
      <w:sz w:val="21"/>
      <w:szCs w:val="21"/>
    </w:rPr>
  </w:style>
  <w:style w:type="paragraph" w:styleId="716">
    <w:name w:val="List Paragraph"/>
    <w:basedOn w:val="664"/>
    <w:uiPriority w:val="34"/>
    <w:qFormat/>
    <w:pPr>
      <w:contextualSpacing/>
      <w:ind w:left="720"/>
    </w:pPr>
  </w:style>
  <w:style w:type="paragraph" w:styleId="717">
    <w:name w:val="No Spacing"/>
    <w:uiPriority w:val="1"/>
    <w:qFormat/>
    <w:pPr>
      <w:spacing w:before="0" w:after="0" w:line="240" w:lineRule="auto"/>
    </w:pPr>
    <w:rPr>
      <w:rFonts w:hint="default" w:ascii="Times New Roman" w:hAnsi="Times New Roman" w:eastAsia="宋体" w:cs="Times New Roman"/>
    </w:rPr>
  </w:style>
  <w:style w:type="character" w:styleId="718" w:customStyle="1">
    <w:name w:val="Title Char"/>
    <w:link w:val="698"/>
    <w:uiPriority w:val="10"/>
    <w:qFormat/>
    <w:rPr>
      <w:sz w:val="48"/>
      <w:szCs w:val="48"/>
    </w:rPr>
  </w:style>
  <w:style w:type="character" w:styleId="719" w:customStyle="1">
    <w:name w:val="Subtitle Char"/>
    <w:link w:val="691"/>
    <w:uiPriority w:val="11"/>
    <w:qFormat/>
    <w:rPr>
      <w:sz w:val="24"/>
      <w:szCs w:val="24"/>
    </w:rPr>
  </w:style>
  <w:style w:type="paragraph" w:styleId="720">
    <w:name w:val="Quote"/>
    <w:basedOn w:val="664"/>
    <w:next w:val="664"/>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64"/>
    <w:next w:val="66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character" w:styleId="724" w:customStyle="1">
    <w:name w:val="Header Char"/>
    <w:link w:val="688"/>
    <w:uiPriority w:val="99"/>
    <w:qFormat/>
  </w:style>
  <w:style w:type="character" w:styleId="725" w:customStyle="1">
    <w:name w:val="Footer Char"/>
    <w:link w:val="687"/>
    <w:uiPriority w:val="99"/>
    <w:qFormat/>
  </w:style>
  <w:style w:type="character" w:styleId="726" w:customStyle="1">
    <w:name w:val="Caption Char"/>
    <w:link w:val="687"/>
    <w:uiPriority w:val="99"/>
    <w:qFormat/>
  </w:style>
  <w:style w:type="table" w:styleId="7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Footnote Text Char"/>
    <w:link w:val="692"/>
    <w:uiPriority w:val="99"/>
    <w:qFormat/>
    <w:rPr>
      <w:sz w:val="18"/>
    </w:rPr>
  </w:style>
  <w:style w:type="character" w:styleId="853" w:customStyle="1">
    <w:name w:val="Endnote Text Char"/>
    <w:link w:val="686"/>
    <w:uiPriority w:val="99"/>
    <w:qFormat/>
    <w:rPr>
      <w:sz w:val="20"/>
    </w:rPr>
  </w:style>
  <w:style w:type="paragraph" w:styleId="854" w:customStyle="1">
    <w:name w:val="TOC Heading"/>
    <w:uiPriority w:val="39"/>
    <w:unhideWhenUsed/>
    <w:qFormat/>
    <w:rPr>
      <w:rFonts w:hint="default" w:ascii="Times New Roman" w:hAnsi="Times New Roman" w:eastAsia="宋体" w:cs="Times New Roman"/>
    </w:rPr>
  </w:style>
  <w:style w:type="paragraph" w:styleId="855" w:customStyle="1">
    <w:name w:val="标题 11"/>
    <w:basedOn w:val="664"/>
    <w:next w:val="664"/>
    <w:link w:val="867"/>
    <w:uiPriority w:val="0"/>
    <w:qFormat/>
    <w:pPr>
      <w:jc w:val="center"/>
      <w:keepNext/>
      <w:outlineLvl w:val="0"/>
    </w:pPr>
    <w:rPr>
      <w:rFonts w:ascii="楷体_GB2312" w:hAnsi="Times New Roman" w:eastAsia="楷体_GB2312" w:cs="Times New Roman"/>
      <w:sz w:val="28"/>
      <w:szCs w:val="28"/>
    </w:rPr>
  </w:style>
  <w:style w:type="paragraph" w:styleId="856" w:customStyle="1">
    <w:name w:val="标题 21"/>
    <w:basedOn w:val="664"/>
    <w:next w:val="857"/>
    <w:link w:val="8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7" w:customStyle="1">
    <w:name w:val="正文缩进1"/>
    <w:basedOn w:val="664"/>
    <w:link w:val="869"/>
    <w:uiPriority w:val="0"/>
    <w:qFormat/>
    <w:pPr>
      <w:ind w:firstLine="420"/>
    </w:pPr>
    <w:rPr>
      <w:szCs w:val="21"/>
    </w:rPr>
  </w:style>
  <w:style w:type="paragraph" w:styleId="858" w:customStyle="1">
    <w:name w:val="标题 31"/>
    <w:basedOn w:val="664"/>
    <w:next w:val="857"/>
    <w:link w:val="87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9" w:customStyle="1">
    <w:name w:val="标题 41"/>
    <w:basedOn w:val="664"/>
    <w:next w:val="664"/>
    <w:link w:val="871"/>
    <w:uiPriority w:val="0"/>
    <w:qFormat/>
    <w:pPr>
      <w:keepLines/>
      <w:keepNext/>
      <w:spacing w:before="280" w:after="290" w:line="376" w:lineRule="auto"/>
      <w:outlineLvl w:val="3"/>
    </w:pPr>
    <w:rPr>
      <w:rFonts w:ascii="Arial" w:hAnsi="Arial" w:eastAsia="黑体" w:cs="Arial"/>
      <w:b/>
      <w:bCs/>
      <w:sz w:val="28"/>
      <w:szCs w:val="28"/>
    </w:rPr>
  </w:style>
  <w:style w:type="paragraph" w:styleId="860" w:customStyle="1">
    <w:name w:val="标题 51"/>
    <w:basedOn w:val="664"/>
    <w:next w:val="857"/>
    <w:link w:val="872"/>
    <w:uiPriority w:val="0"/>
    <w:qFormat/>
    <w:pPr>
      <w:keepNext/>
      <w:outlineLvl w:val="4"/>
    </w:pPr>
    <w:rPr>
      <w:rFonts w:ascii="宋体" w:hAnsi="Times New Roman" w:eastAsia="宋体" w:cs="Times New Roman"/>
      <w:color w:val="000000"/>
      <w:sz w:val="28"/>
      <w:szCs w:val="28"/>
    </w:rPr>
  </w:style>
  <w:style w:type="paragraph" w:styleId="861" w:customStyle="1">
    <w:name w:val="标题 61"/>
    <w:basedOn w:val="664"/>
    <w:next w:val="664"/>
    <w:link w:val="87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2" w:customStyle="1">
    <w:name w:val="标题 71"/>
    <w:basedOn w:val="664"/>
    <w:next w:val="664"/>
    <w:link w:val="87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3" w:customStyle="1">
    <w:name w:val="标题 81"/>
    <w:basedOn w:val="664"/>
    <w:next w:val="664"/>
    <w:link w:val="87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4" w:customStyle="1">
    <w:name w:val="标题 91"/>
    <w:basedOn w:val="664"/>
    <w:next w:val="664"/>
    <w:link w:val="87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5" w:customStyle="1">
    <w:name w:val="默认段落字体1"/>
    <w:link w:val="664"/>
    <w:uiPriority w:val="1"/>
    <w:unhideWhenUsed/>
    <w:qFormat/>
  </w:style>
  <w:style w:type="table" w:styleId="866"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67" w:customStyle="1">
    <w:name w:val="标题 1 字符"/>
    <w:link w:val="855"/>
    <w:uiPriority w:val="0"/>
    <w:qFormat/>
    <w:rPr>
      <w:rFonts w:ascii="楷体_GB2312" w:hAnsi="Times New Roman" w:eastAsia="楷体_GB2312" w:cs="Times New Roman"/>
      <w:sz w:val="28"/>
      <w:szCs w:val="28"/>
    </w:rPr>
  </w:style>
  <w:style w:type="character" w:styleId="868" w:customStyle="1">
    <w:name w:val="标题 2 字符"/>
    <w:link w:val="856"/>
    <w:uiPriority w:val="0"/>
    <w:qFormat/>
    <w:rPr>
      <w:rFonts w:ascii="Arial" w:hAnsi="Arial" w:eastAsia="幼圆" w:cs="Arial"/>
      <w:b/>
      <w:bCs/>
      <w:sz w:val="44"/>
      <w:szCs w:val="44"/>
    </w:rPr>
  </w:style>
  <w:style w:type="character" w:styleId="869" w:customStyle="1">
    <w:name w:val="正文缩进 字符"/>
    <w:link w:val="857"/>
    <w:uiPriority w:val="0"/>
    <w:qFormat/>
    <w:rPr>
      <w:szCs w:val="21"/>
    </w:rPr>
  </w:style>
  <w:style w:type="character" w:styleId="870" w:customStyle="1">
    <w:name w:val="标题 3 字符"/>
    <w:link w:val="858"/>
    <w:uiPriority w:val="0"/>
    <w:qFormat/>
    <w:rPr>
      <w:rFonts w:ascii="Times New Roman" w:hAnsi="Times New Roman" w:eastAsia="宋体" w:cs="Times New Roman"/>
      <w:b/>
      <w:bCs/>
      <w:sz w:val="32"/>
      <w:szCs w:val="32"/>
    </w:rPr>
  </w:style>
  <w:style w:type="character" w:styleId="871" w:customStyle="1">
    <w:name w:val="标题 4 字符"/>
    <w:link w:val="859"/>
    <w:uiPriority w:val="0"/>
    <w:qFormat/>
    <w:rPr>
      <w:rFonts w:ascii="Arial" w:hAnsi="Arial" w:eastAsia="黑体" w:cs="Arial"/>
      <w:b/>
      <w:bCs/>
      <w:sz w:val="28"/>
      <w:szCs w:val="28"/>
    </w:rPr>
  </w:style>
  <w:style w:type="character" w:styleId="872" w:customStyle="1">
    <w:name w:val="标题 5 字符"/>
    <w:link w:val="860"/>
    <w:uiPriority w:val="0"/>
    <w:qFormat/>
    <w:rPr>
      <w:rFonts w:ascii="宋体" w:hAnsi="Times New Roman" w:eastAsia="宋体" w:cs="Times New Roman"/>
      <w:color w:val="000000"/>
      <w:sz w:val="28"/>
      <w:szCs w:val="28"/>
    </w:rPr>
  </w:style>
  <w:style w:type="character" w:styleId="873" w:customStyle="1">
    <w:name w:val="标题 6 字符"/>
    <w:link w:val="861"/>
    <w:uiPriority w:val="0"/>
    <w:qFormat/>
    <w:rPr>
      <w:rFonts w:ascii="Arial" w:hAnsi="Arial" w:eastAsia="黑体" w:cs="Times New Roman"/>
      <w:b/>
      <w:bCs/>
      <w:sz w:val="24"/>
      <w:szCs w:val="24"/>
    </w:rPr>
  </w:style>
  <w:style w:type="character" w:styleId="874" w:customStyle="1">
    <w:name w:val="标题 7 字符"/>
    <w:link w:val="862"/>
    <w:uiPriority w:val="0"/>
    <w:qFormat/>
    <w:rPr>
      <w:rFonts w:ascii="Times New Roman" w:hAnsi="Times New Roman" w:eastAsia="宋体" w:cs="Times New Roman"/>
      <w:b/>
      <w:bCs/>
      <w:sz w:val="24"/>
      <w:szCs w:val="24"/>
    </w:rPr>
  </w:style>
  <w:style w:type="character" w:styleId="875" w:customStyle="1">
    <w:name w:val="标题 8 字符"/>
    <w:link w:val="863"/>
    <w:uiPriority w:val="0"/>
    <w:qFormat/>
    <w:rPr>
      <w:rFonts w:ascii="Arial" w:hAnsi="Arial" w:eastAsia="黑体" w:cs="Times New Roman"/>
      <w:sz w:val="24"/>
      <w:szCs w:val="24"/>
    </w:rPr>
  </w:style>
  <w:style w:type="character" w:styleId="876" w:customStyle="1">
    <w:name w:val="标题 9 字符"/>
    <w:link w:val="864"/>
    <w:uiPriority w:val="0"/>
    <w:qFormat/>
    <w:rPr>
      <w:rFonts w:ascii="Arial" w:hAnsi="Arial" w:eastAsia="黑体" w:cs="Times New Roman"/>
      <w:szCs w:val="21"/>
    </w:rPr>
  </w:style>
  <w:style w:type="paragraph" w:styleId="877" w:customStyle="1">
    <w:name w:val="列表 31"/>
    <w:basedOn w:val="664"/>
    <w:uiPriority w:val="0"/>
    <w:qFormat/>
    <w:pPr>
      <w:ind w:left="100" w:hanging="200"/>
    </w:pPr>
    <w:rPr>
      <w:rFonts w:ascii="Times New Roman" w:hAnsi="Times New Roman" w:eastAsia="宋体" w:cs="Times New Roman"/>
      <w:szCs w:val="21"/>
    </w:rPr>
  </w:style>
  <w:style w:type="paragraph" w:styleId="878" w:customStyle="1">
    <w:name w:val="目录 71"/>
    <w:basedOn w:val="664"/>
    <w:next w:val="664"/>
    <w:uiPriority w:val="0"/>
    <w:semiHidden/>
    <w:qFormat/>
    <w:pPr>
      <w:ind w:left="1260"/>
      <w:jc w:val="left"/>
    </w:pPr>
    <w:rPr>
      <w:rFonts w:ascii="Times New Roman" w:hAnsi="Times New Roman" w:eastAsia="宋体" w:cs="Times New Roman"/>
      <w:szCs w:val="21"/>
    </w:rPr>
  </w:style>
  <w:style w:type="paragraph" w:styleId="879" w:customStyle="1">
    <w:name w:val="文档结构图1"/>
    <w:basedOn w:val="664"/>
    <w:link w:val="880"/>
    <w:uiPriority w:val="0"/>
    <w:semiHidden/>
    <w:qFormat/>
    <w:pPr>
      <w:shd w:val="clear" w:color="auto" w:fill="000080"/>
    </w:pPr>
    <w:rPr>
      <w:rFonts w:ascii="Times New Roman" w:hAnsi="Times New Roman" w:eastAsia="宋体" w:cs="Times New Roman"/>
      <w:szCs w:val="21"/>
    </w:rPr>
  </w:style>
  <w:style w:type="character" w:styleId="880" w:customStyle="1">
    <w:name w:val="文档结构图 字符"/>
    <w:link w:val="879"/>
    <w:uiPriority w:val="0"/>
    <w:semiHidden/>
    <w:qFormat/>
    <w:rPr>
      <w:rFonts w:ascii="Times New Roman" w:hAnsi="Times New Roman" w:eastAsia="宋体" w:cs="Times New Roman"/>
      <w:szCs w:val="21"/>
      <w:shd w:val="clear" w:color="auto" w:fill="000080"/>
    </w:rPr>
  </w:style>
  <w:style w:type="paragraph" w:styleId="881" w:customStyle="1">
    <w:name w:val="批注文字1"/>
    <w:basedOn w:val="664"/>
    <w:link w:val="882"/>
    <w:uiPriority w:val="0"/>
    <w:unhideWhenUsed/>
    <w:qFormat/>
    <w:pPr>
      <w:jc w:val="left"/>
    </w:pPr>
  </w:style>
  <w:style w:type="character" w:styleId="882" w:customStyle="1">
    <w:name w:val="批注文字 字符"/>
    <w:link w:val="881"/>
    <w:uiPriority w:val="99"/>
    <w:semiHidden/>
    <w:qFormat/>
  </w:style>
  <w:style w:type="paragraph" w:styleId="883" w:customStyle="1">
    <w:name w:val="正文文本 31"/>
    <w:basedOn w:val="664"/>
    <w:link w:val="884"/>
    <w:uiPriority w:val="0"/>
    <w:qFormat/>
    <w:rPr>
      <w:rFonts w:ascii="仿宋_GB2312" w:hAnsi="Arial" w:eastAsia="仿宋_GB2312" w:cs="Times New Roman"/>
      <w:sz w:val="32"/>
      <w:szCs w:val="32"/>
    </w:rPr>
  </w:style>
  <w:style w:type="character" w:styleId="884" w:customStyle="1">
    <w:name w:val="正文文本 3 字符"/>
    <w:link w:val="883"/>
    <w:uiPriority w:val="0"/>
    <w:qFormat/>
    <w:rPr>
      <w:rFonts w:ascii="仿宋_GB2312" w:hAnsi="Arial" w:eastAsia="仿宋_GB2312" w:cs="Times New Roman"/>
      <w:sz w:val="32"/>
      <w:szCs w:val="32"/>
    </w:rPr>
  </w:style>
  <w:style w:type="paragraph" w:styleId="885" w:customStyle="1">
    <w:name w:val="正文文本11"/>
    <w:basedOn w:val="664"/>
    <w:link w:val="886"/>
    <w:uiPriority w:val="0"/>
    <w:qFormat/>
    <w:rPr>
      <w:rFonts w:ascii="楷体_GB2312" w:hAnsi="Arial" w:eastAsia="楷体_GB2312" w:cs="Times New Roman"/>
      <w:sz w:val="28"/>
      <w:szCs w:val="28"/>
    </w:rPr>
  </w:style>
  <w:style w:type="character" w:styleId="886" w:customStyle="1">
    <w:name w:val="正文文本 字符"/>
    <w:link w:val="885"/>
    <w:uiPriority w:val="0"/>
    <w:qFormat/>
    <w:rPr>
      <w:rFonts w:ascii="楷体_GB2312" w:hAnsi="Arial" w:eastAsia="楷体_GB2312" w:cs="Times New Roman"/>
      <w:sz w:val="28"/>
      <w:szCs w:val="28"/>
    </w:rPr>
  </w:style>
  <w:style w:type="paragraph" w:styleId="887" w:customStyle="1">
    <w:name w:val="正文文本缩进11"/>
    <w:basedOn w:val="664"/>
    <w:next w:val="888"/>
    <w:link w:val="889"/>
    <w:uiPriority w:val="0"/>
    <w:unhideWhenUsed/>
    <w:qFormat/>
    <w:pPr>
      <w:ind w:left="420"/>
      <w:spacing w:after="120"/>
    </w:pPr>
  </w:style>
  <w:style w:type="paragraph" w:styleId="888" w:customStyle="1">
    <w:name w:val="寄信人地址1"/>
    <w:basedOn w:val="664"/>
    <w:uiPriority w:val="0"/>
    <w:qFormat/>
    <w:rPr>
      <w:rFonts w:ascii="Arial" w:hAnsi="Arial" w:eastAsia="宋体" w:cs="宋体"/>
    </w:rPr>
  </w:style>
  <w:style w:type="character" w:styleId="889" w:customStyle="1">
    <w:name w:val="正文文本缩进 字符"/>
    <w:link w:val="887"/>
    <w:uiPriority w:val="99"/>
    <w:semiHidden/>
    <w:qFormat/>
  </w:style>
  <w:style w:type="paragraph" w:styleId="890" w:customStyle="1">
    <w:name w:val="列表 21"/>
    <w:basedOn w:val="664"/>
    <w:uiPriority w:val="0"/>
    <w:qFormat/>
    <w:pPr>
      <w:ind w:left="100" w:hanging="200"/>
    </w:pPr>
    <w:rPr>
      <w:rFonts w:ascii="Times New Roman" w:hAnsi="Times New Roman" w:eastAsia="宋体" w:cs="Times New Roman"/>
      <w:szCs w:val="21"/>
    </w:rPr>
  </w:style>
  <w:style w:type="paragraph" w:styleId="891" w:customStyle="1">
    <w:name w:val="索引 411"/>
    <w:basedOn w:val="664"/>
    <w:next w:val="664"/>
    <w:uiPriority w:val="0"/>
    <w:semiHidden/>
    <w:qFormat/>
    <w:pPr>
      <w:ind w:left="1260"/>
    </w:pPr>
    <w:rPr>
      <w:rFonts w:ascii="Calibri" w:hAnsi="Calibri" w:eastAsia="Calibri" w:cs="宋体"/>
      <w:sz w:val="20"/>
      <w:lang w:val="zh-CN"/>
    </w:rPr>
  </w:style>
  <w:style w:type="paragraph" w:styleId="892" w:customStyle="1">
    <w:name w:val="目录 51"/>
    <w:basedOn w:val="664"/>
    <w:next w:val="664"/>
    <w:uiPriority w:val="0"/>
    <w:semiHidden/>
    <w:qFormat/>
    <w:pPr>
      <w:ind w:left="840"/>
      <w:jc w:val="left"/>
    </w:pPr>
    <w:rPr>
      <w:rFonts w:ascii="Times New Roman" w:hAnsi="Times New Roman" w:eastAsia="宋体" w:cs="Times New Roman"/>
      <w:szCs w:val="21"/>
    </w:rPr>
  </w:style>
  <w:style w:type="paragraph" w:styleId="893" w:customStyle="1">
    <w:name w:val="目录 31"/>
    <w:basedOn w:val="664"/>
    <w:next w:val="664"/>
    <w:uiPriority w:val="0"/>
    <w:semiHidden/>
    <w:qFormat/>
    <w:pPr>
      <w:ind w:left="420"/>
      <w:jc w:val="left"/>
    </w:pPr>
    <w:rPr>
      <w:rFonts w:ascii="Times New Roman" w:hAnsi="Times New Roman" w:eastAsia="宋体" w:cs="Times New Roman"/>
      <w:i/>
      <w:iCs/>
      <w:szCs w:val="24"/>
    </w:rPr>
  </w:style>
  <w:style w:type="paragraph" w:styleId="894" w:customStyle="1">
    <w:name w:val="纯文本11"/>
    <w:basedOn w:val="664"/>
    <w:link w:val="895"/>
    <w:uiPriority w:val="0"/>
    <w:qFormat/>
    <w:rPr>
      <w:rFonts w:ascii="宋体" w:hAnsi="Courier New" w:eastAsia="宋体" w:cs="Courier New"/>
      <w:szCs w:val="21"/>
    </w:rPr>
  </w:style>
  <w:style w:type="character" w:styleId="895" w:customStyle="1">
    <w:name w:val="纯文本 字符"/>
    <w:link w:val="894"/>
    <w:uiPriority w:val="0"/>
    <w:qFormat/>
    <w:rPr>
      <w:rFonts w:ascii="宋体" w:hAnsi="Courier New" w:eastAsia="宋体" w:cs="Courier New"/>
      <w:szCs w:val="21"/>
    </w:rPr>
  </w:style>
  <w:style w:type="paragraph" w:styleId="896" w:customStyle="1">
    <w:name w:val="目录 81"/>
    <w:basedOn w:val="664"/>
    <w:next w:val="664"/>
    <w:uiPriority w:val="0"/>
    <w:semiHidden/>
    <w:qFormat/>
    <w:pPr>
      <w:ind w:left="1470"/>
      <w:jc w:val="left"/>
    </w:pPr>
    <w:rPr>
      <w:rFonts w:ascii="Times New Roman" w:hAnsi="Times New Roman" w:eastAsia="宋体" w:cs="Times New Roman"/>
      <w:szCs w:val="21"/>
    </w:rPr>
  </w:style>
  <w:style w:type="paragraph" w:styleId="897" w:customStyle="1">
    <w:name w:val="日期1"/>
    <w:basedOn w:val="664"/>
    <w:next w:val="664"/>
    <w:link w:val="898"/>
    <w:uiPriority w:val="0"/>
    <w:qFormat/>
    <w:rPr>
      <w:rFonts w:ascii="Times New Roman" w:hAnsi="Times New Roman" w:eastAsia="宋体" w:cs="Times New Roman"/>
      <w:sz w:val="24"/>
      <w:szCs w:val="24"/>
    </w:rPr>
  </w:style>
  <w:style w:type="character" w:styleId="898" w:customStyle="1">
    <w:name w:val="日期 字符"/>
    <w:link w:val="897"/>
    <w:uiPriority w:val="0"/>
    <w:qFormat/>
    <w:rPr>
      <w:rFonts w:ascii="Times New Roman" w:hAnsi="Times New Roman" w:eastAsia="宋体" w:cs="Times New Roman"/>
      <w:sz w:val="24"/>
      <w:szCs w:val="24"/>
    </w:rPr>
  </w:style>
  <w:style w:type="paragraph" w:styleId="899" w:customStyle="1">
    <w:name w:val="正文文本缩进 21"/>
    <w:basedOn w:val="664"/>
    <w:link w:val="900"/>
    <w:uiPriority w:val="0"/>
    <w:qFormat/>
    <w:pPr>
      <w:ind w:left="630" w:firstLine="645"/>
    </w:pPr>
    <w:rPr>
      <w:rFonts w:ascii="Arial" w:hAnsi="Arial" w:eastAsia="仿宋_GB2312" w:cs="Arial"/>
      <w:sz w:val="32"/>
      <w:szCs w:val="32"/>
    </w:rPr>
  </w:style>
  <w:style w:type="character" w:styleId="900" w:customStyle="1">
    <w:name w:val="正文文本缩进 2 字符"/>
    <w:link w:val="899"/>
    <w:uiPriority w:val="0"/>
    <w:qFormat/>
    <w:rPr>
      <w:rFonts w:ascii="Arial" w:hAnsi="Arial" w:eastAsia="仿宋_GB2312" w:cs="Arial"/>
      <w:sz w:val="32"/>
      <w:szCs w:val="32"/>
    </w:rPr>
  </w:style>
  <w:style w:type="paragraph" w:styleId="901" w:customStyle="1">
    <w:name w:val="批注框文本1"/>
    <w:basedOn w:val="664"/>
    <w:link w:val="902"/>
    <w:uiPriority w:val="0"/>
    <w:semiHidden/>
    <w:qFormat/>
    <w:rPr>
      <w:rFonts w:ascii="Times New Roman" w:hAnsi="Times New Roman" w:eastAsia="宋体" w:cs="Times New Roman"/>
      <w:sz w:val="18"/>
      <w:szCs w:val="18"/>
    </w:rPr>
  </w:style>
  <w:style w:type="character" w:styleId="902" w:customStyle="1">
    <w:name w:val="批注框文本 字符"/>
    <w:link w:val="901"/>
    <w:uiPriority w:val="0"/>
    <w:semiHidden/>
    <w:qFormat/>
    <w:rPr>
      <w:rFonts w:ascii="Times New Roman" w:hAnsi="Times New Roman" w:eastAsia="宋体" w:cs="Times New Roman"/>
      <w:sz w:val="18"/>
      <w:szCs w:val="18"/>
    </w:rPr>
  </w:style>
  <w:style w:type="paragraph" w:styleId="903" w:customStyle="1">
    <w:name w:val="页脚1"/>
    <w:basedOn w:val="664"/>
    <w:link w:val="90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04" w:customStyle="1">
    <w:name w:val="页脚 字符"/>
    <w:link w:val="903"/>
    <w:uiPriority w:val="0"/>
    <w:qFormat/>
    <w:rPr>
      <w:rFonts w:ascii="Times New Roman" w:hAnsi="Times New Roman" w:eastAsia="宋体" w:cs="Times New Roman"/>
      <w:sz w:val="18"/>
      <w:szCs w:val="18"/>
    </w:rPr>
  </w:style>
  <w:style w:type="paragraph" w:styleId="905" w:customStyle="1">
    <w:name w:val="页眉1"/>
    <w:basedOn w:val="664"/>
    <w:link w:val="90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6" w:customStyle="1">
    <w:name w:val="页眉 字符"/>
    <w:link w:val="905"/>
    <w:uiPriority w:val="0"/>
    <w:qFormat/>
    <w:rPr>
      <w:rFonts w:ascii="Times New Roman" w:hAnsi="Times New Roman" w:eastAsia="宋体" w:cs="Times New Roman"/>
      <w:sz w:val="18"/>
      <w:szCs w:val="18"/>
    </w:rPr>
  </w:style>
  <w:style w:type="paragraph" w:styleId="907" w:customStyle="1">
    <w:name w:val="目录 11"/>
    <w:basedOn w:val="664"/>
    <w:next w:val="66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08" w:customStyle="1">
    <w:name w:val="目录 41"/>
    <w:basedOn w:val="664"/>
    <w:next w:val="664"/>
    <w:uiPriority w:val="0"/>
    <w:semiHidden/>
    <w:qFormat/>
    <w:pPr>
      <w:ind w:left="630"/>
      <w:jc w:val="left"/>
    </w:pPr>
    <w:rPr>
      <w:rFonts w:ascii="Times New Roman" w:hAnsi="Times New Roman" w:eastAsia="宋体" w:cs="Times New Roman"/>
      <w:szCs w:val="21"/>
    </w:rPr>
  </w:style>
  <w:style w:type="paragraph" w:styleId="909" w:customStyle="1">
    <w:name w:val="列表1"/>
    <w:basedOn w:val="664"/>
    <w:uiPriority w:val="0"/>
    <w:qFormat/>
    <w:pPr>
      <w:ind w:left="200" w:hanging="200"/>
    </w:pPr>
    <w:rPr>
      <w:rFonts w:ascii="Times New Roman" w:hAnsi="Times New Roman" w:eastAsia="宋体" w:cs="Times New Roman"/>
      <w:szCs w:val="21"/>
    </w:rPr>
  </w:style>
  <w:style w:type="paragraph" w:styleId="910" w:customStyle="1">
    <w:name w:val="目录 61"/>
    <w:basedOn w:val="664"/>
    <w:next w:val="664"/>
    <w:uiPriority w:val="0"/>
    <w:semiHidden/>
    <w:qFormat/>
    <w:pPr>
      <w:ind w:left="1050"/>
      <w:jc w:val="left"/>
    </w:pPr>
    <w:rPr>
      <w:rFonts w:ascii="Times New Roman" w:hAnsi="Times New Roman" w:eastAsia="宋体" w:cs="Times New Roman"/>
      <w:szCs w:val="21"/>
    </w:rPr>
  </w:style>
  <w:style w:type="paragraph" w:styleId="911" w:customStyle="1">
    <w:name w:val="正文文本缩进 31"/>
    <w:basedOn w:val="664"/>
    <w:link w:val="912"/>
    <w:uiPriority w:val="0"/>
    <w:qFormat/>
    <w:pPr>
      <w:ind w:left="645" w:firstLine="645"/>
    </w:pPr>
    <w:rPr>
      <w:rFonts w:ascii="Arial" w:hAnsi="Arial" w:eastAsia="仿宋_GB2312" w:cs="Arial"/>
      <w:color w:val="ffff00"/>
      <w:sz w:val="32"/>
      <w:szCs w:val="32"/>
    </w:rPr>
  </w:style>
  <w:style w:type="character" w:styleId="912" w:customStyle="1">
    <w:name w:val="正文文本缩进 3 字符"/>
    <w:link w:val="911"/>
    <w:uiPriority w:val="0"/>
    <w:qFormat/>
    <w:rPr>
      <w:rFonts w:ascii="Arial" w:hAnsi="Arial" w:eastAsia="仿宋_GB2312" w:cs="Arial"/>
      <w:color w:val="ffff00"/>
      <w:sz w:val="32"/>
      <w:szCs w:val="32"/>
    </w:rPr>
  </w:style>
  <w:style w:type="paragraph" w:styleId="913" w:customStyle="1">
    <w:name w:val="图表目录1"/>
    <w:basedOn w:val="664"/>
    <w:next w:val="664"/>
    <w:uiPriority w:val="0"/>
    <w:semiHidden/>
    <w:qFormat/>
    <w:pPr>
      <w:ind w:left="840" w:hanging="420"/>
    </w:pPr>
    <w:rPr>
      <w:rFonts w:ascii="Times New Roman" w:hAnsi="Times New Roman" w:eastAsia="宋体" w:cs="Times New Roman"/>
      <w:szCs w:val="21"/>
    </w:rPr>
  </w:style>
  <w:style w:type="paragraph" w:styleId="914" w:customStyle="1">
    <w:name w:val="目录 21"/>
    <w:basedOn w:val="664"/>
    <w:next w:val="664"/>
    <w:uiPriority w:val="0"/>
    <w:semiHidden/>
    <w:qFormat/>
    <w:pPr>
      <w:ind w:left="210"/>
      <w:jc w:val="left"/>
    </w:pPr>
    <w:rPr>
      <w:rFonts w:ascii="Times New Roman" w:hAnsi="Times New Roman" w:eastAsia="宋体" w:cs="Times New Roman"/>
      <w:smallCaps/>
      <w:szCs w:val="24"/>
    </w:rPr>
  </w:style>
  <w:style w:type="paragraph" w:styleId="915" w:customStyle="1">
    <w:name w:val="目录 91"/>
    <w:basedOn w:val="664"/>
    <w:next w:val="664"/>
    <w:uiPriority w:val="0"/>
    <w:semiHidden/>
    <w:qFormat/>
    <w:pPr>
      <w:ind w:left="1680"/>
      <w:jc w:val="left"/>
    </w:pPr>
    <w:rPr>
      <w:rFonts w:ascii="Times New Roman" w:hAnsi="Times New Roman" w:eastAsia="宋体" w:cs="Times New Roman"/>
      <w:szCs w:val="21"/>
    </w:rPr>
  </w:style>
  <w:style w:type="paragraph" w:styleId="916" w:customStyle="1">
    <w:name w:val="正文文本 21"/>
    <w:basedOn w:val="664"/>
    <w:link w:val="917"/>
    <w:uiPriority w:val="0"/>
    <w:qFormat/>
    <w:pPr>
      <w:jc w:val="center"/>
      <w:widowControl/>
    </w:pPr>
    <w:rPr>
      <w:rFonts w:ascii="楷体_GB2312" w:hAnsi="Times New Roman" w:eastAsia="楷体_GB2312" w:cs="Times New Roman"/>
      <w:sz w:val="28"/>
      <w:szCs w:val="28"/>
    </w:rPr>
  </w:style>
  <w:style w:type="character" w:styleId="917" w:customStyle="1">
    <w:name w:val="正文文本 2 字符"/>
    <w:link w:val="916"/>
    <w:uiPriority w:val="0"/>
    <w:qFormat/>
    <w:rPr>
      <w:rFonts w:ascii="楷体_GB2312" w:hAnsi="Times New Roman" w:eastAsia="楷体_GB2312" w:cs="Times New Roman"/>
      <w:sz w:val="28"/>
      <w:szCs w:val="28"/>
    </w:rPr>
  </w:style>
  <w:style w:type="paragraph" w:styleId="918" w:customStyle="1">
    <w:name w:val="普通(网站)1"/>
    <w:basedOn w:val="664"/>
    <w:uiPriority w:val="99"/>
    <w:qFormat/>
    <w:pPr>
      <w:jc w:val="left"/>
      <w:spacing w:before="100" w:beforeAutospacing="1" w:after="100" w:afterAutospacing="1"/>
      <w:widowControl/>
    </w:pPr>
    <w:rPr>
      <w:rFonts w:ascii="宋体" w:hAnsi="宋体" w:eastAsia="宋体" w:cs="宋体"/>
      <w:sz w:val="24"/>
      <w:szCs w:val="24"/>
    </w:rPr>
  </w:style>
  <w:style w:type="paragraph" w:styleId="919" w:customStyle="1">
    <w:name w:val="索引 11"/>
    <w:basedOn w:val="664"/>
    <w:next w:val="664"/>
    <w:uiPriority w:val="0"/>
    <w:semiHidden/>
    <w:qFormat/>
    <w:pPr>
      <w:spacing w:line="240" w:lineRule="atLeast"/>
    </w:pPr>
    <w:rPr>
      <w:rFonts w:ascii="Times New Roman" w:hAnsi="Times New Roman" w:eastAsia="宋体" w:cs="Times New Roman"/>
      <w:b/>
      <w:bCs/>
      <w:szCs w:val="21"/>
    </w:rPr>
  </w:style>
  <w:style w:type="paragraph" w:styleId="920" w:customStyle="1">
    <w:name w:val="批注主题1"/>
    <w:basedOn w:val="881"/>
    <w:next w:val="881"/>
    <w:link w:val="921"/>
    <w:uiPriority w:val="0"/>
    <w:semiHidden/>
    <w:qFormat/>
    <w:rPr>
      <w:rFonts w:ascii="Times New Roman" w:hAnsi="Times New Roman" w:eastAsia="宋体" w:cs="Times New Roman"/>
      <w:b/>
      <w:bCs/>
      <w:szCs w:val="21"/>
    </w:rPr>
  </w:style>
  <w:style w:type="character" w:styleId="921" w:customStyle="1">
    <w:name w:val="批注主题 字符"/>
    <w:link w:val="920"/>
    <w:uiPriority w:val="0"/>
    <w:semiHidden/>
    <w:qFormat/>
    <w:rPr>
      <w:rFonts w:ascii="Times New Roman" w:hAnsi="Times New Roman" w:eastAsia="宋体" w:cs="Times New Roman"/>
      <w:b/>
      <w:bCs/>
      <w:szCs w:val="21"/>
    </w:rPr>
  </w:style>
  <w:style w:type="paragraph" w:styleId="922" w:customStyle="1">
    <w:name w:val="正文首行缩进1"/>
    <w:basedOn w:val="664"/>
    <w:link w:val="923"/>
    <w:uiPriority w:val="0"/>
    <w:qFormat/>
    <w:pPr>
      <w:ind w:firstLine="200"/>
      <w:spacing w:line="360" w:lineRule="auto"/>
    </w:pPr>
    <w:rPr>
      <w:rFonts w:ascii="仿宋_GB2312" w:hAnsi="Times New Roman" w:eastAsia="仿宋_GB2312" w:cs="Times New Roman"/>
      <w:sz w:val="30"/>
      <w:szCs w:val="30"/>
    </w:rPr>
  </w:style>
  <w:style w:type="character" w:styleId="923" w:customStyle="1">
    <w:name w:val="正文文本首行缩进 字符"/>
    <w:link w:val="922"/>
    <w:uiPriority w:val="0"/>
    <w:qFormat/>
    <w:rPr>
      <w:rFonts w:ascii="仿宋_GB2312" w:hAnsi="Times New Roman" w:eastAsia="仿宋_GB2312" w:cs="Times New Roman"/>
      <w:sz w:val="30"/>
      <w:szCs w:val="30"/>
    </w:rPr>
  </w:style>
  <w:style w:type="paragraph" w:styleId="924" w:customStyle="1">
    <w:name w:val="正文首行缩进 211"/>
    <w:basedOn w:val="887"/>
    <w:next w:val="664"/>
    <w:link w:val="925"/>
    <w:uiPriority w:val="0"/>
    <w:qFormat/>
    <w:pPr>
      <w:ind w:left="0" w:firstLine="420"/>
      <w:spacing w:after="0" w:line="360" w:lineRule="auto"/>
    </w:pPr>
    <w:rPr>
      <w:rFonts w:ascii="宋体" w:hAnsi="宋体" w:eastAsia="宋体" w:cs="Times New Roman"/>
      <w:szCs w:val="20"/>
    </w:rPr>
  </w:style>
  <w:style w:type="character" w:styleId="925" w:customStyle="1">
    <w:name w:val="正文文本首行缩进 2 字符"/>
    <w:link w:val="924"/>
    <w:uiPriority w:val="0"/>
    <w:qFormat/>
    <w:rPr>
      <w:rFonts w:ascii="宋体" w:hAnsi="宋体" w:eastAsia="宋体" w:cs="Times New Roman"/>
      <w:szCs w:val="20"/>
    </w:rPr>
  </w:style>
  <w:style w:type="table" w:styleId="926" w:customStyle="1">
    <w:name w:val="网格型11"/>
    <w:basedOn w:val="866"/>
    <w:uiPriority w:val="0"/>
    <w:qFormat/>
    <w:pPr>
      <w:jc w:val="both"/>
      <w:widowControl w:val="off"/>
    </w:pPr>
    <w:rPr>
      <w:rFonts w:ascii="Times New Roman" w:hAnsi="Times New Roman" w:eastAsia="宋体" w:cs="Times New Roman"/>
      <w:sz w:val="20"/>
      <w:szCs w:val="20"/>
    </w:rPr>
    <w:tblPr/>
  </w:style>
  <w:style w:type="character" w:styleId="927" w:customStyle="1">
    <w:name w:val="要点1"/>
    <w:link w:val="664"/>
    <w:uiPriority w:val="0"/>
    <w:qFormat/>
    <w:rPr>
      <w:b/>
      <w:bCs/>
    </w:rPr>
  </w:style>
  <w:style w:type="character" w:styleId="928" w:customStyle="1">
    <w:name w:val="页码1"/>
    <w:link w:val="664"/>
    <w:uiPriority w:val="0"/>
    <w:qFormat/>
  </w:style>
  <w:style w:type="character" w:styleId="929" w:customStyle="1">
    <w:name w:val="已访问的超链接1"/>
    <w:link w:val="664"/>
    <w:uiPriority w:val="0"/>
    <w:qFormat/>
    <w:rPr>
      <w:color w:val="800080"/>
      <w:u w:val="single"/>
    </w:rPr>
  </w:style>
  <w:style w:type="character" w:styleId="930" w:customStyle="1">
    <w:name w:val="超链接1"/>
    <w:link w:val="664"/>
    <w:uiPriority w:val="0"/>
    <w:qFormat/>
    <w:rPr>
      <w:color w:val="0000ff"/>
      <w:u w:val="single"/>
    </w:rPr>
  </w:style>
  <w:style w:type="character" w:styleId="931" w:customStyle="1">
    <w:name w:val="批注引用1"/>
    <w:link w:val="664"/>
    <w:uiPriority w:val="0"/>
    <w:semiHidden/>
    <w:qFormat/>
    <w:rPr>
      <w:sz w:val="21"/>
      <w:szCs w:val="21"/>
    </w:rPr>
  </w:style>
  <w:style w:type="paragraph" w:styleId="932" w:customStyle="1">
    <w:name w:val="索引 41"/>
    <w:basedOn w:val="664"/>
    <w:next w:val="664"/>
    <w:uiPriority w:val="0"/>
    <w:semiHidden/>
    <w:qFormat/>
    <w:pPr>
      <w:ind w:left="1260"/>
    </w:pPr>
    <w:rPr>
      <w:rFonts w:ascii="Calibri" w:hAnsi="Calibri" w:eastAsia="Calibri" w:cs="宋体"/>
      <w:sz w:val="20"/>
      <w:lang w:val="zh-CN"/>
    </w:rPr>
  </w:style>
  <w:style w:type="character" w:styleId="933" w:customStyle="1">
    <w:name w:val="font5 Char"/>
    <w:link w:val="664"/>
    <w:uiPriority w:val="0"/>
    <w:qFormat/>
    <w:rPr>
      <w:rFonts w:ascii="宋体" w:hAnsi="宋体" w:eastAsia="宋体"/>
      <w:sz w:val="28"/>
      <w:szCs w:val="28"/>
      <w:lang w:val="en-US" w:eastAsia="zh-CN" w:bidi="ar-SA"/>
    </w:rPr>
  </w:style>
  <w:style w:type="character" w:styleId="934" w:customStyle="1">
    <w:name w:val="二级目录 Char"/>
    <w:link w:val="935"/>
    <w:uiPriority w:val="0"/>
    <w:qFormat/>
    <w:rPr>
      <w:b/>
      <w:sz w:val="30"/>
      <w:szCs w:val="28"/>
    </w:rPr>
  </w:style>
  <w:style w:type="paragraph" w:styleId="935" w:customStyle="1">
    <w:name w:val="二级目录"/>
    <w:next w:val="664"/>
    <w:link w:val="93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6" w:customStyle="1">
    <w:name w:val="列出段落 Char"/>
    <w:link w:val="937"/>
    <w:uiPriority w:val="0"/>
    <w:qFormat/>
    <w:rPr>
      <w:rFonts w:ascii="Calibri" w:hAnsi="Calibri"/>
      <w:sz w:val="24"/>
      <w:szCs w:val="24"/>
      <w:lang w:eastAsia="en-US" w:bidi="en-US"/>
    </w:rPr>
  </w:style>
  <w:style w:type="paragraph" w:styleId="937" w:customStyle="1">
    <w:name w:val="列出段落1"/>
    <w:basedOn w:val="664"/>
    <w:link w:val="936"/>
    <w:uiPriority w:val="0"/>
    <w:qFormat/>
    <w:pPr>
      <w:contextualSpacing/>
      <w:ind w:left="720"/>
      <w:jc w:val="left"/>
      <w:widowControl/>
    </w:pPr>
    <w:rPr>
      <w:rFonts w:ascii="Calibri" w:hAnsi="Calibri"/>
      <w:sz w:val="24"/>
      <w:szCs w:val="24"/>
      <w:lang w:eastAsia="en-US" w:bidi="en-US"/>
    </w:rPr>
  </w:style>
  <w:style w:type="paragraph" w:styleId="938" w:customStyle="1">
    <w:name w:val="Body Text(ch)"/>
    <w:basedOn w:val="664"/>
    <w:next w:val="885"/>
    <w:uiPriority w:val="0"/>
    <w:qFormat/>
    <w:pPr>
      <w:spacing w:after="120"/>
    </w:pPr>
    <w:rPr>
      <w:rFonts w:ascii="宋体" w:hAnsi="Arial" w:eastAsia="宋体" w:cs="Times New Roman"/>
      <w:bCs/>
      <w:iCs/>
      <w:szCs w:val="24"/>
    </w:rPr>
  </w:style>
  <w:style w:type="paragraph" w:styleId="939" w:customStyle="1">
    <w:name w:val="xl27"/>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0" w:customStyle="1">
    <w:name w:val="xl26"/>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1" w:customStyle="1">
    <w:name w:val="Char"/>
    <w:basedOn w:val="664"/>
    <w:uiPriority w:val="0"/>
    <w:qFormat/>
    <w:pPr>
      <w:ind w:firstLine="200"/>
      <w:tabs>
        <w:tab w:val="left" w:pos="360" w:leader="none"/>
      </w:tabs>
    </w:pPr>
    <w:rPr>
      <w:rFonts w:ascii="Times New Roman" w:hAnsi="Times New Roman" w:eastAsia="宋体" w:cs="Times New Roman"/>
      <w:sz w:val="28"/>
      <w:szCs w:val="30"/>
    </w:rPr>
  </w:style>
  <w:style w:type="paragraph" w:styleId="942" w:customStyle="1">
    <w:name w:val=" Char"/>
    <w:basedOn w:val="879"/>
    <w:uiPriority w:val="0"/>
    <w:qFormat/>
    <w:rPr>
      <w:rFonts w:ascii="Tahoma" w:hAnsi="Tahoma"/>
      <w:sz w:val="24"/>
      <w:szCs w:val="24"/>
    </w:rPr>
  </w:style>
  <w:style w:type="paragraph" w:styleId="943" w:customStyle="1">
    <w:name w:val="普通正文"/>
    <w:basedOn w:val="664"/>
    <w:uiPriority w:val="0"/>
    <w:qFormat/>
    <w:pPr>
      <w:ind w:firstLine="480"/>
      <w:jc w:val="left"/>
      <w:spacing w:before="120" w:after="120" w:line="360" w:lineRule="auto"/>
    </w:pPr>
    <w:rPr>
      <w:rFonts w:ascii="Arial" w:hAnsi="Arial" w:eastAsia="宋体" w:cs="Times New Roman"/>
      <w:sz w:val="24"/>
      <w:szCs w:val="24"/>
    </w:rPr>
  </w:style>
  <w:style w:type="paragraph" w:styleId="944" w:customStyle="1">
    <w:name w:val="table_lines"/>
    <w:basedOn w:val="664"/>
    <w:uiPriority w:val="0"/>
    <w:qFormat/>
    <w:pPr>
      <w:jc w:val="left"/>
      <w:widowControl/>
    </w:pPr>
    <w:rPr>
      <w:rFonts w:ascii="Times New Roman" w:hAnsi="Times New Roman" w:eastAsia="宋体" w:cs="Times New Roman"/>
      <w:sz w:val="20"/>
      <w:szCs w:val="20"/>
      <w:lang w:val="de-DE" w:eastAsia="de-DE"/>
    </w:rPr>
  </w:style>
  <w:style w:type="paragraph" w:styleId="94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6" w:customStyle="1">
    <w:name w:val="font7"/>
    <w:basedOn w:val="66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7" w:customStyle="1">
    <w:name w:val=" Char Char Char Char"/>
    <w:basedOn w:val="879"/>
    <w:uiPriority w:val="0"/>
    <w:qFormat/>
    <w:pPr>
      <w:spacing w:line="360" w:lineRule="auto"/>
    </w:pPr>
    <w:rPr>
      <w:rFonts w:ascii="Tahoma" w:hAnsi="Tahoma"/>
      <w:sz w:val="24"/>
      <w:szCs w:val="24"/>
    </w:rPr>
  </w:style>
  <w:style w:type="paragraph" w:styleId="948" w:customStyle="1">
    <w:name w:val="列表段落"/>
    <w:basedOn w:val="664"/>
    <w:uiPriority w:val="0"/>
    <w:qFormat/>
    <w:pPr>
      <w:contextualSpacing/>
      <w:ind w:left="720"/>
      <w:jc w:val="left"/>
      <w:widowControl/>
    </w:pPr>
    <w:rPr>
      <w:rFonts w:ascii="Calibri" w:hAnsi="Calibri" w:eastAsia="宋体" w:cs="Times New Roman"/>
      <w:sz w:val="24"/>
      <w:szCs w:val="24"/>
      <w:lang w:eastAsia="en-US" w:bidi="en-US"/>
    </w:rPr>
  </w:style>
  <w:style w:type="paragraph" w:styleId="949" w:customStyle="1">
    <w:name w:val="4"/>
    <w:basedOn w:val="664"/>
    <w:next w:val="911"/>
    <w:uiPriority w:val="0"/>
    <w:qFormat/>
    <w:pPr>
      <w:ind w:firstLine="420"/>
      <w:spacing w:line="360" w:lineRule="auto"/>
    </w:pPr>
    <w:rPr>
      <w:rFonts w:ascii="Times New Roman" w:hAnsi="Times New Roman" w:eastAsia="宋体" w:cs="Times New Roman"/>
      <w:color w:val="ff0000"/>
      <w:sz w:val="24"/>
      <w:szCs w:val="24"/>
    </w:rPr>
  </w:style>
  <w:style w:type="paragraph" w:styleId="950" w:customStyle="1">
    <w:name w:val="普通 (Web)"/>
    <w:basedOn w:val="664"/>
    <w:uiPriority w:val="0"/>
    <w:qFormat/>
    <w:pPr>
      <w:jc w:val="left"/>
      <w:spacing w:before="100" w:beforeAutospacing="1" w:after="100" w:afterAutospacing="1"/>
      <w:widowControl/>
    </w:pPr>
    <w:rPr>
      <w:rFonts w:ascii="宋体" w:hAnsi="宋体" w:eastAsia="宋体" w:cs="Times New Roman"/>
      <w:sz w:val="24"/>
      <w:szCs w:val="24"/>
    </w:rPr>
  </w:style>
  <w:style w:type="paragraph" w:styleId="951" w:customStyle="1">
    <w:name w:val=" Char Char Char Char Char Char Char Char Char Char"/>
    <w:basedOn w:val="664"/>
    <w:uiPriority w:val="0"/>
    <w:qFormat/>
    <w:pPr>
      <w:spacing w:line="360" w:lineRule="auto"/>
    </w:pPr>
    <w:rPr>
      <w:rFonts w:ascii="Times New Roman" w:hAnsi="Times New Roman" w:eastAsia="宋体" w:cs="Times New Roman"/>
      <w:sz w:val="24"/>
      <w:szCs w:val="20"/>
    </w:rPr>
  </w:style>
  <w:style w:type="paragraph" w:styleId="952" w:customStyle="1">
    <w:name w:val="样式1"/>
    <w:basedOn w:val="664"/>
    <w:uiPriority w:val="0"/>
    <w:qFormat/>
    <w:pPr>
      <w:numPr>
        <w:ilvl w:val="0"/>
        <w:numId w:val="3"/>
      </w:numPr>
    </w:pPr>
    <w:rPr>
      <w:rFonts w:ascii="宋体" w:hAnsi="宋体" w:eastAsia="宋体" w:cs="Times New Roman"/>
      <w:szCs w:val="21"/>
    </w:rPr>
  </w:style>
  <w:style w:type="paragraph" w:styleId="953" w:customStyle="1">
    <w:name w:val="font6"/>
    <w:basedOn w:val="66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4" w:customStyle="1">
    <w:name w:val="xl25"/>
    <w:basedOn w:val="6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图标"/>
    <w:basedOn w:val="664"/>
    <w:next w:val="66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6" w:customStyle="1">
    <w:name w:val="标题3"/>
    <w:basedOn w:val="664"/>
    <w:next w:val="664"/>
    <w:uiPriority w:val="0"/>
    <w:qFormat/>
    <w:pPr>
      <w:ind w:firstLine="624"/>
      <w:spacing w:line="590" w:lineRule="atLeast"/>
    </w:pPr>
    <w:rPr>
      <w:rFonts w:ascii="方正黑体_GBK" w:hAnsi="Times New Roman" w:eastAsia="方正黑体_GBK" w:cs="Times New Roman"/>
      <w:sz w:val="32"/>
      <w:szCs w:val="32"/>
    </w:rPr>
  </w:style>
  <w:style w:type="paragraph" w:styleId="957" w:customStyle="1">
    <w:name w:val="xl24"/>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customStyle="1">
    <w:name w:val="xl29"/>
    <w:basedOn w:val="66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9" w:customStyle="1">
    <w:name w:val="Char Char Char Char Char Char Char Char"/>
    <w:basedOn w:val="664"/>
    <w:uiPriority w:val="0"/>
    <w:qFormat/>
    <w:pPr>
      <w:jc w:val="left"/>
      <w:spacing w:after="160" w:line="240" w:lineRule="exact"/>
      <w:widowControl/>
    </w:pPr>
    <w:rPr>
      <w:rFonts w:ascii="Verdana" w:hAnsi="Verdana" w:eastAsia="宋体" w:cs="Times New Roman"/>
      <w:sz w:val="20"/>
      <w:szCs w:val="20"/>
      <w:lang w:eastAsia="en-US"/>
    </w:rPr>
  </w:style>
  <w:style w:type="paragraph" w:styleId="960" w:customStyle="1">
    <w:name w:val="xl28"/>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1" w:customStyle="1">
    <w:name w:val=" Char Char Char Char Char Char Char Char"/>
    <w:basedOn w:val="664"/>
    <w:uiPriority w:val="0"/>
    <w:qFormat/>
    <w:pPr>
      <w:jc w:val="left"/>
      <w:spacing w:after="160" w:line="240" w:lineRule="exact"/>
      <w:widowControl/>
    </w:pPr>
    <w:rPr>
      <w:rFonts w:ascii="Verdana" w:hAnsi="Verdana" w:eastAsia="宋体" w:cs="Times New Roman"/>
      <w:sz w:val="20"/>
      <w:szCs w:val="20"/>
      <w:lang w:eastAsia="en-US"/>
    </w:rPr>
  </w:style>
  <w:style w:type="paragraph" w:styleId="962" w:customStyle="1">
    <w:name w:val="xl30"/>
    <w:basedOn w:val="66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63" w:customStyle="1">
    <w:name w:val="Char Char Char Char"/>
    <w:basedOn w:val="879"/>
    <w:uiPriority w:val="0"/>
    <w:qFormat/>
    <w:pPr>
      <w:spacing w:line="360" w:lineRule="auto"/>
    </w:pPr>
    <w:rPr>
      <w:rFonts w:ascii="Tahoma" w:hAnsi="Tahoma"/>
      <w:sz w:val="24"/>
      <w:szCs w:val="24"/>
    </w:rPr>
  </w:style>
  <w:style w:type="paragraph" w:styleId="964" w:customStyle="1">
    <w:name w:val="table_1stline"/>
    <w:basedOn w:val="664"/>
    <w:uiPriority w:val="0"/>
    <w:qFormat/>
    <w:pPr>
      <w:jc w:val="left"/>
      <w:spacing w:before="120"/>
      <w:widowControl/>
    </w:pPr>
    <w:rPr>
      <w:rFonts w:ascii="Times New Roman" w:hAnsi="Times New Roman" w:eastAsia="宋体" w:cs="Times New Roman"/>
      <w:bCs/>
      <w:sz w:val="20"/>
      <w:szCs w:val="20"/>
      <w:lang w:val="de-DE" w:eastAsia="de-DE"/>
    </w:rPr>
  </w:style>
  <w:style w:type="paragraph" w:styleId="965" w:customStyle="1">
    <w:name w:val="font5"/>
    <w:basedOn w:val="66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6" w:customStyle="1">
    <w:name w:val="标题1"/>
    <w:basedOn w:val="664"/>
    <w:next w:val="66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69" w:customStyle="1">
    <w:name w:val="Table Normal"/>
    <w:uiPriority w:val="0"/>
    <w:qFormat/>
    <w:rPr>
      <w:lang w:val="en-US" w:eastAsia="zh-CN" w:bidi="ar-SA"/>
    </w:rPr>
    <w:tblPr/>
  </w:style>
  <w:style w:type="paragraph" w:styleId="970" w:customStyle="1">
    <w:name w:val="正文文本 211"/>
    <w:basedOn w:val="664"/>
    <w:uiPriority w:val="99"/>
    <w:qFormat/>
    <w:pPr>
      <w:jc w:val="center"/>
    </w:pPr>
    <w:rPr>
      <w:b/>
      <w:bCs/>
      <w:sz w:val="20"/>
      <w:szCs w:val="20"/>
    </w:rPr>
  </w:style>
  <w:style w:type="paragraph" w:styleId="971" w:customStyle="1">
    <w:name w:val="正文文本1"/>
    <w:basedOn w:val="664"/>
    <w:next w:val="664"/>
    <w:uiPriority w:val="0"/>
    <w:semiHidden/>
    <w:qFormat/>
    <w:rPr>
      <w:rFonts w:ascii="Arial" w:hAnsi="Arial" w:eastAsia="Arial" w:cs="Arial"/>
      <w:sz w:val="21"/>
      <w:szCs w:val="21"/>
      <w:lang w:val="en-US" w:eastAsia="en-US" w:bidi="ar-SA"/>
    </w:rPr>
  </w:style>
  <w:style w:type="paragraph" w:styleId="972" w:customStyle="1">
    <w:name w:val="正文文本12"/>
    <w:basedOn w:val="664"/>
    <w:uiPriority w:val="1"/>
    <w:qFormat/>
    <w:pPr>
      <w:ind w:left="120"/>
    </w:pPr>
    <w:rPr>
      <w:rFonts w:ascii="宋体" w:hAnsi="宋体" w:eastAsia="宋体" w:cs="宋体"/>
      <w:sz w:val="21"/>
      <w:szCs w:val="21"/>
      <w:lang w:val="zh-CN" w:eastAsia="zh-CN" w:bidi="zh-CN"/>
    </w:rPr>
  </w:style>
  <w:style w:type="paragraph" w:styleId="973" w:customStyle="1">
    <w:name w:val="纯文本1"/>
    <w:basedOn w:val="664"/>
    <w:uiPriority w:val="0"/>
    <w:qFormat/>
    <w:rPr>
      <w:rFonts w:ascii="宋体" w:hAnsi="Courier New" w:cs="Courier New"/>
    </w:rPr>
  </w:style>
  <w:style w:type="table" w:styleId="974" w:customStyle="1">
    <w:name w:val="网格型1"/>
    <w:basedOn w:val="975"/>
    <w:uiPriority w:val="0"/>
    <w:qFormat/>
    <w:pPr>
      <w:jc w:val="both"/>
      <w:widowControl w:val="off"/>
    </w:pPr>
    <w:tblPr/>
  </w:style>
  <w:style w:type="table" w:styleId="975" w:customStyle="1">
    <w:name w:val="普通表格1"/>
    <w:uiPriority w:val="99"/>
    <w:unhideWhenUsed/>
    <w:qFormat/>
    <w:rPr>
      <w:lang w:val="en-US" w:eastAsia="zh-CN" w:bidi="ar-SA"/>
    </w:rPr>
    <w:tblPr/>
  </w:style>
  <w:style w:type="paragraph" w:styleId="976" w:customStyle="1">
    <w:name w:val="正文文本缩进1"/>
    <w:basedOn w:val="664"/>
    <w:next w:val="977"/>
    <w:uiPriority w:val="0"/>
    <w:unhideWhenUsed/>
    <w:qFormat/>
    <w:pPr>
      <w:ind w:left="420"/>
      <w:spacing w:after="120"/>
    </w:pPr>
  </w:style>
  <w:style w:type="paragraph" w:styleId="977" w:customStyle="1">
    <w:name w:val="正文首行缩进 21"/>
    <w:basedOn w:val="976"/>
    <w:uiPriority w:val="0"/>
    <w:qFormat/>
    <w:pPr>
      <w:ind w:left="0" w:firstLine="420"/>
      <w:spacing w:after="0" w:line="360" w:lineRule="auto"/>
    </w:pPr>
    <w:rPr>
      <w:rFonts w:ascii="宋体" w:hAnsi="宋体"/>
      <w:sz w:val="20"/>
      <w:szCs w:val="20"/>
      <w:lang w:val="en-US" w:eastAsia="en-US"/>
    </w:rPr>
  </w:style>
  <w:style w:type="paragraph" w:styleId="978" w:customStyle="1">
    <w:name w:val="msolistparagraph"/>
    <w:basedOn w:val="664"/>
    <w:uiPriority w:val="0"/>
    <w:qFormat/>
    <w:pPr>
      <w:ind w:left="216" w:right="0" w:firstLine="480"/>
      <w:jc w:val="left"/>
      <w:keepLines w:val="0"/>
      <w:keepNext w:val="0"/>
      <w:spacing w:before="0" w:beforeAutospacing="0" w:after="0" w:afterAutospacing="0"/>
      <w:widowControl w:val="off"/>
      <w:suppressLineNumbers w:val="0"/>
    </w:pPr>
    <w:rPr>
      <w:rFonts w:hint="eastAsia" w:ascii="宋体" w:hAnsi="宋体" w:eastAsia="宋体" w:cs="宋体"/>
      <w:sz w:val="22"/>
      <w:szCs w:val="22"/>
      <w:lang w:val="en-US" w:eastAsia="zh-CN" w:bidi="ar"/>
    </w:rPr>
  </w:style>
  <w:style w:type="paragraph" w:styleId="979" w:customStyle="1">
    <w:name w:val="Table Paragraph"/>
    <w:basedOn w:val="664"/>
    <w:uiPriority w:val="0"/>
    <w:qFormat/>
    <w:pPr>
      <w:ind w:left="0" w:right="0"/>
      <w:jc w:val="left"/>
      <w:keepLines w:val="0"/>
      <w:keepNext w:val="0"/>
      <w:spacing w:before="0" w:beforeAutospacing="0" w:after="0" w:afterAutospacing="0"/>
      <w:widowControl w:val="off"/>
      <w:suppressLineNumbers w:val="0"/>
    </w:pPr>
    <w:rPr>
      <w:rFonts w:hint="eastAsia" w:ascii="宋体" w:hAnsi="宋体" w:eastAsia="宋体" w:cs="宋体"/>
      <w:sz w:val="22"/>
      <w:szCs w:val="22"/>
      <w:lang w:val="en-US" w:eastAsia="zh-CN" w:bidi="ar"/>
    </w:rPr>
  </w:style>
  <w:style w:type="paragraph" w:styleId="980" w:customStyle="1">
    <w:name w:val="Blockquote"/>
    <w:basedOn w:val="664"/>
    <w:uiPriority w:val="0"/>
    <w:qFormat/>
    <w:pPr>
      <w:ind w:left="360" w:right="360"/>
      <w:jc w:val="left"/>
      <w:spacing w:before="100" w:after="100"/>
    </w:pPr>
    <w:rPr>
      <w:sz w:val="24"/>
    </w:rPr>
  </w:style>
  <w:style w:type="paragraph" w:styleId="981" w:customStyle="1">
    <w:name w:val="_Style 1"/>
    <w:basedOn w:val="664"/>
    <w:uiPriority w:val="0"/>
    <w:qFormat/>
    <w:pPr>
      <w:jc w:val="center"/>
      <w:pBdr>
        <w:top w:val="single" w:color="auto" w:sz="6" w:space="1"/>
      </w:pBdr>
    </w:pPr>
    <w:rPr>
      <w:rFonts w:ascii="Arial" w:eastAsia="宋体"/>
      <w:vanish/>
      <w:sz w:val="16"/>
    </w:rPr>
  </w:style>
  <w:style w:type="paragraph" w:styleId="982" w:customStyle="1">
    <w:name w:val="[Normal]"/>
    <w:uiPriority w:val="0"/>
    <w:qFormat/>
    <w:rPr>
      <w:rFonts w:ascii="方正仿宋简体" w:hAnsi="方正仿宋简体" w:eastAsia="方正仿宋简体" w:cs="Courier New"/>
      <w:sz w:val="24"/>
      <w:szCs w:val="22"/>
      <w:lang w:val="zh-CN" w:eastAsia="zh-CN" w:bidi="ar-SA"/>
    </w:rPr>
  </w:style>
  <w:style w:type="character" w:styleId="983" w:customStyle="1">
    <w:name w:val="NormalCharacter1"/>
    <w:uiPriority w:val="0"/>
    <w:qFormat/>
    <w:rPr>
      <w:rFonts w:ascii="Times New Roman" w:hAnsi="Times New Roman" w:eastAsia="宋体" w:cs="Times New Roman"/>
    </w:rPr>
  </w:style>
  <w:style w:type="paragraph" w:styleId="984" w:customStyle="1">
    <w:name w:val="图表"/>
    <w:basedOn w:val="664"/>
    <w:uiPriority w:val="0"/>
    <w:qFormat/>
    <w:pPr>
      <w:ind w:firstLine="0"/>
      <w:jc w:val="center"/>
      <w:spacing w:line="240" w:lineRule="auto"/>
    </w:pPr>
    <w:rPr>
      <w:rFonts w:cs="Times New Roman"/>
      <w:sz w:val="21"/>
      <w:szCs w:val="21"/>
    </w:rPr>
  </w:style>
  <w:style w:type="paragraph" w:styleId="985" w:customStyle="1">
    <w:name w:val="首行缩进"/>
    <w:basedOn w:val="664"/>
    <w:uiPriority w:val="0"/>
    <w:qFormat/>
    <w:pPr>
      <w:ind w:firstLine="480"/>
    </w:pPr>
  </w:style>
  <w:style w:type="numbering" w:styleId="98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李满意</cp:lastModifiedBy>
  <cp:revision>4</cp:revision>
  <dcterms:created xsi:type="dcterms:W3CDTF">2023-03-27T07:28:00Z</dcterms:created>
  <dcterms:modified xsi:type="dcterms:W3CDTF">2026-08-26T05:49:50Z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eyJoZGlkIjoiMjcxYWYwOTM3ZjNhNDdhM2IzMGY0OWYyZGQ1YjhiMzAiLCJ1c2VySWQiOiI0NTEwODA1MTAifQ==</vt:lpwstr>
  </property>
  <property fmtid="{D5CDD505-2E9C-101B-9397-08002B2CF9AE}" pid="3" name="KSOProductBuildVer">
    <vt:lpwstr>2052-12.1.0.28043</vt:lpwstr>
  </property>
  <property fmtid="{D5CDD505-2E9C-101B-9397-08002B2CF9AE}" pid="4" name="ICV">
    <vt:lpwstr>473AE58DDF684E30BACE2CC44AF8B175_13</vt:lpwstr>
  </property>
</Properties>
</file>