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Arial" w:hAnsi="Arial" w:eastAsia="黑体"/>
          <w:b/>
          <w:bCs/>
          <w:color w:val="000000"/>
          <w:sz w:val="84"/>
          <w:szCs w:val="24"/>
        </w:rPr>
      </w:r>
      <w:r/>
    </w:p>
    <w:p>
      <w:pPr>
        <w:pStyle w:val="953"/>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南京鼓楼医院医疗服务项目智能监控审核系统二期</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0255</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3"/>
        <w:rPr>
          <w:rFonts w:hint="eastAsia"/>
        </w:rPr>
      </w:pPr>
      <w:r>
        <w:rPr>
          <w:rFonts w:hint="eastAsia"/>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38985263"/>
      <w:r/>
      <w:bookmarkStart w:id="7" w:name="_Toc35393621"/>
      <w:r/>
      <w:bookmarkStart w:id="8" w:name="_Toc28359079"/>
      <w:r/>
      <w:bookmarkStart w:id="9" w:name="_Toc28359002"/>
      <w:r/>
      <w:bookmarkStart w:id="10" w:name="_Toc35393790"/>
      <w:r/>
      <w:bookmarkStart w:id="11" w:name="_Hlk24379207"/>
      <w:r>
        <w:rPr>
          <w:rFonts w:hint="eastAsia" w:ascii="宋体" w:hAnsi="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eastAsia="宋体" w:cs="Times New Roman"/>
          <w:color w:val="000000"/>
          <w:sz w:val="24"/>
          <w:szCs w:val="24"/>
          <w:lang w:val="en-US" w:eastAsia="zh-CN"/>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0255</w:t>
      </w:r>
      <w:r>
        <w:rPr>
          <w:rFonts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2.项目名称：南京鼓楼医院医疗服务项目智能监控审核系统二期</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4.最高限价：</w:t>
      </w:r>
      <w:r>
        <w:rPr>
          <w:rFonts w:hint="eastAsia" w:ascii="宋体" w:hAnsi="宋体" w:eastAsia="宋体" w:cs="Times New Roman"/>
          <w:color w:val="000000"/>
          <w:sz w:val="24"/>
          <w:szCs w:val="24"/>
          <w:lang w:val="en-US" w:eastAsia="zh-CN"/>
        </w:rPr>
        <w:t xml:space="preserve">55</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color w:val="000000"/>
          <w:sz w:val="24"/>
          <w:szCs w:val="24"/>
        </w:rPr>
        <w:t xml:space="preserve">为落实国家医疗保障局《医疗保障基金飞行检查管理暂行办法》《医疗保障基金智能审核和监控知识库、规则库管理办法（试行）》等政策要求，应对医保基金全流程监管要求，解决医院当前医保基金使用监管弱项，遏制医保违规行为，实现医保基金精细化管理，特启动本项目建设。</w:t>
      </w:r>
      <w:r>
        <w:rPr>
          <w:rFonts w:hint="eastAsia" w:ascii="宋体" w:hAnsi="宋体" w:eastAsia="宋体" w:cs="Times New Roman"/>
          <w:color w:val="000000"/>
          <w:sz w:val="24"/>
          <w:szCs w:val="24"/>
          <w:lang w:eastAsia="zh-CN"/>
        </w:rPr>
        <w:t xml:space="preserve">（详细内容见本招标文件第四章） </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ascii="宋体" w:hAnsi="宋体" w:eastAsia="宋体" w:cs="宋体"/>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sz w:val="24"/>
          <w:szCs w:val="24"/>
          <w:lang w:val="en-US" w:eastAsia="zh-CN"/>
        </w:rPr>
        <w:t xml:space="preserve">180天</w:t>
      </w:r>
      <w:r>
        <w:rPr>
          <w:rFonts w:ascii="宋体" w:hAnsi="宋体" w:eastAsia="宋体" w:cs="宋体"/>
          <w:sz w:val="24"/>
          <w:szCs w:val="24"/>
          <w:highlight w:val="yellow"/>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产品投标。</w:t>
      </w:r>
      <w:r>
        <w:rPr>
          <w:rFonts w:hint="eastAsia" w:ascii="宋体" w:hAnsi="宋体" w:eastAsia="宋体" w:cs="宋体"/>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04"/>
      <w:r/>
      <w:bookmarkStart w:id="19" w:name="_Toc38985265"/>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625"/>
      <w:r/>
      <w:bookmarkStart w:id="30" w:name="_Toc28359084"/>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月24</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sz w:val="24"/>
          <w:szCs w:val="24"/>
        </w:rPr>
      </w:pPr>
      <w:r/>
      <w:bookmarkStart w:id="35" w:name="_Toc28359008"/>
      <w:r/>
      <w:bookmarkStart w:id="36" w:name="_Toc38985269"/>
      <w:r/>
      <w:bookmarkStart w:id="37" w:name="_Toc35393627"/>
      <w:r/>
      <w:bookmarkStart w:id="38" w:name="_Toc35393796"/>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0"/>
        <w:spacing w:line="240" w:lineRule="auto"/>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40" w:lineRule="auto"/>
        <w:rPr>
          <w:rFonts w:ascii="宋体" w:hAnsi="宋体" w:eastAsia="宋体" w:cs="Times New Roman"/>
          <w:b w:val="0"/>
          <w:bCs w:val="0"/>
          <w:color w:val="000000"/>
          <w:sz w:val="24"/>
          <w:lang w:val="en-US" w:eastAsia="zh-CN"/>
        </w:rPr>
      </w:pPr>
      <w:r>
        <w:rPr>
          <w:rFonts w:hint="eastAsia" w:ascii="宋体" w:hAnsi="宋体"/>
          <w:color w:val="000000"/>
          <w:sz w:val="24"/>
        </w:rPr>
        <w:t xml:space="preserve">采购人《质疑函》收件人：张</w:t>
      </w:r>
      <w:r>
        <w:rPr>
          <w:rFonts w:ascii="宋体" w:hAnsi="宋体"/>
          <w:color w:val="000000"/>
          <w:sz w:val="24"/>
        </w:rPr>
        <w:t xml:space="preserve">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71"/>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rPr>
          <w:rFonts w:ascii="宋体" w:hAnsi="宋体"/>
          <w:sz w:val="24"/>
          <w:szCs w:val="24"/>
        </w:rPr>
      </w:pPr>
      <w:r>
        <w:rPr>
          <w:rFonts w:hint="eastAsia" w:ascii="宋体" w:hAnsi="宋体"/>
          <w:sz w:val="24"/>
          <w:szCs w:val="24"/>
        </w:rPr>
        <w:t xml:space="preserve">名  称：南京鼓楼医院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南京市鼓楼区中山路321号</w:t>
      </w:r>
      <w:r>
        <w:rPr>
          <w:rFonts w:hint="eastAsia" w:ascii="宋体" w:hAnsi="宋体"/>
          <w:sz w:val="24"/>
          <w:szCs w:val="24"/>
        </w:rPr>
        <w:t xml:space="preserve">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联系人：张老师 </w:t>
      </w:r>
      <w:r>
        <w:rPr>
          <w:rFonts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color w:val="0000ff"/>
          <w:sz w:val="24"/>
          <w:szCs w:val="24"/>
        </w:rPr>
        <w:t xml:space="preserve"> </w:t>
      </w:r>
      <w:bookmarkStart w:id="40" w:name="_Toc28359009"/>
      <w:r/>
      <w:bookmarkStart w:id="41" w:name="_Toc28359086"/>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40" w:lineRule="auto"/>
        <w:widowControl w:val="off"/>
        <w:rPr>
          <w:rFonts w:hint="eastAsia"/>
          <w:color w:val="000000"/>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5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120614244"/>
      <w:r/>
      <w:bookmarkStart w:id="43" w:name="_Toc20823346"/>
      <w:r/>
      <w:bookmarkStart w:id="44" w:name="_Toc462564139"/>
      <w:r/>
      <w:bookmarkStart w:id="45" w:name="_Toc479757211"/>
      <w:r/>
      <w:bookmarkStart w:id="46" w:name="_Hlt16619350"/>
      <w:r/>
      <w:bookmarkStart w:id="47" w:name="_Toc16938590"/>
      <w:r>
        <w:rPr>
          <w:rFonts w:ascii="黑体" w:eastAsia="黑体"/>
          <w:bCs/>
          <w:sz w:val="44"/>
        </w:rPr>
        <w:br w:type="page" w:clear="all"/>
      </w:r>
      <w:bookmarkStart w:id="48" w:name="_Toc120614211"/>
      <w:r/>
      <w:bookmarkStart w:id="49" w:name="_Toc120614221"/>
      <w:r/>
      <w:bookmarkStart w:id="50" w:name="_Toc20823314"/>
      <w:r/>
      <w:bookmarkStart w:id="51" w:name="_Toc513029242"/>
      <w:r/>
      <w:bookmarkStart w:id="52" w:name="_Toc479757207"/>
      <w:r/>
      <w:bookmarkStart w:id="53" w:name="_Toc16938558"/>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w:t>
      </w:r>
      <w:r>
        <w:rPr>
          <w:rFonts w:hint="eastAsia" w:ascii="宋体" w:hAnsi="宋体" w:eastAsia="宋体" w:cs="Times New Roman"/>
          <w:color w:val="000000"/>
          <w:sz w:val="24"/>
          <w:szCs w:val="22"/>
          <w:highlight w:val="none"/>
          <w:lang w:val="zh-CN"/>
        </w:rPr>
        <w:t xml:space="preserve">部通过符合性审查投标人投标报价平均值50%的，即投标报价&lt;全部通过符合性审查投标人投标报价平均值×50%；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（2）投标报价低于通过符合性审查的次低报价投标人投标报价50%的，即投标报价&lt;通过符合性审查的次低报价投标人投标报价×50%；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rPr>
          <w:highlight w:val="none"/>
        </w:rPr>
      </w:r>
      <w:r/>
    </w:p>
    <w:p>
      <w:pPr>
        <w:pStyle w:val="876"/>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5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3"/>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1"/>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bCs/>
          <w:color w:val="000000"/>
          <w:sz w:val="24"/>
          <w:szCs w:val="24"/>
        </w:rPr>
        <w:t xml:space="preserve">十一、违约责任</w:t>
      </w:r>
      <w:r>
        <w:rPr>
          <w:rFonts w:hint="eastAsia" w:ascii="宋体" w:hAnsi="宋体" w:eastAsia="宋体" w:cs="Courier New"/>
          <w:b w:val="0"/>
          <w:bCs w:val="0"/>
          <w:color w:val="000000"/>
          <w:sz w:val="24"/>
          <w:szCs w:val="24"/>
        </w:rPr>
      </w:r>
      <w:r/>
    </w:p>
    <w:p>
      <w:pPr>
        <w:pStyle w:val="871"/>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bookmarkStart w:id="57" w:name="OLE_LINK1"/>
      <w:r>
        <w:rPr>
          <w:rFonts w:hint="eastAsia" w:ascii="宋体" w:hAnsi="宋体" w:cs="Courier New"/>
          <w:sz w:val="24"/>
          <w:szCs w:val="24"/>
          <w:u w:val="single"/>
        </w:rPr>
        <w:t xml:space="preserve"> </w:t>
      </w:r>
      <w:r>
        <w:rPr>
          <w:rFonts w:ascii="宋体" w:hAnsi="宋体" w:cs="Courier New"/>
          <w:sz w:val="24"/>
          <w:szCs w:val="24"/>
          <w:u w:val="single"/>
        </w:rPr>
        <w:t xml:space="preserve">0.1%</w:t>
      </w:r>
      <w:bookmarkEnd w:id="57"/>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0.</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宋体"/>
          <w:sz w:val="24"/>
          <w:szCs w:val="24"/>
        </w:rPr>
        <w:t xml:space="preserve"> </w:t>
      </w:r>
      <w:r>
        <w:rPr>
          <w:rFonts w:hint="eastAsia" w:ascii="宋体" w:hAnsi="宋体" w:cs="Courier New"/>
          <w:sz w:val="24"/>
          <w:szCs w:val="24"/>
          <w:u w:val="single"/>
        </w:rPr>
        <w:t xml:space="preserve"> 1  </w:t>
      </w:r>
      <w:r>
        <w:rPr>
          <w:rFonts w:ascii="宋体" w:hAnsi="宋体" w:cs="宋体"/>
          <w:sz w:val="24"/>
          <w:szCs w:val="24"/>
        </w:rPr>
        <w:t xml:space="preserve">%。</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0.</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3"/>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spacing w:line="264"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（一）项目背景</w:t>
      </w:r>
      <w:r>
        <w:rPr>
          <w:rFonts w:hint="eastAsia" w:ascii="黑体" w:hAnsi="黑体" w:eastAsia="黑体" w:cs="黑体"/>
          <w:sz w:val="24"/>
          <w:szCs w:val="24"/>
          <w:lang w:val="en-US" w:eastAsia="zh-CN"/>
        </w:rPr>
      </w:r>
      <w:r/>
    </w:p>
    <w:p>
      <w:pPr>
        <w:pStyle w:val="871"/>
        <w:ind w:firstLine="480"/>
        <w:spacing w:line="264" w:lineRule="auto"/>
        <w:rPr>
          <w:rFonts w:ascii="宋体" w:hAnsi="宋体"/>
          <w:color w:val="000000"/>
          <w:sz w:val="24"/>
          <w:szCs w:val="24"/>
        </w:rPr>
      </w:pPr>
      <w:r>
        <w:rPr>
          <w:rFonts w:hint="eastAsia" w:ascii="宋体" w:hAnsi="宋体"/>
          <w:color w:val="000000"/>
          <w:sz w:val="24"/>
          <w:szCs w:val="24"/>
        </w:rPr>
        <w:t xml:space="preserve">为落实国家医疗保障局《医疗保障基金飞行检查管理暂行办法》《医疗保障基金智能审核和监控知识库、规则库管理办法（试行）》等政策要求，应对医保基金全流程监管要求，解决医院当前医保基金使用监管弱项，遏制医保违规行为，实现医保基金精细化管理，特启动本项目建设。</w:t>
      </w:r>
      <w:r>
        <w:rPr>
          <w:rFonts w:ascii="宋体" w:hAnsi="宋体"/>
          <w:color w:val="000000"/>
          <w:sz w:val="24"/>
          <w:szCs w:val="24"/>
        </w:rPr>
      </w:r>
      <w:r/>
    </w:p>
    <w:p>
      <w:pPr>
        <w:pStyle w:val="871"/>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（二）建设目标</w:t>
      </w:r>
      <w:r>
        <w:rPr>
          <w:rFonts w:ascii="黑体" w:hAnsi="黑体" w:eastAsia="黑体" w:cs="黑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围绕医院医保基金监管大局，实现按病区/科室统筹规划、合理使用医保基金，对诊疗过程开展事前提醒、事中控制、事后分析，规范医务人员诊疗收费行为。分四阶段实现遏制违规-主动预防-管理提升-持续改进，最终建立院内医保监管闭环体系，实现与监管机构跨机构监管对接，保障医保基金使用安全合规。</w:t>
      </w:r>
      <w:r>
        <w:rPr>
          <w:rFonts w:ascii="宋体" w:hAnsi="宋体"/>
          <w:color w:val="000000"/>
          <w:sz w:val="24"/>
          <w:szCs w:val="24"/>
        </w:rPr>
      </w:r>
      <w:r/>
    </w:p>
    <w:p>
      <w:pPr>
        <w:pStyle w:val="871"/>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t xml:space="preserve">（三）</w:t>
      </w:r>
      <w:r>
        <w:rPr>
          <w:rFonts w:hint="eastAsia" w:ascii="黑体" w:hAnsi="黑体" w:eastAsia="黑体" w:cs="黑体"/>
          <w:color w:val="000000"/>
          <w:sz w:val="24"/>
          <w:szCs w:val="24"/>
        </w:rPr>
        <w:t xml:space="preserve">项目建设遵循标准</w:t>
      </w:r>
      <w:r>
        <w:rPr>
          <w:rFonts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遵循国家、行业及地方现行的规范和标准。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5"/>
        <w:tblW w:w="506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743"/>
        <w:gridCol w:w="724"/>
        <w:gridCol w:w="601"/>
        <w:gridCol w:w="1112"/>
        <w:gridCol w:w="1197"/>
        <w:gridCol w:w="1438"/>
        <w:gridCol w:w="1189"/>
        <w:gridCol w:w="1323"/>
      </w:tblGrid>
      <w:tr>
        <w:trPr>
          <w:trHeight w:val="470"/>
        </w:trPr>
        <w:tc>
          <w:tcPr>
            <w:tcW w:w="27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8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6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0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6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6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7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881" w:type="dxa"/>
            <w:vAlign w:val="center"/>
            <w:textDirection w:val="lrTb"/>
            <w:noWrap w:val="false"/>
          </w:tcPr>
          <w:p>
            <w:pPr>
              <w:pStyle w:val="871"/>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医疗服务项目智能监控审核系统二期</w:t>
            </w:r>
            <w:r>
              <w:rPr>
                <w:rFonts w:hint="eastAsia" w:ascii="宋体" w:hAnsi="宋体" w:cs="宋体"/>
                <w:bCs/>
                <w:color w:val="000000"/>
                <w:sz w:val="24"/>
                <w:szCs w:val="24"/>
                <w:lang w:val="en-US" w:eastAsia="zh-CN" w:bidi="ar-SA"/>
              </w:rPr>
            </w:r>
            <w:r/>
          </w:p>
        </w:tc>
        <w:tc>
          <w:tcPr>
            <w:tcW w:w="366"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304" w:type="dxa"/>
            <w:vAlign w:val="center"/>
            <w:textDirection w:val="lrTb"/>
            <w:noWrap w:val="false"/>
          </w:tcPr>
          <w:p>
            <w:pPr>
              <w:pStyle w:val="871"/>
              <w:jc w:val="center"/>
              <w:spacing w:line="264" w:lineRule="auto"/>
              <w:rPr>
                <w:rFonts w:ascii="宋体" w:hAnsi="宋体" w:cs="宋体"/>
                <w:bCs/>
                <w:sz w:val="24"/>
                <w:szCs w:val="24"/>
                <w:lang w:val="en-US" w:eastAsia="zh-CN" w:bidi="ar-SA"/>
              </w:rPr>
            </w:pPr>
            <w:r>
              <w:rPr>
                <w:rFonts w:hint="eastAsia" w:ascii="宋体" w:hAnsi="宋体" w:cs="宋体"/>
                <w:bCs/>
                <w:sz w:val="24"/>
                <w:szCs w:val="24"/>
                <w:lang w:val="en-US" w:eastAsia="zh-CN" w:bidi="ar-SA"/>
              </w:rPr>
              <w:t xml:space="preserve">项</w:t>
            </w:r>
            <w:r>
              <w:rPr>
                <w:rFonts w:ascii="宋体" w:hAnsi="宋体" w:cs="宋体"/>
                <w:bCs/>
                <w:sz w:val="24"/>
                <w:szCs w:val="24"/>
                <w:lang w:val="en-US" w:eastAsia="zh-CN" w:bidi="ar-SA"/>
              </w:rPr>
            </w:r>
            <w:r/>
          </w:p>
        </w:tc>
        <w:tc>
          <w:tcPr>
            <w:tcW w:w="562"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主要产品</w:t>
            </w:r>
            <w:r>
              <w:rPr>
                <w:rFonts w:hint="eastAsia" w:ascii="宋体" w:hAnsi="宋体"/>
                <w:bCs/>
                <w:sz w:val="24"/>
                <w:szCs w:val="24"/>
                <w:lang w:val="en-US" w:eastAsia="zh-CN" w:bidi="ar-SA"/>
              </w:rPr>
            </w:r>
            <w:r/>
          </w:p>
        </w:tc>
        <w:tc>
          <w:tcPr>
            <w:tcW w:w="605"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727"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软件和信息技术服务业</w:t>
            </w:r>
            <w:r>
              <w:rPr>
                <w:rFonts w:hint="eastAsia" w:ascii="宋体" w:hAnsi="宋体" w:cs="宋体"/>
                <w:bCs/>
                <w:sz w:val="24"/>
                <w:szCs w:val="24"/>
                <w:lang w:val="en-US" w:eastAsia="zh-CN" w:bidi="ar-SA"/>
              </w:rPr>
            </w:r>
            <w:r/>
          </w:p>
        </w:tc>
        <w:tc>
          <w:tcPr>
            <w:tcW w:w="601"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服务</w:t>
            </w:r>
            <w:r>
              <w:rPr>
                <w:rFonts w:hint="eastAsia" w:ascii="宋体" w:hAnsi="宋体" w:cs="宋体"/>
                <w:bCs/>
                <w:sz w:val="24"/>
                <w:szCs w:val="24"/>
                <w:lang w:val="en-US" w:eastAsia="zh-CN" w:bidi="ar-SA"/>
              </w:rPr>
            </w:r>
            <w:r/>
          </w:p>
        </w:tc>
        <w:tc>
          <w:tcPr>
            <w:tcW w:w="669"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w:t>
            </w:r>
            <w:r>
              <w:rPr>
                <w:rFonts w:hint="eastAsia" w:ascii="宋体" w:hAnsi="宋体" w:cs="宋体"/>
                <w:bCs/>
                <w:sz w:val="24"/>
                <w:szCs w:val="24"/>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rPr>
          <w:rFonts w:ascii="宋体" w:hAnsi="宋体" w:cs="宋体"/>
          <w:bCs/>
          <w:sz w:val="24"/>
          <w:szCs w:val="24"/>
        </w:rPr>
      </w:r>
      <w:r/>
    </w:p>
    <w:tbl>
      <w:tblPr>
        <w:tblW w:w="10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134"/>
        <w:gridCol w:w="8737"/>
      </w:tblGrid>
      <w:tr>
        <w:trPr>
          <w:trHeight w:val="270"/>
        </w:trPr>
        <w:tc>
          <w:tcPr>
            <w:tcW w:w="70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功能描述</w:t>
            </w:r>
            <w:r>
              <w:rPr>
                <w:rFonts w:ascii="宋体" w:hAnsi="宋体" w:cs="宋体"/>
                <w:color w:val="000000"/>
                <w:szCs w:val="22"/>
              </w:rPr>
            </w:r>
            <w:r/>
          </w:p>
        </w:tc>
      </w:tr>
      <w:tr>
        <w:trPr>
          <w:trHeight w:val="810"/>
        </w:trPr>
        <w:tc>
          <w:tcPr>
            <w:gridSpan w:val="2"/>
            <w:tcW w:w="1838" w:type="dxa"/>
            <w:vAlign w:val="center"/>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省/市规则升级</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基于江苏省、南京市医保两级监管规则，完成系统规则迭代升级，强化事前提示、事中预警、事后分析能力，实现医保基金风险提前规避，规则更新需与省、市局端保持同步，响应政策调整要求。</w:t>
            </w:r>
            <w:r>
              <w:rPr>
                <w:rFonts w:ascii="宋体" w:hAnsi="宋体" w:cs="宋体"/>
                <w:color w:val="000000"/>
                <w:szCs w:val="22"/>
              </w:rPr>
            </w:r>
            <w:r/>
          </w:p>
        </w:tc>
      </w:tr>
      <w:tr>
        <w:trPr>
          <w:trHeight w:val="201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风控端升级</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规则维护管理功能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（1）支持局端规则快速同步，实现医保监管规则自动更新、一键导入；</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（2）规则支持院内灵活自定义配置，满足医院个性化监管需求；</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（3）支持应用场景、规则分级设置，至少包含禁止、控制、提醒三层级别，允许医院自定义细化级别，实现智审精细化管理；</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4）完成规则知识点标注及文件来源配置，每条规则/知识需增加列显示文件支持来源，事前、事中、事后检出违规数据时，同步返回知识点来源及自定义知识说明，供临床人员查看；新增风控自定义知识说明与违规输出参数，完成需求设计、开发、测试全流程落地。</w:t>
            </w:r>
            <w:r>
              <w:rPr>
                <w:rFonts w:ascii="宋体" w:hAnsi="宋体" w:cs="宋体"/>
                <w:color w:val="000000"/>
                <w:szCs w:val="22"/>
              </w:rPr>
            </w:r>
            <w:r/>
          </w:p>
        </w:tc>
      </w:tr>
      <w:tr>
        <w:trPr>
          <w:trHeight w:val="137"/>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院内系统衔接改造</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与医院医生工作站、护士工作站、收费工作站无缝衔接，实现系统间快速跳转，操作无卡顿；系统操作界面友好、简洁，符合医护人员操作习惯，同时满足市局智审申诉规范要求。</w:t>
            </w:r>
            <w:r>
              <w:rPr>
                <w:rFonts w:ascii="宋体" w:hAnsi="宋体" w:cs="宋体"/>
                <w:color w:val="000000"/>
                <w:szCs w:val="22"/>
              </w:rPr>
            </w:r>
            <w:r/>
          </w:p>
        </w:tc>
      </w:tr>
      <w:tr>
        <w:trPr>
          <w:trHeight w:val="108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事中预申诉功能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（1）系统检测到疑似违规时，实时弹出申诉窗口，支持医生即时申诉，申诉要点包含单日超频次、单日超总额、限性别使用、无匹配主项目等，申诉形式与两定平台保持一致；</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（2）按医保稽核规则优化医院现有审方系统，建立风控端与审方系统的关联，实现药品规则事中、事后流程监管。</w:t>
            </w:r>
            <w:r>
              <w:rPr>
                <w:rFonts w:ascii="宋体" w:hAnsi="宋体" w:cs="宋体"/>
                <w:color w:val="000000"/>
                <w:szCs w:val="22"/>
              </w:rPr>
            </w:r>
            <w:r/>
          </w:p>
        </w:tc>
      </w:tr>
      <w:tr>
        <w:trPr>
          <w:trHeight w:val="189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医保申诉管理模块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医保疑点下发管理</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（1）搭建与医保局端系统的对接接口，自动下载疑似违规申诉数据，实现开单/执行科室、医生的自动匹配；</w:t>
            </w:r>
            <w:r>
              <w:rPr>
                <w:rFonts w:hint="eastAsia" w:ascii="宋体" w:hAnsi="宋体" w:cs="宋体"/>
                <w:color w:val="000000"/>
                <w:szCs w:val="22"/>
              </w:rPr>
              <w:br w:type="textWrapping" w:clear="all"/>
            </w:r>
            <w:r>
              <w:rPr>
                <w:rFonts w:hint="eastAsia" w:ascii="宋体" w:hAnsi="宋体" w:cs="宋体"/>
                <w:color w:val="000000"/>
                <w:szCs w:val="22"/>
              </w:rPr>
              <w:t xml:space="preserve">（2）建立院、科、组、人四级申诉权限体系，按职工工号分配对应申诉权限；</w:t>
            </w:r>
            <w:r>
              <w:rPr>
                <w:rFonts w:hint="eastAsia" w:ascii="宋体" w:hAnsi="宋体" w:cs="宋体"/>
                <w:color w:val="000000"/>
                <w:szCs w:val="22"/>
              </w:rPr>
              <w:br w:type="textWrapping" w:clear="all"/>
            </w:r>
            <w:r>
              <w:rPr>
                <w:rFonts w:hint="eastAsia" w:ascii="宋体" w:hAnsi="宋体" w:cs="宋体"/>
                <w:color w:val="000000"/>
                <w:szCs w:val="22"/>
              </w:rPr>
              <w:t xml:space="preserve">（3）具备点对点数据推送功能，需对接医院短信平台，科室违规数据自动分配至科室医保专员，配套短信提醒功能，医保专员可将数据二次分配给科内医生；</w:t>
            </w:r>
            <w:r>
              <w:rPr>
                <w:rFonts w:hint="eastAsia" w:ascii="宋体" w:hAnsi="宋体" w:cs="宋体"/>
                <w:color w:val="000000"/>
                <w:szCs w:val="22"/>
              </w:rPr>
              <w:br w:type="textWrapping" w:clear="all"/>
            </w:r>
            <w:r>
              <w:rPr>
                <w:rFonts w:hint="eastAsia" w:ascii="宋体" w:hAnsi="宋体" w:cs="宋体"/>
                <w:color w:val="000000"/>
                <w:szCs w:val="22"/>
              </w:rPr>
              <w:t xml:space="preserve">（4）实现退费/补计费数据自动排查推理，对单日超频次、超总额、限性别/年龄等规则，开展住院全周期数据监测，自动检出退费、补计费违规数据，并提供申诉参考依据。</w:t>
            </w:r>
            <w:r>
              <w:rPr>
                <w:rFonts w:ascii="宋体" w:hAnsi="宋体" w:cs="宋体"/>
                <w:color w:val="000000"/>
                <w:szCs w:val="22"/>
              </w:rPr>
            </w:r>
            <w:r/>
          </w:p>
        </w:tc>
      </w:tr>
      <w:tr>
        <w:trPr>
          <w:trHeight w:val="162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医生违规申诉功能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（1）提供申诉快捷模板，支持申诉材料在线编写及附件上传；</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（2）建立申诉二次提醒机制，对未申诉条目，在申诉窗口期关闭前2天自动向医生发送短信提醒；</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（3）实现事中申诉与事后申诉的自动关联，已完成事前/事中申诉的，违规数据下发时自动带入原有申诉内容，同时关联审方系统申诉说明作为依据，减少重复操作；</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（4）新增多维度申诉提醒功能，包含系统弹窗、站内信、短信等多种形式。</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申诉任务管理功能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（1）自动统计、评估科室及医生申诉完成情况，实时监测申诉任务进程；</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（2）支持医保办在申诉截止日期前，将未申诉材料批量二次推送至对应责任人，并配套短信提醒服务。</w:t>
            </w:r>
            <w:r>
              <w:rPr>
                <w:rFonts w:ascii="宋体" w:hAnsi="宋体" w:cs="宋体"/>
                <w:color w:val="000000"/>
                <w:szCs w:val="22"/>
              </w:rPr>
            </w:r>
            <w:r/>
          </w:p>
        </w:tc>
      </w:tr>
      <w:tr>
        <w:trPr>
          <w:trHeight w:val="54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医保运行分析模块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基础分析功能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分析模块具备下钻功能，支持从院级到科室、医生、就诊维度的逐层穿透查询；实现事前/事中/ 后规则运行情况分析，通过可视化图表展示不同场景下规则运行效果。</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规则运行分析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支持月度/季度/年度规则增减比对，自动统计重点关注规则、新增违规规则、连续重复违规规则、违规分布等指标，评估违规监控效果。</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项目维度分析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基于事后检出的疑似/确认违规数据，对药品、检验检查、耗材、诊疗项目开展穿透性统计分析，可按违规项目、数量、金额、涉及人数筛选排名。</w:t>
            </w:r>
            <w:r>
              <w:rPr>
                <w:rFonts w:ascii="宋体" w:hAnsi="宋体" w:cs="宋体"/>
                <w:color w:val="000000"/>
                <w:szCs w:val="22"/>
              </w:rPr>
            </w:r>
            <w:r/>
          </w:p>
        </w:tc>
      </w:tr>
      <w:tr>
        <w:trPr>
          <w:trHeight w:val="9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人员/科室维度分析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按规则条数、违规金额、违规次数、涉及人数对科室、医生进行筛选排名；对连续2个月排名前列的科室/医生（排名阈值支持动态设置），系统自动推送预警信息。</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DRG/DIP 监管分析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在原有按项目付费监管基础上，扩展DRG/DIP监管规则，针对诊疗行为真实性、合规性、合理性、完整性开展监管；建立规则定期分析机制，重点检测手术操作无匹配耗材收费、诊断无匹配药品/诊疗项目、手术辅助项目缺失等问题，实现事中每日检测预警。</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基础库比对功能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（1）对接南京市阳光采购平台、医保两库及院内 HIS 系统，实现本省物价变化自动比对，覆盖价格、规格、国码、耗材、药品等维度；</w:t>
            </w:r>
            <w:r>
              <w:rPr>
                <w:rFonts w:hint="eastAsia" w:ascii="宋体" w:hAnsi="宋体" w:cs="宋体"/>
                <w:color w:val="000000"/>
                <w:szCs w:val="22"/>
              </w:rPr>
              <w:br w:type="textWrapping" w:clear="all"/>
            </w:r>
            <w:r>
              <w:rPr>
                <w:rFonts w:hint="eastAsia" w:ascii="宋体" w:hAnsi="宋体" w:cs="宋体"/>
                <w:color w:val="000000"/>
                <w:szCs w:val="22"/>
              </w:rPr>
              <w:t xml:space="preserve">（2）从两定平台定时下载外省物价及医保报销策略数据，实现外省与本省数据的自动比对。</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违规数据管理功能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（1）搭建院内违规数据库，支持各类违规数据整合、导入，实现与医院HRP系统自动对接；</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（2）具备历史违规数据与专项检查违规数据重叠部分检出功能，支持通过表格导入专项检查数据，自动检出不同批次检查的重叠数据，并带出检查批次关键字段。</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耗材匹配检测</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对接HRP系统，实现收费耗材与库存消耗的月度匹配性检测，精准统计各科室耗材收费数量与库存领用数量的比对数据，及时发现耗材收费违规问题。</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专项检查支持</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支持各类医保专项检查规则快速植入系统，协助医院快速排查假阳性数据，保障专项检查工作高效开展。</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其他</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优化系统计算逻辑，完善中间表存储功能，确保以上报表统计分析内容瞬间生成。单报表数据查询提取时间不得超过3分钟。</w:t>
            </w:r>
            <w:r>
              <w:rPr>
                <w:rFonts w:ascii="宋体" w:hAnsi="宋体" w:cs="宋体"/>
                <w:color w:val="000000"/>
                <w:szCs w:val="22"/>
              </w:rPr>
            </w:r>
            <w:r/>
          </w:p>
        </w:tc>
      </w:tr>
    </w:tbl>
    <w:p>
      <w:pPr>
        <w:pStyle w:val="871"/>
        <w:ind w:firstLine="480"/>
        <w:spacing w:line="264" w:lineRule="auto"/>
        <w:rPr>
          <w:rFonts w:ascii="黑体" w:hAnsi="黑体" w:eastAsia="黑体" w:cs="黑体"/>
          <w:sz w:val="24"/>
          <w:szCs w:val="24"/>
        </w:rPr>
      </w:pPr>
      <w:r>
        <w:rPr>
          <w:rFonts w:ascii="黑体" w:hAnsi="黑体" w:eastAsia="黑体" w:cs="黑体"/>
          <w:sz w:val="24"/>
          <w:szCs w:val="24"/>
        </w:rPr>
      </w:r>
      <w:r/>
    </w:p>
    <w:p>
      <w:pPr>
        <w:pStyle w:val="871"/>
        <w:ind w:firstLine="480"/>
        <w:spacing w:line="264" w:lineRule="auto"/>
        <w:rPr>
          <w:rFonts w:ascii="黑体" w:hAnsi="黑体" w:eastAsia="黑体" w:cs="黑体"/>
          <w:sz w:val="24"/>
          <w:szCs w:val="24"/>
        </w:rPr>
        <w:outlineLvl w:val="2"/>
      </w:pPr>
      <w:r>
        <w:rPr>
          <w:rFonts w:hint="eastAsia" w:ascii="黑体" w:hAnsi="黑体" w:eastAsia="黑体" w:cs="黑体"/>
          <w:sz w:val="24"/>
          <w:szCs w:val="24"/>
        </w:rPr>
        <w:t xml:space="preserve">★（二）商务要求</w:t>
      </w:r>
      <w:r>
        <w:rPr>
          <w:rFonts w:ascii="黑体" w:hAnsi="黑体" w:eastAsia="黑体" w:cs="黑体"/>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1.报价要求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（2）供应商的任何错漏、优惠、竞争性报价不得作为减轻责任、减少服务、增加收费、降低服务质量的理由。</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2.实施要求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（1）总体要求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bCs/>
          <w:sz w:val="24"/>
          <w:szCs w:val="24"/>
          <w:lang w:val="en-US" w:eastAsia="zh-CN"/>
        </w:rPr>
        <w:t xml:space="preserve">经理</w:t>
      </w:r>
      <w:r>
        <w:rPr>
          <w:rFonts w:hint="eastAsia" w:ascii="宋体" w:hAnsi="宋体" w:cs="宋体"/>
          <w:bCs/>
          <w:sz w:val="24"/>
          <w:szCs w:val="24"/>
        </w:rPr>
        <w:t xml:space="preserve">负责现场工作的组织、协调和实施工作。</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（2）质量要求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①供应商提供的系统能够根据采购人实际需求与医院各院区所有信息系统、集成平台做对接及集成（对接人：李工；联系电话：025-83106666转</w:t>
      </w:r>
      <w:r>
        <w:rPr>
          <w:rFonts w:ascii="宋体" w:hAnsi="宋体" w:cs="宋体"/>
          <w:bCs/>
          <w:sz w:val="24"/>
          <w:szCs w:val="24"/>
        </w:rPr>
        <w:t xml:space="preserve">60631</w:t>
      </w:r>
      <w:r>
        <w:rPr>
          <w:rFonts w:hint="eastAsia" w:ascii="宋体" w:hAnsi="宋体" w:cs="宋体"/>
          <w:bCs/>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②本章中所列技术要求为医院项目初步需求，具体需求以国家最新政策标准为准。</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（3）验收要求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（4）运维要求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①运维期：供应商应确保本次采购所有项目的安全稳定运行，提供3年运维服务（自验收报告签字确认日起，开始进入</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期，相关费用包含在本次报价中）。</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期内，本合同项目所有技术和服务发生任何非人为故障，由供应商负责系统恢复。</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②运维期内，对采购人提出的合理服务要求，供应商必须即时进行电话、邮件及远程网络支持，并在2小时内到场服务，小型故障4小时内恢复，严重故障24小时内恢复，并及时</w:t>
      </w:r>
      <w:r>
        <w:rPr>
          <w:rFonts w:hint="eastAsia" w:ascii="宋体" w:hAnsi="宋体" w:cs="宋体"/>
          <w:bCs/>
          <w:sz w:val="24"/>
          <w:szCs w:val="24"/>
        </w:rPr>
        <w:t xml:space="preserve">提供</w:t>
      </w:r>
      <w:r>
        <w:rPr>
          <w:rFonts w:hint="eastAsia" w:ascii="宋体" w:hAnsi="宋体" w:cs="宋体"/>
          <w:bCs/>
          <w:sz w:val="24"/>
          <w:szCs w:val="24"/>
        </w:rPr>
        <w:t xml:space="preserve">有效解决方案。如不到场，采购人有权自行处理，相关费用由供应商负责。</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③供应商须提供定期回访服务，对采购人提出的合理优化建议应提供升级服务。</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④所有的服务方式均为供应商上门保修，即由供应商派员到系统使用现场进行故障恢复，由此产生的一切费用均由供应商承担。</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⑤本采购项目出保后每年的维护费不超过合同总金额的5%。</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⑥质保期内供应商提供的系统软件升级，保证采购人使用最新版本软件。质保期满后软件版本内终身升级。</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（5）人员要求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①项目经理：1人。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②技术负责人1人。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③开发实施人员：不少于</w:t>
      </w:r>
      <w:r>
        <w:rPr>
          <w:rFonts w:ascii="宋体" w:hAnsi="宋体" w:cs="宋体"/>
          <w:bCs/>
          <w:sz w:val="24"/>
          <w:szCs w:val="24"/>
        </w:rPr>
        <w:t xml:space="preserve">3</w:t>
      </w:r>
      <w:r>
        <w:rPr>
          <w:rFonts w:hint="eastAsia" w:ascii="宋体" w:hAnsi="宋体" w:cs="宋体"/>
          <w:bCs/>
          <w:sz w:val="24"/>
          <w:szCs w:val="24"/>
        </w:rPr>
        <w:t xml:space="preserve">人，具有信息化工作经验，项目开发期间须</w:t>
      </w:r>
      <w:r>
        <w:rPr>
          <w:rFonts w:hint="eastAsia" w:ascii="宋体" w:hAnsi="宋体" w:cs="宋体"/>
          <w:bCs/>
          <w:sz w:val="24"/>
          <w:szCs w:val="24"/>
          <w:lang w:val="en-US" w:eastAsia="zh-CN"/>
        </w:rPr>
        <w:t xml:space="preserve">提供不少于</w:t>
      </w:r>
      <w:r>
        <w:rPr>
          <w:rFonts w:ascii="宋体" w:hAnsi="宋体" w:cs="宋体"/>
          <w:bCs/>
          <w:sz w:val="24"/>
          <w:szCs w:val="24"/>
        </w:rPr>
        <w:t xml:space="preserve">1</w:t>
      </w:r>
      <w:r>
        <w:rPr>
          <w:rFonts w:hint="eastAsia" w:ascii="宋体" w:hAnsi="宋体" w:cs="宋体"/>
          <w:bCs/>
          <w:sz w:val="24"/>
          <w:szCs w:val="24"/>
          <w:lang w:val="en-US" w:eastAsia="zh-CN"/>
        </w:rPr>
        <w:t xml:space="preserve">人</w:t>
      </w:r>
      <w:r>
        <w:rPr>
          <w:rFonts w:hint="eastAsia" w:ascii="宋体" w:hAnsi="宋体" w:cs="宋体"/>
          <w:bCs/>
          <w:sz w:val="24"/>
          <w:szCs w:val="24"/>
        </w:rPr>
        <w:t xml:space="preserve">驻场服务。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④项目组所有人员必须为供应商正式工作人员，不得兼任其他项目工作，未经采购人同意，人员不得更换。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（6）知识产权及保密要求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③供应商须按照与采购人签订的《信息安全保密承诺书》的约定严格履行各项保密义务。</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④采购人与供应商都拥有本项目定制开发部分的知识产权。交付项应包括但不限于如下内容：</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满足采购人需求的、完整的、可最终良好运行的系统。</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提供项目的最终版本部署包及产品永久授权。</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（7）建设成果要求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供应商在项目建设的各个阶段及时提交建设成果，主要包括但不限于以下内容：</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①项目启动阶段：项目实施方案。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②业务需求分析阶段：需求调研方案、需求分析说明书。</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③系统设计、开发阶段：需求规格说明书、概要设计说明书、详细设计说明书、数据库设计说明书、系统接口说明书。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④系统实施阶段：系统上线部署方案、软件安装说明书、软件使用说明书、系统安装光盘、系统培训方案、系统培训手册。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⑤项目验收阶段：测试报告、项目验收方案、系统运行报告、项目验收报告。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⑥运行维护阶段：系统维护方案、系统维护手册、系统运行维护记录。</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（8）信创适配要求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项目涉及的软件、硬件产品满足信创要求。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（9）网络安全等级保护测评要求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供应商配合采购人，做好系统通过等保测评相关准备工作。</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（10）网络安全和数据安全要求，外包网络安全管理要求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符合网络安全和密码应用要求，符合国家安全可靠应用政策规定。</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（11）系统培训要求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供应商应负责对采购人相关人员</w:t>
      </w:r>
      <w:r>
        <w:rPr>
          <w:rFonts w:hint="eastAsia" w:ascii="宋体" w:hAnsi="宋体" w:cs="宋体"/>
          <w:sz w:val="24"/>
          <w:szCs w:val="24"/>
        </w:rPr>
        <w:t xml:space="preserve">（包括但不限于信息科室、项目主管科室等至少5人）</w:t>
      </w:r>
      <w:r>
        <w:rPr>
          <w:rFonts w:hint="eastAsia" w:ascii="宋体" w:hAnsi="宋体" w:cs="宋体"/>
          <w:bCs/>
          <w:sz w:val="24"/>
          <w:szCs w:val="24"/>
        </w:rPr>
        <w:t xml:space="preserve">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lang w:val="en-US" w:eastAsia="zh-CN"/>
        </w:rPr>
        <w:t xml:space="preserve">18</w:t>
      </w:r>
      <w:r>
        <w:rPr>
          <w:rFonts w:ascii="宋体" w:hAnsi="宋体"/>
          <w:sz w:val="24"/>
          <w:szCs w:val="24"/>
        </w:rPr>
        <w:t xml:space="preserve">0</w:t>
      </w:r>
      <w:r>
        <w:rPr>
          <w:rFonts w:ascii="宋体" w:hAnsi="宋体" w:cs="宋体"/>
          <w:sz w:val="24"/>
          <w:szCs w:val="24"/>
        </w:rPr>
        <w:t xml:space="preserve">天内</w:t>
      </w:r>
      <w:r>
        <w:rPr>
          <w:rFonts w:hint="eastAsia" w:ascii="宋体" w:hAnsi="宋体" w:cs="宋体"/>
          <w:sz w:val="24"/>
          <w:szCs w:val="24"/>
        </w:rPr>
        <w:t xml:space="preserve">完成系统开发及整体验收工作</w:t>
      </w:r>
      <w:r>
        <w:rPr>
          <w:rFonts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5.履约保证金</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6.其他要求</w:t>
      </w:r>
      <w:r>
        <w:rPr>
          <w:rFonts w:ascii="宋体" w:hAnsi="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w:t>
      </w:r>
      <w:r>
        <w:rPr>
          <w:rFonts w:hint="eastAsia" w:ascii="宋体" w:hAnsi="宋体" w:eastAsia="宋体" w:cs="宋体"/>
          <w:sz w:val="24"/>
          <w:szCs w:val="24"/>
        </w:rPr>
        <w:t xml:space="preserve">提供的证明材料不符合招标文件要求的，视为提供虚假材料谋取中标，采购人将取消其中标资格。</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eastAsia="宋体" w:cs="宋体"/>
          <w:sz w:val="24"/>
          <w:szCs w:val="24"/>
        </w:rPr>
      </w:r>
      <w:r/>
    </w:p>
    <w:p>
      <w:pPr>
        <w:pStyle w:val="871"/>
        <w:rPr>
          <w:rFonts w:hint="eastAsia"/>
        </w:rPr>
      </w:pPr>
      <w:r>
        <w:rPr>
          <w:rFonts w:hint="eastAsia"/>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60"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16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w:t>
            </w:r>
            <w:r>
              <w:rPr>
                <w:rFonts w:hint="eastAsia" w:ascii="宋体" w:hAnsi="宋体" w:eastAsia="宋体" w:cs="宋体"/>
                <w:color w:val="000000"/>
                <w:sz w:val="21"/>
                <w:szCs w:val="21"/>
                <w:lang w:val="en-US" w:eastAsia="zh-CN"/>
              </w:rPr>
              <w:t xml:space="preserve">（8项）</w:t>
            </w:r>
            <w:r>
              <w:rPr>
                <w:rFonts w:ascii="宋体" w:hAnsi="宋体" w:eastAsia="宋体" w:cs="宋体"/>
                <w:color w:val="000000"/>
                <w:sz w:val="21"/>
                <w:szCs w:val="21"/>
                <w:lang w:val="en-US" w:eastAsia="zh-CN"/>
              </w:rPr>
              <w:t xml:space="preserve">为重要指标，</w:t>
            </w:r>
            <w:r>
              <w:rPr>
                <w:rFonts w:hint="eastAsia" w:ascii="宋体" w:hAnsi="宋体" w:eastAsia="宋体" w:cs="宋体"/>
                <w:color w:val="000000"/>
                <w:sz w:val="21"/>
                <w:szCs w:val="21"/>
                <w:lang w:val="en-US" w:eastAsia="zh-CN"/>
              </w:rPr>
              <w:t xml:space="preserve">有1项负偏离扣2分，其余指标有1项负偏离扣0.5分。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22</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需求理解</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rPr>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rPr>
              <w:t xml:space="preserve">1.业务需求分析；2.建设目标分析；3.建设依据、必要性分析。以上每项内容逐项评分：</w:t>
            </w:r>
            <w:r>
              <w:rPr>
                <w:color w:val="000000"/>
              </w:rPr>
            </w:r>
            <w:r/>
          </w:p>
          <w:p>
            <w:pPr>
              <w:pStyle w:val="871"/>
              <w:rPr>
                <w:color w:val="000000"/>
              </w:rPr>
            </w:pPr>
            <w:r>
              <w:rPr>
                <w:rFonts w:hint="eastAsia"/>
                <w:color w:val="000000"/>
                <w:lang w:val="en-US" w:eastAsia="zh-CN"/>
              </w:rPr>
              <w:t xml:space="preserve">方案</w:t>
            </w:r>
            <w:r>
              <w:rPr>
                <w:rFonts w:hint="eastAsia"/>
                <w:color w:val="000000"/>
              </w:rPr>
              <w:t xml:space="preserve">内容完整深刻，且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99"/>
              <w:ind w:left="0" w:right="0"/>
              <w:rPr>
                <w:rFonts w:ascii="宋体" w:hAnsi="宋体" w:eastAsia="宋体" w:cs="宋体"/>
                <w:color w:val="000000"/>
                <w:spacing w:val="1"/>
                <w:sz w:val="21"/>
                <w:szCs w:val="21"/>
                <w:lang w:val="en-US"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color w:val="000000"/>
                <w:lang w:val="en-US"/>
              </w:rPr>
              <w:t xml:space="preserve">。</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color w:val="000000"/>
              </w:rPr>
              <w:t xml:space="preserve">总体技术方案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1.总体架构和性能设计；2.用户界面和应用功能设计；3.系统部署和安全防护设计。</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rPr>
              <w:t xml:space="preserve">方案内容</w:t>
            </w:r>
            <w:r>
              <w:rPr>
                <w:rFonts w:hint="eastAsia"/>
                <w:color w:val="000000"/>
              </w:rPr>
              <w:t xml:space="preserve">制定清晰完整，提供架构图层次分明，</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Times New Roman" w:hAnsi="Times New Roman" w:eastAsia="宋体" w:cs="Times New Roman"/>
                <w:color w:val="000000"/>
                <w:sz w:val="21"/>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w:t>
            </w:r>
            <w:r>
              <w:rPr>
                <w:rFonts w:hint="eastAsia" w:ascii="Times New Roman" w:hAnsi="Times New Roman" w:eastAsia="宋体" w:cs="Times New Roman"/>
                <w:color w:val="000000"/>
                <w:lang w:val="en-US" w:eastAsia="zh-CN"/>
              </w:rPr>
              <w:t xml:space="preserve">包含：</w:t>
            </w:r>
            <w:r>
              <w:rPr>
                <w:rFonts w:hint="eastAsia"/>
                <w:color w:val="000000"/>
              </w:rPr>
              <w:t xml:space="preserve">1.实施流程；2.实施进度安排；3.</w:t>
            </w:r>
            <w:r>
              <w:rPr>
                <w:rFonts w:hint="eastAsia" w:ascii="宋体" w:hAnsi="宋体" w:eastAsia="宋体" w:cs="宋体"/>
                <w:color w:val="000000"/>
                <w:sz w:val="21"/>
                <w:szCs w:val="21"/>
              </w:rPr>
              <w:t xml:space="preserve">项目管理方案</w:t>
            </w:r>
            <w:r>
              <w:rPr>
                <w:rFonts w:hint="eastAsia"/>
                <w:color w:val="000000"/>
              </w:rPr>
              <w:t xml:space="preserve">。</w:t>
            </w:r>
            <w:r>
              <w:rPr>
                <w:rFonts w:hint="eastAsia" w:ascii="Times New Roman" w:hAnsi="Times New Roman" w:eastAsia="宋体" w:cs="Times New Roman"/>
                <w:color w:val="000000"/>
                <w:lang w:val="en-US" w:eastAsia="zh-CN"/>
              </w:rPr>
              <w:t xml:space="preserve">以上每项内容逐条阐述。</w:t>
            </w:r>
            <w:r>
              <w:rPr>
                <w:rFonts w:hint="eastAsia"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rPr>
            </w:pPr>
            <w:r>
              <w:rPr>
                <w:color w:val="000000"/>
              </w:rPr>
              <w:t xml:space="preserve">方案内容</w:t>
            </w:r>
            <w:r>
              <w:rPr>
                <w:rFonts w:hint="eastAsia"/>
                <w:color w:val="000000"/>
              </w:rPr>
              <w:t xml:space="preserve">制定规范完整，各环节衔接顺畅并贴合项目实际，</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ascii="宋体" w:hAnsi="宋体" w:eastAsia="宋体" w:cs="宋体"/>
                <w:color w:val="000000"/>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 xml:space="preserve">主观分</w:t>
            </w:r>
            <w:r>
              <w:rPr>
                <w:rFonts w:ascii="宋体" w:hAnsi="宋体" w:eastAsia="宋体" w:cs="宋体"/>
                <w:spacing w:val="-6"/>
                <w:sz w:val="21"/>
                <w:szCs w:val="21"/>
                <w:highlight w:val="none"/>
                <w:lang w:val="en-US"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3.1</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1.技术支持；2.保障措施。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rFonts w:hint="eastAsia"/>
                <w:color w:val="000000"/>
              </w:rPr>
              <w:t xml:space="preserve">方案内容提供专业技术支持</w:t>
            </w:r>
            <w:r>
              <w:rPr>
                <w:color w:val="000000"/>
              </w:rPr>
              <w:t xml:space="preserve">，精准解决</w:t>
            </w:r>
            <w:r>
              <w:rPr>
                <w:rFonts w:hint="eastAsia"/>
                <w:color w:val="000000"/>
              </w:rPr>
              <w:t xml:space="preserve">技术难题</w:t>
            </w:r>
            <w:r>
              <w:rPr>
                <w:color w:val="000000"/>
              </w:rPr>
              <w:t xml:space="preserve">，保障项目顺利推进</w:t>
            </w:r>
            <w:r>
              <w:rPr>
                <w:rFonts w:hint="eastAsia"/>
                <w:color w:val="000000"/>
              </w:rPr>
              <w:t xml:space="preserve">，</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根据本项目采购需求中“培训要求及相关要求”编制方案，内容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：1.培训内容；2.培训日程安排；3.培训质量保障措施。以上每项内容逐条阐述。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清晰详细、培训计划细化到不同角色、分层清晰、培训内容系统深入，覆盖面广，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上述每项内容符合得1分；部分符合得0.5分；不符合或不提供不得分。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spacing w:val="-2"/>
              </w:rPr>
              <w:t xml:space="preserve">3.3</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宋体" w:hAnsi="宋体" w:cs="宋体"/>
                <w:color w:val="000000"/>
                <w:spacing w:val="-2"/>
                <w:sz w:val="21"/>
                <w:szCs w:val="21"/>
                <w:lang w:val="en-US" w:eastAsia="zh-CN" w:bidi="ar-SA"/>
              </w:rPr>
            </w:pPr>
            <w:r>
              <w:rPr>
                <w:rFonts w:hint="eastAsia"/>
                <w:color w:val="000000"/>
              </w:rPr>
              <w:t xml:space="preserve">本地化服务能力</w:t>
            </w:r>
            <w:r>
              <w:rPr>
                <w:rFonts w:hint="eastAsia" w:ascii="宋体" w:hAnsi="宋体" w:cs="宋体"/>
                <w:color w:val="000000"/>
                <w:spacing w:val="-2"/>
                <w:sz w:val="21"/>
                <w:szCs w:val="21"/>
                <w:lang w:val="en-US" w:eastAsia="zh-CN" w:bidi="ar-SA"/>
              </w:rPr>
            </w:r>
            <w:r/>
          </w:p>
        </w:tc>
        <w:tc>
          <w:tcPr>
            <w:tcW w:w="6330" w:type="dxa"/>
            <w:vAlign w:val="center"/>
            <w:textDirection w:val="lrTb"/>
            <w:noWrap w:val="false"/>
          </w:tcPr>
          <w:p>
            <w:pPr>
              <w:pStyle w:val="871"/>
              <w:jc w:val="left"/>
              <w:spacing w:line="264" w:lineRule="auto"/>
              <w:rPr>
                <w:rFonts w:hint="eastAsia" w:ascii="宋体" w:hAnsi="宋体" w:cs="宋体"/>
                <w:color w:val="000000"/>
                <w:spacing w:val="-2"/>
                <w:sz w:val="21"/>
                <w:szCs w:val="21"/>
                <w:lang w:val="en-US" w:eastAsia="zh-CN" w:bidi="ar-SA"/>
              </w:rPr>
            </w:pPr>
            <w:r>
              <w:rPr>
                <w:rFonts w:hint="eastAsia" w:ascii="宋体" w:hAnsi="宋体" w:cs="宋体"/>
                <w:color w:val="000000"/>
              </w:rPr>
              <w:t xml:space="preserve">投标人具有本地化服务能力的得</w:t>
            </w:r>
            <w:r>
              <w:rPr>
                <w:rFonts w:ascii="宋体" w:hAnsi="宋体" w:cs="宋体"/>
                <w:color w:val="000000"/>
              </w:rPr>
              <w:t xml:space="preserve">2</w:t>
            </w:r>
            <w:r>
              <w:rPr>
                <w:rFonts w:hint="eastAsia" w:ascii="宋体" w:hAnsi="宋体" w:cs="宋体"/>
                <w:color w:val="000000"/>
              </w:rPr>
              <w:t xml:space="preserve">分。（提供承诺书或有效证明材料）</w:t>
            </w:r>
            <w:r>
              <w:rPr>
                <w:rFonts w:hint="eastAsia" w:ascii="宋体" w:hAnsi="宋体" w:cs="宋体"/>
                <w:color w:val="000000"/>
                <w:spacing w:val="-2"/>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lang w:val="en-US" w:eastAsia="zh-CN" w:bidi="ar-SA"/>
              </w:rPr>
            </w:pPr>
            <w:r>
              <w:rPr>
                <w:rFonts w:ascii="宋体" w:hAnsi="宋体" w:cs="宋体"/>
                <w:color w:val="000000"/>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lang w:val="en-US" w:eastAsia="zh-CN" w:bidi="ar-SA"/>
              </w:rPr>
            </w:pPr>
            <w:r>
              <w:rPr>
                <w:rFonts w:hint="eastAsia" w:ascii="宋体" w:hAnsi="宋体" w:cs="宋体"/>
                <w:color w:val="000000"/>
                <w:spacing w:val="-6"/>
              </w:rPr>
              <w:t xml:space="preserve">客观分</w:t>
            </w:r>
            <w:r>
              <w:rPr>
                <w:rFonts w:hint="eastAsia" w:ascii="宋体" w:hAnsi="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投标人业绩</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日（含）以来类似项目业绩</w:t>
            </w:r>
            <w:r>
              <w:rPr>
                <w:rFonts w:hint="eastAsia" w:ascii="宋体" w:hAnsi="宋体" w:eastAsia="宋体" w:cs="宋体"/>
                <w:color w:val="000000"/>
                <w:sz w:val="21"/>
                <w:szCs w:val="21"/>
                <w:lang w:val="en-US" w:eastAsia="zh-CN"/>
              </w:rPr>
              <w:t xml:space="preserve">（至少包含审核类系统开发）</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，最多得6分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时间以合同签订时间为准，</w:t>
            </w:r>
            <w:r>
              <w:rPr>
                <w:rFonts w:ascii="宋体" w:hAnsi="宋体" w:eastAsia="宋体" w:cs="宋体"/>
                <w:color w:val="000000"/>
                <w:sz w:val="21"/>
                <w:szCs w:val="21"/>
                <w:lang w:val="en-US" w:eastAsia="zh-CN"/>
              </w:rPr>
              <w:t xml:space="preserve">提供有效合同</w:t>
            </w:r>
            <w:r>
              <w:rPr>
                <w:rFonts w:hint="eastAsia" w:ascii="宋体" w:hAnsi="宋体" w:eastAsia="宋体" w:cs="宋体"/>
                <w:color w:val="000000"/>
                <w:sz w:val="21"/>
                <w:szCs w:val="21"/>
                <w:lang w:val="en-US" w:eastAsia="zh-CN"/>
              </w:rPr>
              <w:t xml:space="preserve">和验收材料</w:t>
            </w:r>
            <w:r>
              <w:rPr>
                <w:rFonts w:ascii="宋体" w:hAnsi="宋体" w:eastAsia="宋体" w:cs="宋体"/>
                <w:color w:val="000000"/>
                <w:sz w:val="21"/>
                <w:szCs w:val="21"/>
                <w:lang w:val="en-US" w:eastAsia="zh-CN"/>
              </w:rPr>
              <w:t xml:space="preserve">，合同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rPr>
                <w:rFonts w:hint="eastAsia" w:ascii="宋体" w:hAnsi="宋体" w:cs="宋体"/>
                <w:color w:val="000000"/>
              </w:rPr>
              <w:t xml:space="preserve">具备工信部和人社部颁发的信息系统项目管理师</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rPr>
              <w:t xml:space="preserve">证书</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投标人拟投入本项目的技术负责人具有</w:t>
            </w:r>
            <w:r>
              <w:rPr>
                <w:rFonts w:hint="eastAsia" w:ascii="宋体" w:hAnsi="宋体" w:cs="宋体"/>
                <w:color w:val="000000"/>
              </w:rPr>
              <w:t xml:space="preserve">工信部和人社部颁发的信息系统项目管理师</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lang w:val="en-US" w:eastAsia="zh-CN"/>
              </w:rPr>
              <w:t xml:space="preserve">证书</w:t>
            </w:r>
            <w:r>
              <w:rPr>
                <w:rFonts w:hint="eastAsia" w:ascii="宋体" w:hAnsi="宋体" w:eastAsia="宋体" w:cs="宋体"/>
                <w:color w:val="000000"/>
                <w:sz w:val="21"/>
                <w:szCs w:val="21"/>
                <w:lang w:val="en-US" w:eastAsia="zh-CN"/>
              </w:rPr>
              <w:t xml:space="preserve">，得3分。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lang w:val="zh-CN"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宋体" w:hAnsi="宋体" w:eastAsia="宋体" w:cs="宋体"/>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履约能力3</w:t>
            </w:r>
            <w:r>
              <w:rPr>
                <w:rFonts w:hint="eastAsia" w:ascii="宋体" w:hAnsi="宋体" w:eastAsia="宋体" w:cs="宋体"/>
                <w:color w:val="000000"/>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投标人拟投入本项目的</w:t>
            </w:r>
            <w:r>
              <w:rPr>
                <w:rFonts w:hint="eastAsia" w:ascii="宋体" w:hAnsi="宋体" w:eastAsia="宋体" w:cs="宋体"/>
                <w:color w:val="000000"/>
                <w:lang w:eastAsia="zh-CN"/>
              </w:rPr>
              <w:t xml:space="preserve">项目实施团队（不含项目经理和技术负责人）：</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t xml:space="preserve">）具有工信部和人社部颁发的系统分析师证书、系统架构师证书，每提供一个证书得3分；</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）具有工信部和人社部颁发的软件设计师、系统集成项目管理工程师证书，每提供1个证书得2分；</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ascii="宋体" w:hAnsi="宋体" w:eastAsia="宋体" w:cs="宋体"/>
                <w:color w:val="000000"/>
                <w:lang w:val="en-US" w:eastAsia="zh-CN"/>
              </w:rPr>
            </w:pPr>
            <w:r>
              <w:rPr>
                <w:rFonts w:hint="eastAsia" w:ascii="宋体" w:hAnsi="宋体" w:eastAsia="宋体" w:cs="宋体"/>
                <w:color w:val="000000"/>
                <w:lang w:eastAsia="zh-CN"/>
              </w:rPr>
              <w:t xml:space="preserve">（一人多证及一证多人不重复得分。提供上述人员证书及投标人为其缴纳的2026年1月以来任意一个月的社保证明材料，缺一不可）</w:t>
            </w:r>
            <w:r>
              <w:rPr>
                <w:rFonts w:ascii="宋体" w:hAnsi="宋体" w:eastAsia="宋体" w:cs="宋体"/>
                <w:color w:val="000000"/>
                <w:lang w:val="en-US" w:eastAsia="zh-CN"/>
              </w:rPr>
            </w:r>
            <w:r/>
          </w:p>
        </w:tc>
        <w:tc>
          <w:tcPr>
            <w:tcW w:w="647" w:type="dxa"/>
            <w:vAlign w:val="center"/>
            <w:textDirection w:val="lrTb"/>
            <w:noWrap w:val="false"/>
          </w:tcPr>
          <w:p>
            <w:pPr>
              <w:pStyle w:val="871"/>
              <w:jc w:val="center"/>
              <w:spacing w:line="264" w:lineRule="auto"/>
              <w:rPr>
                <w:rFonts w:hint="eastAsia" w:ascii="Times New Roman" w:hAnsi="Times New Roman" w:eastAsia="宋体"/>
                <w:sz w:val="21"/>
                <w:szCs w:val="21"/>
                <w:lang w:val="en-US" w:eastAsia="zh-CN" w:bidi="ar-SA"/>
              </w:rPr>
            </w:pPr>
            <w:r>
              <w:rPr>
                <w:rFonts w:hint="eastAsia"/>
                <w:lang w:val="en-US" w:eastAsia="zh-CN"/>
              </w:rPr>
              <w:t xml:space="preserve">6</w:t>
            </w:r>
            <w:r>
              <w:rPr>
                <w:rFonts w:hint="eastAsia" w:ascii="Times New Roman" w:hAnsi="Times New Roman" w:eastAsia="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w:t>
            </w:r>
            <w:r>
              <w:rPr>
                <w:rFonts w:ascii="宋体" w:hAnsi="宋体" w:cs="宋体"/>
                <w:color w:val="000000"/>
              </w:rPr>
              <w:t xml:space="preserve">医保审核</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61" w:name="_Hlt26671244"/>
      <w:r/>
      <w:bookmarkEnd w:id="61"/>
      <w:r/>
      <w:bookmarkStart w:id="62" w:name="_Hlt26955039"/>
      <w:r/>
      <w:bookmarkEnd w:id="62"/>
      <w:r/>
      <w:bookmarkStart w:id="63" w:name="_Toc26554094"/>
      <w:r/>
      <w:bookmarkStart w:id="64" w:name="_Toc120614282"/>
      <w:r/>
      <w:bookmarkStart w:id="65"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spacing w:line="600" w:lineRule="exact"/>
        <w:rPr>
          <w:rFonts w:hint="eastAsia" w:ascii="宋体" w:hAnsi="宋体" w:cs="宋体"/>
          <w:sz w:val="28"/>
          <w:szCs w:val="28"/>
          <w:highlight w:val="none"/>
        </w:rPr>
      </w:pPr>
      <w:r>
        <w:rPr>
          <w:rFonts w:ascii="宋体" w:hAnsi="宋体"/>
          <w:b/>
          <w:sz w:val="36"/>
          <w:u w:val="single"/>
        </w:rPr>
        <w:br w:type="page" w:clear="all"/>
      </w:r>
      <w:r>
        <w:rPr>
          <w:rFonts w:hint="eastAsia" w:ascii="宋体" w:hAnsi="宋体"/>
          <w:b/>
          <w:sz w:val="36"/>
          <w:u w:val="none"/>
          <w:lang w:val="en-US" w:eastAsia="zh-CN"/>
        </w:rPr>
        <w:t xml:space="preserve">   </w:t>
      </w: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lang w:val="en-US" w:eastAsia="zh-CN"/>
        </w:rPr>
        <w:t xml:space="preserve">本项目无需提供</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941"/>
        <w:rPr>
          <w:rFonts w:ascii="宋体" w:hAnsi="宋体"/>
          <w:sz w:val="24"/>
        </w:rPr>
      </w:pPr>
      <w:r>
        <w:rPr>
          <w:rFonts w:ascii="宋体" w:hAnsi="宋体"/>
          <w:sz w:val="24"/>
        </w:rPr>
      </w:r>
      <w:r/>
    </w:p>
    <w:p>
      <w:pPr>
        <w:pStyle w:val="871"/>
        <w:rPr>
          <w:rFonts w:ascii="宋体" w:hAnsi="宋体"/>
          <w:sz w:val="24"/>
        </w:rPr>
      </w:pPr>
      <w:r>
        <w:rPr>
          <w:rFonts w:ascii="宋体" w:hAnsi="宋体"/>
          <w:sz w:val="24"/>
        </w:rPr>
      </w:r>
      <w:r/>
    </w:p>
    <w:p>
      <w:pPr>
        <w:pStyle w:val="941"/>
      </w:pPr>
      <w:r/>
      <w:r/>
    </w:p>
    <w:p>
      <w:pPr>
        <w:pStyle w:val="871"/>
        <w:ind w:firstLine="480"/>
        <w:spacing w:line="440" w:lineRule="exact"/>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bookmarkEnd w:id="44"/>
      <w:r/>
      <w:bookmarkEnd w:id="45"/>
      <w:r/>
      <w:bookmarkEnd w:id="63"/>
      <w:r/>
      <w:bookmarkEnd w:id="64"/>
      <w:r/>
      <w:bookmarkEnd w:id="65"/>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6"/>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6"/>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6"/>
        <w:ind w:firstLine="0"/>
        <w:rPr>
          <w:rFonts w:hint="eastAsia"/>
          <w:highlight w:val="none"/>
        </w:rPr>
      </w:pPr>
      <w:r>
        <w:rPr>
          <w:rFonts w:hint="eastAsia"/>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1"/>
        <w:rPr>
          <w:rFonts w:hint="eastAsia"/>
          <w:highlight w:val="none"/>
        </w:rPr>
      </w:pPr>
      <w:r>
        <w:rPr>
          <w:rFonts w:hint="eastAsia"/>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6"/>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5"/>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7" w:name="_Hlt26671372"/>
            <w:r/>
            <w:bookmarkEnd w:id="67"/>
            <w:r/>
            <w:bookmarkStart w:id="68" w:name="_Hlt24879081"/>
            <w:r/>
            <w:bookmarkEnd w:id="68"/>
            <w:r/>
            <w:bookmarkStart w:id="69" w:name="_Hlt26955064"/>
            <w:r/>
            <w:bookmarkEnd w:id="69"/>
            <w:r/>
            <w:bookmarkStart w:id="70" w:name="_Hlt26955056"/>
            <w:r/>
            <w:bookmarkEnd w:id="70"/>
            <w:r/>
            <w:bookmarkStart w:id="71" w:name="_Hlt26609391"/>
            <w:r/>
            <w:bookmarkEnd w:id="71"/>
            <w:r/>
            <w:bookmarkStart w:id="72" w:name="_Hlt26782999"/>
            <w:r/>
            <w:bookmarkEnd w:id="72"/>
            <w:r/>
            <w:bookmarkStart w:id="73" w:name="_Hlt26671343"/>
            <w:r/>
            <w:bookmarkEnd w:id="73"/>
            <w:r/>
            <w:bookmarkStart w:id="74" w:name="_Hlt26580838"/>
            <w:r/>
            <w:bookmarkEnd w:id="7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3"/>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480" w:lineRule="exact"/>
        <w:rPr>
          <w:rFonts w:ascii="宋体" w:hAnsi="宋体"/>
          <w:sz w:val="24"/>
          <w:highlight w:val="none"/>
        </w:rPr>
      </w:pPr>
      <w:r>
        <w:rPr>
          <w:rFonts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41"/>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7"/>
          <w:rFonts w:hint="eastAsia"/>
          <w:i w:val="0"/>
          <w:highlight w:val="none"/>
          <w:u w:val="single"/>
          <w:shd w:val="clear" w:color="auto" w:fill="ffffff"/>
        </w:rPr>
        <w:t xml:space="preserve">（产品名称1）</w:t>
      </w:r>
      <w:r>
        <w:rPr>
          <w:rStyle w:val="94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7"/>
          <w:rFonts w:hint="eastAsia"/>
          <w:i w:val="0"/>
          <w:highlight w:val="none"/>
          <w:u w:val="single"/>
          <w:shd w:val="clear" w:color="auto" w:fill="ffffff"/>
        </w:rPr>
        <w:t xml:space="preserve">（厂名）</w:t>
      </w:r>
      <w:r>
        <w:rPr>
          <w:rStyle w:val="94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Style w:val="94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Style w:val="94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Style w:val="94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1"/>
    <w:basedOn w:val="871"/>
    <w:next w:val="883"/>
    <w:link w:val="871"/>
    <w:qFormat/>
    <w:pPr>
      <w:ind w:left="350" w:firstLine="0"/>
    </w:pPr>
    <w:rPr>
      <w:rFonts w:cs="Times New Roman"/>
      <w:sz w:val="20"/>
      <w:szCs w:val="24"/>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style>
  <w:style w:type="paragraph" w:styleId="896">
    <w:name w:val="目录 7"/>
    <w:basedOn w:val="871"/>
    <w:next w:val="871"/>
    <w:link w:val="871"/>
    <w:semiHidden/>
    <w:pPr>
      <w:ind w:left="1260"/>
      <w:jc w:val="left"/>
    </w:pPr>
  </w:style>
  <w:style w:type="paragraph" w:styleId="897">
    <w:name w:val="文档结构图"/>
    <w:basedOn w:val="871"/>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71"/>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style>
  <w:style w:type="paragraph" w:styleId="909">
    <w:name w:val="目录 5"/>
    <w:basedOn w:val="871"/>
    <w:next w:val="871"/>
    <w:link w:val="871"/>
    <w:semiHidden/>
    <w:pPr>
      <w:ind w:left="840"/>
      <w:jc w:val="left"/>
    </w:pPr>
  </w:style>
  <w:style w:type="paragraph" w:styleId="910">
    <w:name w:val="目录 3"/>
    <w:basedOn w:val="871"/>
    <w:next w:val="871"/>
    <w:link w:val="871"/>
    <w:semiHidden/>
    <w:pPr>
      <w:ind w:left="420"/>
      <w:jc w:val="left"/>
    </w:pPr>
    <w:rPr>
      <w:i/>
      <w:iCs/>
      <w:szCs w:val="24"/>
    </w:rPr>
  </w:style>
  <w:style w:type="paragraph" w:styleId="911">
    <w:name w:val="纯文本"/>
    <w:basedOn w:val="871"/>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71"/>
    <w:next w:val="871"/>
    <w:link w:val="871"/>
    <w:semiHidden/>
    <w:pPr>
      <w:ind w:left="630"/>
      <w:jc w:val="left"/>
    </w:pPr>
  </w:style>
  <w:style w:type="paragraph" w:styleId="926">
    <w:name w:val="列表"/>
    <w:basedOn w:val="871"/>
    <w:next w:val="926"/>
    <w:link w:val="871"/>
    <w:pPr>
      <w:ind w:left="200" w:hanging="200"/>
    </w:pPr>
  </w:style>
  <w:style w:type="paragraph" w:styleId="927">
    <w:name w:val="目录 6"/>
    <w:basedOn w:val="871"/>
    <w:next w:val="871"/>
    <w:link w:val="871"/>
    <w:semiHidden/>
    <w:pPr>
      <w:ind w:left="1050"/>
      <w:jc w:val="left"/>
    </w:p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style>
  <w:style w:type="paragraph" w:styleId="931">
    <w:name w:val="目录 2"/>
    <w:basedOn w:val="871"/>
    <w:next w:val="871"/>
    <w:link w:val="871"/>
    <w:semiHidden/>
    <w:pPr>
      <w:ind w:left="210"/>
      <w:jc w:val="left"/>
    </w:pPr>
    <w:rPr>
      <w:smallCaps/>
      <w:szCs w:val="24"/>
    </w:rPr>
  </w:style>
  <w:style w:type="paragraph" w:styleId="932">
    <w:name w:val="目录 9"/>
    <w:basedOn w:val="871"/>
    <w:next w:val="871"/>
    <w:link w:val="871"/>
    <w:semiHidden/>
    <w:pPr>
      <w:ind w:left="1680"/>
      <w:jc w:val="left"/>
    </w:p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cs="宋体"/>
      <w:sz w:val="24"/>
      <w:szCs w:val="24"/>
    </w:rPr>
  </w:style>
  <w:style w:type="paragraph" w:styleId="936">
    <w:name w:val="索引 1"/>
    <w:basedOn w:val="871"/>
    <w:next w:val="871"/>
    <w:link w:val="871"/>
    <w:semiHidden/>
    <w:pPr>
      <w:spacing w:line="240" w:lineRule="atLeast"/>
    </w:pPr>
    <w:rPr>
      <w:b/>
      <w:bCs/>
    </w:rPr>
  </w:style>
  <w:style w:type="paragraph" w:styleId="937">
    <w:name w:val="批注主题"/>
    <w:basedOn w:val="899"/>
    <w:next w:val="899"/>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强调"/>
    <w:next w:val="947"/>
    <w:link w:val="871"/>
    <w:qFormat/>
    <w:rPr>
      <w:i/>
    </w:rPr>
  </w:style>
  <w:style w:type="character" w:styleId="948">
    <w:name w:val="超链接"/>
    <w:next w:val="948"/>
    <w:link w:val="871"/>
    <w:rPr>
      <w:color w:val="0000ff"/>
      <w:u w:val="single"/>
    </w:rPr>
  </w:style>
  <w:style w:type="character" w:styleId="949">
    <w:name w:val="批注引用"/>
    <w:next w:val="949"/>
    <w:link w:val="871"/>
    <w:semiHidden/>
    <w:rPr>
      <w:sz w:val="21"/>
      <w:szCs w:val="21"/>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
    <w:basedOn w:val="871"/>
    <w:next w:val="952"/>
    <w:link w:val="871"/>
    <w:uiPriority w:val="99"/>
    <w:unhideWhenUsed/>
    <w:qFormat/>
    <w:pPr>
      <w:ind w:left="420"/>
      <w:spacing w:after="120"/>
    </w:pPr>
  </w:style>
  <w:style w:type="paragraph" w:styleId="952">
    <w:name w:val="寄信人地址1"/>
    <w:basedOn w:val="871"/>
    <w:next w:val="952"/>
    <w:link w:val="871"/>
    <w:qFormat/>
    <w:rPr>
      <w:rFonts w:ascii="Arial" w:hAnsi="Arial" w:eastAsia="宋体" w:cs="宋体"/>
    </w:rPr>
  </w:style>
  <w:style w:type="paragraph" w:styleId="953">
    <w:name w:val="索引 41"/>
    <w:basedOn w:val="871"/>
    <w:next w:val="871"/>
    <w:link w:val="871"/>
    <w:semiHidden/>
    <w:qFormat/>
    <w:pPr>
      <w:ind w:left="1260"/>
    </w:pPr>
    <w:rPr>
      <w:rFonts w:ascii="Calibri" w:hAnsi="Calibri" w:eastAsia="Calibri" w:cs="宋体"/>
      <w:sz w:val="20"/>
      <w:lang w:val="zh-CN"/>
    </w:rPr>
  </w:style>
  <w:style w:type="paragraph" w:styleId="954">
    <w:name w:val="正文文本缩进11"/>
    <w:basedOn w:val="871"/>
    <w:next w:val="952"/>
    <w:link w:val="871"/>
    <w:qFormat/>
    <w:pPr>
      <w:ind w:firstLine="645"/>
    </w:pPr>
    <w:rPr>
      <w:rFonts w:ascii="楷体_GB2312" w:eastAsia="楷体_GB2312"/>
      <w:sz w:val="32"/>
      <w:szCs w:val="32"/>
    </w:rPr>
  </w:style>
  <w:style w:type="paragraph" w:styleId="955">
    <w:name w:val="标题 41"/>
    <w:basedOn w:val="871"/>
    <w:next w:val="956"/>
    <w:link w:val="871"/>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1"/>
    <w:next w:val="956"/>
    <w:link w:val="871"/>
    <w:qFormat/>
    <w:pPr>
      <w:ind w:firstLine="420"/>
    </w:pPr>
  </w:style>
  <w:style w:type="paragraph" w:styleId="957">
    <w:name w:val="正文文本12"/>
    <w:basedOn w:val="871"/>
    <w:next w:val="957"/>
    <w:link w:val="871"/>
    <w:uiPriority w:val="1"/>
    <w:qFormat/>
    <w:pPr>
      <w:ind w:left="120"/>
    </w:pPr>
    <w:rPr>
      <w:rFonts w:ascii="宋体" w:hAnsi="宋体" w:eastAsia="宋体" w:cs="宋体"/>
      <w:sz w:val="21"/>
      <w:szCs w:val="21"/>
      <w:lang w:val="zh-CN" w:eastAsia="zh-CN" w:bidi="zh-CN"/>
    </w:rPr>
  </w:style>
  <w:style w:type="character" w:styleId="958">
    <w:name w:val="font5 Char"/>
    <w:next w:val="958"/>
    <w:link w:val="871"/>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1"/>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1"/>
    <w:next w:val="903"/>
    <w:link w:val="871"/>
    <w:pPr>
      <w:spacing w:after="120"/>
    </w:pPr>
    <w:rPr>
      <w:rFonts w:ascii="宋体" w:hAnsi="Arial"/>
      <w:bCs/>
      <w:iCs/>
      <w:szCs w:val="24"/>
    </w:rPr>
  </w:style>
  <w:style w:type="paragraph" w:styleId="964">
    <w:name w:val="xl27"/>
    <w:basedOn w:val="871"/>
    <w:next w:val="96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1"/>
    <w:next w:val="96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1"/>
    <w:next w:val="966"/>
    <w:link w:val="871"/>
    <w:pPr>
      <w:ind w:firstLine="200"/>
      <w:tabs>
        <w:tab w:val="left" w:pos="360" w:leader="none"/>
      </w:tabs>
    </w:pPr>
    <w:rPr>
      <w:sz w:val="28"/>
      <w:szCs w:val="30"/>
    </w:rPr>
  </w:style>
  <w:style w:type="paragraph" w:styleId="967">
    <w:name w:val=" Char"/>
    <w:basedOn w:val="897"/>
    <w:next w:val="967"/>
    <w:link w:val="871"/>
    <w:rPr>
      <w:rFonts w:ascii="Tahoma" w:hAnsi="Tahoma"/>
      <w:sz w:val="24"/>
      <w:szCs w:val="24"/>
    </w:rPr>
  </w:style>
  <w:style w:type="paragraph" w:styleId="968">
    <w:name w:val="普通正文"/>
    <w:basedOn w:val="871"/>
    <w:next w:val="968"/>
    <w:link w:val="871"/>
    <w:pPr>
      <w:ind w:firstLine="480"/>
      <w:jc w:val="left"/>
      <w:spacing w:before="120" w:after="120" w:line="360" w:lineRule="auto"/>
    </w:pPr>
    <w:rPr>
      <w:rFonts w:ascii="Arial" w:hAnsi="Arial"/>
      <w:sz w:val="24"/>
      <w:szCs w:val="24"/>
    </w:rPr>
  </w:style>
  <w:style w:type="paragraph" w:styleId="969">
    <w:name w:val="table_lines"/>
    <w:basedOn w:val="871"/>
    <w:next w:val="969"/>
    <w:link w:val="871"/>
    <w:pPr>
      <w:jc w:val="left"/>
      <w:widowControl/>
    </w:pPr>
    <w:rPr>
      <w:sz w:val="20"/>
      <w:szCs w:val="20"/>
      <w:lang w:val="de-DE" w:eastAsia="de-DE"/>
    </w:rPr>
  </w:style>
  <w:style w:type="paragraph" w:styleId="970">
    <w:name w:val="附录1"/>
    <w:next w:val="970"/>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1"/>
    <w:next w:val="971"/>
    <w:link w:val="871"/>
    <w:pPr>
      <w:jc w:val="left"/>
      <w:spacing w:before="100" w:beforeAutospacing="1" w:after="100" w:afterAutospacing="1"/>
      <w:widowControl/>
    </w:pPr>
    <w:rPr>
      <w:rFonts w:hint="eastAsia" w:ascii="宋体" w:hAnsi="宋体"/>
      <w:sz w:val="18"/>
      <w:szCs w:val="18"/>
    </w:rPr>
  </w:style>
  <w:style w:type="paragraph" w:styleId="972">
    <w:name w:val=" Char Char Char Char"/>
    <w:basedOn w:val="897"/>
    <w:next w:val="972"/>
    <w:link w:val="871"/>
    <w:pPr>
      <w:spacing w:line="360" w:lineRule="auto"/>
    </w:pPr>
    <w:rPr>
      <w:rFonts w:ascii="Tahoma" w:hAnsi="Tahoma"/>
      <w:sz w:val="24"/>
      <w:szCs w:val="24"/>
    </w:rPr>
  </w:style>
  <w:style w:type="paragraph" w:styleId="973">
    <w:name w:val="列出段落"/>
    <w:basedOn w:val="871"/>
    <w:next w:val="973"/>
    <w:link w:val="871"/>
    <w:qFormat/>
    <w:pPr>
      <w:contextualSpacing/>
      <w:ind w:left="720"/>
      <w:jc w:val="left"/>
      <w:widowControl/>
    </w:pPr>
    <w:rPr>
      <w:rFonts w:ascii="Calibri" w:hAnsi="Calibri"/>
      <w:sz w:val="24"/>
      <w:szCs w:val="24"/>
      <w:lang w:eastAsia="en-US" w:bidi="en-US"/>
    </w:rPr>
  </w:style>
  <w:style w:type="paragraph" w:styleId="974">
    <w:name w:val="4"/>
    <w:basedOn w:val="871"/>
    <w:next w:val="928"/>
    <w:link w:val="871"/>
    <w:pPr>
      <w:ind w:firstLine="420"/>
      <w:spacing w:line="360" w:lineRule="auto"/>
    </w:pPr>
    <w:rPr>
      <w:color w:val="ff0000"/>
      <w:sz w:val="24"/>
      <w:szCs w:val="24"/>
    </w:rPr>
  </w:style>
  <w:style w:type="paragraph" w:styleId="975">
    <w:name w:val="普通 (Web)"/>
    <w:basedOn w:val="871"/>
    <w:next w:val="975"/>
    <w:link w:val="87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1"/>
    <w:next w:val="976"/>
    <w:link w:val="871"/>
    <w:pPr>
      <w:spacing w:line="360" w:lineRule="auto"/>
    </w:pPr>
    <w:rPr>
      <w:sz w:val="24"/>
      <w:szCs w:val="20"/>
    </w:rPr>
  </w:style>
  <w:style w:type="paragraph" w:styleId="977">
    <w:name w:val="样式1"/>
    <w:basedOn w:val="871"/>
    <w:next w:val="977"/>
    <w:link w:val="871"/>
    <w:pPr>
      <w:numPr>
        <w:ilvl w:val="0"/>
        <w:numId w:val="3"/>
      </w:numPr>
      <w:tabs>
        <w:tab w:val="left" w:pos="709" w:leader="none"/>
      </w:tabs>
    </w:pPr>
    <w:rPr>
      <w:rFonts w:ascii="宋体" w:hAnsi="宋体"/>
    </w:rPr>
  </w:style>
  <w:style w:type="paragraph" w:styleId="978">
    <w:name w:val="font6"/>
    <w:basedOn w:val="871"/>
    <w:next w:val="978"/>
    <w:link w:val="871"/>
    <w:pPr>
      <w:jc w:val="left"/>
      <w:spacing w:before="100" w:beforeAutospacing="1" w:after="100" w:afterAutospacing="1"/>
      <w:widowControl/>
    </w:pPr>
    <w:rPr>
      <w:rFonts w:hint="eastAsia" w:ascii="宋体" w:hAnsi="宋体"/>
      <w:sz w:val="28"/>
      <w:szCs w:val="28"/>
      <w:u w:val="single"/>
    </w:rPr>
  </w:style>
  <w:style w:type="paragraph" w:styleId="979">
    <w:name w:val="xl25"/>
    <w:basedOn w:val="871"/>
    <w:next w:val="97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1"/>
    <w:next w:val="871"/>
    <w:link w:val="871"/>
    <w:pPr>
      <w:ind w:firstLine="624"/>
      <w:spacing w:line="590" w:lineRule="atLeast"/>
    </w:pPr>
    <w:rPr>
      <w:rFonts w:ascii="方正黑体_GBK" w:eastAsia="方正黑体_GBK"/>
      <w:sz w:val="32"/>
      <w:szCs w:val="32"/>
    </w:rPr>
  </w:style>
  <w:style w:type="paragraph" w:styleId="982">
    <w:name w:val="xl24"/>
    <w:basedOn w:val="871"/>
    <w:next w:val="98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1"/>
    <w:next w:val="983"/>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28"/>
    <w:basedOn w:val="871"/>
    <w:next w:val="98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1"/>
    <w:next w:val="986"/>
    <w:link w:val="871"/>
    <w:pPr>
      <w:jc w:val="left"/>
      <w:spacing w:after="160" w:line="240" w:lineRule="exact"/>
      <w:widowControl/>
    </w:pPr>
    <w:rPr>
      <w:rFonts w:ascii="Verdana" w:hAnsi="Verdana"/>
      <w:sz w:val="20"/>
      <w:szCs w:val="20"/>
      <w:lang w:eastAsia="en-US"/>
    </w:rPr>
  </w:style>
  <w:style w:type="paragraph" w:styleId="987">
    <w:name w:val="xl30"/>
    <w:basedOn w:val="871"/>
    <w:next w:val="987"/>
    <w:link w:val="871"/>
    <w:pPr>
      <w:jc w:val="center"/>
      <w:spacing w:before="100" w:beforeAutospacing="1" w:after="100" w:afterAutospacing="1"/>
      <w:widowControl/>
    </w:pPr>
    <w:rPr>
      <w:rFonts w:ascii="宋体" w:hAnsi="宋体"/>
      <w:b/>
      <w:bCs/>
      <w:sz w:val="36"/>
      <w:szCs w:val="36"/>
    </w:rPr>
  </w:style>
  <w:style w:type="paragraph" w:styleId="988">
    <w:name w:val="Char Char Char Char"/>
    <w:basedOn w:val="897"/>
    <w:next w:val="988"/>
    <w:link w:val="871"/>
    <w:pPr>
      <w:spacing w:line="360" w:lineRule="auto"/>
    </w:pPr>
    <w:rPr>
      <w:rFonts w:ascii="Tahoma" w:hAnsi="Tahoma"/>
      <w:sz w:val="24"/>
      <w:szCs w:val="24"/>
    </w:rPr>
  </w:style>
  <w:style w:type="paragraph" w:styleId="989">
    <w:name w:val="table_1stline"/>
    <w:basedOn w:val="871"/>
    <w:next w:val="989"/>
    <w:link w:val="871"/>
    <w:pPr>
      <w:jc w:val="left"/>
      <w:spacing w:before="120"/>
      <w:widowControl/>
    </w:pPr>
    <w:rPr>
      <w:bCs/>
      <w:sz w:val="20"/>
      <w:szCs w:val="20"/>
      <w:lang w:val="de-DE" w:eastAsia="de-DE"/>
    </w:rPr>
  </w:style>
  <w:style w:type="paragraph" w:styleId="990">
    <w:name w:val="font5"/>
    <w:basedOn w:val="871"/>
    <w:next w:val="990"/>
    <w:link w:val="871"/>
    <w:pPr>
      <w:jc w:val="left"/>
      <w:spacing w:before="100" w:beforeAutospacing="1" w:after="100" w:afterAutospacing="1"/>
      <w:widowControl/>
    </w:pPr>
    <w:rPr>
      <w:rFonts w:hint="eastAsia" w:ascii="宋体" w:hAnsi="宋体"/>
      <w:sz w:val="28"/>
      <w:szCs w:val="28"/>
    </w:rPr>
  </w:style>
  <w:style w:type="paragraph" w:styleId="991">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1"/>
    <w:uiPriority w:val="99"/>
    <w:semiHidden/>
    <w:rPr>
      <w:rFonts w:ascii="Times New Roman" w:hAnsi="Times New Roman"/>
      <w:sz w:val="21"/>
      <w:szCs w:val="21"/>
      <w:lang w:val="en-US" w:eastAsia="zh-CN" w:bidi="ar-SA"/>
    </w:rPr>
  </w:style>
  <w:style w:type="paragraph" w:styleId="993">
    <w:name w:val="无间隔"/>
    <w:next w:val="993"/>
    <w:link w:val="871"/>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1"/>
    <w:next w:val="994"/>
    <w:link w:val="871"/>
    <w:uiPriority w:val="99"/>
    <w:qFormat/>
    <w:pPr>
      <w:jc w:val="center"/>
    </w:pPr>
    <w:rPr>
      <w:b/>
      <w:bCs/>
      <w:sz w:val="20"/>
      <w:szCs w:val="20"/>
    </w:rPr>
  </w:style>
  <w:style w:type="table" w:styleId="995">
    <w:name w:val="Table Normal"/>
    <w:next w:val="995"/>
    <w:link w:val="871"/>
    <w:qFormat/>
    <w:tblPr/>
  </w:style>
  <w:style w:type="paragraph" w:styleId="996">
    <w:name w:val="正文文本1"/>
    <w:basedOn w:val="871"/>
    <w:next w:val="871"/>
    <w:link w:val="871"/>
    <w:semiHidden/>
    <w:qFormat/>
    <w:rPr>
      <w:rFonts w:ascii="Arial" w:hAnsi="Arial" w:eastAsia="Arial" w:cs="Arial"/>
      <w:sz w:val="21"/>
      <w:szCs w:val="21"/>
      <w:lang w:val="en-US" w:eastAsia="en-US" w:bidi="ar-SA"/>
    </w:rPr>
  </w:style>
  <w:style w:type="paragraph" w:styleId="997">
    <w:name w:val="纯文本1"/>
    <w:basedOn w:val="871"/>
    <w:next w:val="997"/>
    <w:link w:val="871"/>
    <w:qFormat/>
    <w:rPr>
      <w:rFonts w:ascii="宋体" w:hAnsi="Courier New" w:cs="Courier New"/>
    </w:rPr>
  </w:style>
  <w:style w:type="table" w:styleId="998">
    <w:name w:val="网格型1"/>
    <w:basedOn w:val="999"/>
    <w:next w:val="998"/>
    <w:link w:val="871"/>
    <w:qFormat/>
    <w:pPr>
      <w:jc w:val="both"/>
      <w:widowControl w:val="off"/>
    </w:pPr>
    <w:tblPr/>
  </w:style>
  <w:style w:type="table" w:styleId="999">
    <w:name w:val="普通表格1"/>
    <w:next w:val="999"/>
    <w:link w:val="871"/>
    <w:uiPriority w:val="99"/>
    <w:unhideWhenUsed/>
    <w:qFormat/>
    <w:tblPr/>
  </w:style>
  <w:style w:type="character" w:styleId="1000">
    <w:name w:val="15"/>
    <w:basedOn w:val="881"/>
    <w:next w:val="1000"/>
    <w:link w:val="871"/>
    <w:rPr>
      <w:rFonts w:ascii="Times New Roman" w:hAnsi="Times New Roman" w:cs="Times New Roman"/>
    </w:rPr>
  </w:style>
  <w:style w:type="paragraph" w:styleId="1001">
    <w:name w:val="正文首行缩进 211"/>
    <w:basedOn w:val="954"/>
    <w:next w:val="871"/>
    <w:link w:val="871"/>
    <w:qFormat/>
    <w:pPr>
      <w:ind w:left="0" w:firstLine="420"/>
      <w:spacing w:after="0" w:line="360" w:lineRule="auto"/>
    </w:pPr>
    <w:rPr>
      <w:rFonts w:ascii="宋体" w:hAnsi="宋体" w:eastAsia="宋体" w:cs="Times New Roman"/>
      <w:szCs w:val="20"/>
    </w:rPr>
  </w:style>
  <w:style w:type="paragraph" w:styleId="1002">
    <w:name w:val="Table Paragraph"/>
    <w:basedOn w:val="871"/>
    <w:next w:val="1002"/>
    <w:link w:val="871"/>
    <w:uiPriority w:val="1"/>
    <w:qFormat/>
    <w:pPr>
      <w:jc w:val="left"/>
    </w:pPr>
    <w:rPr>
      <w:rFonts w:ascii="宋体" w:hAnsi="宋体" w:eastAsia="宋体" w:cs="宋体"/>
      <w:sz w:val="22"/>
      <w:szCs w:val="22"/>
      <w:lang w:val="zh-CN" w:bidi="zh-C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2023-03-16T02:16:00Z</dcterms:created>
  <dcterms:modified xsi:type="dcterms:W3CDTF">2026-08-03T03:44:39Z</dcterms:modified>
</cp:coreProperties>
</file>