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line="9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120" w:after="120" w:line="9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249"/>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项目名称：泗阳县“五好两宜”和美乡村建设试点试验项目</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JSZC-321323-XXXX-C2026-0004        </w:t>
      </w:r>
      <w:r/>
    </w:p>
    <w:p>
      <w:pPr>
        <w:ind w:left="0" w:right="0" w:firstLine="2249"/>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w:t>
      </w:r>
      <w:r>
        <w:rPr>
          <w:rFonts w:ascii="SimSun" w:hAnsi="SimSun" w:eastAsia="SimSun" w:cs="SimSun"/>
          <w:b/>
          <w:color w:val="000000"/>
          <w:sz w:val="32"/>
          <w:u w:val="single"/>
        </w:rPr>
        <w:t xml:space="preserve"> 服务</w:t>
      </w:r>
      <w:r>
        <w:rPr>
          <w:rFonts w:ascii="Times New Roman" w:hAnsi="Times New Roman" w:eastAsia="Times New Roman" w:cs="Times New Roman"/>
          <w:b/>
          <w:color w:val="000000"/>
          <w:sz w:val="32"/>
          <w:u w:val="single"/>
        </w:rPr>
        <w:t xml:space="preserve"> </w:t>
      </w:r>
      <w:r>
        <w:rPr>
          <w:rFonts w:ascii="SimSun" w:hAnsi="SimSun" w:eastAsia="SimSun" w:cs="SimSun"/>
          <w:b/>
          <w:color w:val="000000"/>
          <w:sz w:val="32"/>
        </w:rPr>
        <w:t xml:space="preserve">类项目，</w:t>
      </w:r>
      <w:r>
        <w:rPr>
          <w:rFonts w:ascii="SimSun" w:hAnsi="SimSun" w:eastAsia="SimSun" w:cs="SimSun"/>
          <w:b/>
          <w:color w:val="000000"/>
          <w:sz w:val="32"/>
          <w:u w:val="single"/>
        </w:rPr>
        <w:t xml:space="preserve"> 是</w:t>
      </w:r>
      <w:r>
        <w:rPr>
          <w:rFonts w:ascii="Times New Roman" w:hAnsi="Times New Roman" w:eastAsia="Times New Roman" w:cs="Times New Roman"/>
          <w:b/>
          <w:color w:val="000000"/>
          <w:sz w:val="32"/>
          <w:u w:val="single"/>
        </w:rPr>
        <w:t xml:space="preserve"> </w:t>
      </w:r>
      <w:r>
        <w:rPr>
          <w:rFonts w:ascii="SimSun" w:hAnsi="SimSun" w:eastAsia="SimSun" w:cs="SimSun"/>
          <w:b/>
          <w:color w:val="000000"/>
          <w:sz w:val="32"/>
        </w:rPr>
        <w:t xml:space="preserve">专门面向中小企业）</w:t>
      </w: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90"/>
        <w:jc w:val="both"/>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 泗阳县农业农村局 </w:t>
      </w:r>
      <w:r/>
    </w:p>
    <w:p>
      <w:pPr>
        <w:ind w:left="0" w:right="0" w:firstLine="1606"/>
        <w:jc w:val="both"/>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 江苏中煊工程技术咨询有限公司 </w:t>
      </w:r>
      <w:r/>
    </w:p>
    <w:p>
      <w:pPr>
        <w:ind w:left="0" w:right="0" w:firstLine="2570"/>
        <w:jc w:val="both"/>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u w:val="single"/>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u w:val="single"/>
        </w:rPr>
        <w:t xml:space="preserve">7</w:t>
      </w:r>
      <w:r>
        <w:rPr>
          <w:rFonts w:ascii="SimSun" w:hAnsi="SimSun" w:eastAsia="SimSun" w:cs="SimSun"/>
          <w:b/>
          <w:color w:val="000000"/>
          <w:sz w:val="32"/>
        </w:rPr>
        <w:t xml:space="preserve">月</w:t>
      </w:r>
      <w:r>
        <w:rPr>
          <w:rFonts w:ascii="Times New Roman" w:hAnsi="Times New Roman" w:eastAsia="Times New Roman" w:cs="Times New Roman"/>
          <w:b/>
          <w:color w:val="000000"/>
          <w:sz w:val="32"/>
          <w:u w:val="single"/>
        </w:rPr>
        <w:t xml:space="preserve">24</w:t>
      </w:r>
      <w:r>
        <w:rPr>
          <w:rFonts w:ascii="SimSun" w:hAnsi="SimSun" w:eastAsia="SimSun" w:cs="SimSun"/>
          <w:b/>
          <w:color w:val="000000"/>
          <w:sz w:val="32"/>
        </w:rPr>
        <w:t xml:space="preserve">日</w:t>
      </w:r>
      <w:r/>
    </w:p>
    <w:p>
      <w:pPr>
        <w:ind w:left="0" w:right="0" w:firstLine="0"/>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6"/>
        </w:numPr>
        <w:jc w:val="both"/>
        <w:spacing w:before="0" w:after="0" w:line="55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w:t>
      </w:r>
      <w:r/>
    </w:p>
    <w:p>
      <w:pPr>
        <w:numPr>
          <w:ilvl w:val="0"/>
          <w:numId w:val="16"/>
        </w:numPr>
        <w:jc w:val="both"/>
        <w:spacing w:before="0" w:after="0" w:line="55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w:t>
      </w:r>
      <w:r/>
    </w:p>
    <w:p>
      <w:pPr>
        <w:numPr>
          <w:ilvl w:val="0"/>
          <w:numId w:val="16"/>
        </w:numPr>
        <w:jc w:val="both"/>
        <w:spacing w:before="0" w:after="0" w:line="55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6"/>
        </w:numPr>
        <w:jc w:val="both"/>
        <w:spacing w:before="0" w:after="0" w:line="55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6"/>
        </w:numPr>
        <w:jc w:val="both"/>
        <w:spacing w:before="0" w:after="0" w:line="55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p>
    <w:p>
      <w:pPr>
        <w:numPr>
          <w:ilvl w:val="0"/>
          <w:numId w:val="16"/>
        </w:numPr>
        <w:jc w:val="both"/>
        <w:spacing w:before="0" w:after="0" w:line="55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第一章磋商邀请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Times New Roman" w:hAnsi="Times New Roman" w:eastAsia="Times New Roman" w:cs="Times New Roman"/>
          <w:color w:val="000000"/>
          <w:sz w:val="24"/>
        </w:rPr>
        <w:t xml:space="preserve">[</w:t>
      </w:r>
      <w:r>
        <w:rPr>
          <w:rFonts w:ascii="SimSun" w:hAnsi="SimSun" w:eastAsia="SimSun" w:cs="SimSun"/>
          <w:color w:val="000000"/>
          <w:sz w:val="24"/>
          <w:u w:val="single"/>
        </w:rPr>
        <w:t xml:space="preserve">泗阳县农业农村局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的委托，</w:t>
      </w:r>
      <w:r>
        <w:rPr>
          <w:rFonts w:ascii="Times New Roman" w:hAnsi="Times New Roman" w:eastAsia="Times New Roman" w:cs="Times New Roman"/>
          <w:color w:val="000000"/>
          <w:sz w:val="24"/>
        </w:rPr>
        <w:t xml:space="preserve">[</w:t>
      </w:r>
      <w:r>
        <w:rPr>
          <w:rFonts w:ascii="SimSun" w:hAnsi="SimSun" w:eastAsia="SimSun" w:cs="SimSun"/>
          <w:color w:val="000000"/>
          <w:sz w:val="24"/>
          <w:u w:val="single"/>
        </w:rPr>
        <w:t xml:space="preserve">江苏中煊工程技术咨询有限公司</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就</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泗阳县“五好两宜”和美乡村建设试点试验项目</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JSZC-321323-XXXX-C2026-0004</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项目进行竞争性磋商采购，欢迎符合条件的供应商参加磋商。</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泗阳县“五好两宜”和美乡村建设试点试验项目</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竞争性磋商项目的潜在供应商可在</w:t>
      </w:r>
      <w:r>
        <w:rPr>
          <w:rFonts w:ascii="SimSun" w:hAnsi="SimSun" w:eastAsia="SimSun" w:cs="SimSun"/>
          <w:color w:val="000000"/>
          <w:sz w:val="24"/>
          <w:u w:val="single"/>
        </w:rPr>
        <w:t xml:space="preserve">“宿迁市政府采购网”自行免费下载</w:t>
      </w:r>
      <w:r>
        <w:rPr>
          <w:rFonts w:ascii="SimSun" w:hAnsi="SimSun" w:eastAsia="SimSun" w:cs="SimSun"/>
          <w:color w:val="000000"/>
          <w:sz w:val="24"/>
        </w:rPr>
        <w:t xml:space="preserve">磋商文件，并于</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北京时间）前递交响应文件。</w:t>
      </w:r>
      <w:r/>
    </w:p>
    <w:p>
      <w:pPr>
        <w:ind w:left="0" w:right="0" w:firstLine="498"/>
        <w:jc w:val="both"/>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JSZC-321323-XXXX-C2026-0004</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项目名称：泗阳县“五好两宜”和美乡村建设试点试验项目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万元</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本项目</w:t>
      </w:r>
      <w:r>
        <w:rPr>
          <w:rFonts w:ascii="SimSun" w:hAnsi="SimSun" w:eastAsia="SimSun" w:cs="SimSun"/>
          <w:b/>
          <w:color w:val="000000"/>
          <w:sz w:val="24"/>
          <w:u w:val="single"/>
        </w:rPr>
        <w:t xml:space="preserve"> 设定 </w:t>
      </w:r>
      <w:r>
        <w:rPr>
          <w:rFonts w:ascii="SimSun" w:hAnsi="SimSun" w:eastAsia="SimSun" w:cs="SimSun"/>
          <w:b/>
          <w:color w:val="000000"/>
          <w:sz w:val="24"/>
        </w:rPr>
        <w:t xml:space="preserve">最高限价，最高限价为</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300</w:t>
      </w:r>
      <w:r>
        <w:rPr>
          <w:rFonts w:ascii="SimSun" w:hAnsi="SimSun" w:eastAsia="SimSun" w:cs="SimSun"/>
          <w:b/>
          <w:color w:val="000000"/>
          <w:sz w:val="24"/>
          <w:u w:val="single"/>
        </w:rPr>
        <w:t xml:space="preserve"> </w:t>
      </w:r>
      <w:r>
        <w:rPr>
          <w:rFonts w:ascii="SimSun" w:hAnsi="SimSun" w:eastAsia="SimSun" w:cs="SimSun"/>
          <w:b/>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5.采购需求（简介）：依据《财政部办公厅 农业农村部办公厅关于做好2026年农村综合改革相关试点试验有关工作的通知》（财办农〔2026〕7号）等文件要求，泗阳县积极推进“五好两宜”和美乡村试点试验建设。为探索具有地域特色的和美乡村建设路径，确保项目建设成效，本次工作包含试点试验片区发展规划及规划方案设计。（详细内容见本磋商文件第四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6.合同履行期限：自合同签订之日起，30日历天内完成规划方案。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7.质量要求：合格，规划需符合国家、省、市相关规范与要求，规划设计方案科学、合理，满足可持续发展的要求。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不接受</w:t>
      </w:r>
      <w:r>
        <w:rPr>
          <w:rFonts w:ascii="SimSun" w:hAnsi="SimSun" w:eastAsia="SimSun" w:cs="SimSun"/>
          <w:color w:val="000000"/>
          <w:sz w:val="24"/>
          <w:u w:val="single"/>
        </w:rPr>
        <w:t xml:space="preserve">   </w:t>
      </w:r>
      <w:r>
        <w:rPr>
          <w:rFonts w:ascii="SimSun" w:hAnsi="SimSun" w:eastAsia="SimSun" w:cs="SimSun"/>
          <w:color w:val="000000"/>
          <w:sz w:val="24"/>
        </w:rPr>
        <w:t xml:space="preserve">联合体参与磋商。</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项条件（按要求提供响应声明及承诺函）；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www.ccgp-jiangsu.gov.cn</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单位负责人为同一人或者存在直接控股、管理关系的不同供应商，不得参加同一合同项下的政府采购活动。否则，相关投标均无效。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本项目属于专门面向中小企业采购的项目，供应商应为中小微企业、监狱企业、残疾人福利性单位（供应商应提供《中小企业声明函》或《残疾人福利性单位声明函》或省级以上监狱管理局、戒毒管理局（含新疆生产建设兵团）出具的属于监狱企业的证明文件）。非中小型企业参与本项目投标，将作无效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1、投标人须具有有效的城乡规划编制乙级及以上资质；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2、投标人拟派项目负责人须具有有效的注册城乡规划师职业资格证书或具有城乡规划专业副高级及以上专业技术职称；</w:t>
      </w:r>
      <w:r/>
    </w:p>
    <w:p>
      <w:pPr>
        <w:ind w:left="0" w:right="0" w:firstLine="498"/>
        <w:jc w:val="both"/>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时间：自磋商文件公告发布之日起5个工作日。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方式：供应商应在采购文件提供的时间内，通过“苏采云”系统（网址： </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“采购项目”菜单中，找到本项目获取采购文件（后缀名为“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本项目共分一个包。供应商参与多个包磋商的，应按包分别获取磋商文件。供应商未按要求获取竞争性磋商文件导致无法磋商的，后果自负（其响应文件不予接受）。</w:t>
      </w:r>
      <w:r/>
    </w:p>
    <w:p>
      <w:pPr>
        <w:ind w:left="0" w:right="0" w:firstLine="498"/>
        <w:jc w:val="both"/>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提交响应文件截止时间、磋商时间：</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09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ind w:left="0" w:right="0" w:firstLine="498"/>
        <w:jc w:val="both"/>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个工作日。采购公告发布媒体：宿迁市政府采购网、宿迁市公共资源交易平台、江苏省财政部门指定的媒体。</w:t>
      </w:r>
      <w:r/>
    </w:p>
    <w:p>
      <w:pPr>
        <w:ind w:left="0" w:right="0" w:firstLine="498"/>
        <w:jc w:val="both"/>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财政部门监督电话：</w:t>
      </w:r>
      <w:r>
        <w:rPr>
          <w:rFonts w:ascii="Times New Roman" w:hAnsi="Times New Roman" w:eastAsia="Times New Roman" w:cs="Times New Roman"/>
          <w:color w:val="000000"/>
          <w:sz w:val="24"/>
        </w:rPr>
        <w:t xml:space="preserve">0527-85229058</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”数字证书办理：“苏采云”系统目前仅支持“苏采云”系统下的政务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。省内各地区办理的“苏采云”系统下的政务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15115607509</w:t>
      </w:r>
      <w:r>
        <w:rPr>
          <w:rFonts w:ascii="SimSun" w:hAnsi="SimSun" w:eastAsia="SimSun" w:cs="SimSun"/>
          <w:color w:val="000000"/>
          <w:sz w:val="24"/>
        </w:rPr>
        <w:t xml:space="preserve">。</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宿迁地区“苏采云”技术支持客服电话：</w:t>
      </w:r>
      <w:r>
        <w:rPr>
          <w:rFonts w:ascii="Times New Roman" w:hAnsi="Times New Roman" w:eastAsia="Times New Roman" w:cs="Times New Roman"/>
          <w:color w:val="000000"/>
          <w:sz w:val="24"/>
        </w:rPr>
        <w:t xml:space="preserve">0527-84225125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0527-84363067</w:t>
      </w:r>
      <w:r>
        <w:rPr>
          <w:rFonts w:ascii="SimSun" w:hAnsi="SimSun" w:eastAsia="SimSun" w:cs="SimSun"/>
          <w:color w:val="000000"/>
          <w:sz w:val="24"/>
        </w:rPr>
        <w:t xml:space="preserve">。</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如果供应商通过苏采云系统参与政府采购项目，相关操作手册详见链接：</w:t>
      </w:r>
      <w:r>
        <w:rPr>
          <w:rFonts w:ascii="Times New Roman" w:hAnsi="Times New Roman" w:eastAsia="Times New Roman" w:cs="Times New Roman"/>
          <w:color w:val="000000"/>
          <w:spacing w:val="-6"/>
          <w:sz w:val="24"/>
        </w:rPr>
        <w:t xml:space="preserve">http://www.ccgp-jiangsu.gov.cn/jiangsu/zlxz/ee/ee3a4bc5a3454aa2b0d9312230633ce9.html</w:t>
      </w:r>
      <w:r>
        <w:rPr>
          <w:rFonts w:ascii="SimSun" w:hAnsi="SimSun" w:eastAsia="SimSun" w:cs="SimSun"/>
          <w:color w:val="000000"/>
          <w:spacing w:val="-6"/>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现场勘察及答疑：本项目不组织集中勘察及答疑，供应商如对采购需求有疑问，请咨询采购单位联系人。</w:t>
      </w:r>
      <w:r/>
    </w:p>
    <w:p>
      <w:pPr>
        <w:ind w:left="0" w:right="0" w:firstLine="498"/>
        <w:jc w:val="both"/>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采购人信息</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泗阳县农业农村局</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泗阳县众兴镇北京中路</w:t>
      </w:r>
      <w:r>
        <w:rPr>
          <w:rFonts w:ascii="Times New Roman" w:hAnsi="Times New Roman" w:eastAsia="Times New Roman" w:cs="Times New Roman"/>
          <w:color w:val="000000"/>
          <w:sz w:val="24"/>
          <w:u w:val="single"/>
        </w:rPr>
        <w:t xml:space="preserve">20</w:t>
      </w:r>
      <w:r>
        <w:rPr>
          <w:rFonts w:ascii="SimSun" w:hAnsi="SimSun" w:eastAsia="SimSun" w:cs="SimSun"/>
          <w:color w:val="000000"/>
          <w:sz w:val="24"/>
          <w:u w:val="single"/>
        </w:rPr>
        <w:t xml:space="preserve">号（行政服务中心</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楼）</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陈茂源  </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0527-80622330</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采购代理机构信息</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江苏中煊工程技术咨询有限公司</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泗阳县欧洲花园东门北侧</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宋青     </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18605276369</w:t>
      </w:r>
      <w:r/>
    </w:p>
    <w:p>
      <w:pPr>
        <w:ind w:left="0" w:right="0" w:firstLine="498"/>
        <w:jc w:val="both"/>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有关本次采购的事项若存在变动或修改，敬请及时关注“宿迁市政府采购网”更正公告。</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本次磋商不收取磋商保证金。</w:t>
      </w:r>
      <w:r/>
    </w:p>
    <w:p>
      <w:pPr>
        <w:ind w:left="0" w:right="84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7"/>
        </w:numPr>
        <w:jc w:val="center"/>
        <w:spacing w:before="260" w:after="260" w:line="559" w:lineRule="atLeast"/>
        <w:pBdr>
          <w:top w:val="none" w:color="000000" w:sz="4" w:space="0"/>
          <w:left w:val="none" w:color="000000" w:sz="4" w:space="0"/>
          <w:bottom w:val="none" w:color="000000" w:sz="4" w:space="0"/>
          <w:right w:val="none" w:color="000000" w:sz="4" w:space="0"/>
        </w:pBdr>
      </w:pPr>
      <w:r>
        <w:br w:type="page" w:clear="all"/>
      </w:r>
      <w:r/>
    </w:p>
    <w:p>
      <w:pPr>
        <w:numPr>
          <w:ilvl w:val="0"/>
          <w:numId w:val="17"/>
        </w:numPr>
        <w:jc w:val="center"/>
        <w:spacing w:before="260" w:after="26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供应商须知</w:t>
      </w:r>
      <w:r/>
    </w:p>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供应商须知前附表：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5"/>
        <w:gridCol w:w="1080"/>
        <w:gridCol w:w="7900"/>
      </w:tblGrid>
      <w:tr>
        <w:trPr>
          <w:trHeight w:val="7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rHeight w:val="8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项目类别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0" w:type="dxa"/>
            <w:vAlign w:val="center"/>
            <w:textDirection w:val="lrTb"/>
            <w:noWrap/>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SimSun" w:hAnsi="SimSun" w:eastAsia="SimSun" w:cs="SimSun"/>
                <w:b/>
                <w:color w:val="000000"/>
                <w:sz w:val="24"/>
                <w:u w:val="single"/>
              </w:rPr>
              <w:t xml:space="preserve"> 2 </w:t>
            </w:r>
            <w:r>
              <w:rPr>
                <w:rFonts w:ascii="SimSun" w:hAnsi="SimSun" w:eastAsia="SimSun" w:cs="SimSun"/>
                <w:color w:val="000000"/>
                <w:sz w:val="24"/>
              </w:rPr>
              <w:t xml:space="preserve">种确定：</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1.货物采购；2.服务采购；</w:t>
            </w:r>
            <w:r>
              <w:rPr>
                <w:rFonts w:ascii="SimSun" w:hAnsi="SimSun" w:eastAsia="SimSun" w:cs="SimSun"/>
                <w:color w:val="000000"/>
                <w:sz w:val="24"/>
                <w:u w:val="none"/>
              </w:rPr>
              <w:t xml:space="preserve">3.</w:t>
            </w:r>
            <w:r>
              <w:rPr>
                <w:rFonts w:ascii="SimSun" w:hAnsi="SimSun" w:eastAsia="SimSun" w:cs="SimSun"/>
                <w:color w:val="000000"/>
                <w:sz w:val="24"/>
              </w:rPr>
              <w:t xml:space="preserve">工程采购。</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0" w:type="dxa"/>
            <w:vAlign w:val="center"/>
            <w:textDirection w:val="lrTb"/>
            <w:noWrap/>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60</w:t>
            </w:r>
            <w:r>
              <w:rPr>
                <w:rFonts w:ascii="SimSun" w:hAnsi="SimSun" w:eastAsia="SimSun" w:cs="SimSun"/>
                <w:color w:val="000000"/>
                <w:sz w:val="24"/>
              </w:rPr>
              <w:t xml:space="preserve">日（从提交响应文件截止之日起算）</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0" w:type="dxa"/>
            <w:vAlign w:val="center"/>
            <w:textDirection w:val="lrTb"/>
            <w:noWrap/>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提交加密电子响应文件1份。</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0" w:type="dxa"/>
            <w:vAlign w:val="center"/>
            <w:textDirection w:val="lrTb"/>
            <w:noWrap/>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综合评分法。具体细则详见磋商文件评审方法和评审标准部分。</w:t>
            </w:r>
            <w:r/>
          </w:p>
        </w:tc>
      </w:tr>
      <w:tr>
        <w:trPr>
          <w:trHeight w:val="11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确定成交人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0" w:type="dxa"/>
            <w:vAlign w:val="center"/>
            <w:textDirection w:val="lrTb"/>
            <w:noWrap/>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SimSun" w:hAnsi="SimSun" w:eastAsia="SimSun" w:cs="SimSun"/>
                <w:b/>
                <w:color w:val="000000"/>
                <w:sz w:val="24"/>
                <w:u w:val="single"/>
              </w:rPr>
              <w:t xml:space="preserve"> 1 </w:t>
            </w:r>
            <w:r>
              <w:rPr>
                <w:rFonts w:ascii="SimSun" w:hAnsi="SimSun" w:eastAsia="SimSun" w:cs="SimSun"/>
                <w:color w:val="000000"/>
                <w:sz w:val="24"/>
              </w:rPr>
              <w:t xml:space="preserve">种方式确定成交人：</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1.采购人按照规定在磋商小组推荐的中标候选人中确定成交人；2.采购人授权磋商小组直接确定成交人；</w:t>
            </w:r>
            <w:r/>
          </w:p>
        </w:tc>
      </w:tr>
      <w:tr>
        <w:trPr>
          <w:trHeight w:val="1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0" w:type="dxa"/>
            <w:vAlign w:val="center"/>
            <w:textDirection w:val="lrTb"/>
            <w:noWrap/>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本项目的非主体、非关键性工作是否允许分包按以下第</w:t>
            </w:r>
            <w:r>
              <w:rPr>
                <w:rFonts w:ascii="SimSun" w:hAnsi="SimSun" w:eastAsia="SimSun" w:cs="SimSun"/>
                <w:b/>
                <w:color w:val="000000"/>
                <w:sz w:val="24"/>
                <w:u w:val="single"/>
              </w:rPr>
              <w:t xml:space="preserve">1</w:t>
            </w:r>
            <w:r>
              <w:rPr>
                <w:rFonts w:ascii="SimSun" w:hAnsi="SimSun" w:eastAsia="SimSun" w:cs="SimSun"/>
                <w:color w:val="000000"/>
                <w:sz w:val="24"/>
              </w:rPr>
              <w:t xml:space="preserve">种方式确定：</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1.允许分包，必须经采购人书面同意，允许向一家或者多家具有相应资质的单位分包；分包单位不得再分包；成交供应商对分包内容向采购人承担连带责任。</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2.不允许分包。</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0" w:type="dxa"/>
            <w:vAlign w:val="center"/>
            <w:textDirection w:val="lrTb"/>
            <w:noWrap/>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代理费参照《关于印发〈江苏省招标代理服务收费的指导意见〉的通知》（苏招协[2022]002号)文件规定的标准费率*最终中标金额收取。支付方式可以通过转账、数字人民币等方式。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0" w:type="dxa"/>
            <w:vAlign w:val="center"/>
            <w:textDirection w:val="lrTb"/>
            <w:noWrap/>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信用信息查询截止时间：资格审查结束前。由磋商小组在资格审查现场查询信用信息，网页截屏打印，查询结果留存并归档。</w:t>
            </w:r>
            <w:r/>
          </w:p>
        </w:tc>
      </w:tr>
    </w:tbl>
    <w:p>
      <w:pPr>
        <w:ind w:left="0" w:right="0" w:firstLine="321"/>
        <w:jc w:val="both"/>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本次政府采购活动采取竞争性磋商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以下简称磋商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方式，本磋商文件仅适用于磋商公告中所述项目。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满足磋商公告中供应商资格要求的规定。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满足本磋商文件实质性要求和条件的规定。</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Hei" w:hAnsi="SimHei" w:eastAsia="SimHei" w:cs="SimHei"/>
          <w:color w:val="000000"/>
          <w:sz w:val="28"/>
        </w:rPr>
        <w:t xml:space="preserve">、适用法律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本次磋商及由此产生的合同受中华人民共和国有关的法律法规制约和保护。</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、磋商费用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供应商应自行承担所有与参加本次磋商有关的费用，无论磋商过程中的做法和结果如何，采购代理机构在任何情况下均无义务和责任承担这些费用。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4.2.2 </w:t>
      </w:r>
      <w:r>
        <w:rPr>
          <w:rFonts w:ascii="SimSun" w:hAnsi="SimSun" w:eastAsia="SimSun" w:cs="SimSun"/>
          <w:color w:val="000000"/>
          <w:sz w:val="24"/>
          <w:u w:val="single"/>
        </w:rPr>
        <w:t xml:space="preserve"> </w:t>
      </w:r>
      <w:r>
        <w:rPr>
          <w:rFonts w:ascii="SimSun" w:hAnsi="SimSun" w:eastAsia="SimSun" w:cs="SimSun"/>
          <w:color w:val="000000"/>
          <w:sz w:val="24"/>
        </w:rPr>
        <w:t xml:space="preserve"> 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w:t>
      </w:r>
      <w:r>
        <w:rPr>
          <w:rFonts w:ascii="SimSun" w:hAnsi="SimSun" w:eastAsia="SimSun" w:cs="SimSun"/>
          <w:color w:val="000000"/>
          <w:sz w:val="24"/>
        </w:rPr>
        <w:t xml:space="preserve">无需支付；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采购人支付，具体方式及标准为：</w:t>
      </w:r>
      <w:r>
        <w:rPr>
          <w:rFonts w:ascii="SimSun" w:hAnsi="SimSun" w:eastAsia="SimSun" w:cs="SimSun"/>
          <w:color w:val="000000"/>
          <w:sz w:val="24"/>
          <w:u w:val="single"/>
        </w:rPr>
        <w:t xml:space="preserve">参照《江苏省招标代理服务收费的指导意见》（苏招协〔2022〕002号）文件规定的标准支付招标代理费。支付方式可以通过转账、数字人民币等方式。</w:t>
      </w:r>
      <w:r/>
    </w:p>
    <w:p>
      <w:pPr>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供应商一旦参加本项目采购活动，即被认为接受了本磋商文件的规定和约束。</w:t>
      </w:r>
      <w:r/>
    </w:p>
    <w:p>
      <w:pPr>
        <w:ind w:left="0" w:right="0" w:firstLine="32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磋商文件由以下部分组成：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）供应商须知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）评审方法与评审标准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）响应文件格式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任何要求对磋商文件进行澄清的供应商，应在磋商截止期</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日前按磋商公告中的通讯地址，以书面形式通知采购代理机构。</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采购代理机构可以以更正公告的形式，对已发出的磋商文件进行必要的澄清或者修改。澄清或者修改的内容可能影响响应文件编制的，更正公告应在提交首次响应文件截止时间至少</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日的，采购代理机构应当顺延提交首次响应文件截止时间。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在响应文件提交截止时间前，采购代理机构可以对磋商文件进行修改。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采购代理机构有权按照法定的要求推迟响应文件递交截止日期和磋商日期。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磋商文件的修改将在将在原公告媒体上发布更正公告，更正公告内容将作为磋商文件的组成部分，并对供应商具有约束力，发布的更正公告视同为以书面形式通知所有获取招标文件的潜在投标人。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供应商应及时登录“苏采云”系统获取澄清答疑文件（修改后磋商文件），如因供应商原因未能及时下载澄清和修改后的磋商文件，由此造成的相关责任，由供应商承担。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供应商提交的响应文件以及供应商与采购代理机构就有关磋商的所有来往通知、函件和文件均应使用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 除技术性能另有规定外，响应文件所使用的度量衡单位，均须采用国家法定计量单位。</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各供应商在编制响应文件时请按照磋商文件第六章规定的格式进行，混乱的编排导致响应文件被误读或磋商小组查找不到有效文件是供应商的风险。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供应商编写的响应文件应包括资格证明文件、分项报价表、响应及偏离表、其他证明文件、磋商申请及声明函、开标一览表等部分。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响应文件须加盖电子签章之处，应按要求加盖供应商数字证书的电子签章。其他需要盖章但未明确要求电子签章的，供应商可按要求加盖公章后上传材料电子件或直接加盖电子签章。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如标书制作工具中格式和内容与“宿迁市政府采购网”发布的磋商文件不一致，请以“宿迁市政府采购网”发布的磋商文件为准。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成交后按相关要求提供与电子响应文件一致的纸质打印响应文件</w:t>
      </w: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份</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）响应文件构成资料为非中文时应提供中文译版；（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）磋商文件要求提供证书证件等原件电子件的，供应商提供的电子件应是对证书证件等原件通过扫描、拍照等方式进行数字化的可被“苏采云”系统识别的数字文件，否则磋商小组可以视其未提供。（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）无论何种原因，即使供应商磋商时携带了证书证明资料的原件，但电子响应文件中未包含相关资料电子件的，磋商小组可以视同其未提供。</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rPr>
          <w:rFonts w:ascii="SimSun" w:hAnsi="SimSun" w:eastAsia="SimSun" w:cs="SimSun"/>
          <w:color w:val="000000"/>
          <w:sz w:val="24"/>
        </w:rPr>
        <w:t xml:space="preserve">供应商应按照磋商文件要求提交证明文件，证明其及磋商响应标的符合磋商文件规定。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磋商文件对证明文件无明确形式要求的，证明文件可以以文字资料、图纸和数据等形式提交。</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供应商应按照磋商文件规定格式填报分项报价表。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磋商货币。响应文件中的单价和总价无特殊规定的采用人民币报价，以元为单位标注。磋商文件中另有规定的按规定执行。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w:t>
      </w:r>
      <w:r>
        <w:rPr>
          <w:rFonts w:ascii="SimSun" w:hAnsi="SimSun" w:eastAsia="SimSun" w:cs="SimSun"/>
          <w:b/>
          <w:color w:val="000000"/>
          <w:sz w:val="24"/>
        </w:rPr>
        <w:t xml:space="preserve">供应商响应文件中的报价作为首次报价，不公开；以最后报价作为评审价。</w:t>
      </w:r>
      <w:r>
        <w:rPr>
          <w:rFonts w:ascii="SimSun" w:hAnsi="SimSun" w:eastAsia="SimSun" w:cs="SimSun"/>
          <w:color w:val="000000"/>
          <w:sz w:val="24"/>
        </w:rPr>
        <w:t xml:space="preserve">投标报价内容包括：</w:t>
      </w:r>
      <w:r>
        <w:rPr>
          <w:rFonts w:ascii="SimSun" w:hAnsi="SimSun" w:eastAsia="SimSun" w:cs="SimSun"/>
          <w:b/>
          <w:color w:val="000000"/>
          <w:sz w:val="24"/>
        </w:rPr>
        <w:t xml:space="preserve">服务本身、人工费、服务费、材料费、保险、设备费、税金以及交付使用过程中涉及的其他一切费用。</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供应商需对磋商文件中的技术要求与商务要求逐项作出响应或偏离，并说明原因。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供应商可在响应文件中提供认为需要的其他技术文件或说明。</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w:t>
      </w:r>
      <w:r>
        <w:rPr>
          <w:rFonts w:ascii="SimSun" w:hAnsi="SimSun" w:eastAsia="SimSun" w:cs="SimSun"/>
          <w:color w:val="000000"/>
          <w:sz w:val="24"/>
        </w:rPr>
        <w:t xml:space="preserve">供应商需根据磋商文件要求提供培训计划。</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w:t>
      </w:r>
      <w:r>
        <w:rPr>
          <w:rFonts w:ascii="SimSun" w:hAnsi="SimSun" w:eastAsia="SimSun" w:cs="SimSun"/>
          <w:color w:val="000000"/>
          <w:sz w:val="24"/>
        </w:rPr>
        <w:t xml:space="preserve">供应商需根据磋商文件要求提供磋商响应标的的主要组成部分、功能设计、实现思路及关键技术等。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供应商应按照磋商文件中提供的格式完整、正确填写磋商响应函。</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磋商有效期为提交响应文件截止之日后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成交人的响应文件作为项目合同的附件，其有效期至成交人全部合同义务履行完毕为止。</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、电子磋商响应文件的递交</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供应商应当按照《操作手册》规定，在提交响应文件截止时间前制作并上传电子响应文件。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投标人通过“苏采云”系统不见面开标大厅在线参与开标活动。（具体操作详见《“苏采云”系统投标人操作手册》，网址链接</w:t>
      </w:r>
      <w:r>
        <w:rPr>
          <w:rFonts w:ascii="Times New Roman" w:hAnsi="Times New Roman" w:eastAsia="Times New Roman" w:cs="Times New Roman"/>
          <w:color w:val="000000"/>
          <w:sz w:val="24"/>
        </w:rPr>
        <w:t xml:space="preserve">http://www.ccgp-jiangsu.gov.cn//webfile/jiangsu/202311/1699268553318052447.pdf</w:t>
      </w:r>
      <w:r>
        <w:rPr>
          <w:rFonts w:ascii="SimSun" w:hAnsi="SimSun" w:eastAsia="SimSun" w:cs="SimSun"/>
          <w:color w:val="000000"/>
          <w:sz w:val="24"/>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供应商上传电子响应文件的时间不得迟于磋商公告中规定的提交响应文件截止时间。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采购代理机构可以按照规定，通过修改磋商文件酌情延长提交响应文件截止日期，在此情况下，供应商的所有权利和义务以及供应商受制的截止日期均应以延长后新的截止日期为准。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 </w:t>
      </w:r>
      <w:r>
        <w:rPr>
          <w:rFonts w:ascii="SimSun" w:hAnsi="SimSun" w:eastAsia="SimSun" w:cs="SimSun"/>
          <w:color w:val="000000"/>
          <w:sz w:val="24"/>
        </w:rPr>
        <w:t xml:space="preserve">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响应文件的撤回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电子响应文件的撤回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21.1.2</w:t>
      </w:r>
      <w:r>
        <w:rPr>
          <w:rFonts w:ascii="SimSun" w:hAnsi="SimSun" w:eastAsia="SimSun" w:cs="SimSun"/>
          <w:color w:val="000000"/>
          <w:sz w:val="24"/>
        </w:rPr>
        <w:t xml:space="preserve">供应商撤回电子响应文件，则认为其不再参与本项目磋商活动。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响应文件的修改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在提交响应文件截止时间之后，供应商不得对其电子响应文件作任何修改。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在提交响应文件截止时间至磋商文件中规定的磋商有效期满之间的这段时间内，供应商不得撤回其响应文件。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供应商应当按照《“苏采云”系统供应商操作手册》规定，参加磋商活动和在苏采云系统规定的时间内对磋商响应文件进行解密。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、磋商小组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采购代理机构将组织磋商小组对响应文件进行评审。磋商小组由采购人代表和有关技术、经济等方面的专家组成，且人员构成符合政府采购有关规定。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磋商小组独立工作，负责评审所有响应文件并确定成交侯选人。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Hei" w:hAnsi="SimHei" w:eastAsia="SimHei" w:cs="SimHei"/>
          <w:color w:val="000000"/>
          <w:sz w:val="28"/>
        </w:rPr>
        <w:t xml:space="preserve">、评审过程的保密与公正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在评审过程中，供应商不得以任何行为影响磋商评审过程，否则其响应文件将被作为无效响应文件。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在项目评审期间，采购代理机构将设专门人员与供应商联系。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24.4 </w:t>
      </w:r>
      <w:r>
        <w:rPr>
          <w:rFonts w:ascii="SimSun" w:hAnsi="SimSun" w:eastAsia="SimSun" w:cs="SimSun"/>
          <w:color w:val="000000"/>
          <w:sz w:val="24"/>
        </w:rPr>
        <w:t xml:space="preserve">采购代理机构和磋商小组不向未成交的供应商解释未成交原因，也不公布评审过程中的相关细节。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电子公章。澄清、说明和更正的内容作为响应文件的补充部分，具体操作方式见《操作手册》。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接到磋商小组澄清、说明和更正要求的供应商如未按规定做出澄清、说明和 更正，其风险由供应商自行承担。</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响应文件审查分为资格审查和符合性审查。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 </w:t>
      </w:r>
      <w:r>
        <w:rPr>
          <w:rFonts w:ascii="SimSun" w:hAnsi="SimSun" w:eastAsia="SimSun" w:cs="SimSun"/>
          <w:color w:val="000000"/>
          <w:sz w:val="24"/>
        </w:rPr>
        <w:t xml:space="preserve">资格审查：由磋商小组依据法律法规和磋商文件的规定，对响应文件中的资格证明文件进行审查，以确定供应商是否具备参加磋商的资格。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）查询供应商的信用记录，以确定供应商是否具备磋商资格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联合体成员中任何一方存在不良信用记录的，视同联合体存在不良应用记录。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 </w:t>
      </w:r>
      <w:r>
        <w:rPr>
          <w:rFonts w:ascii="SimSun" w:hAnsi="SimSun" w:eastAsia="SimSun" w:cs="SimSun"/>
          <w:color w:val="000000"/>
          <w:sz w:val="24"/>
        </w:rPr>
        <w:t xml:space="preserve">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 </w:t>
      </w:r>
      <w:r>
        <w:rPr>
          <w:rFonts w:ascii="SimSun" w:hAnsi="SimSun" w:eastAsia="SimSun" w:cs="SimSun"/>
          <w:color w:val="000000"/>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未实质性响应磋商文件的情形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w:t>
      </w:r>
      <w:r>
        <w:rPr>
          <w:rFonts w:ascii="SimSun" w:hAnsi="SimSun" w:eastAsia="SimSun" w:cs="SimSun"/>
          <w:color w:val="000000"/>
          <w:sz w:val="24"/>
        </w:rPr>
        <w:t xml:space="preserve">供应商在苏采云系统规定的时间内未成功解密电子响应文件的。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26.3.2</w:t>
      </w:r>
      <w:r>
        <w:rPr>
          <w:rFonts w:ascii="SimSun" w:hAnsi="SimSun" w:eastAsia="SimSun" w:cs="SimSun"/>
          <w:color w:val="000000"/>
          <w:sz w:val="24"/>
        </w:rPr>
        <w:t xml:space="preserve">供应商未按照磋商文件要求上传电子响应文件的。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26.3.3</w:t>
      </w:r>
      <w:r>
        <w:rPr>
          <w:rFonts w:ascii="SimSun" w:hAnsi="SimSun" w:eastAsia="SimSun" w:cs="SimSun"/>
          <w:color w:val="000000"/>
          <w:sz w:val="24"/>
        </w:rPr>
        <w:t xml:space="preserve">同一供应商提交两个（含两个）以上不同的响应文件或者最后报价的。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26.3.4</w:t>
      </w:r>
      <w:r>
        <w:rPr>
          <w:rFonts w:ascii="SimSun" w:hAnsi="SimSun" w:eastAsia="SimSun" w:cs="SimSun"/>
          <w:color w:val="000000"/>
          <w:sz w:val="24"/>
        </w:rPr>
        <w:t xml:space="preserve">供应商不具备磋商文件中规定资格要求的。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26.3.5</w:t>
      </w:r>
      <w:r>
        <w:rPr>
          <w:rFonts w:ascii="SimSun" w:hAnsi="SimSun" w:eastAsia="SimSun" w:cs="SimSun"/>
          <w:color w:val="000000"/>
          <w:sz w:val="24"/>
        </w:rPr>
        <w:t xml:space="preserve">供应商的最后报价超过了采购预算。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26.3.6</w:t>
      </w:r>
      <w:r>
        <w:rPr>
          <w:rFonts w:ascii="SimSun" w:hAnsi="SimSun" w:eastAsia="SimSun" w:cs="SimSun"/>
          <w:color w:val="000000"/>
          <w:sz w:val="24"/>
        </w:rPr>
        <w:t xml:space="preserve">不符合磋商文件中规定的实质性要求和条件的</w:t>
      </w:r>
      <w:r>
        <w:rPr>
          <w:rFonts w:ascii="SimSun" w:hAnsi="SimSun" w:eastAsia="SimSun" w:cs="SimSun"/>
          <w:i/>
          <w:color w:val="000000"/>
          <w:sz w:val="24"/>
          <w:u w:val="single"/>
        </w:rPr>
        <w:t xml:space="preserve">（</w:t>
      </w:r>
      <w:r>
        <w:rPr>
          <w:rFonts w:ascii="SimSun" w:hAnsi="SimSun" w:eastAsia="SimSun" w:cs="SimSun"/>
          <w:color w:val="000000"/>
          <w:sz w:val="24"/>
          <w:u w:val="single"/>
        </w:rPr>
        <w:t xml:space="preserve">本磋商文件中加★项为实质性要求和条件</w:t>
      </w:r>
      <w:r>
        <w:rPr>
          <w:rFonts w:ascii="SimSun" w:hAnsi="SimSun" w:eastAsia="SimSun" w:cs="SimSun"/>
          <w:i/>
          <w:color w:val="000000"/>
          <w:sz w:val="24"/>
          <w:u w:val="single"/>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26.3.7</w:t>
      </w:r>
      <w:r>
        <w:rPr>
          <w:rFonts w:ascii="SimSun" w:hAnsi="SimSun" w:eastAsia="SimSun" w:cs="SimSun"/>
          <w:color w:val="000000"/>
          <w:sz w:val="24"/>
        </w:rPr>
        <w:t xml:space="preserve">供应商被 “信用中国”网站（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26.3.8</w:t>
      </w:r>
      <w:r>
        <w:rPr>
          <w:rFonts w:ascii="SimSun" w:hAnsi="SimSun" w:eastAsia="SimSun" w:cs="SimSun"/>
          <w:color w:val="000000"/>
          <w:sz w:val="24"/>
        </w:rPr>
        <w:t xml:space="preserve">响应文件含有采购人不能接受的附加条件的。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26.3.9</w:t>
      </w:r>
      <w:r>
        <w:rPr>
          <w:rFonts w:ascii="SimSun" w:hAnsi="SimSun" w:eastAsia="SimSun" w:cs="SimSun"/>
          <w:color w:val="000000"/>
          <w:sz w:val="24"/>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26.3.10</w:t>
      </w:r>
      <w:r>
        <w:rPr>
          <w:rFonts w:ascii="SimSun" w:hAnsi="SimSun" w:eastAsia="SimSun" w:cs="SimSun"/>
          <w:color w:val="000000"/>
          <w:sz w:val="24"/>
        </w:rPr>
        <w:t xml:space="preserve">响应文件未按照磋商文件要求加盖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未实质性响应磋商文件的响应文件按无效响应处理。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供应商在项目评审全过程中应保持通讯畅通，并安排专人与采购代理机构及磋商小组联系。</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rPr>
          <w:rFonts w:ascii="SimHei" w:hAnsi="SimHei" w:eastAsia="SimHei" w:cs="SimHei"/>
          <w:color w:val="000000"/>
          <w:sz w:val="28"/>
        </w:rPr>
        <w:t xml:space="preserve">、磋商程序及评审方法和评审标准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磋商程序</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w:t>
      </w:r>
      <w:r>
        <w:rPr>
          <w:rFonts w:ascii="SimSun" w:hAnsi="SimSun" w:eastAsia="SimSun" w:cs="SimSun"/>
          <w:color w:val="000000"/>
          <w:sz w:val="24"/>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27.1.2</w:t>
      </w:r>
      <w:r>
        <w:rPr>
          <w:rFonts w:ascii="SimSun" w:hAnsi="SimSun" w:eastAsia="SimSun" w:cs="SimSun"/>
          <w:color w:val="000000"/>
          <w:sz w:val="24"/>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家以上供应商的设计方案或者解决方案，在苏采云系统中向其发布“最后报价要求函”及最后报价格式表，要求其在规定时间内提交最后报价。</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Fonts w:ascii="Times New Roman" w:hAnsi="Times New Roman" w:eastAsia="Times New Roman" w:cs="Times New Roman"/>
          <w:color w:val="000000"/>
          <w:sz w:val="24"/>
        </w:rPr>
        <w:t xml:space="preserve">[2015]124</w:t>
      </w:r>
      <w:r>
        <w:rPr>
          <w:rFonts w:ascii="SimSun" w:hAnsi="SimSun" w:eastAsia="SimSun" w:cs="SimSun"/>
          <w:color w:val="000000"/>
          <w:sz w:val="24"/>
        </w:rPr>
        <w:t xml:space="preserve">号）规定情形的，提交最后报价的供应商可以为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27.1.3</w:t>
      </w:r>
      <w:r>
        <w:rPr>
          <w:rFonts w:ascii="SimSun" w:hAnsi="SimSun" w:eastAsia="SimSun" w:cs="SimSun"/>
          <w:color w:val="000000"/>
          <w:sz w:val="24"/>
        </w:rPr>
        <w:t xml:space="preserve">供应商未在磋商小组规定的时间内在苏采云系统中提交最后报价的视为放弃磋商，其响应文件按无效响应处理，最后报价格式表须加盖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否则视为未提交最后报价。已提交响应文件的供应商，在提交最后报价之前，可以根据磋商情况退出磋商，并在苏采云系统中提交“退出磋商函”并加盖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 </w:t>
      </w:r>
      <w:r>
        <w:rPr>
          <w:rFonts w:ascii="SimSun" w:hAnsi="SimSun" w:eastAsia="SimSun" w:cs="SimSun"/>
          <w:color w:val="000000"/>
          <w:sz w:val="24"/>
        </w:rPr>
        <w:t xml:space="preserve">评审方法和评审标准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27.2.1</w:t>
      </w:r>
      <w:r>
        <w:rPr>
          <w:rFonts w:ascii="SimSun" w:hAnsi="SimSun" w:eastAsia="SimSun" w:cs="SimSun"/>
          <w:color w:val="000000"/>
          <w:sz w:val="24"/>
        </w:rPr>
        <w:t xml:space="preserve">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27.2.2</w:t>
      </w:r>
      <w:r>
        <w:rPr>
          <w:rFonts w:ascii="SimSun" w:hAnsi="SimSun" w:eastAsia="SimSun" w:cs="SimSun"/>
          <w:color w:val="000000"/>
          <w:sz w:val="24"/>
        </w:rPr>
        <w:t xml:space="preserve">评审标准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w:t>
      </w:r>
      <w:r>
        <w:rPr>
          <w:rFonts w:ascii="SimSun" w:hAnsi="SimSun" w:eastAsia="SimSun" w:cs="SimSun"/>
          <w:color w:val="000000"/>
          <w:sz w:val="24"/>
        </w:rPr>
        <w:t xml:space="preserve">采购活动终止的情况</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27.3.1</w:t>
      </w:r>
      <w:r>
        <w:rPr>
          <w:rFonts w:ascii="SimSun" w:hAnsi="SimSun" w:eastAsia="SimSun" w:cs="SimSun"/>
          <w:color w:val="000000"/>
          <w:sz w:val="24"/>
        </w:rPr>
        <w:t xml:space="preserve">因情况变化，不再符合规定的竞争性磋商采购方式适用情形的。</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27.3.2</w:t>
      </w:r>
      <w:r>
        <w:rPr>
          <w:rFonts w:ascii="SimSun" w:hAnsi="SimSun" w:eastAsia="SimSun" w:cs="SimSun"/>
          <w:color w:val="000000"/>
          <w:sz w:val="24"/>
        </w:rPr>
        <w:t xml:space="preserve">出现影响采购公正的违法、违规行为的。</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27.3.3</w:t>
      </w:r>
      <w:r>
        <w:rPr>
          <w:rFonts w:ascii="SimSun" w:hAnsi="SimSun" w:eastAsia="SimSun" w:cs="SimSun"/>
          <w:color w:val="000000"/>
          <w:sz w:val="24"/>
        </w:rPr>
        <w:t xml:space="preserve">除本磋商文件第二章第</w:t>
      </w:r>
      <w:r>
        <w:rPr>
          <w:rFonts w:ascii="Times New Roman" w:hAnsi="Times New Roman" w:eastAsia="Times New Roman" w:cs="Times New Roman"/>
          <w:color w:val="000000"/>
          <w:sz w:val="24"/>
        </w:rPr>
        <w:t xml:space="preserve">27.1.2</w:t>
      </w:r>
      <w:r>
        <w:rPr>
          <w:rFonts w:ascii="SimSun" w:hAnsi="SimSun" w:eastAsia="SimSun" w:cs="SimSun"/>
          <w:color w:val="000000"/>
          <w:sz w:val="24"/>
        </w:rPr>
        <w:t xml:space="preserve">条第三款规定的情形外，在采购过程中符合要求的供应商或者最后报价未超过采购预算的供应商不足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36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27.3.4</w:t>
      </w:r>
      <w:r>
        <w:rPr>
          <w:rFonts w:ascii="SimSun" w:hAnsi="SimSun" w:eastAsia="SimSun" w:cs="SimSun"/>
          <w:color w:val="000000"/>
          <w:sz w:val="24"/>
        </w:rPr>
        <w:t xml:space="preserve">在苏采云系统规定时间内成功解密电子响应文件的供应商不足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28</w:t>
      </w:r>
      <w:r>
        <w:rPr>
          <w:rFonts w:ascii="SimHei" w:hAnsi="SimHei" w:eastAsia="SimHei" w:cs="SimHei"/>
          <w:color w:val="000000"/>
          <w:sz w:val="30"/>
        </w:rPr>
        <w:t xml:space="preserve">、确定成交单位</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磋商小组根据综合评分情况，按照评审得分由高到低顺序推荐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名成交候选供应商，并编写评审报告。符合本磋商文件第二章第</w:t>
      </w:r>
      <w:r>
        <w:rPr>
          <w:rFonts w:ascii="Times New Roman" w:hAnsi="Times New Roman" w:eastAsia="Times New Roman" w:cs="Times New Roman"/>
          <w:color w:val="000000"/>
          <w:sz w:val="24"/>
        </w:rPr>
        <w:t xml:space="preserve">27.1.2</w:t>
      </w:r>
      <w:r>
        <w:rPr>
          <w:rFonts w:ascii="SimSun" w:hAnsi="SimSun" w:eastAsia="SimSun" w:cs="SimSun"/>
          <w:color w:val="000000"/>
          <w:sz w:val="24"/>
        </w:rPr>
        <w:t xml:space="preserve">条情形的，可以推荐</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名成交候选供应商。评审得分相同的，按照最后报价由低到高的顺序推荐。评审得分且最后报价相同的，按照技术指标优劣顺序推荐。</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采购人从评审报告提出的成交候选供应商中，按照排序由高到低的原则确定成交供应商。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种方式确定成交供应商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）磋商小组直接确定排名第一的成交候选供应商为成交供应商；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）采购人从评审报告提出的成交候选供应商中按顺序确定成交供应商。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w:t>
      </w:r>
      <w:r>
        <w:rPr>
          <w:rFonts w:ascii="SimSun" w:hAnsi="SimSun" w:eastAsia="SimSun" w:cs="SimSun"/>
          <w:color w:val="000000"/>
          <w:sz w:val="24"/>
        </w:rPr>
        <w:t xml:space="preserve">成交供应商确定后，采购代理机构将在“宿迁市政府采购网”发布成交结果公告，公告期限为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77"/>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w:t>
      </w:r>
      <w:r>
        <w:rPr>
          <w:rFonts w:ascii="SimSun" w:hAnsi="SimSun" w:eastAsia="SimSun" w:cs="SimSun"/>
          <w:color w:val="000000"/>
          <w:sz w:val="24"/>
        </w:rPr>
        <w:t xml:space="preserve">若有充分证据证明，成交供应商出现下列情况之一的，一经查实，将被取消成交资格：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28.4.1</w:t>
      </w:r>
      <w:r>
        <w:rPr>
          <w:rFonts w:ascii="SimSun" w:hAnsi="SimSun" w:eastAsia="SimSun" w:cs="SimSun"/>
          <w:color w:val="000000"/>
          <w:sz w:val="24"/>
        </w:rPr>
        <w:t xml:space="preserve">提供虚假材料谋取成交的。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28.4.2</w:t>
      </w:r>
      <w:r>
        <w:rPr>
          <w:rFonts w:ascii="SimSun" w:hAnsi="SimSun" w:eastAsia="SimSun" w:cs="SimSun"/>
          <w:color w:val="000000"/>
          <w:sz w:val="24"/>
        </w:rPr>
        <w:t xml:space="preserve">与评审专家、采购人、其他供应商或者采购代理机构工作人员恶意串通的。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28.4.3</w:t>
      </w:r>
      <w:r>
        <w:rPr>
          <w:rFonts w:ascii="SimSun" w:hAnsi="SimSun" w:eastAsia="SimSun" w:cs="SimSun"/>
          <w:color w:val="000000"/>
          <w:sz w:val="24"/>
        </w:rPr>
        <w:t xml:space="preserve">向评审专家、采购人或采购代理机构工作人员行贿或者提供其他不正当利益的。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28.4.4</w:t>
      </w:r>
      <w:r>
        <w:rPr>
          <w:rFonts w:ascii="SimSun" w:hAnsi="SimSun" w:eastAsia="SimSun" w:cs="SimSun"/>
          <w:color w:val="000000"/>
          <w:sz w:val="24"/>
        </w:rPr>
        <w:t xml:space="preserve">恶意竞争，最后报价明显低于其自身合理成本且又无法提供证明的。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28.4.5</w:t>
      </w:r>
      <w:r>
        <w:rPr>
          <w:rFonts w:ascii="SimSun" w:hAnsi="SimSun" w:eastAsia="SimSun" w:cs="SimSun"/>
          <w:color w:val="000000"/>
          <w:sz w:val="24"/>
        </w:rPr>
        <w:t xml:space="preserve">不满足本磋商文件规定的实质性要求，但在评审过程中又未被磋商小组发现的。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28.4.6</w:t>
      </w:r>
      <w:r>
        <w:rPr>
          <w:rFonts w:ascii="SimSun" w:hAnsi="SimSun" w:eastAsia="SimSun" w:cs="SimSun"/>
          <w:color w:val="000000"/>
          <w:sz w:val="24"/>
        </w:rPr>
        <w:t xml:space="preserve">成交后无正当理由拒不与采购人签订政府采购合同或者未按照磋商文件确定的事项签订政府采购合同的。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28.4.7</w:t>
      </w:r>
      <w:r>
        <w:rPr>
          <w:rFonts w:ascii="SimSun" w:hAnsi="SimSun" w:eastAsia="SimSun" w:cs="SimSun"/>
          <w:color w:val="000000"/>
          <w:sz w:val="24"/>
        </w:rPr>
        <w:t xml:space="preserve">将政府采购合同转包的。</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29</w:t>
      </w:r>
      <w:r>
        <w:rPr>
          <w:rFonts w:ascii="SimHei" w:hAnsi="SimHei" w:eastAsia="SimHei" w:cs="SimHei"/>
          <w:color w:val="000000"/>
          <w:sz w:val="30"/>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 </w:t>
      </w:r>
      <w:r>
        <w:rPr>
          <w:rFonts w:ascii="SimSun" w:hAnsi="SimSun" w:eastAsia="SimSun" w:cs="SimSun"/>
          <w:color w:val="000000"/>
          <w:sz w:val="24"/>
        </w:rPr>
        <w:t xml:space="preserve">提出质疑的供应商应当是参与所质疑项目采购活动的供应商。潜在供应商依法获取其可质疑的采购文件的，可以对采购文件提出质疑。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供应商认为采购文件、采购过程和采购结果使自己的权益受到损害的，可以在知道或应知其权益受到损害之日起七个工作日内，以书面形式根据下述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29.2.3</w:t>
      </w:r>
      <w:r>
        <w:rPr>
          <w:rFonts w:ascii="SimSun" w:hAnsi="SimSun" w:eastAsia="SimSun" w:cs="SimSun"/>
          <w:color w:val="000000"/>
          <w:sz w:val="24"/>
        </w:rPr>
        <w:t xml:space="preserve">对成交结果提出质疑的，为成交结果公告期限届满之日。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29.4 </w:t>
      </w:r>
      <w:r>
        <w:rPr>
          <w:rFonts w:ascii="SimSun" w:hAnsi="SimSun" w:eastAsia="SimSun" w:cs="SimSun"/>
          <w:color w:val="000000"/>
          <w:sz w:val="24"/>
        </w:rPr>
        <w:t xml:space="preserve">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根据本项目的《委托代理协议》，本项目由</w:t>
      </w:r>
      <w:r>
        <w:rPr>
          <w:rFonts w:ascii="SimSun" w:hAnsi="SimSun" w:eastAsia="SimSun" w:cs="SimSun"/>
          <w:color w:val="000000"/>
          <w:sz w:val="24"/>
          <w:u w:val="single"/>
        </w:rPr>
        <w:t xml:space="preserve"> 泗阳县农业农村局</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江苏中煊工程技术咨询有限公司</w:t>
      </w:r>
      <w:r>
        <w:rPr>
          <w:rFonts w:ascii="SimSun" w:hAnsi="SimSun" w:eastAsia="SimSun" w:cs="SimSun"/>
          <w:color w:val="000000"/>
          <w:sz w:val="24"/>
        </w:rPr>
        <w:t xml:space="preserve">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 </w:t>
      </w:r>
      <w:r>
        <w:rPr>
          <w:rFonts w:ascii="SimSun" w:hAnsi="SimSun" w:eastAsia="SimSun" w:cs="SimSun"/>
          <w:color w:val="000000"/>
          <w:sz w:val="24"/>
          <w:u w:val="single"/>
        </w:rPr>
        <w:t xml:space="preserve">泗阳县农业农村局</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江苏中煊工程技术咨询有限公司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13852823651/18605276369</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 泗阳县众兴镇北京中路</w:t>
      </w:r>
      <w:r>
        <w:rPr>
          <w:rFonts w:ascii="Times New Roman" w:hAnsi="Times New Roman" w:eastAsia="Times New Roman" w:cs="Times New Roman"/>
          <w:color w:val="000000"/>
          <w:sz w:val="24"/>
          <w:u w:val="single"/>
        </w:rPr>
        <w:t xml:space="preserve">20</w:t>
      </w:r>
      <w:r>
        <w:rPr>
          <w:rFonts w:ascii="SimSun" w:hAnsi="SimSun" w:eastAsia="SimSun" w:cs="SimSun"/>
          <w:color w:val="000000"/>
          <w:sz w:val="24"/>
          <w:u w:val="single"/>
        </w:rPr>
        <w:t xml:space="preserve">号</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行政服务中心</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楼</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泗阳县欧洲花园东门北侧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 </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29.5.1 </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29.5.2 </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29.5.3 </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29.5.4 </w:t>
      </w:r>
      <w:r>
        <w:rPr>
          <w:rFonts w:ascii="SimSun" w:hAnsi="SimSun" w:eastAsia="SimSun" w:cs="SimSun"/>
          <w:color w:val="000000"/>
          <w:sz w:val="24"/>
        </w:rPr>
        <w:t xml:space="preserve">未参加磋商活动的供应商或在磋商活动中自身权益未受到损害的供应商所提出的质疑。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29.5.5</w:t>
      </w:r>
      <w:r>
        <w:rPr>
          <w:rFonts w:ascii="SimSun" w:hAnsi="SimSun" w:eastAsia="SimSun" w:cs="SimSun"/>
          <w:color w:val="000000"/>
          <w:sz w:val="24"/>
        </w:rPr>
        <w:t xml:space="preserve">供应商组成联合体参加磋商，联合体中任何一方或多方未按要求签字、盖章、加盖公章的质疑。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29.6  </w:t>
      </w:r>
      <w:r>
        <w:rPr>
          <w:rFonts w:ascii="SimSun" w:hAnsi="SimSun" w:eastAsia="SimSun" w:cs="SimSun"/>
          <w:color w:val="000000"/>
          <w:sz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29.7</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30</w:t>
      </w:r>
      <w:r>
        <w:rPr>
          <w:rFonts w:ascii="SimHei" w:hAnsi="SimHei" w:eastAsia="SimHei" w:cs="SimHei"/>
          <w:color w:val="000000"/>
          <w:sz w:val="30"/>
        </w:rPr>
        <w:t xml:space="preserve">、成交通知书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30.1</w:t>
      </w:r>
      <w:r>
        <w:rPr>
          <w:rFonts w:ascii="SimSun" w:hAnsi="SimSun" w:eastAsia="SimSun" w:cs="SimSun"/>
          <w:color w:val="000000"/>
          <w:sz w:val="24"/>
        </w:rPr>
        <w:t xml:space="preserve">成交结果确定后，采购代理机构将向成交供应商发出成交通知书。请成交供应商使用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数字证书登录“苏采云系统”及时下载成交通知书。成交供应商可自行下载打印《成交通知书》，《成交通知书》将作为授予合同资格的唯一合法依据。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31. </w:t>
      </w:r>
      <w:r>
        <w:rPr>
          <w:rFonts w:ascii="SimHei" w:hAnsi="SimHei" w:eastAsia="SimHei" w:cs="SimHei"/>
          <w:color w:val="000000"/>
          <w:sz w:val="30"/>
        </w:rPr>
        <w:t xml:space="preserve">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31.l</w:t>
      </w:r>
      <w:r>
        <w:rPr>
          <w:rFonts w:ascii="SimSun" w:hAnsi="SimSun" w:eastAsia="SimSun" w:cs="SimSun"/>
          <w:color w:val="000000"/>
          <w:sz w:val="24"/>
        </w:rPr>
        <w:t xml:space="preserve">成交供应商应当在成交通知书发出之日起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日内，按照磋商文件确定的事项与采购人签订政府采购合同。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磋商文件、成交供应商的响应文件及磋商过程中有关澄清、承诺文件均应作为合同附件。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31.3 </w:t>
      </w:r>
      <w:r>
        <w:rPr>
          <w:rFonts w:ascii="SimSun" w:hAnsi="SimSun" w:eastAsia="SimSun" w:cs="SimSun"/>
          <w:color w:val="000000"/>
          <w:sz w:val="24"/>
        </w:rPr>
        <w:t xml:space="preserve">签订合同后，成交供应商不得将合同标的进行转包。未经采购人同意，成交供应商也不得采用分包形式履行合同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否则采购人有权终止合同。转包或分包造成采购人损失的，成交供应商应承担相应赔偿责任。</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本项目的非主体、非关键性工作是否允许分包按以下第</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种方式确定：</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允许分包，必须经采购人书面同意，允许向一家或者多家具有相应资质的单位分包；分包单位不得再分包；成交供应商对分包内容向采购人承担连带责任；</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不允许分包。未经采购人同意，成交供应商也不得采用分包形式履行合同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否则采购人有权终止合同。转包或分包造成采购人损失的，成交供应商应承担相应赔偿责任。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31.5</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履约保证金应在采购合同签订前提交，履约保证金的金额</w:t>
      </w:r>
      <w:r>
        <w:rPr>
          <w:rFonts w:ascii="SimSun" w:hAnsi="SimSun" w:eastAsia="SimSun" w:cs="SimSun"/>
          <w:color w:val="000000"/>
          <w:sz w:val="24"/>
          <w:u w:val="single"/>
        </w:rPr>
        <w:t xml:space="preserve">   中标价的</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   </w:t>
      </w:r>
      <w:r>
        <w:rPr>
          <w:rFonts w:ascii="SimSun" w:hAnsi="SimSun" w:eastAsia="SimSun" w:cs="SimSun"/>
          <w:color w:val="000000"/>
          <w:sz w:val="24"/>
        </w:rPr>
        <w:t xml:space="preserve">：按采购合同总价的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10  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计取，如使用江苏政府采购电子履约保函（保险）代替缴纳履约保证金的，按采购合同总价的</w:t>
      </w:r>
      <w:r>
        <w:rPr>
          <w:rFonts w:ascii="Times New Roman" w:hAnsi="Times New Roman" w:eastAsia="Times New Roman" w:cs="Times New Roman"/>
          <w:color w:val="000000"/>
          <w:sz w:val="24"/>
          <w:u w:val="single"/>
        </w:rPr>
        <w:t xml:space="preserve"> 6% </w:t>
      </w:r>
      <w:r>
        <w:rPr>
          <w:rFonts w:ascii="SimSun" w:hAnsi="SimSun" w:eastAsia="SimSun" w:cs="SimSun"/>
          <w:color w:val="000000"/>
          <w:sz w:val="24"/>
        </w:rPr>
        <w:t xml:space="preserve">计取。除银行电汇、网上银行（从中标人法人基本存款账户转出）外，供应商还可选用银行保函、担保公司的保证担保或保险公司的保证保险等多种形式向采购人缴纳。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户名：泗阳县财政局国库股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开户行：泗阳农商行营业部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Times New Roman" w:hAnsi="Times New Roman" w:eastAsia="Times New Roman" w:cs="Times New Roman"/>
          <w:color w:val="000000"/>
          <w:sz w:val="24"/>
        </w:rPr>
        <w:t xml:space="preserve">3213232701201000013869</w:t>
      </w:r>
      <w:r>
        <w:rPr>
          <w:rFonts w:ascii="SimSun" w:hAnsi="SimSun" w:eastAsia="SimSun" w:cs="SimSun"/>
          <w:color w:val="00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履约保证金退还的条件：服务类项目，项目履约期满评价合格，出具履约评价报告及履约保证金收据申请退付；</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履约保证金退还时间：采购人收到成交供应商退付申请后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％后的利率支付超期资金占用费，但因成交供应商自身原因导致无法及时退还的除外。</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32</w:t>
      </w:r>
      <w:r>
        <w:rPr>
          <w:rFonts w:ascii="SimHei" w:hAnsi="SimHei" w:eastAsia="SimHei" w:cs="SimHei"/>
          <w:color w:val="000000"/>
          <w:sz w:val="30"/>
        </w:rPr>
        <w:t xml:space="preserve">、标的物的追加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w:t>
      </w:r>
      <w:r>
        <w:rPr>
          <w:rFonts w:ascii="SimSun" w:hAnsi="SimSun" w:eastAsia="SimSun" w:cs="SimSun"/>
          <w:color w:val="000000"/>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33</w:t>
      </w:r>
      <w:r>
        <w:rPr>
          <w:rFonts w:ascii="SimHei" w:hAnsi="SimHei" w:eastAsia="SimHei" w:cs="SimHei"/>
          <w:color w:val="000000"/>
          <w:sz w:val="30"/>
        </w:rPr>
        <w:t xml:space="preserve">、政府采购履约资金扶持政策</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依据《关于转发江苏省财政厅、中国人民银行南京分行</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关于深入推进政府采购线上合同信用融资工作的通知</w:t>
      </w:r>
      <w:r>
        <w:rPr>
          <w:rFonts w:ascii="Times New Roman" w:hAnsi="Times New Roman" w:eastAsia="Times New Roman" w:cs="Times New Roman"/>
          <w:color w:val="000000"/>
          <w:sz w:val="24"/>
        </w:rPr>
        <w:t xml:space="preserve">&gt;</w:t>
      </w:r>
      <w:r>
        <w:rPr>
          <w:rFonts w:ascii="SimSun" w:hAnsi="SimSun" w:eastAsia="SimSun" w:cs="SimSun"/>
          <w:color w:val="000000"/>
          <w:sz w:val="24"/>
        </w:rPr>
        <w:t xml:space="preserve">的通知》（通财购〔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18"/>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34</w:t>
      </w:r>
      <w:r>
        <w:rPr>
          <w:rFonts w:ascii="SimHei" w:hAnsi="SimHei" w:eastAsia="SimHei" w:cs="SimHei"/>
          <w:b/>
          <w:color w:val="000000"/>
          <w:sz w:val="30"/>
        </w:rPr>
        <w:t xml:space="preserve">、验收及付款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SimSun" w:hAnsi="SimSun" w:eastAsia="SimSun" w:cs="SimSun"/>
          <w:color w:val="000000"/>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SimSun" w:hAnsi="SimSun" w:eastAsia="SimSun" w:cs="SimSun"/>
          <w:color w:val="000000"/>
          <w:sz w:val="24"/>
        </w:rPr>
        <w:t xml:space="preserve">采购人可以邀请参加本项目的其他供应商或者第三方机构参与验收。参与验收的供应商或者第三方机构的意见作为验收书的参考资料一并存档。</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34.3</w:t>
      </w:r>
      <w:r>
        <w:rPr>
          <w:rFonts w:ascii="SimSun" w:hAnsi="SimSun" w:eastAsia="SimSun" w:cs="SimSun"/>
          <w:color w:val="000000"/>
          <w:sz w:val="24"/>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34.4</w:t>
      </w:r>
      <w:r>
        <w:rPr>
          <w:rFonts w:ascii="SimSun" w:hAnsi="SimSun" w:eastAsia="SimSun" w:cs="SimSun"/>
          <w:color w:val="000000"/>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w:t>
      </w:r>
      <w:r>
        <w:rPr>
          <w:rFonts w:ascii="SimSun" w:hAnsi="SimSun" w:eastAsia="SimSun" w:cs="SimSun"/>
          <w:b/>
          <w:color w:val="000000"/>
          <w:sz w:val="24"/>
        </w:rPr>
        <w:t xml:space="preserve">、付款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按照以下</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类项目确定的付款方式，采购人及时办理付款手续。对于满足合同约定支付条件的，自收到发票后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个工作日内将资金支付到合同约定的供应商账户或供应商数字人民币账户。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）货物类项目</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，合同签订后按规定支付；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）服务类项目</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10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，合同签订后按规定支付；</w:t>
      </w:r>
      <w:r>
        <w:rPr>
          <w:rFonts w:ascii="FangSong" w:hAnsi="FangSong" w:eastAsia="FangSong" w:cs="FangSong"/>
          <w:color w:val="00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w:t>
      </w:r>
      <w:r>
        <w:rPr>
          <w:rFonts w:ascii="SimSun" w:hAnsi="SimSun" w:eastAsia="SimSun" w:cs="SimSun"/>
          <w:color w:val="000000"/>
          <w:sz w:val="24"/>
          <w:u w:val="single"/>
        </w:rPr>
        <w:t xml:space="preserve">  全部成果通过采购人及相关部门的审查确认后，支付至合同金额的</w:t>
      </w:r>
      <w:r>
        <w:rPr>
          <w:rFonts w:ascii="Times New Roman" w:hAnsi="Times New Roman" w:eastAsia="Times New Roman" w:cs="Times New Roman"/>
          <w:color w:val="000000"/>
          <w:sz w:val="24"/>
          <w:u w:val="single"/>
        </w:rPr>
        <w:t xml:space="preserve">50%</w:t>
      </w:r>
      <w:r>
        <w:rPr>
          <w:rFonts w:ascii="SimSun" w:hAnsi="SimSun" w:eastAsia="SimSun" w:cs="SimSun"/>
          <w:color w:val="000000"/>
          <w:sz w:val="24"/>
          <w:u w:val="single"/>
        </w:rPr>
        <w:t xml:space="preserve">，尾款待提交最终成果后完成支付。采购人每次付款前，中标人必须向采购人提供正规发票。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ind w:left="0" w:right="0" w:firstLine="264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以下为成交后签定本项目合同的通用条款，成交供应商不得提出实质性的修改。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48"/>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4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48"/>
        </w:rPr>
        <w:t xml:space="preserve">规划设计技术合同（范本）</w:t>
      </w:r>
      <w:r/>
    </w:p>
    <w:p>
      <w:pPr>
        <w:ind w:left="0" w:right="0" w:firstLine="12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982" w:right="0" w:hanging="127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822" w:right="0" w:hanging="211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 名 称： </w:t>
      </w:r>
      <w:r>
        <w:rPr>
          <w:rFonts w:ascii="SimSun" w:hAnsi="SimSun" w:eastAsia="SimSun" w:cs="SimSun"/>
          <w:color w:val="000000"/>
          <w:sz w:val="28"/>
          <w:u w:val="single"/>
        </w:rPr>
        <w:t xml:space="preserve">泗阳县“五好两宜”和美乡村建设试点试验项目</w:t>
      </w:r>
      <w:r/>
    </w:p>
    <w:p>
      <w:pPr>
        <w:ind w:left="1982" w:right="0" w:hanging="127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项目建设地点： </w:t>
      </w:r>
      <w:r>
        <w:rPr>
          <w:rFonts w:ascii="SimSun" w:hAnsi="SimSun" w:eastAsia="SimSun" w:cs="SimSun"/>
          <w:color w:val="000000"/>
          <w:sz w:val="28"/>
          <w:u w:val="single"/>
        </w:rPr>
        <w:t xml:space="preserve">宿迁市泗阳县</w:t>
      </w:r>
      <w:r/>
    </w:p>
    <w:p>
      <w:pPr>
        <w:ind w:left="1982" w:right="0" w:hanging="127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委托方（甲方）：</w:t>
      </w:r>
      <w:r>
        <w:rPr>
          <w:rFonts w:ascii="SimSun" w:hAnsi="SimSun" w:eastAsia="SimSun" w:cs="SimSun"/>
          <w:color w:val="000000"/>
          <w:sz w:val="28"/>
          <w:u w:val="single"/>
        </w:rPr>
        <w:t xml:space="preserve">泗阳县农业农村局</w:t>
      </w:r>
      <w:r/>
    </w:p>
    <w:p>
      <w:pPr>
        <w:ind w:left="1982" w:right="0" w:hanging="127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承接方（乙方）：</w:t>
      </w:r>
      <w:r>
        <w:rPr>
          <w:rFonts w:ascii="SimSun" w:hAnsi="SimSun" w:eastAsia="SimSun" w:cs="SimSun"/>
          <w:color w:val="000000"/>
          <w:sz w:val="28"/>
          <w:u w:val="single"/>
        </w:rPr>
        <w:t xml:space="preserve">                                          </w:t>
      </w:r>
      <w:r/>
    </w:p>
    <w:p>
      <w:pPr>
        <w:ind w:left="1982" w:right="0" w:hanging="127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 同 编 号：</w:t>
      </w:r>
      <w:r>
        <w:rPr>
          <w:rFonts w:ascii="SimSun" w:hAnsi="SimSun" w:eastAsia="SimSun" w:cs="SimSun"/>
          <w:color w:val="000000"/>
          <w:sz w:val="28"/>
          <w:u w:val="single"/>
        </w:rPr>
        <w:t xml:space="preserve">                                            </w:t>
      </w:r>
      <w:r/>
    </w:p>
    <w:p>
      <w:pPr>
        <w:ind w:left="0" w:right="0" w:firstLine="7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7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7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7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1982" w:right="0" w:hanging="127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签订地点： 宿迁市泗阳县 </w:t>
      </w:r>
      <w:r/>
    </w:p>
    <w:p>
      <w:pPr>
        <w:ind w:left="1982" w:right="0" w:hanging="127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签订日期：年月日</w:t>
      </w:r>
      <w:r/>
    </w:p>
    <w:p>
      <w:pPr>
        <w:ind w:left="1982" w:right="0" w:hanging="127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政府采购合同（合同编号）</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Times New Roman" w:hAnsi="Times New Roman" w:eastAsia="Times New Roman" w:cs="Times New Roman"/>
          <w:color w:val="000000"/>
          <w:sz w:val="24"/>
        </w:rPr>
        <w:t xml:space="preserve">_________</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Times New Roman" w:hAnsi="Times New Roman" w:eastAsia="Times New Roman" w:cs="Times New Roman"/>
          <w:color w:val="000000"/>
          <w:sz w:val="24"/>
        </w:rPr>
        <w:t xml:space="preserve">_________</w:t>
      </w:r>
      <w:r>
        <w:rPr>
          <w:rFonts w:ascii="Times New Roman" w:hAnsi="Times New Roman" w:eastAsia="Times New Roman" w:cs="Times New Roman"/>
          <w:b/>
          <w:color w:val="000000"/>
          <w:sz w:val="24"/>
        </w:rPr>
        <w:t xml:space="preserve"> </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及国家有关法规规定，经竞争性磋商确定该项目供应商。为明确责任，协作配合，结合本项目的具体情况，确保项目供应商根据本项目响应文件及其他有关规定实施本项目的各项工作，并经协商一致，签订本合同，共同遵守。</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一、合同组成部分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本合同及其补充合同、变更协议；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中标通知书；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投标文件（含澄清或者说明文件）；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招标文件（含澄清或者修改文件）；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其他相关采购文件。</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二、标的内容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标的名称：</w:t>
      </w:r>
      <w:r>
        <w:rPr>
          <w:rFonts w:ascii="SimSun" w:hAnsi="SimSun" w:eastAsia="SimSun" w:cs="SimSun"/>
          <w:color w:val="000000"/>
          <w:sz w:val="24"/>
          <w:u w:val="single"/>
        </w:rPr>
        <w:t xml:space="preserve">泗阳县“五好两宜”和美乡村建设试点试验项目</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标的数量：</w:t>
      </w:r>
      <w:r>
        <w:rPr>
          <w:rFonts w:ascii="SimSun" w:hAnsi="SimSun" w:eastAsia="SimSun" w:cs="SimSun"/>
          <w:color w:val="000000"/>
          <w:sz w:val="24"/>
          <w:u w:val="single"/>
        </w:rPr>
        <w:t xml:space="preserve"> 规划成果6份（包含规划文本、规划图纸和附件）；提交汇报展示用演示文件1份</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标的质量：</w:t>
      </w:r>
      <w:r>
        <w:rPr>
          <w:rFonts w:ascii="SimSun" w:hAnsi="SimSun" w:eastAsia="SimSun" w:cs="SimSun"/>
          <w:color w:val="000000"/>
          <w:sz w:val="24"/>
          <w:u w:val="single"/>
        </w:rPr>
        <w:t xml:space="preserve"> 合格，规划需符合国家、省、市相关规范与要求，规划设计方案科学、合理，满足可持续发展的要求；</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成果内容：</w:t>
      </w:r>
      <w:r>
        <w:rPr>
          <w:rFonts w:ascii="SimSun" w:hAnsi="SimSun" w:eastAsia="SimSun" w:cs="SimSun"/>
          <w:color w:val="000000"/>
          <w:sz w:val="24"/>
          <w:u w:val="single"/>
        </w:rPr>
        <w:t xml:space="preserve">包含泗阳县“五好两宜”和美乡村试点片区发展规划及规划方案设计内容，其中片区发展规划要满足“五好两宜”和美乡村相关要求，规划方案设计根据确认后的项目清单进行详细设计，同时负责本项目的勘察测绘（如需）以及初步设计文件编制工作。设计人应遵守法律和有关技术标准的强制性规定，完成合同约定范围内的规划方案设计工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2.5合同履行期限：</w:t>
      </w:r>
      <w:r>
        <w:rPr>
          <w:rFonts w:ascii="SimSun" w:hAnsi="SimSun" w:eastAsia="SimSun" w:cs="SimSun"/>
          <w:color w:val="000000"/>
          <w:sz w:val="24"/>
          <w:u w:val="single"/>
        </w:rPr>
        <w:t xml:space="preserve">自合同签订之日起，30日历天内完成规划方案。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2.6履行地点：</w:t>
      </w:r>
      <w:r>
        <w:rPr>
          <w:rFonts w:ascii="SimSun" w:hAnsi="SimSun" w:eastAsia="SimSun" w:cs="SimSun"/>
          <w:color w:val="000000"/>
          <w:sz w:val="24"/>
          <w:u w:val="single"/>
        </w:rPr>
        <w:t xml:space="preserve">宿迁市泗阳县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2.7履行方式：</w:t>
      </w:r>
      <w:r>
        <w:rPr>
          <w:rFonts w:ascii="SimSun" w:hAnsi="SimSun" w:eastAsia="SimSun" w:cs="SimSun"/>
          <w:color w:val="000000"/>
          <w:sz w:val="24"/>
          <w:u w:val="single"/>
        </w:rPr>
        <w:t xml:space="preserve">按照国家标准、行业相关标准履行</w:t>
      </w:r>
      <w:r>
        <w:rPr>
          <w:rFonts w:ascii="SimSun" w:hAnsi="SimSun" w:eastAsia="SimSun" w:cs="SimSun"/>
          <w:color w:val="000000"/>
          <w:sz w:val="24"/>
        </w:rPr>
        <w:t xml:space="preserve">。</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三、合同金额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本合同为</w:t>
      </w:r>
      <w:r>
        <w:rPr>
          <w:rFonts w:ascii="SimSun" w:hAnsi="SimSun" w:eastAsia="SimSun" w:cs="SimSun"/>
          <w:color w:val="000000"/>
          <w:sz w:val="24"/>
          <w:u w:val="single"/>
        </w:rPr>
        <w:t xml:space="preserve">固定总价</w:t>
      </w:r>
      <w:r>
        <w:rPr>
          <w:rFonts w:ascii="SimSun" w:hAnsi="SimSun" w:eastAsia="SimSun" w:cs="SimSun"/>
          <w:color w:val="000000"/>
          <w:sz w:val="24"/>
        </w:rPr>
        <w:t xml:space="preserve">合同，固定总价为：￥</w:t>
      </w:r>
      <w:r>
        <w:rPr>
          <w:rFonts w:ascii="SimSun" w:hAnsi="SimSun" w:eastAsia="SimSun" w:cs="SimSun"/>
          <w:color w:val="000000"/>
          <w:sz w:val="24"/>
          <w:u w:val="single"/>
        </w:rPr>
        <w:t xml:space="preserve">      </w:t>
      </w:r>
      <w:r>
        <w:rPr>
          <w:rFonts w:ascii="SimSun" w:hAnsi="SimSun" w:eastAsia="SimSun" w:cs="SimSun"/>
          <w:color w:val="000000"/>
          <w:sz w:val="24"/>
        </w:rPr>
        <w:t xml:space="preserve">元（大写：</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除合同条款另有约定外，乙方在合同签订前和签订时已确定采用的专利、专有技术的使用费应包含在签约合同价中。</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乙方应按磋商文件规定的时间向甲方提供与合同标的有关的技术资料。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五、知识产权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甲方提供给乙方的图纸、甲方为实施工程自行编制或委托编制的技术规格书以及反映甲方要求的或其他类似性质的文件的著作权属于甲方，乙方可以为实现合同目的而复制、使用此类文件，但不能用于与合同无关的其他事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甲方将委托规划设计的所有费用结算完毕后，甲方拥有规划设计方案的所有权、使用权和修改权；未被甲方采用的方案，其知识产权归乙方所有。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双方均保证在履行合同过程中不侵犯对方及第三方的知识产权。未经对方同意，任何一方均不得对对方的资料及文件擅自修改、复制或向第三人转让或用于本合同项目以外的项目。如发生以上情况，泄密方承担一切由此引起的后果并承担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乙方在设计时，因侵犯他人的专利权或其他知识产权所引起的责任，由乙方承担；因甲方提供的基础资料导致侵权的，由甲方承担责任。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 规划设计项目完成之后，双方均有权在不损害对方利益和保密约定的前提下，在自己宣传用的印刷品或其他出版物上，或申报奖项时等情形下使用有关项目的文字和图片材料。</w:t>
      </w:r>
      <w:r/>
    </w:p>
    <w:p>
      <w:pPr>
        <w:ind w:left="410" w:right="0" w:hanging="41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履约保证金应在采购合同签订前提交，履约保证金的金额</w:t>
      </w:r>
      <w:r>
        <w:rPr>
          <w:rFonts w:ascii="SimSun" w:hAnsi="SimSun" w:eastAsia="SimSun" w:cs="SimSun"/>
          <w:color w:val="000000"/>
          <w:sz w:val="24"/>
          <w:u w:val="single"/>
        </w:rPr>
        <w:t xml:space="preserve">   中标价的</w:t>
      </w:r>
      <w:r>
        <w:rPr>
          <w:rFonts w:ascii="Times New Roman" w:hAnsi="Times New Roman" w:eastAsia="Times New Roman" w:cs="Times New Roman"/>
          <w:color w:val="000000"/>
          <w:sz w:val="24"/>
          <w:u w:val="single"/>
        </w:rPr>
        <w:t xml:space="preserve">10%</w:t>
      </w:r>
      <w:r>
        <w:rPr>
          <w:rFonts w:ascii="SimSun" w:hAnsi="SimSun" w:eastAsia="SimSun" w:cs="SimSun"/>
          <w:color w:val="000000"/>
          <w:sz w:val="24"/>
          <w:u w:val="single"/>
        </w:rPr>
        <w:t xml:space="preserve">   </w:t>
      </w:r>
      <w:r>
        <w:rPr>
          <w:rFonts w:ascii="SimSun" w:hAnsi="SimSun" w:eastAsia="SimSun" w:cs="SimSun"/>
          <w:color w:val="000000"/>
          <w:sz w:val="24"/>
        </w:rPr>
        <w:t xml:space="preserve">：按采购合同总价的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10  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计取，如使用江苏政府采购电子履约保函（保险）代替缴纳履约保证金的，按采购合同总价的</w:t>
      </w:r>
      <w:r>
        <w:rPr>
          <w:rFonts w:ascii="Times New Roman" w:hAnsi="Times New Roman" w:eastAsia="Times New Roman" w:cs="Times New Roman"/>
          <w:color w:val="000000"/>
          <w:sz w:val="24"/>
          <w:u w:val="single"/>
        </w:rPr>
        <w:t xml:space="preserve"> 6% </w:t>
      </w:r>
      <w:r>
        <w:rPr>
          <w:rFonts w:ascii="SimSun" w:hAnsi="SimSun" w:eastAsia="SimSun" w:cs="SimSun"/>
          <w:color w:val="000000"/>
          <w:sz w:val="24"/>
        </w:rPr>
        <w:t xml:space="preserve">计取。除银行电汇、网上银行（从中标人法人基本存款账户转出）外，供应商还可选用银行保函、担保公司的保证担保或保险公司的保证保险等多种形式向采购人缴纳。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户名：泗阳县财政局国库股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开户行：泗阳农商行营业部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Times New Roman" w:hAnsi="Times New Roman" w:eastAsia="Times New Roman" w:cs="Times New Roman"/>
          <w:color w:val="000000"/>
          <w:sz w:val="24"/>
        </w:rPr>
        <w:t xml:space="preserve">3213232701201000013869</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履约保证金退还的条件：服务类项目，项目履约期满评价合格，出具履约评价报告及履约保证金收据申请退付；</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履约保证金退还时间：采购人收到成交供应商退付申请后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％后的利率支付超期资金占用费，但因成交供应商自身原因导致无法及时退还的除外。</w:t>
      </w:r>
      <w:r/>
    </w:p>
    <w:p>
      <w:pPr>
        <w:ind w:left="0" w:right="0" w:firstLine="0"/>
        <w:jc w:val="both"/>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p>
    <w:p>
      <w:pPr>
        <w:numPr>
          <w:ilvl w:val="0"/>
          <w:numId w:val="18"/>
        </w:numPr>
        <w:jc w:val="both"/>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合同转包或分包</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、本项目禁止转包；</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、本项目允许分包，分包必须经采购人书面同意，允许向一家或者多家具有相应资质的单位分包；分包单位不得再分包；成交供应商对分包内容向采购人承担连带责任。</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480"/>
        <w:jc w:val="both"/>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，合同签订后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日内支付；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进度款：全部成果通过采购人及相关部门的审查确认后，支付至合同金额的50%，尾款待提交最终成果后完成支付。采购人每次付款前，中标人必须向采购人提供正规发票。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8.2发票开具方式：按照甲方提供的信息开具发票。</w:t>
      </w:r>
      <w:r/>
    </w:p>
    <w:p>
      <w:pPr>
        <w:ind w:left="0" w:right="0" w:firstLine="480"/>
        <w:jc w:val="both"/>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在签订合同时，中标人明确表示无需预付款或者主动要求降低预付款比例的金额，采购人可不适用预付款规定；</w:t>
      </w:r>
      <w:r/>
    </w:p>
    <w:p>
      <w:pPr>
        <w:ind w:left="0" w:right="0" w:firstLine="480"/>
        <w:jc w:val="both"/>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对于满足合同约定支付条件的，自收到发票后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个工作日内将资金支付到合同约定的供应商账户或供应商数字人民币账户。</w:t>
      </w:r>
      <w:r/>
    </w:p>
    <w:p>
      <w:pPr>
        <w:ind w:left="0" w:right="0" w:firstLine="0"/>
        <w:jc w:val="both"/>
        <w:spacing w:before="145" w:after="145"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如有必要，甲方邀请参加本项目的其他供应商或第三方专业机构及专家参与验收，相关意见将作为验收书的参考资料。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合同生效后，甲方因非乙方原因要求终止或解除合同，乙方未开始规划设计工作的，不退还甲方已付的设计费；已开始规划设计工作的，甲方应按照乙方已完成的实际工作量计算设计费，完成工作量不足一半时，按该阶段规划设计费的一半支付规划设计费；超过一半时，按该阶段规划设计费的全部支付规划设计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未按合同约定的金额和期限向乙方支付规划设计费的，逾期超过15天时，乙方有权书面通知甲方中止规划设计工作。自中止设计工作之日起15天内甲方支付相应费用的，乙方应及时根据甲方要求恢复设计工作；自中止规划设计工作之日起超过15天后甲方支付相应费用的，乙方有权确定重新恢复设计工作的时间，且设计周期相应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合同生效后，乙方因自身原因要求终止或解除合同，乙方应按甲方实际损失进行赔付,但不超过合同额的30%。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由于乙方原因，未按合同约定的时间交付规划设计文件的，则需按照逾期一日支付合同总金额万分之五的标准向甲方支付违约金，前述违约金经双方确认后可在甲方应付设计费中扣减。</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十二、其他事项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乙方提交全套规划方案后，参加有关上级鉴定及根据鉴定结论负责不超出原定计划任务书范围的必要补充，如超出本合同之外的其他服务，甲方另行支付乙方费用，具体费用由双方另行约定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其他服务：指采购人根据工程设计实际需要，要求设计人另行提供且采购人应当单独支付费用的服务，包括总体设计服务、主体设计协调服务、采用标准设计和复用设计服务、非标准设备设计文件编制服务、施工图预算编制服务、竣工图编制服务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采购人应向设计人提供用于完成工程设计范围与内容所需要的资料。工程设计资料包括项目基础资料和现场障碍资料。项目基础资料包括经有关部门对项目批准、核准或备案的文件、报告（如选址报告、资源报告、勘察报告、专项评估报告等）、资料（如气象、水文、地质、地形图等）、协议（如燃料、水、电、气、运输等）和有关数据等其他基础资料。现场障碍资料包括地上和地下已有的建筑物、构筑物、线缆、管道、受保护的古建筑、古树木等坐标方位、数据和其他相关资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规划阶段，甲方需进行对外调研、考察的，所需费用由甲方承担。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不可抗力引起的后果及造成的损失由合同当事人按照法律规定及合同约定各自承担。不可抗力发生前已完成的工程设计应当按照合同约定进行支付。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 本合同未尽事宜，双方可签订补充协议，作为附件，补充协议与本合同具有同等效力。</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十三、不可抗力事件处理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在合同有效期内，任何一方因不可抗力事件导致不能履行合同，则合同履行期可延长，其延长期与不可抗力影响 期相同。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不可抗力事件发生后，应立即通知对方，并寄送有关权威机构出具的证明。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不可抗力事件延续120天以上，双方应通过友好协商，确定是否继续履行合同。</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十四、解决争议的方法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本合同履行过程中发生的任何争议，双方当事人均可通过和解或者调解解决；不愿和解、调解或者和解、调解不成的，可以选择下列第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14.1争议提交甲方所在地（泗阳县）仲裁委员会依申请仲裁时其现行有效的仲裁规则裁决；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14.2向甲方所在地（泗阳县）人民法院起诉。</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十五、合同生效及其它</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合同经双方法定代表人或授权委托代表人签字并加盖单位公章后生效。</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本合同未尽事宜，遵照《民法典》、《政府采购法》有关条文执行。</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 </w:t>
      </w:r>
      <w:r>
        <w:rPr>
          <w:rFonts w:ascii="SimSun" w:hAnsi="SimSun" w:eastAsia="SimSun" w:cs="SimSun"/>
          <w:color w:val="000000"/>
          <w:sz w:val="24"/>
        </w:rPr>
        <w:t xml:space="preserve">本合同正本壹式肆份，甲乙双方各执贰份，具有同等法律效力。</w:t>
      </w:r>
      <w:r/>
    </w:p>
    <w:p>
      <w:pPr>
        <w:ind w:left="480" w:right="0" w:hanging="480"/>
        <w:jc w:val="both"/>
        <w:spacing w:before="120" w:after="12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79" w:right="0" w:hanging="240"/>
        <w:jc w:val="both"/>
        <w:spacing w:before="120" w:after="12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甲方：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w:t>
      </w:r>
      <w:r>
        <w:rPr>
          <w:rFonts w:ascii="Times New Roman" w:hAnsi="Times New Roman" w:eastAsia="Times New Roman" w:cs="Times New Roman"/>
          <w:color w:val="000000"/>
          <w:sz w:val="24"/>
        </w:rPr>
        <w:t xml:space="preserve"> </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法定代表人或授权代表：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法定代表人或授权代表：</w:t>
      </w:r>
      <w:r/>
    </w:p>
    <w:p>
      <w:pPr>
        <w:ind w:left="0" w:right="0" w:firstLine="48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地址：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地址：</w:t>
      </w:r>
      <w:r>
        <w:rPr>
          <w:rFonts w:ascii="Times New Roman" w:hAnsi="Times New Roman" w:eastAsia="Times New Roman" w:cs="Times New Roman"/>
          <w:color w:val="000000"/>
          <w:sz w:val="24"/>
        </w:rPr>
        <w:t xml:space="preserve"> </w:t>
      </w:r>
      <w:r/>
    </w:p>
    <w:p>
      <w:pPr>
        <w:ind w:left="0" w:right="0" w:firstLine="24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签订日期：年  月 日</w:t>
      </w:r>
      <w:r/>
    </w:p>
    <w:p>
      <w:pPr>
        <w:ind w:left="0" w:right="0" w:firstLine="0"/>
        <w:jc w:val="center"/>
        <w:spacing w:before="120" w:after="12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b/>
          <w:color w:val="000000"/>
          <w:sz w:val="24"/>
          <w:u w:val="single"/>
        </w:rPr>
        <w:t xml:space="preserve">其他未列明行业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进口产品。</w:t>
      </w:r>
      <w:r/>
    </w:p>
    <w:p>
      <w:pPr>
        <w:ind w:left="0" w:right="0" w:firstLine="49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（一）项目名称：泗阳县“五好两宜”和美乡村建设试点试验项目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（二）项目最高限价：300.00万元，高于此限价将作无效标处理。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（三）合同履行期限：自合同签订之日起，30日历天内完成规划方案。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（四）质量要求：合格，规划需符合国家、省、市相关规范与要求，设计方案科学、合理，满足可持续发展的要求。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（五）采购需求：依据《财政部办公厅 农业农村部办公厅关于做好2026年农村综合改革相关试点试验有关工作的通知》（财办农〔2026〕7号）等文件要求，泗阳县积极推进“五好两宜”和美乡村试点试验建设。为探索具有地域特色的和美乡村建设路径，确保项目建设成效，本次工作包含试点试验片区发展规划、规划方案设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点试验片区发展规划：围绕“规划好、建设好、环境好、经营好、乡风好、宜居宜业”，完成泗阳县“五好两宜”和美乡村试点区域的总体发展规划方案，包含现状分析、目标定位、发展策划、建设指引、实施计划等主要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规划方案设计：围绕“创新建管机制、创新组团机制、创新经营机制、创新治理机制”，依据确认后的项目实施清单，完成泗阳县“五好两宜”和美乡村试点区域内规划方案设计及效果展示。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（六）付款方式：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预付款：合同金额的10%，合同签订后15日内支付；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进度款：全部成果通过采购人及相关部门的审查确认后，支付至合同金额的50%，尾款待提交最终成果后完成支付。采购人每次付款前，中标人必须向采购人提供正规发票。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注：1.在签订合同时，中标人明确表示无需预付款或者主动要求降低预付款比例的金额，采购人可不适用预付款规定；</w:t>
      </w:r>
      <w:r/>
    </w:p>
    <w:p>
      <w:pPr>
        <w:numPr>
          <w:ilvl w:val="0"/>
          <w:numId w:val="19"/>
        </w:numPr>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对于满足合同约定支付条件的，自收到发票后15个工作日内将资金支付到合同约定的供应商账户或供应商数字人民币账户。</w:t>
      </w:r>
      <w:r/>
    </w:p>
    <w:p>
      <w:pPr>
        <w:numPr>
          <w:ilvl w:val="0"/>
          <w:numId w:val="2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服务内容及工作要求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根据泗阳县“五好两宜”和美乡村试点片区内各个行政村不同特征和发展需求，科学规划产业发展空间、农村居住环境、基础设施配套及各类建设项目和风貌引导。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（一）谋划协同推进，找准发展方向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确发展定位。根据所处区域特点和资源优势，科学合理确定泗阳县“五好两宜”和美乡村试点试验片区整体发展思路，与片区内自然地理、生产生活、历史文化、产业发展等资源要素相契合，放大特色资源优势，打造更有辨识度的片区特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善发展规划。突破镇域和村域边界，科学编制片区发展总体规划，优化生产、生活、生态“三生”空间布局，深挖资源禀赋，高标准高质量完成规划编制，对接片区内村庄“多规合一”规划，确保规划成果实用、管用、好用，符合片区发展实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（二）统筹规划编制，进行片区节点设计及前期服务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围绕试点片区内10个行政村建设，紧扣“五好两宜”建设标准开展规划方案设计工作，用以指导下一步深化设计。服务包含现状踏勘及测绘、节点方案设计、效果图制作等内容，统筹人居环境、生态水系、乡村产业、风貌提升、基础设施等内容。</w:t>
      </w:r>
      <w:r/>
    </w:p>
    <w:p>
      <w:pPr>
        <w:ind w:left="0" w:right="0" w:firstLine="49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三、成果要求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主要为试点试验片区发展规划、规划方案设计两部分内容。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（一）试点试验片区发展规划</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规划文本包含现状分析、目标定位、发展策划、建设指引、实施计划等主要内容：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1、现状分析，包括背景分析、基本概况、现状总结等；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2、目标定位，包括相关规划解读、片区发展定位、空间结构等；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3、发展策划，从“五好两宜”（规划好、建设好、环境好、乡风好、管理好、宜居宜业）的角度，针对片区产业、环境、治理等方面提出规划引导方案；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4、建设指引，包括总体风貌控制、重要节点及廊道风貌设计等；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5、实施计划，包括实施步骤、建设项目库、投资估算等。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（二）规划方案设计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主要为项目前期规划方案设计及资金估算，节点方案详细设计、效果展示等。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（三）规划成果6份（包含规划文本、规划图纸和附件）；提交汇报展示用演示文件1份。</w:t>
      </w:r>
      <w:r/>
    </w:p>
    <w:p>
      <w:pPr>
        <w:ind w:left="0" w:right="0" w:firstLine="49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不接受备选的投标方案或有选择的报价，只允许有一个报价。供应商响应文件中的报价作为首次报价，不公开；以最后报价作为评审价。投标报价内容包括：服务本身、人工费、服务费、材料费、保险、设备费、税金及交付使用过程中涉及的其他一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（二）投标供应商参照国家的相应标准，结合自身综合实力、市场行情、本项目具体特点和要求，本项目费用采用固定总价方式报价。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第五章评审方法与评审标准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一、资格审查。</w:t>
      </w:r>
      <w:r>
        <w:rPr>
          <w:rFonts w:ascii="SimSun" w:hAnsi="SimSun" w:eastAsia="SimSun" w:cs="SimSun"/>
          <w:color w:val="000000"/>
          <w:sz w:val="24"/>
        </w:rPr>
        <w:t xml:space="preserve">资格审查人员按照下列指标对各供应商的资格进行审查，未通过审查的为无效标，不参与评审。</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37"/>
        <w:gridCol w:w="5294"/>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3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2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37"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9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37"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9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37"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9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rHeight w:val="4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37"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9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rHeight w:val="4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37"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29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tc>
      </w:tr>
    </w:tbl>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二、符合性审查。</w:t>
      </w:r>
      <w:r>
        <w:rPr>
          <w:rFonts w:ascii="SimSun" w:hAnsi="SimSun" w:eastAsia="SimSun" w:cs="SimSun"/>
          <w:color w:val="000000"/>
          <w:sz w:val="24"/>
        </w:rPr>
        <w:t xml:space="preserve">磋商小组首先按照下列指标对各供应商进行初步评审，未通过评审的为无效标，不再参与评审。</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538"/>
        <w:gridCol w:w="5309"/>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3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0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38"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9"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38"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9"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38"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9"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符合磋商文件要求</w:t>
            </w:r>
            <w:r/>
          </w:p>
        </w:tc>
      </w:tr>
    </w:tbl>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三、评分办法—综合评分法</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SimSun" w:hAnsi="SimSun" w:eastAsia="SimSun" w:cs="SimSun"/>
          <w:color w:val="000000"/>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得分、投标报价且技术方案得分相同的由采购人确定。</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磋商小组根据评审后供应商排序推荐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名成交候选人。响应文件满足磋商文件全部实质性要求，且评审后排序第一的供应商为第一成交候选人，依次类推。</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 </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（二）详细评审。</w:t>
      </w:r>
      <w:r>
        <w:rPr>
          <w:rFonts w:ascii="SimSun" w:hAnsi="SimSun" w:eastAsia="SimSun" w:cs="SimSun"/>
          <w:color w:val="000000"/>
          <w:sz w:val="24"/>
        </w:rPr>
        <w:t xml:space="preserve">磋商小组按照竞争性磋商文件规定的评分标准，对各响应文件进行详细评审打分。磋商小组组长对各评审专家的打分情况进行复核无误后汇总。</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6"/>
        <w:gridCol w:w="1299"/>
        <w:gridCol w:w="1057"/>
        <w:gridCol w:w="5612"/>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8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61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6"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61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采用低价优先法计算，即满足招标文件要求且投标价格最低的投标报价为评标基准价，其价格分为满分。其他投标人投标报价得分＝（评标基准价/投标报价）*10。 </w:t>
            </w:r>
            <w:r/>
          </w:p>
        </w:tc>
      </w:tr>
      <w:tr>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386" w:type="dxa"/>
            <w:vAlign w:val="center"/>
            <w:vMerge w:val="restart"/>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企业经营业绩、信誉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（1）供应商自2023年1月1日以来(以合同签订时间为准)，承担过类似规划项目业绩的(如和美乡村片区、特色田园乡村示范区、特色精品示范区等相关的规划项目)，每提供1个得2分，本项最高得8分。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自2023年1月1日以来(以合同签订时间为准)，承接省级及以上政府、行政主管部门、事业单位、国有平台公司委托的乡村地区课题研究或者乡村建设指南、导则制定项目，每提供1个得1.5分，本项最高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注:（1）须提供合同关键页(含项目名称、服务内容、签订时间及双方签章页)复印件并加盖公章，否则不得分；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（2）同一合同同时包含规划业务以及课题导则编制业务的，可分别计分；同一合同内包含多项课题研究内容的，只按1个项目计分，不予重复累加。</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）成交人提供的证明材料随成交结果同步公告。</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供应商奖项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2023年1月1日以来（以获奖证书或颁奖文件落款时间为准），承担的类似规划项目（如和美乡村片区、特色田园乡村示范区、特色精品示范区等相关的规划项目）获得过县级政府或行政主管部门颁发的奖项，每提供一个得0.5分；获得过市级政府或行政主管部门颁发的奖项，每提供一个得1分；获得过省级及以上政府或行政主管部门颁发的奖项；每提供一个得2分；本项最高得4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注：（1）须提供获奖证书或颁奖单位出具的颁奖文件（或官方网站公示截图）复印件并加盖公章，否则不得分；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（2）同一项目获得的多个奖项不重复计分，仅按一个项目计算；</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（3）同一获奖项目同时用于项目负责人个人奖项和供应商奖项评分的，仅可计分一次，不重复计分。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）成交人提供的证明材料随成交结果同步公告。</w:t>
            </w:r>
            <w:r/>
          </w:p>
        </w:tc>
      </w:tr>
      <w:tr>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386" w:type="dxa"/>
            <w:vAlign w:val="center"/>
            <w:vMerge w:val="restart"/>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项目理解和现状分析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根据供应商对本次项目任务的理解，项目背景及项目概况分析思路、内容是否科学，提出的分析内容是否全面等方面进行对比打分。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（1）对国家政策、地方部署要求等项目背景分析透彻、围绕项目区位、周边资源、道路、人口经济、产业、文化、生态等内容进行的现状调研深入、分析思路清晰、现状研究内容全面的得9分；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（2）对国家政策、地方部署要求等项目背景理解尚可、围绕项目区位、周边资源、道路、人口经济、产业、文化、生态等内容进行的现状调研较深入、分析思路较清晰、研究内容较全面的得6分；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（3）对国家政策、地方部署要求等项目背景理解不够透彻、围绕项目区位、周边资源、道路、人口经济、产业、文化、生态等内容进行的现状调研不够深入、分析思路不够清晰、研究内容一般的得3分；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（4）对国家政策、地方部署要求等项目背景理解不透彻、围绕项目区位、周边资源、道路、人口经济、产业、文化、生态等内容进行的现状调研不深入、分析思路不清晰、研究内容不满足要求的0分。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项目建设清单及分村概况</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根据供应商对本项目理解和对10个行政村现状调研提出的项目建设清单内容的清晰度、科学性、可落地性、全面性等方面进行综合评分：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1、10个行政村各村项目建设清单是否内容清晰、科学合理、具有可操作性（本项满分6分）；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（1）对10个行政村现状概况调研详实，围绕“市政、建筑、景观”等工程专业类型形成各个行政村细化项目建设清单，建设内容清晰明确、科学可行，清单内容覆盖采购需求全部要点且有拓展，得6分；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（2）对10个行政村现状概况调研较详实，围绕“市政、建筑、景观”等工程专业类型形成各个行政村细化项目建设清单内容基本清晰、较为科学，清单内容覆盖采购需求主要内容，得3分；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（3）对10个行政村现状概况调研不够详实，围绕“市政、建筑、景观”等工程专业类型形成各个行政村细化项目建设清单内容模糊、不符合实际，清单内容未覆盖采购需求关键要点，得1分；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（4）没有内容的不得分。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2、结合各村项目建设清单内容，根据资金估算概况，初步谋划形成3个乡镇各自立项项目建议清单（本项满分6分）；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（1）各乡镇立项项目建议清单与分村项目清单前后统一，内容清晰、便于操作，资金管控合理得6分。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（2）各乡镇立项项目建议清单与分村项目清单前后较为统一，内容较清晰、比较便于操作，资金管控较为合理得3分。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（3）各乡镇立项项目建议清单与分村项目清单前后不统一，内容不清晰、不便于操作，资金管控不合理得1分。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（4）没有内容的不得分。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根据供应商对本项目相关规划解读的准确性、目标定位的科学性、发展策略与"五好两宜"和美乡村要求的契合度等方面进行综合评分：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1、对本项目相关上位规划解读是否准确（本项满分3分）；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（1）对本项目相关上位规划解读准确，与和美乡村要求高度契合，内容构思缜密、符合实际、完整详细，语言表述准确清晰，得3分；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（2）对本项目相关上位规划解读较准确，与和美乡村要求基本契合，内容构思较为缜密、比较符合实际，但语言表述不够准确清晰，得2分；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（3）对本项目相关规划解读不够准确，与和美乡村要求契合度不高，内容模糊，对项目内容及重难点把握不全，得1分；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（4）没有内容的不得分。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2、目标定位是否科学合理、与和美乡村要求是否高度契合，发展策略是否具有针对性和可操作性（本项满分7分）；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（1）对本项目目标定位科学合理、与和美乡村要求高度契合，结合“规划好、建设好、环境好、经营好、乡风好”提出的发展策略具有针对性和可操作性得7分；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（2）对本项目目标定位较为科学合理、与和美乡村要求基本契合，结合“规划好、建设好、环境好、经营好、乡风好”提出的发展策略较有针对性和可操作性得4分；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（3）对本项目目标定位不够科学合理、与和美乡村要求契合度不高，结合“规划好、建设好、环境好、经营好、乡风好”提出的发展策略不够具有针对性和可操作性得1分；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（4）没有内容的不得分。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规划设计方案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围绕"五好两宜"和美乡村创新建管机制、创新组团发展机制、创新经营机制、创新治理机制要求，提出建设行动内容，并结合项目清单内容，开展规划方案设计，对本次技术方案深度及科学性等进行综合评分：</w:t>
            </w:r>
            <w:r/>
          </w:p>
          <w:p>
            <w:pPr>
              <w:numPr>
                <w:ilvl w:val="0"/>
                <w:numId w:val="21"/>
              </w:numP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围绕创新建管机制、创新组团发展机制、创新经营机制、创新治理机制对本项目提出的建设行动指引内容是否满足“五好两宜”和美乡村建设要求（本项满分8分）；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（1）对本项目的建设行动指引内容重点突出，规划内容完整详实，设计深度满足项目要求，与"五好两宜"和美乡村要求高度契合的，得8分；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（2）对本项目的建设行动指引内容重点较突出，规划内容较完整，设计深度基本满足相关编制规定要求，与"五好两宜"和美乡村要求契合度较高的，得5分；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（3）对本项目的建设行动指引内容重点不够突出，规划内容不够完整，设计深度部分不满足相关编制规定要求，与"五好两宜"和美乡村要求契合度一般的，得2分；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（4）对本项目的建设行动指引内容重点不突出，规划内容缺失较多，设计深度严重不足，或与"五好两宜"和美乡村要求不符合的，得1分；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（5）没有内容的不得分。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2、规划方案设计是否内容完整详实，与"五好两宜"和美乡村要求高度契合，对10个行政村提供结合现状实景的方案不少于30处，方案图纸深度达到扩初设计要求并有所深化。（本项满分15分）；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（1）对10个行政村提供结合现状实景的规划方案设计内容完整详实，科学严谨、经济合理，方案图纸深度达到扩初设计要求并有所深化，优于采购需求，与"五好两宜"和美乡村要求高度契合，得15分；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10个行政村提供结合现状实景的规划方案设计内容基本完整详实，较科学严谨、较经济合理，方案图纸深度基本达到扩初设计要求并有所深化，满足采购需求，与"五好两宜"和美乡村要求较为契合，得12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（3）对10个行政村提供结合现状实景的规划方案设计内容不完整，不够科学严谨、不够经济合理，方案图纸深度有所欠缺，不完全满足采购需求，与"五好两宜"和美乡村要求契合度一般，得9分；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（4）对10个行政村提供结合现状实景的规划方案设计内容不深入且较笼统，方案图纸深度不符合要求，但承诺通过后期优化能满足采购需求的，与"五好两宜"和美乡村要求契合度较低，得6分；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（5）有规划方案，但内容与"五好两宜"和美乡村要求严重不符，基本无可操作性，得3分；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（6）没有内容的不得分。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项目进度安排</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根据供应商对本项目的进度计划安排、项目组织架构、工作流程设计及保障措施的合理性、完整性等方面进行综合评分：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（1）进度计划安排科学合理，各阶段时间节点明确、衔接紧凑，项目组织架构完整、职责分工清晰，工作流程设计严谨，进度保障措施齐全完备，完全响应磋商文件要求的，得2分；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（2）进度计划安排较合理，各阶段时间节点较明确，项目组织架构较完整，工作流程设计较合理，进度保障措施较全，较好响应磋商文件要求的，得1分；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（3）进度计划安排存在明显不合理之处，各阶段时间节点缺失或衔接脱节，项目组织架构不完整，工作流程设计混乱，缺乏进度保障措施，响应磋商文件要求不到位的，得0.5分。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（4）没有内容的不得分。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根据供应商对本项目的服务承诺进行全面评审，包括但不限于前期测绘、服务质量保证措施、后续服务承诺、成果交付承诺、响应时间承诺等方面，进行综合评分：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（1）服务承诺内容全面具体，服务质量保证措施完整可行，后续服务承诺明确且有专人负责，成果交付承诺时间节点清晰，售后服务响应时间承诺在24小时内的，得2分；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（2）服务承诺内容较全面，服务质量保证措施较完整，后续服务承诺较明确，成果交付承诺时间节点较清晰，售后服务响应时间承诺在48小时内的，得1分；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（3）服务承诺内容基本满足要求，服务质量保证措施一般，后续服务承诺不够具体，成果交付承诺时间节点模糊，售后服务响应时间承诺在72小时内的，得0.5分。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（4）没有内容的不得分。</w:t>
            </w:r>
            <w:r/>
          </w:p>
        </w:tc>
      </w:tr>
      <w:tr>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386" w:type="dxa"/>
            <w:vAlign w:val="center"/>
            <w:vMerge w:val="restart"/>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项目管理人员配备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（1）拟派项目负责人具有城乡（或城市）规划专业正高级（研究员级）职称的，得2分；本项最高得2分。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项目负责人自2023年1月1日以来（以获奖证书或颁奖文件落款时间为准），承担的乡村地区城乡规划项目获得过县级政府或行政主管部门颁发的规划编制类奖项的，每提供一个得0.5分；获得过市级政府或行政主管部门颁发的规划编制类奖项的，每提供一个得1分；获得过省级及以上政府或行政主管部门颁发的规划编制类奖项的，每提供一个得2分；本项最高得5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注：（1）须提供职称证书复印件并加盖公章，否则不得分；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（2）须提供供应商为其缴纳的响应文件提交截止时间前6个月内任意1个月社保证明，否则不得分；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9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61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（1）拟派项目团队成员（除项目负责人外）具备城乡规划专业正高级职称和注册规划师证书的，得2分；具备城乡规划专业高级职称和注册规划师证书的，得1分。本项最高得2分。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（2）拟派项目团队成员（除项目负责人外）具备人文地理专业正高级职称和注册城乡规划师证书的，得2分；具备人文地理专业高级职称和注册城乡规划师证书的，得1分。本项最高得2分。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（3）拟派项目团队成员（除项目负责人外）具备市政工程专业正高级职称和注册公用设备工程师证书的得2分；具备市政工程专业高级职称和注册公用设备工程师证书的得1分。本项最高得2分。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拟派项目团队成员（除项目负责人外）具备环境工程专业正高级职称和注册公用设备工程师证书的得2分；具备环境工程专业高级职称和注册公用设备工程师证书的得1分；同时具备注册城乡规划师证书的得2分。最高得4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注：（1）同一人具有多个注册证书的，不重复计分；               （2）须提供相关注册证书复印件、职称证书复印件及供应商为其缴纳的响应文件提交截止时间前6个月内任意1个月社保证明，否则不得分。</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（三）</w:t>
      </w:r>
      <w:r>
        <w:rPr>
          <w:rFonts w:ascii="FangSong" w:hAnsi="FangSong" w:eastAsia="FangSong" w:cs="FangSong"/>
          <w:b/>
          <w:color w:val="000000"/>
          <w:sz w:val="24"/>
        </w:rPr>
        <w:t xml:space="preserve">评标结果。</w:t>
      </w:r>
      <w:r>
        <w:rPr>
          <w:rFonts w:ascii="SimSun" w:hAnsi="SimSun" w:eastAsia="SimSun" w:cs="SimSun"/>
          <w:color w:val="000000"/>
          <w:sz w:val="24"/>
        </w:rPr>
        <w:t xml:space="preserve">磋商小组按照本办法规定推荐成交候选人，并形成评标报告。</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241"/>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FangSong" w:hAnsi="FangSong" w:eastAsia="FangSong" w:cs="FangSong"/>
          <w:b/>
          <w:color w:val="000000"/>
          <w:sz w:val="24"/>
          <w:u w:val="single"/>
        </w:rPr>
        <w:t xml:space="preserve">  </w:t>
      </w:r>
      <w:r>
        <w:rPr>
          <w:rFonts w:ascii="Times New Roman" w:hAnsi="Times New Roman" w:eastAsia="Times New Roman" w:cs="Times New Roman"/>
          <w:b/>
          <w:color w:val="000000"/>
          <w:sz w:val="24"/>
          <w:u w:val="single"/>
        </w:rPr>
        <w:t xml:space="preserve">1</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2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采购本国货物、工程和服务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 </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号文）等相关规定。是否采购进口产品以采购需求中确定的为准。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w:t>
      </w:r>
      <w:r>
        <w:rPr>
          <w:rFonts w:ascii="SimSun" w:hAnsi="SimSun" w:eastAsia="SimSun" w:cs="SimSun"/>
          <w:b/>
          <w:color w:val="000000"/>
          <w:sz w:val="24"/>
          <w:u w:val="single"/>
        </w:rPr>
        <w:t xml:space="preserve">  </w:t>
      </w:r>
      <w:r>
        <w:rPr>
          <w:rFonts w:ascii="SimSun" w:hAnsi="SimSun" w:eastAsia="SimSun" w:cs="SimSun"/>
          <w:color w:val="000000"/>
          <w:sz w:val="24"/>
        </w:rPr>
        <w:t xml:space="preserve">种政策确定本项目落实的中小企业政策：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）投标人提供的服务符合规定情形的，对小微企业报价给予扣除（扣除比例详见“投标人须知”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“政府采购政策”相关条款），用扣除后的价格参加评审。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投标人提供的服务符合下列情形的，对小微企业报价给予</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的扣除，用扣除后的价格参加评审。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出具的属于监狱企业的证明文件（投标文件中上传加盖出具单位公章的电子件）。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政府采购节能产品、环境标志产品</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）采购人拟采购的产品属于优先采购的节能环保品目清单范围的，按以下条件优先采购：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商品包装、快递包装政府采购需求标准（试行）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、绿色数据中心政府采购需求标准（试行）</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第六章响应文件格式 </w:t>
      </w:r>
      <w:r/>
    </w:p>
    <w:p>
      <w:pPr>
        <w:ind w:left="0" w:right="0" w:firstLine="0"/>
        <w:jc w:val="center"/>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84"/>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1084"/>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一、磋商申请及声明</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二、供应商基本信息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三、特定资格要求的证明文件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四、法定代表人身份证明或授权委托书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五、中小企业声明函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七、技术要求响应及偏离表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八、项目实施方案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九、项目组人员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十、企业业绩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十一、磋商所需其他材料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一、磋商申请及声明</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响应声明及承诺函</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项目的竞争性磋商文件，我单位在参加本项目竞争性磋商活动中，特做出如下承诺：</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一、我方具备《中华人民共和国政府采购法》第二十二条第一款规定的</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项条件；</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三、我方按磋商文件要求提交响应文件，响应磋商文件规定的响应有效期；</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四、如果我方的响应文件被接受，我方将按《中华人民共和国民法典（第三编合同） 》及其他有关法律、法规的规定，按期、按质、按量交付采购单位，全面做到履约守信；</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二、供应商基本信息</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供应商基本情况表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59"/>
        <w:gridCol w:w="2749"/>
        <w:gridCol w:w="1180"/>
        <w:gridCol w:w="275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8" w:type="dxa"/>
            <w:vAlign w:val="top"/>
            <w:textDirection w:val="lrTb"/>
            <w:noWrap w:val="false"/>
          </w:tcPr>
          <w:p>
            <w:pPr>
              <w:ind w:left="0" w:right="0" w:firstLine="1433"/>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w:t>
      </w:r>
      <w:r>
        <w:rPr>
          <w:rFonts w:ascii="SimSun" w:hAnsi="SimSun" w:eastAsia="SimSun" w:cs="SimSun"/>
          <w:b/>
          <w:color w:val="000000"/>
          <w:sz w:val="32"/>
        </w:rPr>
        <w:t xml:space="preserve">法定代表人身份证明或授权委托书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w:t>
      </w:r>
      <w:r>
        <w:rPr>
          <w:rFonts w:ascii="SimSun" w:hAnsi="SimSun" w:eastAsia="SimSun" w:cs="SimSun"/>
          <w:b/>
          <w:color w:val="000000"/>
          <w:sz w:val="28"/>
        </w:rPr>
        <w:t xml:space="preserve">、法定代表人身份证明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 月</w:t>
      </w:r>
      <w:r>
        <w:rPr>
          <w:rFonts w:ascii="SimSun" w:hAnsi="SimSun" w:eastAsia="SimSun" w:cs="SimSun"/>
          <w:color w:val="000000"/>
          <w:sz w:val="24"/>
          <w:u w:val="single"/>
        </w:rPr>
        <w:t xml:space="preserve">       </w:t>
      </w:r>
      <w:r>
        <w:rPr>
          <w:rFonts w:ascii="SimSun" w:hAnsi="SimSun" w:eastAsia="SimSun" w:cs="SimSun"/>
          <w:color w:val="000000"/>
          <w:sz w:val="24"/>
        </w:rPr>
        <w:t xml:space="preserve"> 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 （供应商名称）的法定代表人。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附法定代表人居民身份证</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rPr>
          <w:rFonts w:ascii="Calibri" w:hAnsi="Calibri" w:eastAsia="Calibri" w:cs="Calibri"/>
          <w:color w:val="000000"/>
          <w:sz w:val="24"/>
        </w:rPr>
        <w:t xml:space="preserve">             </w:t>
      </w:r>
      <w:r/>
    </w:p>
    <w:p>
      <w:pPr>
        <w:ind w:left="0" w:right="0" w:firstLine="5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Calibri" w:hAnsi="Calibri" w:eastAsia="Calibri" w:cs="Calibri"/>
          <w:color w:val="000000"/>
          <w:sz w:val="24"/>
        </w:rPr>
        <w:t xml:space="preserve">   </w:t>
      </w:r>
      <w:r>
        <w:rPr>
          <w:rFonts w:ascii="SimSun" w:hAnsi="SimSun" w:eastAsia="SimSun" w:cs="SimSun"/>
          <w:color w:val="000000"/>
          <w:sz w:val="24"/>
        </w:rPr>
        <w:t xml:space="preserve">月</w:t>
      </w:r>
      <w:r>
        <w:rPr>
          <w:rFonts w:ascii="Calibri" w:hAnsi="Calibri" w:eastAsia="Calibri" w:cs="Calibri"/>
          <w:color w:val="000000"/>
          <w:sz w:val="24"/>
        </w:rPr>
        <w:t xml:space="preserve">   </w:t>
      </w:r>
      <w:r>
        <w:rPr>
          <w:rFonts w:ascii="SimSun" w:hAnsi="SimSun" w:eastAsia="SimSun" w:cs="SimSun"/>
          <w:color w:val="000000"/>
          <w:sz w:val="24"/>
        </w:rPr>
        <w:t xml:space="preserve">日</w:t>
      </w: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法定代表人身份证电子件</w:t>
      </w:r>
      <w:r/>
    </w:p>
    <w:p>
      <w:pPr>
        <w:ind w:left="0" w:right="0" w:firstLine="2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w:t>
      </w:r>
      <w:r>
        <w:rPr>
          <w:rFonts w:ascii="SimSun" w:hAnsi="SimSun" w:eastAsia="SimSun" w:cs="SimSun"/>
          <w:b/>
          <w:color w:val="000000"/>
          <w:sz w:val="28"/>
        </w:rPr>
        <w:t xml:space="preserve">、授权委托书</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Calibri" w:hAnsi="Calibri" w:eastAsia="Calibri" w:cs="Calibri"/>
          <w:color w:val="000000"/>
          <w:sz w:val="24"/>
        </w:rPr>
        <w:t xml:space="preserve">____________</w:t>
      </w:r>
      <w:r>
        <w:rPr>
          <w:rFonts w:ascii="SimSun" w:hAnsi="SimSun" w:eastAsia="SimSun" w:cs="SimSun"/>
          <w:color w:val="000000"/>
          <w:sz w:val="24"/>
        </w:rPr>
        <w:t xml:space="preserve">（供应商名称）授权</w:t>
      </w:r>
      <w:r>
        <w:rPr>
          <w:rFonts w:ascii="Calibri" w:hAnsi="Calibri" w:eastAsia="Calibri" w:cs="Calibri"/>
          <w:color w:val="000000"/>
          <w:sz w:val="24"/>
        </w:rPr>
        <w:t xml:space="preserve">________________</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Calibri" w:hAnsi="Calibri" w:eastAsia="Calibri" w:cs="Calibri"/>
          <w:color w:val="000000"/>
          <w:sz w:val="24"/>
        </w:rPr>
        <w:t xml:space="preserve">______</w:t>
      </w:r>
      <w:r>
        <w:rPr>
          <w:rFonts w:ascii="SimSun" w:hAnsi="SimSun" w:eastAsia="SimSun" w:cs="SimSun"/>
          <w:color w:val="000000"/>
          <w:sz w:val="24"/>
        </w:rPr>
        <w:t xml:space="preserve">年</w:t>
      </w:r>
      <w:r>
        <w:rPr>
          <w:rFonts w:ascii="Calibri" w:hAnsi="Calibri" w:eastAsia="Calibri" w:cs="Calibri"/>
          <w:color w:val="000000"/>
          <w:sz w:val="24"/>
        </w:rPr>
        <w:t xml:space="preserve">____</w:t>
      </w:r>
      <w:r>
        <w:rPr>
          <w:rFonts w:ascii="SimSun" w:hAnsi="SimSun" w:eastAsia="SimSun" w:cs="SimSun"/>
          <w:color w:val="000000"/>
          <w:sz w:val="24"/>
        </w:rPr>
        <w:t xml:space="preserve">月</w:t>
      </w:r>
      <w:r>
        <w:rPr>
          <w:rFonts w:ascii="Calibri" w:hAnsi="Calibri" w:eastAsia="Calibri" w:cs="Calibri"/>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96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20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Calibri" w:hAnsi="Calibri" w:eastAsia="Calibri" w:cs="Calibri"/>
          <w:color w:val="000000"/>
          <w:sz w:val="24"/>
          <w:u w:val="single"/>
        </w:rPr>
        <w:t xml:space="preserve">                              </w:t>
      </w:r>
      <w:r/>
    </w:p>
    <w:p>
      <w:pPr>
        <w:ind w:left="0" w:right="0" w:firstLine="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被授权人联系电话：（手机）</w:t>
      </w:r>
      <w:r>
        <w:rPr>
          <w:rFonts w:ascii="Calibri" w:hAnsi="Calibri" w:eastAsia="Calibri" w:cs="Calibri"/>
          <w:color w:val="000000"/>
          <w:sz w:val="24"/>
          <w:u w:val="single"/>
        </w:rPr>
        <w:t xml:space="preserve">                          </w:t>
      </w:r>
      <w:r/>
    </w:p>
    <w:p>
      <w:pPr>
        <w:ind w:left="0" w:right="0" w:firstLine="120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Calibri" w:hAnsi="Calibri" w:eastAsia="Calibri" w:cs="Calibri"/>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单位地址：</w:t>
      </w:r>
      <w:r>
        <w:rPr>
          <w:rFonts w:ascii="Calibri" w:hAnsi="Calibri" w:eastAsia="Calibri" w:cs="Calibri"/>
          <w:color w:val="000000"/>
          <w:sz w:val="24"/>
          <w:u w:val="single"/>
        </w:rPr>
        <w:t xml:space="preserve">                                         </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日期：</w:t>
      </w:r>
      <w:r>
        <w:rPr>
          <w:rFonts w:ascii="Calibri" w:hAnsi="Calibri" w:eastAsia="Calibri" w:cs="Calibr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附法定代表人身份证电子件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附被授权人身份证电子件</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0" w:after="0" w:line="55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1"/>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五、中小（微）企业声明函（服务）</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财库</w:t>
      </w:r>
      <w:r>
        <w:rPr>
          <w:rFonts w:ascii="Times New Roman" w:hAnsi="Times New Roman" w:eastAsia="Times New Roman" w:cs="Times New Roman"/>
          <w:color w:val="000000"/>
          <w:sz w:val="24"/>
        </w:rPr>
        <w:t xml:space="preserve">[2020]46</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：供应商如不提供此声明函，价格将不做相应扣除。</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残疾人福利性单位声明函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单位的采购文件编号为</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）采购活动提供本单位制造的货物，或者提供其他残疾人福利性单位制造的货物（不包括使用非残疾人福利性单位注册商标的货物）。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、供应商如不提供此声明函，价格将不做相应扣除。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、成交供应商为残疾人福利单位的，此声明函将随成交结果同时公告，接受社会监督）</w:t>
      </w:r>
      <w:r/>
    </w:p>
    <w:p>
      <w:pPr>
        <w:ind w:left="0" w:right="0"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1560" w:firstLine="624"/>
        <w:jc w:val="center"/>
        <w:spacing w:before="0" w:after="0" w:line="559"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1560" w:firstLine="480"/>
        <w:jc w:val="center"/>
        <w:spacing w:before="0" w:after="0" w:line="55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w:t>
      </w:r>
      <w:r>
        <w:rPr>
          <w:rFonts w:ascii="SimSun" w:hAnsi="SimSun" w:eastAsia="SimSun" w:cs="SimSun"/>
          <w:b/>
          <w:color w:val="000000"/>
          <w:sz w:val="32"/>
        </w:rPr>
        <w:t xml:space="preserve">开标一览表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6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w:t>
            </w:r>
            <w:r>
              <w:rPr>
                <w:rFonts w:ascii="Times New Roman" w:hAnsi="Times New Roman" w:eastAsia="Times New Roman" w:cs="Times New Roman"/>
                <w:b/>
                <w:color w:val="000000"/>
                <w:sz w:val="21"/>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FangSong" w:hAnsi="FangSong" w:eastAsia="FangSong" w:cs="FangSong"/>
                <w:color w:val="000000"/>
                <w:sz w:val="24"/>
              </w:rPr>
              <w:t xml:space="preserve">           </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日历天</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分项报价表（分包号：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）（服务类）</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7"/>
        <w:gridCol w:w="1086"/>
        <w:gridCol w:w="1040"/>
        <w:gridCol w:w="762"/>
        <w:gridCol w:w="975"/>
        <w:gridCol w:w="1292"/>
        <w:gridCol w:w="143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vMerge w:val="restart"/>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磋商报价采用总承包方式，投标人的“总报价”应包括采购人需求的服务（包含与服务相关的产品）价格、培训费用及售后服务费用，项目在指定地点、环境交付、安装、调试、验收所需费用和所有相关税金费用及为完成整个项目所产生的其它所有费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七、技术要求响应及偏离表（分包号：</w:t>
      </w:r>
      <w:r>
        <w:rPr>
          <w:rFonts w:ascii="Times New Roman" w:hAnsi="Times New Roman" w:eastAsia="Times New Roman" w:cs="Times New Roman"/>
          <w:b/>
          <w:color w:val="000000"/>
          <w:sz w:val="32"/>
        </w:rPr>
        <w:t xml:space="preserve">**</w:t>
      </w:r>
      <w:r>
        <w:rPr>
          <w:rFonts w:ascii="SimHei" w:hAnsi="SimHei" w:eastAsia="SimHei" w:cs="SimHei"/>
          <w:b/>
          <w:color w:val="000000"/>
          <w:sz w:val="32"/>
        </w:rPr>
        <w:t xml:space="preserve">）</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偏离（填报“正偏离、符合或负偏离”）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、凡投标文件中所投货物或服务与招标文件有偏离的（包括正偏离，用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号表示和负偏离，用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号表示），均应在此表中详细列出并说明理由（内容较多的可以标注见投标文件第几页），未在此表中列出的视同完全满足招标文件要求。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、供应商所投产品如与招标文件要求的规格及配置不一致，则须在上表偏离说明中详细注明。</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、响应部分可后附详细说明及技术资料，并注明投标文件中对应的页码范围。</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行数不够，可自行添加。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八、项目实施方案</w:t>
      </w:r>
      <w:r/>
    </w:p>
    <w:p>
      <w:pPr>
        <w:ind w:left="0" w:right="0" w:firstLine="108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7"/>
        </w:rPr>
        <w:t xml:space="preserve">格式自拟。</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w:t>
      </w:r>
      <w:r/>
    </w:p>
    <w:p>
      <w:pPr>
        <w:ind w:left="0" w:right="0" w:firstLine="0"/>
        <w:jc w:val="center"/>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100" w:after="1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注：如供应商成交，项目组成员必须按本表承诺人员操作，不得随意更换。按磋商文件要求附相关人员证书。</w:t>
      </w:r>
      <w:r/>
    </w:p>
    <w:p>
      <w:pPr>
        <w:ind w:left="0" w:right="0" w:firstLine="280"/>
        <w:spacing w:before="100" w:after="1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十、企业业绩</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0"/>
        <w:gridCol w:w="3793"/>
        <w:gridCol w:w="2412"/>
        <w:gridCol w:w="138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十一、磋商所需其他材料</w:t>
      </w:r>
      <w:r/>
    </w:p>
    <w:p>
      <w:pPr>
        <w:ind w:left="0" w:right="0" w:firstLine="560"/>
        <w:spacing w:before="240" w:after="24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请在此文档中增加磋商所需其他相关内容（包括资格要求、评分办法、采购需求中涉及的证件证明及其它投标人认为有必要提供的资料），如没有请将此空文档上传。</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供应商提出质疑时，应提交质疑函和必要的证明材料。</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质疑供应商若对项目的某一分包进行质疑，质疑函中应列明具体分包号。</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6"/>
        <w:rFonts w:ascii="宋体" w:hAnsi="宋体"/>
      </w:rPr>
      <w:framePr w:wrap="around" w:vAnchor="text" w:hAnchor="margin" w:xAlign="center" w:y="1"/>
    </w:pPr>
    <w:r>
      <w:rPr>
        <w:rFonts w:ascii="宋体" w:hAnsi="宋体"/>
      </w:rPr>
      <w:fldChar w:fldCharType="begin"/>
    </w:r>
    <w:r>
      <w:rPr>
        <w:rStyle w:val="736"/>
        <w:rFonts w:ascii="宋体" w:hAnsi="宋体"/>
      </w:rPr>
      <w:instrText xml:space="preserve">PAGE  </w:instrText>
    </w:r>
    <w:r>
      <w:rPr>
        <w:rFonts w:ascii="宋体" w:hAnsi="宋体"/>
      </w:rPr>
      <w:fldChar w:fldCharType="separate"/>
    </w:r>
    <w:r>
      <w:rPr>
        <w:rStyle w:val="736"/>
        <w:rFonts w:ascii="宋体" w:hAnsi="宋体"/>
      </w:rPr>
      <w:t xml:space="preserve">３９</w:t>
    </w:r>
    <w:r>
      <w:rPr>
        <w:rFonts w:ascii="宋体" w:hAnsi="宋体"/>
      </w:rPr>
      <w:fldChar w:fldCharType="end"/>
    </w:r>
    <w:r>
      <w:rPr>
        <w:rStyle w:val="736"/>
        <w:rFonts w:ascii="宋体" w:hAnsi="宋体"/>
      </w:rPr>
    </w:r>
    <w:r/>
  </w:p>
  <w:p>
    <w:pPr>
      <w:pStyle w:val="71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6"/>
      </w:rPr>
      <w:framePr w:wrap="around" w:vAnchor="text" w:hAnchor="margin" w:xAlign="center" w:y="1"/>
    </w:pPr>
    <w:r>
      <w:fldChar w:fldCharType="begin"/>
    </w:r>
    <w:r>
      <w:rPr>
        <w:rStyle w:val="736"/>
      </w:rPr>
      <w:instrText xml:space="preserve">PAGE  </w:instrText>
    </w:r>
    <w:r>
      <w:fldChar w:fldCharType="separate"/>
    </w:r>
    <w:r>
      <w:rPr>
        <w:rStyle w:val="736"/>
      </w:rPr>
      <w:t xml:space="preserve">1</w:t>
    </w:r>
    <w:r>
      <w:fldChar w:fldCharType="end"/>
    </w:r>
    <w:r>
      <w:rPr>
        <w:rStyle w:val="736"/>
      </w:rPr>
    </w:r>
    <w:r/>
  </w:p>
  <w:p>
    <w:pPr>
      <w:pStyle w:val="7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664"/>
        <w:tabs>
          <w:tab w:val="num" w:pos="312" w:leader="none"/>
        </w:tabs>
      </w:pPr>
    </w:lvl>
    <w:lvl w:ilvl="1">
      <w:start w:val="1"/>
      <w:numFmt w:val="bullet"/>
      <w:isLgl w:val="false"/>
      <w:suff w:val="tab"/>
      <w:lvlText w:val="o"/>
      <w:lvlJc w:val="left"/>
      <w:pPr>
        <w:pStyle w:val="664"/>
        <w:ind w:left="1440" w:hanging="360"/>
      </w:pPr>
      <w:rPr>
        <w:rFonts w:ascii="Courier New" w:hAnsi="Courier New" w:eastAsia="Courier New" w:cs="Courier New"/>
      </w:rPr>
    </w:lvl>
    <w:lvl w:ilvl="2">
      <w:start w:val="1"/>
      <w:numFmt w:val="bullet"/>
      <w:isLgl w:val="false"/>
      <w:suff w:val="tab"/>
      <w:lvlText w:val="§"/>
      <w:lvlJc w:val="left"/>
      <w:pPr>
        <w:pStyle w:val="664"/>
        <w:ind w:left="2160" w:hanging="360"/>
      </w:pPr>
      <w:rPr>
        <w:rFonts w:ascii="Wingdings" w:hAnsi="Wingdings" w:eastAsia="Wingdings" w:cs="Wingdings"/>
      </w:rPr>
    </w:lvl>
    <w:lvl w:ilvl="3">
      <w:start w:val="1"/>
      <w:numFmt w:val="bullet"/>
      <w:isLgl w:val="false"/>
      <w:suff w:val="tab"/>
      <w:lvlText w:val="·"/>
      <w:lvlJc w:val="left"/>
      <w:pPr>
        <w:pStyle w:val="664"/>
        <w:ind w:left="2880" w:hanging="360"/>
      </w:pPr>
      <w:rPr>
        <w:rFonts w:ascii="Symbol" w:hAnsi="Symbol" w:eastAsia="Symbol" w:cs="Symbol"/>
      </w:rPr>
    </w:lvl>
    <w:lvl w:ilvl="4">
      <w:start w:val="1"/>
      <w:numFmt w:val="bullet"/>
      <w:isLgl w:val="false"/>
      <w:suff w:val="tab"/>
      <w:lvlText w:val="o"/>
      <w:lvlJc w:val="left"/>
      <w:pPr>
        <w:pStyle w:val="664"/>
        <w:ind w:left="3600" w:hanging="360"/>
      </w:pPr>
      <w:rPr>
        <w:rFonts w:ascii="Courier New" w:hAnsi="Courier New" w:eastAsia="Courier New" w:cs="Courier New"/>
      </w:rPr>
    </w:lvl>
    <w:lvl w:ilvl="5">
      <w:start w:val="1"/>
      <w:numFmt w:val="bullet"/>
      <w:isLgl w:val="false"/>
      <w:suff w:val="tab"/>
      <w:lvlText w:val="§"/>
      <w:lvlJc w:val="left"/>
      <w:pPr>
        <w:pStyle w:val="664"/>
        <w:ind w:left="4320" w:hanging="360"/>
      </w:pPr>
      <w:rPr>
        <w:rFonts w:ascii="Wingdings" w:hAnsi="Wingdings" w:eastAsia="Wingdings" w:cs="Wingdings"/>
      </w:rPr>
    </w:lvl>
    <w:lvl w:ilvl="6">
      <w:start w:val="1"/>
      <w:numFmt w:val="bullet"/>
      <w:isLgl w:val="false"/>
      <w:suff w:val="tab"/>
      <w:lvlText w:val="·"/>
      <w:lvlJc w:val="left"/>
      <w:pPr>
        <w:pStyle w:val="664"/>
        <w:ind w:left="5040" w:hanging="360"/>
      </w:pPr>
      <w:rPr>
        <w:rFonts w:ascii="Symbol" w:hAnsi="Symbol" w:eastAsia="Symbol" w:cs="Symbol"/>
      </w:rPr>
    </w:lvl>
    <w:lvl w:ilvl="7">
      <w:start w:val="1"/>
      <w:numFmt w:val="bullet"/>
      <w:isLgl w:val="false"/>
      <w:suff w:val="tab"/>
      <w:lvlText w:val="o"/>
      <w:lvlJc w:val="left"/>
      <w:pPr>
        <w:pStyle w:val="664"/>
        <w:ind w:left="5760" w:hanging="360"/>
      </w:pPr>
      <w:rPr>
        <w:rFonts w:ascii="Courier New" w:hAnsi="Courier New" w:eastAsia="Courier New" w:cs="Courier New"/>
      </w:rPr>
    </w:lvl>
    <w:lvl w:ilvl="8">
      <w:start w:val="1"/>
      <w:numFmt w:val="bullet"/>
      <w:isLgl w:val="false"/>
      <w:suff w:val="tab"/>
      <w:lvlText w:val="§"/>
      <w:lvlJc w:val="left"/>
      <w:pPr>
        <w:pStyle w:val="664"/>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42"/>
      <w:isLgl w:val="false"/>
      <w:suff w:val="tab"/>
      <w:lvlText w:val="附录%1."/>
      <w:lvlJc w:val="left"/>
      <w:pPr>
        <w:pStyle w:val="6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space"/>
      <w:lvlText w:val="第%1章"/>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59"/>
      <w:isLgl w:val="false"/>
      <w:suff w:val="tab"/>
      <w:lvlText w:val="%1."/>
      <w:lvlJc w:val="left"/>
      <w:pPr>
        <w:pStyle w:val="664"/>
        <w:ind w:left="709" w:hanging="709"/>
        <w:tabs>
          <w:tab w:val="num" w:pos="709" w:leader="none"/>
        </w:tabs>
      </w:pPr>
      <w:rPr>
        <w:rFonts w:hint="eastAsia"/>
      </w:rPr>
    </w:lvl>
    <w:lvl w:ilvl="1">
      <w:start w:val="1"/>
      <w:numFmt w:val="decimal"/>
      <w:isLgl w:val="false"/>
      <w:suff w:val="tab"/>
      <w:lvlText w:val="%1.%2"/>
      <w:lvlJc w:val="left"/>
      <w:pPr>
        <w:pStyle w:val="664"/>
        <w:ind w:left="709" w:hanging="709"/>
        <w:tabs>
          <w:tab w:val="num" w:pos="709" w:leader="none"/>
        </w:tabs>
      </w:pPr>
      <w:rPr>
        <w:rFonts w:hint="eastAsia"/>
      </w:rPr>
    </w:lvl>
    <w:lvl w:ilvl="2">
      <w:start w:val="1"/>
      <w:numFmt w:val="decimal"/>
      <w:isLgl w:val="false"/>
      <w:suff w:val="tab"/>
      <w:lvlText w:val="%1.%2.%3."/>
      <w:lvlJc w:val="left"/>
      <w:pPr>
        <w:pStyle w:val="664"/>
        <w:ind w:left="425" w:hanging="425"/>
        <w:tabs>
          <w:tab w:val="num" w:pos="425" w:leader="none"/>
        </w:tabs>
      </w:pPr>
      <w:rPr>
        <w:rFonts w:hint="eastAsia"/>
      </w:rPr>
    </w:lvl>
    <w:lvl w:ilvl="3">
      <w:start w:val="1"/>
      <w:numFmt w:val="decimal"/>
      <w:isLgl w:val="false"/>
      <w:suff w:val="tab"/>
      <w:lvlText w:val="%1.%2.%3.%4."/>
      <w:lvlJc w:val="left"/>
      <w:pPr>
        <w:pStyle w:val="664"/>
        <w:ind w:left="851" w:hanging="851"/>
        <w:tabs>
          <w:tab w:val="num" w:pos="851" w:leader="none"/>
        </w:tabs>
      </w:pPr>
      <w:rPr>
        <w:rFonts w:hint="eastAsia"/>
      </w:rPr>
    </w:lvl>
    <w:lvl w:ilvl="4">
      <w:start w:val="1"/>
      <w:numFmt w:val="decimal"/>
      <w:isLgl w:val="false"/>
      <w:suff w:val="tab"/>
      <w:lvlText w:val="%1.%2.%3.%4.%5."/>
      <w:lvlJc w:val="left"/>
      <w:pPr>
        <w:pStyle w:val="664"/>
        <w:ind w:left="992" w:hanging="992"/>
        <w:tabs>
          <w:tab w:val="num" w:pos="992" w:leader="none"/>
        </w:tabs>
      </w:pPr>
      <w:rPr>
        <w:rFonts w:hint="eastAsia"/>
      </w:rPr>
    </w:lvl>
    <w:lvl w:ilvl="5">
      <w:start w:val="1"/>
      <w:numFmt w:val="decimal"/>
      <w:isLgl w:val="false"/>
      <w:suff w:val="tab"/>
      <w:lvlText w:val="%1.%2.%3.%4.%5.%6."/>
      <w:lvlJc w:val="left"/>
      <w:pPr>
        <w:pStyle w:val="664"/>
        <w:ind w:left="1134" w:hanging="1134"/>
        <w:tabs>
          <w:tab w:val="num" w:pos="1134" w:leader="none"/>
        </w:tabs>
      </w:pPr>
      <w:rPr>
        <w:rFonts w:hint="eastAsia"/>
      </w:rPr>
    </w:lvl>
    <w:lvl w:ilvl="6">
      <w:start w:val="1"/>
      <w:numFmt w:val="decimal"/>
      <w:isLgl w:val="false"/>
      <w:suff w:val="tab"/>
      <w:lvlText w:val="%1.%2.%3.%4.%5.%6.%7."/>
      <w:lvlJc w:val="left"/>
      <w:pPr>
        <w:pStyle w:val="664"/>
        <w:ind w:left="1276" w:hanging="1276"/>
        <w:tabs>
          <w:tab w:val="num" w:pos="1276" w:leader="none"/>
        </w:tabs>
      </w:pPr>
      <w:rPr>
        <w:rFonts w:hint="eastAsia"/>
      </w:rPr>
    </w:lvl>
    <w:lvl w:ilvl="7">
      <w:start w:val="1"/>
      <w:numFmt w:val="decimal"/>
      <w:isLgl w:val="false"/>
      <w:suff w:val="tab"/>
      <w:lvlText w:val="%1.%2.%3.%4.%5.%6.%7.%8."/>
      <w:lvlJc w:val="left"/>
      <w:pPr>
        <w:pStyle w:val="664"/>
        <w:ind w:left="1418" w:hanging="1418"/>
        <w:tabs>
          <w:tab w:val="num" w:pos="1418" w:leader="none"/>
        </w:tabs>
      </w:pPr>
      <w:rPr>
        <w:rFonts w:hint="eastAsia"/>
      </w:rPr>
    </w:lvl>
    <w:lvl w:ilvl="8">
      <w:start w:val="1"/>
      <w:numFmt w:val="decimal"/>
      <w:isLgl w:val="false"/>
      <w:suff w:val="tab"/>
      <w:lvlText w:val="%1.%2.%3.%4.%5.%6.%7.%8.%9."/>
      <w:lvlJc w:val="left"/>
      <w:pPr>
        <w:pStyle w:val="664"/>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664"/>
        <w:ind w:left="0" w:firstLine="0"/>
      </w:pPr>
      <w:rPr>
        <w:rFonts w:hint="eastAsia"/>
      </w:rPr>
    </w:lvl>
    <w:lvl w:ilvl="1">
      <w:start w:val="1"/>
      <w:numFmt w:val="decimal"/>
      <w:isLgl w:val="false"/>
      <w:suff w:val="nothing"/>
      <w:lvlText w:val="%2、"/>
      <w:lvlJc w:val="left"/>
      <w:pPr>
        <w:pStyle w:val="664"/>
        <w:ind w:left="0" w:firstLine="0"/>
      </w:pPr>
      <w:rPr>
        <w:rFonts w:hint="eastAsia"/>
      </w:rPr>
    </w:lvl>
    <w:lvl w:ilvl="2">
      <w:start w:val="1"/>
      <w:numFmt w:val="decimal"/>
      <w:isLgl w:val="false"/>
      <w:suff w:val="nothing"/>
      <w:lvlText w:val="%2.%3 "/>
      <w:lvlJc w:val="left"/>
      <w:pPr>
        <w:pStyle w:val="664"/>
        <w:ind w:left="0" w:firstLine="0"/>
      </w:pPr>
      <w:rPr>
        <w:rFonts w:hint="eastAsia"/>
      </w:rPr>
    </w:lvl>
    <w:lvl w:ilvl="3">
      <w:start w:val="1"/>
      <w:numFmt w:val="decimal"/>
      <w:isLgl w:val="false"/>
      <w:suff w:val="nothing"/>
      <w:lvlText w:val="%2.%3.%4 "/>
      <w:lvlJc w:val="left"/>
      <w:pPr>
        <w:pStyle w:val="664"/>
        <w:ind w:left="0" w:firstLine="0"/>
      </w:pPr>
      <w:rPr>
        <w:rFonts w:hint="eastAsia"/>
      </w:rPr>
    </w:lvl>
    <w:lvl w:ilvl="4">
      <w:start w:val="1"/>
      <w:numFmt w:val="decimal"/>
      <w:isLgl w:val="false"/>
      <w:suff w:val="nothing"/>
      <w:lvlText w:val="%2.%3.%4.%5 "/>
      <w:lvlJc w:val="left"/>
      <w:pPr>
        <w:pStyle w:val="664"/>
        <w:ind w:left="0" w:firstLine="0"/>
      </w:pPr>
      <w:rPr>
        <w:rFonts w:hint="eastAsia"/>
      </w:rPr>
    </w:lvl>
    <w:lvl w:ilvl="5">
      <w:start w:val="1"/>
      <w:numFmt w:val="decimal"/>
      <w:pStyle w:val="670"/>
      <w:isLgl w:val="false"/>
      <w:suff w:val="nothing"/>
      <w:lvlText w:val=""/>
      <w:lvlJc w:val="left"/>
      <w:pPr>
        <w:pStyle w:val="664"/>
        <w:ind w:left="0" w:firstLine="0"/>
      </w:pPr>
      <w:rPr>
        <w:rFonts w:hint="eastAsia"/>
      </w:rPr>
    </w:lvl>
    <w:lvl w:ilvl="6">
      <w:start w:val="1"/>
      <w:numFmt w:val="decimal"/>
      <w:pStyle w:val="671"/>
      <w:isLgl w:val="false"/>
      <w:suff w:val="nothing"/>
      <w:lvlText w:val=""/>
      <w:lvlJc w:val="left"/>
      <w:pPr>
        <w:pStyle w:val="664"/>
        <w:ind w:left="0" w:firstLine="0"/>
      </w:pPr>
      <w:rPr>
        <w:rFonts w:hint="eastAsia"/>
      </w:rPr>
    </w:lvl>
    <w:lvl w:ilvl="7">
      <w:start w:val="1"/>
      <w:numFmt w:val="decimal"/>
      <w:pStyle w:val="672"/>
      <w:isLgl w:val="false"/>
      <w:suff w:val="nothing"/>
      <w:lvlText w:val=""/>
      <w:lvlJc w:val="left"/>
      <w:pPr>
        <w:pStyle w:val="664"/>
        <w:ind w:left="0" w:firstLine="0"/>
      </w:pPr>
      <w:rPr>
        <w:rFonts w:hint="eastAsia"/>
      </w:rPr>
    </w:lvl>
    <w:lvl w:ilvl="8">
      <w:start w:val="1"/>
      <w:numFmt w:val="decimal"/>
      <w:pStyle w:val="673"/>
      <w:isLgl w:val="false"/>
      <w:suff w:val="nothing"/>
      <w:lvlText w:val=""/>
      <w:lvlJc w:val="left"/>
      <w:pPr>
        <w:pStyle w:val="664"/>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66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4"/>
  </w:num>
  <w:num w:numId="6">
    <w:abstractNumId w:val="2"/>
  </w:num>
  <w:num w:numId="7">
    <w:abstractNumId w:val="0"/>
  </w:num>
  <w:num w:numId="8">
    <w:abstractNumId w:val="8"/>
  </w:num>
  <w:num w:numId="9">
    <w:abstractNumId w:val="1"/>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4"/>
    <w:next w:val="6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4"/>
    <w:next w:val="664"/>
    <w:uiPriority w:val="39"/>
    <w:unhideWhenUsed/>
    <w:pPr>
      <w:ind w:left="0" w:right="0" w:firstLine="0"/>
      <w:spacing w:after="57"/>
    </w:p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next w:val="664"/>
    <w:link w:val="664"/>
    <w:qFormat/>
    <w:pPr>
      <w:jc w:val="both"/>
      <w:widowControl w:val="off"/>
    </w:pPr>
    <w:rPr>
      <w:sz w:val="21"/>
      <w:szCs w:val="22"/>
      <w:lang w:val="en-US" w:eastAsia="zh-CN" w:bidi="ar-SA"/>
    </w:rPr>
  </w:style>
  <w:style w:type="paragraph" w:styleId="665">
    <w:name w:val="标题 1"/>
    <w:basedOn w:val="664"/>
    <w:next w:val="664"/>
    <w:link w:val="676"/>
    <w:qFormat/>
    <w:pPr>
      <w:jc w:val="center"/>
      <w:keepNext/>
      <w:outlineLvl w:val="0"/>
    </w:pPr>
    <w:rPr>
      <w:rFonts w:ascii="楷体_GB2312" w:hAnsi="Times New Roman" w:eastAsia="楷体_GB2312" w:cs="Times New Roman"/>
      <w:sz w:val="28"/>
      <w:szCs w:val="28"/>
    </w:rPr>
  </w:style>
  <w:style w:type="paragraph" w:styleId="666">
    <w:name w:val="标题 2"/>
    <w:basedOn w:val="664"/>
    <w:next w:val="678"/>
    <w:link w:val="677"/>
    <w:qFormat/>
    <w:pPr>
      <w:jc w:val="center"/>
      <w:keepLines/>
      <w:keepNext/>
      <w:spacing w:before="260" w:after="260" w:line="416" w:lineRule="auto"/>
      <w:outlineLvl w:val="1"/>
    </w:pPr>
    <w:rPr>
      <w:rFonts w:ascii="Arial" w:hAnsi="Arial" w:eastAsia="幼圆" w:cs="Arial"/>
      <w:b/>
      <w:bCs/>
      <w:sz w:val="44"/>
      <w:szCs w:val="44"/>
    </w:rPr>
  </w:style>
  <w:style w:type="paragraph" w:styleId="667">
    <w:name w:val="标题 3"/>
    <w:basedOn w:val="664"/>
    <w:next w:val="678"/>
    <w:link w:val="6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8">
    <w:name w:val="标题 4"/>
    <w:basedOn w:val="664"/>
    <w:next w:val="678"/>
    <w:link w:val="681"/>
    <w:qFormat/>
    <w:pPr>
      <w:keepLines/>
      <w:keepNext/>
      <w:spacing w:before="280" w:after="290" w:line="376" w:lineRule="auto"/>
      <w:outlineLvl w:val="3"/>
    </w:pPr>
    <w:rPr>
      <w:rFonts w:ascii="Arial" w:hAnsi="Arial" w:eastAsia="黑体" w:cs="Arial"/>
      <w:b/>
      <w:bCs/>
      <w:sz w:val="28"/>
      <w:szCs w:val="28"/>
    </w:rPr>
  </w:style>
  <w:style w:type="paragraph" w:styleId="669">
    <w:name w:val="标题 5"/>
    <w:basedOn w:val="664"/>
    <w:next w:val="678"/>
    <w:link w:val="682"/>
    <w:qFormat/>
    <w:pPr>
      <w:keepNext/>
      <w:outlineLvl w:val="4"/>
    </w:pPr>
    <w:rPr>
      <w:rFonts w:ascii="宋体" w:hAnsi="Times New Roman" w:eastAsia="宋体" w:cs="Times New Roman"/>
      <w:color w:val="000000"/>
      <w:sz w:val="28"/>
      <w:szCs w:val="28"/>
    </w:rPr>
  </w:style>
  <w:style w:type="paragraph" w:styleId="670">
    <w:name w:val="标题 6"/>
    <w:basedOn w:val="664"/>
    <w:next w:val="664"/>
    <w:link w:val="68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71">
    <w:name w:val="标题 7"/>
    <w:basedOn w:val="664"/>
    <w:next w:val="664"/>
    <w:link w:val="68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72">
    <w:name w:val="标题 8"/>
    <w:basedOn w:val="664"/>
    <w:next w:val="664"/>
    <w:link w:val="68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73">
    <w:name w:val="标题 9"/>
    <w:basedOn w:val="664"/>
    <w:next w:val="664"/>
    <w:link w:val="686"/>
    <w:qFormat/>
    <w:pPr>
      <w:numPr>
        <w:ilvl w:val="8"/>
        <w:numId w:val="1"/>
      </w:numPr>
      <w:keepLines/>
      <w:keepNext/>
      <w:spacing w:before="240" w:after="64" w:line="320" w:lineRule="auto"/>
      <w:outlineLvl w:val="8"/>
    </w:pPr>
    <w:rPr>
      <w:rFonts w:ascii="Arial" w:hAnsi="Arial" w:eastAsia="黑体" w:cs="Times New Roman"/>
      <w:szCs w:val="21"/>
    </w:rPr>
  </w:style>
  <w:style w:type="character" w:styleId="674">
    <w:name w:val="默认段落字体"/>
    <w:next w:val="674"/>
    <w:link w:val="664"/>
    <w:uiPriority w:val="1"/>
    <w:unhideWhenUsed/>
  </w:style>
  <w:style w:type="table" w:styleId="675">
    <w:name w:val="普通表格"/>
    <w:next w:val="675"/>
    <w:link w:val="664"/>
    <w:uiPriority w:val="99"/>
    <w:unhideWhenUsed/>
    <w:tblPr/>
  </w:style>
  <w:style w:type="character" w:styleId="676">
    <w:name w:val="标题 1 Char"/>
    <w:next w:val="676"/>
    <w:link w:val="665"/>
    <w:rPr>
      <w:rFonts w:ascii="楷体_GB2312" w:hAnsi="Times New Roman" w:eastAsia="楷体_GB2312" w:cs="Times New Roman"/>
      <w:sz w:val="28"/>
      <w:szCs w:val="28"/>
    </w:rPr>
  </w:style>
  <w:style w:type="character" w:styleId="677">
    <w:name w:val="标题 2 Char"/>
    <w:next w:val="677"/>
    <w:link w:val="666"/>
    <w:rPr>
      <w:rFonts w:ascii="Arial" w:hAnsi="Arial" w:eastAsia="幼圆" w:cs="Arial"/>
      <w:b/>
      <w:bCs/>
      <w:sz w:val="44"/>
      <w:szCs w:val="44"/>
    </w:rPr>
  </w:style>
  <w:style w:type="paragraph" w:styleId="678">
    <w:name w:val="正文缩进"/>
    <w:basedOn w:val="664"/>
    <w:next w:val="678"/>
    <w:link w:val="679"/>
    <w:pPr>
      <w:ind w:firstLine="420"/>
    </w:pPr>
    <w:rPr>
      <w:szCs w:val="21"/>
    </w:rPr>
  </w:style>
  <w:style w:type="character" w:styleId="679">
    <w:name w:val="正文缩进 Char"/>
    <w:next w:val="679"/>
    <w:link w:val="678"/>
    <w:rPr>
      <w:szCs w:val="21"/>
    </w:rPr>
  </w:style>
  <w:style w:type="character" w:styleId="680">
    <w:name w:val="标题 3 Char"/>
    <w:next w:val="680"/>
    <w:link w:val="667"/>
    <w:rPr>
      <w:rFonts w:ascii="Times New Roman" w:hAnsi="Times New Roman" w:eastAsia="宋体" w:cs="Times New Roman"/>
      <w:b/>
      <w:bCs/>
      <w:sz w:val="32"/>
      <w:szCs w:val="32"/>
    </w:rPr>
  </w:style>
  <w:style w:type="character" w:styleId="681">
    <w:name w:val="标题 4 Char"/>
    <w:next w:val="681"/>
    <w:link w:val="668"/>
    <w:rPr>
      <w:rFonts w:ascii="Arial" w:hAnsi="Arial" w:eastAsia="黑体" w:cs="Arial"/>
      <w:b/>
      <w:bCs/>
      <w:sz w:val="28"/>
      <w:szCs w:val="28"/>
    </w:rPr>
  </w:style>
  <w:style w:type="character" w:styleId="682">
    <w:name w:val="标题 5 Char"/>
    <w:next w:val="682"/>
    <w:link w:val="669"/>
    <w:rPr>
      <w:rFonts w:ascii="宋体" w:hAnsi="Times New Roman" w:eastAsia="宋体" w:cs="Times New Roman"/>
      <w:color w:val="000000"/>
      <w:sz w:val="28"/>
      <w:szCs w:val="28"/>
    </w:rPr>
  </w:style>
  <w:style w:type="character" w:styleId="683">
    <w:name w:val="标题 6 Char"/>
    <w:next w:val="683"/>
    <w:link w:val="670"/>
    <w:rPr>
      <w:rFonts w:ascii="Arial" w:hAnsi="Arial" w:eastAsia="黑体" w:cs="Times New Roman"/>
      <w:b/>
      <w:bCs/>
      <w:sz w:val="24"/>
      <w:szCs w:val="24"/>
    </w:rPr>
  </w:style>
  <w:style w:type="character" w:styleId="684">
    <w:name w:val="标题 7 Char"/>
    <w:next w:val="684"/>
    <w:link w:val="671"/>
    <w:rPr>
      <w:rFonts w:ascii="Times New Roman" w:hAnsi="Times New Roman" w:eastAsia="宋体" w:cs="Times New Roman"/>
      <w:b/>
      <w:bCs/>
      <w:sz w:val="24"/>
      <w:szCs w:val="24"/>
    </w:rPr>
  </w:style>
  <w:style w:type="character" w:styleId="685">
    <w:name w:val="标题 8 Char"/>
    <w:next w:val="685"/>
    <w:link w:val="672"/>
    <w:rPr>
      <w:rFonts w:ascii="Arial" w:hAnsi="Arial" w:eastAsia="黑体" w:cs="Times New Roman"/>
      <w:sz w:val="24"/>
      <w:szCs w:val="24"/>
    </w:rPr>
  </w:style>
  <w:style w:type="character" w:styleId="686">
    <w:name w:val="标题 9 Char"/>
    <w:next w:val="686"/>
    <w:link w:val="673"/>
    <w:rPr>
      <w:rFonts w:ascii="Arial" w:hAnsi="Arial" w:eastAsia="黑体" w:cs="Times New Roman"/>
      <w:szCs w:val="21"/>
    </w:rPr>
  </w:style>
  <w:style w:type="paragraph" w:styleId="687">
    <w:name w:val="列表 3"/>
    <w:basedOn w:val="664"/>
    <w:next w:val="687"/>
    <w:link w:val="664"/>
    <w:pPr>
      <w:ind w:left="100" w:hanging="200"/>
    </w:pPr>
    <w:rPr>
      <w:rFonts w:ascii="Times New Roman" w:hAnsi="Times New Roman" w:eastAsia="宋体" w:cs="Times New Roman"/>
      <w:szCs w:val="21"/>
    </w:rPr>
  </w:style>
  <w:style w:type="paragraph" w:styleId="688">
    <w:name w:val="目录 7"/>
    <w:basedOn w:val="664"/>
    <w:next w:val="664"/>
    <w:link w:val="664"/>
    <w:semiHidden/>
    <w:pPr>
      <w:ind w:left="1260"/>
      <w:jc w:val="left"/>
    </w:pPr>
    <w:rPr>
      <w:rFonts w:ascii="Times New Roman" w:hAnsi="Times New Roman" w:eastAsia="宋体" w:cs="Times New Roman"/>
      <w:szCs w:val="21"/>
    </w:rPr>
  </w:style>
  <w:style w:type="paragraph" w:styleId="689">
    <w:name w:val="文档结构图"/>
    <w:basedOn w:val="664"/>
    <w:next w:val="689"/>
    <w:link w:val="690"/>
    <w:semiHidden/>
    <w:pPr>
      <w:shd w:val="clear" w:color="auto" w:fill="000080"/>
    </w:pPr>
    <w:rPr>
      <w:rFonts w:ascii="Times New Roman" w:hAnsi="Times New Roman" w:eastAsia="宋体" w:cs="Times New Roman"/>
      <w:szCs w:val="21"/>
    </w:rPr>
  </w:style>
  <w:style w:type="character" w:styleId="690">
    <w:name w:val="文档结构图 Char"/>
    <w:next w:val="690"/>
    <w:link w:val="689"/>
    <w:semiHidden/>
    <w:rPr>
      <w:rFonts w:ascii="Times New Roman" w:hAnsi="Times New Roman" w:eastAsia="宋体" w:cs="Times New Roman"/>
      <w:szCs w:val="21"/>
      <w:shd w:val="clear" w:color="auto" w:fill="000080"/>
    </w:rPr>
  </w:style>
  <w:style w:type="paragraph" w:styleId="691">
    <w:name w:val="批注文字"/>
    <w:basedOn w:val="664"/>
    <w:next w:val="691"/>
    <w:link w:val="692"/>
    <w:unhideWhenUsed/>
    <w:pPr>
      <w:jc w:val="left"/>
    </w:pPr>
  </w:style>
  <w:style w:type="character" w:styleId="692">
    <w:name w:val="批注文字 Char"/>
    <w:basedOn w:val="674"/>
    <w:next w:val="692"/>
    <w:link w:val="691"/>
    <w:uiPriority w:val="99"/>
    <w:semiHidden/>
  </w:style>
  <w:style w:type="paragraph" w:styleId="693">
    <w:name w:val="正文文本 3"/>
    <w:basedOn w:val="664"/>
    <w:next w:val="693"/>
    <w:link w:val="694"/>
    <w:rPr>
      <w:rFonts w:ascii="仿宋_GB2312" w:hAnsi="Arial" w:eastAsia="仿宋_GB2312" w:cs="Times New Roman"/>
      <w:sz w:val="32"/>
      <w:szCs w:val="32"/>
    </w:rPr>
  </w:style>
  <w:style w:type="character" w:styleId="694">
    <w:name w:val="正文文本 3 Char"/>
    <w:next w:val="694"/>
    <w:link w:val="693"/>
    <w:rPr>
      <w:rFonts w:ascii="仿宋_GB2312" w:hAnsi="Arial" w:eastAsia="仿宋_GB2312" w:cs="Times New Roman"/>
      <w:sz w:val="32"/>
      <w:szCs w:val="32"/>
    </w:rPr>
  </w:style>
  <w:style w:type="paragraph" w:styleId="695">
    <w:name w:val="正文文本"/>
    <w:basedOn w:val="664"/>
    <w:next w:val="695"/>
    <w:link w:val="696"/>
    <w:rPr>
      <w:rFonts w:ascii="楷体_GB2312" w:hAnsi="Arial" w:eastAsia="楷体_GB2312" w:cs="Times New Roman"/>
      <w:sz w:val="28"/>
      <w:szCs w:val="28"/>
    </w:rPr>
  </w:style>
  <w:style w:type="character" w:styleId="696">
    <w:name w:val="正文文本 Char"/>
    <w:next w:val="696"/>
    <w:link w:val="695"/>
    <w:rPr>
      <w:rFonts w:ascii="楷体_GB2312" w:hAnsi="Arial" w:eastAsia="楷体_GB2312" w:cs="Times New Roman"/>
      <w:sz w:val="28"/>
      <w:szCs w:val="28"/>
    </w:rPr>
  </w:style>
  <w:style w:type="paragraph" w:styleId="697">
    <w:name w:val="正文文本缩进"/>
    <w:basedOn w:val="664"/>
    <w:next w:val="697"/>
    <w:link w:val="698"/>
    <w:unhideWhenUsed/>
    <w:pPr>
      <w:ind w:left="420"/>
      <w:spacing w:after="120"/>
    </w:pPr>
  </w:style>
  <w:style w:type="character" w:styleId="698">
    <w:name w:val="正文文本缩进 Char"/>
    <w:basedOn w:val="674"/>
    <w:next w:val="698"/>
    <w:link w:val="697"/>
    <w:uiPriority w:val="99"/>
    <w:semiHidden/>
  </w:style>
  <w:style w:type="paragraph" w:styleId="699">
    <w:name w:val="列表 2"/>
    <w:basedOn w:val="664"/>
    <w:next w:val="699"/>
    <w:link w:val="664"/>
    <w:pPr>
      <w:ind w:left="100" w:hanging="200"/>
    </w:pPr>
    <w:rPr>
      <w:rFonts w:ascii="Times New Roman" w:hAnsi="Times New Roman" w:eastAsia="宋体" w:cs="Times New Roman"/>
      <w:szCs w:val="21"/>
    </w:rPr>
  </w:style>
  <w:style w:type="paragraph" w:styleId="700">
    <w:name w:val="目录 5"/>
    <w:basedOn w:val="664"/>
    <w:next w:val="664"/>
    <w:link w:val="664"/>
    <w:semiHidden/>
    <w:pPr>
      <w:ind w:left="840"/>
      <w:jc w:val="left"/>
    </w:pPr>
    <w:rPr>
      <w:rFonts w:ascii="Times New Roman" w:hAnsi="Times New Roman" w:eastAsia="宋体" w:cs="Times New Roman"/>
      <w:szCs w:val="21"/>
    </w:rPr>
  </w:style>
  <w:style w:type="paragraph" w:styleId="701">
    <w:name w:val="目录 3"/>
    <w:basedOn w:val="664"/>
    <w:next w:val="664"/>
    <w:link w:val="664"/>
    <w:semiHidden/>
    <w:pPr>
      <w:ind w:left="420"/>
      <w:jc w:val="left"/>
    </w:pPr>
    <w:rPr>
      <w:rFonts w:ascii="Times New Roman" w:hAnsi="Times New Roman" w:eastAsia="宋体" w:cs="Times New Roman"/>
      <w:i/>
      <w:iCs/>
      <w:szCs w:val="24"/>
    </w:rPr>
  </w:style>
  <w:style w:type="paragraph" w:styleId="702">
    <w:name w:val="纯文本"/>
    <w:basedOn w:val="664"/>
    <w:next w:val="702"/>
    <w:link w:val="703"/>
    <w:rPr>
      <w:rFonts w:ascii="宋体" w:hAnsi="Courier New" w:eastAsia="宋体" w:cs="Courier New"/>
      <w:szCs w:val="21"/>
    </w:rPr>
  </w:style>
  <w:style w:type="character" w:styleId="703">
    <w:name w:val="纯文本 Char"/>
    <w:next w:val="703"/>
    <w:link w:val="702"/>
    <w:rPr>
      <w:rFonts w:ascii="宋体" w:hAnsi="Courier New" w:eastAsia="宋体" w:cs="Courier New"/>
      <w:szCs w:val="21"/>
    </w:rPr>
  </w:style>
  <w:style w:type="paragraph" w:styleId="704">
    <w:name w:val="目录 8"/>
    <w:basedOn w:val="664"/>
    <w:next w:val="664"/>
    <w:link w:val="664"/>
    <w:semiHidden/>
    <w:pPr>
      <w:ind w:left="1470"/>
      <w:jc w:val="left"/>
    </w:pPr>
    <w:rPr>
      <w:rFonts w:ascii="Times New Roman" w:hAnsi="Times New Roman" w:eastAsia="宋体" w:cs="Times New Roman"/>
      <w:szCs w:val="21"/>
    </w:rPr>
  </w:style>
  <w:style w:type="paragraph" w:styleId="705">
    <w:name w:val="日期"/>
    <w:basedOn w:val="664"/>
    <w:next w:val="664"/>
    <w:link w:val="706"/>
    <w:rPr>
      <w:rFonts w:ascii="Times New Roman" w:hAnsi="Times New Roman" w:eastAsia="宋体" w:cs="Times New Roman"/>
      <w:sz w:val="24"/>
      <w:szCs w:val="24"/>
    </w:rPr>
  </w:style>
  <w:style w:type="character" w:styleId="706">
    <w:name w:val="日期 Char"/>
    <w:next w:val="706"/>
    <w:link w:val="705"/>
    <w:rPr>
      <w:rFonts w:ascii="Times New Roman" w:hAnsi="Times New Roman" w:eastAsia="宋体" w:cs="Times New Roman"/>
      <w:sz w:val="24"/>
      <w:szCs w:val="24"/>
    </w:rPr>
  </w:style>
  <w:style w:type="paragraph" w:styleId="707">
    <w:name w:val="正文文本缩进 2"/>
    <w:basedOn w:val="664"/>
    <w:next w:val="707"/>
    <w:link w:val="708"/>
    <w:pPr>
      <w:ind w:left="630" w:firstLine="645"/>
    </w:pPr>
    <w:rPr>
      <w:rFonts w:ascii="Arial" w:hAnsi="Arial" w:eastAsia="仿宋_GB2312" w:cs="Arial"/>
      <w:sz w:val="32"/>
      <w:szCs w:val="32"/>
    </w:rPr>
  </w:style>
  <w:style w:type="character" w:styleId="708">
    <w:name w:val="正文文本缩进 2 Char"/>
    <w:next w:val="708"/>
    <w:link w:val="707"/>
    <w:rPr>
      <w:rFonts w:ascii="Arial" w:hAnsi="Arial" w:eastAsia="仿宋_GB2312" w:cs="Arial"/>
      <w:sz w:val="32"/>
      <w:szCs w:val="32"/>
    </w:rPr>
  </w:style>
  <w:style w:type="paragraph" w:styleId="709">
    <w:name w:val="批注框文本"/>
    <w:basedOn w:val="664"/>
    <w:next w:val="709"/>
    <w:link w:val="710"/>
    <w:semiHidden/>
    <w:rPr>
      <w:rFonts w:ascii="Times New Roman" w:hAnsi="Times New Roman" w:eastAsia="宋体" w:cs="Times New Roman"/>
      <w:sz w:val="18"/>
      <w:szCs w:val="18"/>
    </w:rPr>
  </w:style>
  <w:style w:type="character" w:styleId="710">
    <w:name w:val="批注框文本 Char"/>
    <w:next w:val="710"/>
    <w:link w:val="709"/>
    <w:semiHidden/>
    <w:rPr>
      <w:rFonts w:ascii="Times New Roman" w:hAnsi="Times New Roman" w:eastAsia="宋体" w:cs="Times New Roman"/>
      <w:sz w:val="18"/>
      <w:szCs w:val="18"/>
    </w:rPr>
  </w:style>
  <w:style w:type="paragraph" w:styleId="711">
    <w:name w:val="页脚"/>
    <w:basedOn w:val="664"/>
    <w:next w:val="711"/>
    <w:link w:val="712"/>
    <w:pPr>
      <w:jc w:val="left"/>
      <w:tabs>
        <w:tab w:val="center" w:pos="4153" w:leader="none"/>
        <w:tab w:val="right" w:pos="8306" w:leader="none"/>
      </w:tabs>
    </w:pPr>
    <w:rPr>
      <w:rFonts w:ascii="Times New Roman" w:hAnsi="Times New Roman" w:eastAsia="宋体" w:cs="Times New Roman"/>
      <w:sz w:val="18"/>
      <w:szCs w:val="18"/>
    </w:rPr>
  </w:style>
  <w:style w:type="character" w:styleId="712">
    <w:name w:val="页脚 Char"/>
    <w:next w:val="712"/>
    <w:link w:val="711"/>
    <w:rPr>
      <w:rFonts w:ascii="Times New Roman" w:hAnsi="Times New Roman" w:eastAsia="宋体" w:cs="Times New Roman"/>
      <w:sz w:val="18"/>
      <w:szCs w:val="18"/>
    </w:rPr>
  </w:style>
  <w:style w:type="paragraph" w:styleId="713">
    <w:name w:val="页眉"/>
    <w:basedOn w:val="664"/>
    <w:next w:val="713"/>
    <w:link w:val="7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4">
    <w:name w:val="页眉 Char"/>
    <w:next w:val="714"/>
    <w:link w:val="713"/>
    <w:rPr>
      <w:rFonts w:ascii="Times New Roman" w:hAnsi="Times New Roman" w:eastAsia="宋体" w:cs="Times New Roman"/>
      <w:sz w:val="18"/>
      <w:szCs w:val="18"/>
    </w:rPr>
  </w:style>
  <w:style w:type="paragraph" w:styleId="715">
    <w:name w:val="目录 1"/>
    <w:basedOn w:val="664"/>
    <w:next w:val="664"/>
    <w:link w:val="66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6">
    <w:name w:val="目录 4"/>
    <w:basedOn w:val="664"/>
    <w:next w:val="664"/>
    <w:link w:val="664"/>
    <w:semiHidden/>
    <w:pPr>
      <w:ind w:left="630"/>
      <w:jc w:val="left"/>
    </w:pPr>
    <w:rPr>
      <w:rFonts w:ascii="Times New Roman" w:hAnsi="Times New Roman" w:eastAsia="宋体" w:cs="Times New Roman"/>
      <w:szCs w:val="21"/>
    </w:rPr>
  </w:style>
  <w:style w:type="paragraph" w:styleId="717">
    <w:name w:val="列表"/>
    <w:basedOn w:val="664"/>
    <w:next w:val="717"/>
    <w:link w:val="664"/>
    <w:pPr>
      <w:ind w:left="200" w:hanging="200"/>
    </w:pPr>
    <w:rPr>
      <w:rFonts w:ascii="Times New Roman" w:hAnsi="Times New Roman" w:eastAsia="宋体" w:cs="Times New Roman"/>
      <w:szCs w:val="21"/>
    </w:rPr>
  </w:style>
  <w:style w:type="paragraph" w:styleId="718">
    <w:name w:val="目录 6"/>
    <w:basedOn w:val="664"/>
    <w:next w:val="664"/>
    <w:link w:val="664"/>
    <w:semiHidden/>
    <w:pPr>
      <w:ind w:left="1050"/>
      <w:jc w:val="left"/>
    </w:pPr>
    <w:rPr>
      <w:rFonts w:ascii="Times New Roman" w:hAnsi="Times New Roman" w:eastAsia="宋体" w:cs="Times New Roman"/>
      <w:szCs w:val="21"/>
    </w:rPr>
  </w:style>
  <w:style w:type="paragraph" w:styleId="719">
    <w:name w:val="正文文本缩进 3"/>
    <w:basedOn w:val="664"/>
    <w:next w:val="719"/>
    <w:link w:val="720"/>
    <w:pPr>
      <w:ind w:left="645" w:firstLine="645"/>
    </w:pPr>
    <w:rPr>
      <w:rFonts w:ascii="Arial" w:hAnsi="Arial" w:eastAsia="仿宋_GB2312" w:cs="Arial"/>
      <w:color w:val="ffff00"/>
      <w:sz w:val="32"/>
      <w:szCs w:val="32"/>
    </w:rPr>
  </w:style>
  <w:style w:type="character" w:styleId="720">
    <w:name w:val="正文文本缩进 3 Char"/>
    <w:next w:val="720"/>
    <w:link w:val="719"/>
    <w:rPr>
      <w:rFonts w:ascii="Arial" w:hAnsi="Arial" w:eastAsia="仿宋_GB2312" w:cs="Arial"/>
      <w:color w:val="ffff00"/>
      <w:sz w:val="32"/>
      <w:szCs w:val="32"/>
    </w:rPr>
  </w:style>
  <w:style w:type="paragraph" w:styleId="721">
    <w:name w:val="图表目录"/>
    <w:basedOn w:val="664"/>
    <w:next w:val="664"/>
    <w:link w:val="664"/>
    <w:semiHidden/>
    <w:pPr>
      <w:ind w:left="840" w:hanging="420"/>
    </w:pPr>
    <w:rPr>
      <w:rFonts w:ascii="Times New Roman" w:hAnsi="Times New Roman" w:eastAsia="宋体" w:cs="Times New Roman"/>
      <w:szCs w:val="21"/>
    </w:rPr>
  </w:style>
  <w:style w:type="paragraph" w:styleId="722">
    <w:name w:val="目录 2"/>
    <w:basedOn w:val="664"/>
    <w:next w:val="664"/>
    <w:link w:val="664"/>
    <w:semiHidden/>
    <w:pPr>
      <w:ind w:left="210"/>
      <w:jc w:val="left"/>
    </w:pPr>
    <w:rPr>
      <w:rFonts w:ascii="Times New Roman" w:hAnsi="Times New Roman" w:eastAsia="宋体" w:cs="Times New Roman"/>
      <w:smallCaps/>
      <w:szCs w:val="24"/>
    </w:rPr>
  </w:style>
  <w:style w:type="paragraph" w:styleId="723">
    <w:name w:val="目录 9"/>
    <w:basedOn w:val="664"/>
    <w:next w:val="664"/>
    <w:link w:val="664"/>
    <w:semiHidden/>
    <w:pPr>
      <w:ind w:left="1680"/>
      <w:jc w:val="left"/>
    </w:pPr>
    <w:rPr>
      <w:rFonts w:ascii="Times New Roman" w:hAnsi="Times New Roman" w:eastAsia="宋体" w:cs="Times New Roman"/>
      <w:szCs w:val="21"/>
    </w:rPr>
  </w:style>
  <w:style w:type="paragraph" w:styleId="724">
    <w:name w:val="正文文本 2"/>
    <w:basedOn w:val="664"/>
    <w:next w:val="724"/>
    <w:link w:val="725"/>
    <w:pPr>
      <w:jc w:val="center"/>
      <w:widowControl/>
    </w:pPr>
    <w:rPr>
      <w:rFonts w:ascii="楷体_GB2312" w:hAnsi="Times New Roman" w:eastAsia="楷体_GB2312" w:cs="Times New Roman"/>
      <w:sz w:val="28"/>
      <w:szCs w:val="28"/>
    </w:rPr>
  </w:style>
  <w:style w:type="character" w:styleId="725">
    <w:name w:val="正文文本 2 Char"/>
    <w:next w:val="725"/>
    <w:link w:val="724"/>
    <w:rPr>
      <w:rFonts w:ascii="楷体_GB2312" w:hAnsi="Times New Roman" w:eastAsia="楷体_GB2312" w:cs="Times New Roman"/>
      <w:sz w:val="28"/>
      <w:szCs w:val="28"/>
    </w:rPr>
  </w:style>
  <w:style w:type="paragraph" w:styleId="726">
    <w:name w:val="普通(网站)"/>
    <w:basedOn w:val="664"/>
    <w:next w:val="726"/>
    <w:link w:val="664"/>
    <w:uiPriority w:val="99"/>
    <w:pPr>
      <w:jc w:val="left"/>
      <w:spacing w:before="100" w:beforeAutospacing="1" w:after="100" w:afterAutospacing="1"/>
      <w:widowControl/>
    </w:pPr>
    <w:rPr>
      <w:rFonts w:ascii="宋体" w:hAnsi="宋体" w:eastAsia="宋体" w:cs="宋体"/>
      <w:sz w:val="24"/>
      <w:szCs w:val="24"/>
    </w:rPr>
  </w:style>
  <w:style w:type="paragraph" w:styleId="727">
    <w:name w:val="索引 1"/>
    <w:basedOn w:val="664"/>
    <w:next w:val="664"/>
    <w:link w:val="664"/>
    <w:semiHidden/>
    <w:pPr>
      <w:spacing w:line="240" w:lineRule="atLeast"/>
    </w:pPr>
    <w:rPr>
      <w:rFonts w:ascii="Times New Roman" w:hAnsi="Times New Roman" w:eastAsia="宋体" w:cs="Times New Roman"/>
      <w:b/>
      <w:bCs/>
      <w:szCs w:val="21"/>
    </w:rPr>
  </w:style>
  <w:style w:type="paragraph" w:styleId="728">
    <w:name w:val="批注主题"/>
    <w:basedOn w:val="691"/>
    <w:next w:val="691"/>
    <w:link w:val="729"/>
    <w:semiHidden/>
    <w:rPr>
      <w:rFonts w:ascii="Times New Roman" w:hAnsi="Times New Roman" w:eastAsia="宋体" w:cs="Times New Roman"/>
      <w:b/>
      <w:bCs/>
      <w:szCs w:val="21"/>
    </w:rPr>
  </w:style>
  <w:style w:type="character" w:styleId="729">
    <w:name w:val="批注主题 Char"/>
    <w:next w:val="729"/>
    <w:link w:val="728"/>
    <w:semiHidden/>
    <w:rPr>
      <w:rFonts w:ascii="Times New Roman" w:hAnsi="Times New Roman" w:eastAsia="宋体" w:cs="Times New Roman"/>
      <w:b/>
      <w:bCs/>
      <w:szCs w:val="21"/>
    </w:rPr>
  </w:style>
  <w:style w:type="paragraph" w:styleId="730">
    <w:name w:val="正文首行缩进"/>
    <w:basedOn w:val="664"/>
    <w:next w:val="730"/>
    <w:link w:val="731"/>
    <w:pPr>
      <w:ind w:firstLine="200"/>
      <w:spacing w:line="360" w:lineRule="auto"/>
    </w:pPr>
    <w:rPr>
      <w:rFonts w:ascii="仿宋_GB2312" w:hAnsi="Times New Roman" w:eastAsia="仿宋_GB2312" w:cs="Times New Roman"/>
      <w:sz w:val="30"/>
      <w:szCs w:val="30"/>
    </w:rPr>
  </w:style>
  <w:style w:type="character" w:styleId="731">
    <w:name w:val="正文首行缩进 Char"/>
    <w:next w:val="731"/>
    <w:link w:val="730"/>
    <w:rPr>
      <w:rFonts w:ascii="仿宋_GB2312" w:hAnsi="Times New Roman" w:eastAsia="仿宋_GB2312" w:cs="Times New Roman"/>
      <w:sz w:val="30"/>
      <w:szCs w:val="30"/>
    </w:rPr>
  </w:style>
  <w:style w:type="paragraph" w:styleId="732">
    <w:name w:val="正文首行缩进 2"/>
    <w:basedOn w:val="697"/>
    <w:next w:val="732"/>
    <w:link w:val="733"/>
    <w:pPr>
      <w:ind w:left="0" w:firstLine="420"/>
      <w:spacing w:after="0" w:line="360" w:lineRule="auto"/>
    </w:pPr>
    <w:rPr>
      <w:rFonts w:ascii="宋体" w:hAnsi="宋体" w:eastAsia="宋体" w:cs="Times New Roman"/>
      <w:szCs w:val="20"/>
    </w:rPr>
  </w:style>
  <w:style w:type="character" w:styleId="733">
    <w:name w:val="正文首行缩进 2 Char"/>
    <w:next w:val="733"/>
    <w:link w:val="732"/>
    <w:rPr>
      <w:rFonts w:ascii="宋体" w:hAnsi="宋体" w:eastAsia="宋体" w:cs="Times New Roman"/>
      <w:szCs w:val="20"/>
    </w:rPr>
  </w:style>
  <w:style w:type="table" w:styleId="734">
    <w:name w:val="网格型"/>
    <w:basedOn w:val="675"/>
    <w:next w:val="734"/>
    <w:link w:val="664"/>
    <w:pPr>
      <w:jc w:val="both"/>
      <w:widowControl w:val="off"/>
    </w:pPr>
    <w:rPr>
      <w:rFonts w:ascii="Times New Roman" w:hAnsi="Times New Roman" w:eastAsia="宋体" w:cs="Times New Roman"/>
      <w:sz w:val="20"/>
      <w:szCs w:val="20"/>
    </w:rPr>
    <w:tblPr/>
  </w:style>
  <w:style w:type="character" w:styleId="735">
    <w:name w:val="要点"/>
    <w:next w:val="735"/>
    <w:link w:val="664"/>
    <w:qFormat/>
    <w:rPr>
      <w:b/>
      <w:bCs/>
    </w:rPr>
  </w:style>
  <w:style w:type="character" w:styleId="736">
    <w:name w:val="页码"/>
    <w:next w:val="736"/>
    <w:link w:val="664"/>
  </w:style>
  <w:style w:type="character" w:styleId="737">
    <w:name w:val="已访问的超链接"/>
    <w:next w:val="737"/>
    <w:link w:val="664"/>
    <w:rPr>
      <w:color w:val="800080"/>
      <w:u w:val="single"/>
    </w:rPr>
  </w:style>
  <w:style w:type="character" w:styleId="738">
    <w:name w:val="超链接"/>
    <w:next w:val="738"/>
    <w:link w:val="664"/>
    <w:rPr>
      <w:color w:val="0000ff"/>
      <w:u w:val="single"/>
    </w:rPr>
  </w:style>
  <w:style w:type="character" w:styleId="739">
    <w:name w:val="批注引用"/>
    <w:next w:val="739"/>
    <w:link w:val="664"/>
    <w:semiHidden/>
    <w:rPr>
      <w:sz w:val="21"/>
      <w:szCs w:val="21"/>
    </w:rPr>
  </w:style>
  <w:style w:type="character" w:styleId="740">
    <w:name w:val="font5 Char"/>
    <w:next w:val="740"/>
    <w:link w:val="664"/>
    <w:rPr>
      <w:rFonts w:ascii="宋体" w:hAnsi="宋体" w:eastAsia="宋体"/>
      <w:sz w:val="28"/>
      <w:szCs w:val="28"/>
      <w:lang w:val="en-US" w:eastAsia="zh-CN" w:bidi="ar-SA"/>
    </w:rPr>
  </w:style>
  <w:style w:type="character" w:styleId="741">
    <w:name w:val="二级目录 Char"/>
    <w:next w:val="741"/>
    <w:link w:val="742"/>
    <w:rPr>
      <w:b/>
      <w:sz w:val="30"/>
      <w:szCs w:val="28"/>
    </w:rPr>
  </w:style>
  <w:style w:type="paragraph" w:styleId="742">
    <w:name w:val="二级目录"/>
    <w:next w:val="664"/>
    <w:link w:val="741"/>
    <w:pPr>
      <w:numPr>
        <w:ilvl w:val="0"/>
        <w:numId w:val="2"/>
      </w:numPr>
      <w:tabs>
        <w:tab w:val="left" w:pos="907" w:leader="none"/>
        <w:tab w:val="left" w:pos="1145" w:leader="none"/>
      </w:tabs>
      <w:outlineLvl w:val="1"/>
    </w:pPr>
    <w:rPr>
      <w:b/>
      <w:sz w:val="30"/>
      <w:szCs w:val="28"/>
      <w:lang w:val="en-US" w:eastAsia="zh-CN" w:bidi="ar-SA"/>
    </w:rPr>
  </w:style>
  <w:style w:type="character" w:styleId="743">
    <w:name w:val="列出段落 Char,Bullet List Char,numbered Char,FooterText Char,List Paragraph1 Char,Paragraphe de liste1 Char"/>
    <w:next w:val="743"/>
    <w:link w:val="744"/>
    <w:rPr>
      <w:rFonts w:ascii="Calibri" w:hAnsi="Calibri"/>
      <w:sz w:val="24"/>
      <w:szCs w:val="24"/>
      <w:lang w:eastAsia="en-US" w:bidi="en-US"/>
    </w:rPr>
  </w:style>
  <w:style w:type="paragraph" w:styleId="744">
    <w:name w:val="列出段落1"/>
    <w:basedOn w:val="664"/>
    <w:next w:val="744"/>
    <w:link w:val="743"/>
    <w:qFormat/>
    <w:pPr>
      <w:contextualSpacing/>
      <w:ind w:left="720"/>
      <w:jc w:val="left"/>
      <w:widowControl/>
    </w:pPr>
    <w:rPr>
      <w:rFonts w:ascii="Calibri" w:hAnsi="Calibri"/>
      <w:sz w:val="24"/>
      <w:szCs w:val="24"/>
      <w:lang w:eastAsia="en-US" w:bidi="en-US"/>
    </w:rPr>
  </w:style>
  <w:style w:type="paragraph" w:styleId="745">
    <w:name w:val="Body Text(ch)"/>
    <w:basedOn w:val="664"/>
    <w:next w:val="695"/>
    <w:link w:val="664"/>
    <w:pPr>
      <w:spacing w:after="120"/>
    </w:pPr>
    <w:rPr>
      <w:rFonts w:ascii="宋体" w:hAnsi="Arial" w:eastAsia="宋体" w:cs="Times New Roman"/>
      <w:bCs/>
      <w:iCs/>
      <w:szCs w:val="24"/>
    </w:rPr>
  </w:style>
  <w:style w:type="paragraph" w:styleId="746">
    <w:name w:val="xl27"/>
    <w:basedOn w:val="664"/>
    <w:next w:val="746"/>
    <w:link w:val="6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7">
    <w:name w:val="xl26"/>
    <w:basedOn w:val="664"/>
    <w:next w:val="747"/>
    <w:link w:val="6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8">
    <w:name w:val="Char"/>
    <w:basedOn w:val="664"/>
    <w:next w:val="748"/>
    <w:link w:val="664"/>
    <w:pPr>
      <w:ind w:firstLine="200"/>
      <w:tabs>
        <w:tab w:val="left" w:pos="360" w:leader="none"/>
      </w:tabs>
    </w:pPr>
    <w:rPr>
      <w:rFonts w:ascii="Times New Roman" w:hAnsi="Times New Roman" w:eastAsia="宋体" w:cs="Times New Roman"/>
      <w:sz w:val="28"/>
      <w:szCs w:val="30"/>
    </w:rPr>
  </w:style>
  <w:style w:type="paragraph" w:styleId="749">
    <w:name w:val=" Char"/>
    <w:basedOn w:val="689"/>
    <w:next w:val="749"/>
    <w:link w:val="664"/>
    <w:rPr>
      <w:rFonts w:ascii="Tahoma" w:hAnsi="Tahoma"/>
      <w:sz w:val="24"/>
      <w:szCs w:val="24"/>
    </w:rPr>
  </w:style>
  <w:style w:type="paragraph" w:styleId="750">
    <w:name w:val="普通正文"/>
    <w:basedOn w:val="664"/>
    <w:next w:val="750"/>
    <w:link w:val="664"/>
    <w:pPr>
      <w:ind w:firstLine="480"/>
      <w:jc w:val="left"/>
      <w:spacing w:before="120" w:after="120" w:line="360" w:lineRule="auto"/>
    </w:pPr>
    <w:rPr>
      <w:rFonts w:ascii="Arial" w:hAnsi="Arial" w:eastAsia="宋体" w:cs="Times New Roman"/>
      <w:sz w:val="24"/>
      <w:szCs w:val="24"/>
    </w:rPr>
  </w:style>
  <w:style w:type="paragraph" w:styleId="751">
    <w:name w:val="table_lines"/>
    <w:basedOn w:val="664"/>
    <w:next w:val="751"/>
    <w:link w:val="664"/>
    <w:pPr>
      <w:jc w:val="left"/>
      <w:widowControl/>
    </w:pPr>
    <w:rPr>
      <w:rFonts w:ascii="Times New Roman" w:hAnsi="Times New Roman" w:eastAsia="宋体" w:cs="Times New Roman"/>
      <w:sz w:val="20"/>
      <w:szCs w:val="20"/>
      <w:lang w:val="de-DE" w:eastAsia="de-DE"/>
    </w:rPr>
  </w:style>
  <w:style w:type="paragraph" w:styleId="752">
    <w:name w:val="附录1"/>
    <w:next w:val="752"/>
    <w:link w:val="66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3">
    <w:name w:val="font7"/>
    <w:basedOn w:val="664"/>
    <w:next w:val="753"/>
    <w:link w:val="664"/>
    <w:pPr>
      <w:jc w:val="left"/>
      <w:spacing w:before="100" w:beforeAutospacing="1" w:after="100" w:afterAutospacing="1"/>
      <w:widowControl/>
    </w:pPr>
    <w:rPr>
      <w:rFonts w:hint="eastAsia" w:ascii="宋体" w:hAnsi="宋体" w:eastAsia="宋体" w:cs="Times New Roman"/>
      <w:sz w:val="18"/>
      <w:szCs w:val="18"/>
    </w:rPr>
  </w:style>
  <w:style w:type="paragraph" w:styleId="754">
    <w:name w:val=" Char Char Char Char"/>
    <w:basedOn w:val="689"/>
    <w:next w:val="754"/>
    <w:link w:val="664"/>
    <w:pPr>
      <w:spacing w:line="360" w:lineRule="auto"/>
    </w:pPr>
    <w:rPr>
      <w:rFonts w:ascii="Tahoma" w:hAnsi="Tahoma"/>
      <w:sz w:val="24"/>
      <w:szCs w:val="24"/>
    </w:rPr>
  </w:style>
  <w:style w:type="paragraph" w:styleId="755">
    <w:name w:val="列出段落"/>
    <w:basedOn w:val="664"/>
    <w:next w:val="755"/>
    <w:link w:val="664"/>
    <w:qFormat/>
    <w:pPr>
      <w:contextualSpacing/>
      <w:ind w:left="720"/>
      <w:jc w:val="left"/>
      <w:widowControl/>
    </w:pPr>
    <w:rPr>
      <w:rFonts w:ascii="Calibri" w:hAnsi="Calibri" w:eastAsia="宋体" w:cs="Times New Roman"/>
      <w:sz w:val="24"/>
      <w:szCs w:val="24"/>
      <w:lang w:eastAsia="en-US" w:bidi="en-US"/>
    </w:rPr>
  </w:style>
  <w:style w:type="paragraph" w:styleId="756">
    <w:name w:val="4"/>
    <w:basedOn w:val="664"/>
    <w:next w:val="719"/>
    <w:link w:val="664"/>
    <w:pPr>
      <w:ind w:firstLine="420"/>
      <w:spacing w:line="360" w:lineRule="auto"/>
    </w:pPr>
    <w:rPr>
      <w:rFonts w:ascii="Times New Roman" w:hAnsi="Times New Roman" w:eastAsia="宋体" w:cs="Times New Roman"/>
      <w:color w:val="ff0000"/>
      <w:sz w:val="24"/>
      <w:szCs w:val="24"/>
    </w:rPr>
  </w:style>
  <w:style w:type="paragraph" w:styleId="757">
    <w:name w:val="普通 (Web)"/>
    <w:basedOn w:val="664"/>
    <w:next w:val="757"/>
    <w:link w:val="664"/>
    <w:pPr>
      <w:jc w:val="left"/>
      <w:spacing w:before="100" w:beforeAutospacing="1" w:after="100" w:afterAutospacing="1"/>
      <w:widowControl/>
    </w:pPr>
    <w:rPr>
      <w:rFonts w:ascii="宋体" w:hAnsi="宋体" w:eastAsia="宋体" w:cs="Times New Roman"/>
      <w:sz w:val="24"/>
      <w:szCs w:val="24"/>
    </w:rPr>
  </w:style>
  <w:style w:type="paragraph" w:styleId="758">
    <w:name w:val=" Char Char Char Char Char Char Char Char Char Char"/>
    <w:basedOn w:val="664"/>
    <w:next w:val="758"/>
    <w:link w:val="664"/>
    <w:pPr>
      <w:spacing w:line="360" w:lineRule="auto"/>
    </w:pPr>
    <w:rPr>
      <w:rFonts w:ascii="Times New Roman" w:hAnsi="Times New Roman" w:eastAsia="宋体" w:cs="Times New Roman"/>
      <w:sz w:val="24"/>
      <w:szCs w:val="20"/>
    </w:rPr>
  </w:style>
  <w:style w:type="paragraph" w:styleId="759">
    <w:name w:val="样式1"/>
    <w:basedOn w:val="664"/>
    <w:next w:val="759"/>
    <w:link w:val="664"/>
    <w:pPr>
      <w:numPr>
        <w:ilvl w:val="0"/>
        <w:numId w:val="3"/>
      </w:numPr>
      <w:tabs>
        <w:tab w:val="left" w:pos="709" w:leader="none"/>
      </w:tabs>
    </w:pPr>
    <w:rPr>
      <w:rFonts w:ascii="宋体" w:hAnsi="宋体" w:eastAsia="宋体" w:cs="Times New Roman"/>
      <w:szCs w:val="21"/>
    </w:rPr>
  </w:style>
  <w:style w:type="paragraph" w:styleId="760">
    <w:name w:val="font6"/>
    <w:basedOn w:val="664"/>
    <w:next w:val="760"/>
    <w:link w:val="664"/>
    <w:pPr>
      <w:jc w:val="left"/>
      <w:spacing w:before="100" w:beforeAutospacing="1" w:after="100" w:afterAutospacing="1"/>
      <w:widowControl/>
    </w:pPr>
    <w:rPr>
      <w:rFonts w:hint="eastAsia" w:ascii="宋体" w:hAnsi="宋体" w:eastAsia="宋体" w:cs="Times New Roman"/>
      <w:sz w:val="28"/>
      <w:szCs w:val="28"/>
      <w:u w:val="single"/>
    </w:rPr>
  </w:style>
  <w:style w:type="paragraph" w:styleId="761">
    <w:name w:val="xl25"/>
    <w:basedOn w:val="664"/>
    <w:next w:val="761"/>
    <w:link w:val="66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2">
    <w:name w:val="图标"/>
    <w:basedOn w:val="664"/>
    <w:next w:val="664"/>
    <w:link w:val="66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3">
    <w:name w:val="标题3"/>
    <w:basedOn w:val="664"/>
    <w:next w:val="664"/>
    <w:link w:val="664"/>
    <w:pPr>
      <w:ind w:firstLine="624"/>
      <w:spacing w:line="590" w:lineRule="atLeast"/>
    </w:pPr>
    <w:rPr>
      <w:rFonts w:ascii="方正黑体_GBK" w:hAnsi="Times New Roman" w:eastAsia="方正黑体_GBK" w:cs="Times New Roman"/>
      <w:sz w:val="32"/>
      <w:szCs w:val="32"/>
    </w:rPr>
  </w:style>
  <w:style w:type="paragraph" w:styleId="764">
    <w:name w:val="xl24"/>
    <w:basedOn w:val="664"/>
    <w:next w:val="764"/>
    <w:link w:val="6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5">
    <w:name w:val="xl29"/>
    <w:basedOn w:val="664"/>
    <w:next w:val="765"/>
    <w:link w:val="66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6">
    <w:name w:val="Char Char Char Char Char Char Char Char"/>
    <w:basedOn w:val="664"/>
    <w:next w:val="766"/>
    <w:link w:val="664"/>
    <w:pPr>
      <w:jc w:val="left"/>
      <w:spacing w:after="160" w:line="240" w:lineRule="exact"/>
      <w:widowControl/>
    </w:pPr>
    <w:rPr>
      <w:rFonts w:ascii="Verdana" w:hAnsi="Verdana" w:eastAsia="宋体" w:cs="Times New Roman"/>
      <w:sz w:val="20"/>
      <w:szCs w:val="20"/>
      <w:lang w:eastAsia="en-US"/>
    </w:rPr>
  </w:style>
  <w:style w:type="paragraph" w:styleId="767">
    <w:name w:val="xl28"/>
    <w:basedOn w:val="664"/>
    <w:next w:val="767"/>
    <w:link w:val="6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8">
    <w:name w:val=" Char Char Char Char Char Char Char Char"/>
    <w:basedOn w:val="664"/>
    <w:next w:val="768"/>
    <w:link w:val="664"/>
    <w:pPr>
      <w:jc w:val="left"/>
      <w:spacing w:after="160" w:line="240" w:lineRule="exact"/>
      <w:widowControl/>
    </w:pPr>
    <w:rPr>
      <w:rFonts w:ascii="Verdana" w:hAnsi="Verdana" w:eastAsia="宋体" w:cs="Times New Roman"/>
      <w:sz w:val="20"/>
      <w:szCs w:val="20"/>
      <w:lang w:eastAsia="en-US"/>
    </w:rPr>
  </w:style>
  <w:style w:type="paragraph" w:styleId="769">
    <w:name w:val="xl30"/>
    <w:basedOn w:val="664"/>
    <w:next w:val="769"/>
    <w:link w:val="664"/>
    <w:pPr>
      <w:jc w:val="center"/>
      <w:spacing w:before="100" w:beforeAutospacing="1" w:after="100" w:afterAutospacing="1"/>
      <w:widowControl/>
    </w:pPr>
    <w:rPr>
      <w:rFonts w:ascii="宋体" w:hAnsi="宋体" w:eastAsia="宋体" w:cs="Times New Roman"/>
      <w:b/>
      <w:bCs/>
      <w:sz w:val="36"/>
      <w:szCs w:val="36"/>
    </w:rPr>
  </w:style>
  <w:style w:type="paragraph" w:styleId="770">
    <w:name w:val="Char Char Char Char"/>
    <w:basedOn w:val="689"/>
    <w:next w:val="770"/>
    <w:link w:val="664"/>
    <w:pPr>
      <w:spacing w:line="360" w:lineRule="auto"/>
    </w:pPr>
    <w:rPr>
      <w:rFonts w:ascii="Tahoma" w:hAnsi="Tahoma"/>
      <w:sz w:val="24"/>
      <w:szCs w:val="24"/>
    </w:rPr>
  </w:style>
  <w:style w:type="paragraph" w:styleId="771">
    <w:name w:val="table_1stline"/>
    <w:basedOn w:val="664"/>
    <w:next w:val="771"/>
    <w:link w:val="664"/>
    <w:pPr>
      <w:jc w:val="left"/>
      <w:spacing w:before="120"/>
      <w:widowControl/>
    </w:pPr>
    <w:rPr>
      <w:rFonts w:ascii="Times New Roman" w:hAnsi="Times New Roman" w:eastAsia="宋体" w:cs="Times New Roman"/>
      <w:bCs/>
      <w:sz w:val="20"/>
      <w:szCs w:val="20"/>
      <w:lang w:val="de-DE" w:eastAsia="de-DE"/>
    </w:rPr>
  </w:style>
  <w:style w:type="paragraph" w:styleId="772">
    <w:name w:val="font5"/>
    <w:basedOn w:val="664"/>
    <w:next w:val="772"/>
    <w:link w:val="664"/>
    <w:pPr>
      <w:jc w:val="left"/>
      <w:spacing w:before="100" w:beforeAutospacing="1" w:after="100" w:afterAutospacing="1"/>
      <w:widowControl/>
    </w:pPr>
    <w:rPr>
      <w:rFonts w:hint="eastAsia" w:ascii="宋体" w:hAnsi="宋体" w:eastAsia="宋体" w:cs="Times New Roman"/>
      <w:sz w:val="28"/>
      <w:szCs w:val="28"/>
    </w:rPr>
  </w:style>
  <w:style w:type="paragraph" w:styleId="773">
    <w:name w:val="标题1"/>
    <w:basedOn w:val="664"/>
    <w:next w:val="664"/>
    <w:link w:val="66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4">
    <w:name w:val="修订"/>
    <w:next w:val="774"/>
    <w:link w:val="664"/>
    <w:uiPriority w:val="99"/>
    <w:semiHidden/>
    <w:rPr>
      <w:rFonts w:ascii="Times New Roman" w:hAnsi="Times New Roman"/>
      <w:sz w:val="21"/>
      <w:szCs w:val="21"/>
      <w:lang w:val="en-US" w:eastAsia="zh-CN" w:bidi="ar-SA"/>
    </w:rPr>
  </w:style>
  <w:style w:type="paragraph" w:styleId="775">
    <w:name w:val="无间隔"/>
    <w:next w:val="775"/>
    <w:link w:val="664"/>
    <w:uiPriority w:val="99"/>
    <w:qFormat/>
    <w:pPr>
      <w:jc w:val="both"/>
      <w:widowControl w:val="off"/>
    </w:pPr>
    <w:rPr>
      <w:rFonts w:ascii="Times New Roman" w:hAnsi="Times New Roman"/>
      <w:sz w:val="21"/>
      <w:szCs w:val="21"/>
      <w:lang w:val="en-US" w:eastAsia="zh-CN" w:bidi="ar-SA"/>
    </w:rPr>
  </w:style>
  <w:style w:type="paragraph" w:styleId="776">
    <w:name w:val="标题 21"/>
    <w:basedOn w:val="664"/>
    <w:next w:val="664"/>
    <w:link w:val="777"/>
    <w:qFormat/>
    <w:pPr>
      <w:keepLines/>
      <w:keepNext/>
      <w:spacing w:before="260" w:after="260" w:line="413" w:lineRule="auto"/>
      <w:outlineLvl w:val="1"/>
    </w:pPr>
    <w:rPr>
      <w:rFonts w:ascii="Arial" w:hAnsi="Arial" w:eastAsia="黑体"/>
      <w:b/>
      <w:sz w:val="32"/>
      <w:szCs w:val="20"/>
    </w:rPr>
  </w:style>
  <w:style w:type="character" w:styleId="777">
    <w:name w:val="标题 2 字符"/>
    <w:next w:val="777"/>
    <w:link w:val="776"/>
    <w:qFormat/>
    <w:rPr>
      <w:rFonts w:ascii="Arial" w:hAnsi="Arial" w:eastAsia="黑体"/>
      <w:b/>
      <w:sz w:val="32"/>
    </w:rPr>
  </w:style>
  <w:style w:type="paragraph" w:styleId="778">
    <w:name w:val="批注文字1"/>
    <w:basedOn w:val="664"/>
    <w:next w:val="778"/>
    <w:link w:val="779"/>
    <w:uiPriority w:val="99"/>
    <w:qFormat/>
    <w:pPr>
      <w:jc w:val="left"/>
    </w:pPr>
    <w:rPr>
      <w:szCs w:val="20"/>
    </w:rPr>
  </w:style>
  <w:style w:type="character" w:styleId="779">
    <w:name w:val="批注文字 字符"/>
    <w:next w:val="779"/>
    <w:link w:val="778"/>
    <w:uiPriority w:val="99"/>
    <w:qFormat/>
    <w:rPr>
      <w:sz w:val="21"/>
    </w:rPr>
  </w:style>
  <w:style w:type="paragraph" w:styleId="780">
    <w:name w:val="Normal_0_1"/>
    <w:next w:val="780"/>
    <w:link w:val="664"/>
    <w:qFormat/>
    <w:rPr>
      <w:rFonts w:ascii="黑体" w:hAnsi="黑体" w:eastAsia="黑体"/>
      <w:b/>
      <w:sz w:val="32"/>
      <w:szCs w:val="24"/>
      <w:lang w:val="en-US" w:eastAsia="zh-CN" w:bidi="ar-SA"/>
    </w:rPr>
  </w:style>
  <w:style w:type="paragraph" w:styleId="781">
    <w:name w:val="Normal_1_1"/>
    <w:next w:val="781"/>
    <w:link w:val="664"/>
    <w:qFormat/>
    <w:pPr>
      <w:jc w:val="both"/>
      <w:widowControl w:val="off"/>
    </w:pPr>
    <w:rPr>
      <w:sz w:val="21"/>
      <w:szCs w:val="22"/>
      <w:lang w:val="en-US" w:eastAsia="zh-CN" w:bidi="ar-SA"/>
    </w:rPr>
  </w:style>
  <w:style w:type="paragraph" w:styleId="782">
    <w:name w:val="正文_16"/>
    <w:next w:val="782"/>
    <w:link w:val="664"/>
    <w:qFormat/>
    <w:pPr>
      <w:jc w:val="both"/>
      <w:widowControl w:val="off"/>
    </w:pPr>
    <w:rPr>
      <w:sz w:val="21"/>
      <w:szCs w:val="22"/>
      <w:lang w:val="en-US" w:eastAsia="zh-CN" w:bidi="ar-SA"/>
    </w:rPr>
  </w:style>
  <w:style w:type="paragraph" w:styleId="783">
    <w:name w:val="正文空2字"/>
    <w:basedOn w:val="664"/>
    <w:next w:val="783"/>
    <w:link w:val="664"/>
    <w:uiPriority w:val="99"/>
    <w:qFormat/>
    <w:pPr>
      <w:ind w:firstLine="640"/>
      <w:jc w:val="left"/>
      <w:spacing w:line="560" w:lineRule="exact"/>
    </w:pPr>
    <w:rPr>
      <w:rFonts w:ascii="仿宋_GB2312" w:hAnsi="仿宋_GB2312" w:eastAsia="仿宋_GB2312" w:cs="仿宋_GB2312"/>
      <w:sz w:val="32"/>
      <w:szCs w:val="32"/>
      <w:lang w:val="zh-TW"/>
    </w:rPr>
  </w:style>
  <w:style w:type="character" w:styleId="784">
    <w:name w:val="标题 4 字符"/>
    <w:next w:val="784"/>
    <w:link w:val="664"/>
    <w:rPr>
      <w:rFonts w:ascii="Arial" w:hAnsi="Arial" w:eastAsia="黑体" w:cs="Arial"/>
      <w:b/>
      <w:bCs/>
      <w:sz w:val="28"/>
      <w:szCs w:val="28"/>
    </w:rPr>
  </w:style>
  <w:style w:type="paragraph" w:styleId="785">
    <w:name w:val="Normal_20"/>
    <w:next w:val="785"/>
    <w:link w:val="664"/>
    <w:qFormat/>
    <w:rPr>
      <w:rFonts w:ascii="黑体" w:hAnsi="黑体" w:eastAsia="黑体" w:cs="黑体"/>
      <w:b/>
      <w:sz w:val="32"/>
      <w:szCs w:val="24"/>
      <w:lang w:val="en-US" w:eastAsia="zh-CN" w:bidi="ar-SA"/>
    </w:rPr>
  </w:style>
  <w:style w:type="paragraph" w:styleId="786">
    <w:name w:val="正文_15_0"/>
    <w:next w:val="786"/>
    <w:link w:val="664"/>
    <w:qFormat/>
    <w:pPr>
      <w:jc w:val="both"/>
      <w:widowControl w:val="off"/>
    </w:pPr>
    <w:rPr>
      <w:rFonts w:ascii="Calibri" w:hAnsi="Calibri" w:eastAsia="宋体" w:cs="Times New Roman"/>
      <w:sz w:val="21"/>
      <w:szCs w:val="22"/>
      <w:lang w:val="en-US" w:eastAsia="zh-CN" w:bidi="ar-SA"/>
    </w:rPr>
  </w:style>
  <w:style w:type="paragraph" w:styleId="787">
    <w:name w:val="Normal_18_0"/>
    <w:next w:val="787"/>
    <w:link w:val="664"/>
    <w:qFormat/>
    <w:rPr>
      <w:rFonts w:ascii="黑体" w:hAnsi="黑体" w:eastAsia="黑体" w:cs="黑体"/>
      <w:b/>
      <w:sz w:val="32"/>
      <w:szCs w:val="24"/>
      <w:lang w:val="en-US" w:eastAsia="zh-CN" w:bidi="ar-SA"/>
    </w:rPr>
  </w:style>
  <w:style w:type="paragraph" w:styleId="788">
    <w:name w:val="正文_12_0_0_0_0"/>
    <w:basedOn w:val="664"/>
    <w:next w:val="788"/>
    <w:link w:val="664"/>
    <w:qFormat/>
    <w:rPr>
      <w:rFonts w:ascii="Times New Roman" w:hAnsi="Times New Roman"/>
      <w:szCs w:val="24"/>
    </w:rPr>
  </w:style>
  <w:style w:type="paragraph" w:styleId="789">
    <w:name w:val="正文_12_0_0_0"/>
    <w:next w:val="789"/>
    <w:link w:val="664"/>
    <w:qFormat/>
    <w:pPr>
      <w:jc w:val="both"/>
      <w:widowControl w:val="off"/>
    </w:pPr>
    <w:rPr>
      <w:rFonts w:ascii="Times New Roman" w:hAnsi="Times New Roman" w:eastAsia="宋体" w:cs="Times New Roman"/>
      <w:sz w:val="21"/>
      <w:szCs w:val="24"/>
      <w:lang w:val="en-US" w:eastAsia="zh-CN" w:bidi="ar-SA"/>
    </w:rPr>
  </w:style>
  <w:style w:type="paragraph" w:styleId="790">
    <w:name w:val="正文_14_0"/>
    <w:next w:val="790"/>
    <w:link w:val="664"/>
    <w:qFormat/>
    <w:pPr>
      <w:jc w:val="both"/>
      <w:widowControl w:val="off"/>
    </w:pPr>
    <w:rPr>
      <w:rFonts w:ascii="Calibri" w:hAnsi="Calibri" w:eastAsia="宋体" w:cs="Times New Roman"/>
      <w:sz w:val="21"/>
      <w:szCs w:val="22"/>
      <w:lang w:val="en-US" w:eastAsia="zh-CN" w:bidi="ar-SA"/>
    </w:rPr>
  </w:style>
  <w:style w:type="paragraph" w:styleId="791">
    <w:name w:val="正文_14_0_0"/>
    <w:next w:val="791"/>
    <w:link w:val="664"/>
    <w:qFormat/>
    <w:pPr>
      <w:jc w:val="both"/>
      <w:widowControl w:val="off"/>
    </w:pPr>
    <w:rPr>
      <w:rFonts w:ascii="Times New Roman" w:hAnsi="Times New Roman" w:eastAsia="宋体" w:cs="Times New Roman"/>
      <w:sz w:val="21"/>
      <w:szCs w:val="24"/>
      <w:lang w:val="en-US" w:eastAsia="zh-CN" w:bidi="ar-SA"/>
    </w:rPr>
  </w:style>
  <w:style w:type="paragraph" w:styleId="792">
    <w:name w:val="正文1_0"/>
    <w:next w:val="792"/>
    <w:link w:val="664"/>
    <w:qFormat/>
    <w:pPr>
      <w:jc w:val="both"/>
      <w:widowControl w:val="off"/>
    </w:pPr>
    <w:rPr>
      <w:rFonts w:ascii="Times New Roman" w:hAnsi="Times New Roman" w:eastAsia="宋体" w:cs="Times New Roman"/>
      <w:szCs w:val="24"/>
    </w:rPr>
  </w:style>
  <w:style w:type="paragraph" w:styleId="793">
    <w:name w:val="正文_16_0_0"/>
    <w:next w:val="792"/>
    <w:link w:val="664"/>
    <w:qFormat/>
    <w:pPr>
      <w:jc w:val="both"/>
      <w:widowControl w:val="off"/>
    </w:pPr>
    <w:rPr>
      <w:rFonts w:ascii="Calibri" w:hAnsi="Calibri" w:eastAsia="宋体" w:cs="Times New Roman"/>
      <w:sz w:val="21"/>
      <w:szCs w:val="22"/>
    </w:rPr>
  </w:style>
  <w:style w:type="paragraph" w:styleId="794">
    <w:name w:val="Normal_3_0"/>
    <w:next w:val="794"/>
    <w:link w:val="664"/>
    <w:qFormat/>
    <w:rPr>
      <w:rFonts w:ascii="黑体" w:hAnsi="黑体" w:eastAsia="黑体" w:cs="Times New Roman"/>
      <w:b/>
      <w:sz w:val="32"/>
      <w:szCs w:val="24"/>
    </w:rPr>
  </w:style>
  <w:style w:type="paragraph" w:styleId="795">
    <w:name w:val="Normal_4_0"/>
    <w:next w:val="795"/>
    <w:link w:val="664"/>
    <w:qFormat/>
    <w:pPr>
      <w:jc w:val="both"/>
      <w:widowControl w:val="off"/>
    </w:pPr>
    <w:rPr>
      <w:rFonts w:ascii="Calibri" w:hAnsi="Calibri" w:eastAsia="宋体" w:cs="Times New Roman"/>
      <w:sz w:val="21"/>
      <w:szCs w:val="22"/>
    </w:rPr>
  </w:style>
  <w:style w:type="paragraph" w:styleId="796">
    <w:name w:val="纯文本1"/>
    <w:next w:val="796"/>
    <w:link w:val="664"/>
    <w:qFormat/>
    <w:pPr>
      <w:jc w:val="both"/>
      <w:widowControl w:val="off"/>
    </w:pPr>
    <w:rPr>
      <w:rFonts w:ascii="宋体" w:hAnsi="Courier New" w:eastAsia="宋体" w:cs="Courier New"/>
      <w:sz w:val="21"/>
      <w:szCs w:val="21"/>
      <w:lang w:val="en-US" w:eastAsia="zh-CN" w:bidi="ar-SA"/>
    </w:rPr>
  </w:style>
  <w:style w:type="paragraph" w:styleId="797">
    <w:name w:val="纯文本_0_0"/>
    <w:next w:val="797"/>
    <w:link w:val="664"/>
    <w:unhideWhenUsed/>
    <w:qFormat/>
    <w:pPr>
      <w:jc w:val="both"/>
      <w:widowControl w:val="off"/>
    </w:pPr>
    <w:rPr>
      <w:rFonts w:ascii="宋体" w:hAnsi="Courier New" w:eastAsia="宋体" w:cs="Times New Roman"/>
      <w:sz w:val="21"/>
      <w:szCs w:val="21"/>
      <w:lang w:val="en-US" w:eastAsia="zh-CN" w:bidi="ar-SA"/>
    </w:rPr>
  </w:style>
  <w:style w:type="paragraph" w:styleId="798">
    <w:name w:val="正文_7_1_0"/>
    <w:next w:val="798"/>
    <w:link w:val="664"/>
    <w:qFormat/>
    <w:pPr>
      <w:jc w:val="both"/>
      <w:widowControl w:val="off"/>
    </w:pPr>
    <w:rPr>
      <w:rFonts w:ascii="Calibri" w:hAnsi="Calibri" w:eastAsia="宋体" w:cs="Times New Roman"/>
      <w:sz w:val="21"/>
      <w:szCs w:val="22"/>
      <w:lang w:val="en-US" w:eastAsia="zh-CN" w:bidi="ar-SA"/>
    </w:rPr>
  </w:style>
  <w:style w:type="character" w:styleId="10222" w:default="1">
    <w:name w:val="Default Paragraph Font"/>
    <w:uiPriority w:val="1"/>
    <w:semiHidden/>
    <w:unhideWhenUsed/>
  </w:style>
  <w:style w:type="numbering" w:styleId="10223" w:default="1">
    <w:name w:val="No List"/>
    <w:uiPriority w:val="99"/>
    <w:semiHidden/>
    <w:unhideWhenUsed/>
  </w:style>
  <w:style w:type="table" w:styleId="102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宋青</cp:lastModifiedBy>
  <cp:revision>2</cp:revision>
  <dcterms:created xsi:type="dcterms:W3CDTF">2023-03-27T07:28:00Z</dcterms:created>
  <dcterms:modified xsi:type="dcterms:W3CDTF">2026-07-24T08:09:42Z</dcterms:modified>
</cp:coreProperties>
</file>