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编号：JSZC-320506-DLHX-C2026-0009号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苏州市政府采购竞争性磋商文件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6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采购单位：苏州市吴中区甪直镇人民政府</w:t>
      </w:r>
      <w:r/>
    </w:p>
    <w:p>
      <w:pPr>
        <w:ind w:left="0" w:right="0" w:firstLine="222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（苏州市吴中区甪直镇综合行政执法和安全生产监督管理办公室） </w:t>
      </w:r>
      <w:r/>
    </w:p>
    <w:p>
      <w:pPr>
        <w:ind w:left="0" w:right="0" w:firstLine="126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采购内容：苏州市吴中区甪直镇采购微型消防站服务</w:t>
      </w:r>
      <w:r/>
    </w:p>
    <w:p>
      <w:pPr>
        <w:ind w:left="0" w:right="0" w:firstLine="126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采购类别：服务类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苏州华厦招投标代理有限公司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二〇二六年八月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4"/>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竞争性磋商邀请函</w:t>
      </w:r>
      <w:r/>
    </w:p>
    <w:p>
      <w:pPr>
        <w:numPr>
          <w:ilvl w:val="0"/>
          <w:numId w:val="14"/>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w:t>
      </w:r>
      <w:r/>
    </w:p>
    <w:p>
      <w:pPr>
        <w:numPr>
          <w:ilvl w:val="0"/>
          <w:numId w:val="14"/>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合同主要条款</w:t>
      </w:r>
      <w:r/>
    </w:p>
    <w:p>
      <w:pPr>
        <w:numPr>
          <w:ilvl w:val="0"/>
          <w:numId w:val="14"/>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竞争性磋商程序及磋商小组成员组成</w:t>
      </w:r>
      <w:r/>
    </w:p>
    <w:p>
      <w:pPr>
        <w:numPr>
          <w:ilvl w:val="0"/>
          <w:numId w:val="14"/>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p>
      <w:pPr>
        <w:numPr>
          <w:ilvl w:val="0"/>
          <w:numId w:val="14"/>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一、竞争性磋商邀请函</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苏州市吴中区甪直镇采购微型消防站服务 JSZC-320506-DLHX-C2026-0009 采购项目的潜在供应商应在苏采云系统 获取采购文件，并于2026-08-18 09:30 （北京时间）前提交响应文件。</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一、项目基本情况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项目编号：JSZC-320506-DLHX-C2026-0009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项目名称：苏州市吴中区甪直镇采购微型消防站服务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采购方式：竞争性磋商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预算金额：226.000000万元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最高限价（如有）：226.0000万元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吴中区微型消防站建设补盲工作指导意见》要求，需进一步对现有微型消防站优化布局、补齐盲点，故建议拟增设3个微型消防站，其中，维乐社区和陶浜社区合建一处微型消防站；澄东村和鸿运社区合建一处微型消防站；甫田村和淞浦村合建一处微型消防站。新增3处微型消防站20名专职消防员，从事各村（社区）安全生产、消防安全相关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合同履行期限：一年（具体起始时间甲方书面通知为准）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本项目（是/否）接受联合体：否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二、申请人的资格要求：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1.1.具有独立承担民事责任的能力； 2.良好的商业信誉和健全的财务会计制度； 3.具有履行合同所必须的设备和专业技术能力； 4.有依法缴纳税收和社会保障资金的良好记录； 5.参加政府采购活动前三年内，在经营活动中没有重大违法记录； 6.法律、行政法规规定的其他条件；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（二）落实政府采购政策需满足的资格要求：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1.此项目专门面向中小微企业采购，供应商必须提供《中小企业声明函》或《残疾人福利性单位声明函》或由省级以上监狱管理局、戒毒管理局（含新疆生产建设兵团）出具的属于监狱企业的证明文件。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1.未被“信用中国”网站（www.creditchina.gov.cn）列入失信被执行人、重大税收违法案件当事人名单、政府采购严重失信行为记录名单。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三、获取采购文件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时间：自磋商文件公告发布之日起5个工作日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地点：苏采云系统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方式：苏采云系统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售价：0.00元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四、响应文件提交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截止时间：2026-08-18 09:30 （北京时间）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地点：苏采云系统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五、开启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时间：2026-08-18 09:30 （北京时间）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地点：苏州市市辖区政府采购不见面虚拟开标室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六、公告期限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自本公告发布之日起3个工作日。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七、其他补充事宜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1.CA相关说明：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（1）CA证书办理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（2）参与采购活动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（3）电子投标准备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https://czju.suzhou.gov.cn/zfcg/html/content/20231220161910031.shtml）。</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在系统操作过程中如有疑问，请按以下方式联系：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注册咨询：13914088964；</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系统使用指导与咨询：联系电话：13914088964；智能客服：登录苏采云系统后，联系系统右下方智能客服图标进行咨询。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4.请供应商确保电脑、系统及其他设备（视频输入输出设备等）无误，且开标直至项目结束始终保持系统在线状态。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八、凡对本次采购提出询问，请按以下方式联系。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单位名称：苏州市吴中区甪直镇人民政府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单位地址：苏州市吴中区甪直镇鸣市路21号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联系人：徐引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联系电话：0512-65012903</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2.采购代理机构信息（如有）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单位名称：苏州华厦招投标代理有限公司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单位地址：江苏省苏州市高新区锦峰路198号纽威大厦8楼801室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联系人：房仁珺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联系电话：15806200810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3.项目联系方式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项目联系人：房仁珺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电话：15806200810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二、苏州市政府采购竞争性磋商文件</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一、磋商编号：JSZC-320506-DLHX-C2026-0009号</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二、磋商响应单位资质要求：</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1.具有独立承担民事责任的能力；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2.良好的商业信誉和健全的财务会计制度；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3.具有履行合同所必须的设备和专业技术能力；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4.有依法缴纳税收和社会保障资金的良好记录；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5.参加政府采购活动前三年内，在经营活动中没有重大违法记录；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6.法律、行政法规规定的其他条件；</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（二）落实政府采购政策需满足的资格要求：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此项目专门面向中小微企业采购，供应商必须提供《中小企业声明函》或《残疾人福利性单位声明函》或由省级以上监狱管理局、戒毒管理局（含新疆生产建设兵团）出具的属于监狱企业的证明文件。</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（三）本项目的特定资格要求：未被“信用中国”网站（www.creditchina.gov.cn）列入失信被执行人、重大税收违法案件当事人名单、政府采购严重失信行为记录名单。</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三、项目概述及采购要求：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根据《吴中区微型消防站建设补盲工作指导意见》要求，需进一步对现有微型消防站优化布局、补齐盲点，故建议拟增设3个微型消防站，其中，维乐社区和陶浜社区合建一处微型消防站；澄东村和鸿运社区合建一处微型消防站；甫田村和淞浦村合建一处微型消防站。新增3处微型消防站20名专职消防员，从事各村（社区）安全生产、消防安全相关工作。</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2.站内硬件及器材</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站内所有硬件、车辆、装备器材、办公用品、生活设施均由各村（社区）负责配备，并负责日常使用期间的保养维护、维修。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（1）微型消防站设置人员值守、器材存放、办公设施及宿舍等专门用房。</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（2）微型消防站根据扑救初起火灾需要，配备一定数量的灭火器、水枪、水带等灭火器材；配置外线电话、手持对讲机、空气呼吸器、消防头盔、灭火防护服、防护靴、破拆工具等器材。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（3）微型消防站在建筑物内部设置消防器材存放点，可根据需要在建筑之间分区域设置消防器材存放点。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（4）微型消防站配置专业消防车辆。</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（二）服务要求：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1.值守制度：专职人员实行24小时备勤值守，做六休一工作制。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工作内容：配合甲方进行消防安全排查，建立安全管理台账。定期接受消防大队的训练考核。接警救援：接受消防部门警情调派，扑救初起火灾，配合消防部门处警救援。日常巡查、消防培训、历灾减灾、灭火救援、防汛防台雨雪冰冻天气应急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3.值守联动：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（1）微型消防站应建立值守制度，确保值守人员24小时备勤，做好应急准备。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（2）接到火警信息后，控制室值班员应迅速核实火情，启动灭火处置程序。消防员应按照“5分钟到场”要求赶赴现场处置。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（3）微型消防站应纳入当地灭火救援联勤联动体系，参与周边区域灭火处置工作。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4.工作时间：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（1）24小时备勤。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（2）正常工作日从事排查整治工作，上午8：30—11：30，下午13:00—17:00，其他时间根据各村（社区）需求开展工作，其余为备勤时间。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（3）专职人员实行上六休一工作制。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5.岗位职责：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（1）项目经理负责微型消防站日常管理，组织制定各项管理制度和灭火应急预案，开展防火巡查、消防宣传教育和灭火训练；指挥初起火灾扑救和人员疏散。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（2）训练员负责协助站长进行日常管理，并带领消防战斗员进行日常训练。</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专职人员认真学习有关消防知识，掌握各种器材操作技术及使用方法，积极认真做好防火宣传教育活动，提高责任区内全员防火意识；做好消防器材、设备检查工作，保证设备处于完好状况，一旦发生火警即可投入使用；负责扑救初起火灾；熟悉建筑消防设施情况和灭火应急预案，熟练掌握器材性能和操作使用方法，并落实器材维护保养；参加日常防火巡查和消防宣传教育。</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（三）人员配置：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配备人员20名：包含1名项目负责人（站长）&lt;具有大专及以上学历证书、四级及以上建（构）筑物消防员证、安全培训合格证、退伍证及应急救援员证的优先&gt;、1名训练员&lt;具有四级及以上建（构）筑物消防员证、安全培训合格证、退伍证、应急救援员证的优先&gt;、车辆驾驶员。除项目负责人及消防训练员以外人员具有四级及以上建（构）筑物消防员证、安全培训合格证、应急救援员证的优先，并接受消防大队的专业培训和考核。</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1.人员数量：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（1）维乐社区和陶浜社区合建一处微型消防站：站长1人，专职人员5人；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（2）澄东村和鸿运社区合建一处微型消防站：站长1人，专职人员5人；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（3）甫田村和淞浦村合建一处微型消防站：站长1人，专职人员7人；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2.人员要求：所有人员男性，40周岁以下，退役军人优先；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3.微型消防站人员应具有一定的火灾扑救经验，并且在消防部队进行岗前培训，培训内容包括扑救初起火灾业务技能、防火巡查基本知识等。</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（四）其他要求：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1.管理训练：</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（1）社区管理部门是微型消防站的建设管理主体，微型消防站建成后，应向辖区公安消防部门备案。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（2）微型消防站应制定并落实岗位培训、队伍管理、防火巡查、值守联动、考核评价等管理制度。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（3）微型消防站应组织开展日常业务训练，不断提高扑救初起火灾的能力。训练内容包括体能训练、灭火器材和个人防护器材的使用等。</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四、综合说明及其它要求：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1.响应单位所提供的服务能够至少达到以上要求，同时明确详细的服务方案。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2.响应单位必须承诺采购文件中提出的全部要求，如果其中某些条款不响应时，应在文件中逐条列出，未列出的视同响应。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响应报价应包括在承包期内服务的需要的人工费（包括人员工资、保险等）、服装、高温费、加班费、节日慰问费、体检费、劳保、各种税费及政策性文件规定及合同包含的所有风险（如人员工资等）、责任等各项应有费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测算时工资标准和社会保险不得低于项目所在地最新公布的最低标准，否则作废标处理。投标项目费中已包括公共责任险（第三者险），响应单位未及时投保所造成的损害责任由响应单位承担。投标单位在报价时应将在服务期限内人员工资和社保费用进行调整的情况包含在内，采购单位不再为此承担任何费用和责任。相关服务人员与采购单位无任何劳动人事关系，用工事宜由响应单位负责。投标单位必须按照《劳动法》及苏州市的有关规定，并支付工资（充分考虑项目所在地最低工资标准）和交纳正常的社会保险（社保缴费部分不得低于服务所在行政区域社保管理部门</w:t>
      </w:r>
      <w:r>
        <w:rPr>
          <w:rFonts w:ascii="SimSun" w:hAnsi="SimSun" w:eastAsia="SimSun" w:cs="SimSun"/>
          <w:color w:val="000000"/>
          <w:sz w:val="24"/>
          <w:highlight w:val="white"/>
        </w:rPr>
        <w:t xml:space="preserve">规定的当前最低缴费标准）及高温费一并包含在中标价中。</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4.若响应单位在服务外包期间，违反下列规定将被解除服务合同：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①严禁将承包的管理服务内容转包他人；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②未按照国家劳动法规定聘用服务人员；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5.因响应单位管理不善，造成工作范围内的设施、设备等损坏的，由直接责任人赔偿，若直接责任人因故无法赔偿的，采购单位有权要求响应单位负责赔偿损失，情节严重的可终止合同甚至诉诸法律。</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6.采购单位有权检查监督响应单位服务质量，如发现不合格的服务人员，有权向服务单位提出调换，服务单位应及时派员到位，必要时采购单位有权要求服务单位迅速处理并更换人员，直至更换合格为止。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7.如遇到工资纠纷问题由投标单位自行解决。每天及双休日等因工作而产生的加班费用，由响应单位向服务人员支付。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8.根据《政府采购促进中小企业发展管理办法》（财库〔2020〕46号）及《中小企业划型标准规定》（工信部联企业〔2011〕300号），本采购项目对应的中小企业划分标准所属行业为：其他未列明行业。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9.成交服务费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本项目代理服务费，由采购人支付。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服务费率：预算金额100万元以下部分，费率为该部分预算金额的1.5%，预算金额100万元（含）－500万元部分，费率为该部分预算金额的1.1%，本项目服务费28860元。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服务费账号：30530188000070877，账户名：苏州华厦招投标代理有限公司，开户行：江苏银行苏州科技城支行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10.本次磋商采取</w:t>
      </w:r>
      <w:r>
        <w:rPr>
          <w:rFonts w:ascii="SimSun" w:hAnsi="SimSun" w:eastAsia="SimSun" w:cs="SimSun"/>
          <w:b/>
          <w:color w:val="000000"/>
          <w:sz w:val="24"/>
        </w:rPr>
        <w:t xml:space="preserve">二次报价</w:t>
      </w:r>
      <w:r>
        <w:rPr>
          <w:rFonts w:ascii="SimSun" w:hAnsi="SimSun" w:eastAsia="SimSun" w:cs="SimSun"/>
          <w:color w:val="000000"/>
          <w:sz w:val="24"/>
        </w:rPr>
        <w:t xml:space="preserve">的方式，即提交磋商文件中的报价为首次报价，磋商过程中再作一次最终报价。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11.凡涉及磋商文件的补充说明和修改，均以苏州市政府采购网上的通知为准。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五、磋商响应文件的组成</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1、封面</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2、开标一览表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3、资格审查响应文件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3.1关于资格文件的声明函；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3.2磋商响应单位法定代表人身份证；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3.3法定代表人授权委托书（如有授权）；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3.4磋商响应单位授权代理人身份证（如有授权）；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3.5合格供应商的基本条件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3.5.1具有独立承担民事责任的能力证明。包括法人或者其他组织的营业执照等；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3.5.2具有良好的商业信誉和健全的财务会计制度证明</w:t>
      </w:r>
      <w:r>
        <w:rPr>
          <w:rFonts w:ascii="SimSun" w:hAnsi="SimSun" w:eastAsia="SimSun" w:cs="SimSun"/>
          <w:b/>
          <w:color w:val="000000"/>
          <w:sz w:val="24"/>
        </w:rPr>
        <w:t xml:space="preserve">（法人应提供最近一期财务报告，其他组织、自然人及成立未满一年的法人应提供银行出具的资信证明）；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3.5.3履行合同所必需的设备和专业技术能力的证明材料或承诺；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3.5.4有依法缴纳税收和社会保障资金的良好记录</w:t>
      </w:r>
      <w:r>
        <w:rPr>
          <w:rFonts w:ascii="SimSun" w:hAnsi="SimSun" w:eastAsia="SimSun" w:cs="SimSun"/>
          <w:b/>
          <w:color w:val="000000"/>
          <w:sz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3.5.5参加政府采购活动前三年内在经营活动中没有重大违法记录的书面声明函；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3.6其它有关资格证明的文件；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4、符合性审查响应文件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4.1磋商响应函；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4.2磋商报价分析表；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4.4项目服务人员配置表；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5、综合评审响应文件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技术方案比较；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服务人员配备情况比较；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企业综合实力比较；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6、《中小企业声明函》或《残疾人福利性单位声明函》或由省级以上监狱管理局、戒毒管理局（含新疆生产建设兵团）出具的属于监狱企业的证明文件；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7、对属于《节能产品政府采购品目清单》政府强制采购产品的，需提供该产品有效期内的认证等相关证明材料（如有）。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注：（1）以上3.为资格审查要求提供的材料，是作为对供应商资格审查、质疑身份认定的依据，响应供应商必须提供并加盖电子公章。否则，磋商响应文件将被认定为不符合资格审查要求。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（2）以上4.为符合性审查须提供的资料，响应供应商必须提供并加盖电子公章。否则，磋商响应文件将被认定为未实质性响应。</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8、电子响应文件要求：</w:t>
      </w:r>
      <w:r/>
    </w:p>
    <w:p>
      <w:pPr>
        <w:ind w:left="0" w:right="0" w:firstLine="48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请供应商按照《苏采云系统供应商操作手册》、采购文件要求进行制作、上传电子响应文件，响应单位无需提供纸质响应文件。</w:t>
      </w:r>
      <w:r>
        <w:rPr>
          <w:rFonts w:ascii="SimSun" w:hAnsi="SimSun" w:eastAsia="SimSun" w:cs="SimSun"/>
          <w:b/>
          <w:color w:val="000000"/>
          <w:sz w:val="24"/>
        </w:rPr>
        <w:t xml:space="preserve">电子响应文件制作完成后请在截止时间前完成提交（上传），否则视为放弃参加该采购项目。</w:t>
      </w:r>
      <w:r>
        <w:rPr>
          <w:rFonts w:ascii="SimSun" w:hAnsi="SimSun" w:eastAsia="SimSun" w:cs="SimSun"/>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（2）电子响应文件材料中要求加盖公章的必须加盖响应单位电子公章。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（3）供应商应当在磋商文件要求的截止时间前，</w:t>
      </w:r>
      <w:r>
        <w:rPr>
          <w:rFonts w:ascii="SimSun" w:hAnsi="SimSun" w:eastAsia="SimSun" w:cs="SimSun"/>
          <w:b/>
          <w:color w:val="000000"/>
          <w:sz w:val="24"/>
        </w:rPr>
        <w:t xml:space="preserve">将响应文件上传苏釆云系统，否则视为放弃参加该采购项目。</w:t>
      </w:r>
      <w:r>
        <w:rPr>
          <w:rFonts w:ascii="SimSun" w:hAnsi="SimSun" w:eastAsia="SimSun" w:cs="SimSun"/>
          <w:color w:val="000000"/>
          <w:sz w:val="24"/>
        </w:rPr>
        <w:t xml:space="preserve">供应商在提交响应文件截止时间前，可以对所提交的响应文件进行补充、修改或者撤回。</w:t>
      </w:r>
      <w:r/>
    </w:p>
    <w:p>
      <w:pPr>
        <w:ind w:left="0" w:right="0" w:firstLine="480"/>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（4）供应商应当按照磋商文件的要求编制响应文件，并对其提交的响应文件的真实性、合法性承担法律责任。</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（5）机器码检查中，不同响应单位使用同一台电脑编制响应文件的，响应文件将被认定为无效响应。</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9、响应文件的制作要求：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（1）磋商响应文件有效期为自磋商之日起90日。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方（磋商响应单位）提交的磋商响应文件以及供方（磋商响应单位）与采购代理机构就有关采购的所有来往函电均应使用中文书写，服务方（磋商响应单位）提交的支持文件和印刷的文献可以用另一种语言，但相应内容均应附有中文的翻译本，在解释磋商响应文件时以中文翻译本为准。</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六、综合说明：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（一）响应内容必须符合国家相关标准，必须满足本次磋商文件的要求，若造成的损失和后果由单位负全责。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（二）磋商小组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2.1磋商小组由磋商采购单位依法组建，由采购人代表和评审专家共3人以上单数组成，其中评审专家人数不得少于磋商小组成员总数的2/3。采购人代表不得以评审专家身份参加本部门或本单位采购项目的评审。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2.2磋商小组负责具体的磋商事务，并独立履行以下职责：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2.2.1确认或者制定磋商文件；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2.2.2从符合相应资格条件的供应商名单中确定不少于3家的供应商参加磋商；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2.2.3审查供应商的响应文件并作出评价；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2.2.4要求供应商解释或者澄清其响应文件；</w:t>
      </w:r>
      <w:r/>
    </w:p>
    <w:p>
      <w:pPr>
        <w:ind w:left="0" w:right="0" w:firstLine="48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2.2.5编写评分报告；</w:t>
      </w:r>
      <w:r/>
    </w:p>
    <w:p>
      <w:pPr>
        <w:ind w:left="0" w:right="0" w:firstLine="48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2.2.6告知采购人、采购代理机构在评审过程中发现的供应商的违法违规行为。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2.3磋商小组成员应当履行下列义务：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2.3.1遵纪守法，客观、公正、廉洁地履行职责；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2.3.2按照磋商文件规定的评审办法独立进行评审，对个人的评审意见承担法律责任；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2.3.3参与评分报告的起草；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2.3.4配合采购人、采购代理机构答复供应商提出的质疑；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2.3.5配合财政部门的投诉处理和监督检查工作。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（三）评审内容的保密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3.1磋商开始后，直到宣布授予成交供应商合同为止，凡属于审查、澄清、评价和比较响应文件的所有资料，有关授予合同的信息都不应向供应商或与评审无关的其他人泄露。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3.2在响应文件的审查、澄清、评价和比较以及授予合同的过程中，供应商对磋商采购单位和磋商小组施加影响的任何行为，都将取消其成交资格。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3.3在评审期间，磋商采购单位将通过指定联络人与供应商进行联系。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（四）响应文件的澄清、说明和更正</w:t>
      </w:r>
      <w:r/>
    </w:p>
    <w:p>
      <w:pPr>
        <w:ind w:left="0" w:right="0" w:firstLine="3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4.2磋商小组要求供应商澄清、说明或者更正响应文件应当以书面形式作出。供应商的澄清、说明或者更正应当由法定代表人或代理人签字或者加盖电子公章。由代理人签字的，应当附法定代表人授权委托书。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SimSun" w:hAnsi="SimSun" w:eastAsia="SimSun" w:cs="SimSun"/>
          <w:b/>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（五）信用记录查询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记录：根据政府采购法及相关法规，以及苏州市财政局《关于印发苏州市市级政府采购信用记录查询和使用工作试行办法的通知》（苏财购（2017）11号）文件的规定，我们将依法对供应商进行信用查询，凡经评标委员会确认不符合政府采购相关法律法规规定的，将拒绝其参与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5.1.查询截止时点：响应文件接收截止时间。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5.2.查询渠道：采购代理机构会在接收响应文件截止时间后，登录信用中国网站（www.creditchina.gov.cn）和中国政府采购网（www.ccgp.gov.cn/）查询供应商的信用记录，并将查询结果递交评标委员会。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5.4.信用记录使用规则：评标委员会在对供应商进行资格性审查时，应根据查询结果对供应商的不良信用记录逐项甄别确认。</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三、合同主要条款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甲方（使用单位）：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以下术语有特定的含义：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1、服务是指根据合同规定乙方应承担</w:t>
      </w:r>
      <w:r>
        <w:rPr>
          <w:rFonts w:ascii="SimSun" w:hAnsi="SimSun" w:eastAsia="SimSun" w:cs="SimSun"/>
          <w:color w:val="000000"/>
          <w:sz w:val="24"/>
          <w:u w:val="single"/>
        </w:rPr>
        <w:t xml:space="preserve">     </w:t>
      </w:r>
      <w:r>
        <w:rPr>
          <w:rFonts w:ascii="SimSun" w:hAnsi="SimSun" w:eastAsia="SimSun" w:cs="SimSun"/>
          <w:color w:val="000000"/>
          <w:sz w:val="24"/>
        </w:rPr>
        <w:t xml:space="preserve">等工作和合同中规定乙方应承担的其它义务。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2、合同价款是指根据响应单位的响应文件和合同规定，乙方在正确地履行合同义务后甲方应支付给乙方的价款。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3、甲方是指合同中明确规定的实际购买和接受服务的单位。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4、乙方是指合同中规定的提供服务的单位。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5、损失是指合同一方因不履行合同义务而导致另一方及第三方的各种损失的费用，还包括守约方为减轻损失或维护权利而需支付的各种调查费用、车旅费用、律师费用等。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二、合同项目及期限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w:t>
      </w:r>
      <w:r>
        <w:rPr>
          <w:rFonts w:ascii="SimSun" w:hAnsi="SimSun" w:eastAsia="SimSun" w:cs="SimSun"/>
          <w:color w:val="000000"/>
          <w:sz w:val="24"/>
          <w:u w:val="single"/>
        </w:rPr>
        <w:t xml:space="preserve">      </w:t>
      </w:r>
      <w:r>
        <w:rPr>
          <w:rFonts w:ascii="SimSun" w:hAnsi="SimSun" w:eastAsia="SimSun" w:cs="SimSun"/>
          <w:color w:val="000000"/>
          <w:sz w:val="24"/>
        </w:rPr>
        <w:t xml:space="preserve">的服务工作。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w:t>
      </w:r>
      <w:r>
        <w:rPr>
          <w:rFonts w:ascii="SimSun" w:hAnsi="SimSun" w:eastAsia="SimSun" w:cs="SimSun"/>
          <w:color w:val="000000"/>
          <w:sz w:val="24"/>
          <w:highlight w:val="white"/>
        </w:rPr>
        <w:t xml:space="preserve">一年（具体起始时间甲方书面通知为准）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3、服务地点：根据甲方指定地点。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三、合同总价款：</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元整，小写￥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合同总价款</w:t>
      </w:r>
      <w:r>
        <w:rPr>
          <w:rFonts w:ascii="SimSun" w:hAnsi="SimSun" w:eastAsia="SimSun" w:cs="SimSun"/>
          <w:color w:val="000000"/>
          <w:sz w:val="24"/>
          <w:highlight w:val="white"/>
        </w:rPr>
        <w:t xml:space="preserve">包括在承包期内服务的需要的人工费（包括人员工资、保险等）、服装、高温费、加班费、节日慰问费、体检费、劳保、各种税费及政策性文件规定及合同包含的所有风险（如人员工资等）、责任等各项应有费用</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四、采购内容及服务要求：</w:t>
      </w:r>
      <w:r>
        <w:rPr>
          <w:rFonts w:ascii="SimSun" w:hAnsi="SimSun" w:eastAsia="SimSun" w:cs="SimSun"/>
          <w:color w:val="000000"/>
          <w:sz w:val="24"/>
        </w:rPr>
        <w:t xml:space="preserve">详见采购文件。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1、付款步骤：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甲乙双方签订合同后，待整个服务项目所需设备、人员全部到位，经甲方认可后开始进行管理服务，按季度进行结算，自上岗后每满一季度并在对照考核结果，经检验合格后七个工作日内即由甲方向乙方支付一个季度的管理费（按中标价进行换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②管理费每个季度为一个结算周期，按考核结果结算，每季度应结算的管理费=（每个站点合同总价÷12个月）×3个月-每个站点考核扣款；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甲方按照“考核内容及标准”的有关规定对乙方进行月度考核。月度考核得分达到90分及以上的，则无考核扣款。月度考核低于90分的，责令其整改，并按照每减少1分扣除该微型消防站当季度服务费的1%，合同期内考核有3次低于85分的，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2.付款方式：银行汇票或转账支票。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六、甲、乙双方的责任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1.指定专人作为甲方联系人予以协调工作,加强与乙方沟通，交流情况，互通信息。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2.定期组织对乙方服务质量的考核、收集意见和建议，并将结果及时通报乙方。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3.为乙方有效开展工作提供其他必要的便利。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提供服务前，应提前向甲方提供乙方服务工作人员的基本信息、资质证明，以及甲方要求提供的其他资料，经甲方审核确认后，方可正式履行项目合同。如乙方在规定的时间内未能向甲方提供相关资料，或提供的材料不完整、不真实的，或未经甲方审核通过的，甲方有权要求乙方立即整改，整改不及时，甲方有权对乙方作出相应惩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履行过程中乙方无法达到招标书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4.如乙方在规定的时间内未按甲方要求，调换或增配服务人员的；未经甲方批准擅自调动、调整工作人员及甲方确定为关键性岗位工作人员的；擅自调动服务人员未经甲方批准的；甲方有权对乙方作出相应惩罚。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5.乙方应经常对员工进行岗位职责和安全教育，加强岗位责任考核。因管理不当、违规操作发生消防、设备损坏等安全事故的，乙方应承担全部责任，并负责赔偿由此造成的损失，甲方不承担任何责任。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6.乙方需接受并积极配合甲方组织的定期考核、满意度调查等工作，并按甲方提出的意见及时进行整改。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7.确因甲方工作需要，乙方应无条件配合甲方完成一些突击性工作。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1.合同一方不履行合同义务或者履行合同义务不符合约定的，应当承担继续履行、采取补救措施或者赔偿损失等违约责任。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2.在合同生效后，甲方无故要求取消此次服务的，应向乙方偿付合同总价款的5%作为违约金，违约金不足以补偿损失的，乙方有权要求甲方补足。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不能正常提供服务（逾期超过十五天视为不能提供）从而影响甲方按期正常使用的，应向甲方偿付合同总价款5%的违约金，违约金不足以补偿损失的，甲方有权要求乙方补足。同时甲方有权要求乙方承担因此造成的其他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4.因不可抗力不能履行合同的，根据不可抗力的影响，部分或者全部免除责任。但合同一方迟延履行后发生不可抗力的，不能免除责任。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5.合同一方因不可抗力不能履行合同的，应及时通知对方，以减轻可能给对方造成的损失，并应当在合理期限内提供证明。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八、合同生效及其它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1、本合同经双方签字盖章后生效，生效的合同需在规定时间内进行合同公示。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九、合同的解除和转让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（1）因不可抗力致使不能实现合同目的，未受不可抗力影响的一方有权解除合同；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（2）因合同一方违约导致合同不能履行，另一方有权解除合同。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3、有权解除合同的一方，应当在违约事实或不可抗力发生之后三十天内书面通知对方提出解除合同，合同在书面通知到达对方时解除。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4、若投标单位在服务管理期间，违反下列规定将被解除服务合同：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（1）将本项目转包或分包他人。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（2）未按照国家劳动法规定聘用服务人员。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十、合同转让和分包：</w:t>
      </w:r>
      <w:r>
        <w:rPr>
          <w:rFonts w:ascii="SimSun" w:hAnsi="SimSun" w:eastAsia="SimSun" w:cs="SimSun"/>
          <w:color w:val="000000"/>
          <w:sz w:val="24"/>
        </w:rPr>
        <w:t xml:space="preserve">本项目不得转让和分包。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1.双方签约人为各自法定代表人或被授权代表。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2.本合同系指本文件及其附件中的所有部分，采购文件、响应单位的响应文件、中标通知书、响应单位在采购过程中的澄清和承诺等为本合同不可缺少的组成部分。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3.本合同自甲乙双方签字盖章之日起生效。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4.本合同壹式</w:t>
      </w:r>
      <w:r>
        <w:rPr>
          <w:rFonts w:ascii="SimSun" w:hAnsi="SimSun" w:eastAsia="SimSun" w:cs="SimSun"/>
          <w:b/>
          <w:color w:val="000000"/>
          <w:sz w:val="24"/>
        </w:rPr>
        <w:t xml:space="preserve">伍</w:t>
      </w:r>
      <w:r>
        <w:rPr>
          <w:rFonts w:ascii="SimSun" w:hAnsi="SimSun" w:eastAsia="SimSun" w:cs="SimSun"/>
          <w:color w:val="000000"/>
          <w:sz w:val="24"/>
        </w:rPr>
        <w:t xml:space="preserve">份，甲乙双方各执</w:t>
      </w:r>
      <w:r>
        <w:rPr>
          <w:rFonts w:ascii="SimSun" w:hAnsi="SimSun" w:eastAsia="SimSun" w:cs="SimSun"/>
          <w:b/>
          <w:color w:val="000000"/>
          <w:sz w:val="24"/>
        </w:rPr>
        <w:t xml:space="preserve">贰</w:t>
      </w:r>
      <w:r>
        <w:rPr>
          <w:rFonts w:ascii="SimSun" w:hAnsi="SimSun" w:eastAsia="SimSun" w:cs="SimSun"/>
          <w:color w:val="000000"/>
          <w:sz w:val="24"/>
        </w:rPr>
        <w:t xml:space="preserve">份，代理机构执</w:t>
      </w:r>
      <w:r>
        <w:rPr>
          <w:rFonts w:ascii="SimSun" w:hAnsi="SimSun" w:eastAsia="SimSun" w:cs="SimSun"/>
          <w:b/>
          <w:color w:val="000000"/>
          <w:sz w:val="24"/>
        </w:rPr>
        <w:t xml:space="preserve">壹</w:t>
      </w:r>
      <w:r>
        <w:rPr>
          <w:rFonts w:ascii="SimSun" w:hAnsi="SimSun" w:eastAsia="SimSun" w:cs="SimSun"/>
          <w:color w:val="000000"/>
          <w:sz w:val="24"/>
        </w:rPr>
        <w:t xml:space="preserve">份，各份具有同等法律效力。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5.本合同应按照中华人民共和国的现行法律进行解释。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6.合同修改：除甲乙双方签署书面修改、补充协议，并成为本合同不可分割的一部分之外，本合同条件不得有任何变化或修改。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法定代表人或授权代表（签字或盖章）：法定代表人或授权代表（签字或盖章）：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签约日期：签约日期：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合同签订地：苏州市吴中区甪直镇人民政府（苏州市吴中区甪直镇综合行政执法和安全生产监督管理办公室）</w:t>
      </w: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四、竞争性磋商程序及磋商小组成员组成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（一）程序：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1.采购代理机构按本须知规定的时间、地点主持磋商采购活动。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2.由磋商小组审查供应商提交的响应文件。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要求供应商澄清、说明或者更正响应文件应当以书面形式作出。供应商的澄清、说明或者更正应当由法定代表人或其授权代表签字或者加盖电子公章。由授权代表签字的，应当附法定代表人授权书。供应商为自然人的，应当由本人签字并附身份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5.磋商小组所有成员集中与单一供应商分别进行磋商，并给予所有参加磋商的供应商平等的磋商机会。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磋商结束后，磋商小组将在“苏采云”系统向所有实质性响应的供应商发布“最后报价要求函”及最后报价格式表，要求所有实质性响应的供应商在规定时间内提交最后报价。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已提交响应文件的供应商，在提交最后报价之前，可以根据磋商情况退出磋商，并在“苏采云”系统中提交“退出磋商函”并加盖CA电子公章。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*进入项目评审流程后，建议各供应商法定代表人或授权委托人始终保持通讯顺畅，时刻关注不见面开标大厅，不离开不见面开标大厅。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磋商小组要求重新提交响应文件的并由其法定代表人或授权代表签字确认或者加盖电子公章。由授权代表签字的，应当附法定代表人授权书。供应商为自然人的，应当由本人签字并附身份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7.供应商根据磋商情况进行承诺说明并填写承诺函，磋商结束后，要求所有实质性响应的供应商在最后一个供应商磋商结束后十分钟内提交最后报价，提交最后有效报价的供应商不得少于3家。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8.经磋商确定最终采购需求和提交最后报价的供应商后，根据供应商的承诺、响应程度和供应商最后的报价，按照磋商文件规定的成交原则和评审办法进行综合评分。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9.磋商小组根据磋商成交原则确定成交供应商，并将结果通知服务承接商。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10.如磋商过程中出现本采购文件未尽事宜，由磋商小组根据政府采购有关法律、法规讨论决定。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11.发出成交通知书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按照法定流程发布成交公告，及时在项目交易系统中签发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（二）磋商小组成员组成：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1.磋商小组由磋商采购单位依法组建，由采购人代表和评审专家共3人以上单数组成，其中评审专家人数不得少于磋商小组成员总数的2/3。采购人代表不得以评审专家身份参加本部门或本单位采购项目的评审。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2.磋商小组成员：采购单位1名，专家2名。</w:t>
      </w:r>
      <w:r/>
    </w:p>
    <w:p>
      <w:pPr>
        <w:ind w:left="0" w:right="0" w:firstLine="22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tabs>
          <w:tab w:val="left" w:pos="450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45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五、评分标准</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一、竞争性磋商成交原则：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评分法指响应文件满足磋商文件全部实质性要求且按评审因素的量化指标评审得分最高的供应商为成交候选单位的评审方法。评审时，磋商小组各成员应当独立对每个有效响应的文件进行评价、打分，然后汇总每个供应商每项评分因素的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3.综合评分法中的价格分统一采用低价优先法计算，即满足磋商文件要求且最后报价最低的供应商的价格为磋商基准价，其价格分为满分。其他供应商的价格分统一按照下列公式计算：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磋商报价得分=（磋商基准价/最后磋商报价）×价格权值×100（项目评审过程中，不得去掉最后报价中的最高报价和最低报价）。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4.中小企业折扣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的扣除，用扣除后的价格参与评审，如扣除后的价格为最低价的，则作为评标基准价，成交金额则以实际报价为准。残疾人福利性单位属于小型、微型企业的，不重复享受政策。</w:t>
      </w:r>
      <w:r>
        <w:rPr>
          <w:rFonts w:ascii="SimSun" w:hAnsi="SimSun" w:eastAsia="SimSun" w:cs="SimSun"/>
          <w:b/>
          <w:color w:val="000000"/>
          <w:sz w:val="24"/>
        </w:rPr>
        <w:t xml:space="preserve">本项目专门面向中小微企业采购，不再执行价格优惠政策。本项目所属行业为：其他未列明。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提供《中小企业声明函》；监狱企业提供由省级以上监狱管理局、戒毒管理局（含新疆生产建设兵团）出具的属于监狱企业的证明文件；残疾人福利性单位提供《残疾人福利性单位声明函》。残疾人福利性单位和监狱企业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5.评审过程中出现下列情形之一的，评审委员会应当启动异常低价投标（响应）审查程序：</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内）。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w:t>
      </w:r>
      <w:r>
        <w:rPr>
          <w:rFonts w:ascii="SimSun" w:hAnsi="SimSun" w:eastAsia="SimSun" w:cs="SimSun"/>
          <w:color w:val="000000"/>
          <w:sz w:val="24"/>
        </w:rPr>
        <w:t xml:space="preserve">等情况，对报价合理性进行判断。投标（响应）供应商不能提供书面说明、证明材料，或者提供的书面说明、证明材料不能证明其报价合理性的，评审委员会应当将其作为无效投标（响应）处理。</w:t>
      </w:r>
      <w:r/>
    </w:p>
    <w:p>
      <w:pPr>
        <w:ind w:left="57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本次磋商采购的评标方法采用综合评估方法，即在最大限度地满足磋商采购文件实质性要求前提下，按照磋商采购文件中规定的各项因素进行综合评审。总分为100分，评审因素及各比重如下：价格分为</w:t>
      </w:r>
      <w:r>
        <w:rPr>
          <w:rFonts w:ascii="SimSun" w:hAnsi="SimSun" w:eastAsia="SimSun" w:cs="SimSun"/>
          <w:color w:val="000000"/>
          <w:sz w:val="24"/>
          <w:u w:val="single"/>
        </w:rPr>
        <w:t xml:space="preserve">10</w:t>
      </w:r>
      <w:r>
        <w:rPr>
          <w:rFonts w:ascii="SimSun" w:hAnsi="SimSun" w:eastAsia="SimSun" w:cs="SimSun"/>
          <w:color w:val="000000"/>
          <w:sz w:val="24"/>
        </w:rPr>
        <w:t xml:space="preserve">分，技术部分、响应单位资质部分等为</w:t>
      </w:r>
      <w:r>
        <w:rPr>
          <w:rFonts w:ascii="SimSun" w:hAnsi="SimSun" w:eastAsia="SimSun" w:cs="SimSun"/>
          <w:color w:val="000000"/>
          <w:sz w:val="24"/>
          <w:u w:val="single"/>
        </w:rPr>
        <w:t xml:space="preserve">90</w:t>
      </w:r>
      <w:r>
        <w:rPr>
          <w:rFonts w:ascii="SimSun" w:hAnsi="SimSun" w:eastAsia="SimSun" w:cs="SimSun"/>
          <w:color w:val="000000"/>
          <w:sz w:val="24"/>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第一步：响应报价低于或等于预算价格的，为有效响应报价。超出此范围的响应报价为无效响应报价。无效响应报价的响应文件不进行评审，也不得标。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第二步：在所有有效响应报价中选择报价最低的确定为基准报价。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第三步：将所有有效报价与基准报价相比较：等于基准报价的得10分，其他响应单位的价格分按照下列公式计算（计算结果四舍五入保留两位小数）：</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响应报价得分＝（基准报价/响应报价）×10％×100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（二）技术方案比较（62分）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1、对项目的了解（最高8分）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至少包括：项目实际情况分析、重难点分析、重难点解决应对措施等。</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符合项目实际情况且详细完善的得8分；符合项目实际情况内容较合理的得5分；符合项目实际情况内容一般的得2分；未提供或提供不完整的不得分。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2、服务管理工作标准（最高8分）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至少包括：本项目人员管理制度、工作标准进行等。</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服务管理内容完整，针对性适用性最强的，得8分；服务管理内容完整，针对性适用性较强的，得5分；架构内容完整，针对性适用性一般的，得2分；未提供或提供不完整的不得分。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3、服务管理工作实施方案（最高8分）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至少包括：对本项目工作人员的岗位职责、具体实施方案等。</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方案内容完整，针对性适用性最强的，得8分；方案内容完整，针对性适用性较强的，得5分；方案内容完整，针对性适用性一般的，得2分；未提供或提供不完整的不得分。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4、进退场交接方案比较（最高8分）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至少包括：与原有单位交接进退场方案，与采购单位交接进退场方案等。</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方案内容完整，针对性适用性最强的，得8分；方案内容完整，针对性适用性较强的，得5分；方案内容完整，针对性适用性一般的，得2分；未提供或提供不完整的不得分。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5、应急处理预案比较（最高8分）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至少包括：防台防汛预案、治安应急预案、消防应急预案等。</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方案内容完整，针对性适用性最强的，得8分；方案内容完整，针对性适用性较强的，得5分；方案内容完整，针对性适用性一般的，得2分；未提供或提供不完整的不得分。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6、管理规章制度比较（最高8分）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制度内容完整，针对性适用性最强的，得8分；制度内容完整，针对性适用性较强的，得5分；制度内容完整，针对性适用性一般的，得2分；未提供或提供不完整的不得分。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7、保密管理制度（最高7分）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制度内容完整，针对性适用性最强的，得7分；制度内容完整，针对性适用性较强的，得4分；制度内容完整，针对性适用性一般的，得2分；未提供或提供不完整的不得分。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8、针对本项目的服务考核制度及标准（最高7分）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内容完整，针对性适用性最强的，得7分；内容完整，针对性适用性较强的，得4分；内容完整，针对性适用性一般的，得2分；未提供或提供不完整的不得分。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（三）服务人员配备情况比较（15分）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1、拟派的项目负责人（站长）</w:t>
      </w:r>
      <w:r>
        <w:rPr>
          <w:rFonts w:ascii="SimSun" w:hAnsi="SimSun" w:eastAsia="SimSun" w:cs="SimSun"/>
          <w:color w:val="000000"/>
          <w:sz w:val="24"/>
          <w:highlight w:val="white"/>
        </w:rPr>
        <w:t xml:space="preserve">具有大专及以上学历证书、四级及以上建（构）筑物消防员证、安全培训合格证、退伍证及应急救援员证</w:t>
      </w:r>
      <w:r>
        <w:rPr>
          <w:rFonts w:ascii="SimSun" w:hAnsi="SimSun" w:eastAsia="SimSun" w:cs="SimSun"/>
          <w:color w:val="000000"/>
          <w:sz w:val="24"/>
        </w:rPr>
        <w:t xml:space="preserve">有一个得1分，最高5分。响应文件中必须提供证书和响应单位为其缴纳的最近一期社保明细（证明）。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2、拟派的消防站训练员具有</w:t>
      </w:r>
      <w:r>
        <w:rPr>
          <w:rFonts w:ascii="SimSun" w:hAnsi="SimSun" w:eastAsia="SimSun" w:cs="SimSun"/>
          <w:color w:val="000000"/>
          <w:sz w:val="24"/>
          <w:highlight w:val="white"/>
        </w:rPr>
        <w:t xml:space="preserve">四级及以上建（构）筑物消防员证、</w:t>
      </w:r>
      <w:r>
        <w:rPr>
          <w:rFonts w:ascii="SimSun" w:hAnsi="SimSun" w:eastAsia="SimSun" w:cs="SimSun"/>
          <w:color w:val="000000"/>
          <w:sz w:val="24"/>
        </w:rPr>
        <w:t xml:space="preserve">安全培训合格证、退伍证、应急救援员证。有一个得1分，最高4分。响应文件中必须提供证书和响应单位为其缴纳的最近一期社保明细（证明）。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3、本项目其他人员（不含项目负责人及消防站训练员）（6分）：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（1）本项目拟派人员中具有四级及以上建（构）筑物消防员证、安全培训合格证、应急救援员证的，有一人得2分，最高6分。响应文件中必须提供证书和响应单位为其缴纳的最近一期社保明细（证明）。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（四）企业综合实力比较（13分）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1、响应单位具有有效期内的质量管理体系认证证书、环境管理体系认证证书、职业健康安全管理体系认证证书，每份1分，最高3分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注：响应文件中提供证书，须在中国国家认证认可监督管理委员会官网可查并在响应文件中提供证书及查询页面完整截图。以上有效资料未提供或提供不完整的，该项不得分。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2、响应单位具有有效期内的《应急预案管理能力评价认证》证书得2分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注：响应文件中提供证书，须在中国国家认证认可监督管理委员会官网可查并在响应文件中提供证书及查询页面完整截图。以上有效资料未提供或提供不完整的，该项不得分。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3、响应单位2023年1月1日起（以合同签订时间为准）至今承担过类似本项目的相关管理服务经验，每提供一份得2分，最高8分。响应文件中必须提供合同。</w:t>
      </w:r>
      <w:r/>
    </w:p>
    <w:p>
      <w:pPr>
        <w:ind w:left="372" w:right="0" w:hanging="426"/>
        <w:spacing w:before="240" w:after="24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72" w:right="0" w:hanging="426"/>
        <w:spacing w:before="240" w:after="24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spacing w:before="240" w:after="240" w:line="85" w:lineRule="atLeast"/>
        <w:tabs>
          <w:tab w:val="left" w:pos="5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1.评标时，未能按以上要求提供相应证明的，不作为评标依据，仅以按上述要求实际提供相关证明的数量作为评标依据。</w:t>
      </w:r>
      <w:r/>
    </w:p>
    <w:p>
      <w:pPr>
        <w:ind w:left="0" w:right="0" w:firstLine="0"/>
        <w:spacing w:before="240" w:after="240" w:line="85" w:lineRule="atLeast"/>
        <w:tabs>
          <w:tab w:val="left" w:pos="5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2.针对评分标准中评分的每一条，响应单位均应提供相关资料并作出相应说明供评委评判，不提供相关资料的视为不具备该项得分的条件。</w:t>
      </w:r>
      <w:r/>
    </w:p>
    <w:p>
      <w:pPr>
        <w:ind w:left="0" w:right="0" w:firstLine="0"/>
        <w:spacing w:before="240" w:after="240" w:line="85" w:lineRule="atLeast"/>
        <w:tabs>
          <w:tab w:val="left" w:pos="5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70" w:right="0" w:firstLine="42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（参考格式，磋商响应单位可根据下述格式自制表格进行响应）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1.磋商响应报价表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项目名称：苏州市吴中区甪直镇采购微型消防站服务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采购编号：JSZC-320506-DLHX-C2026-0009 </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8"/>
        <w:gridCol w:w="4249"/>
        <w:gridCol w:w="2111"/>
        <w:gridCol w:w="1234"/>
      </w:tblGrid>
      <w:tr>
        <w:trPr>
          <w:trHeight w:val="8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苏州市吴中区甪直镇采购微型消防站服务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一年（具体起始时间甲方书面通知为准）</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报价包括在承包期内服务的需要的人工费（包括人员工资、保险等）、服装、高温费、加班费、节日慰问费、体检费、劳保、各种税费及政策性文件规定及合同包含的所有风险（如人员工资等）、责任等各项应有费用。</w:t>
      </w:r>
      <w:r/>
    </w:p>
    <w:p>
      <w:pPr>
        <w:ind w:left="0" w:right="0" w:firstLine="0"/>
        <w:jc w:val="center"/>
        <w:spacing w:before="0" w:after="0" w:line="2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1.1磋商报价分析表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磋商报价分析表（格式）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w:t>
      </w:r>
      <w:r>
        <w:rPr>
          <w:rFonts w:ascii="SimSun" w:hAnsi="SimSun" w:eastAsia="SimSun" w:cs="SimSun"/>
          <w:color w:val="000000"/>
          <w:sz w:val="24"/>
          <w:u w:val="single"/>
        </w:rPr>
        <w:t xml:space="preserve">                  </w:t>
      </w:r>
      <w:r>
        <w:rPr>
          <w:rFonts w:ascii="SimSun" w:hAnsi="SimSun" w:eastAsia="SimSun" w:cs="SimSun"/>
          <w:color w:val="000000"/>
          <w:sz w:val="24"/>
        </w:rPr>
        <w:t xml:space="preserve">              采购编号：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1144"/>
        <w:gridCol w:w="735"/>
        <w:gridCol w:w="826"/>
        <w:gridCol w:w="723"/>
        <w:gridCol w:w="1022"/>
        <w:gridCol w:w="918"/>
        <w:gridCol w:w="675"/>
        <w:gridCol w:w="1345"/>
      </w:tblGrid>
      <w:tr>
        <w:trPr>
          <w:trHeight w:val="5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人工成本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社保费用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损耗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93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 </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磋商响应单位法定代表人或委托人：（签字或盖章）日期：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1.报价表包含响应单位各项成本核算和投入的成本明细，合计金额应与开标一览表合计金额一致；否则，以开标一览表为准。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条目举例如下：履行期内人工、税务、材料、管理、维护、保险、等企业支出工作所发生的全部费用以及响应单位企业利润、税金和政策性文件规定及合同包含的所有风险、责任等各项应有费用等等。不限于此，可自行添加，备注栏内有要求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3.人工成本计算法为总人数合计，不等于开标一览表的综合单价。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2、磋商响应承诺书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苏州华厦招投标代理有限公司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JSZC-320506-DLHX-C2026-0009 </w:t>
      </w:r>
      <w:r>
        <w:rPr>
          <w:rFonts w:ascii="SimSun" w:hAnsi="SimSun" w:eastAsia="SimSun" w:cs="SimSun"/>
          <w:color w:val="000000"/>
          <w:sz w:val="24"/>
        </w:rPr>
        <w:t xml:space="preserve">号磋商邀请函，经仔细阅读和研究，我们决定参加该次磋商活动。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1、我们愿意按照磋商邀请函的一切要求，提供包括完成该项目的各项应有费用。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2、如果我们磋商商务被接受，我们将严格履行磋商邀请函中规定的每一项要求，按期、按质、按量履行合同的义务。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3、我们愿意提供邀请方在磋商邀请函中要求的所有资料。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4、我们认为你们有权决定成交人者，还认为你们有权接受或拒绝所有的磋商供应商。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5、我们愿意遵守磋商邀请函中所列的收费标准。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6、如果我们成交后未履行以上承诺，我公司愿意接受有关部门的处理：</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A、取消成交资格</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B、列入不诚信企业名录予以曝光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7、综合说明：</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      </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（2）要求甲方提供的配合；      </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（3）其它说明。</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所有有关标书的函电，请按下列地址联系：</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 </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联系电话：传真：</w:t>
      </w:r>
      <w:r/>
    </w:p>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w:t>
      </w:r>
      <w:r/>
    </w:p>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69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3、（磋商方）法定代表人授权委托书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 </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（磋商单位名称）的法定代表人，现授权委托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（姓名）为我公司被授权人，以本公司的名义参加苏州华厦招投标代理有限公司组织实施的编号为</w:t>
      </w:r>
      <w:r>
        <w:rPr>
          <w:rFonts w:ascii="SimSun" w:hAnsi="SimSun" w:eastAsia="SimSun" w:cs="SimSun"/>
          <w:color w:val="000000"/>
          <w:sz w:val="24"/>
          <w:u w:val="single"/>
        </w:rPr>
        <w:t xml:space="preserve">JSZC-320506-DLHX-C2026-0009号</w:t>
      </w:r>
      <w:r>
        <w:rPr>
          <w:rFonts w:ascii="SimSun" w:hAnsi="SimSun" w:eastAsia="SimSun" w:cs="SimSun"/>
          <w:color w:val="000000"/>
          <w:sz w:val="24"/>
        </w:rPr>
        <w:t xml:space="preserve">的竞争性磋商活动。被授权人在开标、评标、合同磋商过程中所签署的一切文件和处理与这有关的一切事务，我均予以承认。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被授权人在授权委托书有效期内签署的所有文件不因授权委托的撤销而失效，除非有撤销授权委托的书面通知，本授权委托书自响应开始至合同履行完毕止。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被授权人无转委托权。特此委托。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w:t>
      </w:r>
      <w:r/>
    </w:p>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69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4、偏离表（技术、商务）</w:t>
      </w:r>
      <w:r/>
    </w:p>
    <w:p>
      <w:pPr>
        <w:ind w:left="400" w:right="0" w:firstLine="420"/>
        <w:jc w:val="center"/>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偏离表</w:t>
      </w:r>
      <w:r/>
    </w:p>
    <w:p>
      <w:pPr>
        <w:ind w:left="400" w:right="0" w:firstLine="420"/>
        <w:jc w:val="center"/>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3"/>
        <w:gridCol w:w="2711"/>
        <w:gridCol w:w="2142"/>
        <w:gridCol w:w="1617"/>
        <w:gridCol w:w="1252"/>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磋商响应单位：盖章）</w:t>
      </w:r>
      <w:r/>
    </w:p>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69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1.供应商可在本表中对照采购文件要求对应列出响应内容，并在“偏离说明”项下填写以下内容：优于的，填写“正偏离”；符合的，填写“无偏离”；低于的，填写“负偏离”。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2.未在上表中说明的，如在响应文件其他内容中已有文字说明的，则以已有文字说明为准，否则，将被认为完全响应采购文件的要求及规定。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3.若事项较多，供应商可根据实际情况另纸说明。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5、服务人员表 </w:t>
      </w:r>
      <w:r/>
    </w:p>
    <w:p>
      <w:pPr>
        <w:ind w:left="0" w:right="0" w:firstLine="3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采购内容：苏州市吴中区甪直镇采购微型消防站服务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采购编号：JSZC-320506-DLHX-C2026-0009</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0"/>
        <w:gridCol w:w="1915"/>
        <w:gridCol w:w="1503"/>
        <w:gridCol w:w="1084"/>
        <w:gridCol w:w="1035"/>
        <w:gridCol w:w="1105"/>
        <w:gridCol w:w="1000"/>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注：请按以上格式自制表格填写后响应。</w:t>
      </w:r>
      <w:r/>
    </w:p>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w:t>
      </w:r>
      <w:r/>
    </w:p>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69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6、类似项目业绩清单表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类似项目业绩清单表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项目名称：苏州市吴中区甪直镇采购微型消防站服务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采购编号：JSZC-320506-DLHX-C2026-0009</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7"/>
        <w:gridCol w:w="1452"/>
        <w:gridCol w:w="1452"/>
        <w:gridCol w:w="1728"/>
        <w:gridCol w:w="1915"/>
        <w:gridCol w:w="918"/>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113" w:right="11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w:t>
      </w:r>
      <w:r/>
    </w:p>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69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420" w:right="357" w:hanging="40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注：磋商响应单位应提供双方签订的合同。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7、磋商响应单位情况表</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磋商响应单位情况表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rPr>
          <w:rFonts w:ascii="SimSun" w:hAnsi="SimSun" w:eastAsia="SimSun" w:cs="SimSun"/>
          <w:color w:val="000000"/>
          <w:sz w:val="24"/>
          <w:u w:val="single"/>
        </w:rPr>
        <w:t xml:space="preserve">                       </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7"/>
        <w:gridCol w:w="1741"/>
        <w:gridCol w:w="1778"/>
        <w:gridCol/>
        <w:gridCol w:w="548"/>
        <w:gridCol w:w="1735"/>
        <w:gridCol/>
        <w:gridCol w:w="1412"/>
        <w:gridCol w:w="1489"/>
      </w:tblGrid>
      <w:tr>
        <w:trPr>
          <w:trHeight w:val="645"/>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企业法定代表人</w:t>
            </w:r>
            <w:r/>
          </w:p>
        </w:tc>
        <w:tc>
          <w:tcPr>
            <w:gridSpan w:val="3"/>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259"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公司成立日期</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9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总部地址</w:t>
            </w:r>
            <w:r/>
          </w:p>
        </w:tc>
        <w:tc>
          <w:tcPr>
            <w:gridSpan w:val="7"/>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9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当地代表处地址</w:t>
            </w:r>
            <w:r/>
          </w:p>
        </w:tc>
        <w:tc>
          <w:tcPr>
            <w:gridSpan w:val="7"/>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9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1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gridSpan w:val="3"/>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9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1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9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1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注册年份</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901" w:type="dxa"/>
            <w:vAlign w:val="center"/>
            <w:textDirection w:val="lrTb"/>
            <w:noWrap w:val="false"/>
          </w:tcPr>
          <w:p>
            <w:pPr>
              <w:ind w:left="437"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单位职工人数</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1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gridSpan w:val="4"/>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6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最近一年总营业收入</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89"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8"/>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企业或社会团体办公场所的面积：</w:t>
            </w:r>
            <w:r/>
          </w:p>
        </w:tc>
      </w:tr>
      <w:tr>
        <w:trPr>
          <w:trHeight w:val="176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8"/>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3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主营范围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1、_____________________________________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2、____________________________________</w:t>
            </w:r>
            <w:r/>
          </w:p>
        </w:tc>
      </w:tr>
      <w:tr>
        <w:trPr>
          <w:trHeight w:val="101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5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6"/>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511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5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w:t>
            </w:r>
            <w:r/>
          </w:p>
        </w:tc>
        <w:tc>
          <w:tcPr>
            <w:gridSpan w:val="6"/>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11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gridSpan w:val="8"/>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8、中小企业声明函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 企业发展管理办法》（财库﹝2020﹞46 号）的规定，本公司 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苏州市吴中区甪直镇采购微型消防站服务</w:t>
      </w:r>
      <w:r>
        <w:rPr>
          <w:rFonts w:ascii="SimSun" w:hAnsi="SimSun" w:eastAsia="SimSun" w:cs="SimSun"/>
          <w:color w:val="000000"/>
          <w:sz w:val="24"/>
        </w:rPr>
        <w:t xml:space="preserve">采购活动，服务全部由符合政策要求的中小企业承接。相关企业的具体情 况如下： </w:t>
      </w:r>
      <w:r/>
    </w:p>
    <w:p>
      <w:pPr>
        <w:numPr>
          <w:ilvl w:val="0"/>
          <w:numId w:val="1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 其他未列明行业 </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w:t>
      </w:r>
      <w:r/>
    </w:p>
    <w:p>
      <w:pPr>
        <w:numPr>
          <w:ilvl w:val="0"/>
          <w:numId w:val="1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 其他未列明行业  </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 形。 </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 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9、残疾人福利性单位声明函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right"/>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10、关于资格文件的声明函</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号的采购活动进行投标。本公司所提交的响应文件中所有关于响应资格的文件、证明和陈述均是真实的、有效的。若与真实情况不符，本公司愿意承担由此而产生的一切后果。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磋商响应单位法定代表人：（签字或盖章）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w:t>
        <w:tab/>
        <w:t xml:space="preserve"> 月 </w:t>
        <w:tab/>
        <w:t xml:space="preserve">日</w:t>
      </w:r>
      <w:r/>
    </w:p>
    <w:p>
      <w:pPr>
        <w:ind w:left="0" w:right="0" w:firstLine="0"/>
        <w:jc w:val="right"/>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采购单位月度考核</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1"/>
        <w:gridCol w:w="6848"/>
        <w:gridCol w:w="867"/>
        <w:gridCol w:w="669"/>
      </w:tblGrid>
      <w:tr>
        <w:trPr>
          <w:trHeight w:val="680"/>
        </w:trPr>
        <w:tc>
          <w:tcPr>
            <w:gridSpan w:val="4"/>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月考核表</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val="false"/>
          </w:tcPr>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队站名称：                                                  年     月      日</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考核项目</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8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   核   内   容（100分）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7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人员管理30分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1、每日当职人员低于合同约定人数的；</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2、人员变动未提前通知属地的；</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3、工作期间，未穿规定的制服、着装不整的；</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4、工作期间，从事与本职工作无关活动的；</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7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值勤、训练管理40分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1、发生火灾时，未第一时间组织初期火灾扑救或疏散人员的；</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2、故意隐瞒火灾事故，或者发生火灾时，故意拖延或不及时报警；</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3、发生紧急情况或重大消防安全隐患不及时处理和上报属地的；</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4、不服从命令，不听从指挥，不服从管理的、不接受工作安排的；</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5、未完成培训计划、未对新增人员进行岗前消防培训的，未按训练计划开展日常训练的；</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6、未定期组织辖区内单位、场所开展消防演练、培训的；</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7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设备、档案管理30分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1、消防器材等设备台帐建立不规范的(内容包括:器材名称、规格、数量、编号、配置时间、维修时间)；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2、未按规定养护消防器材，无保养记录的或保养记录不完善的；</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3、消防车、消防水带、水枪、接口损坏丢失或丢失后隐瞒不报的；</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4、非火灾情况下，未经申报审批，擅自将消防设施器材（包括手台泵、消火栓、消防水带等）挪作他用的；</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5、未按要求建立“一企一档”、“一户一档”的，或未及时动态更新的；</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7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  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备注：1.每月考核一次，满分100分。</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val="false"/>
          </w:tcPr>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2.考核达90分及以上为合格，可以正常付款。</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val="false"/>
          </w:tcPr>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3.考核低于90分的，责令其整改，并按照每减少1分扣除当季度服务费的1%。</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val="false"/>
          </w:tcPr>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4.合同期内考核有3次低于85分的，终止合同。</w:t>
            </w:r>
            <w:r/>
          </w:p>
        </w:tc>
      </w:tr>
      <w:tr>
        <w:trPr>
          <w:trHeight w:val="465"/>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其他扣分事项：</w:t>
            </w:r>
            <w:r/>
          </w:p>
        </w:tc>
      </w:tr>
    </w:tbl>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rPr>
          <w:rFonts w:ascii="SimSun" w:hAnsi="SimSun" w:eastAsia="SimSun" w:cs="SimSun"/>
          <w:b/>
          <w:color w:val="000000"/>
          <w:sz w:val="24"/>
        </w:rPr>
        <w:t xml:space="preserve">站点周考核表</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6084"/>
        <w:gridCol w:w="748"/>
        <w:gridCol w:w="1692"/>
      </w:tblGrid>
      <w:tr>
        <w:trPr>
          <w:trHeight w:val="54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微型消防站考核表</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   核   内   容（</w:t>
            </w:r>
            <w:r>
              <w:rPr>
                <w:rFonts w:ascii="SimSun" w:hAnsi="SimSun" w:eastAsia="SimSun" w:cs="SimSun"/>
                <w:b/>
                <w:color w:val="000000"/>
                <w:sz w:val="24"/>
              </w:rPr>
              <w:t xml:space="preserve">100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1、是否按人员编制要求配置消防站人员；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2、是否按规定工作时穿制服且着装整洁；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3、是否每日当职人员有低于合同约定，且人员不能实行做六休一工作制和24小时值守备勤的；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4、是否有站内人员更换未经村负责人及片区负责人面试；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5、是否在岗期间有喝酒、夜不归宿、带外人住宿等其他现象的任意一项；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业务能力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1、是否消防站队员能掌握安全排查基本技能要求；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2、是否具备必要的灭火救援技能，及能够巡查和排查一般火灾隐患；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1、是否建立规范的消防器材台帐(内容包括:器材名称、规格、数量、编号、配置时间、维修时间)，是否按文件规定养护消防器材，及保养记录或保养记录是否完善；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2、是否有消防车、消防水带、水枪、接口损坏丢失或丢失后隐瞒不报的；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9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3、是否有在非火灾情况下，未经申报审批，擅自将消防设施器材（包括消火栓、消防水带）挪作他用的；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值勤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1、是否发生火灾时，能及时接警出动；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2、是否有发生紧急情况不及时处理和上报领导的，及到达事发现场未能有效投入救援及火灾扑救的；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3、是否有不服从命令，不听从指挥，不服从管理的、不接受调动的；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1、是否按要求建立消防安全巡查台账的；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2、是否按要求建立一户一档和管理台账的，且未能达到动态更新的；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训练培训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1、是否完成培训计划及对新增人员进行岗前消防培训的；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2、是否有无故不参加消防培训及消防演练的；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2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备注：1.每周考核一次，满分100分。</w:t>
            </w:r>
            <w:r/>
          </w:p>
        </w:tc>
      </w:tr>
      <w:tr>
        <w:trPr>
          <w:trHeight w:val="42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2.考核达到90分以上为合格，可以正常付款。</w:t>
            </w:r>
            <w:r/>
          </w:p>
        </w:tc>
      </w:tr>
      <w:tr>
        <w:trPr>
          <w:trHeight w:val="42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3.考核超过80分低于90分的，责令其整改。</w:t>
            </w:r>
            <w:r/>
          </w:p>
        </w:tc>
      </w:tr>
    </w:tbl>
    <w:p>
      <w:pPr>
        <w:ind w:left="0" w:right="0" w:firstLine="0"/>
        <w:jc w:val="center"/>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（全文完）</w:t>
      </w:r>
      <w:r/>
    </w:p>
    <w:p>
      <w:pPr>
        <w:pStyle w:val="869"/>
        <w:jc w:val="center"/>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sectPr>
      <w:headerReference w:type="default" r:id="rId9"/>
      <w:footerReference w:type="default" r:id="rId10"/>
      <w:footnotePr/>
      <w:endnotePr/>
      <w:type w:val="nextPage"/>
      <w:pgSz w:w="11906" w:h="16838" w:orient="portrait"/>
      <w:pgMar w:top="1440" w:right="1286" w:bottom="1440" w:left="1380" w:header="851" w:footer="992" w:gutter="0"/>
      <w:rtlGutter/>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Courier New">
    <w:panose1 w:val="02070309020205020404"/>
  </w:font>
  <w:font w:name="楷体_GB2312">
    <w:panose1 w:val="02010609060101010101"/>
  </w:font>
  <w:font w:name="方正仿宋简体">
    <w:panose1 w:val="020B0503020202020204"/>
  </w:font>
  <w:font w:name="仿宋_GB2312">
    <w:panose1 w:val="02010609060101010101"/>
  </w:font>
  <w:font w:name="黑体">
    <w:panose1 w:val="02010609060101010101"/>
  </w:font>
  <w:font w:name="Calibri">
    <w:panose1 w:val="020F0502020204030204"/>
  </w:font>
  <w:font w:name="Arial Unicode MS">
    <w:panose1 w:val="020B0604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17</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35</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both"/>
      <w:keepLines w:val="0"/>
      <w:keepNext w:val="0"/>
      <w:pageBreakBefore w:val="0"/>
      <w:widowControl w:val="off"/>
      <w:tabs>
        <w:tab w:val="center" w:pos="4153" w:leader="none"/>
        <w:tab w:val="right" w:pos="8306" w:leader="none"/>
      </w:tabs>
      <w:rPr>
        <w:rFonts w:hint="eastAsia" w:eastAsia="宋体"/>
        <w:b/>
        <w:lang w:eastAsia="zh-CN"/>
      </w:rPr>
    </w:pPr>
    <w:r>
      <w:rPr>
        <w:rFonts w:hint="eastAsia"/>
        <w:b/>
      </w:rPr>
      <w:t xml:space="preserve">苏州华厦招投标代理有限公司竞争性磋商文件                         </w:t>
    </w:r>
    <w:r>
      <w:rPr>
        <w:rFonts w:hint="eastAsia"/>
        <w:b/>
        <w:lang w:val="en-US" w:eastAsia="zh-CN"/>
      </w:rPr>
      <w:t xml:space="preserve">  </w:t>
    </w:r>
    <w:r>
      <w:rPr>
        <w:rFonts w:hint="eastAsia"/>
        <w:b/>
      </w:rPr>
      <w:t xml:space="preserve">         </w:t>
    </w:r>
    <w:r>
      <w:rPr>
        <w:rFonts w:hint="eastAsia"/>
        <w:b/>
        <w:lang w:val="en-US" w:eastAsia="zh-CN"/>
      </w:rPr>
      <w:t xml:space="preserve">JSZC-320506-DLHX-C2026-0009</w:t>
    </w:r>
    <w:r>
      <w:rPr>
        <w:rFonts w:hint="eastAsia" w:eastAsia="宋体"/>
        <w:b/>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69"/>
        <w:ind w:left="-60" w:firstLine="0"/>
      </w:pPr>
    </w:lvl>
    <w:lvl w:ilvl="1">
      <w:start w:val="1"/>
      <w:numFmt w:val="decimal"/>
      <w:isLgl w:val="false"/>
      <w:suff w:val="tab"/>
      <w:lvlText w:val="%2."/>
      <w:lvlJc w:val="left"/>
      <w:pPr>
        <w:pStyle w:val="869"/>
        <w:ind w:left="1380" w:hanging="360"/>
        <w:tabs>
          <w:tab w:val="num" w:pos="1440" w:leader="none"/>
        </w:tabs>
      </w:pPr>
    </w:lvl>
    <w:lvl w:ilvl="2">
      <w:start w:val="1"/>
      <w:numFmt w:val="decimal"/>
      <w:isLgl w:val="false"/>
      <w:suff w:val="tab"/>
      <w:lvlText w:val="%3."/>
      <w:lvlJc w:val="left"/>
      <w:pPr>
        <w:pStyle w:val="869"/>
        <w:ind w:left="2100" w:hanging="360"/>
        <w:tabs>
          <w:tab w:val="num" w:pos="2160" w:leader="none"/>
        </w:tabs>
      </w:pPr>
    </w:lvl>
    <w:lvl w:ilvl="3">
      <w:start w:val="1"/>
      <w:numFmt w:val="decimal"/>
      <w:isLgl w:val="false"/>
      <w:suff w:val="tab"/>
      <w:lvlText w:val="%4."/>
      <w:lvlJc w:val="left"/>
      <w:pPr>
        <w:pStyle w:val="869"/>
        <w:ind w:left="2820" w:hanging="360"/>
        <w:tabs>
          <w:tab w:val="num" w:pos="2880" w:leader="none"/>
        </w:tabs>
      </w:pPr>
    </w:lvl>
    <w:lvl w:ilvl="4">
      <w:start w:val="1"/>
      <w:numFmt w:val="decimal"/>
      <w:isLgl w:val="false"/>
      <w:suff w:val="tab"/>
      <w:lvlText w:val="%5."/>
      <w:lvlJc w:val="left"/>
      <w:pPr>
        <w:pStyle w:val="869"/>
        <w:ind w:left="3540" w:hanging="360"/>
        <w:tabs>
          <w:tab w:val="num" w:pos="3600" w:leader="none"/>
        </w:tabs>
      </w:pPr>
    </w:lvl>
    <w:lvl w:ilvl="5">
      <w:start w:val="1"/>
      <w:numFmt w:val="decimal"/>
      <w:isLgl w:val="false"/>
      <w:suff w:val="tab"/>
      <w:lvlText w:val="%6."/>
      <w:lvlJc w:val="left"/>
      <w:pPr>
        <w:pStyle w:val="869"/>
        <w:ind w:left="4260" w:hanging="360"/>
        <w:tabs>
          <w:tab w:val="num" w:pos="4320" w:leader="none"/>
        </w:tabs>
      </w:pPr>
    </w:lvl>
    <w:lvl w:ilvl="6">
      <w:start w:val="1"/>
      <w:numFmt w:val="decimal"/>
      <w:isLgl w:val="false"/>
      <w:suff w:val="tab"/>
      <w:lvlText w:val="%7."/>
      <w:lvlJc w:val="left"/>
      <w:pPr>
        <w:pStyle w:val="869"/>
        <w:ind w:left="4980" w:hanging="360"/>
        <w:tabs>
          <w:tab w:val="num" w:pos="5040" w:leader="none"/>
        </w:tabs>
      </w:pPr>
    </w:lvl>
    <w:lvl w:ilvl="7">
      <w:start w:val="1"/>
      <w:numFmt w:val="decimal"/>
      <w:isLgl w:val="false"/>
      <w:suff w:val="tab"/>
      <w:lvlText w:val="%8."/>
      <w:lvlJc w:val="left"/>
      <w:pPr>
        <w:pStyle w:val="869"/>
        <w:ind w:left="5700" w:hanging="360"/>
        <w:tabs>
          <w:tab w:val="num" w:pos="5760" w:leader="none"/>
        </w:tabs>
      </w:pPr>
    </w:lvl>
    <w:lvl w:ilvl="8">
      <w:start w:val="1"/>
      <w:numFmt w:val="decimal"/>
      <w:isLgl w:val="false"/>
      <w:suff w:val="tab"/>
      <w:lvlText w:val="%9."/>
      <w:lvlJc w:val="left"/>
      <w:pPr>
        <w:pStyle w:val="869"/>
        <w:ind w:left="6420" w:hanging="360"/>
        <w:tabs>
          <w:tab w:val="num" w:pos="6480" w:leader="none"/>
        </w:tabs>
      </w:pPr>
    </w:lvl>
  </w:abstractNum>
  <w:abstractNum w:abstractNumId="1">
    <w:multiLevelType w:val="hybridMultilevel"/>
    <w:lvl w:ilvl="0">
      <w:start w:val="1"/>
      <w:numFmt w:val="japaneseCounting"/>
      <w:isLgl w:val="false"/>
      <w:suff w:val="tab"/>
      <w:lvlText w:val="%1、"/>
      <w:lvlJc w:val="left"/>
      <w:pPr>
        <w:pStyle w:val="869"/>
        <w:ind w:left="720" w:hanging="720"/>
        <w:tabs>
          <w:tab w:val="num" w:pos="720" w:leader="none"/>
        </w:tabs>
      </w:pPr>
      <w:rPr>
        <w:rFonts w:hint="eastAsia"/>
      </w:rPr>
    </w:lvl>
    <w:lvl w:ilvl="1">
      <w:start w:val="1"/>
      <w:numFmt w:val="decimal"/>
      <w:isLgl w:val="false"/>
      <w:suff w:val="tab"/>
      <w:lvlText w:val="%2．"/>
      <w:lvlJc w:val="left"/>
      <w:pPr>
        <w:pStyle w:val="869"/>
        <w:ind w:left="1140" w:hanging="720"/>
        <w:tabs>
          <w:tab w:val="num" w:pos="1140" w:leader="none"/>
        </w:tabs>
      </w:pPr>
      <w:rPr>
        <w:rFonts w:hint="eastAsia"/>
      </w:rPr>
    </w:lvl>
    <w:lvl w:ilvl="2">
      <w:start w:val="5"/>
      <w:numFmt w:val="decimal"/>
      <w:isLgl w:val="false"/>
      <w:suff w:val="tab"/>
      <w:lvlText w:val="%3."/>
      <w:lvlJc w:val="left"/>
      <w:pPr>
        <w:pStyle w:val="869"/>
        <w:ind w:left="1200" w:hanging="360"/>
        <w:tabs>
          <w:tab w:val="num" w:pos="1200" w:leader="none"/>
        </w:tabs>
      </w:pPr>
    </w:lvl>
    <w:lvl w:ilvl="3">
      <w:start w:val="1"/>
      <w:numFmt w:val="decimal"/>
      <w:isLgl w:val="false"/>
      <w:suff w:val="tab"/>
      <w:lvlText w:val="%4."/>
      <w:lvlJc w:val="left"/>
      <w:pPr>
        <w:pStyle w:val="869"/>
        <w:ind w:left="1680" w:hanging="420"/>
        <w:tabs>
          <w:tab w:val="num" w:pos="1680" w:leader="none"/>
        </w:tabs>
      </w:pPr>
    </w:lvl>
    <w:lvl w:ilvl="4">
      <w:start w:val="1"/>
      <w:numFmt w:val="lowerLetter"/>
      <w:isLgl w:val="false"/>
      <w:suff w:val="tab"/>
      <w:lvlText w:val="%5)"/>
      <w:lvlJc w:val="left"/>
      <w:pPr>
        <w:pStyle w:val="869"/>
        <w:ind w:left="2100" w:hanging="420"/>
        <w:tabs>
          <w:tab w:val="num" w:pos="2100" w:leader="none"/>
        </w:tabs>
      </w:pPr>
    </w:lvl>
    <w:lvl w:ilvl="5">
      <w:start w:val="1"/>
      <w:numFmt w:val="lowerRoman"/>
      <w:isLgl w:val="false"/>
      <w:suff w:val="tab"/>
      <w:lvlText w:val="%6."/>
      <w:lvlJc w:val="right"/>
      <w:pPr>
        <w:pStyle w:val="869"/>
        <w:ind w:left="2520" w:hanging="420"/>
        <w:tabs>
          <w:tab w:val="num" w:pos="2520" w:leader="none"/>
        </w:tabs>
      </w:pPr>
    </w:lvl>
    <w:lvl w:ilvl="6">
      <w:start w:val="1"/>
      <w:numFmt w:val="decimal"/>
      <w:isLgl w:val="false"/>
      <w:suff w:val="tab"/>
      <w:lvlText w:val="%7."/>
      <w:lvlJc w:val="left"/>
      <w:pPr>
        <w:pStyle w:val="869"/>
        <w:ind w:left="2940" w:hanging="420"/>
        <w:tabs>
          <w:tab w:val="num" w:pos="2940" w:leader="none"/>
        </w:tabs>
      </w:pPr>
    </w:lvl>
    <w:lvl w:ilvl="7">
      <w:start w:val="1"/>
      <w:numFmt w:val="lowerLetter"/>
      <w:isLgl w:val="false"/>
      <w:suff w:val="tab"/>
      <w:lvlText w:val="%8)"/>
      <w:lvlJc w:val="left"/>
      <w:pPr>
        <w:pStyle w:val="869"/>
        <w:ind w:left="3360" w:hanging="420"/>
        <w:tabs>
          <w:tab w:val="num" w:pos="3360" w:leader="none"/>
        </w:tabs>
      </w:pPr>
    </w:lvl>
    <w:lvl w:ilvl="8">
      <w:start w:val="1"/>
      <w:numFmt w:val="lowerRoman"/>
      <w:isLgl w:val="false"/>
      <w:suff w:val="tab"/>
      <w:lvlText w:val="%9."/>
      <w:lvlJc w:val="right"/>
      <w:pPr>
        <w:pStyle w:val="869"/>
        <w:ind w:left="3780" w:hanging="420"/>
        <w:tabs>
          <w:tab w:val="num" w:pos="3780" w:leader="none"/>
        </w:tabs>
      </w:pPr>
    </w:lvl>
  </w:abstractNum>
  <w:abstractNum w:abstractNumId="2">
    <w:multiLevelType w:val="hybridMultilevel"/>
    <w:lvl w:ilvl="0">
      <w:start w:val="1"/>
      <w:numFmt w:val="bullet"/>
      <w:pStyle w:val="926"/>
      <w:isLgl w:val="false"/>
      <w:suff w:val="tab"/>
      <w:lvlText w:val=""/>
      <w:lvlJc w:val="left"/>
      <w:pPr>
        <w:pStyle w:val="869"/>
        <w:ind w:left="840" w:hanging="420"/>
        <w:tabs>
          <w:tab w:val="num" w:pos="840" w:leader="none"/>
        </w:tabs>
      </w:pPr>
      <w:rPr>
        <w:rFonts w:ascii="Wingdings" w:hAnsi="Wingdings"/>
      </w:rPr>
    </w:lvl>
    <w:lvl w:ilvl="1">
      <w:start w:val="1"/>
      <w:numFmt w:val="bullet"/>
      <w:isLgl w:val="false"/>
      <w:suff w:val="tab"/>
      <w:lvlText w:val=""/>
      <w:lvlJc w:val="left"/>
      <w:pPr>
        <w:pStyle w:val="869"/>
        <w:ind w:left="1260" w:hanging="420"/>
        <w:tabs>
          <w:tab w:val="num" w:pos="1260" w:leader="none"/>
        </w:tabs>
      </w:pPr>
      <w:rPr>
        <w:rFonts w:ascii="Wingdings" w:hAnsi="Wingdings"/>
      </w:rPr>
    </w:lvl>
    <w:lvl w:ilvl="2">
      <w:start w:val="1"/>
      <w:numFmt w:val="bullet"/>
      <w:isLgl w:val="false"/>
      <w:suff w:val="tab"/>
      <w:lvlText w:val=""/>
      <w:lvlJc w:val="left"/>
      <w:pPr>
        <w:pStyle w:val="869"/>
        <w:ind w:left="1680" w:hanging="420"/>
        <w:tabs>
          <w:tab w:val="num" w:pos="1680" w:leader="none"/>
        </w:tabs>
      </w:pPr>
      <w:rPr>
        <w:rFonts w:ascii="Wingdings" w:hAnsi="Wingdings"/>
      </w:rPr>
    </w:lvl>
    <w:lvl w:ilvl="3">
      <w:start w:val="1"/>
      <w:numFmt w:val="bullet"/>
      <w:isLgl w:val="false"/>
      <w:suff w:val="tab"/>
      <w:lvlText w:val=""/>
      <w:lvlJc w:val="left"/>
      <w:pPr>
        <w:pStyle w:val="869"/>
        <w:ind w:left="2100" w:hanging="420"/>
        <w:tabs>
          <w:tab w:val="num" w:pos="2100" w:leader="none"/>
        </w:tabs>
      </w:pPr>
      <w:rPr>
        <w:rFonts w:ascii="Wingdings" w:hAnsi="Wingdings"/>
      </w:rPr>
    </w:lvl>
    <w:lvl w:ilvl="4">
      <w:start w:val="1"/>
      <w:numFmt w:val="bullet"/>
      <w:isLgl w:val="false"/>
      <w:suff w:val="tab"/>
      <w:lvlText w:val=""/>
      <w:lvlJc w:val="left"/>
      <w:pPr>
        <w:pStyle w:val="869"/>
        <w:ind w:left="2520" w:hanging="420"/>
        <w:tabs>
          <w:tab w:val="num" w:pos="2520" w:leader="none"/>
        </w:tabs>
      </w:pPr>
      <w:rPr>
        <w:rFonts w:ascii="Wingdings" w:hAnsi="Wingdings"/>
      </w:rPr>
    </w:lvl>
    <w:lvl w:ilvl="5">
      <w:start w:val="1"/>
      <w:numFmt w:val="bullet"/>
      <w:isLgl w:val="false"/>
      <w:suff w:val="tab"/>
      <w:lvlText w:val=""/>
      <w:lvlJc w:val="left"/>
      <w:pPr>
        <w:pStyle w:val="869"/>
        <w:ind w:left="2940" w:hanging="420"/>
        <w:tabs>
          <w:tab w:val="num" w:pos="2940" w:leader="none"/>
        </w:tabs>
      </w:pPr>
      <w:rPr>
        <w:rFonts w:ascii="Wingdings" w:hAnsi="Wingdings"/>
      </w:rPr>
    </w:lvl>
    <w:lvl w:ilvl="6">
      <w:start w:val="1"/>
      <w:numFmt w:val="bullet"/>
      <w:isLgl w:val="false"/>
      <w:suff w:val="tab"/>
      <w:lvlText w:val=""/>
      <w:lvlJc w:val="left"/>
      <w:pPr>
        <w:pStyle w:val="869"/>
        <w:ind w:left="3360" w:hanging="420"/>
        <w:tabs>
          <w:tab w:val="num" w:pos="3360" w:leader="none"/>
        </w:tabs>
      </w:pPr>
      <w:rPr>
        <w:rFonts w:ascii="Wingdings" w:hAnsi="Wingdings"/>
      </w:rPr>
    </w:lvl>
    <w:lvl w:ilvl="7">
      <w:start w:val="1"/>
      <w:numFmt w:val="bullet"/>
      <w:isLgl w:val="false"/>
      <w:suff w:val="tab"/>
      <w:lvlText w:val=""/>
      <w:lvlJc w:val="left"/>
      <w:pPr>
        <w:pStyle w:val="869"/>
        <w:ind w:left="3780" w:hanging="420"/>
        <w:tabs>
          <w:tab w:val="num" w:pos="3780" w:leader="none"/>
        </w:tabs>
      </w:pPr>
      <w:rPr>
        <w:rFonts w:ascii="Wingdings" w:hAnsi="Wingdings"/>
      </w:rPr>
    </w:lvl>
    <w:lvl w:ilvl="8">
      <w:start w:val="1"/>
      <w:numFmt w:val="bullet"/>
      <w:isLgl w:val="false"/>
      <w:suff w:val="tab"/>
      <w:lvlText w:val=""/>
      <w:lvlJc w:val="left"/>
      <w:pPr>
        <w:pStyle w:val="869"/>
        <w:ind w:left="4200" w:hanging="420"/>
        <w:tabs>
          <w:tab w:val="num" w:pos="4200"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720" w:hanging="720"/>
      </w:pPr>
      <w:rPr>
        <w:rFonts w:ascii="SimSun" w:hAnsi="SimSun" w:eastAsia="SimSun" w:cs="SimSun"/>
      </w:rPr>
    </w:lvl>
    <w:lvl w:ilvl="1">
      <w:start w:val="1"/>
      <w:numFmt w:val="decimal"/>
      <w:isLgl w:val="false"/>
      <w:suff w:val="tab"/>
      <w:lvlText w:val="%2．"/>
      <w:lvlJc w:val="left"/>
      <w:pPr>
        <w:ind w:left="1140" w:hanging="720"/>
      </w:pPr>
      <w:rPr>
        <w:rFonts w:ascii="SimSun" w:hAnsi="SimSun" w:eastAsia="SimSun" w:cs="SimSun"/>
      </w:rPr>
    </w:lvl>
    <w:lvl w:ilvl="2">
      <w:start w:val="5"/>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60" w:firstLine="0"/>
      </w:pPr>
    </w:lvl>
    <w:lvl w:ilvl="1">
      <w:start w:val="1"/>
      <w:numFmt w:val="decimal"/>
      <w:isLgl w:val="false"/>
      <w:suff w:val="tab"/>
      <w:lvlText w:val="%2."/>
      <w:lvlJc w:val="left"/>
      <w:pPr>
        <w:ind w:left="1380" w:hanging="360"/>
      </w:pPr>
    </w:lvl>
    <w:lvl w:ilvl="2">
      <w:start w:val="1"/>
      <w:numFmt w:val="decimal"/>
      <w:isLgl w:val="false"/>
      <w:suff w:val="tab"/>
      <w:lvlText w:val="%3."/>
      <w:lvlJc w:val="left"/>
      <w:pPr>
        <w:ind w:left="2100" w:hanging="360"/>
      </w:pPr>
    </w:lvl>
    <w:lvl w:ilvl="3">
      <w:start w:val="1"/>
      <w:numFmt w:val="decimal"/>
      <w:isLgl w:val="false"/>
      <w:suff w:val="tab"/>
      <w:lvlText w:val="%4."/>
      <w:lvlJc w:val="left"/>
      <w:pPr>
        <w:ind w:left="2820" w:hanging="360"/>
      </w:pPr>
    </w:lvl>
    <w:lvl w:ilvl="4">
      <w:start w:val="1"/>
      <w:numFmt w:val="decimal"/>
      <w:isLgl w:val="false"/>
      <w:suff w:val="tab"/>
      <w:lvlText w:val="%5."/>
      <w:lvlJc w:val="left"/>
      <w:pPr>
        <w:ind w:left="3540" w:hanging="360"/>
      </w:pPr>
    </w:lvl>
    <w:lvl w:ilvl="5">
      <w:start w:val="1"/>
      <w:numFmt w:val="decimal"/>
      <w:isLgl w:val="false"/>
      <w:suff w:val="tab"/>
      <w:lvlText w:val="%6."/>
      <w:lvlJc w:val="left"/>
      <w:pPr>
        <w:ind w:left="4260" w:hanging="360"/>
      </w:pPr>
    </w:lvl>
    <w:lvl w:ilvl="6">
      <w:start w:val="1"/>
      <w:numFmt w:val="decimal"/>
      <w:isLgl w:val="false"/>
      <w:suff w:val="tab"/>
      <w:lvlText w:val="%7."/>
      <w:lvlJc w:val="left"/>
      <w:pPr>
        <w:ind w:left="4980" w:hanging="360"/>
      </w:pPr>
    </w:lvl>
    <w:lvl w:ilvl="7">
      <w:start w:val="1"/>
      <w:numFmt w:val="decimal"/>
      <w:isLgl w:val="false"/>
      <w:suff w:val="tab"/>
      <w:lvlText w:val="%8."/>
      <w:lvlJc w:val="left"/>
      <w:pPr>
        <w:ind w:left="5700" w:hanging="360"/>
      </w:pPr>
    </w:lvl>
    <w:lvl w:ilvl="8">
      <w:start w:val="1"/>
      <w:numFmt w:val="decimal"/>
      <w:isLgl w:val="false"/>
      <w:suff w:val="tab"/>
      <w:lvlText w:val="%9."/>
      <w:lvlJc w:val="left"/>
      <w:pPr>
        <w:ind w:left="6420" w:hanging="360"/>
      </w:pPr>
    </w:lvl>
  </w:abstractNum>
  <w:abstractNum w:abstractNumId="5">
    <w:multiLevelType w:val="hybridMultilevel"/>
    <w:lvl w:ilvl="0">
      <w:start w:val="1"/>
      <w:numFmt w:val="decimal"/>
      <w:isLgl w:val="false"/>
      <w:suff w:val="tab"/>
      <w:lvlText w:val="%1、"/>
      <w:lvlJc w:val="left"/>
      <w:pPr>
        <w:ind w:left="720" w:hanging="720"/>
      </w:pPr>
      <w:rPr>
        <w:rFonts w:ascii="SimSun" w:hAnsi="SimSun" w:eastAsia="SimSun" w:cs="SimSun"/>
      </w:rPr>
    </w:lvl>
    <w:lvl w:ilvl="1">
      <w:start w:val="1"/>
      <w:numFmt w:val="decimal"/>
      <w:isLgl w:val="false"/>
      <w:suff w:val="tab"/>
      <w:lvlText w:val="%2．"/>
      <w:lvlJc w:val="left"/>
      <w:pPr>
        <w:ind w:left="1140" w:hanging="720"/>
      </w:pPr>
      <w:rPr>
        <w:rFonts w:ascii="SimSun" w:hAnsi="SimSun" w:eastAsia="SimSun" w:cs="SimSun"/>
      </w:rPr>
    </w:lvl>
    <w:lvl w:ilvl="2">
      <w:start w:val="5"/>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60" w:firstLine="0"/>
      </w:pPr>
    </w:lvl>
    <w:lvl w:ilvl="1">
      <w:start w:val="1"/>
      <w:numFmt w:val="decimal"/>
      <w:isLgl w:val="false"/>
      <w:suff w:val="tab"/>
      <w:lvlText w:val="%2."/>
      <w:lvlJc w:val="left"/>
      <w:pPr>
        <w:ind w:left="1380" w:hanging="360"/>
      </w:pPr>
    </w:lvl>
    <w:lvl w:ilvl="2">
      <w:start w:val="1"/>
      <w:numFmt w:val="decimal"/>
      <w:isLgl w:val="false"/>
      <w:suff w:val="tab"/>
      <w:lvlText w:val="%3."/>
      <w:lvlJc w:val="left"/>
      <w:pPr>
        <w:ind w:left="2100" w:hanging="360"/>
      </w:pPr>
    </w:lvl>
    <w:lvl w:ilvl="3">
      <w:start w:val="1"/>
      <w:numFmt w:val="decimal"/>
      <w:isLgl w:val="false"/>
      <w:suff w:val="tab"/>
      <w:lvlText w:val="%4."/>
      <w:lvlJc w:val="left"/>
      <w:pPr>
        <w:ind w:left="2820" w:hanging="360"/>
      </w:pPr>
    </w:lvl>
    <w:lvl w:ilvl="4">
      <w:start w:val="1"/>
      <w:numFmt w:val="decimal"/>
      <w:isLgl w:val="false"/>
      <w:suff w:val="tab"/>
      <w:lvlText w:val="%5."/>
      <w:lvlJc w:val="left"/>
      <w:pPr>
        <w:ind w:left="3540" w:hanging="360"/>
      </w:pPr>
    </w:lvl>
    <w:lvl w:ilvl="5">
      <w:start w:val="1"/>
      <w:numFmt w:val="decimal"/>
      <w:isLgl w:val="false"/>
      <w:suff w:val="tab"/>
      <w:lvlText w:val="%6."/>
      <w:lvlJc w:val="left"/>
      <w:pPr>
        <w:ind w:left="4260" w:hanging="360"/>
      </w:pPr>
    </w:lvl>
    <w:lvl w:ilvl="6">
      <w:start w:val="1"/>
      <w:numFmt w:val="decimal"/>
      <w:isLgl w:val="false"/>
      <w:suff w:val="tab"/>
      <w:lvlText w:val="%7."/>
      <w:lvlJc w:val="left"/>
      <w:pPr>
        <w:ind w:left="4980" w:hanging="360"/>
      </w:pPr>
    </w:lvl>
    <w:lvl w:ilvl="7">
      <w:start w:val="1"/>
      <w:numFmt w:val="decimal"/>
      <w:isLgl w:val="false"/>
      <w:suff w:val="tab"/>
      <w:lvlText w:val="%8."/>
      <w:lvlJc w:val="left"/>
      <w:pPr>
        <w:ind w:left="5700" w:hanging="360"/>
      </w:pPr>
    </w:lvl>
    <w:lvl w:ilvl="8">
      <w:start w:val="1"/>
      <w:numFmt w:val="decimal"/>
      <w:isLgl w:val="false"/>
      <w:suff w:val="tab"/>
      <w:lvlText w:val="%9."/>
      <w:lvlJc w:val="left"/>
      <w:pPr>
        <w:ind w:left="6420" w:hanging="360"/>
      </w:pPr>
    </w:lvl>
  </w:abstractNum>
  <w:abstractNum w:abstractNumId="7">
    <w:multiLevelType w:val="hybridMultilevel"/>
    <w:lvl w:ilvl="0">
      <w:start w:val="1"/>
      <w:numFmt w:val="decimal"/>
      <w:isLgl w:val="false"/>
      <w:suff w:val="tab"/>
      <w:lvlText w:val="%1、"/>
      <w:lvlJc w:val="left"/>
      <w:pPr>
        <w:ind w:left="720" w:hanging="720"/>
      </w:pPr>
      <w:rPr>
        <w:rFonts w:ascii="SimSun" w:hAnsi="SimSun" w:eastAsia="SimSun" w:cs="SimSun"/>
      </w:rPr>
    </w:lvl>
    <w:lvl w:ilvl="1">
      <w:start w:val="1"/>
      <w:numFmt w:val="decimal"/>
      <w:isLgl w:val="false"/>
      <w:suff w:val="tab"/>
      <w:lvlText w:val="%2．"/>
      <w:lvlJc w:val="left"/>
      <w:pPr>
        <w:ind w:left="1140" w:hanging="720"/>
      </w:pPr>
      <w:rPr>
        <w:rFonts w:ascii="SimSun" w:hAnsi="SimSun" w:eastAsia="SimSun" w:cs="SimSun"/>
      </w:rPr>
    </w:lvl>
    <w:lvl w:ilvl="2">
      <w:start w:val="5"/>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60" w:firstLine="0"/>
      </w:pPr>
    </w:lvl>
    <w:lvl w:ilvl="1">
      <w:start w:val="1"/>
      <w:numFmt w:val="decimal"/>
      <w:isLgl w:val="false"/>
      <w:suff w:val="tab"/>
      <w:lvlText w:val="%2."/>
      <w:lvlJc w:val="left"/>
      <w:pPr>
        <w:ind w:left="1380" w:hanging="360"/>
      </w:pPr>
    </w:lvl>
    <w:lvl w:ilvl="2">
      <w:start w:val="1"/>
      <w:numFmt w:val="decimal"/>
      <w:isLgl w:val="false"/>
      <w:suff w:val="tab"/>
      <w:lvlText w:val="%3."/>
      <w:lvlJc w:val="left"/>
      <w:pPr>
        <w:ind w:left="2100" w:hanging="360"/>
      </w:pPr>
    </w:lvl>
    <w:lvl w:ilvl="3">
      <w:start w:val="1"/>
      <w:numFmt w:val="decimal"/>
      <w:isLgl w:val="false"/>
      <w:suff w:val="tab"/>
      <w:lvlText w:val="%4."/>
      <w:lvlJc w:val="left"/>
      <w:pPr>
        <w:ind w:left="2820" w:hanging="360"/>
      </w:pPr>
    </w:lvl>
    <w:lvl w:ilvl="4">
      <w:start w:val="1"/>
      <w:numFmt w:val="decimal"/>
      <w:isLgl w:val="false"/>
      <w:suff w:val="tab"/>
      <w:lvlText w:val="%5."/>
      <w:lvlJc w:val="left"/>
      <w:pPr>
        <w:ind w:left="3540" w:hanging="360"/>
      </w:pPr>
    </w:lvl>
    <w:lvl w:ilvl="5">
      <w:start w:val="1"/>
      <w:numFmt w:val="decimal"/>
      <w:isLgl w:val="false"/>
      <w:suff w:val="tab"/>
      <w:lvlText w:val="%6."/>
      <w:lvlJc w:val="left"/>
      <w:pPr>
        <w:ind w:left="4260" w:hanging="360"/>
      </w:pPr>
    </w:lvl>
    <w:lvl w:ilvl="6">
      <w:start w:val="1"/>
      <w:numFmt w:val="decimal"/>
      <w:isLgl w:val="false"/>
      <w:suff w:val="tab"/>
      <w:lvlText w:val="%7."/>
      <w:lvlJc w:val="left"/>
      <w:pPr>
        <w:ind w:left="4980" w:hanging="360"/>
      </w:pPr>
    </w:lvl>
    <w:lvl w:ilvl="7">
      <w:start w:val="1"/>
      <w:numFmt w:val="decimal"/>
      <w:isLgl w:val="false"/>
      <w:suff w:val="tab"/>
      <w:lvlText w:val="%8."/>
      <w:lvlJc w:val="left"/>
      <w:pPr>
        <w:ind w:left="5700" w:hanging="360"/>
      </w:pPr>
    </w:lvl>
    <w:lvl w:ilvl="8">
      <w:start w:val="1"/>
      <w:numFmt w:val="decimal"/>
      <w:isLgl w:val="false"/>
      <w:suff w:val="tab"/>
      <w:lvlText w:val="%9."/>
      <w:lvlJc w:val="left"/>
      <w:pPr>
        <w:ind w:left="6420" w:hanging="360"/>
      </w:pPr>
    </w:lvl>
  </w:abstractNum>
  <w:abstractNum w:abstractNumId="9">
    <w:multiLevelType w:val="hybridMultilevel"/>
    <w:lvl w:ilvl="0">
      <w:start w:val="1"/>
      <w:numFmt w:val="decimal"/>
      <w:isLgl w:val="false"/>
      <w:suff w:val="tab"/>
      <w:lvlText w:val="%1、"/>
      <w:lvlJc w:val="left"/>
      <w:pPr>
        <w:ind w:left="720" w:hanging="720"/>
      </w:pPr>
      <w:rPr>
        <w:rFonts w:ascii="SimSun" w:hAnsi="SimSun" w:eastAsia="SimSun" w:cs="SimSun"/>
      </w:rPr>
    </w:lvl>
    <w:lvl w:ilvl="1">
      <w:start w:val="1"/>
      <w:numFmt w:val="decimal"/>
      <w:isLgl w:val="false"/>
      <w:suff w:val="tab"/>
      <w:lvlText w:val="%2．"/>
      <w:lvlJc w:val="left"/>
      <w:pPr>
        <w:ind w:left="1140" w:hanging="720"/>
      </w:pPr>
      <w:rPr>
        <w:rFonts w:ascii="SimSun" w:hAnsi="SimSun" w:eastAsia="SimSun" w:cs="SimSun"/>
      </w:rPr>
    </w:lvl>
    <w:lvl w:ilvl="2">
      <w:start w:val="5"/>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60" w:firstLine="0"/>
      </w:pPr>
    </w:lvl>
    <w:lvl w:ilvl="1">
      <w:start w:val="1"/>
      <w:numFmt w:val="decimal"/>
      <w:isLgl w:val="false"/>
      <w:suff w:val="tab"/>
      <w:lvlText w:val="%2."/>
      <w:lvlJc w:val="left"/>
      <w:pPr>
        <w:ind w:left="1380" w:hanging="360"/>
      </w:pPr>
    </w:lvl>
    <w:lvl w:ilvl="2">
      <w:start w:val="1"/>
      <w:numFmt w:val="decimal"/>
      <w:isLgl w:val="false"/>
      <w:suff w:val="tab"/>
      <w:lvlText w:val="%3."/>
      <w:lvlJc w:val="left"/>
      <w:pPr>
        <w:ind w:left="2100" w:hanging="360"/>
      </w:pPr>
    </w:lvl>
    <w:lvl w:ilvl="3">
      <w:start w:val="1"/>
      <w:numFmt w:val="decimal"/>
      <w:isLgl w:val="false"/>
      <w:suff w:val="tab"/>
      <w:lvlText w:val="%4."/>
      <w:lvlJc w:val="left"/>
      <w:pPr>
        <w:ind w:left="2820" w:hanging="360"/>
      </w:pPr>
    </w:lvl>
    <w:lvl w:ilvl="4">
      <w:start w:val="1"/>
      <w:numFmt w:val="decimal"/>
      <w:isLgl w:val="false"/>
      <w:suff w:val="tab"/>
      <w:lvlText w:val="%5."/>
      <w:lvlJc w:val="left"/>
      <w:pPr>
        <w:ind w:left="3540" w:hanging="360"/>
      </w:pPr>
    </w:lvl>
    <w:lvl w:ilvl="5">
      <w:start w:val="1"/>
      <w:numFmt w:val="decimal"/>
      <w:isLgl w:val="false"/>
      <w:suff w:val="tab"/>
      <w:lvlText w:val="%6."/>
      <w:lvlJc w:val="left"/>
      <w:pPr>
        <w:ind w:left="4260" w:hanging="360"/>
      </w:pPr>
    </w:lvl>
    <w:lvl w:ilvl="6">
      <w:start w:val="1"/>
      <w:numFmt w:val="decimal"/>
      <w:isLgl w:val="false"/>
      <w:suff w:val="tab"/>
      <w:lvlText w:val="%7."/>
      <w:lvlJc w:val="left"/>
      <w:pPr>
        <w:ind w:left="4980" w:hanging="360"/>
      </w:pPr>
    </w:lvl>
    <w:lvl w:ilvl="7">
      <w:start w:val="1"/>
      <w:numFmt w:val="decimal"/>
      <w:isLgl w:val="false"/>
      <w:suff w:val="tab"/>
      <w:lvlText w:val="%8."/>
      <w:lvlJc w:val="left"/>
      <w:pPr>
        <w:ind w:left="5700" w:hanging="360"/>
      </w:pPr>
    </w:lvl>
    <w:lvl w:ilvl="8">
      <w:start w:val="1"/>
      <w:numFmt w:val="decimal"/>
      <w:isLgl w:val="false"/>
      <w:suff w:val="tab"/>
      <w:lvlText w:val="%9."/>
      <w:lvlJc w:val="left"/>
      <w:pPr>
        <w:ind w:left="6420" w:hanging="360"/>
      </w:pPr>
    </w:lvl>
  </w:abstractNum>
  <w:abstractNum w:abstractNumId="11">
    <w:multiLevelType w:val="hybridMultilevel"/>
    <w:lvl w:ilvl="0">
      <w:start w:val="1"/>
      <w:numFmt w:val="decimal"/>
      <w:isLgl w:val="false"/>
      <w:suff w:val="tab"/>
      <w:lvlText w:val="%1、"/>
      <w:lvlJc w:val="left"/>
      <w:pPr>
        <w:ind w:left="720" w:hanging="720"/>
      </w:pPr>
      <w:rPr>
        <w:rFonts w:ascii="SimSun" w:hAnsi="SimSun" w:eastAsia="SimSun" w:cs="SimSun"/>
      </w:rPr>
    </w:lvl>
    <w:lvl w:ilvl="1">
      <w:start w:val="1"/>
      <w:numFmt w:val="decimal"/>
      <w:isLgl w:val="false"/>
      <w:suff w:val="tab"/>
      <w:lvlText w:val="%2．"/>
      <w:lvlJc w:val="left"/>
      <w:pPr>
        <w:ind w:left="1140" w:hanging="720"/>
      </w:pPr>
      <w:rPr>
        <w:rFonts w:ascii="SimSun" w:hAnsi="SimSun" w:eastAsia="SimSun" w:cs="SimSun"/>
      </w:rPr>
    </w:lvl>
    <w:lvl w:ilvl="2">
      <w:start w:val="5"/>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60" w:firstLine="0"/>
      </w:pPr>
    </w:lvl>
    <w:lvl w:ilvl="1">
      <w:start w:val="1"/>
      <w:numFmt w:val="decimal"/>
      <w:isLgl w:val="false"/>
      <w:suff w:val="tab"/>
      <w:lvlText w:val="%2."/>
      <w:lvlJc w:val="left"/>
      <w:pPr>
        <w:ind w:left="1380" w:hanging="360"/>
      </w:pPr>
    </w:lvl>
    <w:lvl w:ilvl="2">
      <w:start w:val="1"/>
      <w:numFmt w:val="decimal"/>
      <w:isLgl w:val="false"/>
      <w:suff w:val="tab"/>
      <w:lvlText w:val="%3."/>
      <w:lvlJc w:val="left"/>
      <w:pPr>
        <w:ind w:left="2100" w:hanging="360"/>
      </w:pPr>
    </w:lvl>
    <w:lvl w:ilvl="3">
      <w:start w:val="1"/>
      <w:numFmt w:val="decimal"/>
      <w:isLgl w:val="false"/>
      <w:suff w:val="tab"/>
      <w:lvlText w:val="%4."/>
      <w:lvlJc w:val="left"/>
      <w:pPr>
        <w:ind w:left="2820" w:hanging="360"/>
      </w:pPr>
    </w:lvl>
    <w:lvl w:ilvl="4">
      <w:start w:val="1"/>
      <w:numFmt w:val="decimal"/>
      <w:isLgl w:val="false"/>
      <w:suff w:val="tab"/>
      <w:lvlText w:val="%5."/>
      <w:lvlJc w:val="left"/>
      <w:pPr>
        <w:ind w:left="3540" w:hanging="360"/>
      </w:pPr>
    </w:lvl>
    <w:lvl w:ilvl="5">
      <w:start w:val="1"/>
      <w:numFmt w:val="decimal"/>
      <w:isLgl w:val="false"/>
      <w:suff w:val="tab"/>
      <w:lvlText w:val="%6."/>
      <w:lvlJc w:val="left"/>
      <w:pPr>
        <w:ind w:left="4260" w:hanging="360"/>
      </w:pPr>
    </w:lvl>
    <w:lvl w:ilvl="6">
      <w:start w:val="1"/>
      <w:numFmt w:val="decimal"/>
      <w:isLgl w:val="false"/>
      <w:suff w:val="tab"/>
      <w:lvlText w:val="%7."/>
      <w:lvlJc w:val="left"/>
      <w:pPr>
        <w:ind w:left="4980" w:hanging="360"/>
      </w:pPr>
    </w:lvl>
    <w:lvl w:ilvl="7">
      <w:start w:val="1"/>
      <w:numFmt w:val="decimal"/>
      <w:isLgl w:val="false"/>
      <w:suff w:val="tab"/>
      <w:lvlText w:val="%8."/>
      <w:lvlJc w:val="left"/>
      <w:pPr>
        <w:ind w:left="5700" w:hanging="360"/>
      </w:pPr>
    </w:lvl>
    <w:lvl w:ilvl="8">
      <w:start w:val="1"/>
      <w:numFmt w:val="decimal"/>
      <w:isLgl w:val="false"/>
      <w:suff w:val="tab"/>
      <w:lvlText w:val="%9."/>
      <w:lvlJc w:val="left"/>
      <w:pPr>
        <w:ind w:left="6420" w:hanging="360"/>
      </w:pPr>
    </w:lvl>
  </w:abstractNum>
  <w:abstractNum w:abstractNumId="13">
    <w:multiLevelType w:val="hybridMultilevel"/>
    <w:lvl w:ilvl="0">
      <w:start w:val="1"/>
      <w:numFmt w:val="decimal"/>
      <w:isLgl w:val="false"/>
      <w:suff w:val="tab"/>
      <w:lvlText w:val="%1、"/>
      <w:lvlJc w:val="left"/>
      <w:pPr>
        <w:ind w:left="720" w:hanging="720"/>
      </w:pPr>
      <w:rPr>
        <w:rFonts w:ascii="SimSun" w:hAnsi="SimSun" w:eastAsia="SimSun" w:cs="SimSun"/>
      </w:rPr>
    </w:lvl>
    <w:lvl w:ilvl="1">
      <w:start w:val="1"/>
      <w:numFmt w:val="decimal"/>
      <w:isLgl w:val="false"/>
      <w:suff w:val="tab"/>
      <w:lvlText w:val="%2．"/>
      <w:lvlJc w:val="left"/>
      <w:pPr>
        <w:ind w:left="1140" w:hanging="720"/>
      </w:pPr>
      <w:rPr>
        <w:rFonts w:ascii="SimSun" w:hAnsi="SimSun" w:eastAsia="SimSun" w:cs="SimSun"/>
      </w:rPr>
    </w:lvl>
    <w:lvl w:ilvl="2">
      <w:start w:val="5"/>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60" w:firstLine="0"/>
      </w:pPr>
    </w:lvl>
    <w:lvl w:ilvl="1">
      <w:start w:val="1"/>
      <w:numFmt w:val="decimal"/>
      <w:isLgl w:val="false"/>
      <w:suff w:val="tab"/>
      <w:lvlText w:val="%2."/>
      <w:lvlJc w:val="left"/>
      <w:pPr>
        <w:ind w:left="1380" w:hanging="360"/>
      </w:pPr>
    </w:lvl>
    <w:lvl w:ilvl="2">
      <w:start w:val="1"/>
      <w:numFmt w:val="decimal"/>
      <w:isLgl w:val="false"/>
      <w:suff w:val="tab"/>
      <w:lvlText w:val="%3."/>
      <w:lvlJc w:val="left"/>
      <w:pPr>
        <w:ind w:left="2100" w:hanging="360"/>
      </w:pPr>
    </w:lvl>
    <w:lvl w:ilvl="3">
      <w:start w:val="1"/>
      <w:numFmt w:val="decimal"/>
      <w:isLgl w:val="false"/>
      <w:suff w:val="tab"/>
      <w:lvlText w:val="%4."/>
      <w:lvlJc w:val="left"/>
      <w:pPr>
        <w:ind w:left="2820" w:hanging="360"/>
      </w:pPr>
    </w:lvl>
    <w:lvl w:ilvl="4">
      <w:start w:val="1"/>
      <w:numFmt w:val="decimal"/>
      <w:isLgl w:val="false"/>
      <w:suff w:val="tab"/>
      <w:lvlText w:val="%5."/>
      <w:lvlJc w:val="left"/>
      <w:pPr>
        <w:ind w:left="3540" w:hanging="360"/>
      </w:pPr>
    </w:lvl>
    <w:lvl w:ilvl="5">
      <w:start w:val="1"/>
      <w:numFmt w:val="decimal"/>
      <w:isLgl w:val="false"/>
      <w:suff w:val="tab"/>
      <w:lvlText w:val="%6."/>
      <w:lvlJc w:val="left"/>
      <w:pPr>
        <w:ind w:left="4260" w:hanging="360"/>
      </w:pPr>
    </w:lvl>
    <w:lvl w:ilvl="6">
      <w:start w:val="1"/>
      <w:numFmt w:val="decimal"/>
      <w:isLgl w:val="false"/>
      <w:suff w:val="tab"/>
      <w:lvlText w:val="%7."/>
      <w:lvlJc w:val="left"/>
      <w:pPr>
        <w:ind w:left="4980" w:hanging="360"/>
      </w:pPr>
    </w:lvl>
    <w:lvl w:ilvl="7">
      <w:start w:val="1"/>
      <w:numFmt w:val="decimal"/>
      <w:isLgl w:val="false"/>
      <w:suff w:val="tab"/>
      <w:lvlText w:val="%8."/>
      <w:lvlJc w:val="left"/>
      <w:pPr>
        <w:ind w:left="5700" w:hanging="360"/>
      </w:pPr>
    </w:lvl>
    <w:lvl w:ilvl="8">
      <w:start w:val="1"/>
      <w:numFmt w:val="decimal"/>
      <w:isLgl w:val="false"/>
      <w:suff w:val="tab"/>
      <w:lvlText w:val="%9."/>
      <w:lvlJc w:val="left"/>
      <w:pPr>
        <w:ind w:left="6420" w:hanging="360"/>
      </w:pPr>
    </w:lvl>
  </w:abstractNum>
  <w:num w:numId="1">
    <w:abstractNumId w:val="2"/>
  </w:num>
  <w:num w:numId="2">
    <w:abstractNumId w:val="1"/>
  </w:num>
  <w:num w:numId="3">
    <w:abstractNumId w:val="0"/>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69"/>
    <w:next w:val="869"/>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869"/>
    <w:next w:val="869"/>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869"/>
    <w:next w:val="869"/>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869"/>
    <w:next w:val="869"/>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869"/>
    <w:next w:val="869"/>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869"/>
    <w:next w:val="869"/>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869"/>
    <w:next w:val="869"/>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869"/>
    <w:next w:val="869"/>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869"/>
    <w:next w:val="869"/>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76"/>
    <w:link w:val="869"/>
    <w:qFormat/>
    <w:pPr>
      <w:jc w:val="both"/>
      <w:widowControl w:val="off"/>
    </w:pPr>
    <w:rPr>
      <w:rFonts w:ascii="Calibri" w:hAnsi="Calibri" w:eastAsia="宋体" w:cs="Times New Roman"/>
      <w:sz w:val="21"/>
      <w:szCs w:val="24"/>
      <w:lang w:val="en-US" w:eastAsia="zh-CN" w:bidi="ar-SA"/>
    </w:rPr>
  </w:style>
  <w:style w:type="paragraph" w:styleId="870">
    <w:name w:val="标题 1"/>
    <w:basedOn w:val="869"/>
    <w:next w:val="869"/>
    <w:link w:val="878"/>
    <w:qFormat/>
    <w:pPr>
      <w:jc w:val="center"/>
      <w:keepLines/>
      <w:keepNext/>
      <w:tabs>
        <w:tab w:val="left" w:pos="1134" w:leader="none"/>
      </w:tabs>
      <w:outlineLvl w:val="0"/>
    </w:pPr>
    <w:rPr>
      <w:rFonts w:ascii="宋体" w:hAnsi="宋体"/>
      <w:b/>
      <w:sz w:val="24"/>
      <w:szCs w:val="20"/>
    </w:rPr>
  </w:style>
  <w:style w:type="paragraph" w:styleId="871">
    <w:name w:val="标题 2"/>
    <w:basedOn w:val="869"/>
    <w:next w:val="869"/>
    <w:link w:val="879"/>
    <w:qFormat/>
    <w:pPr>
      <w:keepLines/>
      <w:keepNext/>
      <w:spacing w:before="260" w:after="260" w:line="416" w:lineRule="auto"/>
      <w:outlineLvl w:val="1"/>
    </w:pPr>
    <w:rPr>
      <w:rFonts w:ascii="Arial" w:hAnsi="Arial" w:eastAsia="黑体"/>
      <w:b/>
      <w:bCs/>
      <w:sz w:val="32"/>
      <w:szCs w:val="32"/>
    </w:rPr>
  </w:style>
  <w:style w:type="paragraph" w:styleId="872">
    <w:name w:val="标题 3"/>
    <w:basedOn w:val="869"/>
    <w:next w:val="869"/>
    <w:link w:val="869"/>
    <w:qFormat/>
    <w:pPr>
      <w:keepLines/>
      <w:keepNext/>
      <w:spacing w:line="360" w:lineRule="auto"/>
      <w:outlineLvl w:val="2"/>
    </w:pPr>
    <w:rPr>
      <w:b/>
      <w:bCs/>
      <w:sz w:val="26"/>
      <w:szCs w:val="26"/>
    </w:rPr>
  </w:style>
  <w:style w:type="paragraph" w:styleId="873">
    <w:name w:val="标题 6"/>
    <w:basedOn w:val="869"/>
    <w:next w:val="869"/>
    <w:link w:val="880"/>
    <w:qFormat/>
    <w:pPr>
      <w:keepLines/>
      <w:keepNext/>
      <w:spacing w:before="240" w:after="64" w:line="320" w:lineRule="auto"/>
      <w:outlineLvl w:val="5"/>
    </w:pPr>
    <w:rPr>
      <w:rFonts w:ascii="Arial" w:hAnsi="Arial" w:eastAsia="黑体"/>
      <w:b/>
      <w:bCs/>
      <w:sz w:val="24"/>
    </w:rPr>
  </w:style>
  <w:style w:type="character" w:styleId="874">
    <w:name w:val="默认段落字体"/>
    <w:next w:val="874"/>
    <w:link w:val="869"/>
    <w:uiPriority w:val="1"/>
    <w:unhideWhenUsed/>
    <w:qFormat/>
  </w:style>
  <w:style w:type="table" w:styleId="875">
    <w:name w:val="普通表格"/>
    <w:next w:val="875"/>
    <w:link w:val="869"/>
    <w:uiPriority w:val="99"/>
    <w:unhideWhenUsed/>
    <w:qFormat/>
    <w:tblPr/>
  </w:style>
  <w:style w:type="paragraph" w:styleId="876">
    <w:name w:val="正文首行缩进 2"/>
    <w:basedOn w:val="877"/>
    <w:next w:val="876"/>
    <w:link w:val="869"/>
    <w:uiPriority w:val="99"/>
    <w:unhideWhenUsed/>
    <w:qFormat/>
    <w:pPr>
      <w:ind w:firstLine="420"/>
    </w:pPr>
  </w:style>
  <w:style w:type="paragraph" w:styleId="877">
    <w:name w:val="正文文本缩进"/>
    <w:basedOn w:val="869"/>
    <w:next w:val="877"/>
    <w:link w:val="869"/>
    <w:qFormat/>
    <w:pPr>
      <w:ind w:left="570"/>
      <w:spacing w:line="520" w:lineRule="exact"/>
    </w:pPr>
    <w:rPr>
      <w:rFonts w:ascii="方正仿宋简体" w:hAnsi="创艺简仿宋" w:eastAsia="方正仿宋简体"/>
      <w:sz w:val="24"/>
      <w:szCs w:val="20"/>
    </w:rPr>
  </w:style>
  <w:style w:type="character" w:styleId="878">
    <w:name w:val="标题 1 Char"/>
    <w:next w:val="878"/>
    <w:link w:val="870"/>
    <w:qFormat/>
    <w:rPr>
      <w:rFonts w:ascii="宋体" w:hAnsi="宋体" w:eastAsia="宋体"/>
      <w:b/>
      <w:sz w:val="24"/>
      <w:lang w:val="en-US" w:eastAsia="zh-CN" w:bidi="ar-SA"/>
    </w:rPr>
  </w:style>
  <w:style w:type="character" w:styleId="879">
    <w:name w:val="标题 2 Char"/>
    <w:next w:val="879"/>
    <w:link w:val="871"/>
    <w:qFormat/>
    <w:rPr>
      <w:rFonts w:ascii="Arial" w:hAnsi="Arial" w:eastAsia="黑体"/>
      <w:b/>
      <w:bCs/>
      <w:sz w:val="32"/>
      <w:szCs w:val="32"/>
      <w:lang w:val="en-US" w:eastAsia="zh-CN" w:bidi="ar-SA"/>
    </w:rPr>
  </w:style>
  <w:style w:type="character" w:styleId="880">
    <w:name w:val="标题 6 Char"/>
    <w:next w:val="880"/>
    <w:link w:val="873"/>
    <w:qFormat/>
    <w:rPr>
      <w:rFonts w:ascii="Arial" w:hAnsi="Arial" w:eastAsia="黑体"/>
      <w:b/>
      <w:bCs/>
      <w:sz w:val="24"/>
      <w:szCs w:val="24"/>
    </w:rPr>
  </w:style>
  <w:style w:type="paragraph" w:styleId="881">
    <w:name w:val="正文缩进"/>
    <w:basedOn w:val="869"/>
    <w:next w:val="869"/>
    <w:link w:val="869"/>
    <w:qFormat/>
    <w:pPr>
      <w:ind w:firstLine="420"/>
      <w:jc w:val="left"/>
    </w:pPr>
    <w:rPr>
      <w:rFonts w:eastAsia="楷体_GB2312"/>
      <w:sz w:val="24"/>
      <w:szCs w:val="20"/>
    </w:rPr>
  </w:style>
  <w:style w:type="paragraph" w:styleId="882">
    <w:name w:val="文档结构图"/>
    <w:basedOn w:val="869"/>
    <w:next w:val="882"/>
    <w:link w:val="883"/>
    <w:qFormat/>
    <w:rPr>
      <w:rFonts w:ascii="宋体"/>
      <w:sz w:val="18"/>
      <w:szCs w:val="18"/>
    </w:rPr>
  </w:style>
  <w:style w:type="character" w:styleId="883">
    <w:name w:val="文档结构图 Char"/>
    <w:next w:val="883"/>
    <w:link w:val="882"/>
    <w:qFormat/>
    <w:rPr>
      <w:rFonts w:ascii="宋体"/>
      <w:sz w:val="18"/>
      <w:szCs w:val="18"/>
    </w:rPr>
  </w:style>
  <w:style w:type="paragraph" w:styleId="884">
    <w:name w:val="批注文字"/>
    <w:basedOn w:val="869"/>
    <w:next w:val="884"/>
    <w:link w:val="885"/>
    <w:qFormat/>
    <w:pPr>
      <w:jc w:val="left"/>
    </w:pPr>
  </w:style>
  <w:style w:type="character" w:styleId="885">
    <w:name w:val="批注文字 Char"/>
    <w:next w:val="885"/>
    <w:link w:val="884"/>
    <w:qFormat/>
    <w:rPr>
      <w:sz w:val="21"/>
      <w:szCs w:val="24"/>
    </w:rPr>
  </w:style>
  <w:style w:type="paragraph" w:styleId="886">
    <w:name w:val="正文文本"/>
    <w:basedOn w:val="869"/>
    <w:next w:val="881"/>
    <w:link w:val="869"/>
    <w:qFormat/>
    <w:pPr>
      <w:tabs>
        <w:tab w:val="left" w:pos="5250" w:leader="none"/>
      </w:tabs>
    </w:pPr>
    <w:rPr>
      <w:sz w:val="28"/>
    </w:rPr>
  </w:style>
  <w:style w:type="paragraph" w:styleId="887">
    <w:name w:val="列表 2"/>
    <w:basedOn w:val="869"/>
    <w:next w:val="887"/>
    <w:link w:val="869"/>
    <w:qFormat/>
    <w:pPr>
      <w:ind w:left="100" w:hanging="200"/>
    </w:pPr>
  </w:style>
  <w:style w:type="paragraph" w:styleId="888">
    <w:name w:val="纯文本"/>
    <w:basedOn w:val="869"/>
    <w:next w:val="888"/>
    <w:link w:val="889"/>
    <w:qFormat/>
    <w:rPr>
      <w:rFonts w:ascii="宋体" w:hAnsi="Courier New" w:eastAsia="楷体_GB2312"/>
      <w:sz w:val="28"/>
      <w:szCs w:val="20"/>
    </w:rPr>
  </w:style>
  <w:style w:type="character" w:styleId="889">
    <w:name w:val="纯文本 Char"/>
    <w:next w:val="889"/>
    <w:link w:val="888"/>
    <w:qFormat/>
    <w:rPr>
      <w:rFonts w:ascii="宋体" w:hAnsi="Courier New" w:eastAsia="楷体_GB2312"/>
      <w:sz w:val="28"/>
    </w:rPr>
  </w:style>
  <w:style w:type="paragraph" w:styleId="890">
    <w:name w:val="日期"/>
    <w:basedOn w:val="869"/>
    <w:next w:val="869"/>
    <w:link w:val="869"/>
    <w:qFormat/>
    <w:pPr>
      <w:ind w:left="100"/>
    </w:pPr>
    <w:rPr>
      <w:sz w:val="28"/>
    </w:rPr>
  </w:style>
  <w:style w:type="paragraph" w:styleId="891">
    <w:name w:val="正文文本缩进 2"/>
    <w:basedOn w:val="869"/>
    <w:next w:val="891"/>
    <w:link w:val="869"/>
    <w:qFormat/>
    <w:pPr>
      <w:ind w:firstLine="570"/>
      <w:spacing w:line="520" w:lineRule="exact"/>
    </w:pPr>
    <w:rPr>
      <w:rFonts w:ascii="方正仿宋简体" w:hAnsi="创艺简仿宋" w:eastAsia="方正仿宋简体"/>
      <w:bCs/>
      <w:sz w:val="24"/>
      <w:szCs w:val="20"/>
    </w:rPr>
  </w:style>
  <w:style w:type="paragraph" w:styleId="892">
    <w:name w:val="批注框文本"/>
    <w:basedOn w:val="869"/>
    <w:next w:val="892"/>
    <w:link w:val="869"/>
    <w:semiHidden/>
    <w:qFormat/>
    <w:rPr>
      <w:sz w:val="18"/>
      <w:szCs w:val="18"/>
    </w:rPr>
  </w:style>
  <w:style w:type="paragraph" w:styleId="893">
    <w:name w:val="页脚"/>
    <w:basedOn w:val="869"/>
    <w:next w:val="893"/>
    <w:link w:val="869"/>
    <w:qFormat/>
    <w:pPr>
      <w:jc w:val="left"/>
      <w:tabs>
        <w:tab w:val="center" w:pos="4153" w:leader="none"/>
        <w:tab w:val="right" w:pos="8306" w:leader="none"/>
      </w:tabs>
    </w:pPr>
    <w:rPr>
      <w:sz w:val="18"/>
      <w:szCs w:val="18"/>
    </w:rPr>
  </w:style>
  <w:style w:type="paragraph" w:styleId="894">
    <w:name w:val="寄信人地址"/>
    <w:basedOn w:val="869"/>
    <w:next w:val="894"/>
    <w:link w:val="869"/>
    <w:qFormat/>
    <w:pPr>
      <w:jc w:val="both"/>
      <w:widowControl w:val="off"/>
    </w:pPr>
    <w:rPr>
      <w:rFonts w:ascii="Arial" w:hAnsi="Arial" w:eastAsia="宋体" w:cs="Times New Roman"/>
      <w:sz w:val="21"/>
      <w:szCs w:val="24"/>
      <w:lang w:val="en-US" w:eastAsia="zh-CN" w:bidi="ar-SA"/>
    </w:rPr>
  </w:style>
  <w:style w:type="paragraph" w:styleId="895">
    <w:name w:val="页眉"/>
    <w:basedOn w:val="869"/>
    <w:next w:val="895"/>
    <w:link w:val="869"/>
    <w:qFormat/>
    <w:pPr>
      <w:jc w:val="center"/>
      <w:tabs>
        <w:tab w:val="center" w:pos="4153" w:leader="none"/>
        <w:tab w:val="right" w:pos="8306" w:leader="none"/>
      </w:tabs>
      <w:pBdr>
        <w:bottom w:val="single" w:color="000000" w:sz="6" w:space="1"/>
      </w:pBdr>
    </w:pPr>
    <w:rPr>
      <w:sz w:val="18"/>
      <w:szCs w:val="18"/>
    </w:rPr>
  </w:style>
  <w:style w:type="paragraph" w:styleId="896">
    <w:name w:val="索引标题"/>
    <w:basedOn w:val="869"/>
    <w:next w:val="897"/>
    <w:link w:val="869"/>
    <w:qFormat/>
    <w:pPr>
      <w:ind w:firstLine="0"/>
      <w:jc w:val="left"/>
      <w:spacing w:line="300" w:lineRule="exact"/>
    </w:pPr>
    <w:rPr>
      <w:rFonts w:ascii="仿宋_GB2312" w:hAnsi="仿宋_GB2312" w:cs="仿宋_GB2312"/>
      <w:sz w:val="30"/>
      <w:szCs w:val="30"/>
    </w:rPr>
  </w:style>
  <w:style w:type="paragraph" w:styleId="897">
    <w:name w:val="索引 1"/>
    <w:basedOn w:val="869"/>
    <w:next w:val="869"/>
    <w:link w:val="869"/>
    <w:qFormat/>
    <w:pPr>
      <w:spacing w:line="240" w:lineRule="exact"/>
    </w:pPr>
  </w:style>
  <w:style w:type="paragraph" w:styleId="898">
    <w:name w:val="脚注文本"/>
    <w:basedOn w:val="869"/>
    <w:next w:val="898"/>
    <w:link w:val="869"/>
    <w:qFormat/>
    <w:pPr>
      <w:jc w:val="left"/>
    </w:pPr>
    <w:rPr>
      <w:sz w:val="18"/>
      <w:szCs w:val="18"/>
    </w:rPr>
  </w:style>
  <w:style w:type="paragraph" w:styleId="899">
    <w:name w:val="正文文本缩进 3"/>
    <w:basedOn w:val="869"/>
    <w:next w:val="899"/>
    <w:link w:val="869"/>
    <w:qFormat/>
    <w:pPr>
      <w:ind w:left="420"/>
      <w:spacing w:after="120"/>
    </w:pPr>
    <w:rPr>
      <w:sz w:val="16"/>
      <w:szCs w:val="16"/>
    </w:rPr>
  </w:style>
  <w:style w:type="paragraph" w:styleId="900">
    <w:name w:val="目录 2"/>
    <w:basedOn w:val="869"/>
    <w:next w:val="869"/>
    <w:link w:val="869"/>
    <w:uiPriority w:val="39"/>
    <w:qFormat/>
    <w:pPr>
      <w:ind w:left="210"/>
      <w:jc w:val="left"/>
    </w:pPr>
    <w:rPr>
      <w:rFonts w:ascii="Times New Roman" w:hAnsi="Times New Roman"/>
      <w:smallCaps/>
      <w:sz w:val="20"/>
      <w:szCs w:val="20"/>
    </w:rPr>
  </w:style>
  <w:style w:type="paragraph" w:styleId="901">
    <w:name w:val="普通(网站)"/>
    <w:basedOn w:val="869"/>
    <w:next w:val="901"/>
    <w:link w:val="869"/>
    <w:uiPriority w:val="99"/>
    <w:unhideWhenUsed/>
    <w:qFormat/>
    <w:pPr>
      <w:jc w:val="left"/>
      <w:spacing w:before="100" w:beforeAutospacing="1" w:after="100" w:afterAutospacing="1"/>
      <w:widowControl/>
    </w:pPr>
    <w:rPr>
      <w:rFonts w:ascii="宋体" w:hAnsi="宋体" w:cs="宋体"/>
      <w:sz w:val="24"/>
    </w:rPr>
  </w:style>
  <w:style w:type="paragraph" w:styleId="902">
    <w:name w:val="标题"/>
    <w:basedOn w:val="869"/>
    <w:next w:val="869"/>
    <w:link w:val="869"/>
    <w:qFormat/>
    <w:pPr>
      <w:jc w:val="center"/>
      <w:spacing w:before="240" w:after="60"/>
      <w:outlineLvl w:val="0"/>
    </w:pPr>
    <w:rPr>
      <w:rFonts w:ascii="Arial" w:hAnsi="Arial"/>
      <w:b/>
      <w:sz w:val="32"/>
    </w:rPr>
  </w:style>
  <w:style w:type="paragraph" w:styleId="903">
    <w:name w:val="批注主题"/>
    <w:basedOn w:val="884"/>
    <w:next w:val="884"/>
    <w:link w:val="904"/>
    <w:qFormat/>
    <w:rPr>
      <w:b/>
      <w:bCs/>
    </w:rPr>
  </w:style>
  <w:style w:type="character" w:styleId="904">
    <w:name w:val="批注主题 Char"/>
    <w:next w:val="904"/>
    <w:link w:val="903"/>
    <w:qFormat/>
    <w:rPr>
      <w:b/>
      <w:bCs/>
      <w:sz w:val="21"/>
      <w:szCs w:val="24"/>
    </w:rPr>
  </w:style>
  <w:style w:type="paragraph" w:styleId="905">
    <w:name w:val="正文首行缩进"/>
    <w:basedOn w:val="886"/>
    <w:next w:val="905"/>
    <w:link w:val="869"/>
    <w:qFormat/>
    <w:pPr>
      <w:ind w:firstLine="200"/>
      <w:spacing w:line="360" w:lineRule="auto"/>
      <w:tabs>
        <w:tab w:val="left" w:pos="5250" w:leader="none"/>
      </w:tabs>
    </w:pPr>
    <w:rPr>
      <w:rFonts w:ascii="仿宋_GB2312" w:hAnsi="Arial" w:eastAsia="仿宋_GB2312"/>
      <w:sz w:val="30"/>
      <w:szCs w:val="30"/>
    </w:rPr>
  </w:style>
  <w:style w:type="table" w:styleId="906">
    <w:name w:val="网格型"/>
    <w:basedOn w:val="875"/>
    <w:next w:val="906"/>
    <w:link w:val="869"/>
    <w:uiPriority w:val="99"/>
    <w:unhideWhenUsed/>
    <w:qFormat/>
    <w:pPr>
      <w:jc w:val="both"/>
      <w:widowControl w:val="off"/>
    </w:pPr>
    <w:tblPr/>
  </w:style>
  <w:style w:type="character" w:styleId="907">
    <w:name w:val="要点"/>
    <w:next w:val="907"/>
    <w:link w:val="869"/>
    <w:qFormat/>
    <w:rPr>
      <w:b/>
    </w:rPr>
  </w:style>
  <w:style w:type="character" w:styleId="908">
    <w:name w:val="页码"/>
    <w:basedOn w:val="874"/>
    <w:next w:val="908"/>
    <w:link w:val="869"/>
    <w:qFormat/>
  </w:style>
  <w:style w:type="character" w:styleId="909">
    <w:name w:val="已访问的超链接"/>
    <w:next w:val="909"/>
    <w:link w:val="869"/>
    <w:qFormat/>
    <w:rPr>
      <w:color w:val="999999"/>
      <w:u w:val="none"/>
    </w:rPr>
  </w:style>
  <w:style w:type="character" w:styleId="910">
    <w:name w:val="强调"/>
    <w:next w:val="910"/>
    <w:link w:val="869"/>
    <w:qFormat/>
  </w:style>
  <w:style w:type="character" w:styleId="911">
    <w:name w:val="超链接"/>
    <w:next w:val="911"/>
    <w:link w:val="869"/>
    <w:qFormat/>
    <w:rPr>
      <w:color w:val="333333"/>
      <w:u w:val="none"/>
    </w:rPr>
  </w:style>
  <w:style w:type="character" w:styleId="912">
    <w:name w:val="批注引用"/>
    <w:next w:val="912"/>
    <w:link w:val="869"/>
    <w:qFormat/>
    <w:rPr>
      <w:sz w:val="21"/>
      <w:szCs w:val="21"/>
    </w:rPr>
  </w:style>
  <w:style w:type="character" w:styleId="913">
    <w:name w:val="脚注引用"/>
    <w:next w:val="913"/>
    <w:link w:val="869"/>
    <w:qFormat/>
    <w:rPr>
      <w:vertAlign w:val="superscript"/>
    </w:rPr>
  </w:style>
  <w:style w:type="paragraph" w:styleId="914">
    <w:name w:val="段"/>
    <w:next w:val="869"/>
    <w:link w:val="869"/>
    <w:qFormat/>
    <w:pPr>
      <w:ind w:firstLine="200"/>
      <w:jc w:val="both"/>
    </w:pPr>
    <w:rPr>
      <w:rFonts w:ascii="宋体" w:hAnsi="Calibri" w:eastAsia="宋体" w:cs="Times New Roman"/>
      <w:sz w:val="21"/>
      <w:lang w:val="en-US" w:eastAsia="zh-CN" w:bidi="ar-SA"/>
    </w:rPr>
  </w:style>
  <w:style w:type="paragraph" w:styleId="915">
    <w:name w:val="首行缩进"/>
    <w:basedOn w:val="869"/>
    <w:next w:val="915"/>
    <w:link w:val="869"/>
    <w:qFormat/>
    <w:pPr>
      <w:ind w:firstLine="200"/>
      <w:spacing w:line="500" w:lineRule="exact"/>
    </w:pPr>
  </w:style>
  <w:style w:type="paragraph" w:styleId="916">
    <w:name w:val="p18"/>
    <w:basedOn w:val="869"/>
    <w:next w:val="916"/>
    <w:link w:val="869"/>
    <w:qFormat/>
    <w:pPr>
      <w:ind w:firstLine="570"/>
      <w:spacing w:line="520" w:lineRule="atLeast"/>
      <w:widowControl/>
    </w:pPr>
    <w:rPr>
      <w:rFonts w:ascii="方正仿宋简体" w:hAnsi="方正仿宋简体" w:cs="宋体"/>
      <w:sz w:val="24"/>
    </w:rPr>
  </w:style>
  <w:style w:type="paragraph" w:styleId="917">
    <w:name w:val="正文段落"/>
    <w:basedOn w:val="869"/>
    <w:next w:val="917"/>
    <w:link w:val="869"/>
    <w:qFormat/>
    <w:pPr>
      <w:ind w:firstLine="440"/>
      <w:spacing w:line="360" w:lineRule="auto"/>
      <w:widowControl/>
    </w:pPr>
    <w:rPr>
      <w:sz w:val="22"/>
      <w:szCs w:val="22"/>
      <w:lang w:val="de-DE"/>
    </w:rPr>
  </w:style>
  <w:style w:type="paragraph" w:styleId="918">
    <w:name w:val="【正文】"/>
    <w:basedOn w:val="869"/>
    <w:next w:val="918"/>
    <w:link w:val="869"/>
    <w:qFormat/>
    <w:pPr>
      <w:ind w:firstLine="420"/>
      <w:spacing w:line="360" w:lineRule="auto"/>
    </w:pPr>
    <w:rPr>
      <w:rFonts w:cs="黑体"/>
      <w:sz w:val="24"/>
    </w:rPr>
  </w:style>
  <w:style w:type="paragraph" w:styleId="919">
    <w:name w:val="样式 (西文) 宋体 小四 首行缩进:  0.95 厘米 段前: 5 磅 段后: 5 磅 行距: 1.5 倍行距"/>
    <w:basedOn w:val="869"/>
    <w:next w:val="919"/>
    <w:link w:val="869"/>
    <w:qFormat/>
    <w:pPr>
      <w:ind w:firstLine="540"/>
      <w:jc w:val="left"/>
      <w:spacing w:before="100" w:after="100" w:line="360" w:lineRule="auto"/>
      <w:widowControl/>
    </w:pPr>
    <w:rPr>
      <w:rFonts w:ascii="宋体" w:hAnsi="宋体" w:cs="宋体"/>
      <w:sz w:val="24"/>
      <w:szCs w:val="20"/>
    </w:rPr>
  </w:style>
  <w:style w:type="paragraph" w:styleId="920">
    <w:name w:val="列表段落1"/>
    <w:basedOn w:val="869"/>
    <w:next w:val="920"/>
    <w:link w:val="869"/>
    <w:qFormat/>
    <w:pPr>
      <w:ind w:firstLine="420"/>
    </w:pPr>
  </w:style>
  <w:style w:type="paragraph" w:styleId="921">
    <w:name w:val="179"/>
    <w:basedOn w:val="869"/>
    <w:next w:val="921"/>
    <w:link w:val="869"/>
    <w:qFormat/>
    <w:pPr>
      <w:ind w:firstLine="420"/>
    </w:pPr>
    <w:rPr>
      <w:sz w:val="28"/>
      <w:szCs w:val="20"/>
    </w:rPr>
  </w:style>
  <w:style w:type="paragraph" w:styleId="922">
    <w:name w:val="_Style 12"/>
    <w:basedOn w:val="882"/>
    <w:next w:val="922"/>
    <w:link w:val="869"/>
    <w:qFormat/>
    <w:pPr>
      <w:spacing w:line="360" w:lineRule="auto"/>
      <w:shd w:val="clear" w:color="auto" w:fill="000080"/>
    </w:pPr>
    <w:rPr>
      <w:rFonts w:ascii="Times New Roman"/>
      <w:sz w:val="21"/>
      <w:szCs w:val="24"/>
    </w:rPr>
  </w:style>
  <w:style w:type="paragraph" w:styleId="923">
    <w:name w:val="List Paragraph1"/>
    <w:basedOn w:val="869"/>
    <w:next w:val="923"/>
    <w:link w:val="869"/>
    <w:uiPriority w:val="34"/>
    <w:qFormat/>
    <w:pPr>
      <w:ind w:firstLine="420"/>
    </w:pPr>
  </w:style>
  <w:style w:type="paragraph" w:styleId="924">
    <w:name w:val="正文2"/>
    <w:basedOn w:val="869"/>
    <w:next w:val="924"/>
    <w:link w:val="869"/>
    <w:qFormat/>
    <w:pPr>
      <w:ind w:firstLine="200"/>
      <w:jc w:val="left"/>
      <w:spacing w:after="160" w:line="360" w:lineRule="auto"/>
      <w:widowControl/>
    </w:pPr>
    <w:rPr>
      <w:szCs w:val="20"/>
    </w:rPr>
  </w:style>
  <w:style w:type="paragraph" w:styleId="925">
    <w:name w:val="纯文本1"/>
    <w:basedOn w:val="869"/>
    <w:next w:val="925"/>
    <w:link w:val="869"/>
    <w:qFormat/>
    <w:rPr>
      <w:rFonts w:ascii="宋体" w:hAnsi="Courier New"/>
    </w:rPr>
  </w:style>
  <w:style w:type="paragraph" w:styleId="926">
    <w:name w:val="正文文本缩进 2 + 仿宋_GB2312"/>
    <w:basedOn w:val="891"/>
    <w:next w:val="926"/>
    <w:link w:val="869"/>
    <w:qFormat/>
    <w:pPr>
      <w:numPr>
        <w:ilvl w:val="0"/>
        <w:numId w:val="1"/>
      </w:numPr>
      <w:ind w:left="-6" w:firstLine="0"/>
      <w:spacing w:line="360" w:lineRule="auto"/>
      <w:tabs>
        <w:tab w:val="left" w:pos="420" w:leader="none"/>
      </w:tabs>
    </w:pPr>
    <w:rPr>
      <w:rFonts w:ascii="仿宋_GB2312" w:hAnsi="宋体" w:eastAsia="仿宋_GB2312" w:cs="宋体"/>
      <w:bCs w:val="0"/>
      <w:color w:val="000000"/>
      <w:szCs w:val="24"/>
      <w:lang w:bidi="th-TH"/>
    </w:rPr>
  </w:style>
  <w:style w:type="paragraph" w:styleId="927">
    <w:name w:val="列表段落11"/>
    <w:basedOn w:val="869"/>
    <w:next w:val="927"/>
    <w:link w:val="869"/>
    <w:qFormat/>
    <w:pPr>
      <w:ind w:firstLine="420"/>
    </w:pPr>
    <w:rPr>
      <w:rFonts w:eastAsia="等线"/>
    </w:rPr>
  </w:style>
  <w:style w:type="paragraph" w:styleId="928">
    <w:name w:val="+正文"/>
    <w:basedOn w:val="869"/>
    <w:next w:val="928"/>
    <w:link w:val="869"/>
    <w:uiPriority w:val="99"/>
    <w:qFormat/>
    <w:pPr>
      <w:ind w:firstLine="200"/>
      <w:spacing w:line="360" w:lineRule="auto"/>
    </w:pPr>
    <w:rPr>
      <w:rFonts w:ascii="Times New Roman" w:hAnsi="Times New Roman"/>
      <w:sz w:val="24"/>
      <w:szCs w:val="28"/>
    </w:rPr>
  </w:style>
  <w:style w:type="paragraph" w:styleId="929">
    <w:name w:val="List Paragraph"/>
    <w:basedOn w:val="869"/>
    <w:next w:val="929"/>
    <w:link w:val="869"/>
    <w:uiPriority w:val="34"/>
    <w:qFormat/>
    <w:pPr>
      <w:ind w:firstLine="420"/>
    </w:pPr>
    <w:rPr>
      <w:sz w:val="28"/>
      <w:szCs w:val="20"/>
    </w:rPr>
  </w:style>
  <w:style w:type="paragraph" w:styleId="930">
    <w:name w:val="p0"/>
    <w:basedOn w:val="869"/>
    <w:next w:val="930"/>
    <w:link w:val="869"/>
    <w:qFormat/>
    <w:pPr>
      <w:widowControl/>
    </w:pPr>
    <w:rPr>
      <w:szCs w:val="21"/>
    </w:rPr>
  </w:style>
  <w:style w:type="paragraph" w:styleId="931">
    <w:name w:val="列出段落1"/>
    <w:basedOn w:val="869"/>
    <w:next w:val="931"/>
    <w:link w:val="869"/>
    <w:uiPriority w:val="34"/>
    <w:qFormat/>
    <w:pPr>
      <w:ind w:firstLine="420"/>
    </w:pPr>
    <w:rPr>
      <w:rFonts w:ascii="Times New Roman" w:hAnsi="Times New Roman"/>
    </w:rPr>
  </w:style>
  <w:style w:type="paragraph" w:styleId="932">
    <w:name w:val="Char Char Char Char Char Char Char Char Char Char Char Char Char"/>
    <w:basedOn w:val="869"/>
    <w:next w:val="932"/>
    <w:link w:val="869"/>
    <w:qFormat/>
    <w:pPr>
      <w:ind w:firstLine="480"/>
      <w:spacing w:line="360" w:lineRule="auto"/>
    </w:pPr>
    <w:rPr>
      <w:rFonts w:hAnsi="宋体"/>
      <w:color w:val="000000"/>
      <w:sz w:val="18"/>
      <w:szCs w:val="18"/>
    </w:rPr>
  </w:style>
  <w:style w:type="paragraph" w:styleId="933">
    <w:name w:val="纯文本2"/>
    <w:basedOn w:val="869"/>
    <w:next w:val="933"/>
    <w:link w:val="869"/>
    <w:qFormat/>
    <w:rPr>
      <w:rFonts w:hint="eastAsia" w:ascii="宋体" w:hAnsi="Courier New" w:eastAsia="楷体_GB2312"/>
      <w:sz w:val="28"/>
      <w:szCs w:val="20"/>
    </w:rPr>
  </w:style>
  <w:style w:type="paragraph" w:styleId="934">
    <w:name w:val="Default"/>
    <w:next w:val="934"/>
    <w:link w:val="869"/>
    <w:uiPriority w:val="99"/>
    <w:qFormat/>
    <w:pPr>
      <w:widowControl w:val="off"/>
    </w:pPr>
    <w:rPr>
      <w:rFonts w:ascii="宋体" w:hAnsi="Calibri" w:eastAsia="宋体" w:cs="宋体"/>
      <w:color w:val="000000"/>
      <w:sz w:val="24"/>
      <w:szCs w:val="24"/>
      <w:lang w:val="en-US" w:eastAsia="zh-CN" w:bidi="ar-SA"/>
    </w:rPr>
  </w:style>
  <w:style w:type="paragraph" w:styleId="935">
    <w:name w:val="正文 A"/>
    <w:next w:val="935"/>
    <w:link w:val="869"/>
    <w:qFormat/>
    <w:pPr>
      <w:jc w:val="both"/>
      <w:widowControl w:val="off"/>
      <w:framePr w:wrap="around" w:vAnchor="margin" w:hAnchor="text" w:yAlign="top"/>
    </w:pPr>
    <w:rPr>
      <w:rFonts w:ascii="Calibri" w:hAnsi="Arial Unicode MS" w:eastAsia="Arial Unicode MS" w:cs="Arial Unicode MS"/>
      <w:color w:val="000000"/>
      <w:sz w:val="21"/>
      <w:szCs w:val="21"/>
      <w:lang w:val="en-US" w:eastAsia="zh-CN" w:bidi="ar-SA"/>
    </w:rPr>
  </w:style>
  <w:style w:type="paragraph" w:styleId="936">
    <w:name w:val="dt2"/>
    <w:basedOn w:val="869"/>
    <w:next w:val="936"/>
    <w:link w:val="869"/>
    <w:qFormat/>
    <w:pPr>
      <w:jc w:val="left"/>
    </w:pPr>
  </w:style>
  <w:style w:type="paragraph" w:styleId="937">
    <w:name w:val="111111"/>
    <w:basedOn w:val="869"/>
    <w:next w:val="937"/>
    <w:link w:val="869"/>
    <w:qFormat/>
    <w:pPr>
      <w:jc w:val="center"/>
      <w:spacing w:before="120" w:after="120"/>
    </w:pPr>
    <w:rPr>
      <w:rFonts w:ascii="宋体" w:hAnsi="宋体" w:eastAsia="黑体"/>
      <w:b/>
      <w:bCs/>
      <w:szCs w:val="21"/>
    </w:rPr>
  </w:style>
  <w:style w:type="character" w:styleId="938">
    <w:name w:val="Char Char1"/>
    <w:next w:val="938"/>
    <w:link w:val="869"/>
    <w:qFormat/>
    <w:rPr>
      <w:rFonts w:ascii="宋体" w:hAnsi="Courier New"/>
      <w:szCs w:val="20"/>
    </w:rPr>
  </w:style>
  <w:style w:type="character" w:styleId="939">
    <w:name w:val="style4"/>
    <w:basedOn w:val="874"/>
    <w:next w:val="939"/>
    <w:link w:val="869"/>
    <w:qFormat/>
  </w:style>
  <w:style w:type="character" w:styleId="940">
    <w:name w:val="fontstyle01"/>
    <w:next w:val="940"/>
    <w:link w:val="869"/>
    <w:qFormat/>
    <w:rPr>
      <w:rFonts w:ascii="宋体" w:hAnsi="宋体" w:eastAsia="宋体" w:cs="宋体"/>
      <w:color w:val="000000"/>
      <w:sz w:val="24"/>
      <w:szCs w:val="24"/>
    </w:rPr>
  </w:style>
  <w:style w:type="character" w:styleId="941">
    <w:name w:val="NormalCharacter1"/>
    <w:next w:val="941"/>
    <w:link w:val="869"/>
    <w:qFormat/>
  </w:style>
  <w:style w:type="character" w:styleId="942">
    <w:name w:val="font11"/>
    <w:next w:val="942"/>
    <w:link w:val="869"/>
    <w:qFormat/>
    <w:rPr>
      <w:rFonts w:hint="eastAsia" w:ascii="宋体" w:hAnsi="宋体" w:eastAsia="宋体" w:cs="宋体"/>
      <w:color w:val="000000"/>
      <w:sz w:val="20"/>
      <w:szCs w:val="20"/>
      <w:u w:val="none"/>
    </w:rPr>
  </w:style>
  <w:style w:type="character" w:styleId="943">
    <w:name w:val="font01"/>
    <w:next w:val="943"/>
    <w:link w:val="869"/>
    <w:qFormat/>
    <w:rPr>
      <w:rFonts w:hint="eastAsia" w:ascii="宋体" w:hAnsi="宋体" w:eastAsia="宋体" w:cs="宋体"/>
      <w:b/>
      <w:color w:val="ff0000"/>
      <w:sz w:val="22"/>
      <w:szCs w:val="22"/>
      <w:u w:val="none"/>
    </w:rPr>
  </w:style>
  <w:style w:type="paragraph" w:styleId="944">
    <w:name w:val="标题 21"/>
    <w:next w:val="935"/>
    <w:link w:val="869"/>
    <w:uiPriority w:val="99"/>
    <w:qFormat/>
    <w:pPr>
      <w:jc w:val="both"/>
      <w:keepLines/>
      <w:keepNext/>
      <w:spacing w:before="260" w:after="260" w:line="413" w:lineRule="auto"/>
      <w:widowControl w:val="off"/>
      <w:framePr w:wrap="around" w:vAnchor="margin" w:hAnchor="text" w:y="1"/>
      <w:outlineLvl w:val="1"/>
    </w:pPr>
    <w:rPr>
      <w:rFonts w:ascii="Arial Unicode MS" w:hAnsi="Arial Unicode MS" w:eastAsia="Arial Unicode MS" w:cs="Arial Unicode MS"/>
      <w:color w:val="000000"/>
      <w:sz w:val="32"/>
      <w:szCs w:val="32"/>
      <w:lang w:val="en-US" w:eastAsia="zh-CN" w:bidi="ar-SA"/>
    </w:rPr>
  </w:style>
  <w:style w:type="paragraph" w:styleId="945">
    <w:name w:val="正文缩进 Char Char"/>
    <w:basedOn w:val="869"/>
    <w:next w:val="945"/>
    <w:link w:val="869"/>
    <w:qFormat/>
    <w:pPr>
      <w:ind w:firstLine="420"/>
    </w:pPr>
  </w:style>
  <w:style w:type="paragraph" w:styleId="946">
    <w:name w:val="Table Paragraph"/>
    <w:basedOn w:val="869"/>
    <w:next w:val="946"/>
    <w:link w:val="869"/>
    <w:uiPriority w:val="1"/>
    <w:qFormat/>
    <w:rPr>
      <w:sz w:val="26"/>
      <w:szCs w:val="20"/>
      <w:lang w:val="zh-CN" w:bidi="zh-CN"/>
    </w:rPr>
  </w:style>
  <w:style w:type="paragraph" w:styleId="947">
    <w:name w:val="纯文本3"/>
    <w:basedOn w:val="869"/>
    <w:next w:val="947"/>
    <w:link w:val="869"/>
    <w:qFormat/>
    <w:rPr>
      <w:rFonts w:ascii="宋体" w:hAnsi="Courier New" w:eastAsia="楷体_GB2312"/>
      <w:sz w:val="26"/>
      <w:szCs w:val="20"/>
    </w:rPr>
  </w:style>
  <w:style w:type="paragraph" w:styleId="948">
    <w:name w:val="p25"/>
    <w:basedOn w:val="869"/>
    <w:next w:val="948"/>
    <w:link w:val="869"/>
    <w:qFormat/>
    <w:rPr>
      <w:rFonts w:ascii="黑体" w:hAnsi="黑体" w:cs="黑体"/>
      <w:szCs w:val="26"/>
    </w:rPr>
  </w:style>
  <w:style w:type="paragraph" w:styleId="949">
    <w:name w:val="纯文本111"/>
    <w:basedOn w:val="869"/>
    <w:next w:val="949"/>
    <w:link w:val="869"/>
    <w:qFormat/>
    <w:rPr>
      <w:rFonts w:ascii="宋体" w:hAnsi="Courier New"/>
      <w:sz w:val="28"/>
      <w:szCs w:val="28"/>
    </w:rPr>
  </w:style>
  <w:style w:type="paragraph" w:styleId="950">
    <w:name w:val="纯文本21"/>
    <w:basedOn w:val="869"/>
    <w:next w:val="950"/>
    <w:link w:val="869"/>
    <w:qFormat/>
    <w:rPr>
      <w:rFonts w:hint="eastAsia" w:ascii="宋体" w:hAnsi="Courier New" w:eastAsia="楷体_GB2312"/>
      <w:sz w:val="28"/>
    </w:rPr>
  </w:style>
  <w:style w:type="paragraph" w:styleId="951">
    <w:name w:val="正文1"/>
    <w:next w:val="869"/>
    <w:link w:val="869"/>
    <w:qFormat/>
    <w:pPr>
      <w:jc w:val="both"/>
      <w:spacing w:line="312" w:lineRule="atLeast"/>
      <w:widowControl w:val="off"/>
    </w:pPr>
    <w:rPr>
      <w:rFonts w:ascii="宋体" w:hAnsi="Times New Roman" w:eastAsia="宋体" w:cs="Times New Roman"/>
      <w:sz w:val="34"/>
      <w:szCs w:val="22"/>
      <w:lang w:val="en-US" w:eastAsia="zh-CN" w:bidi="ar-SA"/>
    </w:rPr>
  </w:style>
  <w:style w:type="character" w:styleId="952">
    <w:name w:val="font21"/>
    <w:basedOn w:val="874"/>
    <w:next w:val="952"/>
    <w:link w:val="869"/>
    <w:qFormat/>
    <w:rPr>
      <w:rFonts w:hint="eastAsia" w:ascii="宋体" w:hAnsi="宋体" w:eastAsia="宋体" w:cs="宋体"/>
      <w:b/>
      <w:color w:val="000000"/>
      <w:sz w:val="20"/>
      <w:szCs w:val="20"/>
      <w:u w:val="none"/>
    </w:rPr>
  </w:style>
  <w:style w:type="character" w:styleId="953">
    <w:name w:val="font91"/>
    <w:next w:val="953"/>
    <w:link w:val="869"/>
    <w:qFormat/>
    <w:rPr>
      <w:rFonts w:ascii="Calibri" w:hAnsi="Calibri" w:cs="Calibri"/>
      <w:b/>
      <w:color w:val="000000"/>
      <w:sz w:val="20"/>
      <w:szCs w:val="20"/>
      <w:u w:val="none"/>
    </w:rPr>
  </w:style>
  <w:style w:type="character" w:styleId="954">
    <w:name w:val="font71"/>
    <w:next w:val="954"/>
    <w:link w:val="869"/>
    <w:qFormat/>
    <w:rPr>
      <w:rFonts w:hint="eastAsia" w:ascii="宋体" w:hAnsi="宋体" w:eastAsia="宋体" w:cs="宋体"/>
      <w:color w:val="000000"/>
      <w:sz w:val="20"/>
      <w:szCs w:val="20"/>
      <w:u w:val="none"/>
    </w:rPr>
  </w:style>
  <w:style w:type="paragraph" w:styleId="955">
    <w:name w:val="_Style 15"/>
    <w:basedOn w:val="877"/>
    <w:next w:val="876"/>
    <w:link w:val="869"/>
    <w:uiPriority w:val="99"/>
    <w:unhideWhenUsed/>
    <w:qFormat/>
    <w:pPr>
      <w:ind w:firstLine="420"/>
    </w:pPr>
  </w:style>
  <w:style w:type="character" w:styleId="956">
    <w:name w:val="font61"/>
    <w:basedOn w:val="874"/>
    <w:next w:val="956"/>
    <w:link w:val="869"/>
    <w:qFormat/>
    <w:rPr>
      <w:rFonts w:hint="eastAsia" w:ascii="仿宋_GB2312" w:eastAsia="仿宋_GB2312" w:cs="仿宋_GB2312"/>
      <w:color w:val="000000"/>
      <w:sz w:val="24"/>
      <w:szCs w:val="24"/>
      <w:u w:val="none"/>
    </w:rPr>
  </w:style>
  <w:style w:type="paragraph" w:styleId="957">
    <w:name w:val="索引 41"/>
    <w:basedOn w:val="869"/>
    <w:next w:val="869"/>
    <w:link w:val="869"/>
    <w:semiHidden/>
    <w:qFormat/>
    <w:pPr>
      <w:ind w:left="600"/>
    </w:pPr>
    <w:rPr>
      <w:rFonts w:ascii="Times New Roman" w:hAnsi="Times New Roman"/>
      <w:szCs w:val="20"/>
    </w:rPr>
  </w:style>
  <w:style w:type="paragraph" w:styleId="958">
    <w:name w:val="Plain Text"/>
    <w:basedOn w:val="869"/>
    <w:next w:val="958"/>
    <w:link w:val="869"/>
    <w:qFormat/>
    <w:rPr>
      <w:rFonts w:hint="eastAsia" w:ascii="宋体" w:hAnsi="Courier New" w:eastAsia="楷体_GB2312"/>
      <w:sz w:val="28"/>
      <w:szCs w:val="20"/>
    </w:rPr>
  </w:style>
  <w:style w:type="character" w:styleId="959" w:default="1">
    <w:name w:val="Default Paragraph Font"/>
    <w:uiPriority w:val="1"/>
    <w:semiHidden/>
    <w:unhideWhenUsed/>
  </w:style>
  <w:style w:type="numbering" w:styleId="960" w:default="1">
    <w:name w:val="No List"/>
    <w:uiPriority w:val="99"/>
    <w:semiHidden/>
    <w:unhideWhenUsed/>
  </w:style>
  <w:style w:type="table" w:styleId="9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dc:title>
  <dc:creator>a</dc:creator>
  <cp:lastModifiedBy>于文婷</cp:lastModifiedBy>
  <cp:revision>6</cp:revision>
  <dcterms:created xsi:type="dcterms:W3CDTF">2021-12-28T08:23:00Z</dcterms:created>
  <dcterms:modified xsi:type="dcterms:W3CDTF">2026-08-05T02:07:17Z</dcterms:modified>
</cp:coreProperties>
</file>