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智能网联汽车技术专业底盘线控系统实训室</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（分包一）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项目编号：JSZC-320100-HWZX-G2026-0371（20261007）（0675-266JOC004484）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采购人：南京城市职业学院（南京开放大学）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2026年07月10日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智能网联汽车技术专业底盘线控系统实训室的潜在投标人应在苏采云系统注册登记成功后系统内免费下载获取采购文件，并于2026年07月31日14点30分（北京时间）前提交响应文件。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JSZC-320100-HWZX-G2026-0371（20261007）（0675-266JOC004484）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智能网联汽车技术专业底盘线控系统实训室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分包一</w:t>
      </w:r>
      <w:r>
        <w:rPr>
          <w:rFonts w:ascii="Times New Roman" w:hAnsi="Times New Roman" w:eastAsia="Times New Roman" w:cs="Times New Roman"/>
          <w:b/>
          <w:color w:val="000000"/>
          <w:sz w:val="21"/>
        </w:rPr>
        <w:t xml:space="preserve">106.5</w:t>
      </w:r>
      <w:r>
        <w:rPr>
          <w:rFonts w:ascii="SimSun" w:hAnsi="SimSun" w:eastAsia="SimSun" w:cs="SimSun"/>
          <w:b/>
          <w:color w:val="000000"/>
          <w:sz w:val="21"/>
        </w:rPr>
        <w:t xml:space="preserve">万元，分包二</w:t>
      </w:r>
      <w:r>
        <w:rPr>
          <w:rFonts w:ascii="Times New Roman" w:hAnsi="Times New Roman" w:eastAsia="Times New Roman" w:cs="Times New Roman"/>
          <w:b/>
          <w:color w:val="000000"/>
          <w:sz w:val="21"/>
        </w:rPr>
        <w:t xml:space="preserve">82</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分包一</w:t>
      </w:r>
      <w:r>
        <w:rPr>
          <w:rFonts w:ascii="Times New Roman" w:hAnsi="Times New Roman" w:eastAsia="Times New Roman" w:cs="Times New Roman"/>
          <w:b/>
          <w:color w:val="000000"/>
          <w:sz w:val="21"/>
        </w:rPr>
        <w:t xml:space="preserve">106.5</w:t>
      </w:r>
      <w:r>
        <w:rPr>
          <w:rFonts w:ascii="SimSun" w:hAnsi="SimSun" w:eastAsia="SimSun" w:cs="SimSun"/>
          <w:b/>
          <w:color w:val="000000"/>
          <w:sz w:val="21"/>
        </w:rPr>
        <w:t xml:space="preserve">万元，分包二</w:t>
      </w:r>
      <w:r>
        <w:rPr>
          <w:rFonts w:ascii="Times New Roman" w:hAnsi="Times New Roman" w:eastAsia="Times New Roman" w:cs="Times New Roman"/>
          <w:b/>
          <w:color w:val="000000"/>
          <w:sz w:val="21"/>
        </w:rPr>
        <w:t xml:space="preserve">82</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为主动适应汽车产业“新四化”技术革命，应对智能网联汽车产业对高素质技术技能人才的迫切需求，本项目旨在建设一个集教学、实训、辅助研发于一体的先进底盘线控系统专业实训室。本实训室建设严格遵循 “理实一体、软硬结合、分级递进” 的核心标准。整体规划以智能网联汽车线控底盘的技术架构为主线，系统集成部件级装调测试平台（如线控悬架、转向、制动/驱动、驻车系统）、系统级集成验证平台（线控底盘综合实训车）及整车级应用开发平台（自动驾驶线控底盘套装），并配套汽车智能化虚拟训练平台等信息化教学设备。实训项目由浅入深，形成从认知</w:t>
      </w:r>
      <w:r>
        <w:rPr>
          <w:rFonts w:ascii="SimSun" w:hAnsi="SimSun" w:eastAsia="SimSun" w:cs="SimSun"/>
          <w:color w:val="000000"/>
          <w:sz w:val="21"/>
        </w:rPr>
        <w:t xml:space="preserve">、装调、测试到系统集成、算法验证的完整能力培养闭环。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项目拟分两个分包，其中：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分包一：线控底盘综合设备采购。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分包二：线控底盘各子系统设备采购。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以同时投标多个分包，但只能在一个分包中中标。本项目按照分包1、分包2的顺序进行评标。如投标人在上一个分包中确定为第一中标候选人，依旧参与后续分包的评审，但不再推荐为后续评审分包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分包一：合同签订后</w:t>
      </w:r>
      <w:r>
        <w:rPr>
          <w:rFonts w:ascii="SimSun" w:hAnsi="SimSun" w:eastAsia="SimSun" w:cs="SimSun"/>
          <w:color w:val="c00000"/>
          <w:sz w:val="21"/>
        </w:rPr>
        <w:t xml:space="preserve">45天</w:t>
      </w:r>
      <w:r>
        <w:rPr>
          <w:rFonts w:ascii="SimSun" w:hAnsi="SimSun" w:eastAsia="SimSun" w:cs="SimSun"/>
          <w:color w:val="000000"/>
          <w:sz w:val="21"/>
        </w:rPr>
        <w:t xml:space="preserve">内完成供货、安装调试并交付使用；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分包二：合同签订后</w:t>
      </w:r>
      <w:r>
        <w:rPr>
          <w:rFonts w:ascii="SimSun" w:hAnsi="SimSun" w:eastAsia="SimSun" w:cs="SimSun"/>
          <w:color w:val="c00000"/>
          <w:sz w:val="21"/>
        </w:rPr>
        <w:t xml:space="preserve">75天</w:t>
      </w:r>
      <w:r>
        <w:rPr>
          <w:rFonts w:ascii="SimSun" w:hAnsi="SimSun" w:eastAsia="SimSun" w:cs="SimSun"/>
          <w:color w:val="000000"/>
          <w:sz w:val="21"/>
        </w:rPr>
        <w:t xml:space="preserve">内完成供货、安装调试并交付使用。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文件接收截止时间、开标时间：2026年07月31日14点30分（北京时间）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公告媒体：本招标公告在江苏政府采购网（http://www.ccgp-jiangsu.gov.cn/）公示发布，敬请各投标人关注。有关本次招标的事项若存在变动或修改，敬请及时关注江苏海外集团国际工程咨询有限公司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8.政府采购信用承诺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w:t>
      </w:r>
      <w:r>
        <w:rPr>
          <w:rFonts w:ascii="SimSun" w:hAnsi="SimSun" w:eastAsia="SimSun" w:cs="SimSun"/>
          <w:color w:val="000000"/>
          <w:sz w:val="21"/>
        </w:rPr>
        <w:t xml:space="preserv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1"/>
        </w:rPr>
        <w:t xml:space="preserve">由法定代表人签字并盖单位公章，随响应文件一并上传。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1.招标代理机构联系方式</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联系人：韩心雨、方东、孙夏卉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地址：南京市建邺区云龙山路58号大唐科技大厦A座14-15楼</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2.招标人联系方式</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联系人：庄老师、高老师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电话：025-85394773、025-85395355</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地址：江苏省南京市溧水区高山路1号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南京城市职业学院（南京开放大学）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智能网联汽车技术专业底盘线控系统实训室</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交货期：合同签订后45天内完成供货、安装调试并交付使用。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）采购人或对已发出的招标文件进行必要澄清或者修改的，将在招标文件要求提交投标文件截止时间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日前，在原招标公告媒体发布更正公告，该澄清或者修改的内容为招标文件的组成部分。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）在招标文件要求提交投标文件截止时间前，有权决定延长投标截止日期和开标日期，并在原采购信息发布媒体上发布变更公告。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）投标人应在投标截止时间前，关注原公告媒体有关本项目的更正公告，根据更正公告内容自行决定是否需要重新制作和提交投标文件，并承担由此产生的相应责任。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采购人不组织勘踏现场。投标人可自行勘踏，一切费用及后果由投标人自行承担。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_106.5万元__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4.6 提供的产品属于政府强制采购节能产品的，供应商应当选择依据国家标准中二级能效（水效）指标认证的节能产品投标，并提供有效的节能产品认证证书复印件。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 </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16.2如有招标代理费等相关服务费用，均由中标人支付。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费按照投资总金额计算，采用差额定率累进计费方式，参照“国家计委关于印发《招标代理服务收费管理暂行办法》的通知（计价格[2002]1980号）”中规定的收费标准的46%收取，不足2000元按2000元收取。请供应商予以关注并核算到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 </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 </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 </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22.2.7 </w:t>
      </w:r>
      <w:r>
        <w:rPr>
          <w:rFonts w:ascii="SimSun" w:hAnsi="SimSun" w:eastAsia="SimSun" w:cs="SimSun"/>
          <w:b/>
          <w:color w:val="000000"/>
          <w:sz w:val="21"/>
        </w:rPr>
        <w:t xml:space="preserve">实质性要求是指本招标文件中用“必须”或“应（应当）”等其他文字说明以及加注“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22.2.8 </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22.2.9 </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Times New Roman" w:hAnsi="Times New Roman" w:eastAsia="Times New Roman" w:cs="Times New Roman"/>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22.2.10 </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22.3.1 </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22.3.2 </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 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 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
        <w:gridCol w:w="246"/>
        <w:gridCol w:w="774"/>
        <w:gridCol w:w="900"/>
        <w:gridCol w:w="5369"/>
        <w:gridCol w:w="824"/>
        <w:gridCol w:w="3"/>
      </w:tblGrid>
      <w:tr>
        <w:trPr>
          <w:trHeight w:val="52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6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价格分采用低价优先法计算，即满足招标文件要求且投标报价最低的为评标基准价，其价格分为满分。其他供应商的价格分统一按照下列公式计算：投标报价得分=（评标基准价/投标报价）×30（小数点保留2位）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gridAfter w:val="1"/>
          <w:trHeight w:val="1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产品技术性能及配置响应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条款偏离表》进行评分，设备技术参数全部满足招标要求的得满分30分；打▲号为设备核心技术指标，共10项核心技术指标，投标人按照采购技术要求提供相关产品的证明材料。有一项负偏离扣3分，没有提供相关证明材料，经评委认定，本项得零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（各投标人务必按照各项技术要求在技术参数及偏离表中如实详细填列，需在技术参数偏离表标明相应证明材料的页码，未提供技术支持材料的不予认可。）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gridAfter w:val="1"/>
          <w:trHeight w:val="3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投标人针对本项目的实施步骤、运输计划、设计、安装、调试、验收计划、服务和运行验收测试计划及作业时间和资源进度表、保证措施、人员安排等编制实施方案。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方案内容全面具体，实施步骤、运输计划、设计、安装、调试等科学合理，可行性、可操作性强，措施完善的，得8分；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方案内容具体，实施步骤、运输计划、设计、安装、调试等较科学合理，可行性、可操作性较强，措施较完善的，得5分；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方案内容有缺失，可行性、可操作性较差的，得3分。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投标人针对本项目的师资培训计划、培训场次、培训内容、培训方式等编制培训方案，投标人还须明确列出培训计划的具体明细，如培训老师、培训地点、受训人数等。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方案内容全面具体，培训计划、培训场次、培训内容、培训方式等科学合理、措施完善的，得8分；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方案内容具体，培训计划、培训场次、培训内容、培训方式等较合理，可行性较强，措施较完善的，得5分；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方案内容有缺失，可行性、可操作性较差的，得3分。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投标文件提供售后服务方案，包含但不限于服务流程机制、服务内容、售后人员安排等内容。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服务流程机制先进合理，内容详细完善，人员安排符合项目建设要求的，得8分；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服务流程机制较先进合理，内容比较完善，人员安排较符合项目建设要求的，得5分；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服务流程机制不合理，内容不详细，人员安排不合理的，得3分；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1.投标人具备智能网联汽车技术赛事或新能源汽车专业赛事技术支持服务经验，有一次得1.5分，最高得3分；（注：提供赛事技术支持服务证明文件或相关赛事服务荣誉证书复印件并加盖投标人公章）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2.投标人承办过智能网联汽车技术或新能源汽车相关专业技术师资培训，有一次得1.5分，最高得3分。（注：提供培训通知材料及相关培训现场照片证明材料，复印件并加盖投标人公章）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3.投标人具备有效期内的质量管理体系认证证书，得1分。（提供证书复印件并加盖投标人公章）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gridAfter w:val="1"/>
          <w:trHeight w:val="2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团队人员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为保障本项目的实施质量与安全：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的技术服务人员具备汽车专业方向高级技师资格，有1份得1.5分，最高得3分，未提供不得分。（注：提供由职业技能认定等级机构颁发的职业技能等级证书复印件及投标人为技术服务人员缴纳的近三个月任意一个月社保证明加盖公章，不提供或提供不符合要求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本项目的技术服务人员具备国家应急管理部培训中心颁发的有效期内的新能源汽车行业从业人员安全培训合格证书，有1份得1.5份，最高得3分，未提供不得分。（注：提供证书复印件及投标人为技术服务人员缴纳近三个月任意一个月社保证明加盖公章，不提供或提供不符合要求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gridAfter w:val="1"/>
          <w:trHeight w:val="1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业绩案例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投标供应商提供自2023年1月1日（以合同签订时间为准）以来承接过的类似项目的合同复印件，每提供一个得1分，满分3分。未提供不得分。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注：提供合同扫描件并加盖投标人公章。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gridAfter w:val="1"/>
          <w:trHeight w:val="53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720" w:right="0" w:hanging="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一、项目概况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为主动适应汽车产业“新四化”技术革命，应对智能网联汽车产业对高素质技术技能人才的迫切需求，本项目旨在建设一个集教学、实训、辅助研发于一体的先进底盘线控系统专业实训室。本实训室建设严格遵循 “理实一体、软硬结合、分级递进” 的核心标准。整体规划以智能网联汽车线控底盘的技术架构为主线，系统集成部件级装调测试平台（如线控悬架、转向、制动/驱动、驻车系统）、系统级集成验证平台（线控底盘综合实训车）及整车级应用开发平台（自动驾驶线控底盘套装），并配套汽车智能化虚拟训练平台等信息化教学设备。实训项目由浅入深，形成从认知</w:t>
      </w:r>
      <w:r>
        <w:rPr>
          <w:rFonts w:ascii="FangSong" w:hAnsi="FangSong" w:eastAsia="FangSong" w:cs="FangSong"/>
          <w:color w:val="000000"/>
          <w:sz w:val="24"/>
          <w:highlight w:val="white"/>
        </w:rPr>
        <w:t xml:space="preserve">、装调、测试到系统集成、算法验证的完整能力培养闭环。</w:t>
      </w:r>
      <w:r/>
    </w:p>
    <w:p>
      <w:pPr>
        <w:ind w:left="720" w:right="0" w:hanging="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二、项目要求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（一）总体需求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需建成一个技术先进、功能完备、安全可靠、教学实用的智能化实训平台。总体要求实现"虚实结合、软硬联动、数据驱动、开放共享"，能够支撑智能网联汽车技术专业群在底盘线控系统方面的认知、实训、开发、创新全流程教学需求，并具备一定的社会服务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（二）项目实施要求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1、组织保障：成立由领导牵头，专业负责人、教务等部门协同的项目管理小组，明确分工，责任到人。</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2、进度管理：制定详尽的甘特图，明确各阶段里程碑节点，实行月度进度汇报与协调机制，确保项目按期推进。</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3、资金管理：严格执行预算，专款专用。大额支付需经过集体决策和审计流程，确保资金使用规范、透明、高效。</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4、风险管控：识别技术风险（如设备兼容性）、实施风险（如工期延误）和人员风险（如师资能力不足），并制定相应的预案。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（四）人员要求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1、项目团队：核心团队成员需具备智能网联汽车相关领域知识，熟悉职业教育规律和实训室建设流程。</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2、师资配备：须配备至少4名熟练掌握线控底盘技术的"双师型"骨干教师。</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3、项目实施期内，所有专业教师需完成供应商提供的系统操作与维护培训，并至少参与1次企业实践或高级别技术培训。</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4、管理专员：实训室须设专职或兼职管理员，负责日常运维、设备保养、耗材管理和安全监督。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（五）项目分包与转包要求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整个项目分成两个采购包，本项目不接受分包或转包，设备须由中标供应商自主集成并提供原厂质保。</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采购包一线控底盘综合设备采购，共计106.5万元。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采购包二线控底盘各子系统设备采购，共计82万元。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（六）知识产权及保密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1、知识产权归属： 供应商提供的商业软件、硬件产品的知识产权归原权利人所有，校方拥有永久使用权。为本项目开发的定制化教学资源（包括但不限于实训指导书、课件、视频、试题库、虚拟仿真模型等），其知识产权归南京城市职业学院所有。</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2、授权保证： 供应商须保证所提供产品不侵犯任何第三方知识产权，如发生侵权纠纷，由供应商承担全部法律责任并赔偿校方损失。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3、保密义务： 供应商对项目实施过程中接触到的校方非公开信息（包括教学方案、未公开数据等）负有保密义务，未经校方书面同意不得泄露或用于本项目之外的任何目的。</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4、源代码（如涉及）： 若为本项目进行定制开发软件，供应商须交付相关模块的源代码及技术文档。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（七）系统建设成果要求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1、硬件环境与功能目标全面达成：所有硬件设备安装就位、运行正常，环境改造全部完工，实现“交钥匙”标准；全套设备、软件及工具100%实现招标文件约定的各项实训功能，全面满足教学需求。</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化、文档化与可持续保障体系完整建立：完整交付设备操作、维护、教学、考核等全套纸质与电子资料；同时明确未来3–5年的软件升级、设备维保及技术支持方案，保障实训室持续适配技术迭代与教学发展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3、师资培训与课程建设：完成专业教师团队首轮设备操作与维护培训（≥40课时）；支持校本教材开发，智慧课程建设。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4、就业服务支持：推荐或提供实习就业岗位，促进人才培养与产业需求对接，持续服务学生职业发展与专业建设。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三、服务要求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有硬件设备、软件系统、配套工具及实训耗材均为全新原厂正品，无翻新、改装、返修、拼装产品，符合国家现行安全标准、行业技术规范及招标文件技术参数要求，设备外观、材质、工艺、性能均达到采购约定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FangSong" w:hAnsi="FangSong" w:eastAsia="FangSong" w:cs="FangSong"/>
          <w:b/>
          <w:color w:val="000000"/>
          <w:sz w:val="24"/>
        </w:rPr>
        <w:t xml:space="preserve">整体项目整机免费质保期不少于 3 年，线控底盘核心控制器、工控机、传感器、专用教学软件等关键部件免费质保期不少于 5 年；质保期内非人为损坏的零部件、软件故障由供应商免费维修、更换、升级，不收取任何材料费、人工费、差旅费。（提供承诺函并加盖投标人公章，未提供按无效投标处理）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质保期自项目整体竣工验收合格、正式移交之日起计算。质保期满后，供应商需提供终身成本价维修服务，并长期保障备品、备件供应，配件价格提前书面公示，不得随意涨价。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设备整体具备良好的环境适应性、稳定性与耐用性，满足职业院校高频次、高强度实训教学使用；软件系统运行稳定，无闪退、卡顿、数据错乱等问题，定期免费推送版本优化、漏洞修复及功能升级。</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供应商保证本项目所提供的全部货物、软件系统、教学资源、技术资料等，拥有合法完整的所有权、使用权、著作权、专利权及其他知识产权，不存在任何权属争议。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本项目所用软件均为正版授权，提供完整授权证书、激活文件及授权证明，授权范围满足校内教学、实训、考核、教研等全部使用场景，支持校内多终端正常使用，无使用时长、功能、端口限制。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若因产品权属、知识产权、商标、专利等问题引发第三方投诉、诉讼、索赔，全部责任由供应商承担，须及时处理纠纷并赔偿采购方因此产生的一切经济损失、声誉损失及相关费用，同时采购方有权追究供应商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项目交付的定制化课程资源、实训案例、故障题库等资料，采购方享有永久校内使用权，可用于教学、修改、内部二次编辑，未经采购方书面许可，供应商不得将相关资料转售、泄露给任何第三方。</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项目实施、安装调试、验收、培训期间，派驻专项项目工程师全程驻场，负责现场对接、设备调试、问题整改、技术答疑，直至项目正式交付。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质保期内，安排固定运维对接人，建立一对一服务机制，专人负责本项目设备日常技术支持、故障排查、定期巡检；服务人员上岗前须完成校方安全、管理规定培训，严格遵守校园管理制度。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供应商如需更换售后服务人员，须提前 7 个工作日书面告知采购方，并确保新任人员技术能力不低于原人员标准，保证服务衔接不间断。</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服务响应时间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提供7×8小时技术支持，故障响应≤2小时，远程无法解决时24小时内到达现场；紧急故障修复≤48小时。</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供应商需提供全流程、分层级、常态化免费培训服务，培训场地、基础实训耗材由采购方提供，培训讲师、课件、实操资料由供应商负责，所有培训不计额外费用。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项目整体验收后半年内，组织不少于 2 次集中深度培训，培训时长不少于40小时。内容覆盖各实训台拆装调试、系统标定、故障设置与诊断、CAN 总线应用、软件编程、数据采集分析、ADAS 功能调试、虚拟仿真平台使用等全套专业技能。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项目交付后 1 年内，提供不少于 1 次行业前沿技术培训或企业现场实践学习，内容围绕智能网联汽车线控底盘新技术、行业应用、课程开发、技能竞赛指导等，助力教师提升 “双师” 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（六）违约及赔偿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若供应商未按照合同约定工期完成供货、安装、调试及交付，每逾期 1 天，按项目合同总金额的 0.5‰向采购方支付违约金；逾期超过 15 日，采购方有权单方面解除合同，供应商须全额退还已支付款项，并承担由此造成的全部损失。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供货设备、软件、技术参数与招标文件、投标承诺、合同约定不符，存在以次充好、缺项漏项、功能缺失、参数不达标等问题，供应商须无条件限期更换、整改，同时按对应设备货值的 20% 支付违约金；整改后仍无法达到使用要求的，采购方有权拒收货物、解除合同，供应商赔偿全部经济损失。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售后服务未按约定响应、到场、修复故障，每出现一次违规情况，供应商支付违约金500–2000元；因服务滞后造成教学中断、实训无法开展的，额外承担相应损失。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质保期内，设备频繁出现同类故障且多次维修仍无法正常使用，供应商须免费更换全新同规格产品；若因设备质量问题引发人身安全、财产损失，所有赔偿责任由供应商全额承担。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本条款约定的违约金、赔偿金，采购方有权从当期应支付款项中直接抵扣，不足部分采购方依法继续追偿。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720" w:right="0" w:hanging="7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四、产品要求</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采购包一线控底盘综合设备采购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（一）产品清单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7"/>
        <w:gridCol w:w="5369"/>
        <w:gridCol w:w="834"/>
        <w:gridCol w:w="842"/>
      </w:tblGrid>
      <w:tr>
        <w:trPr>
          <w:trHeight w:val="36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线控底盘综合测试实训车平台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线控底盘综合测试教学系统V3.0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线控底盘装调测试平台套装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线控底盘技术装调标定工具套装设备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智能网联汽车零部件套装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汽车智能化设备安装调试虚拟训练平台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环境改造与文化布置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bl>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（二）产品功能及配置要求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1、线控底盘综合测试实训车平台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该产品通过部署线控转向、线控驱动、线控制动的原理、结构、装调、故障诊断、数据检测及考核功能。可完成车辆线控底盘故障检修及应用、车辆线控驱动故障检修及应用、车辆线控转向故障检修及应用、车辆线控制动故障检修及应用、车辆加速异常故障检修、车辆制动拖滞故障检修。包括但不限于以下可实现功能：</w:t>
      </w:r>
      <w:r/>
    </w:p>
    <w:p>
      <w:pPr>
        <w:numPr>
          <w:ilvl w:val="0"/>
          <w:numId w:val="21"/>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上位机对线控转向、驱动、制动系统进行独立参数设置，至少包括工作模式、转向角度、零点位置、车速、加速度、挡位、制动压力，电机行程等参数的设置，数据可视化，多种数据源输入，可调用实时数据，录制的数据包、仿真实训台输出控制数据。</w:t>
      </w:r>
      <w:r/>
    </w:p>
    <w:p>
      <w:pPr>
        <w:numPr>
          <w:ilvl w:val="0"/>
          <w:numId w:val="21"/>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产品具备线控融合功能，通过对线控系统各个模块的联合标定，实现线控融合结果输出，并在界面上同时显示或控制。</w:t>
      </w:r>
      <w:r/>
    </w:p>
    <w:p>
      <w:pPr>
        <w:numPr>
          <w:ilvl w:val="0"/>
          <w:numId w:val="21"/>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典型故障设置与智能诊断，预设车辆直行跑偏、加速异常、制动拖滞等典型故障，使用CAN总线分析仪进行故障诊断与排除；</w:t>
      </w:r>
      <w:r/>
    </w:p>
    <w:p>
      <w:pPr>
        <w:numPr>
          <w:ilvl w:val="0"/>
          <w:numId w:val="21"/>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高阶ADAS功能应用验证，支持基于线控底盘实现LKA车道保持、ACC自适应巡航、AEB自动紧急刹车等功能的场景搭建与算法验证。</w:t>
      </w:r>
      <w:r/>
    </w:p>
    <w:p>
      <w:pPr>
        <w:numPr>
          <w:ilvl w:val="0"/>
          <w:numId w:val="21"/>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提供硬件在环仿真测试：基于开源自动驾驶仿真软件Carla，支持自动驾驶，手动驾驶，路径规划三大功能，并且三种功能可以通过上位机软件实时自由切换。启动仿真软件后，仿真小车会出现在地图场景中，此时可以选择驾驶模式。支持自动驾驶仿真，小车可以在仿真地图中按照交通规则以及交通信号进行自动驾驶；根据智能驾驶仿真软件，可完成以下仿真测试： </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线控转向LKA车道保持系统仿真测试；</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线控转向故障仿真测试；</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线控驱动ACC自适应巡航控制系统仿真测试；</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线控驱动故障仿真测试；</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线控制动AEB自动紧急刹车系统仿真测试；</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线控制动故障仿真测试。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（提供测试截图证明材料。）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1）产品尺寸：线控底盘运行展台：3540±20×2250±20×220±20 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教学实训线控底盘车辆：3100±20×1480±20×1380±20mm</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硬件系统技术参数：</w:t>
      </w:r>
      <w:r/>
    </w:p>
    <w:p>
      <w:pPr>
        <w:numPr>
          <w:ilvl w:val="0"/>
          <w:numId w:val="24"/>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线控转向系统：转向轴最大载荷：500Kg；传感器类型：TAS；角度分辨率：0.1°；角度控制精度：1°；响应时间：&lt;100ms；防护等级：EPS-IP67、ECU-IP52</w:t>
      </w:r>
      <w:r/>
    </w:p>
    <w:p>
      <w:pPr>
        <w:numPr>
          <w:ilvl w:val="0"/>
          <w:numId w:val="24"/>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线控制动系统：电子液压线控制动总成：主缸直径：25.4mm；最大压力：12MPa；压力精度：0.2MPa；响应时间：&lt;100ms；防护等级：IP67；</w:t>
      </w:r>
      <w:r/>
    </w:p>
    <w:p>
      <w:pPr>
        <w:numPr>
          <w:ilvl w:val="0"/>
          <w:numId w:val="24"/>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线控驱动系统： 2.5KW永磁同步电机控制器；工作电压：42~56V（标准48V）；最大电流：80A；工作温度：-40℃~105℃；控制器温度保护、电机温度保护；防护等级：IP65；</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通讯方式：CAN</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平台需开放CAN协议及数据接口，支持二次开发与功能扩展；</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线控底盘车辆可实现4种控制模式满足教学实训要求：手动控制模式、遥控模式、线控模式、仿真测试模式。</w:t>
      </w:r>
      <w:r>
        <w:rPr>
          <w:rFonts w:ascii="FangSong" w:hAnsi="FangSong" w:eastAsia="FangSong" w:cs="FangSong"/>
          <w:b/>
          <w:color w:val="000000"/>
          <w:sz w:val="24"/>
        </w:rPr>
        <w:t xml:space="preserve">（投标文件中提供实物场景设备的上述4种控制模式功能照片、操作截图及操作视频材料，压缩后视频资料不大于50MB作为附件上传。）</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提供产品使用说明书、实训指导书、故障案例库，以及相关功能演示操作视频。</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具备新能源汽车线控底盘综合测试实训装置带“CMA”标识的检验报告</w:t>
      </w:r>
      <w:r>
        <w:rPr>
          <w:rFonts w:ascii="FangSong" w:hAnsi="FangSong" w:eastAsia="FangSong" w:cs="FangSong"/>
          <w:b/>
          <w:color w:val="000000"/>
          <w:sz w:val="24"/>
        </w:rPr>
        <w:t xml:space="preserve">（提供相关检验报告材料）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2、线控底盘综合测试教学系统V3.0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color w:val="000000"/>
          <w:sz w:val="24"/>
        </w:rPr>
        <w:t xml:space="preserve">本系统为与底盘线控系统综合实训车平台深度集成的教学软件，其核心是为硬件实训提供完整的数据交互、控制与教学支持平台。软件性能专注于教学场景下的稳定性、实时性与扩展性。其采用高效的Qt框架与C++开发，确保底层通信与控制响应的实时性，满足底盘线控教学对低延时（通常要求&lt;100ms）的需求。软件支持Windows 10/11系统，具有良好的平台兼容性，并能解析多种格式（exe/swf/html）的教学资源文件。安全性上，通过硬件加密技术保障控制指令与车辆数据在传输、存储过程中的安全，防止教学过程中的非法访问与数据</w:t>
      </w:r>
      <w:r>
        <w:rPr>
          <w:rFonts w:ascii="FangSong" w:hAnsi="FangSong" w:eastAsia="FangSong" w:cs="FangSong"/>
          <w:color w:val="000000"/>
          <w:sz w:val="24"/>
        </w:rPr>
        <w:t xml:space="preserve">篡改。包括但不限于以下可实现功能：</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可通过CAN网络实时获取并显示车辆数据，包括车辆速度、车辆转向角度等；</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可实时监控车辆系统状态；</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可实时监测车辆三个电机驱动器信息；</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可对车辆转向零点进行设置，通过CAN网络实现对车辆零点进行设置；</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拥有两种控制模式，手动模式使用方向盘与踏板实现控制，线控模式使用软件控制，两种控制方式皆以CAN网络实现数据交互；</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底盘线控功能：通过CAN网络数据交互实现对车辆的转向系统、驱动系统和制动系统进行控制；</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底盘线控装配：用户可根据软件中提供的装配视频进行学习。 </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用户界面：包含车辆系统状态、车辆电机驱动器信息、车辆转向零点设置、底盘线控功能，方便用户快速导航。</w:t>
      </w:r>
      <w:r>
        <w:rPr>
          <w:rFonts w:ascii="FangSong" w:hAnsi="FangSong" w:eastAsia="FangSong" w:cs="FangSong"/>
          <w:b/>
          <w:color w:val="000000"/>
          <w:sz w:val="24"/>
        </w:rPr>
        <w:t xml:space="preserve">（投标文件中提供系统功能截图及相关演示视频材料，压缩后视频资料不大于50MB作为附件上传。）</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网联仿真测试平台：基于交通场景模拟仿真软件，在计算机中搭建预设的交通环境，并在仿真软件提供的环境下开展智能车行为决策、路径规划等仿真实验。学生可自行设计进行仿真实验，用于学习智能车辆行为决策、约束条件、路径规划等核心内容。同时通过决策规划仿真实训台架熟悉自动驾驶系统的构成、操作和应用。通过实训台架的联动功能，连接线控底盘实训台，实现更丰富的教学、演示、实验功能。</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虚拟仿真软件，软件中提供搭建好的交通情景环境，也可通过情景搭建软件自行搭建交通环境进行仿真实验；可以仿真任意晴天、雨天、雪天等不同天气、光照条件的场景进行测试；可生成随机或预设的交通流，可输出各种传感器数据。</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提供自动驾驶系统，自动驾驶系统包含感知、定位、规划、控制等模块，各模块可常工作并演示；可通过点云地图或者高精地图，控制仿真软件中的仿真车自动驾驶。</w:t>
      </w:r>
      <w:r/>
    </w:p>
    <w:p>
      <w:pPr>
        <w:numPr>
          <w:ilvl w:val="0"/>
          <w:numId w:val="2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提供地图制作工具，可控制虚拟仿真系统中的仿真车行驶于模拟场景，通过仿真系统的激光雷达数据制作点云地图；可根据搭建的场景制作高精地图。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产品配置要求：</w:t>
      </w:r>
      <w:r/>
    </w:p>
    <w:p>
      <w:pPr>
        <w:numPr>
          <w:ilvl w:val="0"/>
          <w:numId w:val="26"/>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操作系统和硬件要求：</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支持的操作系统：Windows 10/11（64位）</w:t>
        <w:br/>
        <w:t xml:space="preserve">显示设备：不小于50寸</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CPU:6核12线程，主频2.9G，三级缓存12M。</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GPU:独立图像处理器，CUDA处理器数量3584，显存频率15Gbps，显存容量12GDDR6；</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内存：16GBLPDDR4x2666MhZ。</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存储：固态硬盘500GB。</w:t>
      </w:r>
      <w:r/>
    </w:p>
    <w:p>
      <w:pPr>
        <w:numPr>
          <w:ilvl w:val="0"/>
          <w:numId w:val="27"/>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接口：网络为千兆以太网+WiFi，USB3.0。</w:t>
      </w:r>
      <w:r/>
    </w:p>
    <w:p>
      <w:pPr>
        <w:numPr>
          <w:ilvl w:val="0"/>
          <w:numId w:val="26"/>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软件架构和开发环境要求：</w:t>
      </w:r>
      <w:r/>
    </w:p>
    <w:p>
      <w:pPr>
        <w:ind w:left="1265" w:right="0"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a.架构：采用Qt CreatorIDE 制作，它是集成开发环境，为Qt应用程序开发而设计。Qt可使用C++库，支持开发GUI应用程序，适用于非图形化应用程序。Qt Creator提供工具集，支持Qt应用的开发、调试和测试。</w:t>
      </w:r>
      <w:r/>
    </w:p>
    <w:p>
      <w:pPr>
        <w:ind w:left="1265" w:right="0"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b.开发语言：C++，应用于系统编程、嵌入式系统、应用程序开发以及高性能计算等领域。</w:t>
      </w:r>
      <w:r/>
    </w:p>
    <w:p>
      <w:pPr>
        <w:ind w:left="1265" w:right="0"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3、线控底盘装调测试套装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本平台是一套集成化的线控底盘教学系统，用于智能网联汽车技术实践教学。它具备三大核心教学功能：线控系统装调测试（学生可亲手进行转向、驱动、制动等底盘线控系统的拆装、标定与参数设置）；智能驾驶功能实训（平台搭载传感器与计算单元，可实现自动循迹、紧急避障、定点停靠等自动驾驶功能演示与算法验证）；故障诊断与开发（可设置系统故障供学生排除，并开放软件代码与接口，支持基于ROS等框架的二次开发与创新实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平台性能稳定可靠，满足高强度教学需求。其线控底盘具备不低于2m/s的速度、200kg的负载能力及3小时续航；感知系统包含激光雷达、摄像头等，支持精确环境感知；计算单元采用高性能处理器与独立显卡，保障算法实时运行。平台工作温度范围宽，防护等级达IP54以上，适合室内外多种教学场景。包括但不限于以下可实现功能：</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支持行人横穿马路、行人沿道路行走的识别及避让功能</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支持对前方行驶车辆状态识别及超车的功能；支持障碍物、物体类别检测及车道线信息识别功能；</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支持红绿灯变换等待行驶功能</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自动紧急制动：支持前车静止场景；支持前车制动场景；支持行人横穿马路场景；</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支持自动驾驶模式与手动驾驶模式切换；</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支持激光雷达、IMU、里程计的融合导航功能，既能选择单独使用激光雷达导航，也能实现激光雷达+IMU融合导航，也能实现激光雷达+里程计融合导航；</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支持激光雷达和视觉传感器的融合标定功能，能实现激光雷达和视觉传感器融合标定结果的可视化，能实现运动状态中激光雷达点云图的聚类效果；</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支持超声被雷达的侧方位泊车功能；支持超声波雷达的停障功能； </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可实现感知传感器类的故障设置；</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可实现读取和解析激光雷达、IMU等传感器数据、并转换为ROS话题输出；</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可实现结合车辆位姿及障碍物信息，创建周边障碍物地图；</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可实现进行路径规划，并结合障碍物地图信息，生成局部坐标系下无碰撞的期望路径；</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可实现根据期望路径和车辆状态，计算输出驱动系统、制动系统及转向系统的期望执行值；</w:t>
      </w:r>
      <w:r/>
    </w:p>
    <w:p>
      <w:pPr>
        <w:numPr>
          <w:ilvl w:val="0"/>
          <w:numId w:val="19"/>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可实现在可视化界面遥控车辆、设置导航点、下发任务、显示车辆状态。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产品主要配置参数：</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1）线控底盘</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能源类型：纯电动</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车辆规格：1500×810×2000mm（±50mm）（长×宽×高）</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整车质量：≤220kg</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垂直负载：≥200kg</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悬挂形式：四轮独立悬挂</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底盘主要材质：采用普通碳素结构钢</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离地间隙：≥110mm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轴距：≥800mm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轮距：≥630mm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最大车速： 8km/h</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续航时间：≥4H（静态）</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最小转弯半径：≤2.5m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涉水深度：≥100mm</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2）线控驱动/制动系统</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驱动电机类型：直流无刷电机</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驱动电机功率：400W*2</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线控驱动系统：≥1000脉冲，线控控制精度1脉冲</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制动方式：电机制动</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驻车方式：伺服驻车</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3）线控转向系统</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转向电机类型：直流无刷电机</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转向电机功率：≥400W</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线控转向精度：±0.5°</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转向形式：前转后驱阿克曼转向</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4）底盘控制系统</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主频：72MHz</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需要有硬件浮点加速</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通信接口：支持CAN接口</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通讯协议：支持CAN2.0B</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有运动学解析</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5）动力电池系统</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电池：48V/20AH</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电池正极材料：锂电池</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BMS系统：支持485通讯</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充电时间：≤4小时</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充电方式：48V/8A充电器手动充电</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对外供电：48V/10A、24V/15A、12V/15A</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6）灯光系统</w:t>
      </w:r>
      <w:r/>
    </w:p>
    <w:p>
      <w:pPr>
        <w:ind w:left="1265" w:right="-105"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a.转向灯：在手动遥控和自动驾驶过程中转向时会自动点亮，2个</w:t>
      </w:r>
      <w:r/>
    </w:p>
    <w:p>
      <w:pPr>
        <w:ind w:left="1265" w:right="-105"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b.制动灯/减速指示灯/故障指示灯：安装于车辆尾部，红色警示灯，1个</w:t>
      </w:r>
      <w:r/>
    </w:p>
    <w:p>
      <w:pPr>
        <w:ind w:left="1265" w:right="0" w:hanging="4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c.自动驾驶提示显示屏：安装在车辆前部，显示屏长宽600mm*120mm，显示内容可通过APP自定义，出厂显示内容为：滚动播放：自动驾驶，保持距离。</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7）激光雷达</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线束：16线</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激光波段：905nm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测距能力：0.5m~120m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精度：±2cm（典型值）</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视角（垂直）：30°（-15°~ 15°）</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视角（水平）：360°</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水平角度分辨率：0.09°(5Hz)  0.18°(10Hz)  0.36°(20Hz)</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数据传输方式 UDP/IP Ethernet（100Mbps）</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8）超声波雷达</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最远探测距离：≥450cm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输入电压9-36V</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测量精度±(1+S*0.3%)cm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4)100cm 参考角度：≈60°</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9）视觉传感器</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分辨率：1280×720</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最高帧率：30帧</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像素尺寸 ：3µm x3µm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灵敏度：3300mV/Lux-sec</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图像区域：3852µmx2172µm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接口：USB，支持USB3.0</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10）IMU</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加速度计：</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量程：±16G</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零偏稳定性＜ 40μg</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线度＜0.1%FS</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带宽：500Hz，</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正交性误差±0.05°</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刻度因子误差：300ppm</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陀螺仪</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量程±2000°/s</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零偏稳定性＜ 10°/hr</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线性度＜0.1%FS</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带宽500Hz</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正交性误差±0.05°</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刻度因子误差1000ppm</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磁力计：</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量程±1000uT</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线性度＜0.1%Fs</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带宽400 Hz</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正交性误差±0.1°</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11）毫米波雷达</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频率:24G-24.25GHZ</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扫频带宽:250MHz</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调制方式:FMCW</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供电要求:5V(Typ.)/供电能力&gt;300mA</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探测角度:±20°</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检测距离:最大感应距离100m</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环境温度:-40℃~+85℃C</w:t>
      </w:r>
      <w:r/>
    </w:p>
    <w:p>
      <w:pPr>
        <w:numPr>
          <w:ilvl w:val="0"/>
          <w:numId w:val="1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数据格式:串口ASCII输出、GPIO电平输出</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12）自动驾驶处理器</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CPU： 麒麟9000c</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运行内存：≥8G</w:t>
      </w:r>
      <w:r/>
    </w:p>
    <w:p>
      <w:pPr>
        <w:ind w:left="0" w:right="-105" w:firstLine="9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SSD硬盘：≥512G</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系统：银河麒麟操作系统</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显示输出接口：1*HDMI,1*VGA</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 接口：5×USB3.2；1×LAN口;1×音频输出口；1×音频输入口</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13）CAN收发器：支持CAN与USB之间收发</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14）USB集线器接口：≥6个USB接口</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15）定位软件</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支持根据IMU特性配置IMU标定参数；</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支持实时发布接受传感器数据；</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支持通过RVIZ或者APP,观察定位情况。</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16）感知软件</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w:t>
      </w:r>
      <w:r>
        <w:rPr>
          <w:rFonts w:ascii="SimSun" w:hAnsi="SimSun" w:eastAsia="SimSun" w:cs="SimSun"/>
          <w:color w:val="000000"/>
          <w:sz w:val="21"/>
        </w:rPr>
        <w:t xml:space="preserve">▲</w:t>
      </w:r>
      <w:r>
        <w:rPr>
          <w:rFonts w:ascii="FangSong" w:hAnsi="FangSong" w:eastAsia="FangSong" w:cs="FangSong"/>
          <w:color w:val="000000"/>
          <w:sz w:val="24"/>
        </w:rPr>
        <w:t xml:space="preserve">激光雷达调试软件</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可实时点云数据显示：选择对应的雷达型号，确认后即看到点云数据；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可离线录制和播放；</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可视图切换；可切换前视图，俯视图和左视图切换</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可设置网格线显示与隐藏</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通道选择：可选择让其中的某一个或某几个通道的数据显示</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单帧存储csv文件，包括：空间坐标、反射率、水平角度、距离和时间戳</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实时显示当前点云信息，包括：空间坐标、反射率、水平角度、距离和时间戳</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单波和多播模式切换</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可设置视图模式切换 ，并可设置以下视图：按水平角显示、按距离显示 按反射强度显示、按激光束线序显示、按时间戳显示、按垂直角度显示</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可获取雷达设备信息和参数配置，可获取雷达的Moto State、Moto PRM、Local time、Serial Number、Lidar IP、Data Port、Lidar Mac、Host IP、Config Port、GPS time 、IMU Time、IMU Temp、IMU_acceleration_x、IMU_acceleration_y、IMU_acoeleration_z、DMU_angular_vel_x、IMU_angular_vel_y 、IMU_ingular_vel_z</w:t>
      </w:r>
      <w:r/>
    </w:p>
    <w:p>
      <w:pPr>
        <w:ind w:left="0" w:right="-105" w:firstLine="723"/>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（提供以上所有激光雷达调试软件功能界面截图）</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超声波调试模块</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支持超声波雷达数据调试；</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支持接入超声波雷达，可实时显示超声波雷达模块的连接状态，可通过指示图标实时显示8个超声波雷达的状态，可同时采集8个超声波雷达探测到的障碍物距离，能够显示超声波雷达的布局，可进行障碍物的预警。</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软件支持超声波雷达端口修改、数据波特率配置、超声波等待时间修改，提供对应修改文件。</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摄像头调试模块</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支持通过配置文件查看设备号、标定文件、帧率、图像分辨率等参数；</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软件支持接入四个鱼眼摄像头,可显示四个摄像头的状态，通过指示图标可判断摄像头的状态；</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软件可设置摄像头数据照相格式：可设置（JPG）MIPG格式或（BMP）YUY2两种格式；</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提供对应的执行指令，在系统终端中输入对应的指令可以调用相机对应的功能包并弹出对应的相机拍摄画面。</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提供修改操作指南，修改指定的launch文件可以修改调用的相机画面，</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支持打开新终端，通过选择话题名称的方式显示摄像头图像；</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  IMU调试模块</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支持配置话题名称、波特率、设备串口号、Frame_id等参数；</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提供对应的执行指令，在系统终端中输入对应的指令可以调用IMU对应的功能包并弹出对应的IMU画面。</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F.毫米波雷达调试：支持显示移动物体的速度和距离信息</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17）建图软件</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支持参数设置，包括IMU话题名、轮式底盘话题名、Lidar话题名、ros基础参数等；</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支持以指令启动Lidar、IMU和底盘通信；</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支持录制数据和播放数据；</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支持数据播放设置，可设置播放速率参数。</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18）路径规划软件</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支持参数设置，包括开启碰撞检测、碰撞距离、最小停止距离、轨迹分辨率、标准差等；</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支持设置车辆位置、终点位置；</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19）控制软件</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支持参数设置，包括前瞻距离（最大距离和最小距离）、急停距离、前后轮轮距等；</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支持以指令启动控制模块功能；</w:t>
      </w:r>
      <w:r/>
    </w:p>
    <w:p>
      <w:pPr>
        <w:numPr>
          <w:ilvl w:val="0"/>
          <w:numId w:val="20"/>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支持窗体查看控制过程中的运行日志。</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20）标定软件</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摄像头标定模块</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支持摄像头录制数据和回放数据；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支持通过内参标定配置文件查看标定板参数、标定结果路径、保存图像命令、标定图像话题名等；</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支持通过外参标定配置文件查看图像话题名称、摄像头初始参数、外参文件路径等；</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IMU标定模块</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支持IMU数据录制和回放数据；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支持通过内参标定配置文件查看IMU话题名称、保存文件夹路径、时间限制等；</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支持从bag读取标定数据，包括gyr_n、gyr_w、acc_n、acc_w等。</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21）故障设置系统</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提供件故障设置，可在线设置软件故障,能够满足感知传感器拆装、调试、测试、故障诊断、标定等教学任务。</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软件故障需包括但不限于以下内容：</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相机设备缺失故障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摄像头图像参数设置故障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激光雷达连接异常故障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激光雷达无数据故障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IMU端口错误故障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IMU数据错误故障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超声波端口配置错误故障</w:t>
      </w:r>
      <w:r/>
    </w:p>
    <w:p>
      <w:pPr>
        <w:ind w:left="0" w:right="-105" w:firstLine="7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超声波数据错误故障</w:t>
      </w:r>
      <w:r/>
    </w:p>
    <w:p>
      <w:pPr>
        <w:ind w:left="0" w:right="-105"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22）多传感器功能集成化可视化操作软件</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传感器功能集成化可视化操作软件，主要用于显示实验平台上各类传感器在系统上的基本使用、功能展示以及界面数据可视化。涉及的传感器包含相机、超声波雷达、多线雷达、IMU惯性测量单元、底盘数据、BMS电池管理系统。可用于多传感器ROS模块化系统学习、简单的故障诊断等教学任务。</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多传感器功能集成化可视化操作软件包括以下功能：</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a.相机：</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支持串口设置不同编号启动相机；</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支持ROS节点开启相机，可通过订阅话题查看相机数据；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支持ROS节点启动相机AI物体识别功能。</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w:t>
      </w:r>
      <w:r>
        <w:rPr>
          <w:rFonts w:ascii="SimSun" w:hAnsi="SimSun" w:eastAsia="SimSun" w:cs="SimSun"/>
          <w:color w:val="000000"/>
          <w:sz w:val="21"/>
        </w:rPr>
        <w:t xml:space="preserve">▲</w:t>
      </w:r>
      <w:r>
        <w:rPr>
          <w:rFonts w:ascii="FangSong" w:hAnsi="FangSong" w:eastAsia="FangSong" w:cs="FangSong"/>
          <w:color w:val="000000"/>
          <w:sz w:val="24"/>
        </w:rPr>
        <w:t xml:space="preserve">超声波雷达</w:t>
      </w:r>
      <w:r>
        <w:rPr>
          <w:rFonts w:ascii="FangSong" w:hAnsi="FangSong" w:eastAsia="FangSong" w:cs="FangSong"/>
          <w:b/>
          <w:color w:val="000000"/>
          <w:sz w:val="24"/>
        </w:rPr>
        <w:t xml:space="preserve">（提供基于该操作软件关于超声波雷达功能的界面截图、演示视频，要求截图和演示视频均能清晰显示下述三种功能，压缩后视频资料不大于50MB作为附件上传。）</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支持串口启动超声波雷达，超声波雷达测距信息可视化；</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支持ROS节点开启超声波雷达，订阅话题查看超声波雷达数据；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支持车辆行驶时超声波停障功能，可调节行驶距离、速度、避障距离参数。</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多线激光雷达</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支持ROS节点开启多线雷达，订阅话题查看多线雷达数据；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支持激光雷达点云数据可视化。</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  IMU惯性测量单元</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支持串口启动IMU惯性测量单元，IMU九轴姿态数据可视化（陀螺仪、加速度计、磁力计）；</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支持ROS节点开启IMU，订阅话题查看IMU数据；</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支持车辆里程计行驶路径可视化功能。</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e、</w:t>
      </w:r>
      <w:r>
        <w:rPr>
          <w:rFonts w:ascii="SimSun" w:hAnsi="SimSun" w:eastAsia="SimSun" w:cs="SimSun"/>
          <w:color w:val="000000"/>
          <w:sz w:val="21"/>
        </w:rPr>
        <w:t xml:space="preserve">▲</w:t>
      </w:r>
      <w:r>
        <w:rPr>
          <w:rFonts w:ascii="FangSong" w:hAnsi="FangSong" w:eastAsia="FangSong" w:cs="FangSong"/>
          <w:color w:val="000000"/>
          <w:sz w:val="24"/>
        </w:rPr>
        <w:t xml:space="preserve">底盘数据</w:t>
      </w:r>
      <w:r>
        <w:rPr>
          <w:rFonts w:ascii="FangSong" w:hAnsi="FangSong" w:eastAsia="FangSong" w:cs="FangSong"/>
          <w:b/>
          <w:color w:val="000000"/>
          <w:sz w:val="24"/>
        </w:rPr>
        <w:t xml:space="preserve">（提供基于该操作软件关于底盘数据功能的截图及演示视频，要求截图及演示视频能清晰显示“转向角、行驶速度、电量状态、急停状态”等四种功能，压缩后视频资料不大于50MB作为附件上传。）</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支持启动底盘数据信息可视化，如转向角、行驶速度、急停状态等；</w:t>
      </w:r>
      <w:r>
        <w:rPr>
          <w:rFonts w:ascii="FangSong" w:hAnsi="FangSong" w:eastAsia="FangSong" w:cs="FangSong"/>
          <w:b/>
          <w:color w:val="000000"/>
          <w:sz w:val="24"/>
        </w:rPr>
        <w:t xml:space="preserve">（需在投标文件中提供软件界面截图）</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支持ROS节点开启底盘数据，订阅话题查看底盘数据；</w:t>
      </w:r>
      <w:r>
        <w:rPr>
          <w:rFonts w:ascii="FangSong" w:hAnsi="FangSong" w:eastAsia="FangSong" w:cs="FangSong"/>
          <w:b/>
          <w:color w:val="000000"/>
          <w:sz w:val="24"/>
        </w:rPr>
        <w:t xml:space="preserve">（需在投标文件中提供软件界面截图）</w:t>
      </w:r>
      <w:r/>
    </w:p>
    <w:p>
      <w:pPr>
        <w:ind w:left="0" w:right="-105"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f、BMS电池管理系统</w:t>
      </w:r>
      <w:r/>
    </w:p>
    <w:p>
      <w:pPr>
        <w:ind w:left="63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一级菜单具有：数据监控、主动均衡、参数读取、工程模式、历史告警；</w:t>
      </w:r>
      <w:r/>
    </w:p>
    <w:p>
      <w:pPr>
        <w:ind w:left="63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界面左侧有：总电压、电流、SOC信息，其中总电压值精确到小数点后一位，上方具有数组仪表指针指示对应电压值，电流值精确到小数点后一位，上方具有数组仪表指针指示对应电流值，SOC信息为百分百显示；</w:t>
      </w:r>
      <w:r/>
    </w:p>
    <w:p>
      <w:pPr>
        <w:ind w:left="63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界面中央应有：电池状态：最高电压、最低电压、电池串数、最高电压位置、最低电压位置、温度个数、最高温度、最低温度、剩余容量、最高温度位置、最低温度位置、BMS Life、充电MOS、放电MOS、单体电压。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4、线控底盘技术装调标定工具套装设备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包含：工具车拆装工具：活动扳手、开口扳手16-17、开口扳手14-15、开口扳手12-13 、开口扳手10-11、美工刀、螺丝批一套10/3/8套筒一套、铁锤、钢丝钳、批头一套、内六角一套、3/8接杆、3/8棘轮扳手、尖嘴钳                                                                                  检测工具：CAN分析仪、万用表、数显电笔、角度尺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5、智能网联汽车零部件套装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包含定制：加速踏板位置传感器、节气门位置传感器、电子节气门、电磁离合器、轮毂电机驱动、转矩传感器、转角传感器、线控转向控制器、EHB制动主缸、制动盘、轮速传感器、EMB制动执行机构、差速器、半轴、十字万向节、球笼式万向节、直流有刷电机、直流无刷电机、永磁同步电机、交流异步电机各一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6、汽车智能化设备安装调试虚拟训练平台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本平台是一款专为智能网联汽车技术教学设计的高仿真虚拟实训软件。其核心功能包括：1. 全流程仿真拆装与标定训练，软件提供与实车一致的车辆模型，包含车辆防护板、底盘系统、动力总成、环境感知传感器（激光雷达、摄像头、毫米波雷达、惯导）等不少于20个模块的虚拟拆装任务，以及多传感器联合标定任务，完整复现实车工艺；2. 智能化阶梯式教学与考核，集成“教学-训练-考核”三种模式，教学与训练模式下提供操作提示、自动演示、步骤引导，考核模式则关闭提示并自动记录成绩，形成闭环评估体系；3. 沉浸式交互操作与工具管理，提供不少</w:t>
      </w:r>
      <w:r>
        <w:rPr>
          <w:rFonts w:ascii="FangSong" w:hAnsi="FangSong" w:eastAsia="FangSong" w:cs="FangSong"/>
          <w:color w:val="000000"/>
          <w:sz w:val="24"/>
        </w:rPr>
        <w:t xml:space="preserve">于15个自由切换的观察视角，支持工具的自由组合、扭矩/角度调整、零件抓取与放置，并配有操作音效，高度模拟真实维修场景，强化操作规范与手感训练。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性能以确保虚拟实训的真实性、流畅性与教学有效性为核心。其采用高精度车辆与零部件3D模型，确保与实车结构一致；软件交互响应流畅，支持复杂场景的实时渲染与操作。在数据层面，其标定功能内置专业的数学计算工具（如旋转矩阵、四元数转换），测量与计算结果精确，能有效训练学生的标定思维与计算能力。系统运行稳定，具备防止误操作的确认机制（如退出/返回确认），并兼容主流Windows操作系统，满足机房集中部署与管理的教学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1）软件要求：软件系统车辆与实车一致；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2）系统功能：</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模式选择：可以使用“教学、训练、考核”三种模式；</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教学：包含拆装教学及标定教学，教学模式下系统有自动操作、操作提示等功能；</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训练：包含拆装训练及标定训练，训练模式下系统有操作提示等功能；</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考核：包含拆装考核及标定考核，考核模式下系统无提示并记录考核结果；</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退出功能：可直接点击退出按钮退出系统，为防止误操作点击退出按钮后系统会进一步确认是否需要退出系统；</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返回功能：可直接点击返回按钮返回功能选项菜单；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3）拆装功能</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任务筛选：可以对实训任务进行筛选，如可筛选全部、拆卸、安装等，以方便老师直观的选择实训任务；</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任务搜索：可以对实训内容的类型进行搜索，以方便老师方便的找到实训任务；</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拆卸任务：可以设置车辆防护板拆卸、整车控制系统拆卸、环境感知系统拆卸、车轮拆卸、动力系统拆卸、底盘系统拆卸、车载通信系统拆卸、智能决策系统拆卸、前副车架总成拆卸、后副车架总成拆卸等不少于10个任务；</w:t>
      </w:r>
      <w:r>
        <w:rPr>
          <w:rFonts w:ascii="FangSong" w:hAnsi="FangSong" w:eastAsia="FangSong" w:cs="FangSong"/>
          <w:b/>
          <w:color w:val="000000"/>
          <w:sz w:val="24"/>
        </w:rPr>
        <w:t xml:space="preserve">（提供系统功能截图及相关演示视频材料，压缩后视频资料不大于50MB作为附件上传。）</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安装任务：可以设置前副车架总成安装、后副车架总成安装、底盘系统安装、车载通信系统安装、智能决策系统安装、环境感知系统安装、动力系统安装、车轮安装、车辆防护板安装、整车控制系统安装等不少于10个任务；</w:t>
      </w:r>
      <w:r>
        <w:rPr>
          <w:rFonts w:ascii="FangSong" w:hAnsi="FangSong" w:eastAsia="FangSong" w:cs="FangSong"/>
          <w:b/>
          <w:color w:val="000000"/>
          <w:sz w:val="24"/>
        </w:rPr>
        <w:t xml:space="preserve">（提供系统功能截图及相关演示视频材料，压缩后视频资料不大于50MB作为附件上传。）</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任务选择数量：可以同时选择不少于20个的任务数量进行同时教学；</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视角导航：可以切换视角包括默认视角、工具台、零件台A、零件台B、零件台C、零件台D、零件台E、零件台F、零件台G、零件台H、零件台I、左前、左中、左后、右前、右中、右后、车前、车后等不少于19个快速视角导航；</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拆装项目步骤：可以提供详细完整的拆装工艺流程步骤，指导学生进行拆装训练；拆装骤以菜单栏形式展现，具有隐藏功能，方便在无提示情况下，正确安装；</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教学辅助：可以提供教学辅助功能，包含上一步、自动操作、下一步等；</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零件台：可以将拆卸下的零件放置至零件台；</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部件提示：可以对工具台上的工具、零件桌上零部件可通过鼠标移动进行该部件的名称高亮显示；</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工具台：工具台上包含工具1套、专用个工具若干；三种定扭扳手适应不同螺栓对紧固时扭力的要求，同时提供两种型号的角度规，满足螺栓紧固角度要求；</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工具组合：可以在满足组合条件下，通过工具台按钮，对工具进行组合，工具的组合与现实一致，可支持5个或5个以上组合成一个工具； </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工具使用：可以通过双击组合后的工具，将工具放入工具栏进行使用；</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工具放回；可以通过点击放回按钮，将工具栏中的工具放回工具台；</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工具分解：可以将组合好的工具可以用工具台上的分解按钮，分解工具；</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工具调整：可以对正在使用的工进行扭矩、角度等方面的调整；</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工具提示：可以高亮显示当前步骤需要使用的工具；</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工具音效：为让使用者更真实的进行实训操作，在工具使用时，会有对应的工具使用声音；</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零件拆卸：可以在虚拟的车上对零件进行拆卸操作；</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拆卸提示：当前可拆卸零件高亮显示，提示当前可拆卸零件；</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零件安装：可以在虚拟的车上或台架上对零件进行安装操作；</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安装提示：当前可安装零件高亮显示，提示当前可安装零件；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4）标定功能</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任务筛选：可以对实训任务进行筛选，如可筛选全部、标定等，以方便老师直观的选择实训任务；</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任务搜索：可以对实训内容的类型进行搜索，以方便老师方便的找到实训任务；</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标定任务：可以设置相机与激光雷达标定、毫米波雷达与激光雷达标定、激光雷达与惯导标定、惯导与车辆标定、传感器融合标定等不少于10个标定任务。</w:t>
      </w:r>
      <w:r/>
    </w:p>
    <w:p>
      <w:pPr>
        <w:numPr>
          <w:ilvl w:val="0"/>
          <w:numId w:val="20"/>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相机与激光雷达标定时，可以根据实训任务要求进行测量记录激光雷达中心至地面距离、激光雷达中心至车辆左侧距离、激光雷达中心至车辆右侧距离、激光雷达中心至车辆前侧距离、12mm相机中心至地面距离、12mm相机中心至车辆右侧距离、12mm相机中心至车辆前侧距离、6mm相机中心至地面距离、6mm相机中心至车辆左侧距离、6mm相机中心至车辆前侧距离等不少于10个标定任务；</w:t>
      </w:r>
      <w:r>
        <w:rPr>
          <w:rFonts w:ascii="FangSong" w:hAnsi="FangSong" w:eastAsia="FangSong" w:cs="FangSong"/>
          <w:b/>
          <w:color w:val="000000"/>
          <w:sz w:val="24"/>
        </w:rPr>
        <w:t xml:space="preserve">（提供系统功能截图及相关演示视频材料，压缩后视频资料不大于50MB作为附件上传。）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7、底盘线控系统实训室文化设计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主要为底盘线控系统实训室氛围设计包含至少两面墙体文化设计，至少10块亚克力文化展板展示等，装修，灯光改造，网络布线等，前期需与学校沟通定制，做到交钥匙工程。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主要配置要求： </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墙体文化设计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整体结构采用75系轻钢龙骨架、木方打底、15mm阻燃板、9.5mm纸面石膏板结构搭建，表面PVC+亚克力板制作，配合LED发光灯带。每面墙体长度不低于6米，高度不低于2.5米。不少于2面墙体。</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文化展板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亚克力板制作，尺寸≥80*60cm。数量不少于10快。</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吊顶装饰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包含原吊顶灯拆除，重新铺设15cm*15cm格栅吊顶，匹配造型LED灯，包含顶部灯光线路铺设。面积涵括整个实训室顶部。</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网络布线</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实训室内整体网络线路铺设链接，路由器安装。</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弱电电路改造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弱电电路改造配管，直径16mmPVC 阻燃管，内穿国标6类线；管内电线不得接头，管内走线不超过3根；面板开关、插座不少于8套；弱电电路全部调通，满足实训室设备正常使用，确保稳定运行，确保操作人员灵活使用。</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室内美容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包含实训室内装饰装潢垃圾，地面出新，室内清扫等工作。</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实景造型制作、环境改造的安装实施，确保功能区域满足用户需求、呈现效果达到用户预期。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（三）付款条件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设备到货验收合格后支付100%货款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（四）交货时间和地点</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交货时间：合同签订后</w:t>
      </w:r>
      <w:r>
        <w:rPr>
          <w:rFonts w:ascii="FangSong" w:hAnsi="FangSong" w:eastAsia="FangSong" w:cs="FangSong"/>
          <w:color w:val="c00000"/>
          <w:sz w:val="24"/>
        </w:rPr>
        <w:t xml:space="preserve">45天</w:t>
      </w:r>
      <w:r>
        <w:rPr>
          <w:rFonts w:ascii="FangSong" w:hAnsi="FangSong" w:eastAsia="FangSong" w:cs="FangSong"/>
          <w:color w:val="000000"/>
          <w:sz w:val="24"/>
        </w:rPr>
        <w:t xml:space="preserve">内完成供货、安装调试并交付使用；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交货地点：南京城市职业学院智能工程学院底盘线控系统实训室。</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     </w:t>
      </w:r>
      <w:r>
        <w:rPr>
          <w:rFonts w:ascii="SimSun" w:hAnsi="SimSun" w:eastAsia="SimSun" w:cs="SimSun"/>
          <w:b/>
          <w:color w:val="000000"/>
          <w:sz w:val="28"/>
        </w:rPr>
        <w:t xml:space="preserve">采购合同（项目编号）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甲方（采购人）：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签订时间：</w:t>
      </w:r>
      <w:r>
        <w:rPr>
          <w:rFonts w:ascii="SimSun" w:hAnsi="SimSun" w:eastAsia="SimSun" w:cs="SimSun"/>
          <w:color w:val="000000"/>
          <w:sz w:val="21"/>
          <w:u w:val="single"/>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根据《中华人民共和国政府采购法》、《中华人民共和国民法典》等法律、法规规定，按照</w:t>
      </w:r>
      <w:r>
        <w:rPr>
          <w:rFonts w:ascii="SimSun" w:hAnsi="SimSun" w:eastAsia="SimSun" w:cs="SimSun"/>
          <w:color w:val="000000"/>
          <w:sz w:val="21"/>
          <w:u w:val="single"/>
        </w:rPr>
        <w:t xml:space="preserve">项目名称：             </w:t>
      </w:r>
      <w:r>
        <w:rPr>
          <w:rFonts w:ascii="SimSun" w:hAnsi="SimSun" w:eastAsia="SimSun" w:cs="SimSun"/>
          <w:color w:val="000000"/>
          <w:sz w:val="21"/>
        </w:rPr>
        <w:t xml:space="preserve">采购文件、投标（响应）文件规定条款和中标（成交）供应商承诺，甲方向乙方购置相关货物，双方同意以下内容。</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合同签订依据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甲方采购文件或与本次采购活动方式相适应的文件及有关附件是本合同不可分割的组成部分，与本合同具有同等法律效力，这些文件包括但不限于：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）乙方提供的投标文件和投标报价表；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）供货一览表；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）交货地点一览表；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）技术规格响应表；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）投标承诺；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）服务承诺；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）中标或成交通知书；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）甲乙双方商定的其他文件。</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合同标的</w:t>
      </w:r>
      <w:r>
        <w:rPr>
          <w:rFonts w:ascii="Times New Roman" w:hAnsi="Times New Roman" w:eastAsia="Times New Roman" w:cs="Times New Roman"/>
          <w:b/>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乙方根据甲方需求提供下列货物，货物名称、规格及数量详见货物清单</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供货一览表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（格式可自拟）：</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1199"/>
        <w:gridCol w:w="1200"/>
        <w:gridCol w:w="1200"/>
        <w:gridCol w:w="1199"/>
        <w:gridCol w:w="1200"/>
        <w:gridCol w:w="1200"/>
        <w:gridCol w:w="1200"/>
      </w:tblGrid>
      <w:tr>
        <w:trPr>
          <w:trHeight w:val="8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商标品牌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人民币合计金额：</w:t>
            </w:r>
            <w:r>
              <w:rPr>
                <w:rFonts w:ascii="SimSun" w:hAnsi="SimSun" w:eastAsia="SimSun" w:cs="SimSun"/>
                <w:color w:val="000000"/>
                <w:sz w:val="21"/>
                <w:u w:val="single"/>
              </w:rPr>
              <w:t xml:space="preserve">（大写）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元整；（小写）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元整</w:t>
            </w:r>
            <w:r/>
          </w:p>
        </w:tc>
      </w:tr>
    </w:tbl>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合同总价款</w:t>
      </w:r>
      <w:r>
        <w:rPr>
          <w:rFonts w:ascii="Times New Roman" w:hAnsi="Times New Roman" w:eastAsia="Times New Roman" w:cs="Times New Roman"/>
          <w:b/>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本合同项下货物总价款为人民币：</w:t>
      </w:r>
      <w:r>
        <w:rPr>
          <w:rFonts w:ascii="SimSun" w:hAnsi="SimSun" w:eastAsia="SimSun" w:cs="SimSun"/>
          <w:color w:val="000000"/>
          <w:sz w:val="21"/>
          <w:u w:val="single"/>
        </w:rPr>
        <w:t xml:space="preserve">（大写） 元整；（小写） 元整</w:t>
      </w:r>
      <w:r>
        <w:rPr>
          <w:rFonts w:ascii="SimSun" w:hAnsi="SimSun" w:eastAsia="SimSun" w:cs="SimSun"/>
          <w:color w:val="000000"/>
          <w:sz w:val="21"/>
        </w:rPr>
        <w:t xml:space="preserve">；分项价款在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第四条权利保证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乙方应保证甲方在使用该货物或其任何一部分时不受第三方提出侵犯其专利权、版权、商标权或其他权利的起诉。一旦出现侵权，乙方应承担全部责任。</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第五条质量保证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、乙方所提供的货物型号、技术规格、技术参数等质量必须与采购文件、投标（响应）文件和承诺相一致。若技术性能无特殊说明，则按国家有关部门最新颁布的标准及规范为准。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第六条包装要求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货物均应按采购文件、投标（响应）文件要求的包装材料、包装标准、包装方式进行包装，若采购文件、投标（相应）文件无特殊说明，则按国家最新标准及规范进行包装。该包装应适应于远距离运输、防潮、防震、防锈和防野蛮装卸，以确保货物安全无损运抵甲方指定地点。由于包装不善所引起的货物损失均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、每一包装单元内应附详细的装箱单和质量合格凭证。</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第七条交货和验收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、交货时间地点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 </w:t>
      </w:r>
      <w:r>
        <w:rPr>
          <w:rFonts w:ascii="SimSun" w:hAnsi="SimSun" w:eastAsia="SimSun" w:cs="SimSun"/>
          <w:color w:val="000000"/>
          <w:sz w:val="21"/>
          <w:u w:val="single"/>
        </w:rPr>
        <w:t xml:space="preserve">     年  月  日</w:t>
      </w:r>
      <w:r>
        <w:rPr>
          <w:rFonts w:ascii="SimSun" w:hAnsi="SimSun" w:eastAsia="SimSun" w:cs="SimSun"/>
          <w:color w:val="000000"/>
          <w:sz w:val="21"/>
        </w:rPr>
        <w:t xml:space="preserve">，也可以甲方书面通知的具体时间为准。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乙方应按照本合同或采购文件规定的时间和方式向甲方交付货物，如招投标文件对交货时间未明确规定，则乙方应当在（期间）前将货物交付甲方。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）交货地点由甲方指定，交货地点：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）货物和系统调试验收的标准：按行业通行标准、厂方出厂标准和乙方投标文件的承诺（详见合同附件载明的标准，并不低于国家相关标准）。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、乙方负责在货物到达甲方交货地点或者指定地点</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rPr>
        <w:t xml:space="preserve">日内到甲方现场调试服务，甲方在调试过程中作整体验收，如调试验收不合格则由甲方出具书面通知，并责令乙方限期整改。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、甲方应当在到货后的</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rPr>
        <w:t xml:space="preserve">个工作日内对货物进行验收；需要乙方对货物或系统进行安装调试的，甲方应在货物安装调试完毕后的</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rPr>
        <w:t xml:space="preserve">个工作日内进行质量验收。验收合格的，由甲方签署验收单并加盖单位公章。招投标文件对检验期限另有规定的，从其规定。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、验收时间以验收单上签署的时间为准，验收结果以该项目验收单结论为准。在验收过程中发现乙方有违约问题，可暂缓资金结算，待违约问题解决后，方可办理资金结算事宜。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、甲方对验收有异议的或者经整改仍验收不合格的，在验收后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rPr>
        <w:t xml:space="preserve">个工作日内以书面形式向乙方提出，乙方应自收到甲方书面异议后</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rPr>
        <w:t xml:space="preserve">日内及时予以解决。</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付款方式和期限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、本合同所有款项均以人民币支付，合同执行期间合同总价不变，该价格已经包含本合同第三条约定的所有费用。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、付款条件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乙方要求付款应提交下列单证和文件：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、国家税务机关监制的正式发票。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、制造厂家出具的货物质量合格证书。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、甲方已收讫货物的验收凭证。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、甲方签发的验收合格文件。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设备到货验收合格后支付100%货款。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付款前，乙方须提供全额正式增值税发票及供货清单，发票信息须与本合同乙方单位名称、银行账号、开户行等信息一致。发票信息不一致的，甲方有权暂停支付合同价款且不视为甲方违约。有关发票方面的任何问题，甲方应在收到发票后及时书面通知乙方，乙方应及时作出解释或解决问题，以使甲方能按时付款。</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履约、质量保证金</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安装和培训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、甲方应提供必要安装条件（如场地、电源、水源等）。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、乙方需提供全流程、分层级、常态化免费培训服务，培训场地、基础实训耗材由采购方提供，培训讲师、课件、实操资料由乙方负责，所有培训不计额外费用。</w:t>
      </w:r>
      <w:r/>
    </w:p>
    <w:p>
      <w:pPr>
        <w:ind w:left="0" w:right="0" w:firstLine="97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项目整体验收后半年内，组织不少于 </w:t>
      </w: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次集中深度培训，培训时长不少于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小时。内容覆盖各实训台拆装调试、系统标定、故障设置与诊断、</w:t>
      </w:r>
      <w:r>
        <w:rPr>
          <w:rFonts w:ascii="Times New Roman" w:hAnsi="Times New Roman" w:eastAsia="Times New Roman" w:cs="Times New Roman"/>
          <w:color w:val="000000"/>
          <w:sz w:val="21"/>
        </w:rPr>
        <w:t xml:space="preserve">CAN </w:t>
      </w:r>
      <w:r>
        <w:rPr>
          <w:rFonts w:ascii="SimSun" w:hAnsi="SimSun" w:eastAsia="SimSun" w:cs="SimSun"/>
          <w:color w:val="000000"/>
          <w:sz w:val="21"/>
        </w:rPr>
        <w:t xml:space="preserve">总线应用、软件编程、数据采集分析、</w:t>
      </w:r>
      <w:r>
        <w:rPr>
          <w:rFonts w:ascii="Times New Roman" w:hAnsi="Times New Roman" w:eastAsia="Times New Roman" w:cs="Times New Roman"/>
          <w:color w:val="000000"/>
          <w:sz w:val="21"/>
        </w:rPr>
        <w:t xml:space="preserve">ADAS </w:t>
      </w:r>
      <w:r>
        <w:rPr>
          <w:rFonts w:ascii="SimSun" w:hAnsi="SimSun" w:eastAsia="SimSun" w:cs="SimSun"/>
          <w:color w:val="000000"/>
          <w:sz w:val="21"/>
        </w:rPr>
        <w:t xml:space="preserve">功能调试、虚拟仿真平台使用等全套专业技能。</w:t>
      </w:r>
      <w:r/>
    </w:p>
    <w:p>
      <w:pPr>
        <w:ind w:left="0" w:right="0" w:firstLine="7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项目交付后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年内，提供不少于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次行业前沿技术培训或企业现场实践学习，内容围绕智能网联汽车线控底盘新技术、行业应用、课程开发、技能竞赛指导等，助力教师提升 “双师” 能力。</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售后服务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按国家相关法规及采购文件、投标（响应）文件对售后服务的要求和响应提供服务。自甲乙双方签署验收单且加盖甲方公章之日的次日起算。在货物正确安装、正常操作和维修情况下，乙方必须对协议货物的正常使用承诺不少于</w:t>
      </w:r>
      <w:r>
        <w:rPr>
          <w:rFonts w:ascii="SimSun" w:hAnsi="SimSun" w:eastAsia="SimSun" w:cs="SimSun"/>
          <w:color w:val="000000"/>
          <w:sz w:val="21"/>
          <w:u w:val="single"/>
        </w:rPr>
        <w:t xml:space="preserve">    （大写）</w:t>
      </w:r>
      <w:r>
        <w:rPr>
          <w:rFonts w:ascii="SimSun" w:hAnsi="SimSun" w:eastAsia="SimSun" w:cs="SimSun"/>
          <w:color w:val="000000"/>
          <w:sz w:val="21"/>
        </w:rPr>
        <w:t xml:space="preserve">个月的免费质量保证期。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、乙方将定期派员对甲方使用的货物进行检测，应保证货物处于正常使用状态。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、若招投标文件中不包含有关售后服务的承诺，双方做如下约定：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保修期内，乙方负责对其提供的货物整机进行维修和系统维护，不再收取任何费用，但不可抗力（如火灾、雷击等）造成的故障除外。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货物故障报修的响应时间为：工作期间（星期一至星期五</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00-18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）为</w:t>
      </w:r>
      <w:r>
        <w:rPr>
          <w:rFonts w:ascii="SimSun" w:hAnsi="SimSun" w:eastAsia="SimSun" w:cs="SimSun"/>
          <w:color w:val="000000"/>
          <w:sz w:val="21"/>
          <w:u w:val="single"/>
        </w:rPr>
        <w:t xml:space="preserve">   </w:t>
      </w:r>
      <w:r>
        <w:rPr>
          <w:rFonts w:ascii="SimSun" w:hAnsi="SimSun" w:eastAsia="SimSun" w:cs="SimSun"/>
          <w:color w:val="000000"/>
          <w:sz w:val="21"/>
        </w:rPr>
        <w:t xml:space="preserve">小时；非工作期间为</w:t>
      </w:r>
      <w:r>
        <w:rPr>
          <w:rFonts w:ascii="SimSun" w:hAnsi="SimSun" w:eastAsia="SimSun" w:cs="SimSun"/>
          <w:color w:val="000000"/>
          <w:sz w:val="21"/>
          <w:u w:val="single"/>
        </w:rPr>
        <w:t xml:space="preserve">   </w:t>
      </w:r>
      <w:r>
        <w:rPr>
          <w:rFonts w:ascii="SimSun" w:hAnsi="SimSun" w:eastAsia="SimSun" w:cs="SimSun"/>
          <w:color w:val="000000"/>
          <w:sz w:val="21"/>
        </w:rPr>
        <w:t xml:space="preserve">小时。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若货物故障在检修</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工作小时后仍无法排除，乙方应在</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小时内免费提供不低于故障货物规格型号档次的备用货物供甲方使用，直至故障货物修复。</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rPr>
          <w:rFonts w:ascii="SimSun" w:hAnsi="SimSun" w:eastAsia="SimSun" w:cs="SimSun"/>
          <w:color w:val="000000"/>
          <w:sz w:val="21"/>
        </w:rPr>
        <w:t xml:space="preserve">所有货物保修服务方式均为乙方上门保修，即由乙方派员到货物使用现场维修，由此产生的一切费用均由乙方承担。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、保修期届满后，双方可另行签订维护保养合同。</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合同的变更、终止与转让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、按照《中华人民共和国政府采购法》第</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条规定，本合同一经签订，除本合同约定外，甲乙双方不得擅自变更、中止或终止。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、双方除非事先得到对方的书面同意或本合同另有约定，任何一方不得将合同项下的任何权利、义务、责任转让给任何第三方。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、乙方逾期未完成约定义务超过</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个</w:t>
      </w:r>
      <w:r>
        <w:rPr>
          <w:rFonts w:ascii="SimSun" w:hAnsi="SimSun" w:eastAsia="SimSun" w:cs="SimSun"/>
          <w:color w:val="000000"/>
          <w:sz w:val="21"/>
        </w:rPr>
        <w:t xml:space="preserve">工作日，甲方有权单方解除本合同。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、乙方履行本合同约定义务时，未达到甲方要求，修改或整改超过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次，仍然无法达到甲方要求，甲方有权单方解除本合同。</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、若乙方未按照合同约定工期完成供货、安装、调试及交付，每逾期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天，按项目合同总金额的 </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‰向采购方支付违约金；逾期超过 </w:t>
      </w:r>
      <w:r>
        <w:rPr>
          <w:rFonts w:ascii="Times New Roman" w:hAnsi="Times New Roman" w:eastAsia="Times New Roman" w:cs="Times New Roman"/>
          <w:color w:val="000000"/>
          <w:sz w:val="21"/>
        </w:rPr>
        <w:t xml:space="preserve">15 </w:t>
      </w:r>
      <w:r>
        <w:rPr>
          <w:rFonts w:ascii="SimSun" w:hAnsi="SimSun" w:eastAsia="SimSun" w:cs="SimSun"/>
          <w:color w:val="000000"/>
          <w:sz w:val="21"/>
        </w:rPr>
        <w:t xml:space="preserve">日，甲方有权单方面解除合同，乙方须全额退还已支付款项，并承担由此造成的全部损失。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供货设备、软件、技术参数与招标文件、投标承诺、合同约定不符，存在以次充好、缺项漏项、功能缺失、参数不达标等问题，乙方须无条件限期更换、整改，同时按对应设备货值的 </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支付违约金；整改后仍无法达到使用要求的，甲方有权拒收货物、解除合同，乙方赔偿全部经济损失。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售后服务未按约定响应、到场、修复故障，每出现一次违规情况，乙方支付违约金</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元；因服务滞后造成教学中断、实训无法开展的，额外承担相应损失。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质保期内，设备频繁出现同类故障且多次维修仍无法正常使用，乙方须免费更换全新同规格产品；若因设备质量问题引发人身安全、财产损失，所有赔偿责任由乙方全额承担。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本条款约定的违约金、赔偿金，甲方有权从当期应支付款项中直接抵扣，不足部分甲方依法继续追偿。</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保密条款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、双方对合作及本合同的具体内容负有保密责任。未经对方事先书面同意，任何一方不得将双方的合作及本合同中涉及的商业秘密披露给任何第三方。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本条所指的商业秘密是指以各种有形或无形形式存贮的观点、计划和信息，包括但不限于：技术或商业性质的信息、标语口号、版权物品、</w:t>
      </w:r>
      <w:hyperlink r:id="rId9" w:tooltip="http://www.xuexila.com/diannao/" w:history="1">
        <w:r>
          <w:rPr>
            <w:rStyle w:val="866"/>
            <w:rFonts w:ascii="SimSun" w:hAnsi="SimSun" w:eastAsia="SimSun" w:cs="SimSun"/>
            <w:color w:val="0000ee"/>
            <w:sz w:val="21"/>
            <w:u w:val="single"/>
          </w:rPr>
          <w:t xml:space="preserve">计算机</w:t>
        </w:r>
      </w:hyperlink>
      <w:r>
        <w:rPr>
          <w:rFonts w:ascii="SimSun" w:hAnsi="SimSun" w:eastAsia="SimSun" w:cs="SimSun"/>
          <w:color w:val="000000"/>
          <w:sz w:val="21"/>
        </w:rPr>
        <w:t xml:space="preserve">软件、源代码、目标代码、技术、技术诀窍、数据、营销企划、摘要、报告及邮件列表等。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、本合同如有任何部分被视为无效或不可执行，均不影响保密条款的有效性。</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、本条约定在本合同终止履行后两年内仍然有效。</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不可抗力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不可抗力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第十六条争议的解决</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、因货物质量问题发生争议，由质量技术监督部门或质量技术监督部门指定的质量鉴定机构进行质量鉴定。货物符合标准的，鉴定费由甲方承担；货物不符合质量标准的，鉴定费由乙方承担。</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、因履行本合同引起的或与本合同有关的争议，甲、乙双方应首先通过友好协商解决，如果协商不能解决争议，则采取以下第（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）种方式解决争议：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）向仲裁委员会按其仲裁规则申请仲裁。</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第十七条合同生效及其他</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、合同附件是本合同不可分割组成部分，与本合同具有同等法律效力。</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、本合同未尽事宜，由甲乙双方协商后产生书面文件，作为本合同的补充条款，具备与本合同同等法律效力。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、对本合同内容的任何修改和变更需要用书面形式，并经双方签字盖章确认后生效。</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陆 </w:t>
      </w:r>
      <w:r>
        <w:rPr>
          <w:rFonts w:ascii="SimSun" w:hAnsi="SimSun" w:eastAsia="SimSun" w:cs="SimSun"/>
          <w:color w:val="000000"/>
          <w:sz w:val="21"/>
        </w:rPr>
        <w:t xml:space="preserve">份，甲方</w:t>
      </w:r>
      <w:r>
        <w:rPr>
          <w:rFonts w:ascii="SimSun" w:hAnsi="SimSun" w:eastAsia="SimSun" w:cs="SimSun"/>
          <w:color w:val="000000"/>
          <w:sz w:val="21"/>
          <w:u w:val="single"/>
        </w:rPr>
        <w:t xml:space="preserve"> 肆 </w:t>
      </w:r>
      <w:r>
        <w:rPr>
          <w:rFonts w:ascii="SimSun" w:hAnsi="SimSun" w:eastAsia="SimSun" w:cs="SimSun"/>
          <w:color w:val="000000"/>
          <w:sz w:val="21"/>
        </w:rPr>
        <w:t xml:space="preserve">份，乙方</w:t>
      </w:r>
      <w:r>
        <w:rPr>
          <w:rFonts w:ascii="SimSun" w:hAnsi="SimSun" w:eastAsia="SimSun" w:cs="SimSun"/>
          <w:color w:val="000000"/>
          <w:sz w:val="21"/>
          <w:u w:val="single"/>
        </w:rPr>
        <w:t xml:space="preserve"> 贰 </w:t>
      </w:r>
      <w:r>
        <w:rPr>
          <w:rFonts w:ascii="SimSun" w:hAnsi="SimSun" w:eastAsia="SimSun" w:cs="SimSun"/>
          <w:color w:val="000000"/>
          <w:sz w:val="21"/>
        </w:rPr>
        <w:t xml:space="preserve">份。本合同自甲乙双方签字盖章后生效。</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27"/>
        <w:gridCol w:w="4406"/>
      </w:tblGrid>
      <w:tr>
        <w:trPr>
          <w:trHeight w:val="10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致：南京城市职业学院（南京开放大学）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致：南京城市职业学院（南京开放大学）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108" w:right="0" w:firstLine="0"/>
              <w:jc w:val="center"/>
              <w:spacing w:before="0" w:after="0" w:line="3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108" w:right="0" w:firstLine="0"/>
              <w:jc w:val="center"/>
              <w:spacing w:before="0" w:after="0" w:line="3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总价金额（元）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827" w:right="0" w:firstLine="82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投标总价合计（元）：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其中核心产品所投品牌（如非单一产品则填写核心产品品牌）：</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注：1．投标人应根据其项目情况提供详细分项报价。投标人应对上述每项内容列明组成的详细分项价格。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 投标人对以上数据的真实性负责。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 报价应包括项目涉及的一切税、费等。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采购人或采购代理机构有权将以上内容进行公示。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5、表中表格行数可自行添加。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致：南京城市职业学院（南京开放大学）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我公司就智能网联汽车技术专业底盘线控系统实训室质量保证及服务承诺如下：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528"/>
        <w:gridCol w:w="2547"/>
        <w:gridCol w:w="1399"/>
        <w:gridCol w:w="674"/>
        <w:gridCol w:w="905"/>
        <w:gridCol w:w="158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“★”和“▲”技术规格响应证明文件的具体位置</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司（联合体）参加（单位名称）的（项目名称）采购活动，服务全部由符合政策要求的中小企业承接。相关企业（含联合体中的中小企业、签订分包意向协议的中小企业）的具体情况如下：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10" w:tooltip="http://www.ccgp.gov.cn/" w:history="1">
        <w:r>
          <w:rPr>
            <w:rStyle w:val="86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
        </w:rPr>
        <w:t xml:space="preserve"> </w:t>
        <mc:AlternateContent>
          <mc:Choice Requires="wpg">
            <w:drawing>
              <wp:inline xmlns:wp="http://schemas.openxmlformats.org/drawingml/2006/wordprocessingDrawing" distT="0" distB="0" distL="0" distR="0">
                <wp:extent cx="137160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97314" name=""/>
                        <pic:cNvPicPr>
                          <a:picLocks noChangeAspect="1"/>
                        </pic:cNvPicPr>
                        <pic:nvPr/>
                      </pic:nvPicPr>
                      <pic:blipFill>
                        <a:blip/>
                        <a:stretch/>
                      </pic:blipFill>
                      <pic:spPr bwMode="auto">
                        <a:xfrm>
                          <a:off x="0" y="0"/>
                          <a:ext cx="1371600"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7160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82802" name=""/>
                        <pic:cNvPicPr>
                          <a:picLocks noChangeAspect="1"/>
                        </pic:cNvPicPr>
                        <pic:nvPr/>
                      </pic:nvPicPr>
                      <pic:blipFill>
                        <a:blip/>
                        <a:stretch/>
                      </pic:blipFill>
                      <pic:spPr bwMode="auto">
                        <a:xfrm>
                          <a:off x="0" y="0"/>
                          <a:ext cx="1371600"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关于符合本国产品标准的声明函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我公司（单位）郑重声明，根据《国务院办公厅关于在政府采购中实施本国产品标准及相关政策的通知》（国办发〔2025〕34号）的规定，我公司（单位）提供的以下产品属于本国产品。具体情况如下：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1，生产厂为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2，厂址为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3。</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4在中国境内生产。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5在中国境内完成。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我公司（单位）对上述声明内容的真实性负责。如有虚假，愿承担相应法律责任。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投标人名称（盖章）：</w:t>
      </w: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成本比例声明函（如适用）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（适用于招标项目或者招标包中含有多种产品时，不提供或者提供声明的比例达不到要求时，不享受价格扣除）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成本比例声明函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我公司（单位）郑重声明，根据《国务院办公厅关于在政府采购中实施本国产品标准及相关政策的通知》（国办发〔2025〕34 号）的规定，我公司（单位）提供的全部产品中，符合本国产品标准的产品成本之和占我公司（单位）提供的全部产品成本之和的比例达到</w:t>
      </w:r>
      <w:r>
        <w:rPr>
          <w:rFonts w:ascii="SimSun" w:hAnsi="SimSun" w:eastAsia="SimSun" w:cs="SimSun"/>
          <w:color w:val="000000"/>
          <w:sz w:val="21"/>
          <w:u w:val="single"/>
        </w:rPr>
        <w:t xml:space="preserve">       </w:t>
      </w:r>
      <w:r>
        <w:rPr>
          <w:rFonts w:ascii="SimSun" w:hAnsi="SimSun" w:eastAsia="SimSun" w:cs="SimSun"/>
          <w:color w:val="000000"/>
          <w:sz w:val="21"/>
        </w:rPr>
        <w:t xml:space="preserve">（填写具体百分比）。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我公司（单位）对上述声明内容的真实性负责。如有虚假，愿承担相应法律责任。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56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当招标项目或者招标包中含有多种产品，投标人为该招标项目或者招标包提供的符合本国产品标准的产品成本之和占该投标人提供的全部产品成本之和的比例达到80%以上时，依法对该投标人提供的全部产品给予价格评审优惠，即对该投标人提供的全部产品的总报价给予 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shd w:val="nil" w:color="auto"/>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智能网联汽车技术专业底盘线控系统实训室</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（分包二）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项目编号：JSZC-320100-HWZX-G2026-0371（20261007）（0675-266JOC004484）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采购人：南京城市职业学院（南京开放大学）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2026年07月10日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智能网联汽车技术专业底盘线控系统实训室的潜在投标人应在苏采云系统注册登记成功后系统内免费下载获取采购文件，并于2026年07月31日14点30分（北京时间）前提交响应文件。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JSZC-320100-HWZX-G2026-0371（20261007）（0675-266JOC004484）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智能网联汽车技术专业底盘线控系统实训室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分包一</w:t>
      </w:r>
      <w:r>
        <w:rPr>
          <w:rFonts w:ascii="Times New Roman" w:hAnsi="Times New Roman" w:eastAsia="Times New Roman" w:cs="Times New Roman"/>
          <w:b/>
          <w:color w:val="000000"/>
          <w:sz w:val="21"/>
        </w:rPr>
        <w:t xml:space="preserve">106.5</w:t>
      </w:r>
      <w:r>
        <w:rPr>
          <w:rFonts w:ascii="SimSun" w:hAnsi="SimSun" w:eastAsia="SimSun" w:cs="SimSun"/>
          <w:b/>
          <w:color w:val="000000"/>
          <w:sz w:val="21"/>
        </w:rPr>
        <w:t xml:space="preserve">万元，分包二</w:t>
      </w:r>
      <w:r>
        <w:rPr>
          <w:rFonts w:ascii="Times New Roman" w:hAnsi="Times New Roman" w:eastAsia="Times New Roman" w:cs="Times New Roman"/>
          <w:b/>
          <w:color w:val="000000"/>
          <w:sz w:val="21"/>
        </w:rPr>
        <w:t xml:space="preserve">82</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分包一</w:t>
      </w:r>
      <w:r>
        <w:rPr>
          <w:rFonts w:ascii="Times New Roman" w:hAnsi="Times New Roman" w:eastAsia="Times New Roman" w:cs="Times New Roman"/>
          <w:b/>
          <w:color w:val="000000"/>
          <w:sz w:val="21"/>
        </w:rPr>
        <w:t xml:space="preserve">106.5</w:t>
      </w:r>
      <w:r>
        <w:rPr>
          <w:rFonts w:ascii="SimSun" w:hAnsi="SimSun" w:eastAsia="SimSun" w:cs="SimSun"/>
          <w:b/>
          <w:color w:val="000000"/>
          <w:sz w:val="21"/>
        </w:rPr>
        <w:t xml:space="preserve">万元，分包二</w:t>
      </w:r>
      <w:r>
        <w:rPr>
          <w:rFonts w:ascii="Times New Roman" w:hAnsi="Times New Roman" w:eastAsia="Times New Roman" w:cs="Times New Roman"/>
          <w:b/>
          <w:color w:val="000000"/>
          <w:sz w:val="21"/>
        </w:rPr>
        <w:t xml:space="preserve">82</w:t>
      </w:r>
      <w:r>
        <w:rPr>
          <w:rFonts w:ascii="SimSun" w:hAnsi="SimSun" w:eastAsia="SimSun" w:cs="SimSun"/>
          <w:b/>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为主动适应汽车产业“新四化”技术革命，应对智能网联汽车产业对高素质技术技能人才的迫切需求，本项目旨在建设一个集教学、实训、辅助研发于一体的先进底盘线控系统专业实训室。本实训室建设严格遵循 “理实一体、软硬结合、分级递进” 的核心标准。整体规划以智能网联汽车线控底盘的技术架构为主线，系统集成部件级装调测试平台（如线控悬架、转向、制动/驱动、驻车系统）、系统级集成验证平台（线控底盘综合实训车）及整车级应用开发平台（自动驾驶线控底盘套装），并配套汽车智能化虚拟训练平台等信息化教学设备。实训项目由浅入深，形成从认知</w:t>
      </w:r>
      <w:r>
        <w:rPr>
          <w:rFonts w:ascii="SimSun" w:hAnsi="SimSun" w:eastAsia="SimSun" w:cs="SimSun"/>
          <w:color w:val="000000"/>
          <w:sz w:val="21"/>
        </w:rPr>
        <w:t xml:space="preserve">、装调、测试到系统集成、算法验证的完整能力培养闭环。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项目拟分两个分包，其中：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分包一：线控底盘综合设备采购。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分包二：线控底盘各子系统设备采购。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以同时投标多个分包，但只能在一个分包中中标。本项目按照分包1、分包2的顺序进行评标。如投标人在上一个分包中确定为第一中标候选人，依旧参与后续分包的评审，但不再推荐为后续评审分包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分包一：合同签订后</w:t>
      </w:r>
      <w:r>
        <w:rPr>
          <w:rFonts w:ascii="SimSun" w:hAnsi="SimSun" w:eastAsia="SimSun" w:cs="SimSun"/>
          <w:color w:val="c00000"/>
          <w:sz w:val="21"/>
        </w:rPr>
        <w:t xml:space="preserve">45天</w:t>
      </w:r>
      <w:r>
        <w:rPr>
          <w:rFonts w:ascii="SimSun" w:hAnsi="SimSun" w:eastAsia="SimSun" w:cs="SimSun"/>
          <w:color w:val="000000"/>
          <w:sz w:val="21"/>
        </w:rPr>
        <w:t xml:space="preserve">内完成供货、安装调试并交付使用；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分包二：合同签订后</w:t>
      </w:r>
      <w:r>
        <w:rPr>
          <w:rFonts w:ascii="SimSun" w:hAnsi="SimSun" w:eastAsia="SimSun" w:cs="SimSun"/>
          <w:color w:val="c00000"/>
          <w:sz w:val="21"/>
        </w:rPr>
        <w:t xml:space="preserve">75天</w:t>
      </w:r>
      <w:r>
        <w:rPr>
          <w:rFonts w:ascii="SimSun" w:hAnsi="SimSun" w:eastAsia="SimSun" w:cs="SimSun"/>
          <w:color w:val="000000"/>
          <w:sz w:val="21"/>
        </w:rPr>
        <w:t xml:space="preserve">内完成供货、安装调试并交付使用。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文件接收截止时间、开标时间：2026年07月31日14点30分（北京时间）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公告媒体：本招标公告在江苏政府采购网（http://www.ccgp-jiangsu.gov.cn/）公示发布，敬请各投标人关注。有关本次招标的事项若存在变动或修改，敬请及时关注江苏海外集团国际工程咨询有限公司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8.政府采购信用承诺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w:t>
      </w:r>
      <w:r>
        <w:rPr>
          <w:rFonts w:ascii="SimSun" w:hAnsi="SimSun" w:eastAsia="SimSun" w:cs="SimSun"/>
          <w:color w:val="000000"/>
          <w:sz w:val="21"/>
        </w:rPr>
        <w:t xml:space="preserv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1"/>
        </w:rPr>
        <w:t xml:space="preserve">由法定代表人签字并盖单位公章，随响应文件一并上传。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1.招标代理机构联系方式</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联系人：韩心雨、方东、孙夏卉</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地址：南京市建邺区云龙山路58号大唐科技大厦A座14-15楼</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2.招标人联系方式</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联系人：庄老师、高老师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电话：025-85394773、025-85395355</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地址：江苏省南京市溧水区高山路1号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南京城市职业学院（南京开放大学）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智能网联汽车技术专业底盘线控系统实训室</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交货期：合同签订后75天内完成供货、安装调试并交付使用。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）采购人或对已发出的招标文件进行必要澄清或者修改的，将在招标文件要求提交投标文件截止时间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日前，在原招标公告媒体发布更正公告，该澄清或者修改的内容为招标文件的组成部分。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）在招标文件要求提交投标文件截止时间前，有权决定延长投标截止日期和开标日期，并在原采购信息发布媒体上发布变更公告。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）投标人应在投标截止时间前，关注原公告媒体有关本项目的更正公告，根据更正公告内容自行决定是否需要重新制作和提交投标文件，并承担由此产生的相应责任。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采购人不组织勘踏现场。投标人可自行勘踏，一切费用及后果由投标人自行承担。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_82万元__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时间：2026年07月31日14点30分（北京时间）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4.6 提供的产品属于政府强制采购节能产品的，供应商应当选择依据国家标准中二级能效（水效）指标认证的节能产品投标，并提供有效的节能产品认证证书复印件。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 </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16.2如有招标代理费等相关服务费用，均由中标人支付。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费按照投资总金额计算，采用差额定率累进计费方式，参照“国家计委关于印发《招标代理服务收费管理暂行办法》的通知（计价格[2002]1980号）”中规定的收费标准的46%收取，不足2000元按2000元收取。请供应商予以关注并核算到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 </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 </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 </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22.2.7 </w:t>
      </w:r>
      <w:r>
        <w:rPr>
          <w:rFonts w:ascii="SimSun" w:hAnsi="SimSun" w:eastAsia="SimSun" w:cs="SimSun"/>
          <w:b/>
          <w:color w:val="000000"/>
          <w:sz w:val="21"/>
        </w:rPr>
        <w:t xml:space="preserve">实质性要求是指本招标文件中用“必须”或“应（应当）”等其他文字说明以及加注“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22.2.8 </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22.2.9 </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Times New Roman" w:hAnsi="Times New Roman" w:eastAsia="Times New Roman" w:cs="Times New Roman"/>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22.2.10 </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22.3.1 </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22.3.2 </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 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 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
        <w:gridCol w:w="246"/>
        <w:gridCol w:w="774"/>
        <w:gridCol w:w="900"/>
        <w:gridCol w:w="5369"/>
        <w:gridCol w:w="824"/>
        <w:gridCol w:w="3"/>
      </w:tblGrid>
      <w:tr>
        <w:trPr>
          <w:trHeight w:val="52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6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价格分采用低价优先法计算，即满足招标文件要求且投标报价最低的为评标基准价，其价格分为满分。其他供应商的价格分统一按照下列公式计算：投标报价得分=（评标基准价/投标报价）×30（小数点保留2位）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gridAfter w:val="1"/>
          <w:trHeight w:val="1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产品技术性能及配置响应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条款偏离表》进行评分，设备技术参数全部满足招标要求的得满分30分；打▲号为设备核心技术指标，共10项核心技术指标，投标人按照采购技术要求提供相关产品的证明材料。有一项负偏离扣3分，没有提供相关证明材料，经评委认定，本项得零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（各投标人务必按照各项技术要求在技术参数及偏离表中如实详细填列，需在技术参数偏离表标明相应证明材料的页码，未提供技术支持材料的不予认可。）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gridAfter w:val="1"/>
          <w:trHeight w:val="3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投标人针对本项目的实施步骤、运输计划、设计、安装、调试、验收计划、服务和运行验收测试计划及作业时间和资源进度表、保证措施、人员安排等编制实施方案。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方案内容全面具体，实施步骤、运输计划、设计、安装、调试等科学合理，可行性、可操作性强，措施完善的，得8分；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方案内容具体，实施步骤、运输计划、设计、安装、调试等较科学合理，可行性、可操作性较强，措施较完善的，得5分；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方案内容有缺失，可行性、可操作性较差的，得3分。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投标人针对本项目的师资培训计划、培训场次、培训内容、培训方式等编制培训方案，投标人还须明确列出培训计划的具体明细，如培训老师、培训地点、受训人数等。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方案内容全面具体，培训计划、培训场次、培训内容、培训方式等科学合理、措施完善的，得8分；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方案内容具体，培训计划、培训场次、培训内容、培训方式等较合理，可行性较强，措施较完善的，得5分；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方案内容有缺失，可行性、可操作性较差的，得3分。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投标文件提供售后服务方案，包含但不限于服务流程机制、服务内容、售后人员安排等内容。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服务流程机制先进合理，内容详细完善，人员安排符合项目建设要求的，得8分；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服务流程机制较先进合理，内容比较完善，人员安排较符合项目建设要求的，得5分；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服务流程机制不合理，内容不详细，人员安排不合理的，得3分；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gridAfter w:val="1"/>
          <w:trHeight w:val="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1.投标单位具备整车成套设备自主生产、研发、交付全链条能力。具备相关资质证书的，每有1个得2分，最高得4分。（提供证明材料）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2.拥有与线控底盘、智能网联汽车相关的专利或软件著作权，有一项得2分，最高得6分。（提供证明材料）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gridAfter w:val="1"/>
          <w:trHeight w:val="1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业绩案例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投标供应商提供自2023年1月1日（以合同签订时间为准）以来承接过的类似项目的合同复印件，每提供一个得2分，满分6分。未提供不得分。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注：提供合同扫描件并加盖投标人公章。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gridAfter w:val="1"/>
          <w:trHeight w:val="53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720" w:right="0" w:hanging="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一、项目概况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为主动适应汽车产业“新四化”技术革命，应对智能网联汽车产业对高素质技术技能人才的迫切需求，本项目旨在建设一个集教学、实训、辅助研发于一体的先进底盘线控系统专业实训室。本实训室建设严格遵循 “理实一体、软硬结合、分级递进” 的核心标准。整体规划以智能网联汽车线控底盘的技术架构为主线，系统集成部件级装调测试平台（如线控悬架、转向、制动/驱动、驻车系统）、系统级集成验证平台（线控底盘综合实训车）及整车级应用开发平台（自动驾驶线控底盘套装），并配套汽车智能化虚拟训练平台等信息化教学设备。实训项目由浅入深，形成从认知</w:t>
      </w:r>
      <w:r>
        <w:rPr>
          <w:rFonts w:ascii="FangSong" w:hAnsi="FangSong" w:eastAsia="FangSong" w:cs="FangSong"/>
          <w:color w:val="000000"/>
          <w:sz w:val="24"/>
          <w:highlight w:val="white"/>
        </w:rPr>
        <w:t xml:space="preserve">、装调、测试到系统集成、算法验证的完整能力培养闭环。</w:t>
      </w:r>
      <w:r/>
    </w:p>
    <w:p>
      <w:pPr>
        <w:ind w:left="720" w:right="0" w:hanging="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二、项目要求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（一）总体需求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需建成一个技术先进、功能完备、安全可靠、教学实用的智能化实训平台。总体要求实现"虚实结合、软硬联动、数据驱动、开放共享"，能够支撑智能网联汽车技术专业群在底盘线控系统方面的认知、实训、开发、创新全流程教学需求，并具备一定的社会服务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（二）项目实施要求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1、组织保障：成立由领导牵头，专业负责人、教务等部门协同的项目管理小组，明确分工，责任到人。</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2、进度管理：制定详尽的甘特图，明确各阶段里程碑节点，实行月度进度汇报与协调机制，确保项目按期推进。</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3、资金管理：严格执行预算，专款专用。大额支付需经过集体决策和审计流程，确保资金使用规范、透明、高效。</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4、风险管控：识别技术风险（如设备兼容性）、实施风险（如工期延误）和人员风险（如师资能力不足），并制定相应的预案。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（四）人员要求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1、项目团队：核心团队成员需具备智能网联汽车相关领域知识，熟悉职业教育规律和实训室建设流程。</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2、师资配备：须配备至少4名熟练掌握线控底盘技术的"双师型"骨干教师。</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3、项目实施期内，所有专业教师需完成供应商提供的系统操作与维护培训，并至少参与1次企业实践或高级别技术培训。</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4、管理专员：实训室须设专职或兼职管理员，负责日常运维、设备保养、耗材管理和安全监督。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（五）项目分包与转包要求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整个项目分成两个采购包，本项目不接受分包或转包，设备须由中标供应商自主集成并提供原厂质保。</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采购包一线控底盘综合设备采购，共计106.5万元。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采购包二线控底盘各子系统设备采购，共计82万元。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（六）知识产权及保密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1、知识产权归属： 供应商提供的商业软件、硬件产品的知识产权归原权利人所有，校方拥有永久使用权。为本项目开发的定制化教学资源（包括但不限于实训指导书、课件、视频、试题库、虚拟仿真模型等），其知识产权归南京城市职业学院所有。</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2、授权保证： 供应商须保证所提供产品不侵犯任何第三方知识产权，如发生侵权纠纷，由供应商承担全部法律责任并赔偿校方损失。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3、保密义务： 供应商对项目实施过程中接触到的校方非公开信息（包括教学方案、未公开数据等）负有保密义务，未经校方书面同意不得泄露或用于本项目之外的任何目的。</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4、源代码（如涉及）： 若为本项目进行定制开发软件，供应商须交付相关模块的源代码及技术文档。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（七）系统建设成果要求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1、硬件环境与功能目标全面达成：所有硬件设备安装就位、运行正常，环境改造全部完工，实现“交钥匙”标准；全套设备、软件及工具100%实现招标文件约定的各项实训功能，全面满足教学需求。</w:t>
      </w:r>
      <w:r/>
    </w:p>
    <w:p>
      <w:pPr>
        <w:numPr>
          <w:ilvl w:val="0"/>
          <w:numId w:val="28"/>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化、文档化与可持续保障体系完整建立：完整交付设备操作、维护、教学、考核等全套纸质与电子资料；同时明确未来3–5年的软件升级、设备维保及技术支持方案，保障实训室持续适配技术迭代与教学发展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3、师资培训与课程建设：完成专业教师团队首轮设备操作与维护培训（≥40课时）；支持校本教材开发，智慧课程建设。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4、就业服务支持：推荐或提供实习就业岗位，促进人才培养与产业需求对接，持续服务学生职业发展与专业建设。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三、服务要求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有硬件设备、软件系统、配套工具及实训耗材均为全新原厂正品，无翻新、改装、返修、拼装产品，符合国家现行安全标准、行业技术规范及招标文件技术参数要求，设备外观、材质、工艺、性能均达到采购约定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FangSong" w:hAnsi="FangSong" w:eastAsia="FangSong" w:cs="FangSong"/>
          <w:b/>
          <w:color w:val="000000"/>
          <w:sz w:val="24"/>
        </w:rPr>
        <w:t xml:space="preserve">整体项目整机免费质保期不少于 3 年，线控底盘核心控制器、工控机、传感器、专用教学软件等关键部件免费质保期不少于 5 年；质保期内非人为损坏的零部件、软件故障由供应商免费维修、更换、升级，不收取任何材料费、人工费、差旅费。（提供承诺函并加盖投标人公章，未提供按无效投标处理）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质保期自项目整体竣工验收合格、正式移交之日起计算。质保期满后，供应商需提供终身成本价维修服务，并长期保障备品、备件供应，配件价格提前书面公示，不得随意涨价。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设备整体具备良好的环境适应性、稳定性与耐用性，满足职业院校高频次、高强度实训教学使用；软件系统运行稳定，无闪退、卡顿、数据错乱等问题，定期免费推送版本优化、漏洞修复及功能升级。</w:t>
      </w:r>
      <w:r/>
    </w:p>
    <w:p>
      <w:pPr>
        <w:numPr>
          <w:ilvl w:val="0"/>
          <w:numId w:val="2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供应商保证本项目所提供的全部货物、软件系统、教学资源、技术资料等，拥有合法完整的所有权、使用权、著作权、专利权及其他知识产权，不存在任何权属争议。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本项目所用软件均为正版授权，提供完整授权证书、激活文件及授权证明，授权范围满足校内教学、实训、考核、教研等全部使用场景，支持校内多终端正常使用，无使用时长、功能、端口限制。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若因产品权属、知识产权、商标、专利等问题引发第三方投诉、诉讼、索赔，全部责任由供应商承担，须及时处理纠纷并赔偿采购方因此产生的一切经济损失、声誉损失及相关费用，同时采购方有权追究供应商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项目交付的定制化课程资源、实训案例、故障题库等资料，采购方享有永久校内使用权，可用于教学、修改、内部二次编辑，未经采购方书面许可，供应商不得将相关资料转售、泄露给任何第三方。</w:t>
      </w:r>
      <w:r/>
    </w:p>
    <w:p>
      <w:pPr>
        <w:numPr>
          <w:ilvl w:val="0"/>
          <w:numId w:val="2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项目实施、安装调试、验收、培训期间，派驻专项项目工程师全程驻场，负责现场对接、设备调试、问题整改、技术答疑，直至项目正式交付。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质保期内，安排固定运维对接人，建立一对一服务机制，专人负责本项目设备日常技术支持、故障排查、定期巡检；服务人员上岗前须完成校方安全、管理规定培训，严格遵守校园管理制度。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供应商如需更换售后服务人员，须提前 7 个工作日书面告知采购方，并确保新任人员技术能力不低于原人员标准，保证服务衔接不间断。</w:t>
      </w:r>
      <w:r/>
    </w:p>
    <w:p>
      <w:pPr>
        <w:numPr>
          <w:ilvl w:val="0"/>
          <w:numId w:val="2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服务响应时间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提供7×8小时技术支持，故障响应≤2小时，远程无法解决时24小时内到达现场；紧急故障修复≤48小时。</w:t>
      </w:r>
      <w:r/>
    </w:p>
    <w:p>
      <w:pPr>
        <w:numPr>
          <w:ilvl w:val="0"/>
          <w:numId w:val="2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供应商需提供全流程、分层级、常态化免费培训服务，培训场地、基础实训耗材由采购方提供，培训讲师、课件、实操资料由供应商负责，所有培训不计额外费用。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项目整体验收后半年内，组织不少于 2 次集中深度培训，培训时长不少于40小时。内容覆盖各实训台拆装调试、系统标定、故障设置与诊断、CAN 总线应用、软件编程、数据采集分析、ADAS 功能调试、虚拟仿真平台使用等全套专业技能。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项目交付后 1 年内，提供不少于 1 次行业前沿技术培训或企业现场实践学习，内容围绕智能网联汽车线控底盘新技术、行业应用、课程开发、技能竞赛指导等，助力教师提升 “双师” 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（六）违约及赔偿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FangSong" w:hAnsi="FangSong" w:eastAsia="FangSong" w:cs="FangSong"/>
          <w:color w:val="000000"/>
          <w:sz w:val="24"/>
        </w:rPr>
        <w:t xml:space="preserve"> 若供应商未按照合同约定工期完成供货、安装、调试及交付，每逾期 1 天，按项目合同总金额的 0.5‰向采购方支付违约金；逾期超过 15 日，采购方有权单方面解除合同，供应商须全额退还已支付款项，并承担由此造成的全部损失。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供货设备、软件、技术参数与招标文件、投标承诺、合同约定不符，存在以次充好、缺项漏项、功能缺失、参数不达标等问题，供应商须无条件限期更换、整改，同时按对应设备货值的 20% 支付违约金；整改后仍无法达到使用要求的，采购方有权拒收货物、解除合同，供应商赔偿全部经济损失。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售后服务未按约定响应、到场、修复故障，每出现一次违规情况，供应商支付违约金500–2000元；因服务滞后造成教学中断、实训无法开展的，额外承担相应损失。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质保期内，设备频繁出现同类故障且多次维修仍无法正常使用，供应商须免费更换全新同规格产品；若因设备质量问题引发人身安全、财产损失，所有赔偿责任由供应商全额承担。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本条款约定的违约金、赔偿金，采购方有权从当期应支付款项中直接抵扣，不足部分采购方依法继续追偿。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720" w:right="0" w:hanging="7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四、产品要求</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采购包二线控底盘各系统设备采购</w:t>
      </w:r>
      <w:r/>
    </w:p>
    <w:p>
      <w:pPr>
        <w:numPr>
          <w:ilvl w:val="0"/>
          <w:numId w:val="30"/>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产品清单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7"/>
        <w:gridCol w:w="5369"/>
        <w:gridCol w:w="834"/>
        <w:gridCol w:w="842"/>
      </w:tblGrid>
      <w:tr>
        <w:trPr>
          <w:trHeight w:val="36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远程控制驾舱实训平台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线控转向系统装调测试实训平台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线控悬架系统装调测试实训平台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线控驱动与制动系统装调测试实训平台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线控驻车系统装调测试实训平台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bl>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（二）产品功能及配置要求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1、远程控制驾舱实训平台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远程驾驶舱：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产品功能与性能描述：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驾驶控制，基于5G通讯实现超远距离、低延时的车辆遥控能力；全仿真驾驶环境，配备与真车一致的方向盘、油门/刹车踏板及中控交互界面，支持沉浸式操控训练；全景信息监控，通过一体式带鱼屏全景显示车辆周围路况、传感器数据、运行状态及故障预警，形成“环境感知-车辆控制-状态监控”闭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驾驶舱采用紧凑型人体工学设计（长1625±20mm×宽850±20mm×高1230±20mm），适应-10℃~45℃工作环境。显示系统可以用于全景路况呈现，可显示车辆运行状态；可显示故障和报警信息；可显示车辆前端图像，为驾驶员提供环境感知；中控屏可实现参数实时交互；高精度操控装置，能精准捕捉驾驶员的操作动作；通讯系统支持5G超远距低延迟传输，保障实时数据处理与系统流畅运行。整体需满足仿真训练、远程监控与数据反馈一体化需求。包括但不限于以下可实现功能：</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高清视频低延时传输：通过车端多路摄像头（前视、后视、环视）采集车辆周围环境影像，利用5G网络实时回传至远程驾驶舱，驾驶员可通过三联屏获得135°以上的超广角无畸变视野，全面掌握车辆周边路况。</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高精度线控底盘操控：远程驾驶舱配备与实车1:1还原的方向盘、油门踏板、刹车踏板及换挡机构（P/R/N/D档），通过5G网络将控制指令实时下发至车端线控执行器，实现精确的转向、加减速、换挡及驻车控制。</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驾驶模式动态切换：系统支持“人工驾驶”“自动驾驶”“远程驾驶”三种模式的无缝切换。当自动驾驶系统在复杂路况（如临时施工、交通事故）无法决策时，远程驾驶员可随时接管控制权；接管后也可将控制权交还车端。</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车辆实时状态监控：远程驾驶舱人机交互界面实时显示车端关键参数，包括：车速（km/h）、电池电量、驾驶模式状态、档位状态、油门/刹车开度百分比、故障信息、实时位置及行驶轨迹等。</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故障信息上报与诊断：车辆电池电量预警、日常基本故障信息自动上报至平台端；系统可分析异常原因并提示，支持远程故障诊断与维护决策。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3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驾驶舱尺寸：长1625±20mm×宽850±20mm×高1230±20mm；</w:t>
      </w:r>
      <w:r/>
    </w:p>
    <w:p>
      <w:pPr>
        <w:numPr>
          <w:ilvl w:val="0"/>
          <w:numId w:val="3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显示屏系统：不小于49寸一体式带鱼屏以及不小于15寸触摸中控屏；</w:t>
      </w:r>
      <w:r/>
    </w:p>
    <w:p>
      <w:pPr>
        <w:numPr>
          <w:ilvl w:val="0"/>
          <w:numId w:val="3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配置高精度传感方向盘，方向盘行程大于1周；</w:t>
      </w:r>
      <w:r/>
    </w:p>
    <w:p>
      <w:pPr>
        <w:numPr>
          <w:ilvl w:val="0"/>
          <w:numId w:val="3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配置高精度油门/刹车踏板总成，油门开合不低于30度，刹车开合不低于25度；</w:t>
      </w:r>
      <w:r/>
    </w:p>
    <w:p>
      <w:pPr>
        <w:numPr>
          <w:ilvl w:val="0"/>
          <w:numId w:val="3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核心主机处理器不低于i7-10710U，存储容量至少32G/1T；</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智能网联仿真小车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产品功能与性能描述：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网联教具小车核心定位于开放式教学与二次开发平台。完整的线控底盘功能（动力、制动、转向独立控制），支持双遥控模式（手持+远程驾驶舱）；全面的传感器集成与开发能力，提供丰富的标准接口，可灵活加装激光雷达、摄像头等多种传感器；开放的软硬件平台，底盘开放CAN协议，并基于Linux系统支持算法开发与多种智能驾驶场景测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作为教学专用底盘，其性能满足高强度实验与低速安全需求，最高速度不超过10km/h，续航里程至少50km；采用四轮独立驱动与双阿克曼转向，爬坡能力强；基础环境适应性，并可在-10℃至45℃温度范围内工作。平台需包含以下核心模块：驱动与制动系统（四轮轮毂电机及反拖制动）；感知与反馈系统（基础轮速、转向/刹车传感器及1080P单目摄像头）；通讯与计算单元（支持CAN及5G通讯，标配Linux系统CAN卡）；能源系统（48V/20Ah三元锂电池，提供多电压供电接口）；扩展接口（必须开放CAN协议、电源接口及机械安装</w:t>
      </w:r>
      <w:r>
        <w:rPr>
          <w:rFonts w:ascii="FangSong" w:hAnsi="FangSong" w:eastAsia="FangSong" w:cs="FangSong"/>
          <w:color w:val="000000"/>
          <w:sz w:val="24"/>
        </w:rPr>
        <w:t xml:space="preserve">孔，以支持雷达、RTK等外部传感器加装）。包括但不限于以下可实现功能：</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5G/WiFi双模远程通信：通过5G蜂窝网络（广域远程）与WiFi局域网（短距实验）两种模式，实现远程驾驶舱与小车之间的控制指令下发和视频流回传。支持低延时通信，端到端视频传输延时&lt;50ms。</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高精度线控底盘远程控制：接收远程驾驶舱的方向盘、油门、刹车指令，通过线控转向系统（P-EPS/双阿克曼）和驱动电机精确执行转向角度控制（精度≤1°、响应&lt;100ms）及0-100%开度线性加减速控制。</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驾驶模式动态切换：支持远程驾驶模式（舱端操控）、自动驾驶模式（车端AI决策）、手柄遥控模式三种模式的无缝切换，验证人机共驾和自动驾驶接管逻辑。</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车辆底层状态实时回传：通过CAN总线实时采集并回传车速、转向角度、电池电量、电机温度、故障码等底层数据至远程驾驶舱，确保远程驾驶员实时掌握车况。</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安全冗余与故障自诊断：具备紧急制动硬线开关、网络中断自动靠边停车、低电量保护等安全机制；系统自动上报通信故障、传感器故障、执行器故障等，并支持电路故障模拟与通信故障模拟测试。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最高速度：≤10km/h；</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续驶里程：≥50km；</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悬架形式：双叉臂独立悬架 前/后；</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通讯方式：CAN通讯，协议开放，可二次开发；</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最小离地间隙：70mm；　</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爬坡角度：≤20%；</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转向形式：前、后双阿克曼；</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驱动形式：四轮驱动； </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电机类型：轮毂电机 永磁同步电机，带编码器；</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制动形式：轮毂电机反拖制动；</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防护等级：IP45； </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传感器：前后刹车反馈传感器、转向反馈传感器、行驶轮速传感器；</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单目摄像头：1080P，30fps；</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CAN卡：标配CAN卡，操作系统LINUX；</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通讯：5G通讯；</w:t>
      </w:r>
      <w:r/>
    </w:p>
    <w:p>
      <w:pPr>
        <w:numPr>
          <w:ilvl w:val="0"/>
          <w:numId w:val="3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电池/充电器参数如下：</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电池参数 48V/20Ah 三元锂；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标准电压 48V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提供48V（9A/432W）、12V（4A/40W）供电口；</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电池电量通过产品右侧电压显示表查看或通过CAN总线通信接口读取。</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2、线控转向系统装调测试实训平台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产品功能与性能描述：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车规级具备线控转向系统零部件的的底盘实训台，配合检测台架，方便进行系统的拆装与测试标定，并可通过发送转向控制指令，实现与测试，通过该实训台可掌握线控转向系统的构成与工作原理，掌握线控转向系统的装配与维修的动手能力、故障分析与处理能力。包括但不限于以下可实现功能：</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转向器系统可以直接电控操作；</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控制软件能够实现对转向系统的正弦跟踪进行性能测试；</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通过CAN 通信发送数据控制转向角度；</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可以通过故障模块设置线路故障，对角度传感器供电、角度信号1、 角度信号2、扭矩信号1、扭矩信号2、CAN-H、CAN-L、ON信号线进行故障检测与排除；</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可以通过图形化编程实现 CAN 总线协议解析及控制转向角度。</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可以通过调试上位机软件对方向盘角度一键标定，快速完成零位校准。</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配备检测面板，面板设有信号检测口可对主负角度传感器、扭矩传感器、CAN、点火开关等信号进行快速测量，并提供各信号标准值参考；</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操作台采用多分体结构，其中包含显示区，控制操作区和支撑储物供电区构成并配备可移动脚轮方便移动；</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上位机软件系统安装在可视化显示终端内，终端显示屏幕尺寸43寸，可应对多人教学进行演示；</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配备底层程序刷写功能，提供不同底层程序，使用刷写软件进行底层程序更改，可完成对转向系统不同控制模式的更改；</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可以发送模拟车速值，实现手动转向时电机助力大小改变；</w:t>
      </w:r>
      <w:r/>
    </w:p>
    <w:p>
      <w:pPr>
        <w:numPr>
          <w:ilvl w:val="0"/>
          <w:numId w:val="35"/>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提供性能测试上位机软件源代码。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转向角度分辨率0.1°，控制精度±1°；</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响应时间&lt;100ms；</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噪声等级&lt;65dB；</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信号更新率≤50ms；</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扭矩/角度信号为PWM输出（峰值5V）；  </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CAN通讯，协议开放，支持二次开发；</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实训台具备可移动脚轮，尺寸≥1200×900×1200 mm，</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整备质量（Kg) ≤100；</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人机交互界面（≥43英寸显示器及配套上位机软件）;</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工控机CPU配置至少Intel 酷睿 I7-6700T四核 4G/1TB HD；</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提供不低于10个实训项目任务，包括典型故障诊断与排除；   </w:t>
      </w:r>
      <w:r/>
    </w:p>
    <w:p>
      <w:pPr>
        <w:numPr>
          <w:ilvl w:val="0"/>
          <w:numId w:val="3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提供产品使用说明书、实训指导书、开发资料一套。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3、线控悬架系统装调测试实训平台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产品功能性能描述：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车规级具备线控悬架系统零部件的底盘实训台，配合检测台架，方便进行系统的拆装与测试标定，并可通过系统能动态运行，可模拟不同车况、系统可施加定量载荷、直观反映电控悬架系统工作原理；掌握线控悬架系统的装调与测试能力、故障分析与处理能力。包括但不限于以下可实现功能：</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动态运行，反映电控悬架系统工作原理控制策略；</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实现车身高度的目标控制，包括施加定量载荷后车身高度的自动调节；</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通过模拟电控悬架在不同载荷、车身高度、车速、转向等；</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提供的模型验证电控悬架控制策略，包括气源控制、空气弹簧控制、减震器控制；</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系统可在软件搭建汽车悬架硬件在环仿真模型，进行在环仿真实训，学习控制器 V 模式的开发方。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台采用真实车载级悬架总成与工业标准设计，确保教学真实性与安全性。关键性能包括：直流安全电压（12V/24V）供电并配备多重保护；核心控制器支持标准OBD-II诊断及CAN通讯；气动系统工作压力0-10Bar，噪音低于65dB；整体采用刚性结构，配备数字仪表及人机交互界面，满足高强度实训需求。程序开源可进行二次开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机械总成（真实线控悬架总成、执行机构、车轮模拟装置等）；</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电控系统（原厂级ECU、全套传感器、标准诊断接口等）；</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测控系统（上位机教学软件、数据采集模块、显示仪表与操控面板等）；</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辅助系统（故障设置系统、安全电源、气路系统及配套工具）；</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直流安全电压（12V/24V）供电并配备多重保护；</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核心控制器支持标准OBD-II诊断；</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支持CAN等车载通讯协议的数据实时采集与激励；</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CAN通讯，协议开放，支持二次开发；</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气动系统工作压力0-10Bar，噪音低于65dB；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实训台具备可移动脚轮，尺寸≥1200×900×1200 mm，</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整备质量（Kg) ≤100；</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人机交互界面（≥43英寸显示器及配套上位机软件）;</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工控机CPU配置至少Intel 酷睿 I7-6700T四核 4G/1TB HD；</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提供不低于10个实训项目任务，包括典型故障诊断与排除；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提供产品使用说明书、实训指导书、开发资料一套。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4、线控驱动与制动系统装调测试实训平台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产品功能性能描述：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车规级具备线控驱动与线控制动系统零部件的底盘实训台，配合综合系统检测台架，方便进行系统的拆装与测试标定，并可通过编程实现模拟制动控制的实现与测试，通过该实训台可掌握线控制动系统的构成与工作原理，了解 MCU和EHB系统的搭建与测试，掌握线控驱动系统与制动系统的装调和测试能力、故障分析与处理能力。包括但不限于以下可实现功能：</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制动系统与驱动系统使用批量生产的标准型号，可以直接电控操作；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控制软件能够实现对制动系统的瞬态响应特性的性能测试；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 CAN 通信发送数据控制建立制动压力；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配备驱动系统独立电源，可进行宽幅电压调节；</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通过故障模块设置线路故障，对制动系统的位移传感器供电、位移信号1、位移信号2、压力信号、CAN-H、CAN-L、ON信号、油门信号、温度信号、档位信号、SIN信号、COS信号、旋变供电信号线进行故障检测与排除；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可以通过图形化编程实现 CAN 总线协议解析及建立制动压力与驱动电机旋转；</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配备检测面板，面板设有信号检测口可对位移传感器、油压传感器、CAN、点火开关等信号进行快速测量，并提供各信号标准值参考；</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系统包含两种控制形式，既能使用线控控制模式又保留了制动踏板，还原车辆自动与人工控制两种模式。</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操作台采用多分体结构，其中包含显示区，控制操作区和支撑储物供电区构成并配备可移动脚轮方便移动。</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上位机软件系统安装在可视化显示终端内，终端显示屏幕尺寸43寸，可应对多人教学进行演示；</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配备底层程序刷写功能，提供不同底层程序，使用刷写软件进行底层程序更改，可完成对制动系统最大制动压力的不同限制；</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提供性能测试上位机软件。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动力与制动总成（永磁同步电机及减速器总成、线控制动执行器总成）；</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测控与管理系统（开放式驱动/制动域控制器、电池模拟器、故障设置系统、信号采集单元）；</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交互与软件（工控机、教学软件、数据监控与诊断上位机）；</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直流安全电压（12V/24V）供电并配备多重保护；</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支持CAN等车载通讯协议的数据实时采集与激励；</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CAN通讯，协议开放，支持二次开发；</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实训台具备可移动脚轮，尺寸≥1200×900×1200 mm，</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整备质量（Kg) ≤100；</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人机交互界面（≥43英寸显示器及配套上位机软件）;</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工控机CPU配置至少Intel 酷睿 I7-6700T四核 4G/1TB HD；</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提供不低于10个实训项目任务，包括典型故障诊断与排除；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提供产品使用说明书、实训指导书、开发资料一套。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5、线控驻车系统装调测试实训平台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产品功能性能描述：</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系统认知与原理演示，展示EPB卡钳总成、控制单元(ECU)、拉索/电机执行机构的构造与电子驻车、自动驻车(Auto Hold)、动态紧急制动等控制逻辑；</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装调与标定实训，支持EPB卡钳、执行电机的拆装、拉索张力调节、传感器安装及系统初始化与匹配标定；</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故障诊断与排查，可设置执行器卡滞、传感器信号异常、通讯故障、电源故障等典型问题，训练学员使用诊断仪进行故障码读取、数据流分析及电路测量；</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性能与安全测试，能够测试驻车夹紧力、释放响应时间、静态坡道驻车能力、系统自检及失效保护机制，验证其功能安全。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产品主要配置要求：</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直流安全电压（12V/24V）供电并配备多重保护；</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夹紧力测量精度≤±2%，</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响应时间（夹紧/释放）测量分辨率≤10ms；</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支持模拟0-30%坡道角度的静态驻车测试；</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驻车执行总成（前后桥EPB卡钳总成、拉索式或集成式执行电机）；</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控制与传感系统（EPB控制单元、开关面板、力/位移传感器）；</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测控与故障设置单元（工控机、数据采集卡、专用故障设置箱、坡道角度模拟装置）；</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交互与软件系统（显示器、上位机教学软件，集成原理演示、数据监控、故障设置与考核功能）；</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专用工具与附件（EPB专用诊断仪、拉索调节工具、扭矩扳手、教学用线束图册）</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CAN通讯，协议开放，支持二次开发；</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实训台具备可移动脚轮，尺寸≥1200×900×1200 mm，</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整备质量（Kg) ≤100；</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人机交互界面（≥43英寸显示器及配套上位机软件）;</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工控机CPU配置至少Intel 酷睿 I7-6700T四核 4G/1TB HD；</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提供不低于10个实训项目任务，包括典型故障诊断与排除；   </w:t>
      </w:r>
      <w:r/>
    </w:p>
    <w:p>
      <w:pPr>
        <w:numPr>
          <w:ilvl w:val="0"/>
          <w:numId w:val="2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提供产品使用说明书、实训指导书、开发资料一套。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（三）付款条件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设备到货验收合格后支付100%货款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（四）交货时间和地点</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交货时间：合同签订后75天内完成供货、安装调试并交付使用；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交货地点：南京城市职业学院智能工程学院底盘线控系统实训室。</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     </w:t>
      </w:r>
      <w:r>
        <w:rPr>
          <w:rFonts w:ascii="SimSun" w:hAnsi="SimSun" w:eastAsia="SimSun" w:cs="SimSun"/>
          <w:b/>
          <w:color w:val="000000"/>
          <w:sz w:val="28"/>
        </w:rPr>
        <w:t xml:space="preserve">采购合同（项目编号）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甲方（采购人）：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签订时间：</w:t>
      </w:r>
      <w:r>
        <w:rPr>
          <w:rFonts w:ascii="SimSun" w:hAnsi="SimSun" w:eastAsia="SimSun" w:cs="SimSun"/>
          <w:color w:val="000000"/>
          <w:sz w:val="21"/>
          <w:u w:val="single"/>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根据《中华人民共和国政府采购法》、《中华人民共和国民法典》等法律、法规规定，按照</w:t>
      </w:r>
      <w:r>
        <w:rPr>
          <w:rFonts w:ascii="SimSun" w:hAnsi="SimSun" w:eastAsia="SimSun" w:cs="SimSun"/>
          <w:color w:val="000000"/>
          <w:sz w:val="21"/>
          <w:u w:val="single"/>
        </w:rPr>
        <w:t xml:space="preserve">项目名称：             </w:t>
      </w:r>
      <w:r>
        <w:rPr>
          <w:rFonts w:ascii="SimSun" w:hAnsi="SimSun" w:eastAsia="SimSun" w:cs="SimSun"/>
          <w:color w:val="000000"/>
          <w:sz w:val="21"/>
        </w:rPr>
        <w:t xml:space="preserve">采购文件、投标（响应）文件规定条款和中标（成交）供应商承诺，甲方向乙方购置相关货物，双方同意以下内容。</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合同签订依据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甲方采购文件或与本次采购活动方式相适应的文件及有关附件是本合同不可分割的组成部分，与本合同具有同等法律效力，这些文件包括但不限于：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）乙方提供的投标文件和投标报价表；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）供货一览表；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）交货地点一览表；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）技术规格响应表；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）投标承诺；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）服务承诺；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）中标或成交通知书；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）甲乙双方商定的其他文件。</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合同标的</w:t>
      </w:r>
      <w:r>
        <w:rPr>
          <w:rFonts w:ascii="Times New Roman" w:hAnsi="Times New Roman" w:eastAsia="Times New Roman" w:cs="Times New Roman"/>
          <w:b/>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乙方根据甲方需求提供下列货物，货物名称、规格及数量详见货物清单</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供货一览表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（格式可自拟）：</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1199"/>
        <w:gridCol w:w="1200"/>
        <w:gridCol w:w="1200"/>
        <w:gridCol w:w="1199"/>
        <w:gridCol w:w="1200"/>
        <w:gridCol w:w="1200"/>
        <w:gridCol w:w="1200"/>
      </w:tblGrid>
      <w:tr>
        <w:trPr>
          <w:trHeight w:val="8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商标品牌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人民币合计金额：</w:t>
            </w:r>
            <w:r>
              <w:rPr>
                <w:rFonts w:ascii="SimSun" w:hAnsi="SimSun" w:eastAsia="SimSun" w:cs="SimSun"/>
                <w:color w:val="000000"/>
                <w:sz w:val="21"/>
                <w:u w:val="single"/>
              </w:rPr>
              <w:t xml:space="preserve">（大写）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元整；（小写）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元整</w:t>
            </w:r>
            <w:r/>
          </w:p>
        </w:tc>
      </w:tr>
    </w:tbl>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合同总价款</w:t>
      </w:r>
      <w:r>
        <w:rPr>
          <w:rFonts w:ascii="Times New Roman" w:hAnsi="Times New Roman" w:eastAsia="Times New Roman" w:cs="Times New Roman"/>
          <w:b/>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本合同项下货物总价款为人民币：</w:t>
      </w:r>
      <w:r>
        <w:rPr>
          <w:rFonts w:ascii="SimSun" w:hAnsi="SimSun" w:eastAsia="SimSun" w:cs="SimSun"/>
          <w:color w:val="000000"/>
          <w:sz w:val="21"/>
          <w:u w:val="single"/>
        </w:rPr>
        <w:t xml:space="preserve">（大写） 元整；（小写） 元整</w:t>
      </w:r>
      <w:r>
        <w:rPr>
          <w:rFonts w:ascii="SimSun" w:hAnsi="SimSun" w:eastAsia="SimSun" w:cs="SimSun"/>
          <w:color w:val="000000"/>
          <w:sz w:val="21"/>
        </w:rPr>
        <w:t xml:space="preserve">；分项价款在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第四条权利保证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乙方应保证甲方在使用该货物或其任何一部分时不受第三方提出侵犯其专利权、版权、商标权或其他权利的起诉。一旦出现侵权，乙方应承担全部责任。</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第五条质量保证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、乙方所提供的货物型号、技术规格、技术参数等质量必须与采购文件、投标（响应）文件和承诺相一致。若技术性能无特殊说明，则按国家有关部门最新颁布的标准及规范为准。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第六条包装要求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货物均应按采购文件、投标（响应）文件要求的包装材料、包装标准、包装方式进行包装，若采购文件、投标（相应）文件无特殊说明，则按国家最新标准及规范进行包装。该包装应适应于远距离运输、防潮、防震、防锈和防野蛮装卸，以确保货物安全无损运抵甲方指定地点。由于包装不善所引起的货物损失均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、每一包装单元内应附详细的装箱单和质量合格凭证。</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第七条交货和验收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、交货时间地点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 </w:t>
      </w:r>
      <w:r>
        <w:rPr>
          <w:rFonts w:ascii="SimSun" w:hAnsi="SimSun" w:eastAsia="SimSun" w:cs="SimSun"/>
          <w:color w:val="000000"/>
          <w:sz w:val="21"/>
          <w:u w:val="single"/>
        </w:rPr>
        <w:t xml:space="preserve">     年  月  日</w:t>
      </w:r>
      <w:r>
        <w:rPr>
          <w:rFonts w:ascii="SimSun" w:hAnsi="SimSun" w:eastAsia="SimSun" w:cs="SimSun"/>
          <w:color w:val="000000"/>
          <w:sz w:val="21"/>
        </w:rPr>
        <w:t xml:space="preserve">，也可以甲方书面通知的具体时间为准。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乙方应按照本合同或采购文件规定的时间和方式向甲方交付货物，如招投标文件对交货时间未明确规定，则乙方应当在（期间）前将货物交付甲方。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）交货地点由甲方指定，交货地点：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）货物和系统调试验收的标准：按行业通行标准、厂方出厂标准和乙方投标文件的承诺（详见合同附件载明的标准，并不低于国家相关标准）。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、乙方负责在货物到达甲方交货地点或者指定地点</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rPr>
        <w:t xml:space="preserve">日内到甲方现场调试服务，甲方在调试过程中作整体验收，如调试验收不合格则由甲方出具书面通知，并责令乙方限期整改。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、甲方应当在到货后的</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rPr>
        <w:t xml:space="preserve">个工作日内对货物进行验收；需要乙方对货物或系统进行安装调试的，甲方应在货物安装调试完毕后的</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rPr>
        <w:t xml:space="preserve">个工作日内进行质量验收。验收合格的，由甲方签署验收单并加盖单位公章。招投标文件对检验期限另有规定的，从其规定。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、验收时间以验收单上签署的时间为准，验收结果以该项目验收单结论为准。在验收过程中发现乙方有违约问题，可暂缓资金结算，待违约问题解决后，方可办理资金结算事宜。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、甲方对验收有异议的或者经整改仍验收不合格的，在验收后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rPr>
        <w:t xml:space="preserve">个工作日内以书面形式向乙方提出，乙方应自收到甲方书面异议后</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rPr>
        <w:t xml:space="preserve">日内及时予以解决。</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付款方式和期限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、本合同所有款项均以人民币支付，合同执行期间合同总价不变，该价格已经包含本合同第三条约定的所有费用。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、付款条件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乙方要求付款应提交下列单证和文件：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、国家税务机关监制的正式发票。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、制造厂家出具的货物质量合格证书。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、甲方已收讫货物的验收凭证。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、甲方签发的验收合格文件。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设备到货验收合格后支付100%货款。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付款前，乙方须提供全额正式增值税发票及供货清单，发票信息须与本合同乙方单位名称、银行账号、开户行等信息一致。发票信息不一致的，甲方有权暂停支付合同价款且不视为甲方违约。有关发票方面的任何问题，甲方应在收到发票后及时书面通知乙方，乙方应及时作出解释或解决问题，以使甲方能按时付款。</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履约、质量保证金</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安装和培训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、甲方应提供必要安装条件（如场地、电源、水源等）。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、乙方需提供全流程、分层级、常态化免费培训服务，培训场地、基础实训耗材由采购方提供，培训讲师、课件、实操资料由乙方负责，所有培训不计额外费用。</w:t>
      </w:r>
      <w:r/>
    </w:p>
    <w:p>
      <w:pPr>
        <w:ind w:left="0" w:right="0" w:firstLine="97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项目整体验收后半年内，组织不少于 </w:t>
      </w: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次集中深度培训，培训时长不少于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小时。内容覆盖各实训台拆装调试、系统标定、故障设置与诊断、</w:t>
      </w:r>
      <w:r>
        <w:rPr>
          <w:rFonts w:ascii="Times New Roman" w:hAnsi="Times New Roman" w:eastAsia="Times New Roman" w:cs="Times New Roman"/>
          <w:color w:val="000000"/>
          <w:sz w:val="21"/>
        </w:rPr>
        <w:t xml:space="preserve">CAN </w:t>
      </w:r>
      <w:r>
        <w:rPr>
          <w:rFonts w:ascii="SimSun" w:hAnsi="SimSun" w:eastAsia="SimSun" w:cs="SimSun"/>
          <w:color w:val="000000"/>
          <w:sz w:val="21"/>
        </w:rPr>
        <w:t xml:space="preserve">总线应用、软件编程、数据采集分析、</w:t>
      </w:r>
      <w:r>
        <w:rPr>
          <w:rFonts w:ascii="Times New Roman" w:hAnsi="Times New Roman" w:eastAsia="Times New Roman" w:cs="Times New Roman"/>
          <w:color w:val="000000"/>
          <w:sz w:val="21"/>
        </w:rPr>
        <w:t xml:space="preserve">ADAS </w:t>
      </w:r>
      <w:r>
        <w:rPr>
          <w:rFonts w:ascii="SimSun" w:hAnsi="SimSun" w:eastAsia="SimSun" w:cs="SimSun"/>
          <w:color w:val="000000"/>
          <w:sz w:val="21"/>
        </w:rPr>
        <w:t xml:space="preserve">功能调试、虚拟仿真平台使用等全套专业技能。</w:t>
      </w:r>
      <w:r/>
    </w:p>
    <w:p>
      <w:pPr>
        <w:ind w:left="0" w:right="0" w:firstLine="7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项目交付后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年内，提供不少于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次行业前沿技术培训或企业现场实践学习，内容围绕智能网联汽车线控底盘新技术、行业应用、课程开发、技能竞赛指导等，助力教师提升 “双师” 能力。</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售后服务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按国家相关法规及采购文件、投标（响应）文件对售后服务的要求和响应提供服务。自甲乙双方签署验收单且加盖甲方公章之日的次日起算。在货物正确安装、正常操作和维修情况下，乙方必须对协议货物的正常使用承诺不少于</w:t>
      </w:r>
      <w:r>
        <w:rPr>
          <w:rFonts w:ascii="SimSun" w:hAnsi="SimSun" w:eastAsia="SimSun" w:cs="SimSun"/>
          <w:color w:val="000000"/>
          <w:sz w:val="21"/>
          <w:u w:val="single"/>
        </w:rPr>
        <w:t xml:space="preserve">    （大写）</w:t>
      </w:r>
      <w:r>
        <w:rPr>
          <w:rFonts w:ascii="SimSun" w:hAnsi="SimSun" w:eastAsia="SimSun" w:cs="SimSun"/>
          <w:color w:val="000000"/>
          <w:sz w:val="21"/>
        </w:rPr>
        <w:t xml:space="preserve">个月的免费质量保证期。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、乙方将定期派员对甲方使用的货物进行检测，应保证货物处于正常使用状态。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、若招投标文件中不包含有关售后服务的承诺，双方做如下约定：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保修期内，乙方负责对其提供的货物整机进行维修和系统维护，不再收取任何费用，但不可抗力（如火灾、雷击等）造成的故障除外。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货物故障报修的响应时间为：工作期间（星期一至星期五</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00-18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）为</w:t>
      </w:r>
      <w:r>
        <w:rPr>
          <w:rFonts w:ascii="SimSun" w:hAnsi="SimSun" w:eastAsia="SimSun" w:cs="SimSun"/>
          <w:color w:val="000000"/>
          <w:sz w:val="21"/>
          <w:u w:val="single"/>
        </w:rPr>
        <w:t xml:space="preserve">   </w:t>
      </w:r>
      <w:r>
        <w:rPr>
          <w:rFonts w:ascii="SimSun" w:hAnsi="SimSun" w:eastAsia="SimSun" w:cs="SimSun"/>
          <w:color w:val="000000"/>
          <w:sz w:val="21"/>
        </w:rPr>
        <w:t xml:space="preserve">小时；非工作期间为</w:t>
      </w:r>
      <w:r>
        <w:rPr>
          <w:rFonts w:ascii="SimSun" w:hAnsi="SimSun" w:eastAsia="SimSun" w:cs="SimSun"/>
          <w:color w:val="000000"/>
          <w:sz w:val="21"/>
          <w:u w:val="single"/>
        </w:rPr>
        <w:t xml:space="preserve">   </w:t>
      </w:r>
      <w:r>
        <w:rPr>
          <w:rFonts w:ascii="SimSun" w:hAnsi="SimSun" w:eastAsia="SimSun" w:cs="SimSun"/>
          <w:color w:val="000000"/>
          <w:sz w:val="21"/>
        </w:rPr>
        <w:t xml:space="preserve">小时。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若货物故障在检修</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工作小时后仍无法排除，乙方应在</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小时内免费提供不低于故障货物规格型号档次的备用货物供甲方使用，直至故障货物修复。</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rPr>
          <w:rFonts w:ascii="SimSun" w:hAnsi="SimSun" w:eastAsia="SimSun" w:cs="SimSun"/>
          <w:color w:val="000000"/>
          <w:sz w:val="21"/>
        </w:rPr>
        <w:t xml:space="preserve">所有货物保修服务方式均为乙方上门保修，即由乙方派员到货物使用现场维修，由此产生的一切费用均由乙方承担。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、保修期届满后，双方可另行签订维护保养合同。</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合同的变更、终止与转让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、按照《中华人民共和国政府采购法》第</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条规定，本合同一经签订，除本合同约定外，甲乙双方不得擅自变更、中止或终止。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、双方除非事先得到对方的书面同意或本合同另有约定，任何一方不得将合同项下的任何权利、义务、责任转让给任何第三方。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、乙方逾期未完成约定义务超过</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个</w:t>
      </w:r>
      <w:r>
        <w:rPr>
          <w:rFonts w:ascii="SimSun" w:hAnsi="SimSun" w:eastAsia="SimSun" w:cs="SimSun"/>
          <w:color w:val="000000"/>
          <w:sz w:val="21"/>
        </w:rPr>
        <w:t xml:space="preserve">工作日，甲方有权单方解除本合同。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、乙方履行本合同约定义务时，未达到甲方要求，修改或整改超过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次，仍然无法达到甲方要求，甲方有权单方解除本合同。</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、若乙方未按照合同约定工期完成供货、安装、调试及交付，每逾期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天，按项目合同总金额的 </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‰向采购方支付违约金；逾期超过 </w:t>
      </w:r>
      <w:r>
        <w:rPr>
          <w:rFonts w:ascii="Times New Roman" w:hAnsi="Times New Roman" w:eastAsia="Times New Roman" w:cs="Times New Roman"/>
          <w:color w:val="000000"/>
          <w:sz w:val="21"/>
        </w:rPr>
        <w:t xml:space="preserve">15 </w:t>
      </w:r>
      <w:r>
        <w:rPr>
          <w:rFonts w:ascii="SimSun" w:hAnsi="SimSun" w:eastAsia="SimSun" w:cs="SimSun"/>
          <w:color w:val="000000"/>
          <w:sz w:val="21"/>
        </w:rPr>
        <w:t xml:space="preserve">日，甲方有权单方面解除合同，乙方须全额退还已支付款项，并承担由此造成的全部损失。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供货设备、软件、技术参数与招标文件、投标承诺、合同约定不符，存在以次充好、缺项漏项、功能缺失、参数不达标等问题，乙方须无条件限期更换、整改，同时按对应设备货值的 </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支付违约金；整改后仍无法达到使用要求的，甲方有权拒收货物、解除合同，乙方赔偿全部经济损失。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售后服务未按约定响应、到场、修复故障，每出现一次违规情况，乙方支付违约金</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元；因服务滞后造成教学中断、实训无法开展的，额外承担相应损失。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质保期内，设备频繁出现同类故障且多次维修仍无法正常使用，乙方须免费更换全新同规格产品；若因设备质量问题引发人身安全、财产损失，所有赔偿责任由乙方全额承担。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本条款约定的违约金、赔偿金，甲方有权从当期应支付款项中直接抵扣，不足部分甲方依法继续追偿。</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保密条款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、双方对合作及本合同的具体内容负有保密责任。未经对方事先书面同意，任何一方不得将双方的合作及本合同中涉及的商业秘密披露给任何第三方。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本条所指的商业秘密是指以各种有形或无形形式存贮的观点、计划和信息，包括但不限于：技术或商业性质的信息、标语口号、版权物品、</w:t>
      </w:r>
      <w:hyperlink r:id="rId11" w:tooltip="http://www.xuexila.com/diannao/" w:history="1">
        <w:r>
          <w:rPr>
            <w:rStyle w:val="866"/>
            <w:rFonts w:ascii="SimSun" w:hAnsi="SimSun" w:eastAsia="SimSun" w:cs="SimSun"/>
            <w:color w:val="0000ee"/>
            <w:sz w:val="21"/>
            <w:u w:val="single"/>
          </w:rPr>
          <w:t xml:space="preserve">计算机</w:t>
        </w:r>
      </w:hyperlink>
      <w:r>
        <w:rPr>
          <w:rFonts w:ascii="SimSun" w:hAnsi="SimSun" w:eastAsia="SimSun" w:cs="SimSun"/>
          <w:color w:val="000000"/>
          <w:sz w:val="21"/>
        </w:rPr>
        <w:t xml:space="preserve">软件、源代码、目标代码、技术、技术诀窍、数据、营销企划、摘要、报告及邮件列表等。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、本合同如有任何部分被视为无效或不可执行，均不影响保密条款的有效性。</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、本条约定在本合同终止履行后两年内仍然有效。</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不可抗力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不可抗力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56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第十六条争议的解决</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、因货物质量问题发生争议，由质量技术监督部门或质量技术监督部门指定的质量鉴定机构进行质量鉴定。货物符合标准的，鉴定费由甲方承担；货物不符合质量标准的，鉴定费由乙方承担。</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、因履行本合同引起的或与本合同有关的争议，甲、乙双方应首先通过友好协商解决，如果协商不能解决争议，则采取以下第（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）种方式解决争议：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）向仲裁委员会按其仲裁规则申请仲裁。</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第十七条合同生效及其他</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、合同附件是本合同不可分割组成部分，与本合同具有同等法律效力。</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、本合同未尽事宜，由甲乙双方协商后产生书面文件，作为本合同的补充条款，具备与本合同同等法律效力。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、对本合同内容的任何修改和变更需要用书面形式，并经双方签字盖章确认后生效。</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陆 </w:t>
      </w:r>
      <w:r>
        <w:rPr>
          <w:rFonts w:ascii="SimSun" w:hAnsi="SimSun" w:eastAsia="SimSun" w:cs="SimSun"/>
          <w:color w:val="000000"/>
          <w:sz w:val="21"/>
        </w:rPr>
        <w:t xml:space="preserve">份，甲方</w:t>
      </w:r>
      <w:r>
        <w:rPr>
          <w:rFonts w:ascii="SimSun" w:hAnsi="SimSun" w:eastAsia="SimSun" w:cs="SimSun"/>
          <w:color w:val="000000"/>
          <w:sz w:val="21"/>
          <w:u w:val="single"/>
        </w:rPr>
        <w:t xml:space="preserve"> 肆 </w:t>
      </w:r>
      <w:r>
        <w:rPr>
          <w:rFonts w:ascii="SimSun" w:hAnsi="SimSun" w:eastAsia="SimSun" w:cs="SimSun"/>
          <w:color w:val="000000"/>
          <w:sz w:val="21"/>
        </w:rPr>
        <w:t xml:space="preserve">份，乙方</w:t>
      </w:r>
      <w:r>
        <w:rPr>
          <w:rFonts w:ascii="SimSun" w:hAnsi="SimSun" w:eastAsia="SimSun" w:cs="SimSun"/>
          <w:color w:val="000000"/>
          <w:sz w:val="21"/>
          <w:u w:val="single"/>
        </w:rPr>
        <w:t xml:space="preserve"> 贰 </w:t>
      </w:r>
      <w:r>
        <w:rPr>
          <w:rFonts w:ascii="SimSun" w:hAnsi="SimSun" w:eastAsia="SimSun" w:cs="SimSun"/>
          <w:color w:val="000000"/>
          <w:sz w:val="21"/>
        </w:rPr>
        <w:t xml:space="preserve">份。本合同自甲乙双方签字盖章后生效。</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10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致：南京城市职业学院（南京开放大学）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致：南京城市职业学院（南京开放大学）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108" w:right="0" w:firstLine="0"/>
              <w:jc w:val="center"/>
              <w:spacing w:before="0" w:after="0" w:line="3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108" w:right="0" w:firstLine="0"/>
              <w:jc w:val="center"/>
              <w:spacing w:before="0" w:after="0" w:line="3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总价金额（元）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827" w:right="0" w:firstLine="82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投标总价合计（元）：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其中核心产品所投品牌（如非单一产品则填写核心产品品牌）：</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注：1．投标人应根据其项目情况提供详细分项报价。投标人应对上述每项内容列明组成的详细分项价格。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 投标人对以上数据的真实性负责。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 报价应包括项目涉及的一切税、费等。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采购人或采购代理机构有权将以上内容进行公示。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5、表中表格行数可自行添加。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致：南京城市职业学院（南京开放大学）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我公司就智能网联汽车技术专业底盘线控系统实训室质量保证及服务承诺如下：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528"/>
        <w:gridCol w:w="2547"/>
        <w:gridCol w:w="1399"/>
        <w:gridCol w:w="674"/>
        <w:gridCol w:w="905"/>
        <w:gridCol w:w="158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“★”和“▲”技术规格响应证明文件的具体位置</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司（联合体）参加（单位名称）的（项目名称）采购活动，服务全部由符合政策要求的中小企业承接。相关企业（含联合体中的中小企业、签订分包意向协议的中小企业）的具体情况如下：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12" w:tooltip="http://www.ccgp.gov.cn/" w:history="1">
        <w:r>
          <w:rPr>
            <w:rStyle w:val="86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
        </w:rPr>
        <w:t xml:space="preserve"> </w:t>
        <mc:AlternateContent>
          <mc:Choice Requires="wpg">
            <w:drawing>
              <wp:inline xmlns:wp="http://schemas.openxmlformats.org/drawingml/2006/wordprocessingDrawing" distT="0" distB="0" distL="0" distR="0">
                <wp:extent cx="1390650"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56097"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5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90650" cy="190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03792"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关于符合本国产品标准的声明函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我公司（单位）郑重声明，根据《国务院办公厅关于在政府采购中实施本国产品标准及相关政策的通知》（国办发〔2025〕34号）的规定，我公司（单位）提供的以下产品属于本国产品。具体情况如下：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1，生产厂为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2，厂址为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3。</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4在中国境内生产。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5在中国境内完成。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w:t>
      </w:r>
      <w:r>
        <w:rPr>
          <w:rFonts w:ascii="Calibri" w:hAnsi="Calibri" w:eastAsia="Calibri" w:cs="Calibri"/>
          <w:color w:val="000000"/>
          <w:sz w:val="21"/>
          <w:highlight w:val="white"/>
          <w:u w:val="single"/>
        </w:rPr>
        <w:t xml:space="preserve">2</w:t>
      </w:r>
      <w:r>
        <w:rPr>
          <w:rFonts w:ascii="SimSun" w:hAnsi="SimSun" w:eastAsia="SimSun" w:cs="SimSun"/>
          <w:color w:val="000000"/>
          <w:sz w:val="21"/>
          <w:highlight w:val="white"/>
          <w:u w:val="single"/>
        </w:rPr>
        <w:t xml:space="preserve">）</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我公司（单位）对上述声明内容的真实性负责。如有虚假，愿承担相应法律责任。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投标人名称（盖章）：</w:t>
      </w: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成本比例声明函（如适用）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（适用于招标项目或者招标包中含有多种产品时，不提供或者提供声明的比例达不到要求时，不享受价格扣除）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成本比例声明函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我公司（单位）郑重声明，根据《国务院办公厅关于在政府采购中实施本国产品标准及相关政策的通知》（国办发〔2025〕34 号）的规定，我公司（单位）提供的全部产品中，符合本国产品标准的产品成本之和占我公司（单位）提供的全部产品成本之和的比例达到</w:t>
      </w:r>
      <w:r>
        <w:rPr>
          <w:rFonts w:ascii="SimSun" w:hAnsi="SimSun" w:eastAsia="SimSun" w:cs="SimSun"/>
          <w:color w:val="000000"/>
          <w:sz w:val="21"/>
          <w:u w:val="single"/>
        </w:rPr>
        <w:t xml:space="preserve">       </w:t>
      </w:r>
      <w:r>
        <w:rPr>
          <w:rFonts w:ascii="SimSun" w:hAnsi="SimSun" w:eastAsia="SimSun" w:cs="SimSun"/>
          <w:color w:val="000000"/>
          <w:sz w:val="21"/>
        </w:rPr>
        <w:t xml:space="preserve">（填写具体百分比）。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我公司（单位）对上述声明内容的真实性负责。如有虚假，愿承担相应法律责任。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562"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56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6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当招标项目或者招标包中含有多种产品，投标人为该招标项目或者招标包提供的符合本国产品标准的产品成本之和占该投标人提供的全部产品成本之和的比例达到80%以上时，依法对该投标人提供的全部产品给予价格评审优惠，即对该投标人提供的全部产品的总报价给予 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2">
    <w:panose1 w:val="05020102010507070707"/>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lowerLetter"/>
      <w:isLgl w:val="false"/>
      <w:suff w:val="tab"/>
      <w:lvlText w:val="%2."/>
      <w:lvlJc w:val="left"/>
      <w:pPr>
        <w:ind w:left="840" w:hanging="420"/>
      </w:pPr>
    </w:lvl>
    <w:lvl w:ilvl="2">
      <w:start w:val="1"/>
      <w:numFmt w:val="lowerLetter"/>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decimal"/>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lowerLetter"/>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decimal"/>
      <w:isLgl w:val="false"/>
      <w:suff w:val="tab"/>
      <w:lvlText w:val="%9)"/>
      <w:lvlJc w:val="left"/>
      <w:pPr>
        <w:ind w:left="3780" w:hanging="420"/>
      </w:pPr>
    </w:lvl>
  </w:abstractNum>
  <w:abstractNum w:abstractNumId="5">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tab"/>
      <w:lvlText w:val="%1）"/>
      <w:lvlJc w:val="left"/>
      <w:pPr>
        <w:ind w:left="0" w:firstLine="0"/>
      </w:pPr>
    </w:lvl>
    <w:lvl w:ilvl="1">
      <w:start w:val="1"/>
      <w:numFmt w:val="lowerLetter"/>
      <w:isLgl w:val="false"/>
      <w:suff w:val="tab"/>
      <w:lvlText w:val="%2."/>
      <w:lvlJc w:val="left"/>
      <w:pPr>
        <w:ind w:left="840" w:hanging="420"/>
      </w:pPr>
    </w:lvl>
    <w:lvl w:ilvl="2">
      <w:start w:val="1"/>
      <w:numFmt w:val="lowerLetter"/>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decimal"/>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lowerLetter"/>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decimal"/>
      <w:isLgl w:val="false"/>
      <w:suff w:val="tab"/>
      <w:lvlText w:val="%9)"/>
      <w:lvlJc w:val="left"/>
      <w:pPr>
        <w:ind w:left="3780" w:hanging="420"/>
      </w:pPr>
    </w:lvl>
  </w:abstractNum>
  <w:abstractNum w:abstractNumId="23">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lowerLetter"/>
      <w:isLgl w:val="false"/>
      <w:suff w:val="tab"/>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uiPriority w:val="34"/>
    <w:qFormat/>
    <w:pPr>
      <w:contextualSpacing/>
      <w:ind w:left="720"/>
    </w:pPr>
  </w:style>
  <w:style w:type="paragraph" w:styleId="725">
    <w:name w:val="No Spacing"/>
    <w:uiPriority w:val="1"/>
    <w:qFormat/>
    <w:pPr>
      <w:spacing w:before="0" w:after="0" w:line="240" w:lineRule="auto"/>
    </w:pPr>
  </w:style>
  <w:style w:type="paragraph" w:styleId="726">
    <w:name w:val="Title"/>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link w:val="731"/>
    <w:uiPriority w:val="29"/>
    <w:qFormat/>
    <w:pPr>
      <w:ind w:left="720" w:right="720"/>
    </w:pPr>
    <w:rPr>
      <w:i/>
    </w:rPr>
  </w:style>
  <w:style w:type="character" w:styleId="731">
    <w:name w:val="Quote Char"/>
    <w:link w:val="730"/>
    <w:uiPriority w:val="29"/>
    <w:rPr>
      <w:i/>
    </w:rPr>
  </w:style>
  <w:style w:type="paragraph" w:styleId="732">
    <w:name w:val="Intense Quote"/>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uiPriority w:val="39"/>
    <w:unhideWhenUsed/>
    <w:pPr>
      <w:ind w:left="0" w:right="0" w:firstLine="0"/>
      <w:spacing w:after="57"/>
    </w:pPr>
  </w:style>
  <w:style w:type="paragraph" w:styleId="874">
    <w:name w:val="toc 2"/>
    <w:uiPriority w:val="39"/>
    <w:unhideWhenUsed/>
    <w:pPr>
      <w:ind w:left="283" w:right="0" w:firstLine="0"/>
      <w:spacing w:after="57"/>
    </w:pPr>
  </w:style>
  <w:style w:type="paragraph" w:styleId="875">
    <w:name w:val="toc 3"/>
    <w:uiPriority w:val="39"/>
    <w:unhideWhenUsed/>
    <w:pPr>
      <w:ind w:left="567" w:right="0" w:firstLine="0"/>
      <w:spacing w:after="57"/>
    </w:pPr>
  </w:style>
  <w:style w:type="paragraph" w:styleId="876">
    <w:name w:val="toc 4"/>
    <w:uiPriority w:val="39"/>
    <w:unhideWhenUsed/>
    <w:pPr>
      <w:ind w:left="850" w:right="0" w:firstLine="0"/>
      <w:spacing w:after="57"/>
    </w:pPr>
  </w:style>
  <w:style w:type="paragraph" w:styleId="877">
    <w:name w:val="toc 5"/>
    <w:uiPriority w:val="39"/>
    <w:unhideWhenUsed/>
    <w:pPr>
      <w:ind w:left="1134" w:right="0" w:firstLine="0"/>
      <w:spacing w:after="57"/>
    </w:pPr>
  </w:style>
  <w:style w:type="paragraph" w:styleId="878">
    <w:name w:val="toc 6"/>
    <w:uiPriority w:val="39"/>
    <w:unhideWhenUsed/>
    <w:pPr>
      <w:ind w:left="1417" w:right="0" w:firstLine="0"/>
      <w:spacing w:after="57"/>
    </w:pPr>
  </w:style>
  <w:style w:type="paragraph" w:styleId="879">
    <w:name w:val="toc 7"/>
    <w:uiPriority w:val="39"/>
    <w:unhideWhenUsed/>
    <w:pPr>
      <w:ind w:left="1701" w:right="0" w:firstLine="0"/>
      <w:spacing w:after="57"/>
    </w:pPr>
  </w:style>
  <w:style w:type="paragraph" w:styleId="880">
    <w:name w:val="toc 8"/>
    <w:uiPriority w:val="39"/>
    <w:unhideWhenUsed/>
    <w:pPr>
      <w:ind w:left="1984" w:right="0" w:firstLine="0"/>
      <w:spacing w:after="57"/>
    </w:pPr>
  </w:style>
  <w:style w:type="paragraph" w:styleId="881">
    <w:name w:val="toc 9"/>
    <w:uiPriority w:val="39"/>
    <w:unhideWhenUsed/>
    <w:pPr>
      <w:ind w:left="2268" w:right="0" w:firstLine="0"/>
      <w:spacing w:after="57"/>
    </w:pPr>
  </w:style>
  <w:style w:type="paragraph" w:styleId="882">
    <w:name w:val="TOC Heading"/>
    <w:uiPriority w:val="39"/>
    <w:unhideWhenUsed/>
  </w:style>
  <w:style w:type="paragraph" w:styleId="883">
    <w:name w:val="table of figures"/>
    <w:uiPriority w:val="99"/>
    <w:unhideWhenUsed/>
    <w:pPr>
      <w:spacing w:after="0" w:afterAutospacing="0"/>
    </w:pPr>
  </w:style>
  <w:style w:type="character" w:styleId="884" w:default="1">
    <w:name w:val="Default Paragraph Font"/>
    <w:uiPriority w:val="1"/>
    <w:semiHidden/>
    <w:unhideWhenUsed/>
  </w:style>
  <w:style w:type="numbering" w:styleId="885" w:default="1">
    <w:name w:val="No List"/>
    <w:uiPriority w:val="99"/>
    <w:semiHidden/>
    <w:unhideWhenUsed/>
  </w:style>
  <w:style w:type="paragraph" w:styleId="886" w:default="1">
    <w:name w:val="Normal"/>
    <w:qFormat/>
  </w:style>
  <w:style w:type="table" w:styleId="8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xuexila.com/diannao/" TargetMode="External"/><Relationship Id="rId10" Type="http://schemas.openxmlformats.org/officeDocument/2006/relationships/hyperlink" Target="http://www.ccgp.gov.cn/" TargetMode="External"/><Relationship Id="rId11" Type="http://schemas.openxmlformats.org/officeDocument/2006/relationships/hyperlink" Target="http://www.xuexila.com/diannao/" TargetMode="External"/><Relationship Id="rId12"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5</cp:revision>
  <dcterms:created xsi:type="dcterms:W3CDTF">2026-07-09T05:19:57Z</dcterms:created>
  <dcterms:modified xsi:type="dcterms:W3CDTF">2026-07-10T05:39:41Z</dcterms:modified>
</cp:coreProperties>
</file>