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spacing w:line="800" w:lineRule="exact"/>
        <w:rPr>
          <w:rFonts w:ascii="CESI黑体-GB2312" w:hAnsi="CESI黑体-GB2312" w:eastAsia="CESI黑体-GB2312" w:cs="CESI黑体-GB2312"/>
          <w:sz w:val="32"/>
          <w:szCs w:val="32"/>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2026年管线功能性结构性检测</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JSZC-320400-JSZG-G2026-0040</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采购人：</w:t>
      </w:r>
      <w:r>
        <w:rPr>
          <w:rFonts w:hint="eastAsia"/>
          <w:bCs/>
          <w:sz w:val="36"/>
          <w:szCs w:val="36"/>
        </w:rPr>
        <w:t xml:space="preserve">常州市排水管理处</w:t>
      </w:r>
      <w:r/>
    </w:p>
    <w:p>
      <w:pPr>
        <w:ind w:left="2832" w:hanging="1900"/>
        <w:jc w:val="left"/>
        <w:spacing w:line="360" w:lineRule="auto"/>
        <w:tabs>
          <w:tab w:val="left" w:pos="3240" w:leader="none"/>
          <w:tab w:val="left" w:pos="3420" w:leader="none"/>
        </w:tabs>
        <w:rPr>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7" w:h="16840" w:orient="portrait"/>
          <w:pgMar w:top="1911" w:right="1474" w:bottom="1882" w:left="1587" w:header="851" w:footer="851" w:gutter="0"/>
          <w:pgNumType w:start="1"/>
          <w:cols w:num="1" w:sep="0" w:space="720" w:equalWidth="1"/>
          <w:docGrid w:linePitch="360"/>
          <w:titlePg/>
        </w:sectPr>
      </w:pPr>
      <w:r/>
      <w:bookmarkStart w:id="0" w:name="_Toc20162"/>
      <w:r/>
      <w:bookmarkStart w:id="1" w:name="_Toc26664"/>
      <w:r/>
      <w:bookmarkStart w:id="2" w:name="_Toc5081"/>
      <w:r/>
      <w:bookmarkStart w:id="3" w:name="_Toc99301418"/>
      <w:r>
        <w:rPr>
          <w:rFonts w:hint="eastAsia"/>
          <w:bCs/>
          <w:sz w:val="36"/>
          <w:szCs w:val="36"/>
        </w:rPr>
        <w:t xml:space="preserve">招标代理机构</w:t>
      </w:r>
      <w:r>
        <w:rPr>
          <w:bCs/>
          <w:sz w:val="36"/>
          <w:szCs w:val="36"/>
        </w:rPr>
        <w:t xml:space="preserve">：</w:t>
      </w:r>
      <w:r>
        <w:rPr>
          <w:rFonts w:hint="eastAsia"/>
          <w:bCs/>
          <w:sz w:val="36"/>
          <w:szCs w:val="36"/>
        </w:rPr>
        <w:t xml:space="preserve">江苏中冠工程咨询有限公司</w:t>
      </w:r>
      <w:r/>
    </w:p>
    <w:p>
      <w:pPr>
        <w:jc w:val="center"/>
        <w:spacing w:line="360" w:lineRule="auto"/>
        <w:rPr>
          <w:b/>
          <w:sz w:val="36"/>
          <w:szCs w:val="36"/>
        </w:rPr>
        <w:outlineLvl w:val="0"/>
      </w:pPr>
      <w:r>
        <w:rPr>
          <w:b/>
          <w:sz w:val="36"/>
          <w:szCs w:val="36"/>
        </w:rPr>
        <w:t xml:space="preserve">目      录</w:t>
      </w:r>
      <w:bookmarkEnd w:id="0"/>
      <w:r/>
      <w:bookmarkEnd w:id="1"/>
      <w:r/>
      <w:bookmarkEnd w:id="2"/>
      <w:r/>
      <w:bookmarkEnd w:id="3"/>
      <w:r/>
      <w:r/>
    </w:p>
    <w:p>
      <w:r/>
      <w:r/>
    </w:p>
    <w:p>
      <w:r/>
      <w:r/>
    </w:p>
    <w:p>
      <w:r/>
      <w:r/>
    </w:p>
    <w:p>
      <w:pPr>
        <w:pStyle w:val="1077"/>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"_Toc13176" </w:instrText>
      </w:r>
      <w:r>
        <w:fldChar w:fldCharType="separate"/>
      </w:r>
      <w:r>
        <w:rPr>
          <w:szCs w:val="36"/>
        </w:rPr>
        <w:t xml:space="preserve">第一章   投标邀请</w:t>
      </w:r>
      <w:r>
        <w:tab/>
      </w:r>
      <w:r>
        <w:fldChar w:fldCharType="begin"/>
      </w:r>
      <w:r>
        <w:instrText xml:space="preserve"> PAGEREF _Toc13176 \h </w:instrText>
      </w:r>
      <w:r>
        <w:fldChar w:fldCharType="separate"/>
      </w:r>
      <w:r>
        <w:t xml:space="preserve">3</w:t>
      </w:r>
      <w:r>
        <w:fldChar w:fldCharType="end"/>
      </w:r>
      <w:r>
        <w:fldChar w:fldCharType="end"/>
      </w:r>
      <w:r/>
    </w:p>
    <w:p>
      <w:pPr>
        <w:pStyle w:val="1077"/>
        <w:tabs>
          <w:tab w:val="right" w:pos="9072" w:leader="dot"/>
        </w:tabs>
      </w:pPr>
      <w:r>
        <w:fldChar w:fldCharType="begin"/>
      </w:r>
      <w:r>
        <w:instrText xml:space="preserve"> HYPERLINK \l "_Toc17447" </w:instrText>
      </w:r>
      <w:r>
        <w:fldChar w:fldCharType="separate"/>
      </w:r>
      <w:r>
        <w:rPr>
          <w:szCs w:val="36"/>
        </w:rPr>
        <w:t xml:space="preserve">第二章   投标人须知</w:t>
      </w:r>
      <w:r>
        <w:tab/>
      </w:r>
      <w:r>
        <w:fldChar w:fldCharType="begin"/>
      </w:r>
      <w:r>
        <w:instrText xml:space="preserve"> PAGEREF _Toc17447 \h </w:instrText>
      </w:r>
      <w:r>
        <w:fldChar w:fldCharType="separate"/>
      </w:r>
      <w:r>
        <w:t xml:space="preserve">7</w:t>
      </w:r>
      <w:r>
        <w:fldChar w:fldCharType="end"/>
      </w:r>
      <w:r>
        <w:fldChar w:fldCharType="end"/>
      </w:r>
      <w:r/>
    </w:p>
    <w:p>
      <w:pPr>
        <w:pStyle w:val="1077"/>
        <w:tabs>
          <w:tab w:val="right" w:pos="9072" w:leader="dot"/>
        </w:tabs>
      </w:pPr>
      <w:r>
        <w:fldChar w:fldCharType="begin"/>
      </w:r>
      <w:r>
        <w:instrText xml:space="preserve"> HYPERLINK \l "_Toc17622" </w:instrText>
      </w:r>
      <w:r>
        <w:fldChar w:fldCharType="separate"/>
      </w:r>
      <w:r>
        <w:rPr>
          <w:szCs w:val="36"/>
        </w:rPr>
        <w:t xml:space="preserve">第三章   资格审查</w:t>
      </w:r>
      <w:r>
        <w:tab/>
      </w:r>
      <w:r>
        <w:fldChar w:fldCharType="begin"/>
      </w:r>
      <w:r>
        <w:instrText xml:space="preserve"> PAGEREF _Toc17622 \h </w:instrText>
      </w:r>
      <w:r>
        <w:fldChar w:fldCharType="separate"/>
      </w:r>
      <w:r>
        <w:t xml:space="preserve">21</w:t>
      </w:r>
      <w:r>
        <w:fldChar w:fldCharType="end"/>
      </w:r>
      <w:r>
        <w:fldChar w:fldCharType="end"/>
      </w:r>
      <w:r/>
    </w:p>
    <w:p>
      <w:pPr>
        <w:pStyle w:val="1077"/>
        <w:tabs>
          <w:tab w:val="right" w:pos="9072" w:leader="dot"/>
        </w:tabs>
      </w:pPr>
      <w:r>
        <w:fldChar w:fldCharType="begin"/>
      </w:r>
      <w:r>
        <w:instrText xml:space="preserve"> HYPERLINK \l "_Toc7435" </w:instrText>
      </w:r>
      <w:r>
        <w:fldChar w:fldCharType="separate"/>
      </w:r>
      <w:r>
        <w:rPr>
          <w:szCs w:val="36"/>
        </w:rPr>
        <w:t xml:space="preserve">第四章   评标程序、评</w:t>
      </w:r>
      <w:bookmarkStart w:id="925" w:name="_GoBack"/>
      <w:r/>
      <w:bookmarkEnd w:id="925"/>
      <w:r>
        <w:rPr>
          <w:szCs w:val="36"/>
        </w:rPr>
        <w:t xml:space="preserve">标方法和评标标准</w:t>
      </w:r>
      <w:r>
        <w:tab/>
      </w:r>
      <w:r>
        <w:fldChar w:fldCharType="begin"/>
      </w:r>
      <w:r>
        <w:instrText xml:space="preserve"> PAGEREF _Toc7435 \h </w:instrText>
      </w:r>
      <w:r>
        <w:fldChar w:fldCharType="separate"/>
      </w:r>
      <w:r>
        <w:t xml:space="preserve">23</w:t>
      </w:r>
      <w:r>
        <w:fldChar w:fldCharType="end"/>
      </w:r>
      <w:r>
        <w:fldChar w:fldCharType="end"/>
      </w:r>
      <w:r/>
    </w:p>
    <w:p>
      <w:pPr>
        <w:pStyle w:val="1077"/>
        <w:tabs>
          <w:tab w:val="right" w:pos="9072" w:leader="dot"/>
        </w:tabs>
      </w:pPr>
      <w:r>
        <w:fldChar w:fldCharType="begin"/>
      </w:r>
      <w:r>
        <w:instrText xml:space="preserve"> HYPERLINK \l "_Toc28243" </w:instrText>
      </w:r>
      <w:r>
        <w:fldChar w:fldCharType="separate"/>
      </w:r>
      <w:r>
        <w:rPr>
          <w:szCs w:val="36"/>
        </w:rPr>
        <w:t xml:space="preserve">第五章   采购需求</w:t>
      </w:r>
      <w:r>
        <w:tab/>
      </w:r>
      <w:r>
        <w:fldChar w:fldCharType="begin"/>
      </w:r>
      <w:r>
        <w:instrText xml:space="preserve"> PAGEREF _Toc28243 \h </w:instrText>
      </w:r>
      <w:r>
        <w:fldChar w:fldCharType="separate"/>
      </w:r>
      <w:r>
        <w:t xml:space="preserve">31</w:t>
      </w:r>
      <w:r>
        <w:fldChar w:fldCharType="end"/>
      </w:r>
      <w:r>
        <w:fldChar w:fldCharType="end"/>
      </w:r>
      <w:r/>
    </w:p>
    <w:p>
      <w:pPr>
        <w:pStyle w:val="1077"/>
        <w:tabs>
          <w:tab w:val="right" w:pos="9072" w:leader="dot"/>
        </w:tabs>
      </w:pPr>
      <w:r>
        <w:fldChar w:fldCharType="begin"/>
      </w:r>
      <w:r>
        <w:instrText xml:space="preserve"> HYPERLINK \l "_Toc29361" </w:instrText>
      </w:r>
      <w:r>
        <w:fldChar w:fldCharType="separate"/>
      </w:r>
      <w:r>
        <w:rPr>
          <w:szCs w:val="36"/>
        </w:rPr>
        <w:t xml:space="preserve">第六章   拟签订的合同文本</w:t>
      </w:r>
      <w:r>
        <w:tab/>
      </w:r>
      <w:r>
        <w:fldChar w:fldCharType="begin"/>
      </w:r>
      <w:r>
        <w:instrText xml:space="preserve"> PAGEREF _Toc29361 \h </w:instrText>
      </w:r>
      <w:r>
        <w:fldChar w:fldCharType="separate"/>
      </w:r>
      <w:r>
        <w:t xml:space="preserve">31</w:t>
      </w:r>
      <w:r>
        <w:fldChar w:fldCharType="end"/>
      </w:r>
      <w:r>
        <w:fldChar w:fldCharType="end"/>
      </w:r>
      <w:r/>
    </w:p>
    <w:p>
      <w:pPr>
        <w:pStyle w:val="1077"/>
        <w:tabs>
          <w:tab w:val="right" w:pos="9072" w:leader="dot"/>
        </w:tabs>
      </w:pPr>
      <w:r>
        <w:fldChar w:fldCharType="begin"/>
      </w:r>
      <w:r>
        <w:instrText xml:space="preserve"> HYPERLINK \l "_Toc11047" </w:instrText>
      </w:r>
      <w:r>
        <w:fldChar w:fldCharType="separate"/>
      </w:r>
      <w:r>
        <w:rPr>
          <w:szCs w:val="36"/>
        </w:rPr>
        <w:t xml:space="preserve">第七章   投标文件格式</w:t>
      </w:r>
      <w:r>
        <w:tab/>
      </w:r>
      <w:r>
        <w:fldChar w:fldCharType="begin"/>
      </w:r>
      <w:r>
        <w:instrText xml:space="preserve"> PAGEREF _Toc11047 \h </w:instrText>
      </w:r>
      <w:r>
        <w:fldChar w:fldCharType="separate"/>
      </w:r>
      <w:r>
        <w:t xml:space="preserve">56</w:t>
      </w:r>
      <w:r>
        <w:fldChar w:fldCharType="end"/>
      </w:r>
      <w:r>
        <w:fldChar w:fldCharType="end"/>
      </w:r>
      <w:r/>
    </w:p>
    <w:p>
      <w:pPr>
        <w:pStyle w:val="1077"/>
        <w:spacing w:line="360" w:lineRule="auto"/>
        <w:rPr>
          <w:rFonts w:ascii="Times New Roman" w:hAnsi="Times New Roman"/>
          <w:b w:val="0"/>
        </w:rPr>
      </w:pPr>
      <w:r>
        <w:rPr>
          <w:rFonts w:ascii="Times New Roman" w:hAnsi="Times New Roman"/>
        </w:rPr>
        <w:fldChar w:fldCharType="end"/>
      </w:r>
      <w:r/>
    </w:p>
    <w:p>
      <w:pPr>
        <w:jc w:val="center"/>
        <w:spacing w:line="360" w:lineRule="auto"/>
        <w:rPr>
          <w:b/>
          <w:sz w:val="36"/>
          <w:szCs w:val="36"/>
        </w:rPr>
        <w:outlineLvl w:val="0"/>
      </w:pPr>
      <w:r>
        <w:rPr>
          <w:sz w:val="24"/>
        </w:rPr>
        <w:br w:type="page" w:clear="all"/>
      </w:r>
      <w:bookmarkStart w:id="4" w:name="_Toc13176"/>
      <w:r>
        <w:rPr>
          <w:b/>
          <w:sz w:val="36"/>
          <w:szCs w:val="36"/>
        </w:rPr>
        <w:t xml:space="preserve">第一章   投标邀请</w:t>
      </w:r>
      <w:bookmarkEnd w:id="4"/>
      <w:r/>
      <w:r/>
    </w:p>
    <w:p>
      <w:pPr>
        <w:pStyle w:val="1024"/>
        <w:jc w:val="left"/>
        <w:spacing w:before="0" w:line="360" w:lineRule="auto"/>
        <w:rPr>
          <w:rFonts w:ascii="Times New Roman" w:hAnsi="Times New Roman" w:eastAsia="宋体"/>
          <w:sz w:val="24"/>
          <w:szCs w:val="24"/>
        </w:rPr>
      </w:pPr>
      <w:r/>
      <w:bookmarkStart w:id="5" w:name="_Toc28359079"/>
      <w:r/>
      <w:bookmarkStart w:id="6" w:name="_Toc28359002"/>
      <w:r/>
      <w:bookmarkStart w:id="7" w:name="_Toc35393621"/>
      <w:r/>
      <w:bookmarkStart w:id="8" w:name="_Toc35393790"/>
      <w:r/>
      <w:bookmarkStart w:id="9" w:name="_Hlk24379207"/>
      <w:r>
        <w:rPr>
          <w:rFonts w:ascii="Times New Roman" w:hAnsi="Times New Roman" w:eastAsia="宋体"/>
          <w:sz w:val="24"/>
          <w:szCs w:val="24"/>
        </w:rPr>
        <w:t xml:space="preserve">一、项目基本情况</w:t>
      </w:r>
      <w:bookmarkEnd w:id="5"/>
      <w:r/>
      <w:bookmarkEnd w:id="6"/>
      <w:r/>
      <w:bookmarkEnd w:id="7"/>
      <w:r/>
      <w:bookmarkEnd w:id="8"/>
      <w:r/>
      <w:r/>
    </w:p>
    <w:p>
      <w:pPr>
        <w:ind w:firstLine="480"/>
        <w:spacing w:line="360" w:lineRule="auto"/>
        <w:rPr>
          <w:sz w:val="24"/>
        </w:rPr>
      </w:pPr>
      <w:r>
        <w:rPr>
          <w:sz w:val="24"/>
        </w:rPr>
        <w:t xml:space="preserve">项目编号：</w:t>
      </w:r>
      <w:r>
        <w:rPr>
          <w:rFonts w:hint="eastAsia"/>
          <w:sz w:val="24"/>
        </w:rPr>
        <w:t xml:space="preserve">JSZC-320400-JSZG-G2026-0040</w:t>
      </w:r>
      <w:r/>
    </w:p>
    <w:p>
      <w:pPr>
        <w:ind w:firstLine="480"/>
        <w:spacing w:line="360" w:lineRule="auto"/>
        <w:rPr>
          <w:sz w:val="24"/>
        </w:rPr>
      </w:pPr>
      <w:r>
        <w:rPr>
          <w:sz w:val="24"/>
        </w:rPr>
        <w:t xml:space="preserve">项目名称：</w:t>
      </w:r>
      <w:r>
        <w:rPr>
          <w:rFonts w:hint="eastAsia"/>
          <w:sz w:val="24"/>
        </w:rPr>
        <w:t xml:space="preserve">2026年管线功能性结构性检测</w:t>
      </w:r>
      <w:r/>
    </w:p>
    <w:p>
      <w:pPr>
        <w:ind w:firstLine="480"/>
        <w:spacing w:line="360" w:lineRule="auto"/>
        <w:rPr>
          <w:sz w:val="24"/>
        </w:rPr>
      </w:pPr>
      <w:r>
        <w:rPr>
          <w:sz w:val="24"/>
        </w:rPr>
        <w:t xml:space="preserve">预算金额：</w:t>
      </w:r>
      <w:r>
        <w:rPr>
          <w:rFonts w:hint="eastAsia"/>
          <w:sz w:val="24"/>
        </w:rPr>
        <w:t xml:space="preserve">150</w:t>
      </w:r>
      <w:r>
        <w:rPr>
          <w:sz w:val="24"/>
        </w:rPr>
        <w:t xml:space="preserve">万元</w:t>
      </w:r>
      <w:r/>
    </w:p>
    <w:p>
      <w:pPr>
        <w:ind w:firstLine="480"/>
        <w:spacing w:line="360" w:lineRule="auto"/>
        <w:rPr>
          <w:sz w:val="24"/>
          <w:highlight w:val="none"/>
        </w:rPr>
      </w:pPr>
      <w:r>
        <w:rPr>
          <w:sz w:val="24"/>
        </w:rPr>
        <w:t xml:space="preserve">最高限价（如有</w:t>
      </w:r>
      <w:r>
        <w:rPr>
          <w:sz w:val="24"/>
          <w:highlight w:val="none"/>
        </w:rPr>
        <w:t xml:space="preserve">）：本项目采用固定单价形式报价，</w:t>
      </w:r>
      <w:r>
        <w:rPr>
          <w:rFonts w:hint="eastAsia"/>
          <w:sz w:val="24"/>
          <w:highlight w:val="none"/>
        </w:rPr>
        <w:t xml:space="preserve">最高限价单价为</w:t>
      </w:r>
      <w:r>
        <w:rPr>
          <w:sz w:val="24"/>
          <w:highlight w:val="none"/>
        </w:rPr>
        <w:t xml:space="preserve">45</w:t>
      </w:r>
      <w:r>
        <w:rPr>
          <w:rFonts w:hint="eastAsia"/>
          <w:sz w:val="24"/>
          <w:highlight w:val="none"/>
        </w:rPr>
        <w:t xml:space="preserve">元/米</w:t>
      </w:r>
      <w:r>
        <w:rPr>
          <w:sz w:val="24"/>
          <w:highlight w:val="none"/>
        </w:rPr>
        <w:t xml:space="preserve">。</w:t>
      </w:r>
      <w:bookmarkEnd w:id="9"/>
      <w:r/>
    </w:p>
    <w:p>
      <w:pPr>
        <w:ind w:firstLine="480"/>
        <w:spacing w:line="360" w:lineRule="auto"/>
        <w:rPr>
          <w:rFonts w:ascii="宋体" w:hAnsi="宋体" w:cs="宋体"/>
          <w:sz w:val="24"/>
          <w:highlight w:val="none"/>
        </w:rPr>
      </w:pPr>
      <w:r>
        <w:rPr>
          <w:sz w:val="24"/>
          <w:highlight w:val="none"/>
        </w:rPr>
        <w:t xml:space="preserve">采购需求：</w:t>
      </w:r>
      <w:r>
        <w:rPr>
          <w:rFonts w:hint="eastAsia" w:ascii="宋体" w:hAnsi="宋体" w:cs="宋体"/>
          <w:sz w:val="24"/>
          <w:highlight w:val="none"/>
        </w:rPr>
        <w:t xml:space="preserve">本项目排水管道运行工况复杂，包含</w:t>
      </w:r>
      <w:r>
        <w:rPr>
          <w:rFonts w:hint="eastAsia" w:ascii="Times New Roman" w:hAnsi="Times New Roman" w:eastAsia="宋体" w:cs="Times New Roman"/>
          <w:sz w:val="24"/>
        </w:rPr>
        <w:t xml:space="preserve">DN≥800</w:t>
      </w:r>
      <w:r>
        <w:rPr>
          <w:rFonts w:hint="eastAsia" w:ascii="宋体" w:hAnsi="宋体" w:cs="宋体"/>
          <w:sz w:val="24"/>
          <w:highlight w:val="none"/>
        </w:rPr>
        <w:t xml:space="preserve">排水管道及末端排河管道，需进行封堵临排及砌筑围堰等。管道内的砖石块、硬质垃圾等需要人工清理，须按规范要求开展有限空间作业等，具有较高的施工作业难度及风险。</w:t>
      </w:r>
      <w:r/>
    </w:p>
    <w:p>
      <w:pPr>
        <w:ind w:firstLine="480"/>
        <w:spacing w:line="360" w:lineRule="auto"/>
        <w:rPr>
          <w:sz w:val="24"/>
          <w:highlight w:val="none"/>
          <w:u w:val="single"/>
        </w:rPr>
      </w:pPr>
      <w:r>
        <w:rPr>
          <w:sz w:val="24"/>
          <w:highlight w:val="none"/>
        </w:rPr>
        <w:t xml:space="preserve">合同履行期限：</w:t>
      </w:r>
      <w:r>
        <w:rPr>
          <w:rFonts w:hint="eastAsia"/>
          <w:bCs/>
          <w:sz w:val="24"/>
          <w:highlight w:val="none"/>
        </w:rPr>
        <w:t xml:space="preserve">自合同签订之日起至2026年11月15日。</w:t>
      </w:r>
      <w:r/>
    </w:p>
    <w:p>
      <w:pPr>
        <w:ind w:firstLine="480"/>
        <w:spacing w:line="360" w:lineRule="auto"/>
        <w:rPr>
          <w:sz w:val="24"/>
        </w:rPr>
      </w:pPr>
      <w:r>
        <w:rPr>
          <w:sz w:val="24"/>
        </w:rPr>
        <w:t xml:space="preserve">本项目是否接受联合体投标：□是</w:t>
      </w:r>
      <w:r>
        <w:t xml:space="preserve">■</w:t>
      </w:r>
      <w:r>
        <w:rPr>
          <w:sz w:val="24"/>
        </w:rPr>
        <w:t xml:space="preserve">否。</w:t>
      </w:r>
      <w:r/>
    </w:p>
    <w:p>
      <w:pPr>
        <w:ind w:firstLine="480"/>
        <w:spacing w:line="360" w:lineRule="auto"/>
        <w:rPr>
          <w:sz w:val="24"/>
        </w:rPr>
      </w:pPr>
      <w:r>
        <w:rPr>
          <w:sz w:val="24"/>
        </w:rPr>
        <w:t xml:space="preserve">本项目是否接受进口产品投标：□是  ■否。</w:t>
      </w:r>
      <w:r/>
    </w:p>
    <w:p>
      <w:pPr>
        <w:pStyle w:val="1024"/>
        <w:jc w:val="left"/>
        <w:spacing w:before="0" w:line="360" w:lineRule="auto"/>
        <w:rPr>
          <w:rFonts w:ascii="Times New Roman" w:hAnsi="Times New Roman" w:eastAsia="宋体"/>
          <w:sz w:val="24"/>
          <w:szCs w:val="24"/>
        </w:rPr>
      </w:pPr>
      <w:r/>
      <w:bookmarkStart w:id="10" w:name="_Toc28359080"/>
      <w:r/>
      <w:bookmarkStart w:id="11" w:name="_Toc28359003"/>
      <w:r/>
      <w:bookmarkStart w:id="12" w:name="_Toc35393791"/>
      <w:r/>
      <w:bookmarkStart w:id="13" w:name="_Toc35393622"/>
      <w:r>
        <w:rPr>
          <w:rFonts w:ascii="Times New Roman" w:hAnsi="Times New Roman" w:eastAsia="宋体"/>
          <w:sz w:val="24"/>
          <w:szCs w:val="24"/>
        </w:rPr>
        <w:t xml:space="preserve">二、申请人的资格要求（须同时满足）</w:t>
      </w:r>
      <w:bookmarkEnd w:id="10"/>
      <w:r/>
      <w:bookmarkEnd w:id="11"/>
      <w:r/>
      <w:bookmarkEnd w:id="12"/>
      <w:r/>
      <w:bookmarkEnd w:id="13"/>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rPr>
      </w:pPr>
      <w:r/>
      <w:bookmarkStart w:id="14" w:name="_Toc28359004"/>
      <w:r/>
      <w:bookmarkStart w:id="15" w:name="_Toc28359081"/>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0"/>
        <w:spacing w:line="360" w:lineRule="auto"/>
        <w:rPr>
          <w:rFonts w:ascii="宋体" w:hAnsi="宋体" w:cs="宋体"/>
          <w:sz w:val="24"/>
        </w:rPr>
      </w:pPr>
      <w:r>
        <w:rPr>
          <w:sz w:val="24"/>
        </w:rPr>
        <w:t xml:space="preserve">本</w:t>
      </w:r>
      <w:r>
        <w:rPr>
          <w:sz w:val="24"/>
          <w:highlight w:val="none"/>
        </w:rPr>
        <w:t xml:space="preserve">项目不专门面向中小企业预留采购</w:t>
      </w:r>
      <w:r>
        <w:rPr>
          <w:sz w:val="24"/>
        </w:rPr>
        <w:t xml:space="preserve">份额</w:t>
      </w:r>
      <w:r>
        <w:rPr>
          <w:rFonts w:hint="eastAsia" w:ascii="宋体" w:hAnsi="宋体" w:cs="宋体"/>
          <w:sz w:val="24"/>
        </w:rPr>
        <w:t xml:space="preserve">。</w:t>
      </w:r>
      <w:r/>
    </w:p>
    <w:p>
      <w:pPr>
        <w:ind w:firstLine="480"/>
        <w:spacing w:line="360" w:lineRule="auto"/>
        <w:rPr>
          <w:rFonts w:ascii="宋体" w:hAnsi="宋体" w:cs="宋体"/>
          <w:sz w:val="24"/>
        </w:rPr>
      </w:pPr>
      <w:r>
        <w:rPr>
          <w:sz w:val="24"/>
        </w:rPr>
        <w:t xml:space="preserve">2.2 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3.1本项目是否接受分支机构参与投标：□是   ■否；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3.3其他特定资格要求</w:t>
      </w:r>
      <w:r>
        <w:rPr>
          <w:rFonts w:hint="eastAsia"/>
          <w:sz w:val="24"/>
        </w:rPr>
        <w:t xml:space="preserve">：</w:t>
      </w:r>
      <w:r>
        <w:rPr>
          <w:rFonts w:hint="eastAsia"/>
          <w:b/>
          <w:bCs/>
          <w:sz w:val="24"/>
        </w:rPr>
        <w:t xml:space="preserve">无</w:t>
      </w:r>
      <w:r>
        <w:rPr>
          <w:rFonts w:hint="eastAsia"/>
          <w:sz w:val="24"/>
        </w:rPr>
        <w:t xml:space="preserve">。</w:t>
      </w:r>
      <w:bookmarkEnd w:id="14"/>
      <w:bookmarkEnd w:id="15"/>
      <w:r/>
    </w:p>
    <w:p>
      <w:pPr>
        <w:pStyle w:val="1024"/>
        <w:jc w:val="left"/>
        <w:spacing w:before="0" w:line="360" w:lineRule="auto"/>
        <w:widowControl/>
        <w:rPr>
          <w:rFonts w:ascii="Times New Roman" w:hAnsi="Times New Roman" w:eastAsia="宋体"/>
          <w:sz w:val="24"/>
          <w:szCs w:val="24"/>
        </w:rPr>
      </w:pPr>
      <w:r/>
      <w:bookmarkStart w:id="16" w:name="_Toc35393792"/>
      <w:r/>
      <w:bookmarkStart w:id="17" w:name="_Toc35393623"/>
      <w:r>
        <w:rPr>
          <w:rFonts w:ascii="Times New Roman" w:hAnsi="Times New Roman" w:eastAsia="宋体"/>
          <w:sz w:val="24"/>
          <w:szCs w:val="24"/>
        </w:rPr>
        <w:t xml:space="preserve">三、获取招标文件</w:t>
      </w:r>
      <w:bookmarkEnd w:id="16"/>
      <w:r/>
      <w:bookmarkEnd w:id="17"/>
      <w:r/>
      <w:r/>
    </w:p>
    <w:p>
      <w:pPr>
        <w:ind w:firstLine="480"/>
        <w:spacing w:line="360" w:lineRule="auto"/>
        <w:rPr>
          <w:sz w:val="24"/>
        </w:rPr>
      </w:pPr>
      <w:r>
        <w:rPr>
          <w:sz w:val="24"/>
        </w:rPr>
        <w:t xml:space="preserve">时间：</w:t>
      </w:r>
      <w:r>
        <w:rPr>
          <w:rFonts w:hint="eastAsia" w:ascii="宋体" w:hAnsi="宋体"/>
          <w:sz w:val="24"/>
        </w:rPr>
        <w:t xml:space="preserve">自招标文件公告发布之日起5个工作日</w:t>
      </w:r>
      <w:r/>
    </w:p>
    <w:p>
      <w:pPr>
        <w:ind w:firstLine="480"/>
        <w:spacing w:line="360" w:lineRule="auto"/>
        <w:rPr>
          <w:sz w:val="24"/>
        </w:rPr>
      </w:pPr>
      <w:r>
        <w:rPr>
          <w:sz w:val="24"/>
        </w:rPr>
        <w:t xml:space="preserve">地点：</w:t>
      </w:r>
      <w:r>
        <w:rPr>
          <w:rFonts w:hint="eastAsia"/>
          <w:sz w:val="24"/>
        </w:rPr>
        <w:t xml:space="preserve">政府采购一体化平台“苏采云”</w:t>
      </w:r>
      <w:r/>
    </w:p>
    <w:p>
      <w:pPr>
        <w:ind w:firstLine="480"/>
        <w:jc w:val="left"/>
        <w:spacing w:line="360" w:lineRule="auto"/>
        <w:widowControl/>
        <w:rPr>
          <w:sz w:val="24"/>
        </w:rPr>
      </w:pPr>
      <w:r>
        <w:rPr>
          <w:sz w:val="24"/>
        </w:rPr>
        <w:t xml:space="preserve">方式：供应商持CA数字认证证书登录</w:t>
      </w:r>
      <w:r>
        <w:rPr>
          <w:rFonts w:hint="eastAsia"/>
          <w:sz w:val="24"/>
        </w:rPr>
        <w:t xml:space="preserve">政府采购一体化平台“苏采云”</w:t>
      </w:r>
      <w:r>
        <w:rPr>
          <w:sz w:val="24"/>
        </w:rPr>
        <w:t xml:space="preserve">（</w:t>
      </w:r>
      <w:r>
        <w:rPr>
          <w:rFonts w:hint="eastAsia"/>
          <w:sz w:val="24"/>
        </w:rPr>
        <w:t xml:space="preserve">http：//jszfcg.jscz.gov.cn/jszc/login</w:t>
      </w:r>
      <w:r>
        <w:rPr>
          <w:sz w:val="24"/>
        </w:rPr>
        <w:t xml:space="preserve">）获取电子版招标文件。</w:t>
      </w:r>
      <w:r/>
    </w:p>
    <w:p>
      <w:pPr>
        <w:ind w:firstLine="480"/>
        <w:jc w:val="left"/>
        <w:spacing w:line="360" w:lineRule="auto"/>
        <w:widowControl/>
        <w:rPr>
          <w:sz w:val="24"/>
        </w:rPr>
      </w:pPr>
      <w:r>
        <w:rPr>
          <w:sz w:val="24"/>
        </w:rPr>
        <w:t xml:space="preserve">4.售价：</w:t>
      </w:r>
      <w:r>
        <w:rPr>
          <w:rFonts w:hint="eastAsia"/>
          <w:sz w:val="24"/>
          <w:u w:val="single"/>
        </w:rPr>
        <w:t xml:space="preserve">0</w:t>
      </w:r>
      <w:r>
        <w:rPr>
          <w:rFonts w:hint="eastAsia"/>
          <w:sz w:val="24"/>
        </w:rPr>
        <w:t xml:space="preserve">元</w:t>
      </w:r>
      <w:r>
        <w:rPr>
          <w:sz w:val="24"/>
        </w:rPr>
        <w:t xml:space="preserve">。</w:t>
      </w:r>
      <w:r/>
    </w:p>
    <w:p>
      <w:pPr>
        <w:pStyle w:val="1024"/>
        <w:jc w:val="left"/>
        <w:spacing w:before="0" w:line="360" w:lineRule="auto"/>
        <w:widowControl/>
        <w:rPr>
          <w:rFonts w:ascii="Times New Roman" w:hAnsi="Times New Roman" w:eastAsia="宋体"/>
          <w:sz w:val="24"/>
          <w:szCs w:val="24"/>
        </w:rPr>
      </w:pPr>
      <w:r/>
      <w:bookmarkStart w:id="18" w:name="_Toc28359082"/>
      <w:r/>
      <w:bookmarkStart w:id="19" w:name="_Toc28359005"/>
      <w:r/>
      <w:bookmarkStart w:id="20" w:name="_Toc35393793"/>
      <w:r/>
      <w:bookmarkStart w:id="21" w:name="_Toc35393624"/>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
    </w:p>
    <w:p>
      <w:pPr>
        <w:ind w:firstLine="480"/>
        <w:spacing w:line="360" w:lineRule="auto"/>
        <w:rPr>
          <w:rFonts w:ascii="宋体" w:hAnsi="宋体"/>
          <w:bCs/>
          <w:sz w:val="24"/>
          <w:u w:val="single"/>
        </w:rPr>
      </w:pPr>
      <w:r>
        <w:rPr>
          <w:rFonts w:ascii="宋体" w:hAnsi="宋体"/>
          <w:sz w:val="24"/>
        </w:rPr>
        <w:t xml:space="preserve">投标截止时间、开标时间：</w:t>
      </w:r>
      <w:r>
        <w:rPr>
          <w:rFonts w:hint="eastAsia" w:ascii="宋体" w:hAnsi="宋体"/>
          <w:sz w:val="24"/>
        </w:rPr>
        <w:t xml:space="preserve">2026年8月</w:t>
      </w:r>
      <w:r>
        <w:rPr>
          <w:rFonts w:hint="eastAsia" w:ascii="宋体" w:hAnsi="宋体"/>
          <w:sz w:val="24"/>
          <w:lang w:val="en-US" w:eastAsia="zh-CN"/>
        </w:rPr>
        <w:t xml:space="preserve">2</w:t>
      </w:r>
      <w:r>
        <w:rPr>
          <w:rFonts w:hint="eastAsia" w:ascii="宋体" w:hAnsi="宋体"/>
          <w:sz w:val="24"/>
          <w:lang w:val="en-US" w:eastAsia="zh-CN"/>
        </w:rPr>
        <w:t xml:space="preserve">8</w:t>
      </w:r>
      <w:r>
        <w:rPr>
          <w:rFonts w:hint="eastAsia" w:ascii="宋体" w:hAnsi="宋体"/>
          <w:sz w:val="24"/>
        </w:rPr>
        <w:t xml:space="preserve">日14:00（北京时间）</w:t>
      </w:r>
      <w:r>
        <w:rPr>
          <w:rFonts w:ascii="宋体" w:hAnsi="宋体"/>
          <w:sz w:val="24"/>
        </w:rPr>
        <w:t xml:space="preserve">。</w:t>
      </w:r>
      <w:r/>
    </w:p>
    <w:p>
      <w:pPr>
        <w:ind w:firstLine="480"/>
        <w:spacing w:line="360" w:lineRule="auto"/>
        <w:rPr>
          <w:sz w:val="24"/>
          <w:lang w:val="zh-TW"/>
        </w:rPr>
      </w:pPr>
      <w:r>
        <w:rPr>
          <w:sz w:val="24"/>
        </w:rPr>
        <w:t xml:space="preserve">地点：</w:t>
      </w:r>
      <w:r>
        <w:rPr>
          <w:rFonts w:hint="eastAsia" w:ascii="宋体" w:hAnsi="宋体"/>
          <w:sz w:val="24"/>
        </w:rPr>
        <w:t xml:space="preserve">本项目采用不见面交易方式，无需到现场提交，投标人登录政府采购一体化平台“苏采云”供应商端，通过系统在线提交电子投标文件</w:t>
      </w:r>
      <w:r>
        <w:rPr>
          <w:sz w:val="24"/>
          <w:lang w:val="zh-TW"/>
        </w:rPr>
        <w:t xml:space="preserve">。</w:t>
      </w:r>
      <w:r/>
    </w:p>
    <w:p>
      <w:pPr>
        <w:pStyle w:val="1024"/>
        <w:jc w:val="left"/>
        <w:spacing w:before="0" w:line="360" w:lineRule="auto"/>
        <w:rPr>
          <w:rFonts w:ascii="Times New Roman" w:hAnsi="Times New Roman" w:eastAsia="宋体"/>
          <w:sz w:val="24"/>
          <w:szCs w:val="24"/>
        </w:rPr>
      </w:pPr>
      <w:r/>
      <w:bookmarkStart w:id="22" w:name="_Toc28359007"/>
      <w:r/>
      <w:bookmarkStart w:id="23" w:name="_Toc28359084"/>
      <w:r/>
      <w:bookmarkStart w:id="24" w:name="_Toc35393794"/>
      <w:r/>
      <w:bookmarkStart w:id="25" w:name="_Toc35393625"/>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自本公告发布之日起5个工作日。</w:t>
      </w:r>
      <w:r/>
    </w:p>
    <w:p>
      <w:pPr>
        <w:pStyle w:val="1024"/>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rPr>
      </w:pPr>
      <w:r>
        <w:rPr>
          <w:sz w:val="24"/>
        </w:rPr>
        <w:t xml:space="preserve">1.本项目需要落实的政府采购政策：</w:t>
      </w:r>
      <w:r>
        <w:rPr>
          <w:rFonts w:hint="eastAsia"/>
          <w:sz w:val="24"/>
          <w:lang w:val="en-US" w:eastAsia="zh-CN"/>
        </w:rPr>
        <w:t xml:space="preserve">无</w:t>
      </w:r>
      <w:r>
        <w:rPr>
          <w:rFonts w:hint="eastAsia"/>
          <w:sz w:val="24"/>
        </w:rPr>
        <w:t xml:space="preserve">。</w:t>
      </w:r>
      <w:r/>
    </w:p>
    <w:p>
      <w:pPr>
        <w:ind w:firstLine="480"/>
        <w:jc w:val="left"/>
        <w:spacing w:line="360" w:lineRule="auto"/>
        <w:widowControl/>
        <w:rPr>
          <w:bCs/>
          <w:sz w:val="24"/>
        </w:rPr>
      </w:pPr>
      <w:r>
        <w:rPr>
          <w:sz w:val="24"/>
        </w:rPr>
        <w:t xml:space="preserve">2.</w:t>
      </w:r>
      <w:r>
        <w:rPr>
          <w:rFonts w:hint="eastAsia"/>
          <w:bCs/>
          <w:sz w:val="24"/>
        </w:rPr>
        <w:t xml:space="preserve">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rPr>
          <w:bCs/>
          <w:sz w:val="24"/>
        </w:rPr>
        <w:t xml:space="preserve">。</w:t>
      </w:r>
      <w:r/>
    </w:p>
    <w:p>
      <w:pPr>
        <w:ind w:firstLine="480"/>
        <w:spacing w:line="360" w:lineRule="auto"/>
        <w:rPr>
          <w:sz w:val="24"/>
        </w:rPr>
      </w:pPr>
      <w:r>
        <w:rPr>
          <w:sz w:val="24"/>
        </w:rPr>
        <w:t xml:space="preserve">技术支持服务热线</w:t>
      </w:r>
      <w:r>
        <w:rPr>
          <w:rFonts w:hint="eastAsia"/>
          <w:sz w:val="24"/>
        </w:rPr>
        <w:t xml:space="preserve">0519-85588210</w:t>
      </w:r>
      <w:r/>
    </w:p>
    <w:p>
      <w:pPr>
        <w:ind w:firstLine="480"/>
        <w:spacing w:line="360" w:lineRule="auto"/>
        <w:rPr>
          <w:sz w:val="24"/>
        </w:rPr>
      </w:pPr>
      <w:r>
        <w:rPr>
          <w:sz w:val="24"/>
        </w:rPr>
        <w:t xml:space="preserve">CA认证证书</w:t>
      </w:r>
      <w:r>
        <w:rPr>
          <w:rFonts w:hint="eastAsia"/>
          <w:sz w:val="24"/>
        </w:rPr>
        <w:t xml:space="preserve">办理（可邮寄）联系电话：</w:t>
      </w:r>
      <w:r>
        <w:rPr>
          <w:sz w:val="24"/>
        </w:rPr>
        <w:t xml:space="preserve">0519  85588120</w:t>
      </w:r>
      <w:r/>
    </w:p>
    <w:p>
      <w:pPr>
        <w:ind w:firstLine="480"/>
        <w:jc w:val="left"/>
        <w:spacing w:line="360" w:lineRule="auto"/>
        <w:widowControl/>
        <w:rPr>
          <w:sz w:val="24"/>
        </w:rPr>
      </w:pPr>
      <w:r>
        <w:rPr>
          <w:sz w:val="24"/>
        </w:rPr>
        <w:t xml:space="preserve">2.1办理CA认证证书</w:t>
      </w:r>
      <w:r/>
    </w:p>
    <w:p>
      <w:pPr>
        <w:ind w:firstLine="480"/>
        <w:jc w:val="left"/>
        <w:spacing w:line="360" w:lineRule="auto"/>
        <w:widowControl/>
        <w:rPr>
          <w:sz w:val="24"/>
        </w:rPr>
      </w:pPr>
      <w:r>
        <w:rPr>
          <w:rFonts w:hint="eastAsia"/>
          <w:sz w:val="24"/>
        </w:rPr>
        <w:t xml:space="preserve">供应商登录政府采购一体化平台“苏采云”“新CA办理指南”</w:t>
      </w:r>
      <w:r>
        <w:rPr>
          <w:sz w:val="24"/>
        </w:rPr>
        <w:t xml:space="preserve">，按照程序要求办理。</w:t>
      </w:r>
      <w:r/>
    </w:p>
    <w:p>
      <w:pPr>
        <w:ind w:firstLine="480"/>
        <w:spacing w:line="360" w:lineRule="auto"/>
        <w:rPr>
          <w:sz w:val="24"/>
        </w:rPr>
      </w:pPr>
      <w:r>
        <w:rPr>
          <w:sz w:val="24"/>
        </w:rPr>
        <w:t xml:space="preserve">2.2注册</w:t>
      </w:r>
      <w:r/>
    </w:p>
    <w:p>
      <w:pPr>
        <w:ind w:firstLine="480"/>
        <w:spacing w:line="360" w:lineRule="auto"/>
        <w:rPr>
          <w:sz w:val="24"/>
        </w:rPr>
      </w:pPr>
      <w:r>
        <w:rPr>
          <w:rFonts w:hint="eastAsia"/>
          <w:sz w:val="24"/>
        </w:rPr>
        <w:t xml:space="preserve">供应商登录政府采购一体化平台“苏采云”下载“用户注册”查阅后进行自助注册</w:t>
      </w:r>
      <w:r>
        <w:rPr>
          <w:sz w:val="24"/>
        </w:rPr>
        <w:t xml:space="preserve">。</w:t>
      </w:r>
      <w:r/>
    </w:p>
    <w:p>
      <w:pPr>
        <w:ind w:firstLine="480"/>
        <w:jc w:val="left"/>
        <w:spacing w:line="360" w:lineRule="auto"/>
        <w:widowControl/>
        <w:rPr>
          <w:sz w:val="24"/>
        </w:rPr>
      </w:pPr>
      <w:r>
        <w:rPr>
          <w:sz w:val="24"/>
        </w:rPr>
        <w:t xml:space="preserve">2.3</w:t>
      </w:r>
      <w:r>
        <w:rPr>
          <w:rFonts w:hint="eastAsia"/>
          <w:sz w:val="24"/>
        </w:rPr>
        <w:t xml:space="preserve">控件</w:t>
      </w:r>
      <w:r>
        <w:rPr>
          <w:sz w:val="24"/>
        </w:rPr>
        <w:t xml:space="preserve">、客户端下载</w:t>
      </w:r>
      <w:r/>
    </w:p>
    <w:p>
      <w:pPr>
        <w:ind w:firstLine="480"/>
        <w:jc w:val="left"/>
        <w:spacing w:line="360" w:lineRule="auto"/>
        <w:widowControl/>
        <w:rPr>
          <w:sz w:val="24"/>
        </w:rPr>
      </w:pPr>
      <w:r>
        <w:rPr>
          <w:rFonts w:hint="eastAsia"/>
          <w:sz w:val="24"/>
        </w:rPr>
        <w:t xml:space="preserve">供应商登录政府采购一体化平台“苏采云”下载“驱动下载”，安装驱动</w:t>
      </w:r>
      <w:r>
        <w:rPr>
          <w:sz w:val="24"/>
        </w:rPr>
        <w:t xml:space="preserve">。</w:t>
      </w:r>
      <w:r/>
    </w:p>
    <w:p>
      <w:pPr>
        <w:ind w:firstLine="480"/>
        <w:spacing w:line="360" w:lineRule="auto"/>
        <w:rPr>
          <w:sz w:val="24"/>
        </w:rPr>
      </w:pPr>
      <w:r>
        <w:rPr>
          <w:sz w:val="24"/>
        </w:rPr>
        <w:t xml:space="preserve">2.4获取电子招标文件</w:t>
      </w:r>
      <w:r/>
    </w:p>
    <w:p>
      <w:pPr>
        <w:ind w:firstLine="480"/>
        <w:spacing w:line="360" w:lineRule="auto"/>
        <w:rPr>
          <w:sz w:val="24"/>
        </w:rPr>
      </w:pPr>
      <w:r>
        <w:rPr>
          <w:sz w:val="24"/>
        </w:rPr>
        <w:t xml:space="preserve">供应商持CA数字认证证书登录</w:t>
      </w:r>
      <w:r>
        <w:rPr>
          <w:rFonts w:hint="eastAsia"/>
          <w:sz w:val="24"/>
        </w:rPr>
        <w:t xml:space="preserve">政府采购一体化平台“苏采云”</w:t>
      </w:r>
      <w:r>
        <w:rPr>
          <w:sz w:val="24"/>
        </w:rPr>
        <w:t xml:space="preserve">获取电子招标文件。未在规定期限内通过</w:t>
      </w:r>
      <w:r>
        <w:rPr>
          <w:rFonts w:hint="eastAsia"/>
          <w:sz w:val="24"/>
        </w:rPr>
        <w:t xml:space="preserve">政府采购一体化平台“苏采云”</w:t>
      </w:r>
      <w:r>
        <w:rPr>
          <w:sz w:val="24"/>
        </w:rPr>
        <w:t xml:space="preserve">获取招标文件的</w:t>
      </w:r>
      <w:r>
        <w:rPr>
          <w:b/>
          <w:sz w:val="24"/>
        </w:rPr>
        <w:t xml:space="preserve">投标无效</w:t>
      </w:r>
      <w:r>
        <w:rPr>
          <w:sz w:val="24"/>
        </w:rPr>
        <w:t xml:space="preserve">。</w:t>
      </w:r>
      <w:r/>
    </w:p>
    <w:p>
      <w:pPr>
        <w:ind w:firstLine="480"/>
        <w:spacing w:line="360" w:lineRule="auto"/>
        <w:rPr>
          <w:sz w:val="24"/>
        </w:rPr>
      </w:pPr>
      <w:r>
        <w:rPr>
          <w:sz w:val="24"/>
        </w:rPr>
        <w:t xml:space="preserve">2.5编制电子投标文件</w:t>
      </w:r>
      <w:r/>
    </w:p>
    <w:p>
      <w:pPr>
        <w:ind w:firstLine="480"/>
        <w:spacing w:line="360" w:lineRule="auto"/>
        <w:rPr>
          <w:sz w:val="24"/>
        </w:rPr>
      </w:pPr>
      <w:r>
        <w:rPr>
          <w:sz w:val="24"/>
        </w:rPr>
        <w:t xml:space="preserve">供应商应使用电子投标</w:t>
      </w:r>
      <w:r>
        <w:rPr>
          <w:rFonts w:hint="eastAsia"/>
          <w:sz w:val="24"/>
        </w:rPr>
        <w:t xml:space="preserve">文件制作</w:t>
      </w:r>
      <w:r>
        <w:rPr>
          <w:sz w:val="24"/>
        </w:rPr>
        <w:t xml:space="preserve">客户端编制电子投标文件并进行线上投标，供应商电子投标文件需要加密并加盖电子签章</w:t>
      </w:r>
      <w:r>
        <w:rPr>
          <w:bCs/>
          <w:sz w:val="24"/>
        </w:rPr>
        <w:t xml:space="preserve">，如无法按照要求在电子投标文件中加盖电子签章和加密，请及时通过技术支持服务热线联系技术人员</w:t>
      </w:r>
      <w:r>
        <w:rPr>
          <w:sz w:val="24"/>
        </w:rPr>
        <w:t xml:space="preserve">。</w:t>
      </w:r>
      <w:r/>
    </w:p>
    <w:p>
      <w:pPr>
        <w:ind w:firstLine="480"/>
        <w:jc w:val="left"/>
        <w:spacing w:line="360" w:lineRule="auto"/>
        <w:widowControl/>
        <w:rPr>
          <w:sz w:val="24"/>
          <w:lang w:val="zh-TW"/>
        </w:rPr>
      </w:pPr>
      <w:r>
        <w:rPr>
          <w:rFonts w:eastAsia="PMingLiU"/>
          <w:sz w:val="24"/>
          <w:lang w:val="zh-TW" w:eastAsia="zh-TW"/>
        </w:rPr>
        <w:t xml:space="preserve">2</w:t>
      </w:r>
      <w:r>
        <w:rPr>
          <w:sz w:val="24"/>
          <w:lang w:val="zh-TW" w:eastAsia="zh-TW"/>
        </w:rPr>
        <w:t xml:space="preserve">.6</w:t>
      </w:r>
      <w:r>
        <w:rPr>
          <w:sz w:val="24"/>
          <w:lang w:val="zh-TW"/>
        </w:rPr>
        <w:t xml:space="preserve">提交电子投标文件</w:t>
      </w:r>
      <w:r/>
    </w:p>
    <w:p>
      <w:pPr>
        <w:ind w:firstLine="480"/>
        <w:jc w:val="left"/>
        <w:spacing w:line="360" w:lineRule="auto"/>
        <w:widowControl/>
        <w:rPr>
          <w:sz w:val="24"/>
        </w:rPr>
      </w:pPr>
      <w:r>
        <w:rPr>
          <w:sz w:val="24"/>
        </w:rPr>
        <w:t xml:space="preserve">供应商应于投标截止时间前在</w:t>
      </w:r>
      <w:r>
        <w:rPr>
          <w:rFonts w:hint="eastAsia"/>
          <w:sz w:val="24"/>
        </w:rPr>
        <w:t xml:space="preserve">政府采购一体化平台“苏采云”</w:t>
      </w:r>
      <w:r>
        <w:rPr>
          <w:sz w:val="24"/>
        </w:rPr>
        <w:t xml:space="preserve">提交电子投标文件，上传电子投标文件过程中请保持与互联网的连接畅通。</w:t>
      </w:r>
      <w:r/>
    </w:p>
    <w:p>
      <w:pPr>
        <w:ind w:firstLine="480"/>
        <w:jc w:val="left"/>
        <w:spacing w:line="360" w:lineRule="auto"/>
        <w:widowControl/>
        <w:rPr>
          <w:sz w:val="24"/>
          <w:lang w:eastAsia="zh-TW"/>
        </w:rPr>
      </w:pPr>
      <w:r>
        <w:rPr>
          <w:rFonts w:eastAsia="PMingLiU"/>
          <w:sz w:val="24"/>
          <w:lang w:val="zh-TW" w:eastAsia="zh-TW"/>
        </w:rPr>
        <w:t xml:space="preserve">2</w:t>
      </w:r>
      <w:r>
        <w:rPr>
          <w:sz w:val="24"/>
          <w:lang w:val="zh-TW"/>
        </w:rPr>
        <w:t xml:space="preserve">.</w:t>
      </w:r>
      <w:r>
        <w:rPr>
          <w:sz w:val="24"/>
          <w:lang w:val="zh-TW" w:eastAsia="zh-TW"/>
        </w:rPr>
        <w:t xml:space="preserve">7</w:t>
      </w:r>
      <w:r>
        <w:rPr>
          <w:sz w:val="24"/>
          <w:lang w:val="zh-TW"/>
        </w:rPr>
        <w:t xml:space="preserve">电子开标</w:t>
      </w:r>
      <w:r/>
    </w:p>
    <w:p>
      <w:pPr>
        <w:ind w:firstLine="480"/>
        <w:spacing w:line="360" w:lineRule="auto"/>
        <w:rPr>
          <w:sz w:val="24"/>
          <w:lang w:val="zh-TW"/>
        </w:rPr>
      </w:pPr>
      <w:r>
        <w:rPr>
          <w:sz w:val="24"/>
          <w:lang w:val="zh-TW"/>
        </w:rPr>
        <w:t xml:space="preserve">供应商使用</w:t>
      </w:r>
      <w:r>
        <w:rPr>
          <w:sz w:val="24"/>
        </w:rPr>
        <w:t xml:space="preserve">CA认证证书</w:t>
      </w:r>
      <w:r>
        <w:rPr>
          <w:sz w:val="24"/>
          <w:lang w:val="zh-TW"/>
        </w:rPr>
        <w:t xml:space="preserve">登录</w:t>
      </w:r>
      <w:r>
        <w:rPr>
          <w:rFonts w:hint="eastAsia"/>
          <w:sz w:val="24"/>
        </w:rPr>
        <w:t xml:space="preserve">政府采购一体化平台“苏采云”</w:t>
      </w:r>
      <w:r>
        <w:rPr>
          <w:sz w:val="24"/>
        </w:rPr>
        <w:t xml:space="preserve">进行电子</w:t>
      </w:r>
      <w:r>
        <w:rPr>
          <w:rFonts w:hint="eastAsia"/>
          <w:sz w:val="24"/>
        </w:rPr>
        <w:t xml:space="preserve">化不见面</w:t>
      </w:r>
      <w:r>
        <w:rPr>
          <w:sz w:val="24"/>
        </w:rPr>
        <w:t xml:space="preserve">开标</w:t>
      </w:r>
      <w:r>
        <w:rPr>
          <w:sz w:val="24"/>
          <w:lang w:val="zh-TW"/>
        </w:rPr>
        <w:t xml:space="preserve">。</w:t>
      </w:r>
      <w:r/>
    </w:p>
    <w:p>
      <w:pPr>
        <w:ind w:firstLine="480"/>
        <w:spacing w:line="360" w:lineRule="auto"/>
        <w:rPr>
          <w:sz w:val="24"/>
          <w:lang w:val="zh-TW"/>
        </w:rPr>
      </w:pPr>
      <w:r>
        <w:rPr>
          <w:rFonts w:eastAsia="PMingLiU"/>
          <w:sz w:val="24"/>
          <w:lang w:val="zh-TW" w:eastAsia="zh-TW"/>
        </w:rPr>
        <w:t xml:space="preserve">2</w:t>
      </w:r>
      <w:r>
        <w:rPr>
          <w:rFonts w:hint="eastAsia"/>
          <w:sz w:val="24"/>
          <w:lang w:val="zh-TW"/>
        </w:rPr>
        <w:t xml:space="preserve">.8注意事项</w:t>
      </w:r>
      <w:r/>
    </w:p>
    <w:p>
      <w:pPr>
        <w:ind w:firstLine="480"/>
        <w:spacing w:line="360" w:lineRule="auto"/>
        <w:rPr>
          <w:sz w:val="24"/>
          <w:lang w:eastAsia="zh-TW"/>
        </w:rPr>
      </w:pPr>
      <w:r>
        <w:rPr>
          <w:sz w:val="24"/>
          <w:lang w:val="zh-TW"/>
        </w:rPr>
        <w:t xml:space="preserve">供应商</w:t>
      </w:r>
      <w:r>
        <w:rPr>
          <w:rFonts w:hint="eastAsia"/>
          <w:sz w:val="24"/>
          <w:lang w:val="zh-TW"/>
        </w:rPr>
        <w:t xml:space="preserve">在开标前应当</w:t>
      </w:r>
      <w:r>
        <w:rPr>
          <w:rFonts w:ascii="宋体" w:hAnsi="宋体"/>
          <w:sz w:val="24"/>
        </w:rPr>
        <w:t xml:space="preserve">使用</w:t>
      </w:r>
      <w:r>
        <w:rPr>
          <w:rFonts w:hint="eastAsia" w:ascii="宋体" w:hAnsi="宋体"/>
          <w:sz w:val="24"/>
        </w:rPr>
        <w:t xml:space="preserve">“</w:t>
      </w:r>
      <w:r>
        <w:rPr>
          <w:rFonts w:ascii="宋体" w:hAnsi="宋体"/>
          <w:sz w:val="24"/>
        </w:rPr>
        <w:t xml:space="preserve">验证CA</w:t>
      </w:r>
      <w:r>
        <w:rPr>
          <w:rFonts w:hint="eastAsia" w:ascii="宋体" w:hAnsi="宋体"/>
          <w:sz w:val="24"/>
        </w:rPr>
        <w:t xml:space="preserve">”</w:t>
      </w:r>
      <w:r>
        <w:rPr>
          <w:rFonts w:ascii="宋体" w:hAnsi="宋体"/>
          <w:sz w:val="24"/>
        </w:rPr>
        <w:t xml:space="preserve">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rPr>
      </w:pPr>
      <w:r>
        <w:rPr>
          <w:rFonts w:eastAsia="PMingLiU"/>
          <w:sz w:val="24"/>
          <w:lang w:val="zh-TW" w:eastAsia="zh-TW"/>
        </w:rPr>
        <w:t xml:space="preserve">3</w:t>
      </w:r>
      <w:r>
        <w:rPr>
          <w:rFonts w:hint="eastAsia"/>
          <w:sz w:val="24"/>
          <w:lang w:val="zh-TW"/>
        </w:rPr>
        <w:t xml:space="preserve">.关于常州市中小企业政府采购信用融资：</w:t>
      </w:r>
      <w:r/>
    </w:p>
    <w:p>
      <w:pPr>
        <w:ind w:firstLine="480"/>
        <w:spacing w:line="360" w:lineRule="auto"/>
        <w:rPr>
          <w:sz w:val="24"/>
          <w:lang w:val="zh-TW"/>
        </w:rPr>
      </w:pPr>
      <w:r>
        <w:rPr>
          <w:rFonts w:hint="eastAsia"/>
          <w:sz w:val="24"/>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通知书或中标合同，为中标中小企业供应商提供相应额度贷款的融资模式。申请条件及操作流程等事项详见该文件相关内容或者常州市政府采购网--政采融资平台栏目。</w:t>
      </w:r>
      <w:r/>
    </w:p>
    <w:p>
      <w:pPr>
        <w:pStyle w:val="1024"/>
        <w:jc w:val="left"/>
        <w:spacing w:before="0" w:line="360" w:lineRule="auto"/>
        <w:rPr>
          <w:rFonts w:ascii="Times New Roman" w:hAnsi="Times New Roman" w:eastAsia="宋体"/>
          <w:sz w:val="24"/>
          <w:szCs w:val="24"/>
        </w:rPr>
      </w:pPr>
      <w:r/>
      <w:bookmarkStart w:id="28" w:name="_Toc35393627"/>
      <w:r/>
      <w:bookmarkStart w:id="29" w:name="_Toc35393796"/>
      <w:r/>
      <w:bookmarkStart w:id="30" w:name="_Toc28359008"/>
      <w:r/>
      <w:bookmarkStart w:id="31" w:name="_Toc28359085"/>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482"/>
        <w:jc w:val="left"/>
        <w:spacing w:line="360" w:lineRule="auto"/>
        <w:widowControl/>
        <w:rPr>
          <w:b/>
          <w:sz w:val="24"/>
        </w:rPr>
      </w:pPr>
      <w:r>
        <w:rPr>
          <w:b/>
          <w:sz w:val="24"/>
        </w:rPr>
        <w:t xml:space="preserve">1.招标人信息</w:t>
      </w:r>
      <w:r/>
    </w:p>
    <w:p>
      <w:pPr>
        <w:ind w:firstLine="480"/>
        <w:jc w:val="left"/>
        <w:spacing w:line="360" w:lineRule="auto"/>
        <w:rPr>
          <w:rFonts w:ascii="宋体" w:hAnsi="宋体" w:cs="宋体"/>
          <w:sz w:val="24"/>
        </w:rPr>
      </w:pPr>
      <w:r/>
      <w:bookmarkStart w:id="32" w:name="_Toc28359009"/>
      <w:r/>
      <w:bookmarkStart w:id="33" w:name="_Toc28359086"/>
      <w:r>
        <w:rPr>
          <w:rFonts w:hint="eastAsia" w:ascii="宋体" w:hAnsi="宋体" w:cs="宋体"/>
          <w:sz w:val="24"/>
        </w:rPr>
        <w:t xml:space="preserve">名称：常州市排水管理处</w:t>
      </w:r>
      <w:r/>
    </w:p>
    <w:p>
      <w:pPr>
        <w:ind w:firstLine="480"/>
        <w:jc w:val="left"/>
        <w:spacing w:line="360" w:lineRule="auto"/>
        <w:rPr>
          <w:rFonts w:ascii="宋体" w:hAnsi="宋体" w:cs="宋体"/>
          <w:sz w:val="24"/>
        </w:rPr>
      </w:pPr>
      <w:r>
        <w:rPr>
          <w:rFonts w:hint="eastAsia" w:ascii="宋体" w:hAnsi="宋体" w:cs="宋体"/>
          <w:sz w:val="24"/>
        </w:rPr>
        <w:t xml:space="preserve">地址：常州市天宁区飞龙东路116号</w:t>
      </w:r>
      <w:r/>
    </w:p>
    <w:p>
      <w:pPr>
        <w:ind w:firstLine="480"/>
        <w:jc w:val="left"/>
        <w:spacing w:line="360" w:lineRule="auto"/>
        <w:rPr>
          <w:rFonts w:ascii="宋体" w:hAnsi="宋体" w:cs="宋体"/>
          <w:sz w:val="24"/>
        </w:rPr>
      </w:pPr>
      <w:r>
        <w:rPr>
          <w:rFonts w:hint="eastAsia" w:ascii="宋体" w:hAnsi="宋体" w:cs="宋体"/>
          <w:sz w:val="24"/>
        </w:rPr>
        <w:t xml:space="preserve">联系方式：0519-8557087</w:t>
      </w:r>
      <w:r>
        <w:rPr>
          <w:rFonts w:ascii="宋体" w:hAnsi="宋体" w:cs="宋体"/>
          <w:sz w:val="24"/>
        </w:rPr>
        <w:t xml:space="preserve">3</w:t>
      </w:r>
      <w:r/>
    </w:p>
    <w:p>
      <w:pPr>
        <w:ind w:firstLine="482"/>
        <w:jc w:val="left"/>
        <w:spacing w:line="360" w:lineRule="auto"/>
        <w:rPr>
          <w:b/>
          <w:sz w:val="24"/>
        </w:rPr>
      </w:pPr>
      <w:r>
        <w:rPr>
          <w:b/>
          <w:sz w:val="24"/>
        </w:rPr>
        <w:t xml:space="preserve">2.招标代理机构信息</w:t>
      </w:r>
      <w:bookmarkEnd w:id="32"/>
      <w:r/>
      <w:bookmarkEnd w:id="33"/>
      <w:r/>
      <w:r/>
    </w:p>
    <w:p>
      <w:pPr>
        <w:ind w:firstLine="480"/>
        <w:spacing w:line="360" w:lineRule="auto"/>
        <w:rPr>
          <w:rFonts w:ascii="宋体" w:hAnsi="宋体" w:cs="宋体"/>
          <w:sz w:val="24"/>
        </w:rPr>
      </w:pPr>
      <w:r/>
      <w:bookmarkStart w:id="34" w:name="_Toc28359087"/>
      <w:r/>
      <w:bookmarkStart w:id="35" w:name="_Toc28359010"/>
      <w:r>
        <w:rPr>
          <w:rFonts w:hint="eastAsia" w:ascii="宋体" w:hAnsi="宋体" w:cs="宋体"/>
          <w:sz w:val="24"/>
        </w:rPr>
        <w:t xml:space="preserve">名称：江苏中冠工程咨询有限公司</w:t>
      </w:r>
      <w:r/>
    </w:p>
    <w:p>
      <w:pPr>
        <w:ind w:firstLine="480"/>
        <w:spacing w:line="360" w:lineRule="auto"/>
        <w:rPr>
          <w:rFonts w:ascii="宋体" w:hAnsi="宋体" w:cs="宋体"/>
          <w:sz w:val="24"/>
        </w:rPr>
      </w:pPr>
      <w:r>
        <w:rPr>
          <w:rFonts w:hint="eastAsia" w:ascii="宋体" w:hAnsi="宋体" w:cs="宋体"/>
          <w:sz w:val="24"/>
        </w:rPr>
        <w:t xml:space="preserve">地　　址：常州市新北区龙锦路1259-2号</w:t>
      </w:r>
      <w:r>
        <w:rPr>
          <w:rFonts w:ascii="宋体" w:hAnsi="宋体" w:cs="宋体"/>
          <w:sz w:val="24"/>
        </w:rPr>
        <w:t xml:space="preserve">9</w:t>
      </w:r>
      <w:r>
        <w:rPr>
          <w:rFonts w:hint="eastAsia" w:ascii="宋体" w:hAnsi="宋体" w:cs="宋体"/>
          <w:sz w:val="24"/>
        </w:rPr>
        <w:t xml:space="preserve">楼</w:t>
      </w:r>
      <w:r/>
    </w:p>
    <w:p>
      <w:pPr>
        <w:ind w:firstLine="480"/>
        <w:jc w:val="left"/>
        <w:spacing w:line="360" w:lineRule="auto"/>
        <w:rPr>
          <w:sz w:val="24"/>
          <w:u w:val="single"/>
        </w:rPr>
      </w:pPr>
      <w:r>
        <w:rPr>
          <w:rFonts w:hint="eastAsia" w:ascii="宋体" w:hAnsi="宋体" w:cs="宋体"/>
          <w:sz w:val="24"/>
        </w:rPr>
        <w:t xml:space="preserve">联系方式：0519-85581855</w:t>
      </w:r>
      <w:r/>
    </w:p>
    <w:p>
      <w:pPr>
        <w:ind w:firstLine="482"/>
        <w:spacing w:line="360" w:lineRule="auto"/>
        <w:rPr>
          <w:b/>
          <w:sz w:val="24"/>
          <w:u w:val="single"/>
        </w:rPr>
      </w:pPr>
      <w:r>
        <w:rPr>
          <w:b/>
          <w:sz w:val="24"/>
        </w:rPr>
        <w:t xml:space="preserve">3.项目联系方式</w:t>
      </w:r>
      <w:bookmarkEnd w:id="34"/>
      <w:r/>
      <w:bookmarkEnd w:id="35"/>
      <w:r/>
      <w:r/>
    </w:p>
    <w:p>
      <w:pPr>
        <w:ind w:firstLine="480"/>
        <w:spacing w:line="360" w:lineRule="auto"/>
        <w:rPr>
          <w:rFonts w:ascii="宋体" w:hAnsi="宋体" w:cs="宋体"/>
          <w:sz w:val="24"/>
        </w:rPr>
      </w:pPr>
      <w:r>
        <w:rPr>
          <w:rFonts w:hint="eastAsia" w:ascii="宋体" w:hAnsi="宋体" w:cs="宋体"/>
          <w:sz w:val="24"/>
        </w:rPr>
        <w:t xml:space="preserve">项目联系人：朱先生</w:t>
      </w:r>
      <w:r/>
    </w:p>
    <w:p>
      <w:pPr>
        <w:pStyle w:val="1062"/>
        <w:ind w:firstLine="480"/>
        <w:spacing w:line="360" w:lineRule="auto"/>
        <w:rPr>
          <w:rFonts w:hint="default" w:ascii="Times New Roman" w:hAnsi="Times New Roman"/>
          <w:sz w:val="24"/>
          <w:szCs w:val="24"/>
        </w:rPr>
      </w:pPr>
      <w:r>
        <w:rPr>
          <w:rFonts w:hAnsi="宋体" w:cs="宋体"/>
          <w:sz w:val="24"/>
          <w:szCs w:val="24"/>
        </w:rPr>
        <w:t xml:space="preserve">电　　话：0519-85581855</w:t>
      </w:r>
      <w:r/>
    </w:p>
    <w:p>
      <w:pPr>
        <w:jc w:val="center"/>
        <w:spacing w:line="360" w:lineRule="auto"/>
        <w:rPr>
          <w:b/>
          <w:sz w:val="36"/>
          <w:szCs w:val="36"/>
        </w:rPr>
        <w:outlineLvl w:val="0"/>
      </w:pPr>
      <w:r/>
      <w:bookmarkStart w:id="36" w:name="_Toc512937850"/>
      <w:r/>
      <w:bookmarkStart w:id="37" w:name="_Toc195842950"/>
      <w:r/>
      <w:bookmarkStart w:id="38" w:name="_Toc305158928"/>
      <w:r/>
      <w:bookmarkStart w:id="39" w:name="_Toc264969275"/>
      <w:r/>
      <w:bookmarkStart w:id="40" w:name="_Toc353873938"/>
      <w:r/>
      <w:bookmarkStart w:id="41" w:name="_Toc353825548"/>
      <w:r/>
      <w:bookmarkStart w:id="42" w:name="_Toc127161488"/>
      <w:r/>
      <w:bookmarkStart w:id="43" w:name="_Toc127151777"/>
      <w:r/>
      <w:bookmarkStart w:id="44" w:name="_Toc305158854"/>
      <w:r/>
      <w:bookmarkStart w:id="45" w:name="_Toc265228423"/>
      <w:r/>
      <w:bookmarkStart w:id="46" w:name="_Toc150774783"/>
      <w:r/>
      <w:bookmarkStart w:id="47" w:name="_Toc226965856"/>
      <w:r>
        <w:rPr>
          <w:b/>
          <w:sz w:val="36"/>
          <w:szCs w:val="36"/>
        </w:rPr>
        <w:br w:type="page" w:clear="all"/>
      </w:r>
      <w:bookmarkStart w:id="48" w:name="_Toc17447"/>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24"/>
        <w:spacing w:before="0" w:line="360" w:lineRule="auto"/>
        <w:tabs>
          <w:tab w:val="center" w:pos="4592" w:leader="none"/>
          <w:tab w:val="left" w:pos="7860" w:leader="none"/>
        </w:tabs>
        <w:rPr>
          <w:rFonts w:ascii="Times New Roman" w:hAnsi="Times New Roman" w:eastAsia="宋体"/>
          <w:sz w:val="28"/>
        </w:rPr>
      </w:pPr>
      <w:r/>
      <w:bookmarkStart w:id="49" w:name="_Toc151193833"/>
      <w:r/>
      <w:bookmarkStart w:id="50" w:name="_Toc164608633"/>
      <w:r/>
      <w:bookmarkStart w:id="51" w:name="_Toc151193689"/>
      <w:r/>
      <w:bookmarkStart w:id="52" w:name="_Toc150509270"/>
      <w:r/>
      <w:bookmarkStart w:id="53" w:name="_Toc195842884"/>
      <w:r/>
      <w:bookmarkStart w:id="54" w:name="_Toc151193617"/>
      <w:r/>
      <w:bookmarkStart w:id="55" w:name="_Toc151193761"/>
      <w:r/>
      <w:bookmarkStart w:id="56" w:name="_Toc151190146"/>
      <w:r/>
      <w:bookmarkStart w:id="57" w:name="_Toc149720812"/>
      <w:r/>
      <w:bookmarkStart w:id="58" w:name="_Toc164229360"/>
      <w:r/>
      <w:bookmarkStart w:id="59" w:name="_Toc151193907"/>
      <w:r/>
      <w:bookmarkStart w:id="60" w:name="_Toc142311021"/>
      <w:r/>
      <w:bookmarkStart w:id="61" w:name="_Toc164351613"/>
      <w:r/>
      <w:bookmarkStart w:id="62" w:name="_Toc520356144"/>
      <w:r/>
      <w:bookmarkStart w:id="63" w:name="_Toc127151720"/>
      <w:r/>
      <w:bookmarkStart w:id="64" w:name="_Toc226965792"/>
      <w:r/>
      <w:bookmarkStart w:id="65" w:name="_Toc150480757"/>
      <w:r/>
      <w:bookmarkStart w:id="66" w:name="_Toc150774619"/>
      <w:r/>
      <w:bookmarkStart w:id="67" w:name="_Toc226309763"/>
      <w:r/>
      <w:bookmarkStart w:id="68" w:name="_Toc150774724"/>
      <w:r/>
      <w:bookmarkStart w:id="69" w:name="_Toc226965709"/>
      <w:r/>
      <w:bookmarkStart w:id="70" w:name="_Toc127151519"/>
      <w:r/>
      <w:bookmarkStart w:id="71" w:name="_Toc164229214"/>
      <w:r/>
      <w:bookmarkStart w:id="72" w:name="_Toc226337215"/>
      <w:r/>
      <w:bookmarkStart w:id="73" w:name="_Toc127161433"/>
      <w:r/>
      <w:bookmarkStart w:id="74" w:name="_Toc164608788"/>
      <w:r>
        <w:rPr>
          <w:rFonts w:ascii="Times New Roman" w:hAnsi="Times New Roman" w:eastAsia="宋体"/>
          <w:sz w:val="28"/>
        </w:rPr>
        <w:t xml:space="preserve">投标人须知资料表</w:t>
      </w:r>
      <w:r/>
    </w:p>
    <w:tbl>
      <w:tblPr>
        <w:tblStyle w:val="84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427"/>
        </w:trPr>
        <w:tc>
          <w:tcPr>
            <w:tcW w:w="988" w:type="dxa"/>
            <w:vAlign w:val="center"/>
            <w:textDirection w:val="lrTb"/>
            <w:noWrap w:val="false"/>
          </w:tcPr>
          <w:p>
            <w:pPr>
              <w:pStyle w:val="1062"/>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sz w:val="24"/>
              </w:rPr>
              <w:t xml:space="preserve">■服务</w:t>
            </w:r>
            <w:r/>
          </w:p>
          <w:p>
            <w:pPr>
              <w:jc w:val="left"/>
              <w:rPr>
                <w:sz w:val="24"/>
                <w:u w:val="single"/>
              </w:rPr>
            </w:pPr>
            <w:r>
              <w:rPr>
                <w:sz w:val="24"/>
              </w:rPr>
              <w:t xml:space="preserve">□货物</w:t>
            </w:r>
            <w:r/>
          </w:p>
        </w:tc>
      </w:tr>
      <w:tr>
        <w:trPr>
          <w:jc w:val="center"/>
          <w:trHeight w:val="549"/>
        </w:trPr>
        <w:tc>
          <w:tcPr>
            <w:tcW w:w="988" w:type="dxa"/>
            <w:vAlign w:val="center"/>
            <w:textDirection w:val="lrTb"/>
            <w:noWrap w:val="false"/>
          </w:tcPr>
          <w:p>
            <w:pPr>
              <w:pStyle w:val="1062"/>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sz w:val="24"/>
              </w:rPr>
              <w:t xml:space="preserve">□是</w:t>
            </w:r>
            <w:r/>
          </w:p>
          <w:p>
            <w:pPr>
              <w:jc w:val="left"/>
              <w:rPr>
                <w:sz w:val="24"/>
              </w:rPr>
            </w:pPr>
            <w:r>
              <w:rPr>
                <w:sz w:val="24"/>
              </w:rPr>
              <w:t xml:space="preserve">■否</w:t>
            </w:r>
            <w:r/>
          </w:p>
        </w:tc>
      </w:tr>
      <w:tr>
        <w:trPr>
          <w:jc w:val="center"/>
          <w:trHeight w:val="423"/>
        </w:trPr>
        <w:tc>
          <w:tcPr>
            <w:tcW w:w="988" w:type="dxa"/>
            <w:vAlign w:val="center"/>
            <w:textDirection w:val="lrTb"/>
            <w:noWrap w:val="false"/>
          </w:tcPr>
          <w:p>
            <w:pPr>
              <w:pStyle w:val="853"/>
              <w:jc w:val="center"/>
              <w:rPr>
                <w:rFonts w:hint="default" w:ascii="Times New Roman" w:hAnsi="Times New Roman"/>
                <w:sz w:val="24"/>
                <w:szCs w:val="24"/>
              </w:rPr>
            </w:pPr>
            <w:r>
              <w:rPr>
                <w:rFonts w:hint="default" w:ascii="Times New Roman" w:hAnsi="Times New Roman" w:eastAsia="宋体" w:cs="Times New Roman"/>
                <w:sz w:val="24"/>
                <w:szCs w:val="24"/>
                <w:lang w:val="en-US" w:eastAsia="zh-CN"/>
              </w:rPr>
              <w:t xml:space="preserve">3.9</w:t>
            </w:r>
            <w:r/>
          </w:p>
        </w:tc>
        <w:tc>
          <w:tcPr>
            <w:tcW w:w="1701" w:type="dxa"/>
            <w:vAlign w:val="center"/>
            <w:textDirection w:val="lrTb"/>
            <w:noWrap w:val="false"/>
          </w:tcPr>
          <w:p>
            <w:pPr>
              <w:jc w:val="center"/>
              <w:spacing w:line="360" w:lineRule="exact"/>
              <w:rPr>
                <w:sz w:val="24"/>
              </w:rPr>
            </w:pPr>
            <w:r>
              <w:rPr>
                <w:rFonts w:hint="eastAsia"/>
                <w:sz w:val="24"/>
              </w:rPr>
              <w:t xml:space="preserve">本国产品政策支持</w:t>
            </w:r>
            <w:r/>
          </w:p>
        </w:tc>
        <w:tc>
          <w:tcPr>
            <w:tcW w:w="7540" w:type="dxa"/>
            <w:vAlign w:val="center"/>
            <w:textDirection w:val="lrTb"/>
            <w:noWrap w:val="false"/>
          </w:tcPr>
          <w:p>
            <w:pPr>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b/>
                <w:bCs/>
                <w:sz w:val="24"/>
                <w:lang w:val="en-US" w:eastAsia="zh-CN"/>
              </w:rPr>
              <w:t xml:space="preserve">不</w:t>
            </w:r>
            <w:r>
              <w:rPr>
                <w:rFonts w:hint="eastAsia"/>
                <w:b/>
                <w:bCs/>
                <w:sz w:val="24"/>
              </w:rPr>
              <w:t xml:space="preserve">适用</w:t>
            </w:r>
            <w:r>
              <w:rPr>
                <w:rFonts w:hint="eastAsia"/>
                <w:sz w:val="24"/>
              </w:rPr>
              <w:t xml:space="preserve">。</w:t>
            </w:r>
            <w:r/>
          </w:p>
          <w:p>
            <w:pPr>
              <w:jc w:val="left"/>
              <w:spacing w:line="360" w:lineRule="exac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305"/>
        </w:trPr>
        <w:tc>
          <w:tcPr>
            <w:tcW w:w="988" w:type="dxa"/>
            <w:vAlign w:val="center"/>
            <w:textDirection w:val="lrTb"/>
            <w:noWrap w:val="false"/>
          </w:tcPr>
          <w:p>
            <w:pPr>
              <w:pStyle w:val="1062"/>
              <w:jc w:val="center"/>
              <w:rPr>
                <w:rFonts w:hint="default" w:ascii="Times New Roman" w:hAnsi="Times New Roman"/>
                <w:sz w:val="24"/>
                <w:szCs w:val="24"/>
              </w:rPr>
            </w:pPr>
            <w:r>
              <w:rPr>
                <w:rFonts w:ascii="Times New Roman" w:hAnsi="Times New Roman"/>
                <w:sz w:val="24"/>
                <w:szCs w:val="24"/>
              </w:rPr>
              <w:t xml:space="preserve">5.2.5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sz w:val="24"/>
              </w:rPr>
              <w:t xml:space="preserve">本项目采购标的对应的中小企业划分标准所属行业：</w:t>
            </w:r>
            <w:r>
              <w:rPr>
                <w:rFonts w:hint="eastAsia"/>
                <w:b/>
                <w:bCs/>
                <w:sz w:val="24"/>
              </w:rPr>
              <w:t xml:space="preserve">其他未列明行业</w:t>
            </w:r>
            <w:r/>
          </w:p>
        </w:tc>
      </w:tr>
      <w:tr>
        <w:trPr>
          <w:jc w:val="center"/>
          <w:trHeight w:val="596"/>
        </w:trPr>
        <w:tc>
          <w:tcPr>
            <w:tcW w:w="988" w:type="dxa"/>
            <w:vAlign w:val="center"/>
            <w:textDirection w:val="lrTb"/>
            <w:noWrap w:val="false"/>
          </w:tcPr>
          <w:p>
            <w:pPr>
              <w:pStyle w:val="1062"/>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sz w:val="24"/>
              </w:rPr>
              <w:t xml:space="preserve">■无</w:t>
            </w:r>
            <w:r/>
          </w:p>
          <w:p>
            <w:pPr>
              <w:jc w:val="left"/>
              <w:rPr>
                <w:sz w:val="24"/>
              </w:rPr>
            </w:pPr>
            <w:r>
              <w:rPr>
                <w:sz w:val="24"/>
              </w:rPr>
              <w:t xml:space="preserve">□有</w:t>
            </w:r>
            <w:r/>
          </w:p>
        </w:tc>
      </w:tr>
      <w:tr>
        <w:trPr>
          <w:jc w:val="center"/>
          <w:trHeight w:val="337"/>
        </w:trPr>
        <w:tc>
          <w:tcPr>
            <w:tcW w:w="988" w:type="dxa"/>
            <w:vAlign w:val="center"/>
            <w:textDirection w:val="lrTb"/>
            <w:noWrap w:val="false"/>
          </w:tcPr>
          <w:p>
            <w:pPr>
              <w:pStyle w:val="1062"/>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316"/>
        </w:trPr>
        <w:tc>
          <w:tcPr>
            <w:tcW w:w="988" w:type="dxa"/>
            <w:vAlign w:val="center"/>
            <w:textDirection w:val="lrTb"/>
            <w:noWrap w:val="false"/>
          </w:tcPr>
          <w:p>
            <w:pPr>
              <w:pStyle w:val="1062"/>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自提交投标文件的截止之日起算120日历天。</w:t>
            </w:r>
            <w:r/>
          </w:p>
        </w:tc>
      </w:tr>
      <w:tr>
        <w:trPr>
          <w:jc w:val="center"/>
          <w:trHeight w:val="550"/>
        </w:trPr>
        <w:tc>
          <w:tcPr>
            <w:tcW w:w="988" w:type="dxa"/>
            <w:vAlign w:val="center"/>
            <w:textDirection w:val="lrTb"/>
            <w:noWrap w:val="false"/>
          </w:tcPr>
          <w:p>
            <w:pPr>
              <w:pStyle w:val="1062"/>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p>
          <w:p>
            <w:pPr>
              <w:jc w:val="left"/>
              <w:rPr>
                <w:sz w:val="24"/>
              </w:rPr>
            </w:pPr>
            <w:r>
              <w:rPr>
                <w:sz w:val="24"/>
              </w:rPr>
              <w:t xml:space="preserve">■不允许</w:t>
            </w:r>
            <w:r/>
          </w:p>
          <w:p>
            <w:pPr>
              <w:jc w:val="left"/>
              <w:rPr>
                <w:sz w:val="24"/>
              </w:rPr>
            </w:pPr>
            <w:r>
              <w:rPr>
                <w:sz w:val="24"/>
              </w:rPr>
              <w:t xml:space="preserve">□允许</w:t>
            </w:r>
            <w:r/>
          </w:p>
        </w:tc>
      </w:tr>
      <w:tr>
        <w:trPr>
          <w:jc w:val="center"/>
          <w:trHeight w:val="358"/>
        </w:trPr>
        <w:tc>
          <w:tcPr>
            <w:tcW w:w="988" w:type="dxa"/>
            <w:vAlign w:val="center"/>
            <w:textDirection w:val="lrTb"/>
            <w:noWrap w:val="false"/>
          </w:tcPr>
          <w:p>
            <w:pPr>
              <w:pStyle w:val="1062"/>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rPr>
              <w:t xml:space="preserve">书面方式</w:t>
            </w:r>
            <w:r/>
          </w:p>
        </w:tc>
      </w:tr>
      <w:tr>
        <w:trPr>
          <w:jc w:val="center"/>
          <w:trHeight w:val="1295"/>
        </w:trPr>
        <w:tc>
          <w:tcPr>
            <w:tcW w:w="988" w:type="dxa"/>
            <w:vAlign w:val="center"/>
            <w:textDirection w:val="lrTb"/>
            <w:noWrap w:val="false"/>
          </w:tcPr>
          <w:p>
            <w:pPr>
              <w:pStyle w:val="1062"/>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rPr>
              <w:t xml:space="preserve">江苏中冠工程咨询有限公司</w:t>
            </w:r>
            <w:r>
              <w:rPr>
                <w:sz w:val="24"/>
              </w:rPr>
              <w:t xml:space="preserve">；</w:t>
            </w:r>
            <w:r/>
          </w:p>
          <w:p>
            <w:pPr>
              <w:jc w:val="left"/>
              <w:rPr>
                <w:sz w:val="24"/>
              </w:rPr>
            </w:pPr>
            <w:r>
              <w:rPr>
                <w:sz w:val="24"/>
              </w:rPr>
              <w:t xml:space="preserve">联系电话：0519-85581855；</w:t>
            </w:r>
            <w:r/>
          </w:p>
          <w:p>
            <w:pPr>
              <w:jc w:val="left"/>
              <w:rPr>
                <w:sz w:val="24"/>
              </w:rPr>
            </w:pPr>
            <w:r>
              <w:rPr>
                <w:sz w:val="24"/>
              </w:rPr>
              <w:t xml:space="preserve">通讯地址：</w:t>
            </w:r>
            <w:r>
              <w:rPr>
                <w:rFonts w:hint="eastAsia"/>
                <w:sz w:val="24"/>
              </w:rPr>
              <w:t xml:space="preserve">常州市新北区龙锦路1259-2号</w:t>
            </w:r>
            <w:r>
              <w:rPr>
                <w:sz w:val="24"/>
              </w:rPr>
              <w:t xml:space="preserve">9</w:t>
            </w:r>
            <w:r>
              <w:rPr>
                <w:rFonts w:hint="eastAsia"/>
                <w:sz w:val="24"/>
              </w:rPr>
              <w:t xml:space="preserve">楼</w:t>
            </w:r>
            <w:r>
              <w:rPr>
                <w:sz w:val="24"/>
              </w:rPr>
              <w:t xml:space="preserve">901</w:t>
            </w:r>
            <w:r>
              <w:rPr>
                <w:rFonts w:hint="eastAsia"/>
                <w:sz w:val="24"/>
              </w:rPr>
              <w:t xml:space="preserve">室</w:t>
            </w:r>
            <w:r>
              <w:rPr>
                <w:sz w:val="24"/>
              </w:rPr>
              <w:t xml:space="preserve">。</w:t>
            </w:r>
            <w:r/>
          </w:p>
        </w:tc>
      </w:tr>
      <w:tr>
        <w:trPr>
          <w:jc w:val="center"/>
          <w:trHeight w:val="421"/>
        </w:trPr>
        <w:tc>
          <w:tcPr>
            <w:tcW w:w="988" w:type="dxa"/>
            <w:vAlign w:val="center"/>
            <w:textDirection w:val="lrTb"/>
            <w:noWrap w:val="false"/>
          </w:tcPr>
          <w:p>
            <w:pPr>
              <w:pStyle w:val="1062"/>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rFonts w:hint="eastAsia" w:ascii="宋体" w:hAnsi="宋体" w:cs="宋体"/>
                <w:b/>
                <w:sz w:val="24"/>
              </w:rPr>
              <w:t xml:space="preserve">（一）收费对象：</w:t>
            </w:r>
            <w:r/>
          </w:p>
          <w:p>
            <w:pPr>
              <w:jc w:val="left"/>
              <w:rPr>
                <w:rFonts w:ascii="宋体" w:hAnsi="宋体" w:cs="宋体"/>
                <w:sz w:val="24"/>
              </w:rPr>
            </w:pPr>
            <w:r>
              <w:rPr>
                <w:sz w:val="24"/>
              </w:rPr>
              <w:t xml:space="preserve">□招标人</w:t>
            </w:r>
            <w:r/>
          </w:p>
          <w:p>
            <w:pPr>
              <w:jc w:val="left"/>
              <w:rPr>
                <w:rFonts w:ascii="宋体" w:hAnsi="宋体" w:cs="宋体"/>
                <w:sz w:val="24"/>
              </w:rPr>
            </w:pPr>
            <w:r>
              <w:rPr>
                <w:sz w:val="24"/>
              </w:rPr>
              <w:t xml:space="preserve">■中标人</w:t>
            </w:r>
            <w:r>
              <w:rPr>
                <w:rFonts w:hint="eastAsia"/>
                <w:sz w:val="24"/>
              </w:rPr>
              <w:t xml:space="preserve">，</w:t>
            </w:r>
            <w:r>
              <w:rPr>
                <w:rFonts w:ascii="宋体" w:hAnsi="宋体" w:cs="宋体"/>
                <w:color w:val="000000"/>
                <w:sz w:val="24"/>
              </w:rPr>
              <w:t xml:space="preserve">因</w:t>
            </w:r>
            <w:r>
              <w:rPr>
                <w:rFonts w:hint="eastAsia" w:ascii="宋体" w:hAnsi="宋体" w:cs="宋体"/>
                <w:color w:val="000000"/>
                <w:sz w:val="24"/>
              </w:rPr>
              <w:t xml:space="preserve">招标人</w:t>
            </w:r>
            <w:r>
              <w:rPr>
                <w:rFonts w:ascii="宋体" w:hAnsi="宋体" w:cs="宋体"/>
                <w:color w:val="000000"/>
                <w:sz w:val="24"/>
              </w:rPr>
              <w:t xml:space="preserve">预算金额包含代理费，本项目向中标人收取代理费。</w:t>
            </w:r>
            <w:r/>
          </w:p>
          <w:p>
            <w:pPr>
              <w:jc w:val="left"/>
              <w:rPr>
                <w:b/>
                <w:bCs/>
                <w:sz w:val="24"/>
              </w:rPr>
            </w:pPr>
            <w:r>
              <w:rPr>
                <w:rFonts w:hint="eastAsia"/>
                <w:b/>
                <w:bCs/>
                <w:sz w:val="24"/>
              </w:rPr>
              <w:t xml:space="preserve">（二）</w:t>
            </w:r>
            <w:r>
              <w:rPr>
                <w:b/>
                <w:bCs/>
                <w:sz w:val="24"/>
              </w:rPr>
              <w:t xml:space="preserve">收费标准：</w:t>
            </w:r>
            <w:r/>
          </w:p>
          <w:p>
            <w:pPr>
              <w:jc w:val="left"/>
              <w:rPr>
                <w:sz w:val="24"/>
              </w:rPr>
            </w:pPr>
            <w:r>
              <w:rPr>
                <w:rFonts w:hint="eastAsia"/>
                <w:sz w:val="24"/>
              </w:rPr>
              <w:t xml:space="preserve">按项目预算总金额的0.8%计算并支付</w:t>
            </w:r>
            <w:r>
              <w:rPr>
                <w:sz w:val="24"/>
              </w:rPr>
              <w:t xml:space="preserve">代理费；</w:t>
            </w:r>
            <w:r/>
          </w:p>
          <w:p>
            <w:pPr>
              <w:jc w:val="left"/>
              <w:rPr>
                <w:rFonts w:ascii="宋体" w:hAnsi="宋体"/>
                <w:sz w:val="24"/>
              </w:rPr>
            </w:pPr>
            <w:r>
              <w:rPr>
                <w:sz w:val="24"/>
              </w:rPr>
              <w:t xml:space="preserve">缴纳时间：</w:t>
            </w:r>
            <w:r>
              <w:rPr>
                <w:rFonts w:hint="eastAsia" w:ascii="宋体" w:hAnsi="宋体"/>
                <w:sz w:val="24"/>
              </w:rPr>
              <w:t xml:space="preserve">在发出中标通知书后五个工作日内</w:t>
            </w:r>
            <w:r>
              <w:rPr>
                <w:sz w:val="24"/>
              </w:rPr>
              <w:t xml:space="preserve">。</w:t>
            </w:r>
            <w:r/>
          </w:p>
          <w:p>
            <w:pPr>
              <w:jc w:val="left"/>
              <w:rPr>
                <w:sz w:val="24"/>
              </w:rPr>
            </w:pPr>
            <w:r>
              <w:rPr>
                <w:rFonts w:hint="eastAsia"/>
                <w:sz w:val="24"/>
              </w:rPr>
              <w:t xml:space="preserve">收款户名：江苏中冠工程咨询有限公司</w:t>
            </w:r>
            <w:r/>
          </w:p>
          <w:p>
            <w:pPr>
              <w:jc w:val="left"/>
              <w:rPr>
                <w:sz w:val="24"/>
              </w:rPr>
            </w:pPr>
            <w:r>
              <w:rPr>
                <w:rFonts w:hint="eastAsia"/>
                <w:sz w:val="24"/>
              </w:rPr>
              <w:t xml:space="preserve">开户银行：中国工商银行常州分行营业部营业室</w:t>
            </w:r>
            <w:r/>
          </w:p>
          <w:p>
            <w:pPr>
              <w:jc w:val="left"/>
              <w:rPr>
                <w:sz w:val="24"/>
              </w:rPr>
            </w:pPr>
            <w:r>
              <w:rPr>
                <w:rFonts w:hint="eastAsia"/>
                <w:sz w:val="24"/>
              </w:rPr>
              <w:t xml:space="preserve">账号：1105020119000676959</w:t>
            </w:r>
            <w:r/>
          </w:p>
        </w:tc>
      </w:tr>
    </w:tbl>
    <w:p>
      <w:pPr>
        <w:spacing w:line="360" w:lineRule="auto"/>
        <w:tabs>
          <w:tab w:val="left" w:pos="5580" w:leader="none"/>
        </w:tabs>
        <w:rPr>
          <w:sz w:val="24"/>
        </w:rPr>
        <w:sectPr>
          <w:headerReference w:type="default" r:id="rId12"/>
          <w:headerReference w:type="first" r:id="rId13"/>
          <w:footerReference w:type="default" r:id="rId20"/>
          <w:footnotePr/>
          <w:endnotePr/>
          <w:type w:val="nextPage"/>
          <w:pgSz w:w="11907" w:h="16840" w:orient="portrait"/>
          <w:pgMar w:top="1418" w:right="1134" w:bottom="1418" w:left="1701" w:header="851" w:footer="851" w:gutter="0"/>
          <w:cols w:num="1" w:sep="0" w:space="1701" w:equalWidth="1"/>
          <w:docGrid w:linePitch="360"/>
          <w:titlePg/>
        </w:sectPr>
      </w:pPr>
      <w:r>
        <w:rPr>
          <w:sz w:val="24"/>
        </w:rPr>
      </w:r>
      <w:r/>
    </w:p>
    <w:p>
      <w:pPr>
        <w:jc w:val="center"/>
        <w:spacing w:before="240" w:after="240"/>
        <w:rPr>
          <w:b/>
          <w:sz w:val="28"/>
          <w:szCs w:val="28"/>
        </w:rPr>
      </w:pPr>
      <w:r/>
      <w:bookmarkStart w:id="75" w:name="_Toc226337213"/>
      <w:r/>
      <w:bookmarkStart w:id="76" w:name="_Toc226965790"/>
      <w:r/>
      <w:bookmarkStart w:id="77" w:name="_Toc195842882"/>
      <w:r/>
      <w:bookmarkStart w:id="78" w:name="_Toc142311019"/>
      <w:r/>
      <w:bookmarkStart w:id="79" w:name="_Toc353873662"/>
      <w:r/>
      <w:bookmarkStart w:id="80" w:name="_Toc265228355"/>
      <w:r/>
      <w:bookmarkStart w:id="81" w:name="_Toc305158859"/>
      <w:r/>
      <w:bookmarkStart w:id="82" w:name="_Toc150480755"/>
      <w:r/>
      <w:bookmarkStart w:id="83" w:name="_Toc305158785"/>
      <w:r/>
      <w:bookmarkStart w:id="84" w:name="_Toc353873932"/>
      <w:r/>
      <w:bookmarkStart w:id="85" w:name="_Toc264969207"/>
      <w:r/>
      <w:bookmarkStart w:id="86" w:name="_Toc353825542"/>
      <w:r/>
      <w:bookmarkStart w:id="87" w:name="_Toc150774722"/>
      <w:r/>
      <w:bookmarkStart w:id="88" w:name="_Toc127151517"/>
      <w:r>
        <w:rPr>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24"/>
        <w:jc w:val="left"/>
        <w:spacing w:before="0" w:line="360" w:lineRule="auto"/>
        <w:tabs>
          <w:tab w:val="center" w:pos="4592" w:leader="none"/>
          <w:tab w:val="left" w:pos="7860" w:leader="none"/>
        </w:tabs>
        <w:rPr>
          <w:rFonts w:ascii="Times New Roman" w:hAnsi="Times New Roman" w:eastAsia="宋体"/>
          <w:sz w:val="28"/>
        </w:rPr>
      </w:pPr>
      <w:r/>
      <w:bookmarkStart w:id="89" w:name="_Toc127151518"/>
      <w:r/>
      <w:bookmarkStart w:id="90" w:name="_Toc520356143"/>
      <w:r>
        <w:rPr>
          <w:rFonts w:ascii="Times New Roman" w:hAnsi="Times New Roman" w:eastAsia="宋体"/>
          <w:sz w:val="28"/>
        </w:rPr>
        <w:tab/>
      </w:r>
      <w:bookmarkStart w:id="91" w:name="_Toc151193688"/>
      <w:r/>
      <w:bookmarkStart w:id="92" w:name="_Toc226965791"/>
      <w:r/>
      <w:bookmarkStart w:id="93" w:name="_Toc151193760"/>
      <w:r/>
      <w:bookmarkStart w:id="94" w:name="_Toc226309762"/>
      <w:r/>
      <w:bookmarkStart w:id="95" w:name="_Toc226337214"/>
      <w:r/>
      <w:bookmarkStart w:id="96" w:name="_Toc142311020"/>
      <w:r/>
      <w:bookmarkStart w:id="97" w:name="_Toc150480756"/>
      <w:r/>
      <w:bookmarkStart w:id="98" w:name="_Toc265228356"/>
      <w:r/>
      <w:bookmarkStart w:id="99" w:name="_Toc151193906"/>
      <w:r/>
      <w:bookmarkStart w:id="100" w:name="_Toc305158786"/>
      <w:r/>
      <w:bookmarkStart w:id="101" w:name="_Toc150509269"/>
      <w:r/>
      <w:bookmarkStart w:id="102" w:name="_Toc151193616"/>
      <w:r/>
      <w:bookmarkStart w:id="103" w:name="_Toc195842883"/>
      <w:r/>
      <w:bookmarkStart w:id="104" w:name="_Toc305158860"/>
      <w:r/>
      <w:bookmarkStart w:id="105" w:name="_Toc151190145"/>
      <w:r/>
      <w:bookmarkStart w:id="106" w:name="_Toc150774618"/>
      <w:r/>
      <w:bookmarkStart w:id="107" w:name="_Toc226965708"/>
      <w:r/>
      <w:bookmarkStart w:id="108" w:name="_Toc151193832"/>
      <w:r/>
      <w:bookmarkStart w:id="109" w:name="_Toc264969208"/>
      <w:r/>
      <w:bookmarkStart w:id="110" w:name="_Toc150774723"/>
      <w:r>
        <w:rPr>
          <w:rFonts w:ascii="Times New Roman" w:hAnsi="Times New Roman" w:eastAsia="宋体"/>
          <w:sz w:val="28"/>
        </w:rPr>
        <w:t xml:space="preserve">一   说明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numPr>
          <w:ilvl w:val="0"/>
          <w:numId w:val="10"/>
        </w:numPr>
        <w:ind w:left="357" w:hanging="357"/>
        <w:spacing w:line="360" w:lineRule="auto"/>
        <w:tabs>
          <w:tab w:val="left" w:pos="360" w:leader="none"/>
        </w:tabs>
        <w:rPr>
          <w:sz w:val="24"/>
        </w:rPr>
        <w:outlineLvl w:val="1"/>
      </w:pPr>
      <w:r/>
      <w:bookmarkStart w:id="111" w:name="_Toc264969209"/>
      <w:r/>
      <w:bookmarkStart w:id="112" w:name="_Toc265228357"/>
      <w:r/>
      <w:bookmarkStart w:id="113" w:name="_Toc305158787"/>
      <w:r/>
      <w:bookmarkStart w:id="114" w:name="_Toc305158861"/>
      <w:r>
        <w:rPr>
          <w:sz w:val="24"/>
        </w:rPr>
        <w:t xml:space="preserve">招标人、招标代理机构、投标人</w:t>
      </w:r>
      <w:bookmarkEnd w:id="111"/>
      <w:r/>
      <w:bookmarkEnd w:id="112"/>
      <w:r/>
      <w:bookmarkEnd w:id="113"/>
      <w:r/>
      <w:bookmarkEnd w:id="114"/>
      <w:r>
        <w:rPr>
          <w:rFonts w:hint="eastAsia"/>
          <w:sz w:val="24"/>
        </w:rPr>
        <w:t xml:space="preserve">、联合体</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招标人、招标代理机构：指依法进行政府采购的国家机关、事业单位、团体组织，及其委托的招标代理机构。本项目招标人、招标代理机构见第一章《投标邀请》。</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）：指向招标人提供货物、工程或者服务的法人、其他组织或者自然人。</w:t>
      </w:r>
      <w:r/>
    </w:p>
    <w:p>
      <w:pPr>
        <w:numPr>
          <w:ilvl w:val="1"/>
          <w:numId w:val="10"/>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0"/>
        </w:numPr>
        <w:ind w:left="357" w:hanging="357"/>
        <w:spacing w:line="360" w:lineRule="auto"/>
        <w:tabs>
          <w:tab w:val="left" w:pos="360" w:leader="none"/>
        </w:tabs>
        <w:rPr>
          <w:sz w:val="24"/>
        </w:rPr>
        <w:outlineLvl w:val="1"/>
      </w:pPr>
      <w:r/>
      <w:bookmarkStart w:id="115" w:name="_Toc151190147"/>
      <w:r/>
      <w:bookmarkStart w:id="116" w:name="_Toc150509271"/>
      <w:r/>
      <w:bookmarkStart w:id="117" w:name="_Toc164351614"/>
      <w:r/>
      <w:bookmarkStart w:id="118" w:name="_Toc150774620"/>
      <w:r/>
      <w:bookmarkStart w:id="119" w:name="_Toc127151520"/>
      <w:r/>
      <w:bookmarkStart w:id="120" w:name="_Toc226965710"/>
      <w:r/>
      <w:bookmarkStart w:id="121" w:name="_Toc226965793"/>
      <w:r/>
      <w:bookmarkStart w:id="122" w:name="_Toc305158862"/>
      <w:r/>
      <w:bookmarkStart w:id="123" w:name="_Toc305158788"/>
      <w:r/>
      <w:bookmarkStart w:id="124" w:name="_Toc164608789"/>
      <w:r/>
      <w:bookmarkStart w:id="125" w:name="_Toc195842885"/>
      <w:r/>
      <w:bookmarkStart w:id="126" w:name="_Toc149720813"/>
      <w:r/>
      <w:bookmarkStart w:id="127" w:name="_Toc265228358"/>
      <w:r/>
      <w:bookmarkStart w:id="128" w:name="_Toc127161434"/>
      <w:r/>
      <w:bookmarkStart w:id="129" w:name="_Toc151193618"/>
      <w:r/>
      <w:bookmarkStart w:id="130" w:name="_Toc164229215"/>
      <w:r/>
      <w:bookmarkStart w:id="131" w:name="_Toc164608634"/>
      <w:r/>
      <w:bookmarkStart w:id="132" w:name="_Toc127151721"/>
      <w:r/>
      <w:bookmarkStart w:id="133" w:name="_Toc226309764"/>
      <w:r/>
      <w:bookmarkStart w:id="134" w:name="_Toc150774725"/>
      <w:r/>
      <w:bookmarkStart w:id="135" w:name="_Toc142311022"/>
      <w:r/>
      <w:bookmarkStart w:id="136" w:name="_Toc164229361"/>
      <w:r/>
      <w:bookmarkStart w:id="137" w:name="_Toc151193762"/>
      <w:r/>
      <w:bookmarkStart w:id="138" w:name="_Toc151193908"/>
      <w:r/>
      <w:bookmarkStart w:id="139" w:name="_Toc226337216"/>
      <w:r/>
      <w:bookmarkStart w:id="140" w:name="_Toc151193834"/>
      <w:r/>
      <w:bookmarkStart w:id="141" w:name="_Toc150480758"/>
      <w:r/>
      <w:bookmarkStart w:id="142" w:name="_Toc151193690"/>
      <w:r/>
      <w:bookmarkStart w:id="143" w:name="_Toc264969210"/>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、项目属性、科研仪器设备采购、核心产品</w:t>
      </w:r>
      <w:r/>
    </w:p>
    <w:p>
      <w:pPr>
        <w:numPr>
          <w:ilvl w:val="1"/>
          <w:numId w:val="10"/>
        </w:numPr>
        <w:ind w:left="1080" w:hanging="720"/>
        <w:spacing w:line="360" w:lineRule="auto"/>
        <w:tabs>
          <w:tab w:val="left" w:pos="1080" w:leader="none"/>
          <w:tab w:val="left" w:pos="2014" w:leader="none"/>
        </w:tabs>
        <w:rPr>
          <w:sz w:val="24"/>
        </w:rPr>
      </w:pPr>
      <w:r>
        <w:rPr>
          <w:sz w:val="24"/>
        </w:rPr>
        <w:t xml:space="preserve">资金来源为财政性资金。</w:t>
      </w:r>
      <w:r/>
    </w:p>
    <w:p>
      <w:pPr>
        <w:numPr>
          <w:ilvl w:val="1"/>
          <w:numId w:val="10"/>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10"/>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10"/>
        </w:numPr>
        <w:ind w:left="357" w:hanging="357"/>
        <w:spacing w:line="360" w:lineRule="auto"/>
        <w:tabs>
          <w:tab w:val="left" w:pos="360" w:leader="none"/>
        </w:tabs>
        <w:rPr>
          <w:sz w:val="24"/>
        </w:rPr>
        <w:outlineLvl w:val="1"/>
      </w:pPr>
      <w:r>
        <w:rPr>
          <w:sz w:val="24"/>
        </w:rPr>
        <w:t xml:space="preserve">现场考察、开标前答疑会</w:t>
      </w:r>
      <w:r/>
    </w:p>
    <w:p>
      <w:pPr>
        <w:numPr>
          <w:ilvl w:val="1"/>
          <w:numId w:val="10"/>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4" w:name="_Toc305158864"/>
      <w:r/>
      <w:bookmarkStart w:id="145" w:name="_Toc151193836"/>
      <w:r/>
      <w:bookmarkStart w:id="146" w:name="_Toc195842887"/>
      <w:r/>
      <w:bookmarkStart w:id="147" w:name="_Toc226965712"/>
      <w:r/>
      <w:bookmarkStart w:id="148" w:name="_Toc150774727"/>
      <w:r/>
      <w:bookmarkStart w:id="149" w:name="_Toc226965795"/>
      <w:r/>
      <w:bookmarkStart w:id="150" w:name="_Toc264969212"/>
      <w:r/>
      <w:bookmarkStart w:id="151" w:name="_Toc151193910"/>
      <w:r/>
      <w:bookmarkStart w:id="152" w:name="_Toc142311024"/>
      <w:r/>
      <w:bookmarkStart w:id="153" w:name="_Toc226337218"/>
      <w:r/>
      <w:bookmarkStart w:id="154" w:name="_Toc150774622"/>
      <w:r/>
      <w:bookmarkStart w:id="155" w:name="_Toc305158790"/>
      <w:r/>
      <w:bookmarkStart w:id="156" w:name="_Toc151193620"/>
      <w:r/>
      <w:bookmarkStart w:id="157" w:name="_Toc520356146"/>
      <w:r/>
      <w:bookmarkStart w:id="158" w:name="_Toc226309766"/>
      <w:r/>
      <w:bookmarkStart w:id="159" w:name="_Toc265228360"/>
      <w:r/>
      <w:bookmarkStart w:id="160" w:name="_Toc151193764"/>
      <w:r/>
      <w:bookmarkStart w:id="161" w:name="_Toc151190149"/>
      <w:r/>
      <w:bookmarkStart w:id="162" w:name="_Toc150480760"/>
      <w:r/>
      <w:bookmarkStart w:id="163" w:name="_Toc151193692"/>
      <w:r/>
      <w:bookmarkStart w:id="164" w:name="_Toc150509273"/>
      <w:r/>
      <w:bookmarkStart w:id="165" w:name="_Toc127151522"/>
      <w:r/>
      <w:r/>
    </w:p>
    <w:p>
      <w:pPr>
        <w:numPr>
          <w:ilvl w:val="1"/>
          <w:numId w:val="10"/>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s>
        <w:rPr>
          <w:sz w:val="24"/>
        </w:rPr>
        <w:outlineLvl w:val="1"/>
      </w:pPr>
      <w:r>
        <w:rPr>
          <w:sz w:val="24"/>
        </w:rPr>
        <w:t xml:space="preserve">样品</w:t>
      </w:r>
      <w:r/>
    </w:p>
    <w:p>
      <w:pPr>
        <w:numPr>
          <w:ilvl w:val="1"/>
          <w:numId w:val="10"/>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0"/>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10"/>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10"/>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10"/>
        </w:numPr>
        <w:spacing w:line="360" w:lineRule="auto"/>
        <w:rPr>
          <w:sz w:val="24"/>
        </w:rPr>
      </w:pPr>
      <w:r>
        <w:rPr>
          <w:sz w:val="24"/>
        </w:rPr>
        <w:t xml:space="preserve">中小企业定义：</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（2）在工程采购项目中，工程由中小企业承建，即工程施工单位为中小企业；</w:t>
      </w:r>
      <w:r/>
    </w:p>
    <w:p>
      <w:pPr>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numPr>
          <w:ilvl w:val="2"/>
          <w:numId w:val="10"/>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spacing w:line="360" w:lineRule="auto"/>
        <w:rPr>
          <w:sz w:val="24"/>
        </w:rPr>
      </w:pPr>
      <w:r>
        <w:rPr>
          <w:sz w:val="24"/>
        </w:rPr>
        <w:t xml:space="preserve">残疾人福利单位定义：享受政府采购支持政策的残疾人福利性单位应当同时满足以下条件：</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0"/>
        </w:numPr>
        <w:spacing w:line="360" w:lineRule="auto"/>
        <w:rPr>
          <w:sz w:val="24"/>
        </w:rPr>
      </w:pPr>
      <w:r>
        <w:rPr>
          <w:sz w:val="24"/>
        </w:rPr>
        <w:t xml:space="preserve">本项目是否专门面向中小企业预留采购份额见第一章《投标邀请》。</w:t>
      </w:r>
      <w:r/>
    </w:p>
    <w:p>
      <w:pPr>
        <w:numPr>
          <w:ilvl w:val="2"/>
          <w:numId w:val="10"/>
        </w:numPr>
        <w:spacing w:line="360" w:lineRule="auto"/>
        <w:rPr>
          <w:sz w:val="24"/>
        </w:rPr>
      </w:pPr>
      <w:r>
        <w:rPr>
          <w:sz w:val="24"/>
        </w:rPr>
        <w:t xml:space="preserve">采购标的对应的中小企业划分标准所属行业见《投标人须知资料表》。</w:t>
      </w:r>
      <w:r/>
    </w:p>
    <w:p>
      <w:pPr>
        <w:numPr>
          <w:ilvl w:val="2"/>
          <w:numId w:val="10"/>
        </w:numPr>
        <w:spacing w:line="360" w:lineRule="auto"/>
        <w:rPr>
          <w:sz w:val="24"/>
        </w:rPr>
      </w:pPr>
      <w:r>
        <w:rPr>
          <w:sz w:val="24"/>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10"/>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spacing w:line="360" w:lineRule="auto"/>
        <w:rPr>
          <w:sz w:val="24"/>
        </w:rPr>
      </w:pPr>
      <w:r>
        <w:rPr>
          <w:sz w:val="24"/>
        </w:rPr>
        <w:t xml:space="preserve">招标人拟采购的产品属于品目清单范围的，招标人及其委托的招标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numPr>
          <w:ilvl w:val="2"/>
          <w:numId w:val="10"/>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0"/>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0"/>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numPr>
          <w:ilvl w:val="1"/>
          <w:numId w:val="10"/>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10"/>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0"/>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10"/>
        </w:numPr>
        <w:spacing w:line="360" w:lineRule="auto"/>
        <w:rPr>
          <w:sz w:val="24"/>
        </w:rPr>
      </w:pPr>
      <w:r>
        <w:rPr>
          <w:sz w:val="24"/>
        </w:rPr>
        <w:t xml:space="preserve">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hint="eastAsia"/>
          <w:sz w:val="24"/>
        </w:rPr>
        <w:t xml:space="preserve">“</w:t>
      </w:r>
      <w:r>
        <w:rPr>
          <w:sz w:val="24"/>
        </w:rPr>
        <w:t xml:space="preserve">无线局域网认证产品政府采购清单</w:t>
      </w:r>
      <w:r>
        <w:rPr>
          <w:rFonts w:hint="eastAsia"/>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0"/>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10"/>
        </w:numPr>
        <w:spacing w:line="360" w:lineRule="auto"/>
        <w:tabs>
          <w:tab w:val="left" w:pos="2014" w:leader="none"/>
        </w:tabs>
        <w:rPr>
          <w:sz w:val="24"/>
        </w:rPr>
      </w:pPr>
      <w:r>
        <w:rPr>
          <w:rFonts w:hint="eastAsia"/>
          <w:sz w:val="24"/>
        </w:rPr>
        <w:t xml:space="preserve">招标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0"/>
        </w:numPr>
        <w:ind w:left="1080" w:hanging="720"/>
        <w:spacing w:line="360" w:lineRule="auto"/>
        <w:tabs>
          <w:tab w:val="left" w:pos="1080" w:leader="none"/>
          <w:tab w:val="left" w:pos="2014" w:leader="none"/>
        </w:tabs>
        <w:rPr>
          <w:sz w:val="24"/>
        </w:rPr>
      </w:pPr>
      <w:r>
        <w:rPr>
          <w:rFonts w:hint="eastAsia"/>
          <w:sz w:val="24"/>
        </w:rPr>
        <w:t xml:space="preserve">绿色采购政策</w:t>
      </w:r>
      <w:r/>
    </w:p>
    <w:p>
      <w:pPr>
        <w:ind w:left="1080"/>
        <w:spacing w:line="360" w:lineRule="auto"/>
        <w:tabs>
          <w:tab w:val="left" w:pos="2014" w:leader="none"/>
        </w:tabs>
        <w:rPr>
          <w:b/>
          <w:sz w:val="24"/>
        </w:rPr>
      </w:pPr>
      <w:r>
        <w:rPr>
          <w:rFonts w:hint="eastAsia"/>
          <w:sz w:val="24"/>
        </w:rPr>
        <w:t xml:space="preserve">5</w:t>
      </w:r>
      <w:r>
        <w:rPr>
          <w:sz w:val="24"/>
        </w:rPr>
        <w:t xml:space="preserve">.</w:t>
      </w:r>
      <w:r>
        <w:rPr>
          <w:rFonts w:hint="eastAsia"/>
          <w:sz w:val="24"/>
        </w:rPr>
        <w:t xml:space="preserve">7</w:t>
      </w:r>
      <w:r>
        <w:rPr>
          <w:sz w:val="24"/>
        </w:rPr>
        <w:t xml:space="preserve">.1   </w:t>
      </w:r>
      <w:r>
        <w:rPr>
          <w:b/>
          <w:sz w:val="24"/>
        </w:rPr>
        <w:t xml:space="preserve">绿色数据中心政策</w:t>
      </w:r>
      <w:r/>
    </w:p>
    <w:p>
      <w:pPr>
        <w:ind w:left="1080"/>
        <w:spacing w:line="360" w:lineRule="auto"/>
        <w:tabs>
          <w:tab w:val="left" w:pos="2014" w:leader="none"/>
        </w:tabs>
        <w:rPr>
          <w:sz w:val="24"/>
        </w:rPr>
      </w:pPr>
      <w:r>
        <w:rPr>
          <w:sz w:val="24"/>
        </w:rPr>
        <w:t xml:space="preserve">依据《绿色数据中心政府采购需求标准（试行）》（财办库〔2023〕7 号）文件精神，</w:t>
      </w:r>
      <w:r>
        <w:rPr>
          <w:rFonts w:hint="eastAsia"/>
          <w:sz w:val="24"/>
        </w:rPr>
        <w:t xml:space="preserve">招标人</w:t>
      </w:r>
      <w:r>
        <w:rPr>
          <w:sz w:val="24"/>
        </w:rPr>
        <w:t xml:space="preserve">在采购数据中心相关设备、运维服务，应当有利于节约能源、环境保护和资源循环利用，按照《需求标准》实施相关采购活动。</w:t>
      </w:r>
      <w:r>
        <w:rPr>
          <w:rFonts w:hint="eastAsia"/>
          <w:sz w:val="24"/>
        </w:rPr>
        <w:t xml:space="preserve">招标人</w:t>
      </w:r>
      <w:r>
        <w:rPr>
          <w:sz w:val="24"/>
        </w:rPr>
        <w:t xml:space="preserve">应当加强采购需求管理，根据《需求标准》提出的指标编制数据中心相关设备、运维服务政府采购项目的采购文件，并在合同中明确对相关指标的验收方式和违约责任。</w:t>
      </w:r>
      <w:r>
        <w:rPr>
          <w:rFonts w:hint="eastAsia"/>
          <w:sz w:val="24"/>
        </w:rPr>
        <w:t xml:space="preserve">招标人</w:t>
      </w:r>
      <w:r>
        <w:rPr>
          <w:sz w:val="24"/>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.2   推广应用绿色建材</w:t>
      </w:r>
      <w:r/>
    </w:p>
    <w:p>
      <w:pPr>
        <w:ind w:left="1080"/>
        <w:spacing w:line="360" w:lineRule="auto"/>
        <w:tabs>
          <w:tab w:val="left" w:pos="2014" w:leader="none"/>
        </w:tabs>
        <w:rPr>
          <w:sz w:val="24"/>
        </w:rPr>
      </w:pPr>
      <w:r>
        <w:rPr>
          <w:rFonts w:hint="eastAsia"/>
          <w:sz w:val="24"/>
        </w:rPr>
        <w:t xml:space="preserve">招标人</w:t>
      </w:r>
      <w:r>
        <w:rPr>
          <w:sz w:val="24"/>
        </w:rPr>
        <w:t xml:space="preserve">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sz w:val="24"/>
        </w:rPr>
        <w:t xml:space="preserve">，</w:t>
      </w:r>
      <w:r>
        <w:rPr>
          <w:sz w:val="24"/>
        </w:rPr>
        <w:t xml:space="preserve">依据相关需求标准确定采购需求，在采购文件和采购合同中载明具体需求、履约验收条款和违约责任。</w:t>
      </w:r>
      <w:r/>
    </w:p>
    <w:p>
      <w:pPr>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.3   优先使用低挥发性有机化合物产品</w:t>
      </w:r>
      <w:r/>
    </w:p>
    <w:p>
      <w:pPr>
        <w:ind w:left="1080"/>
        <w:spacing w:line="360" w:lineRule="auto"/>
        <w:tabs>
          <w:tab w:val="left" w:pos="2014" w:leader="none"/>
        </w:tabs>
        <w:rPr>
          <w:sz w:val="24"/>
        </w:rPr>
      </w:pPr>
      <w:r>
        <w:rPr>
          <w:rFonts w:hint="eastAsia"/>
          <w:sz w:val="24"/>
        </w:rPr>
        <w:t xml:space="preserve">招标人</w:t>
      </w:r>
      <w:r>
        <w:rPr>
          <w:sz w:val="24"/>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1"/>
          <w:numId w:val="10"/>
        </w:numPr>
        <w:ind w:left="1080" w:hanging="720"/>
        <w:spacing w:line="360" w:lineRule="auto"/>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采购本国产品的支持政策</w:t>
      </w:r>
      <w:r/>
    </w:p>
    <w:p>
      <w:pPr>
        <w:ind w:left="1080"/>
        <w:spacing w:line="360" w:lineRule="auto"/>
        <w:tabs>
          <w:tab w:val="left" w:pos="2014" w:leader="none"/>
        </w:tabs>
        <w:rPr>
          <w:sz w:val="24"/>
        </w:rPr>
      </w:pPr>
      <w:r>
        <w:rPr>
          <w:rFonts w:hint="eastAsia" w:ascii="Times New Roman" w:hAnsi="Times New Roman" w:eastAsia="宋体" w:cs="Times New Roman"/>
          <w:b/>
          <w:bCs/>
          <w:sz w:val="24"/>
          <w:szCs w:val="24"/>
          <w:lang w:val="en-US" w:eastAsia="zh-CN" w:bidi="ar-SA"/>
        </w:rPr>
        <w:t xml:space="preserve">根据《国务院办公厅关于在政府采购中实施本国产品标准及相关政策的通知》（国办发〔2025〕34号）文件要求，在政府采购中实施本国产品标准及相关支持政策。</w:t>
      </w:r>
      <w:r/>
    </w:p>
    <w:p>
      <w:pPr>
        <w:numPr>
          <w:ilvl w:val="0"/>
          <w:numId w:val="10"/>
        </w:numPr>
        <w:ind w:left="357" w:hanging="357"/>
        <w:spacing w:line="360" w:lineRule="auto"/>
        <w:tabs>
          <w:tab w:val="left" w:pos="360" w:leader="none"/>
        </w:tabs>
        <w:rPr>
          <w:sz w:val="24"/>
        </w:rPr>
        <w:outlineLvl w:val="1"/>
      </w:pPr>
      <w:r>
        <w:rPr>
          <w:sz w:val="24"/>
        </w:rPr>
        <w:t xml:space="preserve">投标费用</w:t>
      </w:r>
      <w:r/>
    </w:p>
    <w:p>
      <w:pPr>
        <w:numPr>
          <w:ilvl w:val="1"/>
          <w:numId w:val="10"/>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投标人应自行承担所有与准备和参加投标有关的费用，无论投标的结果如何，招标人或招标代理机构在任何情况下均无承担这些费用的义务和责任。</w:t>
      </w:r>
      <w:r/>
    </w:p>
    <w:p>
      <w:pPr>
        <w:pStyle w:val="1024"/>
        <w:spacing w:before="0" w:line="360" w:lineRule="auto"/>
        <w:rPr>
          <w:rFonts w:ascii="Times New Roman" w:hAnsi="Times New Roman" w:eastAsia="宋体"/>
          <w:sz w:val="28"/>
        </w:rPr>
      </w:pPr>
      <w:r/>
      <w:bookmarkStart w:id="166" w:name="_1.8_计量单位"/>
      <w:r/>
      <w:bookmarkEnd w:id="166"/>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10"/>
        </w:numPr>
        <w:ind w:left="357" w:hanging="357"/>
        <w:spacing w:line="360" w:lineRule="auto"/>
        <w:tabs>
          <w:tab w:val="left" w:pos="360" w:leader="none"/>
        </w:tabs>
        <w:rPr>
          <w:sz w:val="24"/>
        </w:rPr>
        <w:outlineLvl w:val="1"/>
      </w:pPr>
      <w:r/>
      <w:bookmarkStart w:id="167" w:name="_Toc226965713"/>
      <w:r/>
      <w:bookmarkStart w:id="168" w:name="_Toc127161437"/>
      <w:r/>
      <w:bookmarkStart w:id="169" w:name="_Toc520356147"/>
      <w:r/>
      <w:bookmarkStart w:id="170" w:name="_Toc151193765"/>
      <w:r/>
      <w:bookmarkStart w:id="171" w:name="_Toc150774623"/>
      <w:r/>
      <w:bookmarkStart w:id="172" w:name="_Toc151193911"/>
      <w:r/>
      <w:bookmarkStart w:id="173" w:name="_Toc264969213"/>
      <w:r/>
      <w:bookmarkStart w:id="174" w:name="_Toc151190150"/>
      <w:r/>
      <w:bookmarkStart w:id="175" w:name="_Toc164351617"/>
      <w:r/>
      <w:bookmarkStart w:id="176" w:name="_Toc164608637"/>
      <w:r/>
      <w:bookmarkStart w:id="177" w:name="_Toc150509274"/>
      <w:r/>
      <w:bookmarkStart w:id="178" w:name="_Toc195842888"/>
      <w:r/>
      <w:bookmarkStart w:id="179" w:name="_Toc127151523"/>
      <w:r/>
      <w:bookmarkStart w:id="180" w:name="_Toc305158865"/>
      <w:r/>
      <w:bookmarkStart w:id="181" w:name="_Toc164229364"/>
      <w:r/>
      <w:bookmarkStart w:id="182" w:name="_Toc150774728"/>
      <w:r/>
      <w:bookmarkStart w:id="183" w:name="_Toc127151724"/>
      <w:r/>
      <w:bookmarkStart w:id="184" w:name="_Toc150480761"/>
      <w:r/>
      <w:bookmarkStart w:id="185" w:name="_Toc151193693"/>
      <w:r/>
      <w:bookmarkStart w:id="186" w:name="_Toc164608792"/>
      <w:r/>
      <w:bookmarkStart w:id="187" w:name="_Toc226309767"/>
      <w:r/>
      <w:bookmarkStart w:id="188" w:name="_Toc265228361"/>
      <w:r/>
      <w:bookmarkStart w:id="189" w:name="_Toc226337219"/>
      <w:r/>
      <w:bookmarkStart w:id="190" w:name="_Toc305158791"/>
      <w:r/>
      <w:bookmarkStart w:id="191" w:name="_Toc149720816"/>
      <w:r/>
      <w:bookmarkStart w:id="192" w:name="_Toc164229218"/>
      <w:r/>
      <w:bookmarkStart w:id="193" w:name="_Toc151193621"/>
      <w:r/>
      <w:bookmarkStart w:id="194" w:name="_Toc226965796"/>
      <w:r/>
      <w:bookmarkStart w:id="195" w:name="_Toc142311025"/>
      <w:r/>
      <w:bookmarkStart w:id="196" w:name="_Toc151193837"/>
      <w:r>
        <w:rPr>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rPr>
        <w:t xml:space="preserve">成</w:t>
      </w:r>
      <w:r/>
    </w:p>
    <w:p>
      <w:pPr>
        <w:numPr>
          <w:ilvl w:val="1"/>
          <w:numId w:val="10"/>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2"/>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12"/>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2"/>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2"/>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2"/>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2"/>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12"/>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10"/>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0"/>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10"/>
        </w:numPr>
        <w:ind w:left="1080" w:hanging="720"/>
        <w:spacing w:line="360" w:lineRule="auto"/>
        <w:tabs>
          <w:tab w:val="left" w:pos="1080" w:leader="none"/>
          <w:tab w:val="left" w:pos="1561" w:leader="none"/>
          <w:tab w:val="left" w:pos="2014" w:leader="none"/>
        </w:tabs>
        <w:rPr>
          <w:sz w:val="24"/>
        </w:rPr>
      </w:pPr>
      <w:r>
        <w:rPr>
          <w:sz w:val="24"/>
        </w:rPr>
        <w:t xml:space="preserve">招标人或招标代理机构对已发出的招标文件进行必要澄清或者修改的，将在原公告发布媒体上以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0"/>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97" w:name="_Toc516367020"/>
      <w:r/>
      <w:bookmarkStart w:id="198" w:name="_Toc264969216"/>
      <w:r/>
      <w:bookmarkStart w:id="199" w:name="_Toc151193840"/>
      <w:r/>
      <w:bookmarkStart w:id="200" w:name="_Toc520356150"/>
      <w:r/>
      <w:bookmarkStart w:id="201" w:name="_Toc151193914"/>
      <w:r/>
      <w:bookmarkStart w:id="202" w:name="_Toc127151526"/>
      <w:r/>
      <w:bookmarkStart w:id="203" w:name="_Toc226309770"/>
      <w:r/>
      <w:bookmarkStart w:id="204" w:name="_Toc151193696"/>
      <w:r/>
      <w:bookmarkStart w:id="205" w:name="_Toc305158794"/>
      <w:r/>
      <w:bookmarkStart w:id="206" w:name="_Toc226965716"/>
      <w:r/>
      <w:bookmarkStart w:id="207" w:name="_Toc151193768"/>
      <w:r/>
      <w:bookmarkStart w:id="208" w:name="_Toc226965799"/>
      <w:r/>
      <w:bookmarkStart w:id="209" w:name="_Toc150480764"/>
      <w:r/>
      <w:bookmarkStart w:id="210" w:name="_Toc151193624"/>
      <w:r/>
      <w:bookmarkStart w:id="211" w:name="_Toc226337222"/>
      <w:r/>
      <w:bookmarkStart w:id="212" w:name="_Toc265228364"/>
      <w:r/>
      <w:bookmarkStart w:id="213" w:name="_Toc150509277"/>
      <w:r/>
      <w:bookmarkStart w:id="214" w:name="_Toc305158868"/>
      <w:r/>
      <w:bookmarkStart w:id="215" w:name="_Toc150774626"/>
      <w:r/>
      <w:bookmarkStart w:id="216" w:name="_Toc142311028"/>
      <w:r/>
      <w:bookmarkStart w:id="217" w:name="_Toc150774731"/>
      <w:r/>
      <w:bookmarkStart w:id="218" w:name="_Toc195842891"/>
      <w:r/>
      <w:bookmarkStart w:id="219" w:name="_Toc151190153"/>
      <w:r/>
      <w:r/>
    </w:p>
    <w:p>
      <w:pPr>
        <w:pStyle w:val="1024"/>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7"/>
      <w:r>
        <w:rPr>
          <w:rFonts w:ascii="Times New Roman" w:hAnsi="Times New Roman" w:eastAsia="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10"/>
        </w:numPr>
        <w:ind w:left="357" w:hanging="357"/>
        <w:spacing w:line="360" w:lineRule="auto"/>
        <w:tabs>
          <w:tab w:val="left" w:pos="360" w:leader="none"/>
        </w:tabs>
        <w:rPr>
          <w:sz w:val="24"/>
        </w:rPr>
        <w:outlineLvl w:val="1"/>
      </w:pPr>
      <w:r/>
      <w:bookmarkStart w:id="220" w:name="_Toc127151728"/>
      <w:r/>
      <w:bookmarkStart w:id="221" w:name="_Toc151193697"/>
      <w:r/>
      <w:bookmarkStart w:id="222" w:name="_Toc127151527"/>
      <w:r/>
      <w:bookmarkStart w:id="223" w:name="_Toc151193915"/>
      <w:r/>
      <w:bookmarkStart w:id="224" w:name="_Toc305158795"/>
      <w:r/>
      <w:bookmarkStart w:id="225" w:name="_Toc151193769"/>
      <w:r/>
      <w:bookmarkStart w:id="226" w:name="_Toc305158869"/>
      <w:r/>
      <w:bookmarkStart w:id="227" w:name="_Toc226337223"/>
      <w:r/>
      <w:bookmarkStart w:id="228" w:name="_Toc226965717"/>
      <w:r/>
      <w:bookmarkStart w:id="229" w:name="_Toc164229222"/>
      <w:r/>
      <w:bookmarkStart w:id="230" w:name="_Toc150774627"/>
      <w:r/>
      <w:bookmarkStart w:id="231" w:name="_Toc164351621"/>
      <w:r/>
      <w:bookmarkStart w:id="232" w:name="_Toc195842892"/>
      <w:r/>
      <w:bookmarkStart w:id="233" w:name="_Toc164229368"/>
      <w:r/>
      <w:bookmarkStart w:id="234" w:name="_Toc150774732"/>
      <w:r/>
      <w:bookmarkStart w:id="235" w:name="_Toc520356151"/>
      <w:r/>
      <w:bookmarkStart w:id="236" w:name="_Toc164608796"/>
      <w:r/>
      <w:bookmarkStart w:id="237" w:name="_Toc164608641"/>
      <w:r/>
      <w:bookmarkStart w:id="238" w:name="_Toc149720820"/>
      <w:r/>
      <w:bookmarkStart w:id="239" w:name="_Toc226309771"/>
      <w:r/>
      <w:bookmarkStart w:id="240" w:name="_Toc151190154"/>
      <w:r/>
      <w:bookmarkStart w:id="241" w:name="_Toc151193625"/>
      <w:r/>
      <w:bookmarkStart w:id="242" w:name="_Toc150509278"/>
      <w:r/>
      <w:bookmarkStart w:id="243" w:name="_Toc151193841"/>
      <w:r/>
      <w:bookmarkStart w:id="244" w:name="_Toc127161441"/>
      <w:r/>
      <w:bookmarkStart w:id="245" w:name="_Toc265228365"/>
      <w:r/>
      <w:bookmarkStart w:id="246" w:name="_Toc516367021"/>
      <w:r/>
      <w:bookmarkStart w:id="247" w:name="_Toc150480765"/>
      <w:r/>
      <w:bookmarkStart w:id="248" w:name="_Toc142311029"/>
      <w:r/>
      <w:bookmarkStart w:id="249" w:name="_Toc264969217"/>
      <w:r/>
      <w:bookmarkStart w:id="250" w:name="_Toc226965800"/>
      <w:r>
        <w:rPr>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rPr>
        <w:t xml:space="preserve">及投标语言</w:t>
      </w:r>
      <w:r/>
    </w:p>
    <w:p>
      <w:pPr>
        <w:numPr>
          <w:ilvl w:val="1"/>
          <w:numId w:val="10"/>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0"/>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s>
        <w:rPr>
          <w:sz w:val="24"/>
        </w:rPr>
        <w:outlineLvl w:val="1"/>
      </w:pPr>
      <w:r/>
      <w:bookmarkStart w:id="251" w:name="_Ref467306195"/>
      <w:r/>
      <w:bookmarkStart w:id="252" w:name="_Toc516367022"/>
      <w:r/>
      <w:bookmarkStart w:id="253" w:name="_Ref467306676"/>
      <w:r/>
      <w:bookmarkStart w:id="254" w:name="_Toc164608642"/>
      <w:r/>
      <w:bookmarkStart w:id="255" w:name="_Toc151190155"/>
      <w:r/>
      <w:bookmarkStart w:id="256" w:name="_Toc226337224"/>
      <w:r/>
      <w:bookmarkStart w:id="257" w:name="_Toc150774733"/>
      <w:r/>
      <w:bookmarkStart w:id="258" w:name="_Toc151193626"/>
      <w:r/>
      <w:bookmarkStart w:id="259" w:name="_Toc265228366"/>
      <w:r/>
      <w:bookmarkStart w:id="260" w:name="_Toc226309772"/>
      <w:r/>
      <w:bookmarkStart w:id="261" w:name="_Toc226965801"/>
      <w:r/>
      <w:bookmarkStart w:id="262" w:name="_Toc520356152"/>
      <w:r/>
      <w:bookmarkStart w:id="263" w:name="_Toc151193842"/>
      <w:r/>
      <w:bookmarkStart w:id="264" w:name="_Toc150480766"/>
      <w:r/>
      <w:bookmarkStart w:id="265" w:name="_Toc151193916"/>
      <w:r/>
      <w:bookmarkStart w:id="266" w:name="_Toc150509279"/>
      <w:r/>
      <w:bookmarkStart w:id="267" w:name="_Toc164351622"/>
      <w:r/>
      <w:bookmarkStart w:id="268" w:name="_Toc305158796"/>
      <w:r/>
      <w:bookmarkStart w:id="269" w:name="_Toc195842893"/>
      <w:r/>
      <w:bookmarkStart w:id="270" w:name="_Toc127161442"/>
      <w:r/>
      <w:bookmarkStart w:id="271" w:name="_Toc127151729"/>
      <w:r/>
      <w:bookmarkStart w:id="272" w:name="_Toc226965718"/>
      <w:r/>
      <w:bookmarkStart w:id="273" w:name="_Toc164229369"/>
      <w:r/>
      <w:bookmarkStart w:id="274" w:name="_Toc305158870"/>
      <w:r/>
      <w:bookmarkStart w:id="275" w:name="_Toc151193770"/>
      <w:r/>
      <w:bookmarkStart w:id="276" w:name="_Toc142311030"/>
      <w:r/>
      <w:bookmarkStart w:id="277" w:name="_Toc264969218"/>
      <w:r/>
      <w:bookmarkStart w:id="278" w:name="_Toc127151528"/>
      <w:r/>
      <w:bookmarkStart w:id="279" w:name="_Toc149720821"/>
      <w:r/>
      <w:bookmarkStart w:id="280" w:name="_Toc150774628"/>
      <w:r/>
      <w:bookmarkStart w:id="281" w:name="_Toc164608797"/>
      <w:r/>
      <w:bookmarkStart w:id="282" w:name="_Toc151193698"/>
      <w:r/>
      <w:bookmarkStart w:id="283" w:name="_Toc164229223"/>
      <w:r>
        <w:rPr>
          <w:sz w:val="24"/>
        </w:rPr>
        <w:t xml:space="preserve">投标文件</w:t>
      </w:r>
      <w:bookmarkEnd w:id="251"/>
      <w:r/>
      <w:bookmarkEnd w:id="252"/>
      <w:r/>
      <w:bookmarkEnd w:id="253"/>
      <w:r>
        <w:rPr>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10"/>
        </w:numPr>
        <w:ind w:left="1077" w:hanging="720"/>
        <w:spacing w:line="360" w:lineRule="auto"/>
        <w:tabs>
          <w:tab w:val="left" w:pos="1080" w:leader="none"/>
          <w:tab w:val="left" w:pos="2014" w:leader="none"/>
        </w:tabs>
        <w:rPr>
          <w:sz w:val="24"/>
        </w:rPr>
      </w:pPr>
      <w:r/>
      <w:bookmarkStart w:id="284"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2014" w:leader="none"/>
        </w:tabs>
        <w:rPr>
          <w:sz w:val="24"/>
        </w:rPr>
      </w:pP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p>
    <w:p>
      <w:pPr>
        <w:numPr>
          <w:ilvl w:val="1"/>
          <w:numId w:val="10"/>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10"/>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2014" w:leader="none"/>
        </w:tabs>
        <w:rPr>
          <w:sz w:val="24"/>
        </w:rPr>
      </w:pPr>
      <w:r>
        <w:rPr>
          <w:sz w:val="24"/>
        </w:rPr>
        <w:t xml:space="preserve">投标人认为应附的其他材料。</w:t>
      </w:r>
      <w:bookmarkEnd w:id="284"/>
      <w:r/>
      <w:r/>
    </w:p>
    <w:p>
      <w:pPr>
        <w:numPr>
          <w:ilvl w:val="0"/>
          <w:numId w:val="10"/>
        </w:numPr>
        <w:ind w:left="357" w:hanging="357"/>
        <w:spacing w:line="360" w:lineRule="auto"/>
        <w:tabs>
          <w:tab w:val="left" w:pos="360" w:leader="none"/>
        </w:tabs>
        <w:rPr>
          <w:sz w:val="24"/>
        </w:rPr>
        <w:outlineLvl w:val="1"/>
      </w:pPr>
      <w:r/>
      <w:bookmarkStart w:id="285" w:name="_Toc150774735"/>
      <w:r/>
      <w:bookmarkStart w:id="286" w:name="_Toc164608799"/>
      <w:r/>
      <w:bookmarkStart w:id="287" w:name="_Toc151193628"/>
      <w:r/>
      <w:bookmarkStart w:id="288" w:name="_Toc149720823"/>
      <w:r/>
      <w:bookmarkStart w:id="289" w:name="_Toc195842895"/>
      <w:r/>
      <w:bookmarkStart w:id="290" w:name="_Toc164229371"/>
      <w:r/>
      <w:bookmarkStart w:id="291" w:name="_Toc164608644"/>
      <w:r/>
      <w:bookmarkStart w:id="292" w:name="_Toc164351624"/>
      <w:r/>
      <w:bookmarkStart w:id="293" w:name="_Toc150774630"/>
      <w:r/>
      <w:bookmarkStart w:id="294" w:name="_Toc151193772"/>
      <w:r/>
      <w:bookmarkStart w:id="295" w:name="_Toc164229225"/>
      <w:r/>
      <w:bookmarkStart w:id="296" w:name="_Toc151193918"/>
      <w:r/>
      <w:bookmarkStart w:id="297" w:name="_Toc150509281"/>
      <w:r/>
      <w:bookmarkStart w:id="298" w:name="_Toc151193700"/>
      <w:r/>
      <w:bookmarkStart w:id="299" w:name="_Toc142311032"/>
      <w:r/>
      <w:bookmarkStart w:id="300" w:name="_Toc127151530"/>
      <w:r/>
      <w:bookmarkStart w:id="301" w:name="_Toc520356155"/>
      <w:r/>
      <w:bookmarkStart w:id="302" w:name="_Toc151193844"/>
      <w:r/>
      <w:bookmarkStart w:id="303" w:name="_Toc127161444"/>
      <w:r/>
      <w:bookmarkStart w:id="304" w:name="_Toc150480768"/>
      <w:r/>
      <w:bookmarkStart w:id="305" w:name="_Toc127151731"/>
      <w:r/>
      <w:bookmarkStart w:id="306" w:name="_Toc151190157"/>
      <w:r>
        <w:rPr>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10"/>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10"/>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0"/>
        </w:numPr>
        <w:spacing w:line="360" w:lineRule="auto"/>
        <w:rPr>
          <w:sz w:val="24"/>
        </w:rPr>
      </w:pPr>
      <w:r>
        <w:rPr>
          <w:rFonts w:hint="eastAsia"/>
          <w:sz w:val="24"/>
        </w:rPr>
        <w:t xml:space="preserve">报价包括招标文件所确定的招标范围内的全部服务的报价，应包括为完成本项目所需要的全部费用以及投标人企业利润、税金和政策性文件规定及合同包含的所有风险、责任等各项应有费用。</w:t>
      </w:r>
      <w:r/>
    </w:p>
    <w:p>
      <w:pPr>
        <w:numPr>
          <w:ilvl w:val="2"/>
          <w:numId w:val="10"/>
        </w:numPr>
        <w:spacing w:line="360" w:lineRule="auto"/>
        <w:rPr>
          <w:sz w:val="24"/>
        </w:rPr>
      </w:pPr>
      <w:r>
        <w:rPr>
          <w:sz w:val="24"/>
        </w:rPr>
        <w:t xml:space="preserve">按照招标文件要求完成本项目的全部相关服务费用。</w:t>
      </w:r>
      <w:r/>
    </w:p>
    <w:p>
      <w:pPr>
        <w:numPr>
          <w:ilvl w:val="1"/>
          <w:numId w:val="10"/>
        </w:numPr>
        <w:ind w:left="1077" w:hanging="720"/>
        <w:spacing w:line="360" w:lineRule="auto"/>
        <w:tabs>
          <w:tab w:val="left" w:pos="1080" w:leader="none"/>
          <w:tab w:val="left" w:pos="2014" w:leader="none"/>
        </w:tabs>
        <w:rPr>
          <w:sz w:val="24"/>
        </w:rPr>
      </w:pPr>
      <w:r>
        <w:rPr>
          <w:sz w:val="24"/>
        </w:rPr>
        <w:t xml:space="preserve">招标人不得向</w:t>
      </w:r>
      <w:r>
        <w:rPr>
          <w:rFonts w:hint="eastAsia"/>
          <w:sz w:val="24"/>
        </w:rPr>
        <w:t xml:space="preserve">投标人</w:t>
      </w:r>
      <w:r>
        <w:rPr>
          <w:sz w:val="24"/>
        </w:rPr>
        <w:t xml:space="preserve">索要或者接受其给予的赠品、回扣或者与采购无关的其他商品、服务。</w:t>
      </w:r>
      <w:r/>
    </w:p>
    <w:p>
      <w:pPr>
        <w:numPr>
          <w:ilvl w:val="1"/>
          <w:numId w:val="10"/>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0"/>
        </w:numPr>
        <w:ind w:left="357" w:hanging="357"/>
        <w:spacing w:line="360" w:lineRule="auto"/>
        <w:tabs>
          <w:tab w:val="left" w:pos="360" w:leader="none"/>
        </w:tabs>
        <w:rPr>
          <w:sz w:val="24"/>
        </w:rPr>
        <w:outlineLvl w:val="1"/>
      </w:pPr>
      <w:r/>
      <w:bookmarkStart w:id="307" w:name="_Toc150774631"/>
      <w:r/>
      <w:bookmarkStart w:id="308" w:name="_Toc127151531"/>
      <w:r/>
      <w:bookmarkStart w:id="309" w:name="_Toc265228369"/>
      <w:r/>
      <w:bookmarkStart w:id="310" w:name="_Toc264969221"/>
      <w:r/>
      <w:bookmarkStart w:id="311" w:name="_Toc151193845"/>
      <w:r/>
      <w:bookmarkStart w:id="312" w:name="_Toc164608645"/>
      <w:r/>
      <w:bookmarkStart w:id="313" w:name="_Toc151193701"/>
      <w:r/>
      <w:bookmarkStart w:id="314" w:name="_Toc150480769"/>
      <w:r/>
      <w:bookmarkStart w:id="315" w:name="_Toc226965804"/>
      <w:r/>
      <w:bookmarkStart w:id="316" w:name="_Toc151193629"/>
      <w:r/>
      <w:bookmarkStart w:id="317" w:name="_Toc164229372"/>
      <w:r/>
      <w:bookmarkStart w:id="318" w:name="_Toc305158799"/>
      <w:r/>
      <w:bookmarkStart w:id="319" w:name="_Toc150509282"/>
      <w:r/>
      <w:bookmarkStart w:id="320" w:name="_Toc142311033"/>
      <w:r/>
      <w:bookmarkStart w:id="321" w:name="_Toc195842896"/>
      <w:r/>
      <w:bookmarkStart w:id="322" w:name="_Toc226965721"/>
      <w:r/>
      <w:bookmarkStart w:id="323" w:name="_Toc127161445"/>
      <w:r/>
      <w:bookmarkStart w:id="324" w:name="_Ref467306513"/>
      <w:r/>
      <w:bookmarkStart w:id="325" w:name="_Toc164351625"/>
      <w:r/>
      <w:bookmarkStart w:id="326" w:name="_Toc149720824"/>
      <w:r/>
      <w:bookmarkStart w:id="327" w:name="_Toc226337227"/>
      <w:r/>
      <w:bookmarkStart w:id="328" w:name="_Toc151190158"/>
      <w:r/>
      <w:bookmarkStart w:id="329" w:name="_Toc305158873"/>
      <w:r/>
      <w:bookmarkStart w:id="330" w:name="_Toc520356156"/>
      <w:r/>
      <w:bookmarkStart w:id="331" w:name="_Toc151193773"/>
      <w:r/>
      <w:bookmarkStart w:id="332" w:name="_Toc164229226"/>
      <w:r/>
      <w:bookmarkStart w:id="333" w:name="_Toc150774736"/>
      <w:r/>
      <w:bookmarkStart w:id="334" w:name="_Toc226309775"/>
      <w:r/>
      <w:bookmarkStart w:id="335" w:name="_Toc151193919"/>
      <w:r/>
      <w:bookmarkStart w:id="336" w:name="_Toc164608800"/>
      <w:r/>
      <w:bookmarkStart w:id="337" w:name="_Toc127151732"/>
      <w:r>
        <w:rPr>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sz w:val="24"/>
        </w:rPr>
      </w:pPr>
      <w:r>
        <w:rPr>
          <w:rFonts w:hint="eastAsia"/>
          <w:sz w:val="24"/>
        </w:rPr>
        <w:t xml:space="preserve">根据江苏省和常州市的相关文件规定，免收投标保证金。</w:t>
      </w:r>
      <w:r/>
    </w:p>
    <w:p>
      <w:pPr>
        <w:numPr>
          <w:ilvl w:val="0"/>
          <w:numId w:val="10"/>
        </w:numPr>
        <w:ind w:left="357" w:hanging="357"/>
        <w:spacing w:line="360" w:lineRule="auto"/>
        <w:tabs>
          <w:tab w:val="left" w:pos="360" w:leader="none"/>
        </w:tabs>
        <w:rPr>
          <w:sz w:val="24"/>
        </w:rPr>
        <w:outlineLvl w:val="1"/>
      </w:pPr>
      <w:r/>
      <w:bookmarkStart w:id="338" w:name="_Toc305158800"/>
      <w:r/>
      <w:bookmarkStart w:id="339" w:name="_Toc150509283"/>
      <w:r/>
      <w:bookmarkStart w:id="340" w:name="_Toc151193702"/>
      <w:r/>
      <w:bookmarkStart w:id="341" w:name="_Toc520356157"/>
      <w:r/>
      <w:bookmarkStart w:id="342" w:name="_Toc150480770"/>
      <w:r/>
      <w:bookmarkStart w:id="343" w:name="_Toc164608801"/>
      <w:r/>
      <w:bookmarkStart w:id="344" w:name="_Toc226309776"/>
      <w:r/>
      <w:bookmarkStart w:id="345" w:name="_Toc195842897"/>
      <w:r/>
      <w:bookmarkStart w:id="346" w:name="_Toc151190159"/>
      <w:r/>
      <w:bookmarkStart w:id="347" w:name="_Toc151193920"/>
      <w:r/>
      <w:bookmarkStart w:id="348" w:name="_Toc164229227"/>
      <w:r/>
      <w:bookmarkStart w:id="349" w:name="_Toc226965805"/>
      <w:r/>
      <w:bookmarkStart w:id="350" w:name="_Toc305158874"/>
      <w:r/>
      <w:bookmarkStart w:id="351" w:name="_Toc127151733"/>
      <w:r/>
      <w:bookmarkStart w:id="352" w:name="_Toc142311034"/>
      <w:r/>
      <w:bookmarkStart w:id="353" w:name="_Toc226965722"/>
      <w:r/>
      <w:bookmarkStart w:id="354" w:name="_Toc151193630"/>
      <w:r/>
      <w:bookmarkStart w:id="355" w:name="_Toc226337228"/>
      <w:r/>
      <w:bookmarkStart w:id="356" w:name="_Toc127161446"/>
      <w:r/>
      <w:bookmarkStart w:id="357" w:name="_Toc149720825"/>
      <w:r/>
      <w:bookmarkStart w:id="358" w:name="_Toc164229373"/>
      <w:r/>
      <w:bookmarkStart w:id="359" w:name="_Toc151193846"/>
      <w:r/>
      <w:bookmarkStart w:id="360" w:name="_Toc127151532"/>
      <w:r/>
      <w:bookmarkStart w:id="361" w:name="_Toc151193774"/>
      <w:r/>
      <w:bookmarkStart w:id="362" w:name="_Toc265228370"/>
      <w:r/>
      <w:bookmarkStart w:id="363" w:name="_Toc164608646"/>
      <w:r/>
      <w:bookmarkStart w:id="364" w:name="_Toc264969222"/>
      <w:r/>
      <w:bookmarkStart w:id="365" w:name="_Toc164351626"/>
      <w:r/>
      <w:bookmarkStart w:id="366" w:name="_Toc150774737"/>
      <w:r/>
      <w:bookmarkStart w:id="367" w:name="_Toc150774632"/>
      <w:r>
        <w:rPr>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10"/>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0"/>
        </w:numPr>
        <w:ind w:left="357" w:hanging="357"/>
        <w:spacing w:line="360" w:lineRule="auto"/>
        <w:tabs>
          <w:tab w:val="left" w:pos="360" w:leader="none"/>
        </w:tabs>
        <w:rPr>
          <w:sz w:val="24"/>
        </w:rPr>
        <w:outlineLvl w:val="1"/>
      </w:pPr>
      <w:r/>
      <w:bookmarkStart w:id="368" w:name="_Toc164229228"/>
      <w:r/>
      <w:bookmarkStart w:id="369" w:name="_Toc151193703"/>
      <w:r/>
      <w:bookmarkStart w:id="370" w:name="_Toc226309777"/>
      <w:r/>
      <w:bookmarkStart w:id="371" w:name="_Toc164608647"/>
      <w:r/>
      <w:bookmarkStart w:id="372" w:name="_Toc150480771"/>
      <w:r/>
      <w:bookmarkStart w:id="373" w:name="_Toc164608802"/>
      <w:r/>
      <w:bookmarkStart w:id="374" w:name="_Toc151193847"/>
      <w:r/>
      <w:bookmarkStart w:id="375" w:name="_Toc127151734"/>
      <w:r/>
      <w:bookmarkStart w:id="376" w:name="_Toc520356158"/>
      <w:r/>
      <w:bookmarkStart w:id="377" w:name="_Toc142311035"/>
      <w:r/>
      <w:bookmarkStart w:id="378" w:name="_Toc265228371"/>
      <w:r/>
      <w:bookmarkStart w:id="379" w:name="_Toc149720826"/>
      <w:r/>
      <w:bookmarkStart w:id="380" w:name="_Toc150774738"/>
      <w:r/>
      <w:bookmarkStart w:id="381" w:name="_Toc127161447"/>
      <w:r/>
      <w:bookmarkStart w:id="382" w:name="_Toc150774633"/>
      <w:r/>
      <w:bookmarkStart w:id="383" w:name="_Toc226965806"/>
      <w:r/>
      <w:bookmarkStart w:id="384" w:name="_Toc151193775"/>
      <w:r/>
      <w:bookmarkStart w:id="385" w:name="_Toc151193921"/>
      <w:r/>
      <w:bookmarkStart w:id="386" w:name="_Toc226337229"/>
      <w:r/>
      <w:bookmarkStart w:id="387" w:name="_Toc226965723"/>
      <w:r/>
      <w:bookmarkStart w:id="388" w:name="_Toc164351627"/>
      <w:r/>
      <w:bookmarkStart w:id="389" w:name="_Toc151190160"/>
      <w:r/>
      <w:bookmarkStart w:id="390" w:name="_Toc150509284"/>
      <w:r/>
      <w:bookmarkStart w:id="391" w:name="_Toc305158801"/>
      <w:r/>
      <w:bookmarkStart w:id="392" w:name="_Toc264969223"/>
      <w:r/>
      <w:bookmarkStart w:id="393" w:name="_Toc127151533"/>
      <w:r/>
      <w:bookmarkStart w:id="394" w:name="_Toc151193631"/>
      <w:r/>
      <w:bookmarkStart w:id="395" w:name="_Toc195842898"/>
      <w:r/>
      <w:bookmarkStart w:id="396" w:name="_Toc164229374"/>
      <w:r/>
      <w:bookmarkStart w:id="397" w:name="_Toc305158875"/>
      <w:r>
        <w:rPr>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rPr>
        <w:t xml:space="preserve">、加盖公章</w:t>
      </w:r>
      <w:r/>
    </w:p>
    <w:p>
      <w:pPr>
        <w:numPr>
          <w:ilvl w:val="1"/>
          <w:numId w:val="10"/>
        </w:numPr>
        <w:ind w:left="1077" w:hanging="720"/>
        <w:spacing w:line="360" w:lineRule="auto"/>
        <w:tabs>
          <w:tab w:val="left" w:pos="1080" w:leader="none"/>
          <w:tab w:val="left" w:pos="2014" w:leader="none"/>
        </w:tabs>
        <w:rPr>
          <w:sz w:val="24"/>
        </w:rPr>
      </w:pPr>
      <w:r/>
      <w:bookmarkStart w:id="398" w:name="_Toc195842899"/>
      <w:r/>
      <w:bookmarkStart w:id="399" w:name="_Toc150774739"/>
      <w:r/>
      <w:bookmarkStart w:id="400" w:name="_Toc265228372"/>
      <w:r/>
      <w:bookmarkStart w:id="401" w:name="_Toc150509285"/>
      <w:r/>
      <w:bookmarkStart w:id="402" w:name="_Toc226309778"/>
      <w:r/>
      <w:bookmarkStart w:id="403" w:name="_Toc226337230"/>
      <w:r/>
      <w:bookmarkStart w:id="404" w:name="_Toc151190161"/>
      <w:r/>
      <w:bookmarkStart w:id="405" w:name="_Toc150774634"/>
      <w:r/>
      <w:bookmarkStart w:id="406" w:name="_Toc151193922"/>
      <w:r/>
      <w:bookmarkStart w:id="407" w:name="_Toc151193704"/>
      <w:r/>
      <w:bookmarkStart w:id="408" w:name="_Toc520356159"/>
      <w:r/>
      <w:bookmarkStart w:id="409" w:name="_Toc151193632"/>
      <w:r/>
      <w:bookmarkStart w:id="410" w:name="_Toc150480772"/>
      <w:r/>
      <w:bookmarkStart w:id="411" w:name="_Toc264969224"/>
      <w:r/>
      <w:bookmarkStart w:id="412" w:name="_Toc305158876"/>
      <w:r/>
      <w:bookmarkStart w:id="413" w:name="_Toc142311036"/>
      <w:r/>
      <w:bookmarkStart w:id="414" w:name="_Toc151193848"/>
      <w:r/>
      <w:bookmarkStart w:id="415" w:name="_Toc226965807"/>
      <w:r/>
      <w:bookmarkStart w:id="416" w:name="_Toc151193776"/>
      <w:r/>
      <w:bookmarkStart w:id="417" w:name="_Toc305158802"/>
      <w:r/>
      <w:bookmarkStart w:id="418" w:name="_Toc226965724"/>
      <w:r/>
      <w:bookmarkStart w:id="419" w:name="_Toc127151534"/>
      <w:r>
        <w:rPr>
          <w:sz w:val="24"/>
        </w:rPr>
        <w:t xml:space="preserve">招标文件要求签字的内容（如</w:t>
      </w:r>
      <w:r>
        <w:rPr>
          <w:rFonts w:hint="eastAsia"/>
          <w:sz w:val="24"/>
        </w:rPr>
        <w:t xml:space="preserve">法定代表人资格证明书</w:t>
      </w:r>
      <w:r>
        <w:rPr>
          <w:sz w:val="24"/>
        </w:rPr>
        <w:t xml:space="preserve">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10"/>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24"/>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10"/>
        </w:numPr>
        <w:ind w:left="357" w:hanging="357"/>
        <w:spacing w:line="360" w:lineRule="auto"/>
        <w:tabs>
          <w:tab w:val="left" w:pos="360" w:leader="none"/>
        </w:tabs>
        <w:rPr>
          <w:sz w:val="24"/>
        </w:rPr>
        <w:outlineLvl w:val="1"/>
      </w:pPr>
      <w:r/>
      <w:bookmarkStart w:id="420" w:name="_Toc151193705"/>
      <w:r/>
      <w:bookmarkStart w:id="421" w:name="_Toc151190162"/>
      <w:r/>
      <w:bookmarkStart w:id="422" w:name="_Toc151193633"/>
      <w:r/>
      <w:bookmarkStart w:id="423" w:name="_Toc226965808"/>
      <w:r/>
      <w:bookmarkStart w:id="424" w:name="_Toc127151736"/>
      <w:r/>
      <w:bookmarkStart w:id="425" w:name="_Toc226965725"/>
      <w:r/>
      <w:bookmarkStart w:id="426" w:name="_Toc305158803"/>
      <w:r/>
      <w:bookmarkStart w:id="427" w:name="_Toc127161449"/>
      <w:r/>
      <w:bookmarkStart w:id="428" w:name="_Toc151193923"/>
      <w:r/>
      <w:bookmarkStart w:id="429" w:name="_Toc150774740"/>
      <w:r/>
      <w:bookmarkStart w:id="430" w:name="_Toc150509286"/>
      <w:r/>
      <w:bookmarkStart w:id="431" w:name="_Toc265228373"/>
      <w:r/>
      <w:bookmarkStart w:id="432" w:name="_Toc164608804"/>
      <w:r/>
      <w:bookmarkStart w:id="433" w:name="_Toc127151535"/>
      <w:r/>
      <w:bookmarkStart w:id="434" w:name="_Toc151193849"/>
      <w:r/>
      <w:bookmarkStart w:id="435" w:name="_Toc226309779"/>
      <w:r/>
      <w:bookmarkStart w:id="436" w:name="_Toc164608649"/>
      <w:r/>
      <w:bookmarkStart w:id="437" w:name="_Toc264969225"/>
      <w:r/>
      <w:bookmarkStart w:id="438" w:name="_Toc164229376"/>
      <w:r/>
      <w:bookmarkStart w:id="439" w:name="_Toc305158877"/>
      <w:r/>
      <w:bookmarkStart w:id="440" w:name="_Toc520356160"/>
      <w:r/>
      <w:bookmarkStart w:id="441" w:name="_Toc226337231"/>
      <w:r/>
      <w:bookmarkStart w:id="442" w:name="_Toc164351629"/>
      <w:r/>
      <w:bookmarkStart w:id="443" w:name="_Toc164229230"/>
      <w:r/>
      <w:bookmarkStart w:id="444" w:name="_Toc150480773"/>
      <w:r/>
      <w:bookmarkStart w:id="445" w:name="_Toc150774635"/>
      <w:r/>
      <w:bookmarkStart w:id="446" w:name="_Toc151193777"/>
      <w:r/>
      <w:bookmarkStart w:id="447" w:name="_Toc195842900"/>
      <w:r/>
      <w:bookmarkStart w:id="448" w:name="_Toc149720828"/>
      <w:r/>
      <w:bookmarkStart w:id="449" w:name="_Toc142311037"/>
      <w:r>
        <w:rPr>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rPr>
        <w:t xml:space="preserve">提交</w:t>
      </w:r>
      <w:r/>
    </w:p>
    <w:p>
      <w:pPr>
        <w:numPr>
          <w:ilvl w:val="1"/>
          <w:numId w:val="10"/>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。投标人根据招标文件及</w:t>
      </w:r>
      <w:r>
        <w:rPr>
          <w:rFonts w:hint="eastAsia"/>
          <w:sz w:val="24"/>
        </w:rPr>
        <w:t xml:space="preserve">政府采购一体化平台“苏采云”</w:t>
      </w:r>
      <w:r>
        <w:rPr>
          <w:sz w:val="24"/>
        </w:rPr>
        <w:t xml:space="preserve">供应商操作手册要求编制、生成并提交电子投标文件。</w:t>
      </w:r>
      <w:r/>
    </w:p>
    <w:p>
      <w:pPr>
        <w:numPr>
          <w:ilvl w:val="1"/>
          <w:numId w:val="10"/>
        </w:numPr>
        <w:ind w:left="1077" w:hanging="720"/>
        <w:spacing w:line="360" w:lineRule="auto"/>
        <w:tabs>
          <w:tab w:val="left" w:pos="1080" w:leader="none"/>
          <w:tab w:val="left" w:pos="2014" w:leader="none"/>
        </w:tabs>
        <w:rPr>
          <w:sz w:val="24"/>
        </w:rPr>
      </w:pPr>
      <w:r>
        <w:rPr>
          <w:sz w:val="24"/>
        </w:rPr>
        <w:t xml:space="preserve">招标人及招标代理机构拒绝接受通过</w:t>
      </w:r>
      <w:r>
        <w:rPr>
          <w:rFonts w:hint="eastAsia"/>
          <w:sz w:val="24"/>
        </w:rPr>
        <w:t xml:space="preserve">政府采购一体化平台“苏采云”</w:t>
      </w:r>
      <w:r>
        <w:rPr>
          <w:sz w:val="24"/>
        </w:rPr>
        <w:t xml:space="preserve">以外任何形式提交的投标文件。</w:t>
      </w:r>
      <w:r/>
    </w:p>
    <w:p>
      <w:pPr>
        <w:numPr>
          <w:ilvl w:val="0"/>
          <w:numId w:val="10"/>
        </w:numPr>
        <w:ind w:left="357" w:hanging="357"/>
        <w:spacing w:line="360" w:lineRule="auto"/>
        <w:tabs>
          <w:tab w:val="left" w:pos="360" w:leader="none"/>
        </w:tabs>
        <w:rPr>
          <w:sz w:val="24"/>
        </w:rPr>
        <w:outlineLvl w:val="1"/>
      </w:pPr>
      <w:r/>
      <w:bookmarkStart w:id="450" w:name="_Toc264969226"/>
      <w:r/>
      <w:bookmarkStart w:id="451" w:name="_Toc226309780"/>
      <w:r/>
      <w:bookmarkStart w:id="452" w:name="_Toc226965809"/>
      <w:r/>
      <w:bookmarkStart w:id="453" w:name="_Toc195842901"/>
      <w:r/>
      <w:bookmarkStart w:id="454" w:name="_Toc520356161"/>
      <w:r/>
      <w:bookmarkStart w:id="455" w:name="_Toc226337232"/>
      <w:r/>
      <w:bookmarkStart w:id="456" w:name="_Toc151193706"/>
      <w:r/>
      <w:bookmarkStart w:id="457" w:name="_Toc151193850"/>
      <w:r/>
      <w:bookmarkStart w:id="458" w:name="_Toc151193634"/>
      <w:r/>
      <w:bookmarkStart w:id="459" w:name="_Toc164351630"/>
      <w:r/>
      <w:bookmarkStart w:id="460" w:name="_Toc164608650"/>
      <w:r/>
      <w:bookmarkStart w:id="461" w:name="_Toc164608805"/>
      <w:r/>
      <w:bookmarkStart w:id="462" w:name="_Toc150509287"/>
      <w:r/>
      <w:bookmarkStart w:id="463" w:name="_Toc127161450"/>
      <w:r/>
      <w:bookmarkStart w:id="464" w:name="_Toc127151737"/>
      <w:r/>
      <w:bookmarkStart w:id="465" w:name="_Toc265228374"/>
      <w:r/>
      <w:bookmarkStart w:id="466" w:name="_Toc305158878"/>
      <w:r/>
      <w:bookmarkStart w:id="467" w:name="_Toc151193924"/>
      <w:r/>
      <w:bookmarkStart w:id="468" w:name="_Toc151193778"/>
      <w:r/>
      <w:bookmarkStart w:id="469" w:name="_Toc150774636"/>
      <w:r/>
      <w:bookmarkStart w:id="470" w:name="_Toc164229377"/>
      <w:r/>
      <w:bookmarkStart w:id="471" w:name="_Toc164229231"/>
      <w:r/>
      <w:bookmarkStart w:id="472" w:name="_Toc149720829"/>
      <w:r/>
      <w:bookmarkStart w:id="473" w:name="_Toc142311038"/>
      <w:r/>
      <w:bookmarkStart w:id="474" w:name="_Toc127151536"/>
      <w:r/>
      <w:bookmarkStart w:id="475" w:name="_Toc151190163"/>
      <w:r/>
      <w:bookmarkStart w:id="476" w:name="_Toc150480774"/>
      <w:r/>
      <w:bookmarkStart w:id="477" w:name="_Toc226965726"/>
      <w:r/>
      <w:bookmarkStart w:id="478" w:name="_Toc150774741"/>
      <w:r/>
      <w:bookmarkStart w:id="479" w:name="_Toc305158804"/>
      <w:r>
        <w:rPr>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rPr>
        <w:t xml:space="preserve">时间</w:t>
      </w:r>
      <w:r/>
    </w:p>
    <w:p>
      <w:pPr>
        <w:numPr>
          <w:ilvl w:val="1"/>
          <w:numId w:val="10"/>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p>
    <w:p>
      <w:pPr>
        <w:numPr>
          <w:ilvl w:val="0"/>
          <w:numId w:val="10"/>
        </w:numPr>
        <w:ind w:left="357" w:hanging="357"/>
        <w:spacing w:line="360" w:lineRule="auto"/>
        <w:tabs>
          <w:tab w:val="left" w:pos="360" w:leader="none"/>
        </w:tabs>
        <w:rPr>
          <w:sz w:val="24"/>
        </w:rPr>
        <w:outlineLvl w:val="1"/>
      </w:pPr>
      <w:r/>
      <w:bookmarkStart w:id="480" w:name="_Toc151193779"/>
      <w:r/>
      <w:bookmarkStart w:id="481" w:name="_Toc151193925"/>
      <w:r/>
      <w:bookmarkStart w:id="482" w:name="_Toc151193707"/>
      <w:r/>
      <w:bookmarkStart w:id="483" w:name="_Toc150480775"/>
      <w:r/>
      <w:bookmarkStart w:id="484" w:name="_Toc164608806"/>
      <w:r/>
      <w:bookmarkStart w:id="485" w:name="_Toc265228375"/>
      <w:r/>
      <w:bookmarkStart w:id="486" w:name="_Toc264969227"/>
      <w:r/>
      <w:bookmarkStart w:id="487" w:name="_Toc520356162"/>
      <w:r/>
      <w:bookmarkStart w:id="488" w:name="_Toc127151738"/>
      <w:r/>
      <w:bookmarkStart w:id="489" w:name="_Toc151193851"/>
      <w:r/>
      <w:bookmarkStart w:id="490" w:name="_Toc164608651"/>
      <w:r/>
      <w:bookmarkStart w:id="491" w:name="_Toc226337233"/>
      <w:r/>
      <w:bookmarkStart w:id="492" w:name="_Toc164351631"/>
      <w:r/>
      <w:bookmarkStart w:id="493" w:name="_Toc149720830"/>
      <w:r/>
      <w:bookmarkStart w:id="494" w:name="_Toc150509288"/>
      <w:r/>
      <w:bookmarkStart w:id="495" w:name="_Toc226965810"/>
      <w:r/>
      <w:bookmarkStart w:id="496" w:name="_Toc151193635"/>
      <w:r/>
      <w:bookmarkStart w:id="497" w:name="_Toc127161451"/>
      <w:r/>
      <w:bookmarkStart w:id="498" w:name="_Toc150774637"/>
      <w:r/>
      <w:bookmarkStart w:id="499" w:name="_Toc150774742"/>
      <w:r/>
      <w:bookmarkStart w:id="500" w:name="_Toc164229378"/>
      <w:r/>
      <w:bookmarkStart w:id="501" w:name="_Toc195842902"/>
      <w:r/>
      <w:bookmarkStart w:id="502" w:name="_Toc164229232"/>
      <w:r/>
      <w:bookmarkStart w:id="503" w:name="_Toc226965727"/>
      <w:r/>
      <w:bookmarkStart w:id="504" w:name="_Toc226309781"/>
      <w:r/>
      <w:bookmarkStart w:id="505" w:name="_Toc305158879"/>
      <w:r/>
      <w:bookmarkStart w:id="506" w:name="_Toc127151537"/>
      <w:r/>
      <w:bookmarkStart w:id="507" w:name="_Toc142311039"/>
      <w:r/>
      <w:bookmarkStart w:id="508" w:name="_Toc151190164"/>
      <w:r/>
      <w:bookmarkStart w:id="509" w:name="_Toc305158805"/>
      <w:r>
        <w:rPr>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10"/>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政府采购一体化平台“苏采云”</w:t>
      </w:r>
      <w:r>
        <w:rPr>
          <w:sz w:val="24"/>
        </w:rPr>
        <w:t xml:space="preserve">对所提交的投标文件进行补充、修改或者撤回。</w:t>
      </w:r>
      <w:r/>
    </w:p>
    <w:p>
      <w:pPr>
        <w:numPr>
          <w:ilvl w:val="1"/>
          <w:numId w:val="10"/>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24"/>
        <w:spacing w:before="0" w:line="360" w:lineRule="auto"/>
        <w:rPr>
          <w:rFonts w:ascii="Times New Roman" w:hAnsi="Times New Roman" w:eastAsia="宋体"/>
          <w:sz w:val="28"/>
        </w:rPr>
      </w:pPr>
      <w:r/>
      <w:bookmarkStart w:id="510" w:name="_Toc151193926"/>
      <w:r/>
      <w:bookmarkStart w:id="511" w:name="_Toc226309782"/>
      <w:r/>
      <w:bookmarkStart w:id="512" w:name="_Toc150774638"/>
      <w:r/>
      <w:bookmarkStart w:id="513" w:name="_Toc520356163"/>
      <w:r/>
      <w:bookmarkStart w:id="514" w:name="_Toc151193852"/>
      <w:r/>
      <w:bookmarkStart w:id="515" w:name="_Toc150774743"/>
      <w:r/>
      <w:bookmarkStart w:id="516" w:name="_Toc151193780"/>
      <w:r/>
      <w:bookmarkStart w:id="517" w:name="_Toc127151538"/>
      <w:r/>
      <w:bookmarkStart w:id="518" w:name="_Toc305158806"/>
      <w:r/>
      <w:bookmarkStart w:id="519" w:name="_Toc226337234"/>
      <w:r/>
      <w:bookmarkStart w:id="520" w:name="_Toc264969228"/>
      <w:r/>
      <w:bookmarkStart w:id="521" w:name="_Toc305158880"/>
      <w:r/>
      <w:bookmarkStart w:id="522" w:name="_Toc151193708"/>
      <w:r/>
      <w:bookmarkStart w:id="523" w:name="_Toc150480776"/>
      <w:r/>
      <w:bookmarkStart w:id="524" w:name="_Toc226965728"/>
      <w:r/>
      <w:bookmarkStart w:id="525" w:name="_Toc195842903"/>
      <w:r/>
      <w:bookmarkStart w:id="526" w:name="_Toc150509289"/>
      <w:r/>
      <w:bookmarkStart w:id="527" w:name="_Toc265228376"/>
      <w:r/>
      <w:bookmarkStart w:id="528" w:name="_Toc151190165"/>
      <w:r/>
      <w:bookmarkStart w:id="529" w:name="_Toc142311040"/>
      <w:r/>
      <w:bookmarkStart w:id="530" w:name="_Toc226965811"/>
      <w:r/>
      <w:bookmarkStart w:id="531" w:name="_Toc151193636"/>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10"/>
        </w:numPr>
        <w:ind w:left="357" w:hanging="357"/>
        <w:spacing w:line="360" w:lineRule="auto"/>
        <w:tabs>
          <w:tab w:val="left" w:pos="360" w:leader="none"/>
        </w:tabs>
        <w:rPr>
          <w:sz w:val="24"/>
        </w:rPr>
        <w:outlineLvl w:val="1"/>
      </w:pPr>
      <w:r/>
      <w:bookmarkStart w:id="532" w:name="_Toc520356164"/>
      <w:r/>
      <w:bookmarkStart w:id="533" w:name="_Toc150509290"/>
      <w:r/>
      <w:bookmarkStart w:id="534" w:name="_Toc151193927"/>
      <w:r/>
      <w:bookmarkStart w:id="535" w:name="_Toc164229380"/>
      <w:r/>
      <w:bookmarkStart w:id="536" w:name="_Toc226965812"/>
      <w:r/>
      <w:bookmarkStart w:id="537" w:name="_Toc226965729"/>
      <w:r/>
      <w:bookmarkStart w:id="538" w:name="_Toc164229234"/>
      <w:r/>
      <w:bookmarkStart w:id="539" w:name="_Toc150774639"/>
      <w:r/>
      <w:bookmarkStart w:id="540" w:name="_Toc149720832"/>
      <w:r/>
      <w:bookmarkStart w:id="541" w:name="_Toc142311041"/>
      <w:r/>
      <w:bookmarkStart w:id="542" w:name="_Toc127151539"/>
      <w:r/>
      <w:bookmarkStart w:id="543" w:name="_Toc305158881"/>
      <w:r/>
      <w:bookmarkStart w:id="544" w:name="_Toc195842904"/>
      <w:r/>
      <w:bookmarkStart w:id="545" w:name="_Toc305158807"/>
      <w:r/>
      <w:bookmarkStart w:id="546" w:name="_Toc151193709"/>
      <w:r/>
      <w:bookmarkStart w:id="547" w:name="_Toc226337235"/>
      <w:r/>
      <w:bookmarkStart w:id="548" w:name="_Toc150774744"/>
      <w:r/>
      <w:bookmarkStart w:id="549" w:name="_Toc151193781"/>
      <w:r/>
      <w:bookmarkStart w:id="550" w:name="_Toc150480777"/>
      <w:r/>
      <w:bookmarkStart w:id="551" w:name="_Toc265228377"/>
      <w:r/>
      <w:bookmarkStart w:id="552" w:name="_Toc264969229"/>
      <w:r/>
      <w:bookmarkStart w:id="553" w:name="_Toc151190166"/>
      <w:r/>
      <w:bookmarkStart w:id="554" w:name="_Toc127151740"/>
      <w:r/>
      <w:bookmarkStart w:id="555" w:name="_Toc127161453"/>
      <w:r/>
      <w:bookmarkStart w:id="556" w:name="_Toc226309783"/>
      <w:r/>
      <w:bookmarkStart w:id="557" w:name="_Toc164608653"/>
      <w:r/>
      <w:bookmarkStart w:id="558" w:name="_Toc164608808"/>
      <w:r/>
      <w:bookmarkStart w:id="559" w:name="_Toc164351633"/>
      <w:r/>
      <w:bookmarkStart w:id="560" w:name="_Toc151193853"/>
      <w:r/>
      <w:bookmarkStart w:id="561" w:name="_Toc151193637"/>
      <w:r>
        <w:rPr>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10"/>
        </w:numPr>
        <w:ind w:left="1077" w:hanging="720"/>
        <w:spacing w:line="360" w:lineRule="auto"/>
        <w:tabs>
          <w:tab w:val="left" w:pos="1080" w:leader="none"/>
          <w:tab w:val="left" w:pos="2014" w:leader="none"/>
        </w:tabs>
        <w:rPr>
          <w:sz w:val="24"/>
        </w:rPr>
      </w:pPr>
      <w:r>
        <w:rPr>
          <w:sz w:val="24"/>
        </w:rPr>
        <w:t xml:space="preserve">招标人或招标代理机构将按招标文件的规定，在投标截止时间的同一时间和招标文件预先确定的地点组织开标。</w:t>
      </w:r>
      <w:r/>
    </w:p>
    <w:p>
      <w:pPr>
        <w:numPr>
          <w:ilvl w:val="1"/>
          <w:numId w:val="10"/>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政府采购一体化平台“苏采云”在线进行开标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政府采购一体化平台“苏采云”公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2" w:name="_Toc520356165"/>
      <w:r>
        <w:rPr>
          <w:rFonts w:hint="eastAsia"/>
          <w:sz w:val="24"/>
        </w:rPr>
        <w:t xml:space="preserve">。投标人超过规定时间未确认但是未提出疑义的，系统将视同已确认</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投标人代表对开标过程和开标记录有疑义，以及认为招标人、招标代理机构相关工作人员有需要回避的情形的，应当场</w:t>
      </w:r>
      <w:r>
        <w:rPr>
          <w:rFonts w:hint="eastAsia"/>
          <w:sz w:val="24"/>
        </w:rPr>
        <w:t xml:space="preserve">通过业务系统</w:t>
      </w:r>
      <w:r>
        <w:rPr>
          <w:sz w:val="24"/>
        </w:rPr>
        <w:t xml:space="preserve">提出询问或者回避申请。招标人、招标代理机构对投标人代表提出的询问或者回避申请将及时处理。</w:t>
      </w:r>
      <w:r/>
    </w:p>
    <w:p>
      <w:pPr>
        <w:numPr>
          <w:ilvl w:val="1"/>
          <w:numId w:val="10"/>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10"/>
        </w:numPr>
        <w:ind w:left="1077" w:hanging="720"/>
        <w:spacing w:line="360" w:lineRule="auto"/>
        <w:tabs>
          <w:tab w:val="left" w:pos="1080" w:leader="none"/>
          <w:tab w:val="left" w:pos="2014" w:leader="none"/>
        </w:tabs>
        <w:rPr>
          <w:sz w:val="24"/>
        </w:rPr>
      </w:pPr>
      <w:r>
        <w:rPr>
          <w:sz w:val="24"/>
        </w:rPr>
        <w:t xml:space="preserve">投标人须在开标前使用</w:t>
      </w:r>
      <w:r>
        <w:rPr>
          <w:rFonts w:hint="eastAsia"/>
          <w:sz w:val="24"/>
        </w:rPr>
        <w:t xml:space="preserve">“</w:t>
      </w:r>
      <w:r>
        <w:rPr>
          <w:sz w:val="24"/>
        </w:rPr>
        <w:t xml:space="preserve">验证CA</w:t>
      </w:r>
      <w:r>
        <w:rPr>
          <w:rFonts w:hint="eastAsia"/>
          <w:sz w:val="24"/>
        </w:rPr>
        <w:t xml:space="preserve">”</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0"/>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“政府采购一体化平台“苏采云””系统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0"/>
        </w:numPr>
        <w:ind w:left="357" w:hanging="357"/>
        <w:spacing w:line="360" w:lineRule="auto"/>
        <w:tabs>
          <w:tab w:val="left" w:pos="360" w:leader="none"/>
        </w:tabs>
        <w:rPr>
          <w:sz w:val="24"/>
        </w:rPr>
        <w:outlineLvl w:val="1"/>
      </w:pPr>
      <w:r>
        <w:rPr>
          <w:sz w:val="24"/>
        </w:rPr>
        <w:t xml:space="preserve">资格审查</w:t>
      </w:r>
      <w:r/>
    </w:p>
    <w:p>
      <w:pPr>
        <w:numPr>
          <w:ilvl w:val="1"/>
          <w:numId w:val="10"/>
        </w:numPr>
        <w:ind w:left="1077" w:hanging="720"/>
        <w:spacing w:line="360" w:lineRule="auto"/>
        <w:tabs>
          <w:tab w:val="left" w:pos="1080" w:leader="none"/>
          <w:tab w:val="left" w:pos="2014" w:leader="none"/>
        </w:tabs>
        <w:rPr>
          <w:sz w:val="24"/>
        </w:rPr>
      </w:pPr>
      <w:r>
        <w:rPr>
          <w:sz w:val="24"/>
        </w:rPr>
        <w:t xml:space="preserve">见第三章《资格审查》。</w:t>
      </w:r>
      <w:bookmarkEnd w:id="562"/>
      <w:r/>
    </w:p>
    <w:p>
      <w:pPr>
        <w:numPr>
          <w:ilvl w:val="0"/>
          <w:numId w:val="10"/>
        </w:numPr>
        <w:ind w:left="357" w:hanging="357"/>
        <w:spacing w:line="360" w:lineRule="auto"/>
        <w:tabs>
          <w:tab w:val="left" w:pos="360" w:leader="none"/>
        </w:tabs>
        <w:rPr>
          <w:sz w:val="24"/>
        </w:rPr>
        <w:outlineLvl w:val="1"/>
      </w:pPr>
      <w:r/>
      <w:bookmarkStart w:id="563" w:name="_Toc264969230"/>
      <w:r/>
      <w:bookmarkStart w:id="564" w:name="_Toc151193710"/>
      <w:r/>
      <w:bookmarkStart w:id="565" w:name="_Toc127161454"/>
      <w:r/>
      <w:bookmarkStart w:id="566" w:name="_Toc265228378"/>
      <w:r/>
      <w:bookmarkStart w:id="567" w:name="_Toc164229381"/>
      <w:r/>
      <w:bookmarkStart w:id="568" w:name="_Toc164608809"/>
      <w:r/>
      <w:bookmarkStart w:id="569" w:name="_Toc226965730"/>
      <w:r/>
      <w:bookmarkStart w:id="570" w:name="_Toc195842905"/>
      <w:r/>
      <w:bookmarkStart w:id="571" w:name="_Toc127151540"/>
      <w:r/>
      <w:bookmarkStart w:id="572" w:name="_Toc149720833"/>
      <w:r/>
      <w:bookmarkStart w:id="573" w:name="_Toc164608654"/>
      <w:r/>
      <w:bookmarkStart w:id="574" w:name="_Toc226965813"/>
      <w:r/>
      <w:bookmarkStart w:id="575" w:name="_Toc151193638"/>
      <w:r/>
      <w:bookmarkStart w:id="576" w:name="_Toc150509291"/>
      <w:r/>
      <w:bookmarkStart w:id="577" w:name="_Toc151193928"/>
      <w:r/>
      <w:bookmarkStart w:id="578" w:name="_Toc150774745"/>
      <w:r/>
      <w:bookmarkStart w:id="579" w:name="_Toc150774640"/>
      <w:r/>
      <w:bookmarkStart w:id="580" w:name="_Toc127151741"/>
      <w:r/>
      <w:bookmarkStart w:id="581" w:name="_Toc164229235"/>
      <w:r/>
      <w:bookmarkStart w:id="582" w:name="_Toc151193782"/>
      <w:r/>
      <w:bookmarkStart w:id="583" w:name="_Toc164351634"/>
      <w:r/>
      <w:bookmarkStart w:id="584" w:name="_Toc151193854"/>
      <w:r/>
      <w:bookmarkStart w:id="585" w:name="_Toc151190167"/>
      <w:r/>
      <w:bookmarkStart w:id="586" w:name="_Toc226337236"/>
      <w:r/>
      <w:bookmarkStart w:id="587" w:name="_Toc305158882"/>
      <w:r/>
      <w:bookmarkStart w:id="588" w:name="_Toc142311042"/>
      <w:r/>
      <w:bookmarkStart w:id="589" w:name="_Toc226309784"/>
      <w:r/>
      <w:bookmarkStart w:id="590" w:name="_Toc150480778"/>
      <w:r/>
      <w:bookmarkStart w:id="591" w:name="_Toc305158808"/>
      <w:r>
        <w:rPr>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10"/>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2" w:name="_Toc520356166"/>
      <w:r/>
      <w:r/>
    </w:p>
    <w:p>
      <w:pPr>
        <w:numPr>
          <w:ilvl w:val="1"/>
          <w:numId w:val="10"/>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规定。依法自行选定评审专家的，招标人和招标代理机构将查询有关信用记录，对具有行贿、受贿、欺诈等不良信用记录的人员，拒绝其参与政府采购活动。</w:t>
      </w:r>
      <w:bookmarkEnd w:id="592"/>
      <w:r/>
      <w:bookmarkStart w:id="593" w:name="_Toc520356169"/>
      <w:r/>
      <w:r/>
    </w:p>
    <w:p>
      <w:pPr>
        <w:numPr>
          <w:ilvl w:val="0"/>
          <w:numId w:val="10"/>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10"/>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24"/>
        <w:spacing w:before="0" w:line="360" w:lineRule="auto"/>
        <w:rPr>
          <w:rFonts w:ascii="Times New Roman" w:hAnsi="Times New Roman" w:eastAsia="宋体"/>
          <w:sz w:val="28"/>
        </w:rPr>
      </w:pPr>
      <w:r/>
      <w:bookmarkStart w:id="594" w:name="_Toc305158887"/>
      <w:r/>
      <w:bookmarkStart w:id="595" w:name="_Toc151193933"/>
      <w:r/>
      <w:bookmarkStart w:id="596" w:name="_Toc150774645"/>
      <w:r/>
      <w:bookmarkStart w:id="597" w:name="_Toc151193715"/>
      <w:r/>
      <w:bookmarkStart w:id="598" w:name="_Toc150774750"/>
      <w:r/>
      <w:bookmarkStart w:id="599" w:name="_Toc142311047"/>
      <w:r/>
      <w:bookmarkStart w:id="600" w:name="_Toc127151545"/>
      <w:r/>
      <w:bookmarkStart w:id="601" w:name="_Toc195842910"/>
      <w:r/>
      <w:bookmarkStart w:id="602" w:name="_Toc226965818"/>
      <w:r/>
      <w:bookmarkStart w:id="603" w:name="_Toc151193859"/>
      <w:r/>
      <w:bookmarkStart w:id="604" w:name="_Toc151193787"/>
      <w:r/>
      <w:bookmarkStart w:id="605" w:name="_Toc226309789"/>
      <w:r/>
      <w:bookmarkStart w:id="606" w:name="_Toc226965735"/>
      <w:r/>
      <w:bookmarkStart w:id="607" w:name="_Toc264969235"/>
      <w:r/>
      <w:bookmarkStart w:id="608" w:name="_Toc151193643"/>
      <w:r/>
      <w:bookmarkStart w:id="609" w:name="_Toc151190172"/>
      <w:r/>
      <w:bookmarkStart w:id="610" w:name="_Toc305158813"/>
      <w:r/>
      <w:bookmarkStart w:id="611" w:name="_Toc226337241"/>
      <w:r/>
      <w:bookmarkStart w:id="612" w:name="_Toc150480783"/>
      <w:r/>
      <w:bookmarkStart w:id="613" w:name="_Toc265228383"/>
      <w:r/>
      <w:bookmarkStart w:id="614" w:name="_Toc150509296"/>
      <w:r>
        <w:rPr>
          <w:rFonts w:ascii="Times New Roman" w:hAnsi="Times New Roman" w:eastAsia="宋体"/>
          <w:sz w:val="28"/>
        </w:rPr>
        <w:t xml:space="preserve">六</w:t>
      </w:r>
      <w:bookmarkEnd w:id="593"/>
      <w:r>
        <w:rPr>
          <w:rFonts w:ascii="Times New Roman" w:hAnsi="Times New Roman" w:eastAsia="宋体"/>
          <w:sz w:val="28"/>
        </w:rPr>
        <w:t xml:space="preserve">   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65228385"/>
      <w:r/>
      <w:bookmarkStart w:id="616" w:name="_Toc150774647"/>
      <w:r/>
      <w:bookmarkStart w:id="617" w:name="_Toc151193789"/>
      <w:r/>
      <w:bookmarkStart w:id="618" w:name="_Toc164229388"/>
      <w:r/>
      <w:bookmarkStart w:id="619" w:name="_Toc151193645"/>
      <w:r/>
      <w:bookmarkStart w:id="620" w:name="_Toc127151748"/>
      <w:r/>
      <w:bookmarkStart w:id="621" w:name="_Toc305158815"/>
      <w:r/>
      <w:bookmarkStart w:id="622" w:name="_Toc150480785"/>
      <w:r/>
      <w:bookmarkStart w:id="623" w:name="_Toc151193935"/>
      <w:r/>
      <w:bookmarkStart w:id="624" w:name="_Toc226965737"/>
      <w:r/>
      <w:bookmarkStart w:id="625" w:name="_Toc305158889"/>
      <w:r/>
      <w:bookmarkStart w:id="626" w:name="_Toc151190174"/>
      <w:r/>
      <w:bookmarkStart w:id="627" w:name="_Toc127151547"/>
      <w:r/>
      <w:bookmarkStart w:id="628" w:name="_Toc142311049"/>
      <w:r/>
      <w:bookmarkStart w:id="629" w:name="_Toc226337243"/>
      <w:r/>
      <w:bookmarkStart w:id="630" w:name="_Toc150774752"/>
      <w:r/>
      <w:bookmarkStart w:id="631" w:name="_Toc164229242"/>
      <w:r/>
      <w:bookmarkStart w:id="632" w:name="_Toc151193717"/>
      <w:r/>
      <w:bookmarkStart w:id="633" w:name="_Toc164608661"/>
      <w:r/>
      <w:bookmarkStart w:id="634" w:name="_Toc150509298"/>
      <w:r/>
      <w:bookmarkStart w:id="635" w:name="_Toc226309791"/>
      <w:r/>
      <w:bookmarkStart w:id="636" w:name="_Toc164351641"/>
      <w:r/>
      <w:bookmarkStart w:id="637" w:name="_Toc151193861"/>
      <w:r/>
      <w:bookmarkStart w:id="638" w:name="_Toc164608816"/>
      <w:r/>
      <w:bookmarkStart w:id="639" w:name="_Toc264969237"/>
      <w:r/>
      <w:bookmarkStart w:id="640" w:name="_Toc127161461"/>
      <w:r/>
      <w:bookmarkStart w:id="641" w:name="_Toc195842912"/>
      <w:r/>
      <w:bookmarkStart w:id="642" w:name="_Toc149720840"/>
      <w:r/>
      <w:bookmarkStart w:id="643" w:name="_Toc226965820"/>
      <w:r/>
      <w:r/>
    </w:p>
    <w:p>
      <w:pPr>
        <w:numPr>
          <w:ilvl w:val="0"/>
          <w:numId w:val="10"/>
        </w:numPr>
        <w:ind w:left="357" w:hanging="357"/>
        <w:spacing w:line="360" w:lineRule="auto"/>
        <w:tabs>
          <w:tab w:val="left" w:pos="360" w:leader="none"/>
        </w:tabs>
        <w:rPr>
          <w:sz w:val="24"/>
        </w:rPr>
        <w:outlineLvl w:val="1"/>
      </w:pPr>
      <w:r>
        <w:rPr>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10"/>
        </w:numPr>
        <w:ind w:left="1077" w:hanging="720"/>
        <w:spacing w:line="360" w:lineRule="auto"/>
        <w:tabs>
          <w:tab w:val="left" w:pos="1080" w:leader="none"/>
          <w:tab w:val="left" w:pos="2014" w:leader="none"/>
        </w:tabs>
        <w:rPr>
          <w:sz w:val="24"/>
        </w:rPr>
      </w:pPr>
      <w:r>
        <w:rPr>
          <w:sz w:val="24"/>
        </w:rPr>
        <w:t xml:space="preserve">招标人将在评标报告确定的中标候选人名单中按顺序确定中标人，中标候选人并列的，由招标人</w:t>
      </w:r>
      <w:r>
        <w:rPr>
          <w:rFonts w:hint="eastAsia"/>
          <w:sz w:val="24"/>
        </w:rPr>
        <w:t xml:space="preserve">依法</w:t>
      </w:r>
      <w:r>
        <w:rPr>
          <w:sz w:val="24"/>
        </w:rPr>
        <w:t xml:space="preserve">确定</w:t>
      </w:r>
      <w:r>
        <w:rPr>
          <w:rFonts w:hint="eastAsia"/>
          <w:sz w:val="24"/>
        </w:rPr>
        <w:t xml:space="preserve">。</w:t>
      </w:r>
      <w:r/>
    </w:p>
    <w:p>
      <w:pPr>
        <w:numPr>
          <w:ilvl w:val="0"/>
          <w:numId w:val="10"/>
        </w:numPr>
        <w:ind w:left="357" w:hanging="357"/>
        <w:spacing w:line="360" w:lineRule="auto"/>
        <w:tabs>
          <w:tab w:val="left" w:pos="360" w:leader="none"/>
        </w:tabs>
        <w:rPr>
          <w:sz w:val="24"/>
        </w:rPr>
        <w:outlineLvl w:val="1"/>
      </w:pPr>
      <w:r/>
      <w:bookmarkStart w:id="644" w:name="_Toc305158891"/>
      <w:r/>
      <w:bookmarkStart w:id="645" w:name="_Toc305158817"/>
      <w:r/>
      <w:bookmarkStart w:id="646" w:name="_Toc151190176"/>
      <w:r/>
      <w:bookmarkStart w:id="647" w:name="_Toc164229244"/>
      <w:r/>
      <w:bookmarkStart w:id="648" w:name="_Toc164229390"/>
      <w:r/>
      <w:bookmarkStart w:id="649" w:name="_Toc142311051"/>
      <w:r/>
      <w:bookmarkStart w:id="650" w:name="_Toc226309793"/>
      <w:r/>
      <w:bookmarkStart w:id="651" w:name="_Toc151193937"/>
      <w:r/>
      <w:bookmarkStart w:id="652" w:name="_Toc127161463"/>
      <w:r/>
      <w:bookmarkStart w:id="653" w:name="_Toc164351643"/>
      <w:r/>
      <w:bookmarkStart w:id="654" w:name="_Toc127151750"/>
      <w:r/>
      <w:bookmarkStart w:id="655" w:name="_Toc151193863"/>
      <w:r/>
      <w:bookmarkStart w:id="656" w:name="_Toc164608663"/>
      <w:r/>
      <w:bookmarkStart w:id="657" w:name="_Toc226965822"/>
      <w:r/>
      <w:bookmarkStart w:id="658" w:name="_Toc149720842"/>
      <w:r/>
      <w:bookmarkStart w:id="659" w:name="_Toc151193647"/>
      <w:r/>
      <w:bookmarkStart w:id="660" w:name="_Toc264969239"/>
      <w:r/>
      <w:bookmarkStart w:id="661" w:name="_Toc150480787"/>
      <w:r/>
      <w:bookmarkStart w:id="662" w:name="_Toc150509300"/>
      <w:r/>
      <w:bookmarkStart w:id="663" w:name="_Toc150774649"/>
      <w:r/>
      <w:bookmarkStart w:id="664" w:name="_Toc226337245"/>
      <w:r/>
      <w:bookmarkStart w:id="665" w:name="_Toc127151549"/>
      <w:r/>
      <w:bookmarkStart w:id="666" w:name="_Toc195842914"/>
      <w:r/>
      <w:bookmarkStart w:id="667" w:name="_Toc150774754"/>
      <w:r/>
      <w:bookmarkStart w:id="668" w:name="_Toc151193791"/>
      <w:r/>
      <w:bookmarkStart w:id="669" w:name="_Toc164608818"/>
      <w:r/>
      <w:bookmarkStart w:id="670" w:name="_Toc265228387"/>
      <w:r/>
      <w:bookmarkStart w:id="671" w:name="_Toc226965739"/>
      <w:r/>
      <w:bookmarkStart w:id="672" w:name="_Toc151193719"/>
      <w:r/>
      <w:bookmarkStart w:id="673" w:name="_Ref467307090"/>
      <w:r/>
      <w:bookmarkStart w:id="674" w:name="_Toc520356176"/>
      <w:r/>
      <w:bookmarkStart w:id="675" w:name="_Ref467306425"/>
      <w:r>
        <w:rPr>
          <w:sz w:val="24"/>
        </w:rPr>
        <w:t xml:space="preserve">中标公告与中标通知书</w:t>
      </w:r>
      <w:bookmarkEnd w:id="644"/>
      <w:r/>
      <w:bookmarkEnd w:id="645"/>
      <w:r/>
      <w:r/>
    </w:p>
    <w:p>
      <w:pPr>
        <w:numPr>
          <w:ilvl w:val="1"/>
          <w:numId w:val="10"/>
        </w:numPr>
        <w:ind w:left="1077" w:hanging="720"/>
        <w:spacing w:line="360" w:lineRule="auto"/>
        <w:tabs>
          <w:tab w:val="left" w:pos="1080" w:leader="none"/>
          <w:tab w:val="left" w:pos="2014" w:leader="none"/>
        </w:tabs>
        <w:rPr>
          <w:sz w:val="24"/>
        </w:rPr>
      </w:pPr>
      <w:r>
        <w:rPr>
          <w:sz w:val="24"/>
        </w:rPr>
        <w:t xml:space="preserve">招标人或招标代理机构自中标人确定之日起2个工作日内，在</w:t>
      </w:r>
      <w:r>
        <w:rPr>
          <w:rFonts w:hint="eastAsia"/>
          <w:sz w:val="24"/>
        </w:rPr>
        <w:t xml:space="preserve">常州市政府采购网</w:t>
      </w:r>
      <w:r>
        <w:rPr>
          <w:sz w:val="24"/>
        </w:rPr>
        <w:t xml:space="preserve">公告中标结果，</w:t>
      </w:r>
      <w:r>
        <w:rPr>
          <w:rFonts w:hint="eastAsia"/>
          <w:sz w:val="24"/>
        </w:rPr>
        <w:t xml:space="preserve">同时向中标人发出中标通知书，</w:t>
      </w:r>
      <w:r>
        <w:rPr>
          <w:sz w:val="24"/>
        </w:rPr>
        <w:t xml:space="preserve">中标公告期限为1个工作日。</w:t>
      </w:r>
      <w:r/>
    </w:p>
    <w:p>
      <w:pPr>
        <w:numPr>
          <w:ilvl w:val="1"/>
          <w:numId w:val="10"/>
        </w:numPr>
        <w:ind w:left="1077" w:hanging="720"/>
        <w:spacing w:line="360" w:lineRule="auto"/>
        <w:tabs>
          <w:tab w:val="left" w:pos="1080" w:leader="none"/>
          <w:tab w:val="left" w:pos="2014" w:leader="none"/>
        </w:tabs>
        <w:rPr>
          <w:sz w:val="24"/>
        </w:rPr>
      </w:pPr>
      <w:r>
        <w:rPr>
          <w:sz w:val="24"/>
        </w:rPr>
        <w:t xml:space="preserve">中标通知书对招标人和中标供应商均具有法律效力。中标通知书发出后，招标人改变中标结果的，或者中标供应商放弃中标项目的，应当依法承担法律责任。</w:t>
      </w:r>
      <w:r/>
    </w:p>
    <w:p>
      <w:pPr>
        <w:numPr>
          <w:ilvl w:val="0"/>
          <w:numId w:val="10"/>
        </w:numPr>
        <w:ind w:left="357" w:hanging="357"/>
        <w:spacing w:line="360" w:lineRule="auto"/>
        <w:tabs>
          <w:tab w:val="left" w:pos="360" w:leader="none"/>
        </w:tabs>
        <w:rPr>
          <w:sz w:val="24"/>
        </w:rPr>
        <w:outlineLvl w:val="1"/>
      </w:pPr>
      <w:r>
        <w:rPr>
          <w:sz w:val="24"/>
        </w:rPr>
        <w:t xml:space="preserve">废标</w:t>
      </w:r>
      <w:r/>
    </w:p>
    <w:p>
      <w:pPr>
        <w:numPr>
          <w:ilvl w:val="1"/>
          <w:numId w:val="10"/>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10"/>
        </w:numPr>
        <w:spacing w:line="360" w:lineRule="auto"/>
        <w:rPr>
          <w:sz w:val="24"/>
        </w:rPr>
      </w:pPr>
      <w:r>
        <w:rPr>
          <w:sz w:val="24"/>
        </w:rPr>
        <w:t xml:space="preserve">符合专业条件的供应商或者对招标文件作实质响应的供应商不足三家的；</w:t>
      </w:r>
      <w:r/>
    </w:p>
    <w:p>
      <w:pPr>
        <w:numPr>
          <w:ilvl w:val="2"/>
          <w:numId w:val="10"/>
        </w:numPr>
        <w:spacing w:line="360" w:lineRule="auto"/>
        <w:rPr>
          <w:sz w:val="24"/>
        </w:rPr>
      </w:pPr>
      <w:r>
        <w:rPr>
          <w:sz w:val="24"/>
        </w:rPr>
        <w:t xml:space="preserve">出现影响采购公正的违法、违规行为的；</w:t>
      </w:r>
      <w:r/>
    </w:p>
    <w:p>
      <w:pPr>
        <w:numPr>
          <w:ilvl w:val="2"/>
          <w:numId w:val="10"/>
        </w:numPr>
        <w:spacing w:line="360" w:lineRule="auto"/>
        <w:rPr>
          <w:sz w:val="24"/>
        </w:rPr>
      </w:pPr>
      <w:r>
        <w:rPr>
          <w:sz w:val="24"/>
        </w:rPr>
        <w:t xml:space="preserve">投标人的报价均超过了采购预算，招标人不能支付的；</w:t>
      </w:r>
      <w:r/>
    </w:p>
    <w:p>
      <w:pPr>
        <w:numPr>
          <w:ilvl w:val="2"/>
          <w:numId w:val="10"/>
        </w:numPr>
        <w:spacing w:line="360" w:lineRule="auto"/>
        <w:rPr>
          <w:sz w:val="24"/>
        </w:rPr>
      </w:pPr>
      <w:r>
        <w:rPr>
          <w:sz w:val="24"/>
        </w:rPr>
        <w:t xml:space="preserve">因重大变故，采购任务取消的。</w:t>
      </w:r>
      <w:r/>
    </w:p>
    <w:p>
      <w:pPr>
        <w:numPr>
          <w:ilvl w:val="2"/>
          <w:numId w:val="10"/>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废标后，招标人将废标理由通知所有投标人。</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p>
    <w:p>
      <w:pPr>
        <w:numPr>
          <w:ilvl w:val="0"/>
          <w:numId w:val="10"/>
        </w:numPr>
        <w:ind w:left="357" w:hanging="357"/>
        <w:spacing w:line="360" w:lineRule="auto"/>
        <w:tabs>
          <w:tab w:val="left" w:pos="360" w:leader="none"/>
        </w:tabs>
        <w:rPr>
          <w:sz w:val="24"/>
        </w:rPr>
        <w:outlineLvl w:val="1"/>
      </w:pPr>
      <w:r/>
      <w:bookmarkStart w:id="676" w:name="_Toc164608664"/>
      <w:r/>
      <w:bookmarkStart w:id="677" w:name="_Toc150774755"/>
      <w:r/>
      <w:bookmarkStart w:id="678" w:name="_Toc151193938"/>
      <w:r/>
      <w:bookmarkStart w:id="679" w:name="_Toc164351644"/>
      <w:r/>
      <w:bookmarkStart w:id="680" w:name="_Toc265228388"/>
      <w:r/>
      <w:bookmarkStart w:id="681" w:name="_Toc226965823"/>
      <w:r/>
      <w:bookmarkStart w:id="682" w:name="_Toc164229391"/>
      <w:r/>
      <w:bookmarkStart w:id="683" w:name="_Toc264969240"/>
      <w:r/>
      <w:bookmarkStart w:id="684" w:name="_Toc195842915"/>
      <w:r/>
      <w:bookmarkStart w:id="685" w:name="_Toc142311052"/>
      <w:r/>
      <w:bookmarkStart w:id="686" w:name="_Ref467307062"/>
      <w:r/>
      <w:bookmarkStart w:id="687" w:name="_Ref467307204"/>
      <w:r/>
      <w:bookmarkStart w:id="688" w:name="_Toc226337246"/>
      <w:r/>
      <w:bookmarkStart w:id="689" w:name="_Toc149720843"/>
      <w:r/>
      <w:bookmarkStart w:id="690" w:name="_Toc127151550"/>
      <w:r/>
      <w:bookmarkStart w:id="691" w:name="_Toc150480788"/>
      <w:r/>
      <w:bookmarkStart w:id="692" w:name="_Ref467306978"/>
      <w:r/>
      <w:bookmarkStart w:id="693" w:name="_Toc305158892"/>
      <w:r/>
      <w:bookmarkStart w:id="694" w:name="_Toc226965740"/>
      <w:r/>
      <w:bookmarkStart w:id="695" w:name="_Toc150509301"/>
      <w:r/>
      <w:bookmarkStart w:id="696" w:name="_Toc226309794"/>
      <w:r/>
      <w:bookmarkStart w:id="697" w:name="_Toc151193792"/>
      <w:r/>
      <w:bookmarkStart w:id="698" w:name="_Toc127151751"/>
      <w:r/>
      <w:bookmarkStart w:id="699" w:name="_Toc151193720"/>
      <w:r/>
      <w:bookmarkStart w:id="700" w:name="_Toc520356175"/>
      <w:r/>
      <w:bookmarkStart w:id="701" w:name="_Ref467306377"/>
      <w:r/>
      <w:bookmarkStart w:id="702" w:name="_Toc164608819"/>
      <w:r/>
      <w:bookmarkStart w:id="703" w:name="_Toc150774650"/>
      <w:r/>
      <w:bookmarkStart w:id="704" w:name="_Toc151190177"/>
      <w:r/>
      <w:bookmarkStart w:id="705" w:name="_Toc127161464"/>
      <w:r/>
      <w:bookmarkStart w:id="706" w:name="_Toc305158818"/>
      <w:r/>
      <w:bookmarkStart w:id="707" w:name="_Toc151193864"/>
      <w:r/>
      <w:bookmarkStart w:id="708" w:name="_Toc151193648"/>
      <w:r/>
      <w:bookmarkStart w:id="709" w:name="_Toc164229245"/>
      <w:r>
        <w:rPr>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10"/>
        </w:numPr>
        <w:ind w:left="1077" w:hanging="720"/>
        <w:spacing w:line="360" w:lineRule="auto"/>
        <w:tabs>
          <w:tab w:val="left" w:pos="1080" w:leader="none"/>
          <w:tab w:val="left" w:pos="2014" w:leader="none"/>
        </w:tabs>
        <w:rPr>
          <w:sz w:val="24"/>
        </w:rPr>
      </w:pPr>
      <w:r>
        <w:rPr>
          <w:sz w:val="24"/>
        </w:rPr>
        <w:t xml:space="preserve">中标人、招标人应当自中标通知书发出之日起30日内，按照招标文件和中标</w:t>
      </w:r>
      <w:r>
        <w:rPr>
          <w:color w:val="000000"/>
          <w:sz w:val="24"/>
        </w:rPr>
        <w:t xml:space="preserve">人投标文件的规定签订书面合同</w:t>
      </w:r>
      <w:r>
        <w:rPr>
          <w:rFonts w:hint="eastAsia" w:ascii="宋体" w:hAnsi="宋体"/>
          <w:color w:val="000000"/>
          <w:sz w:val="24"/>
        </w:rPr>
        <w:t xml:space="preserve">（中标人须在合同签订前、中标通知书发出之日起15日内缴纳履约保证金或提交履约保函中标人不按照招标文件要求提交履约保证金的，取消其中标资格，招标人可以按照评标委员会提出的中标候选人名单排序依次确定其他中标候选人为中标人，也可以重新招标）</w:t>
      </w:r>
      <w:r>
        <w:rPr>
          <w:color w:val="000000"/>
          <w:sz w:val="24"/>
        </w:rPr>
        <w:t xml:space="preserve">。</w:t>
      </w:r>
      <w:r>
        <w:rPr>
          <w:sz w:val="24"/>
        </w:rPr>
        <w:t xml:space="preserve">所签订的合同不得对招标文件确定的事项和中标人投标文件作实质性修改。</w:t>
      </w:r>
      <w:r/>
    </w:p>
    <w:p>
      <w:pPr>
        <w:numPr>
          <w:ilvl w:val="1"/>
          <w:numId w:val="10"/>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与招标人签订合同的，招标人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0"/>
        </w:numPr>
        <w:ind w:left="1077" w:hanging="720"/>
        <w:spacing w:line="360" w:lineRule="auto"/>
        <w:tabs>
          <w:tab w:val="left" w:pos="1080" w:leader="none"/>
          <w:tab w:val="left" w:pos="2014" w:leader="none"/>
        </w:tabs>
        <w:rPr>
          <w:sz w:val="24"/>
        </w:rPr>
      </w:pPr>
      <w:r>
        <w:rPr>
          <w:sz w:val="24"/>
        </w:rPr>
        <w:t xml:space="preserve">联合体中标的，联合体各方应当共同与招标人签订合同，就中标项目向招标人承担连带责任。</w:t>
      </w:r>
      <w:r/>
    </w:p>
    <w:p>
      <w:pPr>
        <w:numPr>
          <w:ilvl w:val="1"/>
          <w:numId w:val="10"/>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10"/>
        </w:numPr>
        <w:ind w:left="1077" w:hanging="720"/>
        <w:spacing w:line="360" w:lineRule="auto"/>
        <w:tabs>
          <w:tab w:val="left" w:pos="1080" w:leader="none"/>
          <w:tab w:val="left" w:pos="2014" w:leader="none"/>
        </w:tabs>
        <w:rPr>
          <w:sz w:val="24"/>
        </w:rPr>
      </w:pPr>
      <w:r>
        <w:rPr>
          <w:sz w:val="24"/>
        </w:rPr>
        <w:t xml:space="preserve">招标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。中标人就采购项目和分包项目向招标人负责，分包供应商就分包项目承担责任。</w:t>
      </w:r>
      <w:bookmarkEnd w:id="673"/>
      <w:bookmarkEnd w:id="674"/>
      <w:bookmarkEnd w:id="675"/>
      <w:r/>
    </w:p>
    <w:p>
      <w:pPr>
        <w:numPr>
          <w:ilvl w:val="0"/>
          <w:numId w:val="10"/>
        </w:numPr>
        <w:ind w:left="357" w:hanging="357"/>
        <w:spacing w:line="360" w:lineRule="auto"/>
        <w:tabs>
          <w:tab w:val="left" w:pos="360" w:leader="none"/>
        </w:tabs>
        <w:rPr>
          <w:sz w:val="24"/>
        </w:rPr>
        <w:outlineLvl w:val="1"/>
      </w:pPr>
      <w:r>
        <w:rPr>
          <w:sz w:val="24"/>
        </w:rPr>
        <w:t xml:space="preserve">询问与质疑</w:t>
      </w:r>
      <w:r/>
    </w:p>
    <w:p>
      <w:pPr>
        <w:numPr>
          <w:ilvl w:val="1"/>
          <w:numId w:val="10"/>
        </w:numPr>
        <w:ind w:left="1077" w:hanging="720"/>
        <w:spacing w:line="360" w:lineRule="auto"/>
        <w:tabs>
          <w:tab w:val="left" w:pos="1080" w:leader="none"/>
          <w:tab w:val="left" w:pos="2014" w:leader="none"/>
        </w:tabs>
        <w:rPr>
          <w:sz w:val="24"/>
        </w:rPr>
      </w:pPr>
      <w:r>
        <w:rPr>
          <w:sz w:val="24"/>
        </w:rPr>
        <w:t xml:space="preserve">询问</w:t>
      </w:r>
      <w:r/>
    </w:p>
    <w:p>
      <w:pPr>
        <w:numPr>
          <w:ilvl w:val="2"/>
          <w:numId w:val="10"/>
        </w:numPr>
        <w:spacing w:line="360" w:lineRule="auto"/>
        <w:rPr>
          <w:sz w:val="24"/>
        </w:rPr>
      </w:pPr>
      <w:r>
        <w:rPr>
          <w:sz w:val="24"/>
        </w:rPr>
        <w:t xml:space="preserve">投标人对政府采购活动事项有疑问的，可依法提出询问，并按《投标人须知资料表》载明的形式送达招标人或招标代理机构。</w:t>
      </w:r>
      <w:r/>
    </w:p>
    <w:p>
      <w:pPr>
        <w:numPr>
          <w:ilvl w:val="2"/>
          <w:numId w:val="10"/>
        </w:numPr>
        <w:spacing w:line="360" w:lineRule="auto"/>
        <w:rPr>
          <w:sz w:val="24"/>
        </w:rPr>
      </w:pPr>
      <w:r>
        <w:rPr>
          <w:sz w:val="24"/>
        </w:rPr>
        <w:t xml:space="preserve">招标人或招标代理机构对供应商依法提出的询问，在3个工作日内作出答复，但答复的内容不得涉及商业秘密。</w:t>
      </w:r>
      <w:r/>
    </w:p>
    <w:p>
      <w:pPr>
        <w:numPr>
          <w:ilvl w:val="1"/>
          <w:numId w:val="10"/>
        </w:numPr>
        <w:ind w:left="1077" w:hanging="720"/>
        <w:spacing w:line="360" w:lineRule="auto"/>
        <w:tabs>
          <w:tab w:val="left" w:pos="1080" w:leader="none"/>
          <w:tab w:val="left" w:pos="2014" w:leader="none"/>
        </w:tabs>
        <w:rPr>
          <w:sz w:val="24"/>
        </w:rPr>
      </w:pPr>
      <w:r>
        <w:rPr>
          <w:sz w:val="24"/>
        </w:rPr>
        <w:t xml:space="preserve">质疑</w:t>
      </w:r>
      <w:r/>
    </w:p>
    <w:p>
      <w:pPr>
        <w:numPr>
          <w:ilvl w:val="2"/>
          <w:numId w:val="10"/>
        </w:numPr>
        <w:spacing w:line="360" w:lineRule="auto"/>
        <w:rPr>
          <w:sz w:val="24"/>
        </w:rPr>
      </w:pPr>
      <w:r>
        <w:rPr>
          <w:sz w:val="24"/>
        </w:rPr>
        <w:t xml:space="preserve">投标人认为招标文件、采购过程、中标结果使自己的权益受到损害的，可以在知道或者应知其权益受到损害之日起7个工作日内，由投标人派授权代表以书面形式向招标人、招标代理机构提出质疑。招标人、招标代理机构在收到质疑函后7个工作日内作出答复。</w:t>
      </w:r>
      <w:r/>
    </w:p>
    <w:p>
      <w:pPr>
        <w:numPr>
          <w:ilvl w:val="2"/>
          <w:numId w:val="10"/>
        </w:numPr>
        <w:spacing w:line="360" w:lineRule="auto"/>
        <w:rPr>
          <w:sz w:val="24"/>
        </w:rPr>
      </w:pPr>
      <w:r>
        <w:rPr>
          <w:rFonts w:hint="eastAsia" w:ascii="宋体" w:hAnsi="宋体"/>
          <w:b/>
          <w:sz w:val="24"/>
        </w:rPr>
        <w:t xml:space="preserve">招标文件中采购需求以及相关部分（第四章、第五章以及投标人资格要求）由招标人负责制定和管理，对该部分内容有询问或者质疑的，投标人应当向招标人书面提出，由招标人负责接收和回复。</w:t>
      </w:r>
      <w:r/>
    </w:p>
    <w:p>
      <w:pPr>
        <w:numPr>
          <w:ilvl w:val="2"/>
          <w:numId w:val="10"/>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07"/>
          <w:color w:val="000000"/>
        </w:rPr>
        <w:t xml:space="preserve">http</w:t>
      </w:r>
      <w:r>
        <w:rPr>
          <w:rStyle w:val="1107"/>
          <w:rFonts w:hint="eastAsia"/>
          <w:color w:val="000000"/>
        </w:rPr>
        <w:t xml:space="preserve">：</w:t>
      </w:r>
      <w:r>
        <w:rPr>
          <w:rStyle w:val="1107"/>
          <w:color w:val="000000"/>
        </w:rPr>
        <w:t xml:space="preserve">//gk</w:t>
      </w:r>
      <w:bookmarkStart w:id="710" w:name="_Hlt100654014"/>
      <w:r>
        <w:rPr>
          <w:rStyle w:val="1107"/>
          <w:color w:val="000000"/>
        </w:rPr>
        <w:t xml:space="preserve">s</w:t>
      </w:r>
      <w:bookmarkEnd w:id="710"/>
      <w:r>
        <w:rPr>
          <w:rStyle w:val="1107"/>
          <w:color w:val="000000"/>
        </w:rPr>
        <w:t xml:space="preserve">.m</w:t>
      </w:r>
      <w:bookmarkStart w:id="711" w:name="_Hlt100653993"/>
      <w:r/>
      <w:bookmarkStart w:id="712" w:name="_Hlt100653994"/>
      <w:r>
        <w:rPr>
          <w:rStyle w:val="1107"/>
          <w:color w:val="000000"/>
        </w:rPr>
        <w:t xml:space="preserve">o</w:t>
      </w:r>
      <w:bookmarkEnd w:id="711"/>
      <w:r/>
      <w:bookmarkEnd w:id="712"/>
      <w:r>
        <w:rPr>
          <w:rStyle w:val="1107"/>
          <w:color w:val="000000"/>
        </w:rPr>
        <w:t xml:space="preserve">f.gov.cn/ztztz/zhengfucaigouguanli/201802/t20180201_2804589.htm</w:t>
      </w:r>
      <w:r>
        <w:rPr>
          <w:rStyle w:val="1107"/>
          <w:color w:val="000000"/>
        </w:rPr>
        <w:fldChar w:fldCharType="end"/>
      </w:r>
      <w:r>
        <w:rPr>
          <w:rFonts w:hint="eastAsia"/>
        </w:rPr>
        <w:t xml:space="preserve">）</w:t>
      </w:r>
      <w:r/>
    </w:p>
    <w:p>
      <w:pPr>
        <w:numPr>
          <w:ilvl w:val="2"/>
          <w:numId w:val="10"/>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0"/>
        </w:numPr>
        <w:spacing w:line="360" w:lineRule="auto"/>
        <w:rPr>
          <w:sz w:val="24"/>
        </w:rPr>
      </w:pPr>
      <w:r>
        <w:rPr>
          <w:sz w:val="24"/>
        </w:rPr>
        <w:t xml:space="preserve">投标人应在法定质疑期内一次性提出针对同一采购程序环节的质疑，法定质疑期内针对同一采购程序环节再次提出的质疑，招标人、招标代理机构有权不予答复。</w:t>
      </w:r>
      <w:r/>
    </w:p>
    <w:p>
      <w:pPr>
        <w:numPr>
          <w:ilvl w:val="1"/>
          <w:numId w:val="10"/>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0"/>
        </w:numPr>
        <w:ind w:left="357" w:hanging="357"/>
        <w:spacing w:line="360" w:lineRule="auto"/>
        <w:tabs>
          <w:tab w:val="left" w:pos="360" w:leader="none"/>
        </w:tabs>
        <w:rPr>
          <w:sz w:val="24"/>
        </w:rPr>
        <w:outlineLvl w:val="1"/>
      </w:pPr>
      <w:r>
        <w:rPr>
          <w:sz w:val="24"/>
        </w:rPr>
        <w:t xml:space="preserve">代理费</w:t>
      </w:r>
      <w:r/>
    </w:p>
    <w:p>
      <w:pPr>
        <w:numPr>
          <w:ilvl w:val="1"/>
          <w:numId w:val="10"/>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收费对象、收费标准及缴纳时间见《投标人须知资料表》。由中标人支付的，中标人须一次性向招标代理机构缴纳代理费，投标报价应包含代理费用。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3" w:name="_Toc150480792"/>
      <w:r/>
      <w:bookmarkStart w:id="714" w:name="_Toc264969244"/>
      <w:r/>
      <w:bookmarkStart w:id="715" w:name="_Toc265228392"/>
      <w:r/>
      <w:bookmarkStart w:id="716" w:name="_Toc127151554"/>
      <w:r/>
      <w:bookmarkStart w:id="717" w:name="_Toc305158896"/>
      <w:r/>
      <w:bookmarkStart w:id="718" w:name="_Toc305158822"/>
      <w:r/>
      <w:bookmarkStart w:id="719" w:name="_Toc353825544"/>
      <w:r/>
      <w:bookmarkStart w:id="720" w:name="_Toc150774759"/>
      <w:r/>
      <w:bookmarkStart w:id="721" w:name="_Toc142311056"/>
      <w:r/>
      <w:bookmarkStart w:id="722" w:name="_Toc353873934"/>
      <w:r/>
      <w:bookmarkStart w:id="723" w:name="_Toc226965827"/>
      <w:r/>
      <w:bookmarkStart w:id="724" w:name="_Toc353873664"/>
      <w:r/>
      <w:bookmarkStart w:id="725" w:name="_Toc226337250"/>
      <w:r>
        <w:rPr>
          <w:sz w:val="24"/>
        </w:rPr>
        <w:br w:type="page" w:clear="all"/>
      </w:r>
      <w:bookmarkStart w:id="726" w:name="_Toc17622"/>
      <w:r>
        <w:rPr>
          <w:b/>
          <w:sz w:val="36"/>
          <w:szCs w:val="36"/>
        </w:rPr>
        <w:t xml:space="preserve">第三章</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rPr>
        <w:t xml:space="preserve">   资格审查</w:t>
      </w:r>
      <w:bookmarkEnd w:id="726"/>
      <w:r/>
      <w:bookmarkStart w:id="727" w:name="_Toc487900382"/>
      <w:r/>
      <w:r/>
    </w:p>
    <w:p>
      <w:pPr>
        <w:jc w:val="center"/>
        <w:spacing w:line="360" w:lineRule="auto"/>
        <w:tabs>
          <w:tab w:val="left" w:pos="360" w:leader="none"/>
          <w:tab w:val="left" w:pos="900" w:leader="none"/>
        </w:tabs>
        <w:rPr>
          <w:b/>
          <w:sz w:val="24"/>
        </w:rPr>
        <w:outlineLvl w:val="1"/>
      </w:pPr>
      <w:r/>
      <w:bookmarkStart w:id="728" w:name="_Toc99301422"/>
      <w:r>
        <w:rPr>
          <w:b/>
          <w:sz w:val="24"/>
        </w:rPr>
        <w:t xml:space="preserve">一、资格审查程序</w:t>
      </w:r>
      <w:bookmarkEnd w:id="728"/>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开标结束后，</w:t>
      </w:r>
      <w:r>
        <w:rPr>
          <w:rFonts w:hint="eastAsia"/>
          <w:sz w:val="24"/>
        </w:rPr>
        <w:t xml:space="preserve">招标代理机构</w:t>
      </w:r>
      <w:r>
        <w:rPr>
          <w:sz w:val="24"/>
        </w:rPr>
        <w:t xml:space="preserve">将根据《资格审查要求》中的规定，对投标人进行资格审查，并形成资格审查结果。</w:t>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w:t>
      </w:r>
      <w:r>
        <w:rPr>
          <w:rFonts w:hint="eastAsia"/>
          <w:sz w:val="24"/>
        </w:rPr>
        <w:t xml:space="preserve">“</w:t>
      </w:r>
      <w:r>
        <w:rPr>
          <w:sz w:val="24"/>
        </w:rPr>
        <w:t xml:space="preserve">实质性格式</w:t>
      </w:r>
      <w:r>
        <w:rPr>
          <w:rFonts w:hint="eastAsia"/>
          <w:sz w:val="24"/>
        </w:rPr>
        <w:t xml:space="preserve">”</w:t>
      </w:r>
      <w:r>
        <w:rPr>
          <w:sz w:val="24"/>
        </w:rPr>
        <w:t xml:space="preserve">文件。</w:t>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资格审查合格的投标人不足3家的，</w:t>
      </w:r>
      <w:r>
        <w:rPr>
          <w:rFonts w:hint="eastAsia"/>
          <w:sz w:val="24"/>
        </w:rPr>
        <w:t xml:space="preserve">本项目</w:t>
      </w:r>
      <w:r>
        <w:rPr>
          <w:sz w:val="24"/>
        </w:rPr>
        <w:t xml:space="preserve">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845"/>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53"/>
        <w:gridCol w:w="4822"/>
        <w:gridCol w:w="1638"/>
      </w:tblGrid>
      <w:tr>
        <w:trPr>
          <w:cantSplit/>
          <w:trHeight w:val="468"/>
          <w:tblHeader/>
        </w:trPr>
        <w:tc>
          <w:tcPr>
            <w:tcW w:w="851" w:type="dxa"/>
            <w:vAlign w:val="center"/>
            <w:textDirection w:val="lrTb"/>
            <w:noWrap w:val="false"/>
          </w:tcPr>
          <w:p>
            <w:pPr>
              <w:jc w:val="center"/>
              <w:tabs>
                <w:tab w:val="left" w:pos="1080" w:leader="none"/>
              </w:tabs>
              <w:rPr>
                <w:b/>
                <w:sz w:val="24"/>
              </w:rPr>
            </w:pPr>
            <w:r/>
            <w:bookmarkStart w:id="729" w:name="_Hlt487972895"/>
            <w:r/>
            <w:bookmarkEnd w:id="729"/>
            <w:r>
              <w:rPr>
                <w:b/>
                <w:sz w:val="24"/>
              </w:rPr>
              <w:t xml:space="preserve">序号</w:t>
            </w:r>
            <w:r/>
          </w:p>
        </w:tc>
        <w:tc>
          <w:tcPr>
            <w:tcW w:w="2153" w:type="dxa"/>
            <w:vAlign w:val="center"/>
            <w:textDirection w:val="lrTb"/>
            <w:noWrap w:val="false"/>
          </w:tcPr>
          <w:p>
            <w:pPr>
              <w:jc w:val="center"/>
              <w:tabs>
                <w:tab w:val="left" w:pos="1080" w:leader="none"/>
              </w:tabs>
              <w:rPr>
                <w:b/>
                <w:sz w:val="24"/>
              </w:rPr>
            </w:pPr>
            <w:r>
              <w:rPr>
                <w:b/>
                <w:sz w:val="24"/>
              </w:rPr>
              <w:t xml:space="preserve">审查因素</w:t>
            </w:r>
            <w:r/>
          </w:p>
        </w:tc>
        <w:tc>
          <w:tcPr>
            <w:tcW w:w="4822" w:type="dxa"/>
            <w:vAlign w:val="center"/>
            <w:textDirection w:val="lrTb"/>
            <w:noWrap w:val="false"/>
          </w:tcPr>
          <w:p>
            <w:pPr>
              <w:jc w:val="center"/>
              <w:tabs>
                <w:tab w:val="left" w:pos="1080" w:leader="none"/>
              </w:tabs>
              <w:rPr>
                <w:b/>
                <w:sz w:val="24"/>
              </w:rPr>
            </w:pPr>
            <w:r>
              <w:rPr>
                <w:b/>
                <w:sz w:val="24"/>
              </w:rPr>
              <w:t xml:space="preserve">审查内容</w:t>
            </w:r>
            <w:r/>
          </w:p>
        </w:tc>
        <w:tc>
          <w:tcPr>
            <w:tcW w:w="1638"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1</w:t>
            </w:r>
            <w:r/>
          </w:p>
        </w:tc>
        <w:tc>
          <w:tcPr>
            <w:tcW w:w="2153" w:type="dxa"/>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4822" w:type="dxa"/>
            <w:vAlign w:val="center"/>
            <w:textDirection w:val="lrTb"/>
            <w:noWrap w:val="false"/>
          </w:tcPr>
          <w:p>
            <w:pPr>
              <w:tabs>
                <w:tab w:val="left" w:pos="1080" w:leader="none"/>
              </w:tabs>
              <w:rPr>
                <w:sz w:val="24"/>
              </w:rPr>
            </w:pPr>
            <w:r>
              <w:rPr>
                <w:sz w:val="24"/>
              </w:rPr>
              <w:t xml:space="preserve">具体规定见第一章《投标邀请》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1</w:t>
            </w:r>
            <w:r>
              <w:rPr>
                <w:rFonts w:hint="eastAsia"/>
                <w:sz w:val="24"/>
              </w:rPr>
              <w:t xml:space="preserve">-1</w:t>
            </w:r>
            <w:r/>
          </w:p>
        </w:tc>
        <w:tc>
          <w:tcPr>
            <w:tcW w:w="2153" w:type="dxa"/>
            <w:vAlign w:val="center"/>
            <w:textDirection w:val="lrTb"/>
            <w:noWrap w:val="false"/>
          </w:tcPr>
          <w:p>
            <w:pPr>
              <w:tabs>
                <w:tab w:val="left" w:pos="1080" w:leader="none"/>
              </w:tabs>
              <w:rPr>
                <w:sz w:val="24"/>
              </w:rPr>
            </w:pPr>
            <w:r>
              <w:rPr>
                <w:rFonts w:hint="eastAsia"/>
                <w:sz w:val="24"/>
              </w:rPr>
              <w:t xml:space="preserve">投标人资格声明函</w:t>
            </w:r>
            <w:r/>
          </w:p>
        </w:tc>
        <w:tc>
          <w:tcPr>
            <w:tcW w:w="4822" w:type="dxa"/>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1638"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851" w:type="dxa"/>
            <w:vAlign w:val="center"/>
            <w:textDirection w:val="lrTb"/>
            <w:noWrap w:val="false"/>
          </w:tcPr>
          <w:p>
            <w:pPr>
              <w:jc w:val="center"/>
              <w:tabs>
                <w:tab w:val="left" w:pos="1080" w:leader="none"/>
              </w:tabs>
              <w:rPr>
                <w:sz w:val="24"/>
              </w:rPr>
            </w:pPr>
            <w:r>
              <w:rPr>
                <w:rFonts w:hint="eastAsia"/>
                <w:sz w:val="24"/>
              </w:rPr>
              <w:t xml:space="preserve">1-2</w:t>
            </w:r>
            <w:r/>
          </w:p>
        </w:tc>
        <w:tc>
          <w:tcPr>
            <w:tcW w:w="2153" w:type="dxa"/>
            <w:vAlign w:val="center"/>
            <w:textDirection w:val="lrTb"/>
            <w:noWrap w:val="false"/>
          </w:tcPr>
          <w:p>
            <w:pPr>
              <w:tabs>
                <w:tab w:val="left" w:pos="1080" w:leader="none"/>
              </w:tabs>
              <w:rPr>
                <w:sz w:val="24"/>
              </w:rPr>
            </w:pPr>
            <w:r>
              <w:rPr>
                <w:sz w:val="24"/>
              </w:rPr>
              <w:t xml:space="preserve">投标人信用记录</w:t>
            </w:r>
            <w:r/>
          </w:p>
        </w:tc>
        <w:tc>
          <w:tcPr>
            <w:tcW w:w="4822" w:type="dxa"/>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资格审查阶段招标人或</w:t>
            </w:r>
            <w:r>
              <w:rPr>
                <w:sz w:val="24"/>
              </w:rPr>
              <w:t xml:space="preserve">招标代理机构的实际查询时间；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信用信息查询记录和证据留存具体方式：查询结果网页打印页作为查询记录和证据，与其他招标文件一并保存；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1638" w:type="dxa"/>
            <w:vAlign w:val="center"/>
            <w:textDirection w:val="lrTb"/>
            <w:noWrap w:val="false"/>
          </w:tcPr>
          <w:p>
            <w:pPr>
              <w:tabs>
                <w:tab w:val="left" w:pos="1080" w:leader="none"/>
              </w:tabs>
              <w:rPr>
                <w:sz w:val="24"/>
              </w:rPr>
            </w:pPr>
            <w:r>
              <w:rPr>
                <w:sz w:val="24"/>
              </w:rPr>
              <w:t xml:space="preserve">无须投标人提供，由</w:t>
            </w:r>
            <w:r>
              <w:rPr>
                <w:rFonts w:hint="eastAsia"/>
                <w:sz w:val="24"/>
              </w:rPr>
              <w:t xml:space="preserve">招标代理机构</w:t>
            </w:r>
            <w:r>
              <w:rPr>
                <w:sz w:val="24"/>
              </w:rPr>
              <w:t xml:space="preserve">查询。</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w:t>
            </w:r>
            <w:r/>
          </w:p>
        </w:tc>
        <w:tc>
          <w:tcPr>
            <w:tcW w:w="2153"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4822" w:type="dxa"/>
            <w:vAlign w:val="center"/>
            <w:textDirection w:val="lrTb"/>
            <w:noWrap w:val="false"/>
          </w:tcPr>
          <w:p>
            <w:pPr>
              <w:tabs>
                <w:tab w:val="left" w:pos="1080" w:leader="none"/>
              </w:tabs>
              <w:rPr>
                <w:sz w:val="24"/>
              </w:rPr>
            </w:pPr>
            <w:r>
              <w:rPr>
                <w:sz w:val="24"/>
              </w:rPr>
              <w:t xml:space="preserve">具体要求见第一章《投标邀请》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2-1</w:t>
            </w:r>
            <w:r/>
          </w:p>
        </w:tc>
        <w:tc>
          <w:tcPr>
            <w:tcW w:w="2153" w:type="dxa"/>
            <w:vAlign w:val="center"/>
            <w:textDirection w:val="lrTb"/>
            <w:noWrap w:val="false"/>
          </w:tcPr>
          <w:p>
            <w:pPr>
              <w:tabs>
                <w:tab w:val="left" w:pos="1080" w:leader="none"/>
              </w:tabs>
              <w:rPr>
                <w:sz w:val="24"/>
              </w:rPr>
            </w:pPr>
            <w:r>
              <w:rPr>
                <w:rFonts w:hint="eastAsia"/>
                <w:sz w:val="24"/>
                <w:lang w:val="en-US" w:eastAsia="zh-CN"/>
              </w:rPr>
              <w:t xml:space="preserve">中小企业声明函</w:t>
            </w:r>
            <w:r/>
          </w:p>
        </w:tc>
        <w:tc>
          <w:tcPr>
            <w:tcW w:w="4822" w:type="dxa"/>
            <w:vAlign w:val="center"/>
            <w:textDirection w:val="lrTb"/>
            <w:noWrap w:val="false"/>
          </w:tcPr>
          <w:p>
            <w:pPr>
              <w:tabs>
                <w:tab w:val="left" w:pos="1080" w:leader="none"/>
              </w:tabs>
              <w:rPr>
                <w:sz w:val="24"/>
              </w:rPr>
            </w:pPr>
            <w:r>
              <w:rPr>
                <w:rFonts w:hint="eastAsia"/>
                <w:sz w:val="24"/>
              </w:rPr>
              <w:t xml:space="preserve">1、</w:t>
            </w:r>
            <w:r>
              <w:rPr>
                <w:rFonts w:hint="eastAsia"/>
                <w:sz w:val="24"/>
                <w:lang w:val="en-US" w:eastAsia="zh-CN"/>
              </w:rPr>
              <w:t xml:space="preserve">如本项目专门面向中小企业采购，</w:t>
            </w:r>
            <w:r>
              <w:rPr>
                <w:rFonts w:hint="eastAsia"/>
                <w:sz w:val="24"/>
              </w:rPr>
              <w:t xml:space="preserve">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p>
          <w:p>
            <w:pPr>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tabs>
                <w:tab w:val="left" w:pos="1080" w:leader="none"/>
              </w:tabs>
              <w:rPr>
                <w:sz w:val="24"/>
              </w:rPr>
            </w:pPr>
            <w:r>
              <w:rPr>
                <w:rFonts w:hint="eastAsia"/>
                <w:sz w:val="24"/>
              </w:rPr>
              <w:t xml:space="preserve">注2：</w:t>
            </w:r>
            <w:r>
              <w:rPr>
                <w:sz w:val="24"/>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2-2</w:t>
            </w:r>
            <w:r/>
          </w:p>
        </w:tc>
        <w:tc>
          <w:tcPr>
            <w:tcW w:w="2153" w:type="dxa"/>
            <w:vAlign w:val="center"/>
            <w:textDirection w:val="lrTb"/>
            <w:noWrap w:val="false"/>
          </w:tcPr>
          <w:p>
            <w:pPr>
              <w:tabs>
                <w:tab w:val="left" w:pos="1080" w:leader="none"/>
              </w:tabs>
              <w:rPr>
                <w:sz w:val="24"/>
              </w:rPr>
            </w:pPr>
            <w:r>
              <w:rPr>
                <w:sz w:val="24"/>
              </w:rPr>
              <w:t xml:space="preserve">其它落实政府采购政策的资格要求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t xml:space="preserve">提供证明文件的电子件或电子证照</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3</w:t>
            </w:r>
            <w:r/>
          </w:p>
        </w:tc>
        <w:tc>
          <w:tcPr>
            <w:tcW w:w="2153" w:type="dxa"/>
            <w:vAlign w:val="center"/>
            <w:textDirection w:val="lrTb"/>
            <w:noWrap w:val="false"/>
          </w:tcPr>
          <w:p>
            <w:pPr>
              <w:tabs>
                <w:tab w:val="left" w:pos="1080" w:leader="none"/>
              </w:tabs>
              <w:rPr>
                <w:sz w:val="24"/>
              </w:rPr>
            </w:pPr>
            <w:r>
              <w:rPr>
                <w:sz w:val="24"/>
              </w:rPr>
              <w:t xml:space="preserve">本项目的特定资格要求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548"/>
        </w:trPr>
        <w:tc>
          <w:tcPr>
            <w:tcW w:w="851" w:type="dxa"/>
            <w:vAlign w:val="center"/>
            <w:textDirection w:val="lrTb"/>
            <w:noWrap w:val="false"/>
          </w:tcPr>
          <w:p>
            <w:pPr>
              <w:jc w:val="center"/>
              <w:tabs>
                <w:tab w:val="left" w:pos="1080" w:leader="none"/>
              </w:tabs>
              <w:rPr>
                <w:sz w:val="24"/>
              </w:rPr>
            </w:pPr>
            <w:r>
              <w:rPr>
                <w:sz w:val="24"/>
              </w:rPr>
              <w:t xml:space="preserve">3-1</w:t>
            </w:r>
            <w:r/>
          </w:p>
        </w:tc>
        <w:tc>
          <w:tcPr>
            <w:tcW w:w="2153" w:type="dxa"/>
            <w:vAlign w:val="center"/>
            <w:textDirection w:val="lrTb"/>
            <w:noWrap w:val="false"/>
          </w:tcPr>
          <w:p>
            <w:pPr>
              <w:tabs>
                <w:tab w:val="left" w:pos="1080" w:leader="none"/>
              </w:tabs>
              <w:rPr>
                <w:sz w:val="24"/>
              </w:rPr>
            </w:pPr>
            <w:r>
              <w:rPr>
                <w:sz w:val="24"/>
              </w:rPr>
              <w:t xml:space="preserve">是否接受联合体投标</w:t>
            </w:r>
            <w:r/>
          </w:p>
        </w:tc>
        <w:tc>
          <w:tcPr>
            <w:tcW w:w="4822" w:type="dxa"/>
            <w:vAlign w:val="center"/>
            <w:textDirection w:val="lrTb"/>
            <w:noWrap w:val="false"/>
          </w:tcPr>
          <w:p>
            <w:pPr>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rFonts w:hint="eastAsia"/>
                <w:sz w:val="24"/>
              </w:rPr>
              <w:t xml:space="preserve">联合体各成员单位均须提供本表中序号1-1、1-2的证明文件。</w:t>
            </w:r>
            <w:r/>
          </w:p>
          <w:p>
            <w:pPr>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6、若联合体中任一成员单位中途退出，则该联合体的</w:t>
            </w:r>
            <w:r>
              <w:rPr>
                <w:b/>
                <w:sz w:val="24"/>
              </w:rPr>
              <w:t xml:space="preserve">投标无效</w:t>
            </w:r>
            <w:r>
              <w:rPr>
                <w:sz w:val="24"/>
              </w:rPr>
              <w:t xml:space="preserve">。</w:t>
            </w:r>
            <w:r/>
          </w:p>
          <w:p>
            <w:pPr>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1638" w:type="dxa"/>
            <w:vAlign w:val="center"/>
            <w:textDirection w:val="lrTb"/>
            <w:noWrap w:val="false"/>
          </w:tcPr>
          <w:p>
            <w:pPr>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p>
          <w:p>
            <w:pPr>
              <w:tabs>
                <w:tab w:val="left" w:pos="1080" w:leader="none"/>
              </w:tabs>
              <w:rPr>
                <w:sz w:val="24"/>
              </w:rPr>
            </w:pPr>
            <w:r>
              <w:rPr>
                <w:sz w:val="24"/>
              </w:rPr>
              <w:t xml:space="preserve">格式见《投标文件格式》</w:t>
            </w:r>
            <w:r/>
          </w:p>
        </w:tc>
      </w:tr>
      <w:tr>
        <w:trPr>
          <w:cantSplit/>
          <w:trHeight w:val="460"/>
        </w:trPr>
        <w:tc>
          <w:tcPr>
            <w:tcW w:w="851" w:type="dxa"/>
            <w:vAlign w:val="center"/>
            <w:textDirection w:val="lrTb"/>
            <w:noWrap w:val="false"/>
          </w:tcPr>
          <w:p>
            <w:pPr>
              <w:jc w:val="center"/>
              <w:tabs>
                <w:tab w:val="left" w:pos="1080" w:leader="none"/>
              </w:tabs>
              <w:rPr>
                <w:sz w:val="24"/>
              </w:rPr>
            </w:pPr>
            <w:r>
              <w:rPr>
                <w:sz w:val="24"/>
              </w:rPr>
              <w:t xml:space="preserve">3-2</w:t>
            </w:r>
            <w:r/>
          </w:p>
        </w:tc>
        <w:tc>
          <w:tcPr>
            <w:tcW w:w="2153" w:type="dxa"/>
            <w:vAlign w:val="center"/>
            <w:textDirection w:val="lrTb"/>
            <w:noWrap w:val="false"/>
          </w:tcPr>
          <w:p>
            <w:pPr>
              <w:tabs>
                <w:tab w:val="left" w:pos="1080" w:leader="none"/>
              </w:tabs>
              <w:rPr>
                <w:sz w:val="24"/>
              </w:rPr>
            </w:pPr>
            <w:r>
              <w:rPr>
                <w:sz w:val="24"/>
              </w:rPr>
              <w:t xml:space="preserve">其他特定资格要求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t xml:space="preserve">提供证明文件的电子件或电子证照</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r/>
          </w:p>
        </w:tc>
      </w:tr>
    </w:tbl>
    <w:p>
      <w:pPr>
        <w:jc w:val="center"/>
        <w:spacing w:line="360" w:lineRule="auto"/>
        <w:rPr>
          <w:b/>
          <w:sz w:val="36"/>
          <w:szCs w:val="36"/>
        </w:rPr>
        <w:outlineLvl w:val="0"/>
      </w:pPr>
      <w:r/>
      <w:bookmarkStart w:id="730" w:name="_Toc226965858"/>
      <w:r/>
      <w:bookmarkStart w:id="731" w:name="_Toc353825550"/>
      <w:r/>
      <w:bookmarkStart w:id="732" w:name="_Toc353873940"/>
      <w:r/>
      <w:bookmarkStart w:id="733" w:name="_Toc127161490"/>
      <w:r/>
      <w:bookmarkStart w:id="734" w:name="_Toc127151779"/>
      <w:r>
        <w:rPr>
          <w:sz w:val="24"/>
        </w:rPr>
        <w:br w:type="page" w:clear="all"/>
      </w:r>
      <w:bookmarkStart w:id="735" w:name="_Toc7435"/>
      <w:r>
        <w:rPr>
          <w:b/>
          <w:sz w:val="36"/>
          <w:szCs w:val="36"/>
        </w:rPr>
        <w:t xml:space="preserve">第四章</w:t>
      </w:r>
      <w:bookmarkEnd w:id="730"/>
      <w:r/>
      <w:bookmarkEnd w:id="731"/>
      <w:r/>
      <w:bookmarkEnd w:id="732"/>
      <w:r/>
      <w:bookmarkEnd w:id="733"/>
      <w:r/>
      <w:bookmarkEnd w:id="734"/>
      <w:r/>
      <w:bookmarkStart w:id="736" w:name="_Hlt164229061"/>
      <w:r/>
      <w:bookmarkEnd w:id="736"/>
      <w:r>
        <w:rPr>
          <w:b/>
          <w:sz w:val="36"/>
          <w:szCs w:val="36"/>
        </w:rPr>
        <w:t xml:space="preserve">   评标程序、评标方法和评标标准</w:t>
      </w:r>
      <w:bookmarkEnd w:id="735"/>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4"/>
        </w:numPr>
        <w:spacing w:line="360" w:lineRule="auto"/>
        <w:tabs>
          <w:tab w:val="left" w:pos="360" w:leader="none"/>
        </w:tabs>
        <w:rPr>
          <w:sz w:val="24"/>
        </w:rPr>
        <w:outlineLvl w:val="1"/>
      </w:pPr>
      <w:r/>
      <w:bookmarkStart w:id="737" w:name="_Toc151193639"/>
      <w:r/>
      <w:bookmarkStart w:id="738" w:name="_Toc264969231"/>
      <w:r/>
      <w:bookmarkStart w:id="739" w:name="_Toc164229382"/>
      <w:r/>
      <w:bookmarkStart w:id="740" w:name="_Toc164229236"/>
      <w:r/>
      <w:bookmarkStart w:id="741" w:name="_Toc127161455"/>
      <w:r/>
      <w:bookmarkStart w:id="742" w:name="_Toc164351635"/>
      <w:r/>
      <w:bookmarkStart w:id="743" w:name="_Toc164608810"/>
      <w:r/>
      <w:bookmarkStart w:id="744" w:name="_Toc226965731"/>
      <w:r/>
      <w:bookmarkStart w:id="745" w:name="_Toc150774746"/>
      <w:r/>
      <w:bookmarkStart w:id="746" w:name="_Toc226309785"/>
      <w:r/>
      <w:bookmarkStart w:id="747" w:name="_Toc127151742"/>
      <w:r/>
      <w:bookmarkStart w:id="748" w:name="_Toc149720834"/>
      <w:r/>
      <w:bookmarkStart w:id="749" w:name="_Toc226965814"/>
      <w:r/>
      <w:bookmarkStart w:id="750" w:name="_Toc127151541"/>
      <w:r/>
      <w:bookmarkStart w:id="751" w:name="_Toc305158809"/>
      <w:r/>
      <w:bookmarkStart w:id="752" w:name="_Toc151193929"/>
      <w:r/>
      <w:bookmarkStart w:id="753" w:name="_Toc151193783"/>
      <w:r/>
      <w:bookmarkStart w:id="754" w:name="_Toc151193711"/>
      <w:r/>
      <w:bookmarkStart w:id="755" w:name="_Toc195842906"/>
      <w:r/>
      <w:bookmarkStart w:id="756" w:name="_Toc226337237"/>
      <w:r/>
      <w:bookmarkStart w:id="757" w:name="_Toc142311043"/>
      <w:r/>
      <w:bookmarkStart w:id="758" w:name="_Toc151193855"/>
      <w:r/>
      <w:bookmarkStart w:id="759" w:name="_Toc151190168"/>
      <w:r/>
      <w:bookmarkStart w:id="760" w:name="_Toc265228379"/>
      <w:r/>
      <w:bookmarkStart w:id="761" w:name="_Toc150509292"/>
      <w:r/>
      <w:bookmarkStart w:id="762" w:name="_Toc305158883"/>
      <w:r/>
      <w:bookmarkStart w:id="763" w:name="_Toc164608655"/>
      <w:r/>
      <w:bookmarkStart w:id="764" w:name="_Toc150774641"/>
      <w:r/>
      <w:bookmarkStart w:id="765" w:name="_Toc150480779"/>
      <w:r/>
      <w:bookmarkStart w:id="766" w:name="_Toc353825551"/>
      <w:r/>
      <w:bookmarkStart w:id="767" w:name="_Toc353873941"/>
      <w:r/>
      <w:bookmarkStart w:id="768" w:name="_Toc127151555"/>
      <w:r/>
      <w:bookmarkStart w:id="769" w:name="_Toc353873665"/>
      <w:r/>
      <w:bookmarkStart w:id="770" w:name="_Toc142311057"/>
      <w:r/>
      <w:bookmarkStart w:id="771" w:name="_Toc150774760"/>
      <w:r/>
      <w:bookmarkStart w:id="772" w:name="_Toc305158823"/>
      <w:r/>
      <w:bookmarkStart w:id="773" w:name="_Toc150480793"/>
      <w:r/>
      <w:bookmarkStart w:id="774" w:name="_Toc195842920"/>
      <w:r/>
      <w:bookmarkStart w:id="775" w:name="_Toc226965828"/>
      <w:r/>
      <w:bookmarkStart w:id="776" w:name="_Toc265228393"/>
      <w:r/>
      <w:bookmarkStart w:id="777" w:name="_Toc353825545"/>
      <w:r/>
      <w:bookmarkStart w:id="778" w:name="_Toc305158897"/>
      <w:r/>
      <w:bookmarkStart w:id="779" w:name="_Toc264969245"/>
      <w:r/>
      <w:bookmarkStart w:id="780" w:name="_Toc226337251"/>
      <w:r/>
      <w:bookmarkStart w:id="781" w:name="_Toc353873935"/>
      <w:r>
        <w:rPr>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4"/>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2" w:name="_Toc520356167"/>
      <w:r/>
      <w:r/>
    </w:p>
    <w:p>
      <w:pPr>
        <w:numPr>
          <w:ilvl w:val="1"/>
          <w:numId w:val="14"/>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2"/>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Style w:val="8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483"/>
        </w:trPr>
        <w:tc>
          <w:tcPr>
            <w:tcW w:w="750" w:type="dxa"/>
            <w:vAlign w:val="center"/>
            <w:textDirection w:val="lrTb"/>
            <w:noWrap w:val="false"/>
          </w:tcPr>
          <w:p>
            <w:pPr>
              <w:jc w:val="center"/>
              <w:widowControl/>
              <w:rPr>
                <w:b/>
                <w:sz w:val="24"/>
              </w:rPr>
            </w:pPr>
            <w:r>
              <w:rPr>
                <w:b/>
                <w:sz w:val="24"/>
              </w:rPr>
              <w:t xml:space="preserve">序号</w:t>
            </w:r>
            <w:r/>
          </w:p>
        </w:tc>
        <w:tc>
          <w:tcPr>
            <w:tcW w:w="1813" w:type="dxa"/>
            <w:vAlign w:val="center"/>
            <w:textDirection w:val="lrTb"/>
            <w:noWrap w:val="false"/>
          </w:tcPr>
          <w:p>
            <w:pPr>
              <w:jc w:val="center"/>
              <w:widowControl/>
              <w:rPr>
                <w:b/>
                <w:sz w:val="24"/>
              </w:rPr>
            </w:pPr>
            <w:r>
              <w:rPr>
                <w:b/>
                <w:sz w:val="24"/>
              </w:rPr>
              <w:t xml:space="preserve">审查因素</w:t>
            </w:r>
            <w:r/>
          </w:p>
        </w:tc>
        <w:tc>
          <w:tcPr>
            <w:tcW w:w="6725" w:type="dxa"/>
            <w:vAlign w:val="center"/>
            <w:textDirection w:val="lrTb"/>
            <w:noWrap w:val="false"/>
          </w:tcPr>
          <w:p>
            <w:pPr>
              <w:jc w:val="center"/>
              <w:widowControl/>
              <w:rPr>
                <w:b/>
                <w:sz w:val="24"/>
              </w:rPr>
            </w:pPr>
            <w:r>
              <w:rPr>
                <w:b/>
                <w:sz w:val="24"/>
              </w:rPr>
              <w:t xml:space="preserve">审查内容</w:t>
            </w:r>
            <w:r/>
          </w:p>
        </w:tc>
      </w:tr>
      <w:tr>
        <w:trPr>
          <w:jc w:val="center"/>
          <w:trHeight w:val="685"/>
        </w:trPr>
        <w:tc>
          <w:tcPr>
            <w:tcW w:w="750" w:type="dxa"/>
            <w:vAlign w:val="center"/>
            <w:textDirection w:val="lrTb"/>
            <w:noWrap w:val="false"/>
          </w:tcPr>
          <w:p>
            <w:pPr>
              <w:jc w:val="center"/>
              <w:widowControl/>
              <w:rPr>
                <w:sz w:val="24"/>
              </w:rPr>
            </w:pPr>
            <w:r>
              <w:rPr>
                <w:sz w:val="24"/>
              </w:rPr>
              <w:t xml:space="preserve">1</w:t>
            </w:r>
            <w:r/>
          </w:p>
        </w:tc>
        <w:tc>
          <w:tcPr>
            <w:tcW w:w="1813" w:type="dxa"/>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6725" w:type="dxa"/>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2</w:t>
            </w:r>
            <w:r/>
          </w:p>
        </w:tc>
        <w:tc>
          <w:tcPr>
            <w:tcW w:w="1813" w:type="dxa"/>
            <w:vAlign w:val="center"/>
            <w:textDirection w:val="lrTb"/>
            <w:noWrap w:val="false"/>
          </w:tcPr>
          <w:p>
            <w:pPr>
              <w:jc w:val="left"/>
              <w:widowControl/>
              <w:rPr>
                <w:sz w:val="24"/>
              </w:rPr>
            </w:pPr>
            <w:r>
              <w:rPr>
                <w:sz w:val="24"/>
              </w:rPr>
              <w:t xml:space="preserve">投标完整性</w:t>
            </w:r>
            <w:r/>
          </w:p>
        </w:tc>
        <w:tc>
          <w:tcPr>
            <w:tcW w:w="6725" w:type="dxa"/>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750" w:type="dxa"/>
            <w:vAlign w:val="center"/>
            <w:textDirection w:val="lrTb"/>
            <w:noWrap w:val="false"/>
          </w:tcPr>
          <w:p>
            <w:pPr>
              <w:jc w:val="center"/>
              <w:widowControl/>
              <w:rPr>
                <w:sz w:val="24"/>
              </w:rPr>
            </w:pPr>
            <w:r>
              <w:rPr>
                <w:sz w:val="24"/>
              </w:rPr>
              <w:t xml:space="preserve">3</w:t>
            </w:r>
            <w:r/>
          </w:p>
        </w:tc>
        <w:tc>
          <w:tcPr>
            <w:tcW w:w="1813" w:type="dxa"/>
            <w:vAlign w:val="center"/>
            <w:textDirection w:val="lrTb"/>
            <w:noWrap w:val="false"/>
          </w:tcPr>
          <w:p>
            <w:pPr>
              <w:jc w:val="left"/>
              <w:widowControl/>
              <w:rPr>
                <w:sz w:val="24"/>
              </w:rPr>
            </w:pPr>
            <w:r>
              <w:rPr>
                <w:sz w:val="24"/>
              </w:rPr>
              <w:t xml:space="preserve">投标报价</w:t>
            </w:r>
            <w:r/>
          </w:p>
        </w:tc>
        <w:tc>
          <w:tcPr>
            <w:tcW w:w="6725" w:type="dxa"/>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p>
        </w:tc>
      </w:tr>
      <w:tr>
        <w:trPr>
          <w:jc w:val="center"/>
          <w:trHeight w:val="685"/>
        </w:trPr>
        <w:tc>
          <w:tcPr>
            <w:tcW w:w="750" w:type="dxa"/>
            <w:vAlign w:val="center"/>
            <w:textDirection w:val="lrTb"/>
            <w:noWrap w:val="false"/>
          </w:tcPr>
          <w:p>
            <w:pPr>
              <w:jc w:val="center"/>
              <w:widowControl/>
              <w:rPr>
                <w:sz w:val="24"/>
              </w:rPr>
            </w:pPr>
            <w:r>
              <w:rPr>
                <w:sz w:val="24"/>
              </w:rPr>
              <w:t xml:space="preserve">4</w:t>
            </w:r>
            <w:r/>
          </w:p>
        </w:tc>
        <w:tc>
          <w:tcPr>
            <w:tcW w:w="1813" w:type="dxa"/>
            <w:vAlign w:val="center"/>
            <w:textDirection w:val="lrTb"/>
            <w:noWrap w:val="false"/>
          </w:tcPr>
          <w:p>
            <w:pPr>
              <w:jc w:val="left"/>
              <w:widowControl/>
              <w:rPr>
                <w:sz w:val="24"/>
              </w:rPr>
            </w:pPr>
            <w:r>
              <w:rPr>
                <w:sz w:val="24"/>
              </w:rPr>
              <w:t xml:space="preserve">报价唯一性</w:t>
            </w:r>
            <w:r/>
          </w:p>
        </w:tc>
        <w:tc>
          <w:tcPr>
            <w:tcW w:w="6725" w:type="dxa"/>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5</w:t>
            </w:r>
            <w:r/>
          </w:p>
        </w:tc>
        <w:tc>
          <w:tcPr>
            <w:tcW w:w="1813" w:type="dxa"/>
            <w:vAlign w:val="center"/>
            <w:textDirection w:val="lrTb"/>
            <w:noWrap w:val="false"/>
          </w:tcPr>
          <w:p>
            <w:pPr>
              <w:jc w:val="left"/>
              <w:widowControl/>
              <w:rPr>
                <w:sz w:val="24"/>
              </w:rPr>
            </w:pPr>
            <w:r>
              <w:rPr>
                <w:sz w:val="24"/>
              </w:rPr>
              <w:t xml:space="preserve">投标有效期</w:t>
            </w:r>
            <w:r/>
          </w:p>
        </w:tc>
        <w:tc>
          <w:tcPr>
            <w:tcW w:w="6725" w:type="dxa"/>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750" w:type="dxa"/>
            <w:vAlign w:val="center"/>
            <w:textDirection w:val="lrTb"/>
            <w:noWrap w:val="false"/>
          </w:tcPr>
          <w:p>
            <w:pPr>
              <w:jc w:val="center"/>
              <w:widowControl/>
              <w:rPr>
                <w:sz w:val="24"/>
              </w:rPr>
            </w:pPr>
            <w:r>
              <w:rPr>
                <w:sz w:val="24"/>
              </w:rPr>
              <w:t xml:space="preserve">6</w:t>
            </w:r>
            <w:r/>
          </w:p>
        </w:tc>
        <w:tc>
          <w:tcPr>
            <w:tcW w:w="1813" w:type="dxa"/>
            <w:vAlign w:val="center"/>
            <w:textDirection w:val="lrTb"/>
            <w:noWrap w:val="false"/>
          </w:tcPr>
          <w:p>
            <w:pPr>
              <w:jc w:val="left"/>
              <w:widowControl/>
              <w:rPr>
                <w:sz w:val="24"/>
              </w:rPr>
            </w:pPr>
            <w:r>
              <w:rPr>
                <w:sz w:val="24"/>
              </w:rPr>
              <w:t xml:space="preserve">签署、加盖公章</w:t>
            </w:r>
            <w:r/>
          </w:p>
        </w:tc>
        <w:tc>
          <w:tcPr>
            <w:tcW w:w="6725" w:type="dxa"/>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750" w:type="dxa"/>
            <w:vAlign w:val="center"/>
            <w:textDirection w:val="lrTb"/>
            <w:noWrap w:val="false"/>
          </w:tcPr>
          <w:p>
            <w:pPr>
              <w:jc w:val="center"/>
              <w:widowControl/>
              <w:rPr>
                <w:sz w:val="24"/>
              </w:rPr>
            </w:pPr>
            <w:r>
              <w:rPr>
                <w:rFonts w:hint="eastAsia"/>
                <w:sz w:val="24"/>
              </w:rPr>
              <w:t xml:space="preserve">7</w:t>
            </w:r>
            <w:r/>
          </w:p>
        </w:tc>
        <w:tc>
          <w:tcPr>
            <w:tcW w:w="1813" w:type="dxa"/>
            <w:vAlign w:val="center"/>
            <w:textDirection w:val="lrTb"/>
            <w:noWrap w:val="false"/>
          </w:tcPr>
          <w:p>
            <w:pPr>
              <w:jc w:val="left"/>
              <w:widowControl/>
              <w:rPr>
                <w:sz w:val="24"/>
              </w:rPr>
            </w:pPr>
            <w:r>
              <w:rPr>
                <w:rFonts w:hint="eastAsia"/>
                <w:sz w:val="24"/>
              </w:rPr>
              <w:t xml:space="preserve">实质性格式</w:t>
            </w:r>
            <w:r/>
          </w:p>
        </w:tc>
        <w:tc>
          <w:tcPr>
            <w:tcW w:w="6725" w:type="dxa"/>
            <w:vAlign w:val="center"/>
            <w:textDirection w:val="lrTb"/>
            <w:noWrap w:val="false"/>
          </w:tcPr>
          <w:p>
            <w:pPr>
              <w:jc w:val="left"/>
              <w:widowControl/>
              <w:rPr>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750" w:type="dxa"/>
            <w:vAlign w:val="center"/>
            <w:textDirection w:val="lrTb"/>
            <w:noWrap w:val="false"/>
          </w:tcPr>
          <w:p>
            <w:pPr>
              <w:jc w:val="center"/>
              <w:widowControl/>
              <w:rPr>
                <w:sz w:val="24"/>
              </w:rPr>
            </w:pPr>
            <w:r>
              <w:rPr>
                <w:sz w:val="24"/>
              </w:rPr>
              <w:t xml:space="preserve">8</w:t>
            </w:r>
            <w:r/>
          </w:p>
        </w:tc>
        <w:tc>
          <w:tcPr>
            <w:tcW w:w="1813" w:type="dxa"/>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6725" w:type="dxa"/>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750" w:type="dxa"/>
            <w:vAlign w:val="center"/>
            <w:textDirection w:val="lrTb"/>
            <w:noWrap w:val="false"/>
          </w:tcPr>
          <w:p>
            <w:pPr>
              <w:jc w:val="center"/>
              <w:widowControl/>
              <w:rPr>
                <w:sz w:val="24"/>
              </w:rPr>
            </w:pPr>
            <w:r>
              <w:rPr>
                <w:sz w:val="24"/>
              </w:rPr>
              <w:t xml:space="preserve">9</w:t>
            </w:r>
            <w:r/>
          </w:p>
        </w:tc>
        <w:tc>
          <w:tcPr>
            <w:tcW w:w="1813" w:type="dxa"/>
            <w:vAlign w:val="center"/>
            <w:textDirection w:val="lrTb"/>
            <w:noWrap w:val="false"/>
          </w:tcPr>
          <w:p>
            <w:pPr>
              <w:jc w:val="left"/>
              <w:widowControl/>
              <w:rPr>
                <w:sz w:val="24"/>
              </w:rPr>
            </w:pPr>
            <w:r>
              <w:rPr>
                <w:sz w:val="24"/>
              </w:rPr>
              <w:t xml:space="preserve">分包承担主体资质（如有）</w:t>
            </w:r>
            <w:r/>
          </w:p>
        </w:tc>
        <w:tc>
          <w:tcPr>
            <w:tcW w:w="6725" w:type="dxa"/>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10</w:t>
            </w:r>
            <w:r/>
          </w:p>
        </w:tc>
        <w:tc>
          <w:tcPr>
            <w:tcW w:w="1813" w:type="dxa"/>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6725" w:type="dxa"/>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750" w:type="dxa"/>
            <w:vAlign w:val="center"/>
            <w:textDirection w:val="lrTb"/>
            <w:noWrap w:val="false"/>
          </w:tcPr>
          <w:p>
            <w:pPr>
              <w:jc w:val="center"/>
              <w:widowControl/>
              <w:rPr>
                <w:sz w:val="24"/>
              </w:rPr>
            </w:pPr>
            <w:r>
              <w:rPr>
                <w:sz w:val="24"/>
              </w:rPr>
              <w:t xml:space="preserve">11</w:t>
            </w:r>
            <w:r/>
          </w:p>
        </w:tc>
        <w:tc>
          <w:tcPr>
            <w:tcW w:w="1813" w:type="dxa"/>
            <w:vAlign w:val="center"/>
            <w:textDirection w:val="lrTb"/>
            <w:noWrap w:val="false"/>
          </w:tcPr>
          <w:p>
            <w:pPr>
              <w:jc w:val="left"/>
              <w:widowControl/>
              <w:rPr>
                <w:sz w:val="24"/>
              </w:rPr>
            </w:pPr>
            <w:r>
              <w:rPr>
                <w:sz w:val="24"/>
              </w:rPr>
              <w:t xml:space="preserve">报价的修正（如有）</w:t>
            </w:r>
            <w:r/>
          </w:p>
        </w:tc>
        <w:tc>
          <w:tcPr>
            <w:tcW w:w="6725" w:type="dxa"/>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750" w:type="dxa"/>
            <w:vAlign w:val="center"/>
            <w:textDirection w:val="lrTb"/>
            <w:noWrap w:val="false"/>
          </w:tcPr>
          <w:p>
            <w:pPr>
              <w:jc w:val="center"/>
              <w:widowControl/>
              <w:rPr>
                <w:sz w:val="24"/>
              </w:rPr>
            </w:pPr>
            <w:r>
              <w:rPr>
                <w:sz w:val="24"/>
              </w:rPr>
              <w:t xml:space="preserve">12</w:t>
            </w:r>
            <w:r/>
          </w:p>
        </w:tc>
        <w:tc>
          <w:tcPr>
            <w:tcW w:w="1813" w:type="dxa"/>
            <w:vAlign w:val="center"/>
            <w:textDirection w:val="lrTb"/>
            <w:noWrap w:val="false"/>
          </w:tcPr>
          <w:p>
            <w:pPr>
              <w:jc w:val="left"/>
              <w:widowControl/>
              <w:rPr>
                <w:sz w:val="24"/>
              </w:rPr>
            </w:pPr>
            <w:r>
              <w:rPr>
                <w:sz w:val="24"/>
              </w:rPr>
              <w:t xml:space="preserve">报价合理性</w:t>
            </w:r>
            <w:r/>
          </w:p>
        </w:tc>
        <w:tc>
          <w:tcPr>
            <w:tcW w:w="6725" w:type="dxa"/>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13</w:t>
            </w:r>
            <w:r/>
          </w:p>
        </w:tc>
        <w:tc>
          <w:tcPr>
            <w:tcW w:w="1813" w:type="dxa"/>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6725" w:type="dxa"/>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750" w:type="dxa"/>
            <w:vAlign w:val="center"/>
            <w:textDirection w:val="lrTb"/>
            <w:noWrap w:val="false"/>
          </w:tcPr>
          <w:p>
            <w:pPr>
              <w:jc w:val="center"/>
              <w:widowControl/>
              <w:rPr>
                <w:sz w:val="24"/>
              </w:rPr>
            </w:pPr>
            <w:r>
              <w:rPr>
                <w:sz w:val="24"/>
              </w:rPr>
              <w:t xml:space="preserve">14</w:t>
            </w:r>
            <w:r/>
          </w:p>
        </w:tc>
        <w:tc>
          <w:tcPr>
            <w:tcW w:w="1813" w:type="dxa"/>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6725" w:type="dxa"/>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sz w:val="24"/>
              </w:rPr>
              <w:t xml:space="preserve">投标产品如涉及计算机信息系统安全专用产品的，须</w:t>
            </w:r>
            <w:r>
              <w:rPr>
                <w:rFonts w:hint="eastAsia"/>
                <w:sz w:val="24"/>
              </w:rPr>
              <w:t xml:space="preserve">提供</w:t>
            </w:r>
            <w:r>
              <w:rPr>
                <w:sz w:val="24"/>
              </w:rPr>
              <w:t xml:space="preserve">公安部颁发的计算机信息系统安全专用产品销售许可证；</w:t>
            </w:r>
            <w:r/>
          </w:p>
          <w:p>
            <w:pPr>
              <w:jc w:val="left"/>
              <w:widowControl/>
              <w:rPr>
                <w:sz w:val="24"/>
              </w:rPr>
            </w:pPr>
            <w:r>
              <w:rPr>
                <w:sz w:val="24"/>
              </w:rPr>
              <w:t xml:space="preserve">3</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750" w:type="dxa"/>
            <w:vAlign w:val="center"/>
            <w:textDirection w:val="lrTb"/>
            <w:noWrap w:val="false"/>
          </w:tcPr>
          <w:p>
            <w:pPr>
              <w:jc w:val="center"/>
              <w:widowControl/>
              <w:rPr>
                <w:sz w:val="24"/>
              </w:rPr>
            </w:pPr>
            <w:r>
              <w:rPr>
                <w:sz w:val="24"/>
              </w:rPr>
              <w:t xml:space="preserve">15</w:t>
            </w:r>
            <w:r/>
          </w:p>
        </w:tc>
        <w:tc>
          <w:tcPr>
            <w:tcW w:w="1813" w:type="dxa"/>
            <w:vAlign w:val="center"/>
            <w:textDirection w:val="lrTb"/>
            <w:noWrap w:val="false"/>
          </w:tcPr>
          <w:p>
            <w:pPr>
              <w:jc w:val="left"/>
              <w:widowControl/>
              <w:rPr>
                <w:sz w:val="24"/>
              </w:rPr>
            </w:pPr>
            <w:r>
              <w:rPr>
                <w:sz w:val="24"/>
              </w:rPr>
              <w:t xml:space="preserve">公平竞争</w:t>
            </w:r>
            <w:r/>
          </w:p>
        </w:tc>
        <w:tc>
          <w:tcPr>
            <w:tcW w:w="6725" w:type="dxa"/>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投标人遵循公平竞争的原则，不存在恶意串通，妨碍其他投标人的竞争行为，不存在损害招标人或者其他投标人的合法权益情形的；</w:t>
            </w:r>
            <w:r/>
          </w:p>
        </w:tc>
      </w:tr>
      <w:tr>
        <w:trPr>
          <w:jc w:val="center"/>
          <w:trHeight w:val="685"/>
        </w:trPr>
        <w:tc>
          <w:tcPr>
            <w:tcW w:w="750" w:type="dxa"/>
            <w:vAlign w:val="center"/>
            <w:textDirection w:val="lrTb"/>
            <w:noWrap w:val="false"/>
          </w:tcPr>
          <w:p>
            <w:pPr>
              <w:jc w:val="center"/>
              <w:widowControl/>
              <w:rPr>
                <w:sz w:val="24"/>
              </w:rPr>
            </w:pPr>
            <w:r>
              <w:rPr>
                <w:sz w:val="24"/>
              </w:rPr>
              <w:t xml:space="preserve">16</w:t>
            </w:r>
            <w:r/>
          </w:p>
        </w:tc>
        <w:tc>
          <w:tcPr>
            <w:tcW w:w="1813" w:type="dxa"/>
            <w:vAlign w:val="center"/>
            <w:textDirection w:val="lrTb"/>
            <w:noWrap w:val="false"/>
          </w:tcPr>
          <w:p>
            <w:pPr>
              <w:jc w:val="left"/>
              <w:widowControl/>
              <w:rPr>
                <w:sz w:val="24"/>
              </w:rPr>
            </w:pPr>
            <w:r>
              <w:rPr>
                <w:sz w:val="24"/>
              </w:rPr>
              <w:t xml:space="preserve">串通投标</w:t>
            </w:r>
            <w:r/>
          </w:p>
        </w:tc>
        <w:tc>
          <w:tcPr>
            <w:tcW w:w="6725" w:type="dxa"/>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r>
      <w:tr>
        <w:trPr>
          <w:jc w:val="center"/>
          <w:trHeight w:val="456"/>
        </w:trPr>
        <w:tc>
          <w:tcPr>
            <w:tcW w:w="750" w:type="dxa"/>
            <w:vAlign w:val="center"/>
            <w:textDirection w:val="lrTb"/>
            <w:noWrap w:val="false"/>
          </w:tcPr>
          <w:p>
            <w:pPr>
              <w:jc w:val="center"/>
              <w:widowControl/>
              <w:rPr>
                <w:sz w:val="24"/>
              </w:rPr>
            </w:pPr>
            <w:r>
              <w:rPr>
                <w:sz w:val="24"/>
              </w:rPr>
              <w:t xml:space="preserve">17</w:t>
            </w:r>
            <w:r/>
          </w:p>
        </w:tc>
        <w:tc>
          <w:tcPr>
            <w:tcW w:w="1813" w:type="dxa"/>
            <w:vAlign w:val="center"/>
            <w:textDirection w:val="lrTb"/>
            <w:noWrap w:val="false"/>
          </w:tcPr>
          <w:p>
            <w:pPr>
              <w:jc w:val="left"/>
              <w:widowControl/>
              <w:rPr>
                <w:sz w:val="24"/>
              </w:rPr>
            </w:pPr>
            <w:r>
              <w:rPr>
                <w:sz w:val="24"/>
              </w:rPr>
              <w:t xml:space="preserve">附加条件</w:t>
            </w:r>
            <w:r/>
          </w:p>
        </w:tc>
        <w:tc>
          <w:tcPr>
            <w:tcW w:w="6725" w:type="dxa"/>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含有招标人不能接受的附加条件的；</w:t>
            </w:r>
            <w:r/>
          </w:p>
        </w:tc>
      </w:tr>
      <w:tr>
        <w:trPr>
          <w:jc w:val="center"/>
          <w:trHeight w:val="685"/>
        </w:trPr>
        <w:tc>
          <w:tcPr>
            <w:tcW w:w="750" w:type="dxa"/>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1813" w:type="dxa"/>
            <w:vAlign w:val="center"/>
            <w:textDirection w:val="lrTb"/>
            <w:noWrap w:val="false"/>
          </w:tcPr>
          <w:p>
            <w:pPr>
              <w:jc w:val="left"/>
              <w:widowControl/>
              <w:rPr>
                <w:sz w:val="24"/>
              </w:rPr>
            </w:pPr>
            <w:r>
              <w:rPr>
                <w:sz w:val="24"/>
              </w:rPr>
              <w:t xml:space="preserve">其他无效情形</w:t>
            </w:r>
            <w:r/>
          </w:p>
        </w:tc>
        <w:tc>
          <w:tcPr>
            <w:tcW w:w="6725" w:type="dxa"/>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5"/>
        </w:numPr>
        <w:spacing w:line="360" w:lineRule="auto"/>
        <w:tabs>
          <w:tab w:val="left" w:pos="1080" w:leader="none"/>
          <w:tab w:val="left" w:pos="1589" w:leader="none"/>
        </w:tabs>
        <w:rPr>
          <w:sz w:val="24"/>
        </w:rPr>
        <w:sectPr>
          <w:headerReference w:type="even" r:id="rId14"/>
          <w:headerReference w:type="first" r:id="rId15"/>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numPr>
          <w:ilvl w:val="0"/>
          <w:numId w:val="14"/>
        </w:numPr>
        <w:spacing w:line="360" w:lineRule="auto"/>
        <w:tabs>
          <w:tab w:val="left" w:pos="360" w:leader="none"/>
        </w:tabs>
        <w:rPr>
          <w:sz w:val="24"/>
        </w:rPr>
        <w:outlineLvl w:val="1"/>
      </w:pPr>
      <w:r>
        <w:rPr>
          <w:sz w:val="24"/>
        </w:rPr>
        <w:t xml:space="preserve">投标文件有关事项的澄清或者说明</w:t>
      </w:r>
      <w:r/>
    </w:p>
    <w:p>
      <w:pPr>
        <w:numPr>
          <w:ilvl w:val="1"/>
          <w:numId w:val="14"/>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通过政府采购一体化平台“苏采云”系统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4"/>
        </w:numPr>
        <w:ind w:left="1077" w:hanging="720"/>
        <w:spacing w:line="360" w:lineRule="auto"/>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14"/>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4"/>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rPr>
      </w:pPr>
      <w:r>
        <w:rPr>
          <w:sz w:val="24"/>
        </w:rPr>
        <w:t xml:space="preserve">无，按下述2.4.2-2.4.7项规定修正。</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4"/>
        </w:numPr>
        <w:ind w:left="1077" w:hanging="720"/>
        <w:spacing w:line="360" w:lineRule="auto"/>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的合同份额占到合同总金额30%以上的联合体或者大中型企业的报价给予</w:t>
      </w:r>
      <w:r>
        <w:rPr>
          <w:rFonts w:hint="eastAsia"/>
          <w:sz w:val="24"/>
        </w:rPr>
        <w:t xml:space="preserve">6</w:t>
      </w:r>
      <w:r>
        <w:rPr>
          <w:sz w:val="24"/>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4"/>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0"/>
          <w:numId w:val="14"/>
        </w:numPr>
        <w:spacing w:line="360" w:lineRule="auto"/>
        <w:tabs>
          <w:tab w:val="left" w:pos="360" w:leader="none"/>
        </w:tabs>
        <w:rPr>
          <w:sz w:val="24"/>
        </w:rPr>
        <w:outlineLvl w:val="1"/>
      </w:pPr>
      <w:r>
        <w:rPr>
          <w:sz w:val="24"/>
        </w:rPr>
        <w:t xml:space="preserve">投标文件的比较和评价</w:t>
      </w:r>
      <w:bookmarkEnd w:id="766"/>
      <w:r/>
      <w:bookmarkEnd w:id="767"/>
      <w:r/>
      <w:r/>
    </w:p>
    <w:p>
      <w:pPr>
        <w:numPr>
          <w:ilvl w:val="1"/>
          <w:numId w:val="14"/>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1077" w:hanging="720"/>
        <w:spacing w:line="360" w:lineRule="auto"/>
        <w:tabs>
          <w:tab w:val="left" w:pos="1080" w:leader="none"/>
        </w:tabs>
        <w:rPr>
          <w:sz w:val="24"/>
        </w:rPr>
      </w:pPr>
      <w:r>
        <w:rPr>
          <w:sz w:val="24"/>
        </w:rPr>
        <w:t xml:space="preserve">评标方法和评标标准</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numPr>
          <w:ilvl w:val="0"/>
          <w:numId w:val="14"/>
        </w:numPr>
        <w:spacing w:line="360" w:lineRule="auto"/>
        <w:tabs>
          <w:tab w:val="left" w:pos="360" w:leader="none"/>
        </w:tabs>
        <w:rPr>
          <w:sz w:val="24"/>
        </w:rPr>
        <w:outlineLvl w:val="1"/>
      </w:pPr>
      <w:r>
        <w:rPr>
          <w:sz w:val="24"/>
        </w:rPr>
        <w:t xml:space="preserve">确定</w:t>
      </w:r>
      <w:bookmarkStart w:id="783" w:name="_Toc264969236"/>
      <w:r/>
      <w:bookmarkStart w:id="784" w:name="_Toc226965736"/>
      <w:r/>
      <w:bookmarkStart w:id="785" w:name="_Toc195842911"/>
      <w:r/>
      <w:bookmarkStart w:id="786" w:name="_Toc151193716"/>
      <w:r/>
      <w:bookmarkStart w:id="787" w:name="_Toc164229387"/>
      <w:r/>
      <w:bookmarkStart w:id="788" w:name="_Toc142311048"/>
      <w:r/>
      <w:bookmarkStart w:id="789" w:name="_Toc150509297"/>
      <w:r/>
      <w:bookmarkStart w:id="790" w:name="_Toc164608815"/>
      <w:r/>
      <w:bookmarkStart w:id="791" w:name="_Toc151193788"/>
      <w:r/>
      <w:bookmarkStart w:id="792" w:name="_Toc164608660"/>
      <w:r/>
      <w:bookmarkStart w:id="793" w:name="_Toc151193860"/>
      <w:r/>
      <w:bookmarkStart w:id="794" w:name="_Toc151193644"/>
      <w:r/>
      <w:bookmarkStart w:id="795" w:name="_Toc151190173"/>
      <w:r/>
      <w:bookmarkStart w:id="796" w:name="_Toc127151546"/>
      <w:r/>
      <w:bookmarkStart w:id="797" w:name="_Toc520356170"/>
      <w:r/>
      <w:bookmarkStart w:id="798" w:name="_Toc226965819"/>
      <w:r/>
      <w:bookmarkStart w:id="799" w:name="_Toc265228384"/>
      <w:r/>
      <w:bookmarkStart w:id="800" w:name="_Toc305158888"/>
      <w:r/>
      <w:bookmarkStart w:id="801" w:name="_Toc150774751"/>
      <w:r/>
      <w:bookmarkStart w:id="802" w:name="_Ref467307010"/>
      <w:r/>
      <w:bookmarkStart w:id="803" w:name="_Toc127151747"/>
      <w:r/>
      <w:bookmarkStart w:id="804" w:name="_Toc226309790"/>
      <w:r/>
      <w:bookmarkStart w:id="805" w:name="_Toc164229241"/>
      <w:r/>
      <w:bookmarkStart w:id="806" w:name="_Toc150774646"/>
      <w:r/>
      <w:bookmarkStart w:id="807" w:name="_Toc151193934"/>
      <w:r/>
      <w:bookmarkStart w:id="808" w:name="_Toc305158814"/>
      <w:r/>
      <w:bookmarkStart w:id="809" w:name="_Toc149720839"/>
      <w:r/>
      <w:bookmarkStart w:id="810" w:name="_Toc150480784"/>
      <w:r/>
      <w:bookmarkStart w:id="811" w:name="_Toc164351640"/>
      <w:r/>
      <w:bookmarkStart w:id="812" w:name="_Toc127161460"/>
      <w:r/>
      <w:bookmarkStart w:id="813" w:name="_Toc226337242"/>
      <w:r>
        <w:rPr>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4"/>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62"/>
        <w:ind w:left="993" w:firstLine="136"/>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具体要求：按实施方案优劣顺序排列。</w:t>
      </w:r>
      <w:r/>
    </w:p>
    <w:p>
      <w:pPr>
        <w:numPr>
          <w:ilvl w:val="1"/>
          <w:numId w:val="14"/>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4"/>
        </w:numPr>
        <w:ind w:left="1077" w:hanging="720"/>
        <w:spacing w:line="360" w:lineRule="auto"/>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4"/>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14"/>
        </w:numPr>
        <w:spacing w:line="360" w:lineRule="auto"/>
        <w:tabs>
          <w:tab w:val="left" w:pos="360" w:leader="none"/>
        </w:tabs>
        <w:rPr>
          <w:sz w:val="24"/>
        </w:rPr>
        <w:outlineLvl w:val="1"/>
      </w:pPr>
      <w:r>
        <w:rPr>
          <w:sz w:val="24"/>
        </w:rPr>
        <w:t xml:space="preserve">报告违法行为</w:t>
      </w:r>
      <w:r/>
    </w:p>
    <w:p>
      <w:pPr>
        <w:numPr>
          <w:ilvl w:val="1"/>
          <w:numId w:val="14"/>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评标委员会在评标过程中发现投标人有行贿、提供虚假材料或者串通等违法行为时，有向招标人、招标代理机构或者有关部门报告的职责。</w:t>
      </w:r>
      <w:r/>
    </w:p>
    <w:p>
      <w:pPr>
        <w:jc w:val="center"/>
        <w:spacing w:line="360" w:lineRule="auto"/>
        <w:tabs>
          <w:tab w:val="left" w:pos="360" w:leader="none"/>
          <w:tab w:val="left" w:pos="900" w:leader="none"/>
        </w:tabs>
        <w:rPr>
          <w:b/>
          <w:sz w:val="24"/>
        </w:rPr>
        <w:outlineLvl w:val="1"/>
      </w:pPr>
      <w:r>
        <w:rPr>
          <w:b/>
          <w:sz w:val="24"/>
        </w:rPr>
        <w:br w:type="page" w:clear="all"/>
      </w:r>
      <w:r>
        <w:rPr>
          <w:b/>
          <w:sz w:val="24"/>
        </w:rPr>
        <w:t xml:space="preserve">二、评标标准</w:t>
      </w:r>
      <w:r/>
    </w:p>
    <w:tbl>
      <w:tblPr>
        <w:tblStyle w:val="845"/>
        <w:tblW w:w="98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427"/>
        <w:gridCol w:w="840"/>
        <w:gridCol w:w="4601"/>
        <w:gridCol w:w="2161"/>
      </w:tblGrid>
      <w:tr>
        <w:trPr>
          <w:jc w:val="center"/>
          <w:trHeight w:val="483"/>
        </w:trPr>
        <w:tc>
          <w:tcPr>
            <w:tcW w:w="790" w:type="dxa"/>
            <w:vAlign w:val="center"/>
            <w:textDirection w:val="lrTb"/>
            <w:noWrap/>
          </w:tcPr>
          <w:p>
            <w:pPr>
              <w:ind w:firstLine="28"/>
              <w:jc w:val="center"/>
              <w:rPr>
                <w:b/>
                <w:sz w:val="24"/>
              </w:rPr>
            </w:pPr>
            <w:r>
              <w:rPr>
                <w:b/>
                <w:sz w:val="24"/>
              </w:rPr>
              <w:t xml:space="preserve">序号</w:t>
            </w:r>
            <w:r/>
          </w:p>
        </w:tc>
        <w:tc>
          <w:tcPr>
            <w:tcW w:w="1427" w:type="dxa"/>
            <w:vAlign w:val="center"/>
            <w:textDirection w:val="lrTb"/>
            <w:noWrap/>
          </w:tcPr>
          <w:p>
            <w:pPr>
              <w:ind w:firstLine="28"/>
              <w:jc w:val="center"/>
              <w:rPr>
                <w:b/>
                <w:sz w:val="24"/>
              </w:rPr>
            </w:pPr>
            <w:r>
              <w:rPr>
                <w:b/>
                <w:sz w:val="24"/>
              </w:rPr>
              <w:t xml:space="preserve">评分因素</w:t>
            </w:r>
            <w:r/>
          </w:p>
        </w:tc>
        <w:tc>
          <w:tcPr>
            <w:tcW w:w="840" w:type="dxa"/>
            <w:vAlign w:val="center"/>
            <w:textDirection w:val="lrTb"/>
            <w:noWrap/>
          </w:tcPr>
          <w:p>
            <w:pPr>
              <w:ind w:firstLine="28"/>
              <w:jc w:val="center"/>
              <w:rPr>
                <w:b/>
                <w:sz w:val="24"/>
              </w:rPr>
            </w:pPr>
            <w:r>
              <w:rPr>
                <w:b/>
                <w:sz w:val="24"/>
              </w:rPr>
              <w:t xml:space="preserve">分值</w:t>
            </w:r>
            <w:r/>
          </w:p>
        </w:tc>
        <w:tc>
          <w:tcPr>
            <w:tcW w:w="4601" w:type="dxa"/>
            <w:vAlign w:val="center"/>
            <w:textDirection w:val="lrTb"/>
            <w:noWrap/>
          </w:tcPr>
          <w:p>
            <w:pPr>
              <w:ind w:firstLine="28"/>
              <w:jc w:val="center"/>
              <w:rPr>
                <w:b/>
                <w:sz w:val="24"/>
              </w:rPr>
            </w:pPr>
            <w:r>
              <w:rPr>
                <w:b/>
                <w:sz w:val="24"/>
              </w:rPr>
              <w:t xml:space="preserve">评分标准</w:t>
            </w:r>
            <w:r/>
          </w:p>
        </w:tc>
        <w:tc>
          <w:tcPr>
            <w:tcW w:w="2161" w:type="dxa"/>
            <w:vAlign w:val="center"/>
            <w:textDirection w:val="lrTb"/>
            <w:noWrap/>
          </w:tcPr>
          <w:p>
            <w:pPr>
              <w:jc w:val="center"/>
              <w:rPr>
                <w:b/>
                <w:sz w:val="24"/>
              </w:rPr>
            </w:pPr>
            <w:r>
              <w:rPr>
                <w:b/>
                <w:sz w:val="24"/>
              </w:rPr>
              <w:t xml:space="preserve">说明</w:t>
            </w:r>
            <w:r/>
          </w:p>
        </w:tc>
      </w:tr>
      <w:tr>
        <w:trPr>
          <w:jc w:val="center"/>
          <w:trHeight w:val="631"/>
        </w:trPr>
        <w:tc>
          <w:tcPr>
            <w:tcW w:w="790" w:type="dxa"/>
            <w:vAlign w:val="center"/>
            <w:textDirection w:val="lrTb"/>
            <w:noWrap/>
          </w:tcPr>
          <w:p>
            <w:pPr>
              <w:ind w:firstLine="28"/>
              <w:jc w:val="center"/>
              <w:rPr>
                <w:b/>
                <w:sz w:val="24"/>
              </w:rPr>
            </w:pPr>
            <w:r>
              <w:rPr>
                <w:b/>
                <w:sz w:val="24"/>
              </w:rPr>
              <w:t xml:space="preserve">1</w:t>
            </w:r>
            <w:r/>
          </w:p>
        </w:tc>
        <w:tc>
          <w:tcPr>
            <w:tcW w:w="1427" w:type="dxa"/>
            <w:vAlign w:val="center"/>
            <w:textDirection w:val="lrTb"/>
            <w:noWrap/>
          </w:tcPr>
          <w:p>
            <w:pPr>
              <w:ind w:firstLine="28"/>
              <w:jc w:val="center"/>
              <w:rPr>
                <w:b/>
                <w:sz w:val="24"/>
              </w:rPr>
            </w:pPr>
            <w:r>
              <w:rPr>
                <w:b/>
                <w:sz w:val="24"/>
              </w:rPr>
              <w:t xml:space="preserve">价格分</w:t>
            </w:r>
            <w:r/>
          </w:p>
        </w:tc>
        <w:tc>
          <w:tcPr>
            <w:tcW w:w="840" w:type="dxa"/>
            <w:vAlign w:val="center"/>
            <w:textDirection w:val="lrTb"/>
            <w:noWrap/>
          </w:tcPr>
          <w:p>
            <w:pPr>
              <w:ind w:firstLine="28"/>
              <w:jc w:val="center"/>
              <w:rPr>
                <w:b/>
                <w:sz w:val="24"/>
              </w:rPr>
            </w:pPr>
            <w:r>
              <w:rPr>
                <w:b/>
                <w:sz w:val="24"/>
              </w:rPr>
              <w:t xml:space="preserve">20</w:t>
            </w:r>
            <w:r/>
          </w:p>
        </w:tc>
        <w:tc>
          <w:tcPr>
            <w:tcW w:w="4601" w:type="dxa"/>
            <w:vAlign w:val="center"/>
            <w:textDirection w:val="lrTb"/>
            <w:noWrap/>
          </w:tcPr>
          <w:p>
            <w:pPr>
              <w:rPr>
                <w:sz w:val="24"/>
              </w:rPr>
            </w:pPr>
            <w:r>
              <w:rPr>
                <w:sz w:val="24"/>
              </w:rPr>
              <w:t xml:space="preserve">满足招标文件要求且投标价格最低的投标报价为评标基准价，其价格分为满分。其他投标人的价格分统一按照下列公式计算：</w:t>
            </w:r>
            <w:r/>
          </w:p>
          <w:p>
            <w:pPr>
              <w:rPr>
                <w:sz w:val="24"/>
              </w:rPr>
            </w:pPr>
            <w:r>
              <w:rPr>
                <w:sz w:val="24"/>
              </w:rPr>
              <w:t xml:space="preserve">投标报价得分＝（评标基准价/投标报价）×分值。</w:t>
            </w:r>
            <w:r/>
          </w:p>
        </w:tc>
        <w:tc>
          <w:tcPr>
            <w:tcW w:w="2161" w:type="dxa"/>
            <w:vAlign w:val="center"/>
            <w:textDirection w:val="lrTb"/>
            <w:noWrap/>
          </w:tcPr>
          <w:p>
            <w:pPr>
              <w:ind w:left="-38"/>
              <w:rPr>
                <w:sz w:val="24"/>
              </w:rPr>
            </w:pPr>
            <w:r>
              <w:rPr>
                <w:color w:val="000000"/>
                <w:sz w:val="24"/>
              </w:rPr>
              <w:t xml:space="preserve">此处投标报价指经过报价修正，及因落实政府采购政策进行价格调整后的报价，详见第四章《评标方法和评标标准》</w:t>
            </w:r>
            <w:r>
              <w:rPr>
                <w:rFonts w:eastAsia="Times New Roman"/>
                <w:color w:val="000000"/>
                <w:sz w:val="24"/>
              </w:rPr>
              <w:t xml:space="preserve">2.4</w:t>
            </w:r>
            <w:r>
              <w:rPr>
                <w:color w:val="000000"/>
                <w:sz w:val="24"/>
              </w:rPr>
              <w:t xml:space="preserve">及</w:t>
            </w:r>
            <w:r>
              <w:rPr>
                <w:rFonts w:eastAsia="Times New Roman"/>
                <w:color w:val="000000"/>
                <w:sz w:val="24"/>
              </w:rPr>
              <w:t xml:space="preserve">2.5</w:t>
            </w:r>
            <w:r>
              <w:rPr>
                <w:color w:val="000000"/>
                <w:sz w:val="24"/>
              </w:rPr>
              <w:t xml:space="preserve">。</w:t>
            </w:r>
            <w:r/>
          </w:p>
        </w:tc>
      </w:tr>
      <w:tr>
        <w:trPr>
          <w:jc w:val="center"/>
        </w:trPr>
        <w:tc>
          <w:tcPr>
            <w:tcW w:w="790" w:type="dxa"/>
            <w:vAlign w:val="center"/>
            <w:textDirection w:val="lrTb"/>
            <w:noWrap/>
          </w:tcPr>
          <w:p>
            <w:pPr>
              <w:ind w:firstLine="28"/>
              <w:jc w:val="center"/>
              <w:rPr>
                <w:b/>
                <w:sz w:val="24"/>
              </w:rPr>
            </w:pPr>
            <w:r>
              <w:rPr>
                <w:b/>
                <w:sz w:val="24"/>
              </w:rPr>
              <w:t xml:space="preserve">2</w:t>
            </w:r>
            <w:r/>
          </w:p>
        </w:tc>
        <w:tc>
          <w:tcPr>
            <w:tcW w:w="1427" w:type="dxa"/>
            <w:vAlign w:val="center"/>
            <w:textDirection w:val="lrTb"/>
            <w:noWrap/>
          </w:tcPr>
          <w:p>
            <w:pPr>
              <w:ind w:firstLine="28"/>
              <w:jc w:val="center"/>
              <w:rPr>
                <w:b/>
                <w:sz w:val="24"/>
              </w:rPr>
            </w:pPr>
            <w:r>
              <w:rPr>
                <w:b/>
                <w:sz w:val="24"/>
              </w:rPr>
              <w:t xml:space="preserve">主观分</w:t>
            </w:r>
            <w:r/>
          </w:p>
        </w:tc>
        <w:tc>
          <w:tcPr>
            <w:tcW w:w="840" w:type="dxa"/>
            <w:vAlign w:val="center"/>
            <w:textDirection w:val="lrTb"/>
            <w:noWrap/>
          </w:tcPr>
          <w:p>
            <w:pPr>
              <w:ind w:firstLine="28"/>
              <w:jc w:val="center"/>
              <w:rPr>
                <w:b/>
                <w:sz w:val="24"/>
              </w:rPr>
            </w:pPr>
            <w:r>
              <w:rPr>
                <w:b/>
                <w:sz w:val="24"/>
              </w:rPr>
              <w:t xml:space="preserve">10</w:t>
            </w:r>
            <w:r/>
          </w:p>
        </w:tc>
        <w:tc>
          <w:tcPr>
            <w:tcW w:w="4601" w:type="dxa"/>
            <w:vAlign w:val="center"/>
            <w:textDirection w:val="lrTb"/>
            <w:noWrap/>
          </w:tcPr>
          <w:p>
            <w:pPr>
              <w:rPr>
                <w:sz w:val="24"/>
              </w:rPr>
            </w:pPr>
            <w:r>
              <w:rPr>
                <w:sz w:val="24"/>
              </w:rPr>
            </w:r>
            <w:r/>
          </w:p>
        </w:tc>
        <w:tc>
          <w:tcPr>
            <w:tcW w:w="2161" w:type="dxa"/>
            <w:vAlign w:val="center"/>
            <w:textDirection w:val="lrTb"/>
            <w:noWrap/>
          </w:tcPr>
          <w:p>
            <w:pPr>
              <w:ind w:left="-38"/>
              <w:rPr>
                <w:sz w:val="24"/>
              </w:rPr>
            </w:pPr>
            <w:r>
              <w:rPr>
                <w:sz w:val="24"/>
              </w:rPr>
            </w:r>
            <w:r/>
          </w:p>
        </w:tc>
      </w:tr>
      <w:tr>
        <w:trPr>
          <w:jc w:val="center"/>
        </w:trPr>
        <w:tc>
          <w:tcPr>
            <w:tcW w:w="790" w:type="dxa"/>
            <w:vAlign w:val="center"/>
            <w:textDirection w:val="lrTb"/>
            <w:noWrap/>
          </w:tcPr>
          <w:p>
            <w:pPr>
              <w:ind w:firstLine="28"/>
              <w:jc w:val="center"/>
              <w:rPr>
                <w:sz w:val="24"/>
              </w:rPr>
            </w:pPr>
            <w:r>
              <w:rPr>
                <w:sz w:val="24"/>
              </w:rPr>
              <w:t xml:space="preserve">2.1</w:t>
            </w:r>
            <w:r/>
          </w:p>
        </w:tc>
        <w:tc>
          <w:tcPr>
            <w:tcW w:w="1427" w:type="dxa"/>
            <w:vAlign w:val="center"/>
            <w:textDirection w:val="lrTb"/>
            <w:noWrap/>
          </w:tcPr>
          <w:p>
            <w:pPr>
              <w:ind w:firstLine="28"/>
              <w:jc w:val="center"/>
              <w:rPr>
                <w:sz w:val="24"/>
              </w:rPr>
            </w:pPr>
            <w:r>
              <w:rPr>
                <w:sz w:val="24"/>
              </w:rPr>
              <w:t xml:space="preserve">安全文明施工方案</w:t>
            </w:r>
            <w:r/>
          </w:p>
        </w:tc>
        <w:tc>
          <w:tcPr>
            <w:tcW w:w="840" w:type="dxa"/>
            <w:vAlign w:val="center"/>
            <w:textDirection w:val="lrTb"/>
            <w:noWrap/>
          </w:tcPr>
          <w:p>
            <w:pPr>
              <w:ind w:firstLine="28"/>
              <w:jc w:val="center"/>
              <w:rPr>
                <w:sz w:val="24"/>
              </w:rPr>
            </w:pPr>
            <w:r>
              <w:rPr>
                <w:sz w:val="24"/>
              </w:rPr>
              <w:t xml:space="preserve">3</w:t>
            </w:r>
            <w:r/>
          </w:p>
        </w:tc>
        <w:tc>
          <w:tcPr>
            <w:tcW w:w="4601" w:type="dxa"/>
            <w:vAlign w:val="center"/>
            <w:textDirection w:val="lrTb"/>
            <w:noWrap/>
          </w:tcPr>
          <w:p>
            <w:pPr>
              <w:rPr>
                <w:sz w:val="24"/>
              </w:rPr>
            </w:pPr>
            <w:r>
              <w:rPr>
                <w:sz w:val="24"/>
              </w:rPr>
              <w:t xml:space="preserve">投标人提供详细的安全文明作业制度、安全文明施工保证措施、安全文明施工方案，成立以项目负责人为领导的突发事件处理小组：方案内容完整准确、契合度高、操作性强的得3分；方案内容较完整准确、契合度较高、操作性较强的得2分；方案内容基本完整准确、契合度不高、操作性不强的得1分；其他不得分；</w:t>
            </w:r>
            <w:r/>
          </w:p>
        </w:tc>
        <w:tc>
          <w:tcPr>
            <w:tcW w:w="2161" w:type="dxa"/>
            <w:vAlign w:val="center"/>
            <w:vMerge w:val="restart"/>
            <w:textDirection w:val="lrTb"/>
            <w:noWrap/>
          </w:tcPr>
          <w:p>
            <w:pPr>
              <w:ind w:left="-38"/>
              <w:rPr>
                <w:b/>
                <w:sz w:val="24"/>
              </w:rPr>
            </w:pPr>
            <w:r>
              <w:rPr>
                <w:b/>
                <w:sz w:val="24"/>
              </w:rPr>
              <w:t xml:space="preserve">须提供服务方案，否则不得分</w:t>
            </w:r>
            <w:r/>
          </w:p>
        </w:tc>
      </w:tr>
      <w:tr>
        <w:trPr>
          <w:jc w:val="center"/>
        </w:trPr>
        <w:tc>
          <w:tcPr>
            <w:tcW w:w="790" w:type="dxa"/>
            <w:vAlign w:val="center"/>
            <w:textDirection w:val="lrTb"/>
            <w:noWrap/>
          </w:tcPr>
          <w:p>
            <w:pPr>
              <w:ind w:firstLine="28"/>
              <w:jc w:val="center"/>
              <w:rPr>
                <w:sz w:val="24"/>
                <w:highlight w:val="none"/>
              </w:rPr>
            </w:pPr>
            <w:r>
              <w:rPr>
                <w:sz w:val="24"/>
                <w:highlight w:val="none"/>
              </w:rPr>
              <w:t xml:space="preserve">2.2</w:t>
            </w:r>
            <w:r/>
          </w:p>
        </w:tc>
        <w:tc>
          <w:tcPr>
            <w:tcW w:w="1427" w:type="dxa"/>
            <w:vAlign w:val="center"/>
            <w:textDirection w:val="lrTb"/>
            <w:noWrap/>
          </w:tcPr>
          <w:p>
            <w:pPr>
              <w:jc w:val="center"/>
              <w:rPr>
                <w:bCs/>
                <w:sz w:val="24"/>
                <w:highlight w:val="none"/>
              </w:rPr>
            </w:pPr>
            <w:r>
              <w:rPr>
                <w:sz w:val="24"/>
                <w:highlight w:val="none"/>
              </w:rPr>
              <w:t xml:space="preserve">应急预案</w:t>
            </w:r>
            <w:r/>
          </w:p>
        </w:tc>
        <w:tc>
          <w:tcPr>
            <w:tcW w:w="840" w:type="dxa"/>
            <w:vAlign w:val="center"/>
            <w:textDirection w:val="lrTb"/>
            <w:noWrap/>
          </w:tcPr>
          <w:p>
            <w:pPr>
              <w:ind w:firstLine="28"/>
              <w:jc w:val="center"/>
              <w:rPr>
                <w:sz w:val="24"/>
                <w:highlight w:val="none"/>
              </w:rPr>
            </w:pPr>
            <w:r>
              <w:rPr>
                <w:sz w:val="24"/>
                <w:highlight w:val="none"/>
              </w:rPr>
              <w:t xml:space="preserve">3</w:t>
            </w:r>
            <w:r/>
          </w:p>
        </w:tc>
        <w:tc>
          <w:tcPr>
            <w:tcW w:w="4601" w:type="dxa"/>
            <w:vAlign w:val="center"/>
            <w:textDirection w:val="lrTb"/>
            <w:noWrap/>
          </w:tcPr>
          <w:p>
            <w:pPr>
              <w:rPr>
                <w:sz w:val="24"/>
                <w:highlight w:val="none"/>
              </w:rPr>
            </w:pPr>
            <w:r>
              <w:rPr>
                <w:sz w:val="24"/>
                <w:highlight w:val="none"/>
              </w:rPr>
              <w:t xml:space="preserve">针对交通组织安全、下井作业、应急排水导水等提供相关应急预案：预案内容完整准确、契合度高、操作性强的得3分；预案内容较完整准确、契合度较高、操作性较强的得2分；预案内容基本完整准确、契合度不高、操作性不强的得1分；其他不得分；</w:t>
            </w:r>
            <w:r/>
          </w:p>
        </w:tc>
        <w:tc>
          <w:tcPr>
            <w:tcW w:w="2161" w:type="dxa"/>
            <w:vAlign w:val="center"/>
            <w:vMerge w:val="continue"/>
            <w:textDirection w:val="lrTb"/>
            <w:noWrap/>
          </w:tcPr>
          <w:p>
            <w:pPr>
              <w:ind w:left="-38"/>
              <w:rPr>
                <w:sz w:val="24"/>
                <w:highlight w:val="none"/>
              </w:rPr>
            </w:pPr>
            <w:r>
              <w:rPr>
                <w:sz w:val="24"/>
                <w:highlight w:val="none"/>
              </w:rPr>
            </w:r>
            <w:r/>
          </w:p>
        </w:tc>
      </w:tr>
      <w:tr>
        <w:trPr>
          <w:jc w:val="center"/>
          <w:trHeight w:val="2330"/>
        </w:trPr>
        <w:tc>
          <w:tcPr>
            <w:tcW w:w="790" w:type="dxa"/>
            <w:vAlign w:val="center"/>
            <w:textDirection w:val="lrTb"/>
            <w:noWrap/>
          </w:tcPr>
          <w:p>
            <w:pPr>
              <w:ind w:firstLine="28"/>
              <w:jc w:val="center"/>
              <w:rPr>
                <w:sz w:val="24"/>
                <w:highlight w:val="none"/>
              </w:rPr>
            </w:pPr>
            <w:r>
              <w:rPr>
                <w:sz w:val="24"/>
                <w:highlight w:val="none"/>
              </w:rPr>
              <w:t xml:space="preserve">2.3</w:t>
            </w:r>
            <w:r/>
          </w:p>
          <w:p>
            <w:pPr>
              <w:ind w:firstLine="28"/>
              <w:jc w:val="center"/>
              <w:rPr>
                <w:sz w:val="24"/>
                <w:highlight w:val="none"/>
              </w:rPr>
            </w:pPr>
            <w:r>
              <w:rPr>
                <w:sz w:val="24"/>
                <w:highlight w:val="none"/>
              </w:rPr>
            </w:r>
            <w:r/>
          </w:p>
        </w:tc>
        <w:tc>
          <w:tcPr>
            <w:tcW w:w="1427" w:type="dxa"/>
            <w:vAlign w:val="center"/>
            <w:textDirection w:val="lrTb"/>
            <w:noWrap/>
          </w:tcPr>
          <w:p>
            <w:pPr>
              <w:ind w:firstLine="28"/>
              <w:jc w:val="center"/>
              <w:rPr>
                <w:sz w:val="24"/>
                <w:highlight w:val="none"/>
              </w:rPr>
            </w:pPr>
            <w:r>
              <w:rPr>
                <w:sz w:val="24"/>
                <w:highlight w:val="none"/>
              </w:rPr>
              <w:t xml:space="preserve">工作重点、难点及合理化建议</w:t>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rPr>
                <w:sz w:val="24"/>
                <w:highlight w:val="none"/>
              </w:rPr>
            </w:pPr>
            <w:r>
              <w:rPr>
                <w:sz w:val="24"/>
                <w:highlight w:val="none"/>
              </w:rPr>
              <w:t xml:space="preserve">投标人根据行业经验及结合本项目工作内容的特殊情况，提出的工作重点、难点及其解决措施和合理化建议：建议内容完整、契合度高、操作性强的得4分；建议内容较完整、契合度较高、操作性较强的得3分；建议内容基本完整、契合度不高、操作性不强的得2分；其他不得分。</w:t>
            </w:r>
            <w:r/>
          </w:p>
        </w:tc>
        <w:tc>
          <w:tcPr>
            <w:tcW w:w="2161" w:type="dxa"/>
            <w:vAlign w:val="center"/>
            <w:vMerge w:val="continue"/>
            <w:textDirection w:val="lrTb"/>
            <w:noWrap/>
          </w:tcPr>
          <w:p>
            <w:pPr>
              <w:ind w:left="-38"/>
              <w:rPr>
                <w:sz w:val="24"/>
                <w:highlight w:val="none"/>
              </w:rPr>
            </w:pPr>
            <w:r>
              <w:rPr>
                <w:sz w:val="24"/>
                <w:highlight w:val="none"/>
              </w:rPr>
            </w:r>
            <w:r/>
          </w:p>
        </w:tc>
      </w:tr>
      <w:tr>
        <w:trPr>
          <w:jc w:val="center"/>
        </w:trPr>
        <w:tc>
          <w:tcPr>
            <w:tcW w:w="790" w:type="dxa"/>
            <w:vAlign w:val="center"/>
            <w:textDirection w:val="lrTb"/>
            <w:noWrap/>
          </w:tcPr>
          <w:p>
            <w:pPr>
              <w:ind w:firstLine="28"/>
              <w:jc w:val="center"/>
              <w:rPr>
                <w:b/>
                <w:sz w:val="24"/>
                <w:highlight w:val="none"/>
              </w:rPr>
            </w:pPr>
            <w:r>
              <w:rPr>
                <w:b/>
                <w:sz w:val="24"/>
                <w:highlight w:val="none"/>
              </w:rPr>
              <w:t xml:space="preserve">3</w:t>
            </w:r>
            <w:r/>
          </w:p>
        </w:tc>
        <w:tc>
          <w:tcPr>
            <w:tcW w:w="1427" w:type="dxa"/>
            <w:vAlign w:val="center"/>
            <w:textDirection w:val="lrTb"/>
            <w:noWrap/>
          </w:tcPr>
          <w:p>
            <w:pPr>
              <w:ind w:firstLine="28"/>
              <w:jc w:val="center"/>
              <w:rPr>
                <w:b/>
                <w:sz w:val="24"/>
                <w:highlight w:val="none"/>
              </w:rPr>
            </w:pPr>
            <w:r>
              <w:rPr>
                <w:b/>
                <w:sz w:val="24"/>
                <w:highlight w:val="none"/>
              </w:rPr>
              <w:t xml:space="preserve">客观分</w:t>
            </w:r>
            <w:r/>
          </w:p>
        </w:tc>
        <w:tc>
          <w:tcPr>
            <w:tcW w:w="840" w:type="dxa"/>
            <w:vAlign w:val="center"/>
            <w:textDirection w:val="lrTb"/>
            <w:noWrap/>
          </w:tcPr>
          <w:p>
            <w:pPr>
              <w:ind w:firstLine="28"/>
              <w:jc w:val="center"/>
              <w:rPr>
                <w:b/>
                <w:sz w:val="24"/>
                <w:highlight w:val="none"/>
              </w:rPr>
            </w:pPr>
            <w:r>
              <w:rPr>
                <w:b/>
                <w:sz w:val="24"/>
                <w:highlight w:val="none"/>
              </w:rPr>
              <w:t xml:space="preserve">70</w:t>
            </w:r>
            <w:r/>
          </w:p>
        </w:tc>
        <w:tc>
          <w:tcPr>
            <w:tcW w:w="4601" w:type="dxa"/>
            <w:vAlign w:val="center"/>
            <w:textDirection w:val="lrTb"/>
            <w:noWrap/>
          </w:tcPr>
          <w:p>
            <w:pPr>
              <w:rPr>
                <w:sz w:val="24"/>
                <w:highlight w:val="none"/>
              </w:rPr>
            </w:pPr>
            <w:r>
              <w:rPr>
                <w:sz w:val="24"/>
                <w:highlight w:val="none"/>
              </w:rPr>
            </w:r>
            <w:r/>
          </w:p>
        </w:tc>
        <w:tc>
          <w:tcPr>
            <w:tcW w:w="2161" w:type="dxa"/>
            <w:vAlign w:val="center"/>
            <w:textDirection w:val="lrTb"/>
            <w:noWrap/>
          </w:tcPr>
          <w:p>
            <w:pPr>
              <w:ind w:left="-38"/>
              <w:rPr>
                <w:sz w:val="24"/>
                <w:highlight w:val="none"/>
              </w:rPr>
            </w:pPr>
            <w:r>
              <w:rPr>
                <w:sz w:val="24"/>
                <w:highlight w:val="none"/>
              </w:rPr>
            </w:r>
            <w:r/>
          </w:p>
        </w:tc>
      </w:tr>
      <w:tr>
        <w:trPr>
          <w:jc w:val="center"/>
        </w:trPr>
        <w:tc>
          <w:tcPr>
            <w:tcW w:w="790" w:type="dxa"/>
            <w:vAlign w:val="center"/>
            <w:textDirection w:val="lrTb"/>
            <w:noWrap/>
          </w:tcPr>
          <w:p>
            <w:pPr>
              <w:ind w:firstLine="28"/>
              <w:jc w:val="center"/>
              <w:rPr>
                <w:sz w:val="24"/>
                <w:highlight w:val="none"/>
              </w:rPr>
            </w:pPr>
            <w:r>
              <w:rPr>
                <w:sz w:val="24"/>
                <w:highlight w:val="none"/>
              </w:rPr>
              <w:t xml:space="preserve">3.1</w:t>
            </w:r>
            <w:r/>
          </w:p>
        </w:tc>
        <w:tc>
          <w:tcPr>
            <w:tcW w:w="1427" w:type="dxa"/>
            <w:vAlign w:val="center"/>
            <w:textDirection w:val="lrTb"/>
            <w:noWrap/>
          </w:tcPr>
          <w:p>
            <w:pPr>
              <w:ind w:firstLine="28"/>
              <w:jc w:val="center"/>
              <w:rPr>
                <w:sz w:val="24"/>
                <w:highlight w:val="none"/>
              </w:rPr>
            </w:pPr>
            <w:r>
              <w:rPr>
                <w:sz w:val="24"/>
                <w:highlight w:val="none"/>
              </w:rPr>
              <w:t xml:space="preserve">业绩案例</w:t>
            </w:r>
            <w:r/>
          </w:p>
        </w:tc>
        <w:tc>
          <w:tcPr>
            <w:tcW w:w="840" w:type="dxa"/>
            <w:vAlign w:val="center"/>
            <w:textDirection w:val="lrTb"/>
            <w:noWrap/>
          </w:tcPr>
          <w:p>
            <w:pPr>
              <w:ind w:firstLine="28"/>
              <w:jc w:val="center"/>
              <w:rPr>
                <w:sz w:val="24"/>
                <w:highlight w:val="none"/>
              </w:rPr>
            </w:pPr>
            <w:r>
              <w:rPr>
                <w:sz w:val="24"/>
                <w:highlight w:val="none"/>
              </w:rPr>
              <w:t xml:space="preserve">10</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投标人自2023年1月1日（含）至今（以合同签订时间为准）具有与本项目类似业绩达到3份的，得2分，每增加1份得2分。本项最高得10分。</w:t>
            </w:r>
            <w:r/>
          </w:p>
        </w:tc>
        <w:tc>
          <w:tcPr>
            <w:tcW w:w="2161" w:type="dxa"/>
            <w:vAlign w:val="center"/>
            <w:textDirection w:val="lrTb"/>
            <w:noWrap/>
          </w:tcPr>
          <w:p>
            <w:pPr>
              <w:ind w:left="-38"/>
              <w:rPr>
                <w:b/>
                <w:sz w:val="24"/>
                <w:highlight w:val="none"/>
              </w:rPr>
            </w:pPr>
            <w:r>
              <w:rPr>
                <w:b/>
                <w:sz w:val="24"/>
                <w:highlight w:val="none"/>
              </w:rPr>
              <w:t xml:space="preserve">须提供合同扫描件、中标通知书、验收证明并加盖投标人公章，否则不得分</w:t>
            </w:r>
            <w:r/>
          </w:p>
        </w:tc>
      </w:tr>
      <w:tr>
        <w:trPr>
          <w:jc w:val="center"/>
          <w:trHeight w:val="261"/>
        </w:trPr>
        <w:tc>
          <w:tcPr>
            <w:tcW w:w="790" w:type="dxa"/>
            <w:vAlign w:val="center"/>
            <w:vMerge w:val="restart"/>
            <w:textDirection w:val="lrTb"/>
            <w:noWrap/>
          </w:tcPr>
          <w:p>
            <w:pPr>
              <w:ind w:firstLine="28"/>
              <w:jc w:val="center"/>
              <w:rPr>
                <w:sz w:val="24"/>
                <w:highlight w:val="none"/>
              </w:rPr>
            </w:pPr>
            <w:r>
              <w:rPr>
                <w:sz w:val="24"/>
                <w:highlight w:val="none"/>
              </w:rPr>
              <w:t xml:space="preserve">3.2</w:t>
            </w:r>
            <w:r/>
          </w:p>
        </w:tc>
        <w:tc>
          <w:tcPr>
            <w:tcW w:w="1427" w:type="dxa"/>
            <w:vAlign w:val="center"/>
            <w:vMerge w:val="restart"/>
            <w:textDirection w:val="lrTb"/>
            <w:noWrap/>
          </w:tcPr>
          <w:p>
            <w:pPr>
              <w:ind w:firstLine="28"/>
              <w:jc w:val="center"/>
              <w:rPr>
                <w:sz w:val="24"/>
                <w:highlight w:val="none"/>
              </w:rPr>
            </w:pPr>
            <w:r>
              <w:rPr>
                <w:sz w:val="24"/>
                <w:highlight w:val="none"/>
              </w:rPr>
              <w:t xml:space="preserve">拟投入本项目人员</w:t>
            </w:r>
            <w:r/>
          </w:p>
        </w:tc>
        <w:tc>
          <w:tcPr>
            <w:tcW w:w="840" w:type="dxa"/>
            <w:vAlign w:val="center"/>
            <w:textDirection w:val="lrTb"/>
            <w:noWrap/>
          </w:tcPr>
          <w:p>
            <w:pPr>
              <w:ind w:firstLine="28"/>
              <w:jc w:val="center"/>
              <w:rPr>
                <w:sz w:val="24"/>
                <w:highlight w:val="none"/>
              </w:rPr>
            </w:pPr>
            <w:r>
              <w:rPr>
                <w:sz w:val="24"/>
                <w:highlight w:val="none"/>
              </w:rPr>
              <w:t xml:space="preserve">5</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拟派本项目的项目负责人具有行政主管部门颁发的市政类高级工程师（含）以上职称的，得5分；中级工程师职称的，得3分。本项最高得5分。</w:t>
            </w:r>
            <w:r/>
          </w:p>
        </w:tc>
        <w:tc>
          <w:tcPr>
            <w:tcW w:w="2161" w:type="dxa"/>
            <w:vAlign w:val="center"/>
            <w:vMerge w:val="restart"/>
            <w:textDirection w:val="lrTb"/>
            <w:noWrap/>
          </w:tcPr>
          <w:p>
            <w:pPr>
              <w:ind w:left="-40"/>
              <w:rPr>
                <w:b/>
                <w:sz w:val="24"/>
                <w:highlight w:val="none"/>
              </w:rPr>
            </w:pPr>
            <w:r>
              <w:rPr>
                <w:b/>
                <w:bCs/>
                <w:sz w:val="24"/>
                <w:highlight w:val="none"/>
              </w:rPr>
              <w:t xml:space="preserve">须提供配备上述人员的资格证书扫描件及</w:t>
            </w:r>
            <w:r>
              <w:rPr>
                <w:b/>
                <w:sz w:val="24"/>
                <w:highlight w:val="none"/>
              </w:rPr>
              <w:t xml:space="preserve">投标人为其缴纳的2026年5月至2026年7月三个月中任意一个月的社保证明材料扫描件</w:t>
            </w:r>
            <w:r>
              <w:rPr>
                <w:b/>
                <w:bCs/>
                <w:sz w:val="24"/>
                <w:highlight w:val="none"/>
              </w:rPr>
              <w:t xml:space="preserve">并加盖投标人公章，否则不得分（合同履行不到位的，按违约条款进行扣罚）</w:t>
            </w:r>
            <w:r/>
          </w:p>
        </w:tc>
      </w:tr>
      <w:tr>
        <w:trPr>
          <w:jc w:val="center"/>
          <w:trHeight w:val="261"/>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8</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拟派本项目的电视检测CCTV</w:t>
            </w:r>
            <w:bookmarkStart w:id="814" w:name="OLE_LINK10"/>
            <w:r/>
            <w:bookmarkStart w:id="815" w:name="OLE_LINK7"/>
            <w:r>
              <w:rPr>
                <w:sz w:val="24"/>
                <w:highlight w:val="none"/>
              </w:rPr>
              <w:t xml:space="preserve">操作员须具有市级及以上</w:t>
            </w:r>
            <w:bookmarkEnd w:id="814"/>
            <w:r/>
            <w:bookmarkEnd w:id="815"/>
            <w:r>
              <w:rPr>
                <w:sz w:val="24"/>
                <w:highlight w:val="none"/>
              </w:rPr>
              <w:t xml:space="preserve">人社部门或行业主管部门颁发的CCTV作业资格证书，每有1人得2分。本项最高得8分。</w:t>
            </w:r>
            <w:r/>
          </w:p>
        </w:tc>
        <w:tc>
          <w:tcPr>
            <w:tcW w:w="2161" w:type="dxa"/>
            <w:vAlign w:val="center"/>
            <w:vMerge w:val="continue"/>
            <w:textDirection w:val="lrTb"/>
            <w:noWrap/>
          </w:tcPr>
          <w:p>
            <w:pPr>
              <w:ind w:left="-40"/>
              <w:rPr>
                <w:b/>
                <w:sz w:val="24"/>
                <w:highlight w:val="none"/>
              </w:rPr>
            </w:pPr>
            <w:r>
              <w:rPr>
                <w:b/>
                <w:sz w:val="24"/>
                <w:highlight w:val="none"/>
              </w:rPr>
            </w:r>
            <w:r/>
          </w:p>
        </w:tc>
      </w:tr>
      <w:tr>
        <w:trPr>
          <w:jc w:val="center"/>
          <w:trHeight w:val="687"/>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spacing w:before="100" w:beforeAutospacing="1" w:after="100" w:afterAutospacing="1"/>
              <w:widowControl/>
              <w:rPr>
                <w:sz w:val="24"/>
                <w:highlight w:val="none"/>
              </w:rPr>
            </w:pPr>
            <w:r/>
            <w:bookmarkStart w:id="816" w:name="OLE_LINK11"/>
            <w:r>
              <w:rPr>
                <w:sz w:val="24"/>
                <w:highlight w:val="none"/>
              </w:rPr>
              <w:t xml:space="preserve">拟派本项目的潜水作业人员须具</w:t>
            </w:r>
            <w:bookmarkEnd w:id="816"/>
            <w:r>
              <w:rPr>
                <w:sz w:val="24"/>
                <w:highlight w:val="none"/>
              </w:rPr>
              <w:t xml:space="preserve">有潜水特种作业资格证书，每有1人得1分。本项最高得4分。</w:t>
            </w:r>
            <w:r/>
          </w:p>
        </w:tc>
        <w:tc>
          <w:tcPr>
            <w:tcW w:w="2161" w:type="dxa"/>
            <w:vAlign w:val="center"/>
            <w:vMerge w:val="continue"/>
            <w:textDirection w:val="lrTb"/>
            <w:noWrap/>
          </w:tcPr>
          <w:p>
            <w:pPr>
              <w:ind w:left="-40"/>
              <w:rPr>
                <w:b/>
                <w:sz w:val="24"/>
                <w:highlight w:val="none"/>
              </w:rPr>
            </w:pPr>
            <w:r>
              <w:rPr>
                <w:b/>
                <w:sz w:val="24"/>
                <w:highlight w:val="none"/>
              </w:rPr>
            </w:r>
            <w:r/>
          </w:p>
        </w:tc>
      </w:tr>
      <w:tr>
        <w:trPr>
          <w:jc w:val="center"/>
          <w:trHeight w:val="687"/>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8</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拟派本项目的工作人员须具有市级及以上人社部门</w:t>
            </w:r>
            <w:bookmarkStart w:id="817" w:name="OLE_LINK4"/>
            <w:r/>
            <w:bookmarkStart w:id="818" w:name="OLE_LINK3"/>
            <w:r>
              <w:rPr>
                <w:sz w:val="24"/>
                <w:highlight w:val="none"/>
              </w:rPr>
              <w:t xml:space="preserve">或行业主管部门</w:t>
            </w:r>
            <w:bookmarkEnd w:id="817"/>
            <w:r/>
            <w:bookmarkEnd w:id="818"/>
            <w:r>
              <w:rPr>
                <w:sz w:val="24"/>
                <w:highlight w:val="none"/>
              </w:rPr>
              <w:t xml:space="preserve">颁发的排水管道工（养护工）证书，每有1人得2分。本项最高得8分。</w:t>
            </w:r>
            <w:r/>
          </w:p>
        </w:tc>
        <w:tc>
          <w:tcPr>
            <w:tcW w:w="2161" w:type="dxa"/>
            <w:vAlign w:val="center"/>
            <w:vMerge w:val="continue"/>
            <w:textDirection w:val="lrTb"/>
            <w:noWrap/>
          </w:tcPr>
          <w:p>
            <w:pPr>
              <w:ind w:left="-40"/>
              <w:rPr>
                <w:b/>
                <w:sz w:val="24"/>
                <w:highlight w:val="none"/>
              </w:rPr>
            </w:pPr>
            <w:r>
              <w:rPr>
                <w:b/>
                <w:sz w:val="24"/>
                <w:highlight w:val="none"/>
              </w:rPr>
            </w:r>
            <w:r/>
          </w:p>
        </w:tc>
      </w:tr>
      <w:tr>
        <w:trPr>
          <w:jc w:val="center"/>
          <w:trHeight w:val="687"/>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3</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拟派本项目的</w:t>
            </w:r>
            <w:bookmarkStart w:id="819" w:name="OLE_LINK19"/>
            <w:r>
              <w:rPr>
                <w:sz w:val="24"/>
                <w:highlight w:val="none"/>
              </w:rPr>
              <w:t xml:space="preserve">专职安全员</w:t>
            </w:r>
            <w:bookmarkEnd w:id="819"/>
            <w:r>
              <w:rPr>
                <w:sz w:val="24"/>
                <w:highlight w:val="none"/>
              </w:rPr>
              <w:t xml:space="preserve">具有建设行政主管部门颁发的安全生产考核合格证书（C证）的得3分。本项最高得3分。</w:t>
            </w:r>
            <w:r/>
          </w:p>
        </w:tc>
        <w:tc>
          <w:tcPr>
            <w:tcW w:w="2161" w:type="dxa"/>
            <w:vAlign w:val="center"/>
            <w:vMerge w:val="continue"/>
            <w:textDirection w:val="lrTb"/>
            <w:noWrap/>
          </w:tcPr>
          <w:p>
            <w:pPr>
              <w:ind w:left="-40"/>
              <w:rPr>
                <w:b/>
                <w:sz w:val="24"/>
                <w:highlight w:val="none"/>
              </w:rPr>
            </w:pPr>
            <w:r>
              <w:rPr>
                <w:b/>
                <w:sz w:val="24"/>
                <w:highlight w:val="none"/>
              </w:rPr>
            </w:r>
            <w:r/>
          </w:p>
        </w:tc>
      </w:tr>
      <w:tr>
        <w:trPr>
          <w:jc w:val="center"/>
          <w:trHeight w:val="669"/>
        </w:trPr>
        <w:tc>
          <w:tcPr>
            <w:tcW w:w="790" w:type="dxa"/>
            <w:vAlign w:val="center"/>
            <w:vMerge w:val="restart"/>
            <w:textDirection w:val="lrTb"/>
            <w:noWrap/>
          </w:tcPr>
          <w:p>
            <w:pPr>
              <w:ind w:firstLine="28"/>
              <w:jc w:val="center"/>
              <w:rPr>
                <w:sz w:val="24"/>
                <w:highlight w:val="none"/>
              </w:rPr>
            </w:pPr>
            <w:r>
              <w:rPr>
                <w:sz w:val="24"/>
                <w:highlight w:val="none"/>
              </w:rPr>
              <w:t xml:space="preserve">3.3</w:t>
            </w:r>
            <w:r/>
          </w:p>
        </w:tc>
        <w:tc>
          <w:tcPr>
            <w:tcW w:w="1427" w:type="dxa"/>
            <w:vAlign w:val="center"/>
            <w:vMerge w:val="restart"/>
            <w:textDirection w:val="lrTb"/>
            <w:noWrap/>
          </w:tcPr>
          <w:p>
            <w:pPr>
              <w:ind w:firstLine="28"/>
              <w:jc w:val="center"/>
              <w:rPr>
                <w:sz w:val="24"/>
                <w:highlight w:val="none"/>
              </w:rPr>
            </w:pPr>
            <w:r>
              <w:rPr>
                <w:sz w:val="24"/>
                <w:highlight w:val="none"/>
              </w:rPr>
              <w:t xml:space="preserve">拟投入本项目设备</w:t>
            </w:r>
            <w:r/>
          </w:p>
        </w:tc>
        <w:tc>
          <w:tcPr>
            <w:tcW w:w="840" w:type="dxa"/>
            <w:vAlign w:val="center"/>
            <w:textDirection w:val="lrTb"/>
            <w:noWrap/>
          </w:tcPr>
          <w:p>
            <w:pPr>
              <w:ind w:firstLine="28"/>
              <w:jc w:val="center"/>
              <w:rPr>
                <w:sz w:val="24"/>
                <w:highlight w:val="none"/>
              </w:rPr>
            </w:pPr>
            <w:r>
              <w:rPr>
                <w:sz w:val="24"/>
                <w:highlight w:val="none"/>
              </w:rPr>
              <w:t xml:space="preserve">8</w:t>
            </w:r>
            <w:r/>
          </w:p>
        </w:tc>
        <w:tc>
          <w:tcPr>
            <w:tcW w:w="4601" w:type="dxa"/>
            <w:vAlign w:val="center"/>
            <w:textDirection w:val="lrTb"/>
            <w:noWrap/>
          </w:tcPr>
          <w:p>
            <w:pPr>
              <w:jc w:val="left"/>
              <w:spacing w:line="300" w:lineRule="exact"/>
              <w:rPr>
                <w:bCs/>
                <w:sz w:val="24"/>
                <w:highlight w:val="none"/>
              </w:rPr>
            </w:pPr>
            <w:r>
              <w:rPr>
                <w:sz w:val="24"/>
                <w:highlight w:val="none"/>
              </w:rPr>
              <w:t xml:space="preserve">投标人具有排水管道CCTV检测设备的，设备为自有的，每有1套得2分；租赁的，每有1套得1分。本项最高得8分。</w:t>
            </w:r>
            <w:r/>
          </w:p>
        </w:tc>
        <w:tc>
          <w:tcPr>
            <w:tcW w:w="2161" w:type="dxa"/>
            <w:vAlign w:val="center"/>
            <w:vMerge w:val="restart"/>
            <w:textDirection w:val="lrTb"/>
            <w:noWrap/>
          </w:tcPr>
          <w:p>
            <w:pPr>
              <w:ind w:left="-38"/>
              <w:rPr>
                <w:b/>
                <w:sz w:val="24"/>
                <w:highlight w:val="none"/>
              </w:rPr>
            </w:pPr>
            <w:r>
              <w:rPr>
                <w:rFonts w:hint="eastAsia"/>
                <w:b/>
                <w:sz w:val="24"/>
                <w:highlight w:val="none"/>
              </w:rPr>
              <w:t xml:space="preserve">（1）</w:t>
            </w:r>
            <w:r>
              <w:rPr>
                <w:b/>
                <w:sz w:val="24"/>
                <w:highlight w:val="none"/>
              </w:rPr>
              <w:t xml:space="preserve">自有设备的，须提供设备购置发票扫描件并加盖投标人公章,否则不得分；</w:t>
            </w:r>
            <w:r/>
          </w:p>
          <w:p>
            <w:pPr>
              <w:ind w:left="-38"/>
              <w:rPr>
                <w:b/>
                <w:sz w:val="24"/>
                <w:highlight w:val="none"/>
              </w:rPr>
            </w:pPr>
            <w:r>
              <w:rPr>
                <w:b/>
                <w:sz w:val="24"/>
                <w:highlight w:val="none"/>
              </w:rPr>
              <w:t xml:space="preserve">（2）租赁设备的，须提供有效期内的租赁合同、发票扫描件并加盖投标人公章，否则不得分</w:t>
            </w:r>
            <w:r/>
          </w:p>
        </w:tc>
      </w:tr>
      <w:tr>
        <w:trPr>
          <w:jc w:val="center"/>
          <w:trHeight w:val="669"/>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jc w:val="left"/>
              <w:spacing w:line="300" w:lineRule="exact"/>
              <w:rPr>
                <w:sz w:val="24"/>
                <w:highlight w:val="none"/>
              </w:rPr>
            </w:pPr>
            <w:r>
              <w:rPr>
                <w:sz w:val="24"/>
                <w:highlight w:val="none"/>
              </w:rPr>
              <w:t xml:space="preserve">投标人具有全地形管道机器人的，像素不低于200万，分辨率满足1920*1080，设备为自有的，每有1套得2分；租赁的，每有1套得1分。本项最高得4分。</w:t>
            </w:r>
            <w:r/>
          </w:p>
        </w:tc>
        <w:tc>
          <w:tcPr>
            <w:tcW w:w="2161" w:type="dxa"/>
            <w:vAlign w:val="center"/>
            <w:vMerge w:val="continue"/>
            <w:textDirection w:val="lrTb"/>
            <w:noWrap/>
          </w:tcPr>
          <w:p>
            <w:pPr>
              <w:ind w:left="-38"/>
              <w:rPr>
                <w:b/>
                <w:sz w:val="24"/>
                <w:highlight w:val="none"/>
              </w:rPr>
            </w:pPr>
            <w:r>
              <w:rPr>
                <w:b/>
                <w:sz w:val="24"/>
                <w:highlight w:val="none"/>
              </w:rPr>
            </w:r>
            <w:r/>
          </w:p>
        </w:tc>
      </w:tr>
      <w:tr>
        <w:trPr>
          <w:jc w:val="center"/>
          <w:trHeight w:val="1536"/>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12</w:t>
            </w:r>
            <w:r/>
          </w:p>
          <w:p>
            <w:pPr>
              <w:ind w:firstLine="28"/>
              <w:jc w:val="center"/>
              <w:rPr>
                <w:sz w:val="24"/>
                <w:highlight w:val="none"/>
              </w:rPr>
            </w:pPr>
            <w:r>
              <w:rPr>
                <w:sz w:val="24"/>
                <w:highlight w:val="none"/>
              </w:rPr>
            </w:r>
            <w:r/>
          </w:p>
        </w:tc>
        <w:tc>
          <w:tcPr>
            <w:tcW w:w="4601" w:type="dxa"/>
            <w:vAlign w:val="center"/>
            <w:textDirection w:val="lrTb"/>
            <w:noWrap/>
          </w:tcPr>
          <w:p>
            <w:pPr>
              <w:jc w:val="left"/>
              <w:spacing w:line="300" w:lineRule="exact"/>
              <w:rPr>
                <w:sz w:val="24"/>
                <w:highlight w:val="none"/>
              </w:rPr>
            </w:pPr>
            <w:r>
              <w:rPr>
                <w:sz w:val="24"/>
                <w:highlight w:val="none"/>
              </w:rPr>
              <w:t xml:space="preserve">投标人具有作业车辆：</w:t>
            </w:r>
            <w:r/>
          </w:p>
          <w:p>
            <w:pPr>
              <w:numPr>
                <w:ilvl w:val="0"/>
                <w:numId w:val="16"/>
              </w:numPr>
              <w:jc w:val="left"/>
              <w:spacing w:line="300" w:lineRule="exact"/>
              <w:rPr>
                <w:highlight w:val="none"/>
              </w:rPr>
            </w:pPr>
            <w:r>
              <w:rPr>
                <w:sz w:val="24"/>
                <w:highlight w:val="none"/>
              </w:rPr>
              <w:t xml:space="preserve">大型高压射水疏通车，</w:t>
            </w:r>
            <w:r>
              <w:rPr>
                <w:bCs/>
                <w:sz w:val="24"/>
                <w:highlight w:val="none"/>
              </w:rPr>
              <w:t xml:space="preserve">发动机功率需满足136KW，车辆为自有的，</w:t>
            </w:r>
            <w:r>
              <w:rPr>
                <w:sz w:val="24"/>
                <w:highlight w:val="none"/>
              </w:rPr>
              <w:t xml:space="preserve">每有1辆得2分；租赁的，每有1辆得1分。本项最高得6分。</w:t>
            </w:r>
            <w:r/>
          </w:p>
          <w:p>
            <w:pPr>
              <w:numPr>
                <w:ilvl w:val="0"/>
                <w:numId w:val="16"/>
              </w:numPr>
              <w:jc w:val="left"/>
              <w:spacing w:line="300" w:lineRule="exact"/>
              <w:rPr>
                <w:sz w:val="24"/>
                <w:highlight w:val="none"/>
              </w:rPr>
            </w:pPr>
            <w:r>
              <w:rPr>
                <w:sz w:val="24"/>
                <w:highlight w:val="none"/>
              </w:rPr>
              <w:t xml:space="preserve">吸污车，吸污罐体体积不低于12立方米，</w:t>
            </w:r>
            <w:r>
              <w:rPr>
                <w:bCs/>
                <w:sz w:val="24"/>
                <w:highlight w:val="none"/>
              </w:rPr>
              <w:t xml:space="preserve">车辆为自有的，</w:t>
            </w:r>
            <w:r>
              <w:rPr>
                <w:sz w:val="24"/>
                <w:highlight w:val="none"/>
              </w:rPr>
              <w:t xml:space="preserve">每有1辆得3分；租赁的，每有1辆得1分。本项最高得6分。</w:t>
            </w:r>
            <w:r/>
          </w:p>
          <w:p>
            <w:pPr>
              <w:jc w:val="left"/>
              <w:spacing w:line="300" w:lineRule="exact"/>
              <w:rPr>
                <w:sz w:val="24"/>
                <w:highlight w:val="none"/>
              </w:rPr>
            </w:pPr>
            <w:r>
              <w:rPr>
                <w:sz w:val="24"/>
                <w:highlight w:val="none"/>
              </w:rPr>
              <w:t xml:space="preserve">同时具有高压疏通、吸污作业功能的特种车辆，按满足条件的一项得分，不重复得分。本项最高得12分。</w:t>
            </w:r>
            <w:r/>
          </w:p>
        </w:tc>
        <w:tc>
          <w:tcPr>
            <w:tcW w:w="2161" w:type="dxa"/>
            <w:vAlign w:val="center"/>
            <w:vMerge w:val="continue"/>
            <w:textDirection w:val="lrTb"/>
            <w:noWrap/>
          </w:tcPr>
          <w:p>
            <w:pPr>
              <w:ind w:left="-38"/>
              <w:rPr>
                <w:b/>
                <w:sz w:val="24"/>
                <w:highlight w:val="none"/>
              </w:rPr>
            </w:pPr>
            <w:r>
              <w:rPr>
                <w:b/>
                <w:sz w:val="24"/>
                <w:highlight w:val="none"/>
              </w:rPr>
            </w:r>
            <w:r/>
          </w:p>
        </w:tc>
      </w:tr>
      <w:tr>
        <w:trPr>
          <w:jc w:val="center"/>
          <w:trHeight w:val="1318"/>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jc w:val="left"/>
              <w:rPr>
                <w:bCs/>
                <w:sz w:val="24"/>
                <w:highlight w:val="none"/>
              </w:rPr>
            </w:pPr>
            <w:r>
              <w:rPr>
                <w:sz w:val="24"/>
                <w:highlight w:val="none"/>
              </w:rPr>
              <w:t xml:space="preserve">投标人具有水泵、泵车等临排设备的，流量不小于500方/小时，设备为自有的，每有1套得2分；租赁的，每有1套得1分。本项最高得4分。</w:t>
            </w:r>
            <w:r/>
          </w:p>
        </w:tc>
        <w:tc>
          <w:tcPr>
            <w:tcW w:w="2161" w:type="dxa"/>
            <w:vAlign w:val="center"/>
            <w:vMerge w:val="continue"/>
            <w:textDirection w:val="lrTb"/>
            <w:noWrap/>
          </w:tcPr>
          <w:p>
            <w:pPr>
              <w:ind w:left="-38"/>
              <w:rPr>
                <w:b/>
                <w:sz w:val="24"/>
                <w:highlight w:val="none"/>
              </w:rPr>
            </w:pPr>
            <w:r>
              <w:rPr>
                <w:b/>
                <w:sz w:val="24"/>
                <w:highlight w:val="none"/>
              </w:rPr>
            </w:r>
            <w:r/>
          </w:p>
        </w:tc>
      </w:tr>
      <w:tr>
        <w:trPr>
          <w:jc w:val="center"/>
          <w:trHeight w:val="755"/>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szCs w:val="22"/>
                <w:highlight w:val="none"/>
              </w:rPr>
            </w:pPr>
            <w:r>
              <w:rPr>
                <w:sz w:val="24"/>
                <w:szCs w:val="22"/>
                <w:highlight w:val="none"/>
              </w:rPr>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jc w:val="left"/>
              <w:spacing w:line="300" w:lineRule="exact"/>
              <w:rPr>
                <w:bCs/>
                <w:sz w:val="24"/>
                <w:highlight w:val="none"/>
              </w:rPr>
            </w:pPr>
            <w:r>
              <w:rPr>
                <w:sz w:val="24"/>
                <w:highlight w:val="none"/>
              </w:rPr>
              <w:t xml:space="preserve">投标人具有污泥运输车的，吸污罐体体积不低于12立方米，</w:t>
            </w:r>
            <w:r>
              <w:rPr>
                <w:bCs/>
                <w:sz w:val="24"/>
                <w:highlight w:val="none"/>
              </w:rPr>
              <w:t xml:space="preserve">车辆为自有的，</w:t>
            </w:r>
            <w:r>
              <w:rPr>
                <w:sz w:val="24"/>
                <w:highlight w:val="none"/>
              </w:rPr>
              <w:t xml:space="preserve">每有1辆得2分；租赁的，每有1辆得1分。本项最高得4分。</w:t>
            </w:r>
            <w:r/>
          </w:p>
        </w:tc>
        <w:tc>
          <w:tcPr>
            <w:tcW w:w="2161" w:type="dxa"/>
            <w:vAlign w:val="center"/>
            <w:vMerge w:val="continue"/>
            <w:textDirection w:val="lrTb"/>
            <w:noWrap/>
          </w:tcPr>
          <w:p>
            <w:pPr>
              <w:ind w:left="-38"/>
              <w:rPr>
                <w:b/>
                <w:sz w:val="24"/>
                <w:highlight w:val="none"/>
              </w:rPr>
            </w:pPr>
            <w:r>
              <w:rPr>
                <w:b/>
                <w:sz w:val="24"/>
                <w:highlight w:val="none"/>
              </w:rPr>
            </w:r>
            <w:r/>
          </w:p>
        </w:tc>
      </w:tr>
      <w:tr>
        <w:trPr>
          <w:jc w:val="center"/>
          <w:trHeight w:val="437"/>
        </w:trPr>
        <w:tc>
          <w:tcPr>
            <w:gridSpan w:val="2"/>
            <w:tcW w:w="2217" w:type="dxa"/>
            <w:vAlign w:val="center"/>
            <w:textDirection w:val="lrTb"/>
            <w:noWrap/>
          </w:tcPr>
          <w:p>
            <w:pPr>
              <w:ind w:firstLine="28"/>
              <w:jc w:val="center"/>
              <w:rPr>
                <w:sz w:val="24"/>
                <w:highlight w:val="none"/>
              </w:rPr>
            </w:pPr>
            <w:r>
              <w:rPr>
                <w:sz w:val="24"/>
                <w:highlight w:val="none"/>
              </w:rPr>
              <w:t xml:space="preserve">合计</w:t>
            </w:r>
            <w:r/>
          </w:p>
        </w:tc>
        <w:tc>
          <w:tcPr>
            <w:tcW w:w="840" w:type="dxa"/>
            <w:vAlign w:val="center"/>
            <w:textDirection w:val="lrTb"/>
            <w:noWrap/>
          </w:tcPr>
          <w:p>
            <w:pPr>
              <w:ind w:firstLine="28"/>
              <w:jc w:val="center"/>
              <w:rPr>
                <w:sz w:val="24"/>
                <w:highlight w:val="none"/>
              </w:rPr>
            </w:pPr>
            <w:r>
              <w:rPr>
                <w:sz w:val="24"/>
                <w:highlight w:val="none"/>
              </w:rPr>
              <w:t xml:space="preserve">100</w:t>
            </w:r>
            <w:r/>
          </w:p>
        </w:tc>
        <w:tc>
          <w:tcPr>
            <w:gridSpan w:val="2"/>
            <w:tcW w:w="6762" w:type="dxa"/>
            <w:vAlign w:val="center"/>
            <w:textDirection w:val="lrTb"/>
            <w:noWrap/>
          </w:tcPr>
          <w:p>
            <w:pPr>
              <w:rPr>
                <w:sz w:val="24"/>
                <w:highlight w:val="none"/>
              </w:rPr>
            </w:pPr>
            <w:r>
              <w:rPr>
                <w:sz w:val="24"/>
                <w:highlight w:val="none"/>
              </w:rPr>
            </w:r>
            <w:r/>
          </w:p>
        </w:tc>
      </w:tr>
    </w:tbl>
    <w:p>
      <w:pPr>
        <w:jc w:val="center"/>
        <w:spacing w:line="360" w:lineRule="auto"/>
        <w:rPr>
          <w:b/>
          <w:sz w:val="36"/>
          <w:szCs w:val="36"/>
          <w:highlight w:val="none"/>
        </w:rPr>
        <w:outlineLvl w:val="0"/>
      </w:pPr>
      <w:r>
        <w:rPr>
          <w:b/>
          <w:sz w:val="36"/>
          <w:szCs w:val="36"/>
          <w:highlight w:val="none"/>
        </w:rPr>
        <w:br w:type="page" w:clear="all"/>
      </w:r>
      <w:bookmarkStart w:id="820" w:name="_Toc28243"/>
      <w:r>
        <w:rPr>
          <w:b/>
          <w:sz w:val="36"/>
          <w:szCs w:val="36"/>
          <w:highlight w:val="none"/>
        </w:rPr>
        <w:t xml:space="preserve">第五章   采购需求</w:t>
      </w:r>
      <w:bookmarkEnd w:id="820"/>
      <w:r/>
      <w:r/>
    </w:p>
    <w:p>
      <w:pPr>
        <w:ind w:firstLine="480"/>
        <w:spacing w:line="360" w:lineRule="auto"/>
        <w:rPr>
          <w:rFonts w:ascii="宋体" w:hAnsi="宋体"/>
          <w:sz w:val="24"/>
          <w:highlight w:val="none"/>
        </w:rPr>
      </w:pPr>
      <w:r>
        <w:rPr>
          <w:rFonts w:hint="eastAsia" w:ascii="宋体" w:hAnsi="宋体"/>
          <w:sz w:val="24"/>
          <w:highlight w:val="none"/>
        </w:rPr>
        <w:t xml:space="preserve">受常州市排水管理处的委托，江苏中冠工程咨询有限公司作为招标代理机构，就其单位所需2026年管线功能性结构性检测项目进行公开招标采购。</w:t>
      </w:r>
      <w:r/>
    </w:p>
    <w:p>
      <w:pPr>
        <w:ind w:firstLine="482"/>
        <w:spacing w:line="360" w:lineRule="auto"/>
        <w:rPr>
          <w:rFonts w:ascii="宋体" w:hAnsi="宋体" w:cs="宋体"/>
          <w:b/>
          <w:sz w:val="24"/>
          <w:szCs w:val="20"/>
          <w:highlight w:val="none"/>
        </w:rPr>
        <w:outlineLvl w:val="1"/>
      </w:pPr>
      <w:r/>
      <w:bookmarkStart w:id="821" w:name="_Toc29361"/>
      <w:r>
        <w:rPr>
          <w:rFonts w:hint="eastAsia" w:ascii="宋体" w:hAnsi="宋体" w:cs="宋体"/>
          <w:b/>
          <w:sz w:val="24"/>
          <w:szCs w:val="20"/>
          <w:highlight w:val="none"/>
        </w:rPr>
        <w:t xml:space="preserve">一、</w:t>
      </w:r>
      <w:r>
        <w:rPr>
          <w:rFonts w:hint="eastAsia" w:hAnsi="宋体"/>
          <w:b/>
          <w:sz w:val="24"/>
          <w:highlight w:val="none"/>
        </w:rPr>
        <w:t xml:space="preserve">采购</w:t>
      </w:r>
      <w:r>
        <w:rPr>
          <w:rFonts w:hAnsi="宋体"/>
          <w:b/>
          <w:sz w:val="24"/>
          <w:highlight w:val="none"/>
        </w:rPr>
        <w:t xml:space="preserve">内容</w:t>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（一）项目内容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对招标人排水管道进行功能性结构性检测。功能性结构性检测的工作内容包含但不限于管道清淤（含结垢等）、清洗、临时导排水、下井作业、垃圾外运、临时封堵及拆除、管道CCTV检测及提供视频检测资料、检测报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排水管道运行工况复杂，包含DN≥800排水管道及末端排河管道，需进行封堵临排及砌筑围堰等。管道内的砖石块、硬质垃圾等需要人工清理，须按规范要求开展有限空间作业等，具有较高的施工作业难度及风险</w:t>
      </w:r>
      <w:r/>
    </w:p>
    <w:p>
      <w:pPr>
        <w:ind w:firstLine="482"/>
        <w:spacing w:line="360" w:lineRule="auto"/>
        <w:rPr>
          <w:b/>
          <w:bCs/>
          <w:sz w:val="24"/>
          <w:highlight w:val="none"/>
        </w:rPr>
        <w:outlineLvl w:val="2"/>
      </w:pPr>
      <w:r>
        <w:rPr>
          <w:rFonts w:hAnsi="宋体"/>
          <w:b/>
          <w:bCs/>
          <w:sz w:val="24"/>
          <w:highlight w:val="none"/>
        </w:rPr>
        <w:t xml:space="preserve">（</w:t>
      </w:r>
      <w:r>
        <w:rPr>
          <w:rFonts w:hint="eastAsia" w:hAnsi="宋体"/>
          <w:b/>
          <w:bCs/>
          <w:sz w:val="24"/>
          <w:highlight w:val="none"/>
        </w:rPr>
        <w:t xml:space="preserve">二</w:t>
      </w:r>
      <w:r>
        <w:rPr>
          <w:rFonts w:hAnsi="宋体"/>
          <w:b/>
          <w:bCs/>
          <w:sz w:val="24"/>
          <w:highlight w:val="none"/>
        </w:rPr>
        <w:t xml:space="preserve">）说明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1.本项目时间紧任务重，按照项目工期要求，项目正式开工后，须按</w:t>
      </w:r>
      <w:r>
        <w:rPr>
          <w:rFonts w:hint="eastAsia" w:ascii="宋体" w:hAnsi="宋体" w:cs="宋体"/>
          <w:sz w:val="24"/>
          <w:highlight w:val="none"/>
          <w:lang w:val="en-US" w:eastAsia="zh-CN"/>
        </w:rPr>
        <w:t xml:space="preserve">招标人</w:t>
      </w:r>
      <w:r>
        <w:rPr>
          <w:rFonts w:hint="eastAsia" w:ascii="宋体" w:hAnsi="宋体" w:cs="宋体"/>
          <w:sz w:val="24"/>
          <w:highlight w:val="none"/>
        </w:rPr>
        <w:t xml:space="preserve">布置的任务要求合理安排好人员、机械投入，保质保量完成工作任务。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2.管道清淤（含结垢等）、清洗、临时导排水、垃圾外运、临时封堵及拆除等准备费用均包含在检测费用内，不另外计算。</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3.施工机具费、动力费、安全文明施工费、夜间作业费、雨季施工费用、高温费用等均包含在以上费用中。</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w:t>
      </w:r>
      <w:r>
        <w:rPr>
          <w:rFonts w:hint="eastAsia" w:ascii="宋体" w:hAnsi="宋体" w:cs="宋体"/>
          <w:sz w:val="24"/>
          <w:highlight w:val="none"/>
        </w:rPr>
        <w:t xml:space="preserve">根据本项目特点，项目实施应结合城市管理、排水运行调度、交通、天气等情况，工作时间不固定，部分路段必须进行夜间作业。</w:t>
      </w:r>
      <w:r/>
    </w:p>
    <w:p>
      <w:pPr>
        <w:ind w:firstLine="480"/>
        <w:spacing w:line="360" w:lineRule="auto"/>
        <w:rPr>
          <w:rFonts w:ascii="宋体" w:hAnsi="宋体" w:cs="宋体"/>
          <w:sz w:val="24"/>
        </w:rPr>
      </w:pPr>
      <w:r>
        <w:rPr>
          <w:rFonts w:hint="eastAsia" w:ascii="宋体" w:hAnsi="宋体" w:cs="宋体"/>
          <w:sz w:val="24"/>
          <w:highlight w:val="none"/>
        </w:rPr>
        <w:t xml:space="preserve">5.本项目为固定单价合同，包括完成本次项目所需的劳务、材料、</w:t>
      </w:r>
      <w:r>
        <w:rPr>
          <w:rFonts w:hint="eastAsia" w:ascii="宋体" w:hAnsi="宋体" w:cs="宋体"/>
          <w:sz w:val="24"/>
        </w:rPr>
        <w:t xml:space="preserve">设备、成果资料、运输、管理、安装、维护、意外伤害险、利润、税金、政策性文件规定及合同包含的所有风险、责任等各项应有费用。不因作业时间、作业条件难易程度、市场价格波动等其他因素进行调整。</w:t>
      </w:r>
      <w:r/>
    </w:p>
    <w:p>
      <w:pPr>
        <w:ind w:firstLine="480"/>
        <w:spacing w:line="360" w:lineRule="auto"/>
        <w:rPr>
          <w:rFonts w:ascii="宋体" w:hAnsi="宋体" w:cs="宋体"/>
          <w:sz w:val="24"/>
        </w:rPr>
      </w:pPr>
      <w:r>
        <w:rPr>
          <w:rFonts w:hint="eastAsia" w:ascii="宋体" w:hAnsi="宋体" w:cs="宋体"/>
          <w:sz w:val="24"/>
        </w:rPr>
        <w:t xml:space="preserve">6.实际完成的检测长度以完成检测管段的上下游检查井井中心的实测直线距离为准，并经招标人确认。</w:t>
      </w:r>
      <w:r/>
    </w:p>
    <w:p>
      <w:pPr>
        <w:ind w:firstLine="480"/>
        <w:spacing w:line="360" w:lineRule="auto"/>
      </w:pPr>
      <w:r/>
      <w:bookmarkStart w:id="822" w:name="OLE_LINK9"/>
      <w:r/>
      <w:bookmarkStart w:id="823" w:name="OLE_LINK8"/>
      <w:r>
        <w:rPr>
          <w:rFonts w:hint="eastAsia" w:ascii="宋体" w:hAnsi="宋体" w:cs="宋体"/>
          <w:sz w:val="24"/>
        </w:rPr>
        <w:t xml:space="preserve">7.工作量不定，结算按实际完成工作量×项目单价，所有费用合计不超过预算总价。</w:t>
      </w:r>
      <w:bookmarkStart w:id="824" w:name="OLE_LINK6"/>
      <w:r/>
      <w:bookmarkStart w:id="825" w:name="OLE_LINK5"/>
      <w:r>
        <w:rPr>
          <w:rFonts w:hint="eastAsia" w:ascii="宋体" w:hAnsi="宋体" w:cs="宋体"/>
          <w:sz w:val="24"/>
        </w:rPr>
        <w:t xml:space="preserve">项目实施过程中因投标人原因导致无法完成的，招标人有权委托第三方单位继续实施，由此带来的所有损失和发生的费用由投标人承担。</w:t>
      </w:r>
      <w:bookmarkEnd w:id="822"/>
      <w:r/>
      <w:bookmarkEnd w:id="823"/>
      <w:r/>
      <w:bookmarkEnd w:id="824"/>
      <w:r/>
      <w:bookmarkEnd w:id="825"/>
      <w:r/>
      <w:r/>
    </w:p>
    <w:p>
      <w:pPr>
        <w:ind w:firstLine="480"/>
        <w:spacing w:line="360" w:lineRule="auto"/>
        <w:rPr>
          <w:rFonts w:ascii="宋体" w:hAnsi="宋体" w:cs="宋体"/>
          <w:sz w:val="24"/>
          <w:highlight w:val="none"/>
        </w:rPr>
      </w:pPr>
      <w:r>
        <w:rPr>
          <w:rFonts w:hint="eastAsia" w:ascii="宋体" w:hAnsi="宋体" w:cs="宋体"/>
          <w:sz w:val="24"/>
        </w:rPr>
        <w:t xml:space="preserve">8.本次检测采用CCTV视频检测，因现场条件情况特殊、水位无法降至CCTV</w:t>
      </w:r>
      <w:r>
        <w:rPr>
          <w:rFonts w:hint="eastAsia" w:ascii="宋体" w:hAnsi="宋体" w:cs="宋体"/>
          <w:sz w:val="24"/>
          <w:highlight w:val="none"/>
        </w:rPr>
        <w:t xml:space="preserve">视频检测要求的，经招标人确认后，可采用全地形机器人检测。</w:t>
      </w:r>
      <w:r/>
    </w:p>
    <w:p>
      <w:pPr>
        <w:ind w:firstLine="482"/>
        <w:spacing w:line="360" w:lineRule="auto"/>
        <w:rPr>
          <w:rFonts w:ascii="宋体" w:hAnsi="宋体" w:cs="宋体"/>
          <w:b/>
          <w:sz w:val="24"/>
          <w:szCs w:val="20"/>
          <w:highlight w:val="none"/>
        </w:rPr>
        <w:outlineLvl w:val="1"/>
      </w:pPr>
      <w:r>
        <w:rPr>
          <w:rFonts w:hint="eastAsia" w:ascii="宋体" w:hAnsi="宋体" w:cs="宋体"/>
          <w:b/>
          <w:sz w:val="24"/>
          <w:szCs w:val="20"/>
          <w:highlight w:val="none"/>
        </w:rPr>
        <w:t xml:space="preserve">二、</w:t>
      </w:r>
      <w:r>
        <w:rPr>
          <w:rFonts w:hAnsi="宋体"/>
          <w:b/>
          <w:bCs/>
          <w:sz w:val="24"/>
          <w:highlight w:val="none"/>
        </w:rPr>
        <w:t xml:space="preserve">人员设备要求</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1.项目负责人和安全员各1人，必须全程参与项目现场及安全管理，及时跟进本项目进展情况，未经招标人同意不得随意更换。</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2.电视检测CCTV操作员不少于4人，人员资格按评审办法要求执行，因此得分的需按合同条款进行考核。</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3.潜水作业人员不得少于4人，人员资格按评审办法要求执行，因此得分的需按合同条款进行考核。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4.发电机、空压机、水泵等应有降噪措施，夜间施工应满足夜间施工规定，不得影响周边居民及环境。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5.投标人配备的污泥运输车，并应按要求办理城区通行证，能够进出城区作业。</w:t>
      </w:r>
      <w:r/>
    </w:p>
    <w:p>
      <w:pPr>
        <w:ind w:firstLine="480"/>
        <w:spacing w:line="360" w:lineRule="auto"/>
        <w:rPr>
          <w:rFonts w:ascii="宋体" w:hAnsi="宋体" w:cs="宋体"/>
          <w:bCs/>
          <w:sz w:val="24"/>
        </w:rPr>
      </w:pPr>
      <w:r>
        <w:rPr>
          <w:rFonts w:hint="eastAsia" w:ascii="宋体" w:hAnsi="宋体" w:cs="宋体"/>
          <w:bCs/>
          <w:sz w:val="24"/>
          <w:highlight w:val="none"/>
        </w:rPr>
        <w:t xml:space="preserve">6.</w:t>
      </w:r>
      <w:r>
        <w:rPr>
          <w:rFonts w:hint="eastAsia" w:ascii="宋体" w:hAnsi="宋体" w:cs="宋体"/>
          <w:sz w:val="24"/>
          <w:highlight w:val="none"/>
        </w:rPr>
        <w:t xml:space="preserve">投标人</w:t>
      </w:r>
      <w:r>
        <w:rPr>
          <w:rFonts w:hint="eastAsia" w:ascii="宋体" w:hAnsi="宋体" w:cs="宋体"/>
          <w:bCs/>
          <w:sz w:val="24"/>
          <w:highlight w:val="none"/>
        </w:rPr>
        <w:t xml:space="preserve">具有4套完备的安全作业装备。包括潜水装备、气瓶（或者其他产生气源的装备）、救援三脚架、悬托式安全带、正压式</w:t>
      </w:r>
      <w:r>
        <w:rPr>
          <w:rFonts w:hint="eastAsia" w:ascii="宋体" w:hAnsi="宋体" w:cs="宋体"/>
          <w:bCs/>
          <w:sz w:val="24"/>
        </w:rPr>
        <w:t xml:space="preserve">空气呼气器、有毒有害气体检测仪、通风设备、头盔、反光背心等必要的安全防护用品。</w:t>
      </w:r>
      <w:r/>
    </w:p>
    <w:p>
      <w:pPr>
        <w:ind w:firstLine="480"/>
        <w:spacing w:line="360" w:lineRule="auto"/>
        <w:rPr>
          <w:rFonts w:ascii="宋体" w:hAnsi="宋体" w:cs="宋体"/>
          <w:sz w:val="24"/>
        </w:rPr>
      </w:pPr>
      <w:r>
        <w:rPr>
          <w:rFonts w:hint="eastAsia" w:ascii="宋体" w:hAnsi="宋体" w:cs="宋体"/>
          <w:sz w:val="24"/>
        </w:rPr>
        <w:t xml:space="preserve">7.投标人具有围栏、路锥等作业围挡设备（夜间作业需配备安全警示照明装置）。</w:t>
      </w:r>
      <w:r/>
    </w:p>
    <w:p>
      <w:pPr>
        <w:ind w:firstLine="482"/>
        <w:spacing w:line="360" w:lineRule="auto"/>
        <w:rPr>
          <w:rFonts w:ascii="宋体" w:hAnsi="宋体" w:cs="宋体"/>
          <w:b/>
          <w:sz w:val="24"/>
          <w:szCs w:val="20"/>
        </w:rPr>
        <w:outlineLvl w:val="1"/>
      </w:pPr>
      <w:r>
        <w:rPr>
          <w:rFonts w:hint="eastAsia" w:ascii="宋体" w:hAnsi="宋体" w:cs="宋体"/>
          <w:b/>
          <w:sz w:val="24"/>
          <w:szCs w:val="20"/>
        </w:rPr>
        <w:t xml:space="preserve">三、</w:t>
      </w:r>
      <w:r>
        <w:rPr>
          <w:rFonts w:hAnsi="宋体"/>
          <w:b/>
          <w:bCs/>
          <w:sz w:val="24"/>
        </w:rPr>
        <w:t xml:space="preserve">技术要求</w:t>
      </w:r>
      <w:r/>
    </w:p>
    <w:p>
      <w:pPr>
        <w:ind w:firstLine="482"/>
        <w:spacing w:line="360" w:lineRule="auto"/>
        <w:rPr>
          <w:b/>
          <w:bCs/>
          <w:sz w:val="24"/>
        </w:rPr>
        <w:outlineLvl w:val="2"/>
      </w:pPr>
      <w:r>
        <w:rPr>
          <w:rFonts w:hAnsi="宋体"/>
          <w:b/>
          <w:bCs/>
          <w:sz w:val="24"/>
        </w:rPr>
        <w:t xml:space="preserve">（一）管道疏通清洗要求</w:t>
      </w:r>
      <w:r/>
    </w:p>
    <w:p>
      <w:pPr>
        <w:ind w:firstLine="480"/>
        <w:spacing w:line="360" w:lineRule="auto"/>
        <w:rPr>
          <w:rFonts w:ascii="宋体" w:hAnsi="宋体" w:cs="宋体"/>
          <w:sz w:val="24"/>
        </w:rPr>
      </w:pPr>
      <w:r>
        <w:rPr>
          <w:rFonts w:hint="eastAsia" w:ascii="宋体" w:hAnsi="宋体" w:cs="宋体"/>
          <w:sz w:val="24"/>
        </w:rPr>
        <w:t xml:space="preserve">1.管道疏通清洗应按照《城镇排水管渠与泵站运行、维护及安全技术规程》CJJ68-2016、《城镇排水管道维护安全技术规程》CJJ6-2009、《城镇排水管道检测与评估技术规程》CJJ181-2012和《常州市排水管道视频检测技术要求》的要求执行。</w:t>
      </w:r>
      <w:r/>
    </w:p>
    <w:p>
      <w:pPr>
        <w:ind w:firstLine="480"/>
        <w:spacing w:line="360" w:lineRule="auto"/>
        <w:rPr>
          <w:rFonts w:ascii="宋体" w:hAnsi="宋体" w:cs="宋体"/>
          <w:sz w:val="24"/>
        </w:rPr>
      </w:pPr>
      <w:r>
        <w:rPr>
          <w:rFonts w:hint="eastAsia" w:ascii="宋体" w:hAnsi="宋体" w:cs="宋体"/>
          <w:sz w:val="24"/>
        </w:rPr>
        <w:t xml:space="preserve">2.管道内垃圾（包括泥浆块、硬质沉淀物、混凝土、沥青、砖块等）应全部清除干净，特殊工况需说明情况；管道疏通清洗的质量应满足视频检测的要求，能清晰显示各类缺陷。管壁不得有油脂、淤泥、污垢等影响缺陷判别的附着物。</w:t>
      </w:r>
      <w:r/>
    </w:p>
    <w:p>
      <w:pPr>
        <w:ind w:firstLine="480"/>
        <w:spacing w:line="360" w:lineRule="auto"/>
        <w:rPr>
          <w:rFonts w:ascii="宋体" w:hAnsi="宋体" w:cs="宋体"/>
          <w:sz w:val="24"/>
        </w:rPr>
      </w:pPr>
      <w:r>
        <w:rPr>
          <w:rFonts w:hint="eastAsia" w:ascii="宋体" w:hAnsi="宋体" w:cs="宋体"/>
          <w:sz w:val="24"/>
        </w:rPr>
        <w:t xml:space="preserve">3.检查井井壁应清洗干净，无明显附着物。</w:t>
      </w:r>
      <w:r/>
    </w:p>
    <w:p>
      <w:pPr>
        <w:ind w:firstLine="482"/>
        <w:spacing w:line="360" w:lineRule="auto"/>
        <w:rPr>
          <w:b/>
          <w:bCs/>
          <w:sz w:val="24"/>
        </w:rPr>
        <w:outlineLvl w:val="2"/>
      </w:pPr>
      <w:r>
        <w:rPr>
          <w:rFonts w:hAnsi="宋体"/>
          <w:b/>
          <w:bCs/>
          <w:sz w:val="24"/>
        </w:rPr>
        <w:t xml:space="preserve">（二）垃圾处理和外运</w:t>
      </w:r>
      <w:r/>
    </w:p>
    <w:p>
      <w:pPr>
        <w:ind w:firstLine="480"/>
        <w:spacing w:line="360" w:lineRule="auto"/>
        <w:rPr>
          <w:rFonts w:ascii="宋体" w:hAnsi="宋体" w:cs="宋体"/>
          <w:sz w:val="24"/>
        </w:rPr>
      </w:pPr>
      <w:r>
        <w:rPr>
          <w:rFonts w:hint="eastAsia" w:ascii="宋体" w:hAnsi="宋体" w:cs="宋体"/>
          <w:sz w:val="24"/>
        </w:rPr>
        <w:t xml:space="preserve">1.垃圾和淤泥运输必须符合环保、卫生、城管等部门的管理要求，并运输至招标人指定场所（市内）。每天做好泥量统计，对于建筑砖块、石块、侧石、混凝土枝浆块等大型垃圾，做好冲洗和筛分剔除。</w:t>
      </w:r>
      <w:r/>
    </w:p>
    <w:p>
      <w:pPr>
        <w:ind w:firstLine="480"/>
        <w:spacing w:line="360" w:lineRule="auto"/>
        <w:rPr>
          <w:rFonts w:ascii="宋体" w:hAnsi="宋体" w:cs="宋体"/>
          <w:sz w:val="24"/>
        </w:rPr>
      </w:pPr>
      <w:r>
        <w:rPr>
          <w:rFonts w:hint="eastAsia" w:ascii="宋体" w:hAnsi="宋体" w:cs="宋体"/>
          <w:sz w:val="24"/>
        </w:rPr>
        <w:t xml:space="preserve">2.作业现场要做到人走场清，垃圾不得随意丢弃在路边及绿化带中。</w:t>
      </w:r>
      <w:r/>
    </w:p>
    <w:p>
      <w:pPr>
        <w:ind w:firstLine="480"/>
        <w:spacing w:line="360" w:lineRule="auto"/>
        <w:rPr>
          <w:rFonts w:ascii="宋体" w:hAnsi="宋体" w:cs="宋体"/>
          <w:sz w:val="24"/>
        </w:rPr>
      </w:pPr>
      <w:r>
        <w:rPr>
          <w:rFonts w:hint="eastAsia" w:ascii="宋体" w:hAnsi="宋体" w:cs="宋体"/>
          <w:sz w:val="24"/>
        </w:rPr>
        <w:t xml:space="preserve">3.垃圾运输过程要全程可查、不得随意丢弃，招标人可随时检查运输车辆和运输线路。</w:t>
      </w:r>
      <w:r/>
    </w:p>
    <w:p>
      <w:pPr>
        <w:ind w:firstLine="480"/>
        <w:spacing w:line="360" w:lineRule="auto"/>
        <w:rPr>
          <w:rFonts w:ascii="宋体" w:hAnsi="宋体" w:cs="宋体"/>
          <w:sz w:val="24"/>
        </w:rPr>
      </w:pPr>
      <w:r>
        <w:rPr>
          <w:rFonts w:hint="eastAsia" w:ascii="宋体" w:hAnsi="宋体" w:cs="宋体"/>
          <w:sz w:val="24"/>
        </w:rPr>
        <w:t xml:space="preserve">4.垃圾清理、装载、运输、卸载过程不得“跑、冒、滴，漏”，不得对环境造成不良影响。</w:t>
      </w:r>
      <w:r/>
    </w:p>
    <w:p>
      <w:pPr>
        <w:ind w:firstLine="482"/>
        <w:spacing w:line="360" w:lineRule="auto"/>
        <w:rPr>
          <w:rFonts w:ascii="宋体" w:hAnsi="宋体" w:cs="宋体"/>
          <w:b/>
          <w:bCs/>
          <w:sz w:val="24"/>
        </w:rPr>
        <w:outlineLvl w:val="2"/>
      </w:pPr>
      <w:r>
        <w:rPr>
          <w:rFonts w:hint="eastAsia" w:ascii="宋体" w:hAnsi="宋体" w:cs="宋体"/>
          <w:b/>
          <w:bCs/>
          <w:sz w:val="24"/>
        </w:rPr>
        <w:t xml:space="preserve">（三）井下作业要求</w:t>
      </w:r>
      <w:r/>
    </w:p>
    <w:p>
      <w:pPr>
        <w:ind w:firstLine="480"/>
        <w:spacing w:line="360" w:lineRule="auto"/>
        <w:rPr>
          <w:rFonts w:ascii="宋体" w:hAnsi="宋体" w:cs="宋体"/>
          <w:sz w:val="24"/>
        </w:rPr>
      </w:pPr>
      <w:r>
        <w:rPr>
          <w:rFonts w:hint="eastAsia" w:ascii="宋体" w:hAnsi="宋体" w:cs="宋体"/>
          <w:sz w:val="24"/>
        </w:rPr>
        <w:t xml:space="preserve">1.井下作业应按照《城镇排水管道维护安全技术规程》CJJ6-2009、《常州市排水管理处有限空间作业安全管理规定》的要求执行。</w:t>
      </w:r>
      <w:r/>
    </w:p>
    <w:p>
      <w:pPr>
        <w:ind w:firstLine="480"/>
        <w:spacing w:line="360" w:lineRule="auto"/>
        <w:rPr>
          <w:rFonts w:ascii="宋体" w:hAnsi="宋体" w:cs="宋体"/>
          <w:sz w:val="24"/>
        </w:rPr>
      </w:pPr>
      <w:r>
        <w:rPr>
          <w:rFonts w:hint="eastAsia" w:ascii="宋体" w:hAnsi="宋体" w:cs="宋体"/>
          <w:sz w:val="24"/>
        </w:rPr>
        <w:t xml:space="preserve">2.从事潜水作业的人员必须持证上岗，并具备相应的特种作业资质。</w:t>
      </w:r>
      <w:r/>
    </w:p>
    <w:p>
      <w:pPr>
        <w:ind w:firstLine="480"/>
        <w:spacing w:line="360" w:lineRule="auto"/>
        <w:rPr>
          <w:rFonts w:ascii="宋体" w:hAnsi="宋体" w:cs="宋体"/>
          <w:sz w:val="24"/>
        </w:rPr>
      </w:pPr>
      <w:r>
        <w:rPr>
          <w:rFonts w:hint="eastAsia" w:ascii="宋体" w:hAnsi="宋体" w:cs="宋体"/>
          <w:sz w:val="24"/>
        </w:rPr>
        <w:t xml:space="preserve">3.下井作业人员必须经过专业安全技术培训、考核，具备下井作业资格。</w:t>
      </w:r>
      <w:r/>
    </w:p>
    <w:p>
      <w:pPr>
        <w:ind w:firstLine="480"/>
        <w:spacing w:line="360" w:lineRule="auto"/>
        <w:rPr>
          <w:rFonts w:ascii="宋体" w:hAnsi="宋体" w:cs="宋体"/>
          <w:sz w:val="24"/>
        </w:rPr>
      </w:pPr>
      <w:r>
        <w:rPr>
          <w:rFonts w:hint="eastAsia" w:ascii="宋体" w:hAnsi="宋体" w:cs="宋体"/>
          <w:sz w:val="24"/>
        </w:rPr>
        <w:t xml:space="preserve">4.下井作业前必须检测管道内有毒有害气体含量并做好记录，井下作业时应佩戴便携式有毒有害气体检测仪。</w:t>
      </w:r>
      <w:r/>
    </w:p>
    <w:p>
      <w:pPr>
        <w:ind w:firstLine="480"/>
        <w:spacing w:line="360" w:lineRule="auto"/>
        <w:rPr>
          <w:rFonts w:ascii="宋体" w:hAnsi="宋体" w:cs="宋体"/>
          <w:sz w:val="24"/>
        </w:rPr>
      </w:pPr>
      <w:r>
        <w:rPr>
          <w:rFonts w:hint="eastAsia" w:ascii="宋体" w:hAnsi="宋体" w:cs="宋体"/>
          <w:sz w:val="24"/>
        </w:rPr>
        <w:t xml:space="preserve">5.下井作业必须履行审批手续，执行下井作业许可制度。</w:t>
      </w:r>
      <w:r/>
    </w:p>
    <w:p>
      <w:pPr>
        <w:ind w:firstLine="480"/>
        <w:spacing w:line="360" w:lineRule="auto"/>
        <w:rPr>
          <w:rFonts w:ascii="宋体" w:hAnsi="宋体" w:cs="宋体"/>
          <w:sz w:val="24"/>
        </w:rPr>
      </w:pPr>
      <w:r>
        <w:rPr>
          <w:rFonts w:hint="eastAsia" w:ascii="宋体" w:hAnsi="宋体" w:cs="宋体"/>
          <w:sz w:val="24"/>
        </w:rPr>
        <w:t xml:space="preserve">6.管径小于800mm严禁作业人员进入管道；下井作业人员连续作业时间不得超过1h。</w:t>
      </w:r>
      <w:r/>
    </w:p>
    <w:p>
      <w:pPr>
        <w:ind w:firstLine="482"/>
        <w:spacing w:line="360" w:lineRule="auto"/>
        <w:rPr>
          <w:b/>
          <w:bCs/>
          <w:sz w:val="24"/>
        </w:rPr>
        <w:outlineLvl w:val="2"/>
      </w:pPr>
      <w:r>
        <w:rPr>
          <w:rFonts w:hAnsi="宋体"/>
          <w:b/>
          <w:bCs/>
          <w:sz w:val="24"/>
        </w:rPr>
        <w:t xml:space="preserve">（四）排水管道检测要求</w:t>
      </w:r>
      <w:r/>
    </w:p>
    <w:p>
      <w:pPr>
        <w:ind w:firstLine="480"/>
        <w:spacing w:line="360" w:lineRule="auto"/>
        <w:rPr>
          <w:rFonts w:ascii="宋体" w:hAnsi="宋体" w:cs="宋体"/>
          <w:sz w:val="24"/>
        </w:rPr>
      </w:pPr>
      <w:r>
        <w:rPr>
          <w:rFonts w:hint="eastAsia" w:ascii="宋体" w:hAnsi="宋体" w:cs="宋体"/>
          <w:sz w:val="24"/>
        </w:rPr>
        <w:t xml:space="preserve">1.排水管道检测总体要求</w:t>
      </w:r>
      <w:r/>
    </w:p>
    <w:p>
      <w:pPr>
        <w:ind w:firstLine="480"/>
        <w:spacing w:line="360" w:lineRule="auto"/>
        <w:rPr>
          <w:rFonts w:ascii="宋体" w:hAnsi="宋体" w:cs="宋体"/>
          <w:bCs/>
          <w:sz w:val="24"/>
        </w:rPr>
      </w:pPr>
      <w:r>
        <w:rPr>
          <w:rFonts w:hint="eastAsia" w:ascii="宋体" w:hAnsi="宋体" w:cs="宋体"/>
          <w:sz w:val="24"/>
        </w:rPr>
        <w:t xml:space="preserve">（1）排水管道检测应满足《城镇排水管道检测与评估技术规程》CJJ181-2012和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要求。</w:t>
      </w:r>
      <w:r/>
    </w:p>
    <w:p>
      <w:pPr>
        <w:ind w:firstLine="480"/>
        <w:spacing w:line="360" w:lineRule="auto"/>
        <w:rPr>
          <w:rFonts w:ascii="宋体" w:hAnsi="宋体" w:cs="宋体"/>
          <w:sz w:val="24"/>
        </w:rPr>
      </w:pPr>
      <w:r>
        <w:rPr>
          <w:rFonts w:hint="eastAsia" w:ascii="宋体" w:hAnsi="宋体" w:cs="宋体"/>
          <w:sz w:val="24"/>
        </w:rPr>
        <w:t xml:space="preserve">（2）当对每一管段检测前，检测录像资料开始时，应编写并录制检测影像资料版头（主要包括：任务名称、检测地点、检测日期、起始井编号-结束井编号、管材、检测单位和检测员）。对被检测管段进行文字标注，使用检测设备摄影每个检查井周边明显标志物作为现场位置的参照物。</w:t>
      </w:r>
      <w:r/>
    </w:p>
    <w:p>
      <w:pPr>
        <w:ind w:firstLine="480"/>
        <w:spacing w:line="360" w:lineRule="auto"/>
        <w:rPr>
          <w:rFonts w:ascii="宋体" w:hAnsi="宋体" w:cs="宋体"/>
          <w:sz w:val="24"/>
        </w:rPr>
      </w:pPr>
      <w:r>
        <w:rPr>
          <w:rFonts w:hint="eastAsia" w:ascii="宋体" w:hAnsi="宋体" w:cs="宋体"/>
          <w:sz w:val="24"/>
        </w:rPr>
        <w:t xml:space="preserve">（3）采用专用工具测量管径，并用检测设备摄影记录在录像资料里；每一管段检测时，在检测设备后退撤离管道直至检测设备拿出检查井口前，不能暂停、中断。</w:t>
      </w:r>
      <w:r/>
    </w:p>
    <w:p>
      <w:pPr>
        <w:ind w:firstLine="480"/>
        <w:spacing w:line="360" w:lineRule="auto"/>
        <w:rPr>
          <w:rFonts w:ascii="宋体" w:hAnsi="宋体" w:cs="宋体"/>
          <w:sz w:val="24"/>
        </w:rPr>
      </w:pPr>
      <w:r>
        <w:rPr>
          <w:rFonts w:hint="eastAsia" w:ascii="宋体" w:hAnsi="宋体" w:cs="宋体"/>
          <w:sz w:val="24"/>
        </w:rPr>
        <w:t xml:space="preserve">（4）排水管道检测应按合同要求完成全部检测任务，妥善保存全部原始视频检测资料，并按要求及时提交。检测视频应清晰、不得删减、篡改或替换。</w:t>
      </w:r>
      <w:r/>
    </w:p>
    <w:p>
      <w:pPr>
        <w:ind w:firstLine="480"/>
        <w:spacing w:line="360" w:lineRule="auto"/>
        <w:rPr>
          <w:rFonts w:ascii="宋体" w:hAnsi="宋体" w:cs="宋体"/>
          <w:sz w:val="24"/>
        </w:rPr>
      </w:pPr>
      <w:r>
        <w:rPr>
          <w:rFonts w:hint="eastAsia" w:ascii="宋体" w:hAnsi="宋体" w:cs="宋体"/>
          <w:sz w:val="24"/>
        </w:rPr>
        <w:t xml:space="preserve">2.CCTV检测要求</w:t>
      </w:r>
      <w:r/>
    </w:p>
    <w:p>
      <w:pPr>
        <w:ind w:firstLine="480"/>
        <w:spacing w:line="360" w:lineRule="auto"/>
        <w:rPr>
          <w:rFonts w:ascii="宋体" w:hAnsi="宋体" w:cs="宋体"/>
          <w:sz w:val="24"/>
        </w:rPr>
      </w:pPr>
      <w:r>
        <w:rPr>
          <w:rFonts w:hint="eastAsia" w:ascii="宋体" w:hAnsi="宋体" w:cs="宋体"/>
          <w:sz w:val="24"/>
        </w:rPr>
        <w:t xml:space="preserve">（1）视频检测原则上不应带水作业。当现场条件无法满足时，应采取降低水位措施，确保排水管道内水位不大于管道直径的20%。如应现场条件等客观因素影响，经招标人审批，可采用漂流机器人检测。</w:t>
      </w:r>
      <w:r/>
    </w:p>
    <w:p>
      <w:pPr>
        <w:ind w:firstLine="480"/>
        <w:spacing w:line="360" w:lineRule="auto"/>
        <w:rPr>
          <w:rFonts w:ascii="宋体" w:hAnsi="宋体" w:cs="宋体"/>
          <w:sz w:val="24"/>
        </w:rPr>
      </w:pPr>
      <w:r>
        <w:rPr>
          <w:rFonts w:hint="eastAsia" w:ascii="宋体" w:hAnsi="宋体" w:cs="宋体"/>
          <w:sz w:val="24"/>
        </w:rPr>
        <w:t xml:space="preserve">（2）严格控制检测机器前进速度。管径大于200mm时，直向摄影的行进速度不宜超过0.15m/s。</w:t>
      </w:r>
      <w:r/>
    </w:p>
    <w:p>
      <w:pPr>
        <w:ind w:firstLine="480"/>
        <w:spacing w:line="360" w:lineRule="auto"/>
        <w:rPr>
          <w:rFonts w:ascii="宋体" w:hAnsi="宋体" w:cs="宋体"/>
          <w:sz w:val="24"/>
        </w:rPr>
      </w:pPr>
      <w:r>
        <w:rPr>
          <w:rFonts w:hint="eastAsia" w:ascii="宋体" w:hAnsi="宋体" w:cs="宋体"/>
          <w:sz w:val="24"/>
        </w:rPr>
        <w:t xml:space="preserve">（3）检测时摄像镜头移动轨迹应在管道中轴线上，偏离度不应大于管径的±10%。当对特殊形状的管道进行检测时，应适当调整摄像头位置并获得最佳图像。如管径大于D1000时，应采用升降式、支架式等CCTV检测设备进行检测，确保镜头轨迹在管道中轴线上。</w:t>
      </w:r>
      <w:r/>
    </w:p>
    <w:p>
      <w:pPr>
        <w:ind w:firstLine="480"/>
        <w:spacing w:line="360" w:lineRule="auto"/>
        <w:rPr>
          <w:rFonts w:ascii="宋体" w:hAnsi="宋体" w:cs="宋体"/>
          <w:sz w:val="24"/>
        </w:rPr>
      </w:pPr>
      <w:r>
        <w:rPr>
          <w:rFonts w:hint="eastAsia" w:ascii="宋体" w:hAnsi="宋体" w:cs="宋体"/>
          <w:sz w:val="24"/>
        </w:rPr>
        <w:t xml:space="preserve">（4）计数器归零后应对管道轴线进行拍摄，定点观察对面检查井管口是否完整，观察时至少停止10s。在检测过程中发现缺陷时，调节镜头焦距和角度使爬行器在完全能够解析缺陷，提高缺陷的分辨率，同时缺陷拍摄时间至少10s，确保所拍摄的图像清晰完整。</w:t>
      </w:r>
      <w:r/>
    </w:p>
    <w:p>
      <w:pPr>
        <w:ind w:firstLine="480"/>
        <w:spacing w:line="360" w:lineRule="auto"/>
        <w:rPr>
          <w:rFonts w:ascii="宋体" w:hAnsi="宋体" w:cs="宋体"/>
          <w:sz w:val="24"/>
        </w:rPr>
      </w:pPr>
      <w:r/>
      <w:bookmarkStart w:id="826" w:name="OLE_LINK36"/>
      <w:r/>
      <w:bookmarkStart w:id="827" w:name="OLE_LINK35"/>
      <w:r>
        <w:rPr>
          <w:rFonts w:hint="eastAsia" w:ascii="宋体" w:hAnsi="宋体" w:cs="宋体"/>
          <w:sz w:val="24"/>
        </w:rPr>
        <w:t xml:space="preserve">（5）现场排水管道检测使用的检测设备，其安全性能应符合现行国家标准《爆炸性气体环境用电设备》GB3836的有关规定。</w:t>
      </w:r>
      <w:bookmarkEnd w:id="826"/>
      <w:bookmarkEnd w:id="827"/>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五</w:t>
      </w:r>
      <w:r>
        <w:rPr>
          <w:rFonts w:hAnsi="宋体"/>
          <w:b/>
          <w:bCs/>
          <w:sz w:val="24"/>
        </w:rPr>
        <w:t xml:space="preserve">）封堵和拆除要求</w:t>
      </w:r>
      <w:r/>
    </w:p>
    <w:p>
      <w:pPr>
        <w:ind w:firstLine="480"/>
        <w:spacing w:line="360" w:lineRule="auto"/>
        <w:rPr>
          <w:rFonts w:ascii="宋体" w:hAnsi="宋体" w:cs="宋体"/>
          <w:sz w:val="24"/>
        </w:rPr>
      </w:pPr>
      <w:r>
        <w:rPr>
          <w:rFonts w:hint="eastAsia" w:ascii="宋体" w:hAnsi="宋体" w:cs="宋体"/>
          <w:sz w:val="24"/>
        </w:rPr>
        <w:t xml:space="preserve">1.当气囊使用方案中预计气囊前后最大水位差大于3米时禁止使用气囊。气囊在使用过程中应密切关注其前后水位差，必要时应采用水泵抽水的方式保证其前后水位差不大于3米。</w:t>
      </w:r>
      <w:r/>
    </w:p>
    <w:p>
      <w:pPr>
        <w:ind w:firstLine="480"/>
        <w:spacing w:line="360" w:lineRule="auto"/>
        <w:rPr>
          <w:rFonts w:ascii="宋体" w:hAnsi="宋体" w:cs="宋体"/>
          <w:sz w:val="24"/>
        </w:rPr>
      </w:pPr>
      <w:r>
        <w:rPr>
          <w:rFonts w:hint="eastAsia" w:ascii="宋体" w:hAnsi="宋体" w:cs="宋体"/>
          <w:sz w:val="24"/>
        </w:rPr>
        <w:t xml:space="preserve">2.气囊在下井前应检查管道垃圾情况，发现垃圾特别是硬质应清理干净，否则禁止气囊下井。</w:t>
      </w:r>
      <w:r/>
    </w:p>
    <w:p>
      <w:pPr>
        <w:ind w:firstLine="480"/>
        <w:spacing w:line="360" w:lineRule="auto"/>
        <w:rPr>
          <w:rFonts w:ascii="宋体" w:hAnsi="宋体" w:cs="宋体"/>
          <w:sz w:val="24"/>
        </w:rPr>
      </w:pPr>
      <w:r>
        <w:rPr>
          <w:rFonts w:hint="eastAsia" w:ascii="宋体" w:hAnsi="宋体" w:cs="宋体"/>
          <w:sz w:val="24"/>
        </w:rPr>
        <w:t xml:space="preserve">3.在拆除气囊前应检查气囊前后水位差，在条件允许的情况下应保持零水位差，特殊情况下水位差最大不得大于1米。水位差不满足要求时应采用水泵抽水或灌水的方式降低水位差。</w:t>
      </w:r>
      <w:r/>
    </w:p>
    <w:p>
      <w:pPr>
        <w:ind w:firstLine="480"/>
        <w:spacing w:line="360" w:lineRule="auto"/>
        <w:rPr>
          <w:rFonts w:ascii="宋体" w:hAnsi="宋体" w:cs="宋体"/>
          <w:sz w:val="24"/>
        </w:rPr>
      </w:pPr>
      <w:r>
        <w:rPr>
          <w:rFonts w:hint="eastAsia" w:ascii="宋体" w:hAnsi="宋体" w:cs="宋体"/>
          <w:sz w:val="24"/>
        </w:rPr>
        <w:t xml:space="preserve">4.砖砌等其他方式封堵管道参照气囊安全要求进行。</w:t>
      </w:r>
      <w:r/>
    </w:p>
    <w:p>
      <w:pPr>
        <w:ind w:firstLine="480"/>
        <w:spacing w:line="360" w:lineRule="auto"/>
        <w:rPr>
          <w:rFonts w:ascii="宋体" w:hAnsi="宋体" w:cs="宋体"/>
          <w:sz w:val="24"/>
        </w:rPr>
      </w:pPr>
      <w:r>
        <w:rPr>
          <w:rFonts w:hint="eastAsia" w:ascii="宋体" w:hAnsi="宋体" w:cs="宋体"/>
          <w:sz w:val="24"/>
        </w:rPr>
        <w:t xml:space="preserve">5.如遇强降雨影响管道排水时，封堵应及时拆除，不得影响防汛安全。</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六</w:t>
      </w:r>
      <w:r>
        <w:rPr>
          <w:rFonts w:hAnsi="宋体"/>
          <w:b/>
          <w:bCs/>
          <w:sz w:val="24"/>
        </w:rPr>
        <w:t xml:space="preserve">）管道临时导水要求</w:t>
      </w:r>
      <w:r/>
    </w:p>
    <w:p>
      <w:pPr>
        <w:ind w:firstLine="480"/>
        <w:spacing w:line="360" w:lineRule="auto"/>
        <w:rPr>
          <w:rFonts w:ascii="宋体" w:hAnsi="宋体" w:cs="宋体"/>
          <w:sz w:val="24"/>
        </w:rPr>
      </w:pPr>
      <w:r>
        <w:rPr>
          <w:rFonts w:hint="eastAsia" w:ascii="宋体" w:hAnsi="宋体" w:cs="宋体"/>
          <w:sz w:val="24"/>
        </w:rPr>
        <w:t xml:space="preserve">1.导水作业时，应将水翻至作业段下游，不得将污水排入雨水或者雨水排入污水；不得将污水排入河道。</w:t>
      </w:r>
      <w:r/>
    </w:p>
    <w:p>
      <w:pPr>
        <w:ind w:firstLine="480"/>
        <w:spacing w:line="360" w:lineRule="auto"/>
        <w:rPr>
          <w:rFonts w:ascii="宋体" w:hAnsi="宋体" w:cs="宋体"/>
          <w:sz w:val="24"/>
        </w:rPr>
      </w:pPr>
      <w:r>
        <w:rPr>
          <w:rFonts w:hint="eastAsia" w:ascii="宋体" w:hAnsi="宋体" w:cs="宋体"/>
          <w:sz w:val="24"/>
        </w:rPr>
        <w:t xml:space="preserve">2.导水作业时应安排专人负责与招标人的运行部门进行对接，负责现场调度管控、水泵运行、对管网上下游水位巡查和记录等，及时掌握管道水位情况，防止出现冒溢事故。</w:t>
      </w:r>
      <w:r/>
    </w:p>
    <w:p>
      <w:pPr>
        <w:ind w:firstLine="482"/>
        <w:spacing w:line="360" w:lineRule="auto"/>
        <w:rPr>
          <w:rFonts w:ascii="宋体" w:hAnsi="宋体" w:cs="宋体"/>
          <w:b/>
          <w:sz w:val="24"/>
          <w:szCs w:val="20"/>
        </w:rPr>
        <w:outlineLvl w:val="1"/>
      </w:pPr>
      <w:r>
        <w:rPr>
          <w:rFonts w:hint="eastAsia" w:ascii="宋体" w:hAnsi="宋体" w:cs="宋体"/>
          <w:b/>
          <w:sz w:val="24"/>
          <w:szCs w:val="20"/>
        </w:rPr>
        <w:t xml:space="preserve">四、</w:t>
      </w:r>
      <w:r>
        <w:rPr>
          <w:rFonts w:hAnsi="宋体"/>
          <w:b/>
          <w:sz w:val="24"/>
        </w:rPr>
        <w:t xml:space="preserve">管理要求</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一</w:t>
      </w:r>
      <w:r>
        <w:rPr>
          <w:rFonts w:hAnsi="宋体"/>
          <w:b/>
          <w:bCs/>
          <w:sz w:val="24"/>
        </w:rPr>
        <w:t xml:space="preserve">）安全要求（包含但不限于）</w:t>
      </w:r>
      <w:r/>
    </w:p>
    <w:p>
      <w:pPr>
        <w:ind w:firstLine="480"/>
        <w:spacing w:line="360" w:lineRule="auto"/>
        <w:rPr>
          <w:rFonts w:ascii="宋体" w:hAnsi="宋体" w:cs="宋体"/>
          <w:sz w:val="24"/>
        </w:rPr>
      </w:pPr>
      <w:r>
        <w:rPr>
          <w:rFonts w:hint="eastAsia" w:ascii="宋体" w:hAnsi="宋体" w:cs="宋体"/>
          <w:sz w:val="24"/>
        </w:rPr>
        <w:t xml:space="preserve">1.投标人在服务期间必须严格执行</w:t>
      </w:r>
      <w:r>
        <w:rPr>
          <w:rFonts w:hint="eastAsia" w:ascii="宋体" w:hAnsi="宋体" w:cs="宋体"/>
          <w:bCs/>
          <w:sz w:val="24"/>
        </w:rPr>
        <w:t xml:space="preserve">《中华人民共和国安全生产法》、《常州市排水管理处有限空间作业安全管理规定》、《城镇排水管渠与泵站运行、维护及安全技术规程》和《城镇排水管道维护安全技术规程》等相关规定</w:t>
      </w:r>
      <w:r>
        <w:rPr>
          <w:rFonts w:hint="eastAsia" w:ascii="宋体" w:hAnsi="宋体" w:cs="宋体"/>
          <w:sz w:val="24"/>
        </w:rPr>
        <w:t xml:space="preserve">。必须认真贯彻国家和上级安全生产主管部门颁发的有关安全生产的方针、政策，严格执行有关劳动保护法规、条例、规定。</w:t>
      </w:r>
      <w:r/>
    </w:p>
    <w:p>
      <w:pPr>
        <w:ind w:firstLine="480"/>
        <w:spacing w:line="360" w:lineRule="auto"/>
        <w:rPr>
          <w:rFonts w:ascii="宋体" w:hAnsi="宋体" w:cs="宋体"/>
          <w:sz w:val="24"/>
        </w:rPr>
      </w:pPr>
      <w:r>
        <w:rPr>
          <w:rFonts w:hint="eastAsia" w:ascii="宋体" w:hAnsi="宋体" w:cs="宋体"/>
          <w:sz w:val="24"/>
        </w:rPr>
        <w:t xml:space="preserve">2.投标人应具备安全管理人员，做好特种作业人员持证上岗的管理工作。投标人必须重视安全生产的管理，加强本单位员工安全生产责任制度，提高员工的安全生产意识和自我保护能力，督促员工自觉遵守安全生产法律法规和规章制度。</w:t>
      </w:r>
      <w:r/>
    </w:p>
    <w:p>
      <w:pPr>
        <w:ind w:firstLine="480"/>
        <w:spacing w:line="360" w:lineRule="auto"/>
        <w:rPr>
          <w:rFonts w:ascii="宋体" w:hAnsi="宋体" w:cs="宋体"/>
          <w:sz w:val="24"/>
        </w:rPr>
      </w:pPr>
      <w:r>
        <w:rPr>
          <w:rFonts w:hint="eastAsia" w:ascii="宋体" w:hAnsi="宋体" w:cs="宋体"/>
          <w:sz w:val="24"/>
        </w:rPr>
        <w:t xml:space="preserve">3.投标人承诺</w:t>
      </w:r>
      <w:r>
        <w:rPr>
          <w:rFonts w:hint="eastAsia" w:ascii="宋体" w:hAnsi="宋体" w:cs="宋体"/>
          <w:b/>
          <w:bCs/>
          <w:sz w:val="24"/>
        </w:rPr>
        <w:t xml:space="preserve">（提供承诺）</w:t>
      </w:r>
      <w:r>
        <w:rPr>
          <w:rFonts w:hint="eastAsia" w:ascii="宋体" w:hAnsi="宋体" w:cs="宋体"/>
          <w:sz w:val="24"/>
        </w:rPr>
        <w:t xml:space="preserve">，养护车辆和检测车辆在道路上作业停放时，应设置好围挡和安全警示标志；在交通繁忙路段上作业时，应避开高峰时段，优先进行夜间作业。</w:t>
      </w:r>
      <w:r/>
    </w:p>
    <w:p>
      <w:pPr>
        <w:ind w:firstLine="480"/>
        <w:spacing w:line="360" w:lineRule="auto"/>
        <w:rPr>
          <w:rFonts w:ascii="宋体" w:hAnsi="宋体" w:cs="宋体"/>
          <w:sz w:val="24"/>
        </w:rPr>
      </w:pPr>
      <w:r>
        <w:rPr>
          <w:rFonts w:hint="eastAsia" w:ascii="宋体" w:hAnsi="宋体" w:cs="宋体"/>
          <w:sz w:val="24"/>
        </w:rPr>
        <w:t xml:space="preserve">4.管道内可能存在H</w:t>
      </w:r>
      <w:r>
        <w:rPr>
          <w:rFonts w:hint="eastAsia" w:ascii="宋体" w:hAnsi="宋体" w:cs="宋体"/>
          <w:sz w:val="24"/>
          <w:vertAlign w:val="subscript"/>
        </w:rPr>
        <w:t xml:space="preserve">2</w:t>
      </w:r>
      <w:r>
        <w:rPr>
          <w:rFonts w:hint="eastAsia" w:ascii="宋体" w:hAnsi="宋体" w:cs="宋体"/>
          <w:sz w:val="24"/>
        </w:rPr>
        <w:t xml:space="preserve">S、CO等有毒有害气体，在作业期间应采取强制通风、气体检测仪检测、正压式呼吸器等安全措施，确保安全生产。</w:t>
      </w:r>
      <w:r/>
    </w:p>
    <w:p>
      <w:pPr>
        <w:ind w:firstLine="480"/>
        <w:spacing w:line="360" w:lineRule="auto"/>
        <w:rPr>
          <w:rFonts w:ascii="宋体" w:hAnsi="宋体" w:cs="宋体"/>
          <w:sz w:val="24"/>
        </w:rPr>
      </w:pPr>
      <w:r>
        <w:rPr>
          <w:rFonts w:hint="eastAsia" w:ascii="宋体" w:hAnsi="宋体" w:cs="宋体"/>
          <w:sz w:val="24"/>
        </w:rPr>
        <w:t xml:space="preserve">5.在作业安排中，投标人需充分考虑汛期及降雨等对项目的影响，及时跟踪天气情况。</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二</w:t>
      </w:r>
      <w:r>
        <w:rPr>
          <w:rFonts w:hAnsi="宋体"/>
          <w:b/>
          <w:bCs/>
          <w:sz w:val="24"/>
        </w:rPr>
        <w:t xml:space="preserve">）文明施工要求</w:t>
      </w:r>
      <w:r/>
    </w:p>
    <w:p>
      <w:pPr>
        <w:ind w:firstLine="480"/>
        <w:spacing w:line="360" w:lineRule="auto"/>
        <w:rPr>
          <w:rFonts w:ascii="宋体" w:hAnsi="宋体" w:cs="宋体"/>
          <w:sz w:val="24"/>
        </w:rPr>
      </w:pPr>
      <w:r>
        <w:rPr>
          <w:rFonts w:hint="eastAsia" w:ascii="宋体" w:hAnsi="宋体" w:cs="宋体"/>
          <w:sz w:val="24"/>
        </w:rPr>
        <w:t xml:space="preserve">1.投标人应遵守文明施工有关管理规定，采取必要的文明施工组织措施，并随时接受招标人安全检查人员的监督检查。投标人办理有关施工场地交通、环卫和施工噪音管理等手续，并承担相关费用；费用由投标人在投标报价中考虑，施工噪音引起的纠纷由投标人自行解决。</w:t>
      </w:r>
      <w:r/>
    </w:p>
    <w:p>
      <w:pPr>
        <w:ind w:firstLine="480"/>
        <w:spacing w:line="360" w:lineRule="auto"/>
        <w:rPr>
          <w:rFonts w:ascii="宋体" w:hAnsi="宋体" w:cs="宋体"/>
          <w:sz w:val="24"/>
        </w:rPr>
      </w:pPr>
      <w:r>
        <w:rPr>
          <w:rFonts w:hint="eastAsia" w:ascii="宋体" w:hAnsi="宋体" w:cs="宋体"/>
          <w:sz w:val="24"/>
        </w:rPr>
        <w:t xml:space="preserve">2.强化作业现场管理。作业过程中，人员的着装、车辆的停放、设备器具的摆放、污泥和垃圾的堆放等须符合城管部门的相关规定。作业过程应避免对周围环境和居民的正常生活造成影响。</w:t>
      </w:r>
      <w:r/>
    </w:p>
    <w:p>
      <w:pPr>
        <w:ind w:firstLine="480"/>
        <w:spacing w:line="360" w:lineRule="auto"/>
        <w:rPr>
          <w:rFonts w:ascii="宋体" w:hAnsi="宋体" w:cs="宋体"/>
          <w:sz w:val="24"/>
        </w:rPr>
      </w:pPr>
      <w:r>
        <w:rPr>
          <w:rFonts w:hint="eastAsia" w:ascii="宋体" w:hAnsi="宋体" w:cs="宋体"/>
          <w:sz w:val="24"/>
        </w:rPr>
        <w:t xml:space="preserve">3.施工时，现场不能随意堆放废弃物、垃圾。</w:t>
      </w:r>
      <w:r/>
    </w:p>
    <w:p>
      <w:pPr>
        <w:ind w:firstLine="480"/>
        <w:spacing w:line="360" w:lineRule="auto"/>
        <w:rPr>
          <w:rFonts w:ascii="宋体" w:hAnsi="宋体" w:cs="宋体"/>
          <w:sz w:val="24"/>
        </w:rPr>
      </w:pPr>
      <w:r>
        <w:rPr>
          <w:rFonts w:hint="eastAsia" w:ascii="宋体" w:hAnsi="宋体" w:cs="宋体"/>
          <w:sz w:val="24"/>
        </w:rPr>
        <w:t xml:space="preserve">4.投标人要加强施工车辆的管理，施工车辆不得无故影响道路交通，必须配合好交巡警部门组织好交通工作。</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三</w:t>
      </w:r>
      <w:r>
        <w:rPr>
          <w:rFonts w:hAnsi="宋体"/>
          <w:b/>
          <w:bCs/>
          <w:sz w:val="24"/>
        </w:rPr>
        <w:t xml:space="preserve">）夜间作业要求</w:t>
      </w:r>
      <w:r/>
    </w:p>
    <w:p>
      <w:pPr>
        <w:ind w:firstLine="480"/>
        <w:spacing w:line="360" w:lineRule="auto"/>
        <w:rPr>
          <w:rFonts w:ascii="宋体" w:hAnsi="宋体" w:cs="宋体"/>
          <w:sz w:val="24"/>
        </w:rPr>
      </w:pPr>
      <w:r>
        <w:rPr>
          <w:rFonts w:hint="eastAsia" w:ascii="宋体" w:hAnsi="宋体" w:cs="宋体"/>
          <w:sz w:val="24"/>
        </w:rPr>
        <w:t xml:space="preserve">1.夜间作业应符合《管网所管网养护夜间作业实施细则》的规定。</w:t>
      </w:r>
      <w:r/>
    </w:p>
    <w:p>
      <w:pPr>
        <w:ind w:firstLine="480"/>
        <w:spacing w:line="360" w:lineRule="auto"/>
        <w:rPr>
          <w:rFonts w:ascii="宋体" w:hAnsi="宋体" w:cs="宋体"/>
          <w:sz w:val="24"/>
        </w:rPr>
      </w:pPr>
      <w:r>
        <w:rPr>
          <w:rFonts w:hint="eastAsia" w:ascii="宋体" w:hAnsi="宋体" w:cs="宋体"/>
          <w:sz w:val="24"/>
        </w:rPr>
        <w:t xml:space="preserve">2.具备夜间作业能力，配备足量的夜间施工照明装备、作业服装和闪烁警示设备。</w:t>
      </w:r>
      <w:r/>
    </w:p>
    <w:p>
      <w:pPr>
        <w:ind w:firstLine="480"/>
        <w:spacing w:line="360" w:lineRule="auto"/>
        <w:rPr>
          <w:rFonts w:ascii="宋体" w:hAnsi="宋体" w:cs="宋体"/>
          <w:sz w:val="24"/>
        </w:rPr>
      </w:pPr>
      <w:r>
        <w:rPr>
          <w:rFonts w:hint="eastAsia" w:ascii="宋体" w:hAnsi="宋体" w:cs="宋体"/>
          <w:sz w:val="24"/>
        </w:rPr>
        <w:t xml:space="preserve">3.施工现场设置明显的交通标志，安全标牌、警示灯等标志，标志具备荧光功能。夜间施工时在围护上采用反光标志。</w:t>
      </w:r>
      <w:r/>
    </w:p>
    <w:p>
      <w:pPr>
        <w:ind w:firstLine="480"/>
        <w:spacing w:line="360" w:lineRule="auto"/>
        <w:rPr>
          <w:rFonts w:ascii="宋体" w:hAnsi="宋体" w:cs="宋体"/>
          <w:sz w:val="24"/>
        </w:rPr>
      </w:pPr>
      <w:r>
        <w:rPr>
          <w:rFonts w:hint="eastAsia" w:ascii="宋体" w:hAnsi="宋体" w:cs="宋体"/>
          <w:sz w:val="24"/>
        </w:rPr>
        <w:t xml:space="preserve">4.夜间施工人员白天必须保证睡眠、不得连续作业。</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四</w:t>
      </w:r>
      <w:r>
        <w:rPr>
          <w:rFonts w:hAnsi="宋体"/>
          <w:b/>
          <w:bCs/>
          <w:sz w:val="24"/>
        </w:rPr>
        <w:t xml:space="preserve">）资料要求</w:t>
      </w:r>
      <w:r/>
    </w:p>
    <w:p>
      <w:pPr>
        <w:ind w:firstLine="480"/>
        <w:spacing w:line="360" w:lineRule="auto"/>
        <w:rPr>
          <w:rFonts w:ascii="宋体" w:hAnsi="宋体" w:cs="宋体"/>
          <w:sz w:val="24"/>
        </w:rPr>
      </w:pPr>
      <w:r>
        <w:rPr>
          <w:rFonts w:hint="eastAsia" w:ascii="宋体" w:hAnsi="宋体" w:cs="宋体"/>
          <w:sz w:val="24"/>
        </w:rPr>
        <w:t xml:space="preserve">1.已经完成检测的道路，7个工作日应提交所有视频检查资料和现场简图，视频名称、视频中检查井编号应与简图一致以及检测报告，对不符合要求的视频需要重新检测，并对原招标人管线图进行复核，针对发现的问题提出修改建议。</w:t>
      </w:r>
      <w:r/>
    </w:p>
    <w:p>
      <w:pPr>
        <w:ind w:firstLine="480"/>
        <w:spacing w:line="360" w:lineRule="auto"/>
        <w:rPr>
          <w:rFonts w:ascii="宋体" w:hAnsi="宋体" w:cs="宋体"/>
          <w:sz w:val="24"/>
        </w:rPr>
      </w:pPr>
      <w:r>
        <w:rPr>
          <w:rFonts w:hint="eastAsia" w:ascii="宋体" w:hAnsi="宋体" w:cs="宋体"/>
          <w:sz w:val="24"/>
        </w:rPr>
        <w:t xml:space="preserve">2.投标人应提交每条道路的现场实施情况，包括作业班组、清洗管道长度、井数及清淤量、施工天数等情况。</w:t>
      </w:r>
      <w:r/>
    </w:p>
    <w:p>
      <w:pPr>
        <w:ind w:firstLine="482"/>
        <w:spacing w:line="360" w:lineRule="auto"/>
        <w:rPr>
          <w:b/>
          <w:bCs/>
          <w:sz w:val="24"/>
        </w:rPr>
        <w:outlineLvl w:val="2"/>
      </w:pPr>
      <w:r>
        <w:rPr>
          <w:b/>
          <w:bCs/>
          <w:sz w:val="24"/>
        </w:rPr>
        <w:t xml:space="preserve">（</w:t>
      </w:r>
      <w:r>
        <w:rPr>
          <w:rFonts w:hint="eastAsia"/>
          <w:b/>
          <w:bCs/>
          <w:sz w:val="24"/>
        </w:rPr>
        <w:t xml:space="preserve">五</w:t>
      </w:r>
      <w:r>
        <w:rPr>
          <w:b/>
          <w:bCs/>
          <w:sz w:val="24"/>
        </w:rPr>
        <w:t xml:space="preserve">）验收要求</w:t>
      </w:r>
      <w:r/>
    </w:p>
    <w:p>
      <w:pPr>
        <w:ind w:firstLine="480"/>
        <w:spacing w:line="360" w:lineRule="auto"/>
        <w:rPr>
          <w:rFonts w:ascii="宋体" w:hAnsi="宋体" w:cs="宋体"/>
          <w:bCs/>
          <w:sz w:val="24"/>
        </w:rPr>
      </w:pPr>
      <w:r>
        <w:rPr>
          <w:rFonts w:hint="eastAsia" w:ascii="宋体" w:hAnsi="宋体" w:cs="宋体"/>
          <w:sz w:val="24"/>
        </w:rPr>
        <w:t xml:space="preserve">1.视频资料质量根据《城镇排水管道检测与评估技术规程》CJJ181-2012和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等有关规定进行验收。</w:t>
      </w:r>
      <w:r/>
    </w:p>
    <w:p>
      <w:pPr>
        <w:ind w:firstLine="482"/>
        <w:spacing w:line="360" w:lineRule="auto"/>
        <w:rPr>
          <w:rFonts w:ascii="宋体" w:hAnsi="宋体" w:cs="宋体"/>
          <w:b/>
          <w:sz w:val="24"/>
          <w:szCs w:val="20"/>
        </w:rPr>
        <w:outlineLvl w:val="1"/>
      </w:pPr>
      <w:r>
        <w:rPr>
          <w:rFonts w:hint="eastAsia" w:ascii="宋体" w:hAnsi="宋体" w:cs="宋体"/>
          <w:b/>
          <w:sz w:val="24"/>
          <w:szCs w:val="20"/>
        </w:rPr>
        <w:t xml:space="preserve">五</w:t>
      </w:r>
      <w:r>
        <w:rPr>
          <w:rFonts w:ascii="宋体" w:hAnsi="宋体" w:cs="宋体"/>
          <w:b/>
          <w:sz w:val="24"/>
          <w:szCs w:val="20"/>
        </w:rPr>
        <w:t xml:space="preserve">、合同价格、计量与支付</w:t>
      </w:r>
      <w:r/>
    </w:p>
    <w:p>
      <w:pPr>
        <w:ind w:firstLine="480"/>
        <w:spacing w:line="360" w:lineRule="auto"/>
        <w:rPr>
          <w:rFonts w:ascii="宋体" w:hAnsi="宋体"/>
          <w:sz w:val="24"/>
        </w:rPr>
      </w:pPr>
      <w:r/>
      <w:bookmarkStart w:id="828" w:name="OLE_LINK151"/>
      <w:r/>
      <w:bookmarkStart w:id="829" w:name="OLE_LINK150"/>
      <w:r>
        <w:rPr>
          <w:rFonts w:hint="eastAsia" w:ascii="宋体" w:hAnsi="宋体" w:cs="宋体"/>
          <w:sz w:val="24"/>
        </w:rPr>
        <w:t xml:space="preserve">1.</w:t>
      </w:r>
      <w:r>
        <w:rPr>
          <w:rFonts w:ascii="宋体" w:hAnsi="宋体"/>
          <w:sz w:val="24"/>
        </w:rPr>
        <w:t xml:space="preserve">本合同为固定单价合同，在项目实施过程中，</w:t>
      </w:r>
      <w:r>
        <w:rPr>
          <w:rFonts w:hint="eastAsia" w:ascii="宋体" w:hAnsi="宋体"/>
          <w:sz w:val="24"/>
        </w:rPr>
        <w:t xml:space="preserve">单价</w:t>
      </w:r>
      <w:r>
        <w:rPr>
          <w:rFonts w:ascii="宋体" w:hAnsi="宋体"/>
          <w:sz w:val="24"/>
        </w:rPr>
        <w:t xml:space="preserve">不作调整。结算</w:t>
      </w:r>
      <w:r>
        <w:rPr>
          <w:rFonts w:hint="eastAsia" w:ascii="宋体" w:hAnsi="宋体"/>
          <w:sz w:val="24"/>
        </w:rPr>
        <w:t xml:space="preserve">款</w:t>
      </w:r>
      <w:r>
        <w:rPr>
          <w:rFonts w:ascii="宋体" w:hAnsi="宋体"/>
          <w:sz w:val="24"/>
        </w:rPr>
        <w:t xml:space="preserve">计算：项目实际完成的数量</w:t>
      </w:r>
      <w:bookmarkStart w:id="830" w:name="OLE_LINK2"/>
      <w:r/>
      <w:bookmarkStart w:id="831" w:name="OLE_LINK1"/>
      <w:r>
        <w:rPr>
          <w:rFonts w:hint="eastAsia" w:ascii="宋体" w:hAnsi="宋体"/>
          <w:sz w:val="24"/>
        </w:rPr>
        <w:t xml:space="preserve">×中标</w:t>
      </w:r>
      <w:r>
        <w:rPr>
          <w:rFonts w:ascii="宋体" w:hAnsi="宋体"/>
          <w:sz w:val="24"/>
        </w:rPr>
        <w:t xml:space="preserve">单价</w:t>
      </w:r>
      <w:bookmarkEnd w:id="830"/>
      <w:r/>
      <w:bookmarkEnd w:id="831"/>
      <w:r>
        <w:rPr>
          <w:rFonts w:hint="eastAsia" w:ascii="宋体" w:hAnsi="宋体"/>
          <w:sz w:val="24"/>
        </w:rPr>
        <w:t xml:space="preserve">。</w:t>
      </w:r>
      <w:bookmarkEnd w:id="828"/>
      <w:r/>
      <w:bookmarkEnd w:id="829"/>
      <w:r/>
      <w:r/>
    </w:p>
    <w:p>
      <w:pPr>
        <w:ind w:firstLine="480"/>
        <w:spacing w:line="360" w:lineRule="auto"/>
        <w:rPr>
          <w:rFonts w:ascii="宋体" w:hAnsi="宋体" w:cs="宋体"/>
          <w:sz w:val="24"/>
        </w:rPr>
      </w:pPr>
      <w:r>
        <w:rPr>
          <w:rFonts w:hint="eastAsia" w:ascii="宋体" w:hAnsi="宋体" w:cs="宋体"/>
          <w:sz w:val="24"/>
        </w:rPr>
        <w:t xml:space="preserve">2.计量</w:t>
      </w:r>
      <w:r/>
    </w:p>
    <w:p>
      <w:pPr>
        <w:ind w:firstLine="480"/>
        <w:spacing w:line="360" w:lineRule="auto"/>
        <w:rPr>
          <w:rFonts w:ascii="宋体" w:hAnsi="宋体" w:cs="宋体"/>
          <w:sz w:val="24"/>
        </w:rPr>
      </w:pPr>
      <w:r>
        <w:rPr>
          <w:rFonts w:hint="eastAsia" w:ascii="宋体" w:hAnsi="宋体" w:cs="宋体"/>
          <w:sz w:val="24"/>
        </w:rPr>
        <w:t xml:space="preserve">乙方实际完成的排水管道检测长度以完成检测管段的上下游检查井井中心的实测直线距离为准，经甲方验收合格的管道检测长度相加为累计完成总量。</w:t>
      </w:r>
      <w:r/>
    </w:p>
    <w:p>
      <w:pPr>
        <w:ind w:firstLine="480"/>
        <w:spacing w:line="360" w:lineRule="auto"/>
        <w:rPr>
          <w:rFonts w:ascii="宋体" w:hAnsi="宋体" w:cs="宋体"/>
          <w:sz w:val="24"/>
        </w:rPr>
      </w:pPr>
      <w:r>
        <w:rPr>
          <w:rFonts w:hint="eastAsia" w:ascii="宋体" w:hAnsi="宋体" w:cs="宋体"/>
          <w:sz w:val="24"/>
        </w:rPr>
        <w:t xml:space="preserve">3.结算</w:t>
      </w:r>
      <w:r/>
    </w:p>
    <w:p>
      <w:pPr>
        <w:ind w:firstLine="480"/>
        <w:spacing w:line="360" w:lineRule="auto"/>
        <w:rPr>
          <w:rFonts w:ascii="宋体" w:hAnsi="宋体" w:cs="宋体"/>
          <w:sz w:val="24"/>
        </w:rPr>
      </w:pPr>
      <w:r>
        <w:rPr>
          <w:rFonts w:hint="eastAsia" w:ascii="宋体" w:hAnsi="宋体" w:cs="宋体"/>
          <w:sz w:val="24"/>
        </w:rPr>
        <w:t xml:space="preserve">（1）经甲方审核同意的工作量计量单和工程竣工款申请表；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（2）中标人开具的实际支付增值税专用发票，税率按规定执行。</w:t>
      </w:r>
      <w:r/>
    </w:p>
    <w:p>
      <w:pPr>
        <w:ind w:firstLine="482"/>
        <w:spacing w:line="360" w:lineRule="auto"/>
        <w:rPr>
          <w:rFonts w:ascii="宋体" w:hAnsi="宋体" w:cs="宋体"/>
          <w:b/>
          <w:sz w:val="24"/>
          <w:szCs w:val="20"/>
        </w:rPr>
        <w:outlineLvl w:val="1"/>
      </w:pPr>
      <w:r>
        <w:rPr>
          <w:rFonts w:hint="eastAsia" w:ascii="宋体" w:hAnsi="宋体" w:cs="宋体"/>
          <w:b/>
          <w:sz w:val="24"/>
          <w:szCs w:val="20"/>
        </w:rPr>
        <w:t xml:space="preserve">六、履约保证金</w:t>
      </w:r>
      <w:r/>
    </w:p>
    <w:p>
      <w:pPr>
        <w:ind w:firstLine="480"/>
        <w:spacing w:line="360" w:lineRule="auto"/>
        <w:rPr>
          <w:rFonts w:ascii="宋体" w:hAnsi="宋体" w:cs="宋体"/>
          <w:color w:val="000000"/>
          <w:sz w:val="24"/>
        </w:rPr>
      </w:pPr>
      <w:r>
        <w:rPr>
          <w:rFonts w:hint="eastAsia" w:ascii="宋体" w:hAnsi="宋体" w:cs="宋体"/>
          <w:color w:val="000000"/>
          <w:sz w:val="24"/>
        </w:rPr>
        <w:t xml:space="preserve">履约保证金金额为项目年度预算的5%，中标人须在中标通知书发出之日起15日内缴纳履约保证金或提交履约保函，履约保函应为不可撤销、不可转让的见索即付独立保函，格式详见附件。</w:t>
      </w:r>
      <w:r/>
    </w:p>
    <w:p>
      <w:pPr>
        <w:spacing w:line="360" w:lineRule="auto"/>
        <w:rPr>
          <w:rFonts w:ascii="宋体" w:hAnsi="宋体" w:cs="宋体"/>
          <w:b/>
          <w:bCs/>
          <w:sz w:val="24"/>
        </w:rPr>
        <w:sectPr>
          <w:headerReference w:type="default" r:id="rId16"/>
          <w:footerReference w:type="default" r:id="rId23"/>
          <w:footnotePr/>
          <w:endnotePr/>
          <w:type w:val="nextPage"/>
          <w:pgSz w:w="11907" w:h="16840" w:orient="portrait"/>
          <w:pgMar w:top="1440" w:right="1803" w:bottom="1440" w:left="1803" w:header="851" w:footer="851" w:gutter="0"/>
          <w:cols w:num="1" w:sep="0" w:space="1701" w:equalWidth="1"/>
          <w:docGrid w:linePitch="360"/>
        </w:sectPr>
        <w:outlineLvl w:val="1"/>
      </w:pPr>
      <w:r>
        <w:rPr>
          <w:rFonts w:ascii="宋体" w:hAnsi="宋体" w:cs="宋体"/>
          <w:b/>
          <w:bCs/>
          <w:sz w:val="24"/>
        </w:rPr>
      </w:r>
      <w:r/>
    </w:p>
    <w:p>
      <w:pPr>
        <w:spacing w:line="360" w:lineRule="auto"/>
        <w:rPr>
          <w:rFonts w:ascii="宋体" w:hAnsi="宋体" w:cs="宋体"/>
          <w:sz w:val="24"/>
        </w:rPr>
        <w:outlineLvl w:val="1"/>
      </w:pPr>
      <w:r>
        <w:rPr>
          <w:rFonts w:ascii="宋体" w:hAnsi="宋体" w:cs="宋体"/>
          <w:b/>
          <w:bCs/>
          <w:sz w:val="24"/>
        </w:rPr>
        <w:t xml:space="preserve">附件一、履约保函格式</w:t>
      </w:r>
      <w:r/>
    </w:p>
    <w:p>
      <w:pPr>
        <w:jc w:val="center"/>
        <w:spacing w:line="560" w:lineRule="exact"/>
        <w:rPr>
          <w:rFonts w:ascii="宋体" w:hAnsi="宋体" w:cs="宋体"/>
          <w:b/>
          <w:bCs/>
          <w:sz w:val="28"/>
          <w:szCs w:val="28"/>
        </w:rPr>
      </w:pPr>
      <w:r>
        <w:rPr>
          <w:rFonts w:ascii="宋体" w:hAnsi="宋体" w:cs="宋体"/>
          <w:b/>
          <w:bCs/>
          <w:sz w:val="28"/>
          <w:szCs w:val="28"/>
        </w:rPr>
        <w:t xml:space="preserve">见索即付履约保函（独立保函）模板（仅供参考）</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t xml:space="preserve">申请人：</w:t>
      </w:r>
      <w:r/>
    </w:p>
    <w:p>
      <w:pPr>
        <w:spacing w:line="560" w:lineRule="exact"/>
        <w:rPr>
          <w:rFonts w:ascii="宋体" w:hAnsi="宋体" w:cs="宋体"/>
          <w:sz w:val="24"/>
        </w:rPr>
      </w:pPr>
      <w:r>
        <w:rPr>
          <w:rFonts w:ascii="宋体" w:hAnsi="宋体" w:cs="宋体"/>
          <w:sz w:val="24"/>
        </w:rPr>
        <w:t xml:space="preserve">地址：</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t xml:space="preserve">受益人：</w:t>
      </w:r>
      <w:r/>
    </w:p>
    <w:p>
      <w:pPr>
        <w:spacing w:line="560" w:lineRule="exact"/>
        <w:rPr>
          <w:rFonts w:ascii="宋体" w:hAnsi="宋体" w:cs="宋体"/>
          <w:sz w:val="24"/>
        </w:rPr>
      </w:pPr>
      <w:r>
        <w:rPr>
          <w:rFonts w:ascii="宋体" w:hAnsi="宋体" w:cs="宋体"/>
          <w:sz w:val="24"/>
        </w:rPr>
        <w:t xml:space="preserve">地址：</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t xml:space="preserve">开立人：</w:t>
      </w:r>
      <w:r/>
    </w:p>
    <w:p>
      <w:pPr>
        <w:spacing w:line="560" w:lineRule="exact"/>
        <w:rPr>
          <w:rFonts w:ascii="宋体" w:hAnsi="宋体" w:cs="宋体"/>
          <w:sz w:val="24"/>
        </w:rPr>
      </w:pPr>
      <w:r>
        <w:rPr>
          <w:rFonts w:ascii="宋体" w:hAnsi="宋体" w:cs="宋体"/>
          <w:sz w:val="24"/>
        </w:rPr>
        <w:t xml:space="preserve">地址：</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t xml:space="preserve">鉴于（以下简称“受益人”）</w:t>
      </w:r>
      <w:r>
        <w:rPr>
          <w:rFonts w:hint="eastAsia" w:ascii="宋体" w:hAnsi="宋体" w:cs="宋体"/>
          <w:sz w:val="24"/>
        </w:rPr>
        <w:t xml:space="preserve">已确定</w:t>
      </w:r>
      <w:r>
        <w:rPr>
          <w:rFonts w:ascii="宋体" w:hAnsi="宋体" w:cs="宋体"/>
          <w:sz w:val="24"/>
          <w:u w:val="single"/>
        </w:rPr>
        <w:t xml:space="preserve">XXXX</w:t>
      </w:r>
      <w:r>
        <w:rPr>
          <w:rFonts w:hint="eastAsia" w:ascii="宋体" w:hAnsi="宋体" w:cs="宋体"/>
          <w:sz w:val="24"/>
        </w:rPr>
        <w:t xml:space="preserve">公司</w:t>
      </w:r>
      <w:r>
        <w:rPr>
          <w:rFonts w:ascii="宋体" w:hAnsi="宋体" w:cs="宋体"/>
          <w:sz w:val="24"/>
        </w:rPr>
        <w:t xml:space="preserve">，地址：</w:t>
      </w:r>
      <w:r>
        <w:rPr>
          <w:rFonts w:ascii="宋体" w:hAnsi="宋体" w:cs="宋体"/>
          <w:sz w:val="24"/>
          <w:u w:val="single"/>
        </w:rPr>
        <w:t xml:space="preserve">XXXX</w:t>
      </w:r>
      <w:r>
        <w:rPr>
          <w:rFonts w:ascii="宋体" w:hAnsi="宋体" w:cs="宋体"/>
          <w:sz w:val="24"/>
        </w:rPr>
        <w:t xml:space="preserve">（以下简称“申请人”）于XXXX年XX月XX日</w:t>
      </w:r>
      <w:r>
        <w:rPr>
          <w:rFonts w:hint="eastAsia" w:ascii="宋体" w:hAnsi="宋体" w:cs="宋体"/>
          <w:sz w:val="24"/>
        </w:rPr>
        <w:t xml:space="preserve">为</w:t>
      </w:r>
      <w:r>
        <w:rPr>
          <w:rFonts w:ascii="宋体" w:hAnsi="宋体" w:cs="宋体"/>
          <w:sz w:val="24"/>
          <w:u w:val="single"/>
        </w:rPr>
        <w:t xml:space="preserve">XXXX</w:t>
      </w:r>
      <w:r>
        <w:rPr>
          <w:rFonts w:hint="eastAsia" w:ascii="宋体" w:hAnsi="宋体" w:cs="宋体"/>
          <w:sz w:val="24"/>
        </w:rPr>
        <w:t xml:space="preserve">项目</w:t>
      </w:r>
      <w:r>
        <w:rPr>
          <w:rFonts w:ascii="宋体" w:hAnsi="宋体" w:cs="宋体"/>
          <w:sz w:val="24"/>
        </w:rPr>
        <w:t xml:space="preserve">（以下简称“本</w:t>
      </w:r>
      <w:r>
        <w:rPr>
          <w:rFonts w:hint="eastAsia" w:ascii="宋体" w:hAnsi="宋体" w:cs="宋体"/>
          <w:sz w:val="24"/>
        </w:rPr>
        <w:t xml:space="preserve">项目</w:t>
      </w:r>
      <w:r>
        <w:rPr>
          <w:rFonts w:ascii="宋体" w:hAnsi="宋体" w:cs="宋体"/>
          <w:sz w:val="24"/>
        </w:rPr>
        <w:t xml:space="preserve">”）</w:t>
      </w:r>
      <w:r>
        <w:rPr>
          <w:rFonts w:hint="eastAsia" w:ascii="宋体" w:hAnsi="宋体" w:cs="宋体"/>
          <w:sz w:val="24"/>
        </w:rPr>
        <w:t xml:space="preserve">中标人</w:t>
      </w:r>
      <w:r>
        <w:rPr>
          <w:rFonts w:ascii="宋体" w:hAnsi="宋体" w:cs="宋体"/>
          <w:sz w:val="24"/>
        </w:rPr>
        <w:t xml:space="preserve">，我方（即“开立人”）应申请人的申请，同意就申请人履行与贵方签订的基础合同项下的义务，向贵方提供不可撤销、不可转让的见索即付独立保函（以下简称“本保函”）。</w:t>
      </w:r>
      <w:r/>
    </w:p>
    <w:p>
      <w:pPr>
        <w:spacing w:line="560" w:lineRule="exact"/>
        <w:rPr>
          <w:rFonts w:ascii="宋体" w:hAnsi="宋体" w:cs="宋体"/>
          <w:sz w:val="24"/>
        </w:rPr>
      </w:pPr>
      <w:r>
        <w:rPr>
          <w:rFonts w:hint="eastAsia" w:ascii="宋体" w:hAnsi="宋体" w:cs="宋体"/>
          <w:sz w:val="24"/>
        </w:rPr>
        <w:t xml:space="preserve">一、</w:t>
      </w:r>
      <w:r>
        <w:rPr>
          <w:rFonts w:ascii="宋体" w:hAnsi="宋体" w:cs="宋体"/>
          <w:sz w:val="24"/>
        </w:rPr>
        <w:t xml:space="preserve">本保函担保范围：</w:t>
      </w:r>
      <w:r>
        <w:rPr>
          <w:rFonts w:hint="eastAsia" w:ascii="宋体" w:hAnsi="宋体" w:cs="宋体"/>
          <w:sz w:val="24"/>
        </w:rPr>
        <w:t xml:space="preserve">无论基础合同存在任何争议、申请人提出任何抗辩，只要受益人提交的付款通知符合本保函第四条约定的形式要件，开立人均需承担担保责任，范围包括但不限于</w:t>
      </w:r>
      <w:r>
        <w:rPr>
          <w:rFonts w:ascii="宋体" w:hAnsi="宋体" w:cs="宋体"/>
          <w:sz w:val="24"/>
        </w:rPr>
        <w:t xml:space="preserve">申请人未按照基础合同的约定履行义务，应当向贵方承担的违约责任和赔偿因此造成的损失、利息、律师费、诉讼费用、仲裁费用等实现债权的费用。</w:t>
      </w:r>
      <w:r/>
    </w:p>
    <w:p>
      <w:pPr>
        <w:spacing w:line="560" w:lineRule="exact"/>
        <w:rPr>
          <w:rFonts w:ascii="宋体" w:hAnsi="宋体" w:cs="宋体"/>
          <w:sz w:val="24"/>
        </w:rPr>
      </w:pPr>
      <w:r>
        <w:rPr>
          <w:rFonts w:ascii="宋体" w:hAnsi="宋体" w:cs="宋体"/>
          <w:sz w:val="24"/>
        </w:rPr>
        <w:t xml:space="preserve">二、本保函担保金额最高不超过人民币（大写）XXXX</w:t>
      </w:r>
      <w:r>
        <w:rPr>
          <w:rFonts w:hint="eastAsia" w:ascii="宋体" w:hAnsi="宋体" w:cs="宋体"/>
          <w:sz w:val="24"/>
        </w:rPr>
        <w:t xml:space="preserve">元</w:t>
      </w:r>
      <w:r>
        <w:rPr>
          <w:rFonts w:ascii="宋体" w:hAnsi="宋体" w:cs="宋体"/>
          <w:sz w:val="24"/>
        </w:rPr>
        <w:t xml:space="preserve">整（CNYXXXX）。</w:t>
      </w:r>
      <w:r>
        <w:rPr>
          <w:rFonts w:hint="eastAsia" w:ascii="宋体" w:hAnsi="宋体" w:cs="宋体"/>
          <w:sz w:val="24"/>
        </w:rPr>
        <w:t xml:space="preserve">受益人累计索赔金额不超过前述最高担保金额的，开立人均应足额支付，不得无故扣减任何款项。</w:t>
      </w:r>
      <w:r/>
    </w:p>
    <w:p>
      <w:pPr>
        <w:spacing w:line="560" w:lineRule="exact"/>
        <w:rPr>
          <w:rFonts w:ascii="宋体" w:hAnsi="宋体" w:cs="宋体"/>
          <w:sz w:val="24"/>
        </w:rPr>
      </w:pPr>
      <w:r>
        <w:rPr>
          <w:rFonts w:ascii="宋体" w:hAnsi="宋体" w:cs="宋体"/>
          <w:sz w:val="24"/>
        </w:rPr>
        <w:t xml:space="preserve">三、本保函自出具之日起生效，有效期至</w:t>
      </w:r>
      <w:r>
        <w:rPr>
          <w:rFonts w:hint="eastAsia" w:ascii="宋体" w:hAnsi="宋体" w:cs="宋体"/>
          <w:sz w:val="24"/>
        </w:rPr>
        <w:t xml:space="preserve">本项目招标有效期截止之日后60天</w:t>
      </w:r>
      <w:r>
        <w:rPr>
          <w:rFonts w:ascii="宋体" w:hAnsi="宋体" w:cs="宋体"/>
          <w:sz w:val="24"/>
        </w:rPr>
        <w:t xml:space="preserve">。</w:t>
      </w:r>
      <w:r/>
    </w:p>
    <w:p>
      <w:pPr>
        <w:spacing w:line="560" w:lineRule="exact"/>
        <w:rPr>
          <w:rFonts w:ascii="宋体" w:hAnsi="宋体" w:cs="宋体"/>
          <w:sz w:val="24"/>
        </w:rPr>
      </w:pPr>
      <w:r>
        <w:rPr>
          <w:rFonts w:ascii="宋体" w:hAnsi="宋体" w:cs="宋体"/>
          <w:sz w:val="24"/>
        </w:rPr>
        <w:t xml:space="preserve">四、我方承诺在收到受益人发来的书面付款通知纸质原件</w:t>
      </w:r>
      <w:r>
        <w:rPr>
          <w:rFonts w:hint="eastAsia" w:ascii="宋体" w:hAnsi="宋体" w:cs="宋体"/>
          <w:sz w:val="24"/>
        </w:rPr>
        <w:t xml:space="preserve">、加盖受益人公章的电子扫描件，或通过公证送达、数据电文（包括但不限于电子邮件、可信电子函证系统）等能够有效记录并证明通知已送达的方式</w:t>
      </w:r>
      <w:r>
        <w:rPr>
          <w:rFonts w:ascii="宋体" w:hAnsi="宋体" w:cs="宋体"/>
          <w:sz w:val="24"/>
        </w:rPr>
        <w:t xml:space="preserve">后的7个工作日内无条件向受益人支付，前述书面付款通知即为付款要求之单据，且应满足以下要求：</w:t>
      </w:r>
      <w:r/>
    </w:p>
    <w:p>
      <w:pPr>
        <w:spacing w:line="560" w:lineRule="exact"/>
        <w:rPr>
          <w:rFonts w:ascii="宋体" w:hAnsi="宋体" w:cs="宋体"/>
          <w:sz w:val="24"/>
        </w:rPr>
      </w:pPr>
      <w:r>
        <w:rPr>
          <w:rFonts w:ascii="宋体" w:hAnsi="宋体" w:cs="宋体"/>
          <w:sz w:val="24"/>
        </w:rPr>
        <w:t xml:space="preserve">（1）付款通知到达的日期在本保函的有效期内；</w:t>
      </w:r>
      <w:r/>
    </w:p>
    <w:p>
      <w:pPr>
        <w:spacing w:line="560" w:lineRule="exact"/>
        <w:rPr>
          <w:rFonts w:ascii="宋体" w:hAnsi="宋体" w:cs="宋体"/>
          <w:sz w:val="24"/>
        </w:rPr>
      </w:pPr>
      <w:r>
        <w:rPr>
          <w:rFonts w:ascii="宋体" w:hAnsi="宋体" w:cs="宋体"/>
          <w:sz w:val="24"/>
        </w:rPr>
        <w:t xml:space="preserve">（2）载明要求支付的金额；</w:t>
      </w:r>
      <w:r/>
    </w:p>
    <w:p>
      <w:pPr>
        <w:spacing w:line="560" w:lineRule="exact"/>
        <w:rPr>
          <w:rFonts w:ascii="宋体" w:hAnsi="宋体" w:cs="宋体"/>
          <w:sz w:val="24"/>
        </w:rPr>
      </w:pPr>
      <w:r>
        <w:rPr>
          <w:rFonts w:ascii="宋体" w:hAnsi="宋体" w:cs="宋体"/>
          <w:sz w:val="24"/>
        </w:rPr>
        <w:t xml:space="preserve">（3）载明申请人违反合同义务的条款和内容；</w:t>
      </w:r>
      <w:r/>
    </w:p>
    <w:p>
      <w:pPr>
        <w:spacing w:line="560" w:lineRule="exact"/>
        <w:rPr>
          <w:rFonts w:ascii="宋体" w:hAnsi="宋体" w:cs="宋体"/>
          <w:sz w:val="24"/>
        </w:rPr>
      </w:pPr>
      <w:r>
        <w:rPr>
          <w:rFonts w:ascii="宋体" w:hAnsi="宋体" w:cs="宋体"/>
          <w:sz w:val="24"/>
        </w:rPr>
        <w:t xml:space="preserve">上述付款通知送达我方的地址为：XXXX。</w:t>
      </w:r>
      <w:r/>
    </w:p>
    <w:p>
      <w:pPr>
        <w:spacing w:line="560" w:lineRule="exact"/>
        <w:rPr>
          <w:rFonts w:ascii="宋体" w:hAnsi="宋体" w:cs="宋体"/>
          <w:sz w:val="24"/>
        </w:rPr>
      </w:pPr>
      <w:r>
        <w:rPr>
          <w:rFonts w:ascii="宋体" w:hAnsi="宋体" w:cs="宋体"/>
          <w:sz w:val="24"/>
        </w:rPr>
        <w:t xml:space="preserve">五、与本保函有关的基础合同不成立、不生效、无效、被撤销、被解除，不影响本保函的独立有效。</w:t>
      </w:r>
      <w:r>
        <w:rPr>
          <w:rFonts w:hint="eastAsia" w:ascii="宋体" w:hAnsi="宋体" w:cs="宋体"/>
          <w:sz w:val="24"/>
        </w:rPr>
        <w:t xml:space="preserve">开立人承诺放弃基于与申请人之间的委托合同关系产生的全部抗辩权，不得以此拒绝承担本保函项下的付款义务。</w:t>
      </w:r>
      <w:r/>
    </w:p>
    <w:p>
      <w:pPr>
        <w:spacing w:line="560" w:lineRule="exact"/>
        <w:rPr>
          <w:rFonts w:ascii="宋体" w:hAnsi="宋体" w:cs="宋体"/>
          <w:sz w:val="24"/>
        </w:rPr>
      </w:pPr>
      <w:r>
        <w:rPr>
          <w:rFonts w:ascii="宋体" w:hAnsi="宋体" w:cs="宋体"/>
          <w:sz w:val="24"/>
        </w:rPr>
        <w:t xml:space="preserve">六、本保函应受国际商会制定的《见索即付保函统一规则》（第七百五十八号出版物）的</w:t>
      </w:r>
      <w:r>
        <w:rPr>
          <w:rFonts w:hint="eastAsia" w:ascii="宋体" w:hAnsi="宋体" w:cs="宋体"/>
          <w:sz w:val="24"/>
        </w:rPr>
        <w:t xml:space="preserve">约束</w:t>
      </w:r>
      <w:r>
        <w:rPr>
          <w:rFonts w:ascii="宋体" w:hAnsi="宋体" w:cs="宋体"/>
          <w:sz w:val="24"/>
        </w:rPr>
        <w:t xml:space="preserve">。</w:t>
      </w:r>
      <w:r/>
    </w:p>
    <w:p>
      <w:pPr>
        <w:spacing w:line="560" w:lineRule="exact"/>
        <w:rPr>
          <w:rFonts w:ascii="宋体" w:hAnsi="宋体" w:cs="宋体"/>
          <w:sz w:val="24"/>
        </w:rPr>
      </w:pPr>
      <w:r>
        <w:rPr>
          <w:rFonts w:ascii="宋体" w:hAnsi="宋体" w:cs="宋体"/>
          <w:sz w:val="24"/>
        </w:rPr>
        <w:t xml:space="preserve">七、本保函适用中华人民共和国法律。在本保函履行期间，如发生争议，任何一方可向常州仲裁委员会申请仲裁</w:t>
      </w:r>
      <w:r>
        <w:rPr>
          <w:rFonts w:hint="eastAsia" w:ascii="宋体" w:hAnsi="宋体" w:cs="宋体"/>
          <w:sz w:val="24"/>
        </w:rPr>
        <w:t xml:space="preserve">，仲裁裁决是终局的，对各方均具有约束力。</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r>
      <w:r/>
    </w:p>
    <w:p>
      <w:pPr>
        <w:jc w:val="right"/>
        <w:spacing w:line="560" w:lineRule="exact"/>
        <w:rPr>
          <w:rFonts w:ascii="宋体" w:hAnsi="宋体" w:cs="宋体"/>
          <w:sz w:val="24"/>
        </w:rPr>
      </w:pPr>
      <w:r>
        <w:rPr>
          <w:rFonts w:ascii="宋体" w:hAnsi="宋体" w:cs="宋体"/>
          <w:sz w:val="24"/>
        </w:rPr>
        <w:t xml:space="preserve">保函开立人名称（盖章）：</w:t>
      </w:r>
      <w:r/>
    </w:p>
    <w:p>
      <w:pPr>
        <w:ind w:firstLine="480"/>
        <w:jc w:val="left"/>
        <w:spacing w:line="560" w:lineRule="exact"/>
        <w:rPr>
          <w:rFonts w:ascii="宋体" w:hAnsi="宋体" w:cs="宋体"/>
          <w:sz w:val="24"/>
        </w:rPr>
      </w:pPr>
      <w:r>
        <w:rPr>
          <w:rFonts w:ascii="宋体" w:hAnsi="宋体" w:cs="宋体"/>
          <w:sz w:val="24"/>
        </w:rPr>
      </w:r>
      <w:r/>
    </w:p>
    <w:p>
      <w:pPr>
        <w:ind w:firstLine="480"/>
        <w:jc w:val="left"/>
        <w:spacing w:line="560" w:lineRule="exact"/>
        <w:rPr>
          <w:rFonts w:ascii="宋体" w:hAnsi="宋体" w:cs="宋体"/>
          <w:sz w:val="24"/>
        </w:rPr>
      </w:pPr>
      <w:r>
        <w:rPr>
          <w:rFonts w:hint="eastAsia" w:ascii="宋体" w:hAnsi="宋体" w:cs="宋体"/>
          <w:sz w:val="24"/>
        </w:rPr>
        <w:t xml:space="preserve">本保函一式三份，申请人、受益人、开立人各执一份，具有同等法律效力。</w:t>
      </w:r>
      <w:r/>
    </w:p>
    <w:p>
      <w:pPr>
        <w:ind w:firstLine="480"/>
        <w:jc w:val="left"/>
        <w:spacing w:line="560" w:lineRule="exact"/>
        <w:rPr>
          <w:rFonts w:ascii="宋体" w:hAnsi="宋体" w:cs="宋体"/>
          <w:sz w:val="24"/>
        </w:rPr>
      </w:pPr>
      <w:r>
        <w:rPr>
          <w:rFonts w:hint="eastAsia" w:ascii="宋体" w:hAnsi="宋体" w:cs="宋体"/>
          <w:sz w:val="24"/>
        </w:rPr>
        <w:t xml:space="preserve">未经受益人书面同意，开立人不得单方变更、解除本保函</w:t>
      </w:r>
      <w:r/>
    </w:p>
    <w:p>
      <w:pPr>
        <w:jc w:val="right"/>
        <w:spacing w:line="560" w:lineRule="exact"/>
        <w:sectPr>
          <w:footnotePr/>
          <w:endnotePr/>
          <w:type w:val="nextPage"/>
          <w:pgSz w:w="11907" w:h="16840" w:orient="portrait"/>
          <w:pgMar w:top="1440" w:right="1803" w:bottom="1440" w:left="1803" w:header="851" w:footer="851" w:gutter="0"/>
          <w:cols w:num="1" w:sep="0" w:space="1701" w:equalWidth="1"/>
          <w:docGrid w:linePitch="360"/>
        </w:sectPr>
      </w:pPr>
      <w:r/>
      <w:r/>
    </w:p>
    <w:p>
      <w:pPr>
        <w:jc w:val="center"/>
        <w:spacing w:line="360" w:lineRule="auto"/>
        <w:rPr>
          <w:b/>
          <w:sz w:val="36"/>
          <w:szCs w:val="36"/>
        </w:rPr>
        <w:outlineLvl w:val="0"/>
      </w:pPr>
      <w:r>
        <w:rPr>
          <w:b/>
          <w:sz w:val="36"/>
          <w:szCs w:val="36"/>
        </w:rPr>
        <w:t xml:space="preserve">第六章   拟签订的合同文本</w:t>
      </w:r>
      <w:bookmarkEnd w:id="821"/>
      <w:r/>
      <w:r/>
    </w:p>
    <w:p>
      <w:pPr>
        <w:pStyle w:val="1026"/>
        <w:ind w:firstLine="0"/>
        <w:jc w:val="center"/>
        <w:spacing w:line="480" w:lineRule="auto"/>
        <w:rPr>
          <w:b/>
          <w:bCs/>
          <w:sz w:val="32"/>
          <w:szCs w:val="32"/>
        </w:rPr>
      </w:pPr>
      <w:r>
        <w:rPr>
          <w:rFonts w:hint="eastAsia"/>
          <w:b/>
          <w:bCs/>
          <w:sz w:val="32"/>
          <w:szCs w:val="32"/>
        </w:rPr>
        <w:t xml:space="preserve">2026年管线功能性结构性检测服务</w:t>
      </w:r>
      <w:r>
        <w:rPr>
          <w:rFonts w:hint="eastAsia" w:hAnsi="宋体"/>
          <w:b/>
          <w:bCs/>
          <w:sz w:val="32"/>
          <w:szCs w:val="32"/>
        </w:rPr>
        <w:t xml:space="preserve">项目</w:t>
      </w:r>
      <w:r>
        <w:rPr>
          <w:rFonts w:hAnsi="宋体"/>
          <w:b/>
          <w:bCs/>
          <w:sz w:val="32"/>
          <w:szCs w:val="32"/>
        </w:rPr>
        <w:t xml:space="preserve">合同</w:t>
      </w:r>
      <w:r/>
    </w:p>
    <w:p>
      <w:pPr>
        <w:pStyle w:val="853"/>
        <w:ind w:right="-57" w:firstLine="240"/>
        <w:jc w:val="right"/>
        <w:spacing w:line="360" w:lineRule="auto"/>
        <w:rPr>
          <w:rFonts w:hint="default" w:hAnsi="宋体"/>
          <w:sz w:val="24"/>
          <w:szCs w:val="24"/>
          <w:u w:val="single"/>
        </w:rPr>
      </w:pPr>
      <w:r>
        <w:rPr>
          <w:rFonts w:hAnsi="宋体"/>
          <w:sz w:val="24"/>
          <w:szCs w:val="24"/>
        </w:rPr>
        <w:t xml:space="preserve">合同编号：</w:t>
      </w:r>
      <w:r/>
    </w:p>
    <w:p>
      <w:pPr>
        <w:pStyle w:val="853"/>
        <w:ind w:right="-57" w:firstLine="240"/>
        <w:jc w:val="right"/>
        <w:spacing w:line="360" w:lineRule="auto"/>
        <w:rPr>
          <w:rFonts w:hint="default" w:hAnsi="宋体"/>
          <w:sz w:val="24"/>
          <w:szCs w:val="24"/>
          <w:u w:val="single"/>
        </w:rPr>
      </w:pPr>
      <w:r>
        <w:rPr>
          <w:rFonts w:hAnsi="宋体"/>
          <w:sz w:val="24"/>
          <w:szCs w:val="24"/>
        </w:rPr>
        <w:t xml:space="preserve">                                         签订时间：</w:t>
      </w:r>
      <w:r>
        <w:rPr>
          <w:rFonts w:hAnsi="宋体"/>
          <w:sz w:val="24"/>
          <w:szCs w:val="24"/>
          <w:u w:val="single"/>
        </w:rPr>
        <w:t xml:space="preserve">2026</w:t>
      </w:r>
      <w:r>
        <w:rPr>
          <w:rFonts w:hAnsi="宋体"/>
          <w:sz w:val="24"/>
          <w:szCs w:val="24"/>
        </w:rPr>
        <w:t xml:space="preserve">年月日</w:t>
      </w:r>
      <w:r/>
    </w:p>
    <w:p>
      <w:pPr>
        <w:jc w:val="left"/>
        <w:spacing w:line="360" w:lineRule="auto"/>
        <w:rPr>
          <w:rFonts w:ascii="宋体" w:hAnsi="宋体"/>
          <w:sz w:val="24"/>
          <w:lang w:val="zh-CN"/>
        </w:rPr>
      </w:pPr>
      <w:r>
        <w:rPr>
          <w:rFonts w:hint="eastAsia" w:ascii="宋体" w:hAnsi="宋体"/>
          <w:sz w:val="24"/>
          <w:lang w:val="zh-CN"/>
        </w:rPr>
        <w:t xml:space="preserve">甲方：常州市排水管理处</w:t>
      </w:r>
      <w:r/>
    </w:p>
    <w:p>
      <w:pPr>
        <w:jc w:val="left"/>
        <w:spacing w:line="360" w:lineRule="auto"/>
        <w:rPr>
          <w:rFonts w:ascii="宋体" w:hAnsi="宋体"/>
          <w:sz w:val="24"/>
          <w:lang w:val="zh-CN"/>
        </w:rPr>
      </w:pPr>
      <w:r>
        <w:rPr>
          <w:rFonts w:hint="eastAsia" w:ascii="宋体" w:hAnsi="宋体"/>
          <w:sz w:val="24"/>
          <w:lang w:val="zh-CN"/>
        </w:rPr>
        <w:t xml:space="preserve">住所地：常州市飞龙东路116号</w:t>
      </w:r>
      <w:r/>
    </w:p>
    <w:p>
      <w:pPr>
        <w:jc w:val="left"/>
        <w:spacing w:line="360" w:lineRule="auto"/>
        <w:rPr>
          <w:rFonts w:ascii="宋体" w:hAnsi="宋体"/>
          <w:sz w:val="24"/>
          <w:lang w:val="zh-CN"/>
        </w:rPr>
      </w:pPr>
      <w:r>
        <w:rPr>
          <w:rFonts w:hint="eastAsia" w:ascii="宋体" w:hAnsi="宋体"/>
          <w:sz w:val="24"/>
          <w:lang w:val="zh-CN"/>
        </w:rPr>
        <w:t xml:space="preserve">法定代表人：</w:t>
      </w:r>
      <w:r/>
    </w:p>
    <w:p>
      <w:pPr>
        <w:jc w:val="left"/>
        <w:spacing w:line="360" w:lineRule="auto"/>
        <w:rPr>
          <w:rFonts w:ascii="宋体" w:hAnsi="宋体"/>
          <w:sz w:val="24"/>
          <w:lang w:val="zh-CN"/>
        </w:rPr>
      </w:pPr>
      <w:r>
        <w:rPr>
          <w:rFonts w:hint="eastAsia" w:ascii="宋体" w:hAnsi="宋体"/>
          <w:sz w:val="24"/>
          <w:lang w:val="zh-CN"/>
        </w:rPr>
        <w:t xml:space="preserve">统一社会信用代码：</w:t>
      </w:r>
      <w:r/>
    </w:p>
    <w:p>
      <w:pPr>
        <w:jc w:val="left"/>
        <w:spacing w:line="360" w:lineRule="auto"/>
        <w:rPr>
          <w:rFonts w:ascii="宋体" w:hAnsi="宋体"/>
          <w:sz w:val="24"/>
          <w:u w:val="single"/>
        </w:rPr>
      </w:pPr>
      <w:r>
        <w:rPr>
          <w:rFonts w:ascii="宋体" w:hAnsi="宋体"/>
          <w:sz w:val="24"/>
          <w:u w:val="single"/>
        </w:rPr>
      </w:r>
      <w:r/>
    </w:p>
    <w:p>
      <w:pPr>
        <w:jc w:val="left"/>
        <w:spacing w:line="360" w:lineRule="auto"/>
        <w:rPr>
          <w:rFonts w:ascii="宋体" w:hAnsi="宋体"/>
          <w:sz w:val="24"/>
        </w:rPr>
      </w:pPr>
      <w:r>
        <w:rPr>
          <w:rFonts w:hint="eastAsia" w:ascii="宋体" w:hAnsi="宋体"/>
          <w:sz w:val="24"/>
          <w:lang w:val="zh-CN"/>
        </w:rPr>
        <w:t xml:space="preserve">乙方</w:t>
      </w:r>
      <w:r>
        <w:rPr>
          <w:rFonts w:hint="eastAsia" w:ascii="宋体" w:hAnsi="宋体"/>
          <w:sz w:val="24"/>
        </w:rPr>
        <w:t xml:space="preserve">：</w:t>
      </w:r>
      <w:r/>
    </w:p>
    <w:p>
      <w:pPr>
        <w:jc w:val="left"/>
        <w:spacing w:line="360" w:lineRule="auto"/>
        <w:rPr>
          <w:rFonts w:ascii="宋体" w:hAnsi="宋体"/>
          <w:sz w:val="24"/>
          <w:u w:val="single"/>
        </w:rPr>
      </w:pPr>
      <w:r>
        <w:rPr>
          <w:rFonts w:hint="eastAsia" w:ascii="宋体" w:hAnsi="宋体"/>
          <w:sz w:val="24"/>
          <w:lang w:val="zh-CN"/>
        </w:rPr>
        <w:t xml:space="preserve">住所地</w:t>
      </w:r>
      <w:r>
        <w:rPr>
          <w:rFonts w:hint="eastAsia" w:ascii="宋体" w:hAnsi="宋体"/>
          <w:sz w:val="24"/>
        </w:rPr>
        <w:t xml:space="preserve">：</w:t>
      </w:r>
      <w:r/>
    </w:p>
    <w:p>
      <w:pPr>
        <w:jc w:val="left"/>
        <w:spacing w:line="360" w:lineRule="auto"/>
        <w:rPr>
          <w:rFonts w:ascii="宋体" w:hAnsi="宋体"/>
          <w:sz w:val="24"/>
        </w:rPr>
      </w:pPr>
      <w:r>
        <w:rPr>
          <w:rFonts w:hint="eastAsia" w:ascii="宋体" w:hAnsi="宋体"/>
          <w:sz w:val="24"/>
          <w:lang w:val="zh-CN"/>
        </w:rPr>
        <w:t xml:space="preserve">法定代表人</w:t>
      </w:r>
      <w:r>
        <w:rPr>
          <w:rFonts w:hint="eastAsia" w:ascii="宋体" w:hAnsi="宋体"/>
          <w:sz w:val="24"/>
        </w:rPr>
        <w:t xml:space="preserve">：</w:t>
      </w:r>
      <w:r/>
    </w:p>
    <w:p>
      <w:pPr>
        <w:jc w:val="left"/>
        <w:spacing w:line="360" w:lineRule="auto"/>
        <w:rPr>
          <w:rFonts w:ascii="宋体" w:hAnsi="宋体"/>
          <w:sz w:val="24"/>
          <w:lang w:val="zh-CN"/>
        </w:rPr>
      </w:pPr>
      <w:r>
        <w:rPr>
          <w:rFonts w:hint="eastAsia" w:ascii="宋体" w:hAnsi="宋体"/>
          <w:sz w:val="24"/>
          <w:lang w:val="zh-CN"/>
        </w:rPr>
        <w:t xml:space="preserve">统一社会信用代码：</w:t>
      </w:r>
      <w:r/>
    </w:p>
    <w:p>
      <w:pPr>
        <w:jc w:val="left"/>
        <w:spacing w:line="360" w:lineRule="auto"/>
        <w:rPr>
          <w:rFonts w:ascii="宋体" w:hAnsi="宋体"/>
          <w:color w:val="ff0000"/>
          <w:sz w:val="24"/>
          <w:lang w:val="zh-CN"/>
        </w:rPr>
      </w:pPr>
      <w:r>
        <w:rPr>
          <w:rFonts w:ascii="宋体" w:hAnsi="宋体"/>
          <w:color w:val="ff0000"/>
          <w:sz w:val="24"/>
          <w:lang w:val="zh-CN"/>
        </w:rPr>
      </w:r>
      <w:r/>
    </w:p>
    <w:p>
      <w:pPr>
        <w:ind w:firstLine="480"/>
        <w:jc w:val="left"/>
        <w:spacing w:line="360" w:lineRule="auto"/>
        <w:rPr>
          <w:rFonts w:ascii="宋体" w:hAnsi="宋体"/>
          <w:sz w:val="24"/>
        </w:rPr>
      </w:pPr>
      <w:r>
        <w:rPr>
          <w:rFonts w:hint="eastAsia" w:ascii="宋体" w:hAnsi="宋体"/>
          <w:sz w:val="24"/>
        </w:rPr>
        <w:t xml:space="preserve">根据《中华人民共和国政府采购法》、《中华人民共和国民法典》等法律法规的规定，甲乙双方经友好协商，签订本合同。</w:t>
      </w:r>
      <w:r/>
    </w:p>
    <w:p>
      <w:pPr>
        <w:pStyle w:val="1026"/>
        <w:ind w:firstLine="482"/>
        <w:spacing w:line="360" w:lineRule="auto"/>
        <w:rPr>
          <w:rFonts w:hAnsi="宋体" w:cs="宋体"/>
          <w:b/>
        </w:rPr>
      </w:pPr>
      <w:r>
        <w:rPr>
          <w:rFonts w:hAnsi="宋体" w:cs="宋体"/>
          <w:b/>
        </w:rPr>
      </w:r>
      <w:r/>
    </w:p>
    <w:p>
      <w:pPr>
        <w:pStyle w:val="1026"/>
        <w:ind w:firstLine="482"/>
        <w:spacing w:line="360" w:lineRule="auto"/>
        <w:rPr>
          <w:rFonts w:hAnsi="宋体" w:cs="宋体"/>
          <w:b/>
        </w:rPr>
      </w:pPr>
      <w:r>
        <w:rPr>
          <w:rFonts w:hint="eastAsia" w:hAnsi="宋体" w:cs="宋体"/>
          <w:b/>
        </w:rPr>
        <w:t xml:space="preserve">一、项目概况</w:t>
      </w:r>
      <w:r/>
    </w:p>
    <w:p>
      <w:pPr>
        <w:pStyle w:val="1026"/>
        <w:ind w:firstLine="480"/>
        <w:spacing w:line="360" w:lineRule="auto"/>
        <w:rPr>
          <w:rFonts w:hAnsi="宋体" w:cs="宋体"/>
        </w:rPr>
      </w:pPr>
      <w:r>
        <w:rPr>
          <w:rFonts w:hint="eastAsia" w:hAnsi="宋体" w:cs="宋体"/>
        </w:rPr>
        <w:t xml:space="preserve">1.项目名称：</w:t>
      </w:r>
      <w:r>
        <w:rPr>
          <w:rFonts w:hint="eastAsia" w:hAnsi="宋体" w:cs="宋体"/>
          <w:u w:val="single"/>
        </w:rPr>
        <w:t xml:space="preserve">2026年管线功能性结构性检测</w:t>
      </w:r>
      <w:r/>
    </w:p>
    <w:p>
      <w:pPr>
        <w:pStyle w:val="1026"/>
        <w:ind w:firstLine="480"/>
        <w:spacing w:line="360" w:lineRule="auto"/>
        <w:rPr>
          <w:rFonts w:hAnsi="宋体" w:cs="宋体"/>
        </w:rPr>
      </w:pPr>
      <w:r>
        <w:rPr>
          <w:rFonts w:hint="eastAsia" w:hAnsi="宋体" w:cs="宋体"/>
        </w:rPr>
        <w:t xml:space="preserve">2.服务范围：乙方负责甲方提供的排水管道清单进行功能性结构性检测</w:t>
      </w:r>
      <w:r/>
    </w:p>
    <w:p>
      <w:pPr>
        <w:pStyle w:val="1026"/>
        <w:ind w:firstLine="480"/>
        <w:spacing w:line="360" w:lineRule="auto"/>
        <w:rPr>
          <w:rFonts w:hAnsi="宋体" w:cs="宋体"/>
          <w:highlight w:val="none"/>
        </w:rPr>
      </w:pPr>
      <w:r>
        <w:rPr>
          <w:rFonts w:hint="eastAsia" w:hAnsi="宋体" w:cs="宋体"/>
          <w:highlight w:val="none"/>
        </w:rPr>
        <w:t xml:space="preserve">3.服务期限：______年____月____日至</w:t>
      </w:r>
      <w:r>
        <w:rPr>
          <w:rFonts w:hint="eastAsia" w:hAnsi="宋体" w:cs="宋体"/>
          <w:highlight w:val="none"/>
          <w:u w:val="single"/>
        </w:rPr>
        <w:t xml:space="preserve">2026</w:t>
      </w:r>
      <w:r>
        <w:rPr>
          <w:rFonts w:hint="eastAsia" w:hAnsi="宋体" w:cs="宋体"/>
          <w:highlight w:val="none"/>
        </w:rPr>
        <w:t xml:space="preserve">年</w:t>
      </w:r>
      <w:r>
        <w:rPr>
          <w:rFonts w:hint="eastAsia" w:hAnsi="宋体" w:cs="宋体"/>
          <w:highlight w:val="none"/>
          <w:u w:val="single"/>
        </w:rPr>
        <w:t xml:space="preserve">11</w:t>
      </w:r>
      <w:r>
        <w:rPr>
          <w:rFonts w:hint="eastAsia" w:hAnsi="宋体" w:cs="宋体"/>
          <w:highlight w:val="none"/>
        </w:rPr>
        <w:t xml:space="preserve">月</w:t>
      </w:r>
      <w:r>
        <w:rPr>
          <w:rFonts w:hint="eastAsia" w:hAnsi="宋体" w:cs="宋体"/>
          <w:highlight w:val="none"/>
          <w:u w:val="single"/>
        </w:rPr>
        <w:t xml:space="preserve">15</w:t>
      </w:r>
      <w:r>
        <w:rPr>
          <w:rFonts w:hint="eastAsia" w:hAnsi="宋体" w:cs="宋体"/>
          <w:highlight w:val="none"/>
        </w:rPr>
        <w:t xml:space="preserve">日。</w:t>
      </w:r>
      <w:r/>
    </w:p>
    <w:p>
      <w:pPr>
        <w:pStyle w:val="1026"/>
        <w:ind w:firstLine="482"/>
        <w:spacing w:line="360" w:lineRule="auto"/>
        <w:rPr>
          <w:rFonts w:hAnsi="宋体" w:cs="宋体"/>
          <w:b/>
          <w:highlight w:val="none"/>
        </w:rPr>
      </w:pPr>
      <w:r>
        <w:rPr>
          <w:rFonts w:hint="eastAsia" w:hAnsi="宋体" w:cs="宋体"/>
          <w:b/>
          <w:highlight w:val="none"/>
        </w:rPr>
        <w:t xml:space="preserve">二、合同文件组成</w:t>
      </w:r>
      <w:r/>
    </w:p>
    <w:p>
      <w:pPr>
        <w:pStyle w:val="1026"/>
        <w:ind w:firstLine="480"/>
        <w:spacing w:line="360" w:lineRule="auto"/>
        <w:rPr>
          <w:rFonts w:hAnsi="宋体" w:cs="宋体"/>
        </w:rPr>
      </w:pPr>
      <w:r>
        <w:rPr>
          <w:rFonts w:hint="eastAsia" w:hAnsi="宋体" w:cs="宋体"/>
        </w:rPr>
        <w:t xml:space="preserve">合同文件应能互相解释，互为说明，其组成如下：</w:t>
      </w:r>
      <w:r/>
    </w:p>
    <w:p>
      <w:pPr>
        <w:pStyle w:val="1026"/>
        <w:ind w:firstLine="480"/>
        <w:spacing w:line="360" w:lineRule="auto"/>
        <w:rPr>
          <w:rFonts w:hAnsi="宋体" w:cs="宋体"/>
        </w:rPr>
      </w:pPr>
      <w:r>
        <w:rPr>
          <w:rFonts w:hint="eastAsia" w:hAnsi="宋体" w:cs="宋体"/>
        </w:rPr>
        <w:t xml:space="preserve">1.合同相关的补充协议；</w:t>
      </w:r>
      <w:r/>
    </w:p>
    <w:p>
      <w:pPr>
        <w:pStyle w:val="1026"/>
        <w:ind w:firstLine="480"/>
        <w:spacing w:line="360" w:lineRule="auto"/>
        <w:rPr>
          <w:rFonts w:hAnsi="宋体" w:cs="宋体"/>
        </w:rPr>
      </w:pPr>
      <w:r>
        <w:rPr>
          <w:rFonts w:hint="eastAsia" w:hAnsi="宋体" w:cs="宋体"/>
        </w:rPr>
        <w:t xml:space="preserve">2.本合同协议书；</w:t>
      </w:r>
      <w:r/>
    </w:p>
    <w:p>
      <w:pPr>
        <w:pStyle w:val="1026"/>
        <w:ind w:firstLine="480"/>
        <w:spacing w:line="360" w:lineRule="auto"/>
        <w:rPr>
          <w:rFonts w:hAnsi="宋体" w:cs="宋体"/>
        </w:rPr>
      </w:pPr>
      <w:r>
        <w:rPr>
          <w:rFonts w:hint="eastAsia" w:hAnsi="宋体" w:cs="宋体"/>
        </w:rPr>
        <w:t xml:space="preserve">3.中标通知书；</w:t>
      </w:r>
      <w:r/>
    </w:p>
    <w:p>
      <w:pPr>
        <w:pStyle w:val="1026"/>
        <w:ind w:firstLine="480"/>
        <w:spacing w:line="360" w:lineRule="auto"/>
        <w:rPr>
          <w:rFonts w:hAnsi="宋体" w:cs="宋体"/>
        </w:rPr>
      </w:pPr>
      <w:r>
        <w:rPr>
          <w:rFonts w:hint="eastAsia" w:hAnsi="宋体" w:cs="宋体"/>
        </w:rPr>
        <w:t xml:space="preserve">4.招标文件及相关说明；</w:t>
      </w:r>
      <w:r/>
    </w:p>
    <w:p>
      <w:pPr>
        <w:pStyle w:val="1026"/>
        <w:ind w:firstLine="480"/>
        <w:spacing w:line="360" w:lineRule="auto"/>
        <w:rPr>
          <w:rFonts w:hAnsi="宋体" w:cs="宋体"/>
        </w:rPr>
      </w:pPr>
      <w:r>
        <w:rPr>
          <w:rFonts w:hint="eastAsia" w:hAnsi="宋体" w:cs="宋体"/>
        </w:rPr>
        <w:t xml:space="preserve">5.投标文件及相关说明；</w:t>
      </w:r>
      <w:r/>
    </w:p>
    <w:p>
      <w:pPr>
        <w:pStyle w:val="1026"/>
        <w:ind w:firstLine="480"/>
        <w:spacing w:line="360" w:lineRule="auto"/>
        <w:rPr>
          <w:rFonts w:hAnsi="宋体" w:cs="宋体"/>
        </w:rPr>
      </w:pPr>
      <w:r>
        <w:rPr>
          <w:rFonts w:hint="eastAsia" w:hAnsi="宋体" w:cs="宋体"/>
        </w:rPr>
        <w:t xml:space="preserve">6.乙方在招投标过程中所作的其它承诺、声明、书面澄清等</w:t>
      </w:r>
      <w:r/>
    </w:p>
    <w:p>
      <w:pPr>
        <w:pStyle w:val="1026"/>
        <w:ind w:firstLine="480"/>
        <w:spacing w:line="360" w:lineRule="auto"/>
        <w:rPr>
          <w:rFonts w:hAnsi="宋体" w:cs="宋体"/>
        </w:rPr>
      </w:pPr>
      <w:r>
        <w:rPr>
          <w:rFonts w:hint="eastAsia" w:hAnsi="宋体" w:cs="宋体"/>
        </w:rPr>
        <w:t xml:space="preserve">当合同文件出现含糊不清或不相一致，按以上优先顺序进行解释。</w:t>
      </w:r>
      <w:r/>
    </w:p>
    <w:p>
      <w:pPr>
        <w:pStyle w:val="1026"/>
        <w:ind w:firstLine="482"/>
        <w:spacing w:line="360" w:lineRule="auto"/>
        <w:rPr>
          <w:rFonts w:hAnsi="宋体" w:cs="宋体"/>
          <w:b/>
        </w:rPr>
      </w:pPr>
      <w:r>
        <w:rPr>
          <w:rFonts w:hint="eastAsia" w:hAnsi="宋体" w:cs="宋体"/>
          <w:b/>
        </w:rPr>
        <w:t xml:space="preserve">三、技术要求</w:t>
      </w:r>
      <w:r/>
    </w:p>
    <w:p>
      <w:pPr>
        <w:pStyle w:val="1026"/>
        <w:ind w:firstLine="480"/>
        <w:spacing w:line="360" w:lineRule="auto"/>
        <w:rPr>
          <w:rFonts w:hAnsi="宋体" w:cs="宋体"/>
        </w:rPr>
      </w:pPr>
      <w:r>
        <w:rPr>
          <w:rFonts w:hint="eastAsia" w:hAnsi="宋体" w:cs="宋体"/>
        </w:rPr>
        <w:t xml:space="preserve">乙方所进行的</w:t>
      </w:r>
      <w:r>
        <w:rPr>
          <w:rFonts w:hint="eastAsia" w:hAnsi="宋体" w:cs="宋体"/>
          <w:bCs/>
        </w:rPr>
        <w:t xml:space="preserve">管道疏通清洗、污泥外运、井下作业、排水管道检测、临时导水等技术要求应</w:t>
      </w:r>
      <w:r>
        <w:rPr>
          <w:rFonts w:hint="eastAsia" w:hAnsi="宋体" w:cs="宋体"/>
        </w:rPr>
        <w:t xml:space="preserve">按照招标文件规定的技术要求及相关规范制度执行。排水管道检测视频质量需满足应满足《城镇排水管道检测与评估技术规程》CJJ181-2012和</w:t>
      </w:r>
      <w:r>
        <w:rPr>
          <w:rFonts w:hint="eastAsia" w:hAnsi="宋体" w:cs="宋体"/>
          <w:bCs/>
        </w:rPr>
        <w:t xml:space="preserve">《常州市排水管道视频检测技术要求》</w:t>
      </w:r>
      <w:r>
        <w:rPr>
          <w:rFonts w:hint="eastAsia" w:hAnsi="宋体" w:cs="宋体"/>
        </w:rPr>
        <w:t xml:space="preserve">要求。</w:t>
      </w:r>
      <w:r/>
    </w:p>
    <w:p>
      <w:pPr>
        <w:ind w:firstLine="482"/>
        <w:spacing w:line="360" w:lineRule="auto"/>
        <w:rPr>
          <w:rFonts w:ascii="宋体" w:hAnsi="宋体" w:cs="宋体"/>
          <w:b/>
          <w:bCs/>
          <w:sz w:val="24"/>
        </w:rPr>
      </w:pPr>
      <w:r>
        <w:rPr>
          <w:rFonts w:hint="eastAsia" w:ascii="宋体" w:hAnsi="宋体" w:cs="宋体"/>
          <w:b/>
          <w:bCs/>
          <w:sz w:val="24"/>
        </w:rPr>
        <w:t xml:space="preserve">1.管道疏通清洗要求</w:t>
      </w:r>
      <w:r/>
    </w:p>
    <w:p>
      <w:pPr>
        <w:ind w:firstLine="480"/>
        <w:spacing w:line="360" w:lineRule="auto"/>
        <w:rPr>
          <w:rFonts w:ascii="宋体" w:hAnsi="宋体" w:cs="宋体"/>
          <w:sz w:val="24"/>
        </w:rPr>
      </w:pPr>
      <w:r>
        <w:rPr>
          <w:rFonts w:hint="eastAsia" w:ascii="宋体" w:hAnsi="宋体" w:cs="宋体"/>
          <w:sz w:val="24"/>
        </w:rPr>
        <w:t xml:space="preserve">（1）管道疏通清洗应按照《城镇排水管渠与泵站运行、维护及安全技术规程》CJJ68-2016、《城镇排水管道维护安全技术规程》CJJ6-2009、《城镇排水管道检测与评估技术规程》CJJ181-2012和《常州市排水管道视频检测技术要求》的要求执行。</w:t>
      </w:r>
      <w:r/>
    </w:p>
    <w:p>
      <w:pPr>
        <w:ind w:firstLine="480"/>
        <w:spacing w:line="360" w:lineRule="auto"/>
        <w:rPr>
          <w:rFonts w:ascii="宋体" w:hAnsi="宋体" w:cs="宋体"/>
          <w:sz w:val="24"/>
        </w:rPr>
      </w:pPr>
      <w:r>
        <w:rPr>
          <w:rFonts w:hint="eastAsia" w:ascii="宋体" w:hAnsi="宋体" w:cs="宋体"/>
          <w:sz w:val="24"/>
        </w:rPr>
        <w:t xml:space="preserve">（2）管道内垃圾（包括泥浆块、硬质沉淀物、混凝土、沥青、砖块等）应全部清除干净，特殊工况需说明情况；管道疏通清洗的质量应满足视频检测的要求，能清晰显示各类缺陷。管壁不得有油脂、淤泥、污垢等影响缺陷判别的附着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（3）检查井井壁应清洗干净，无明显附着物。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（4）本项目时间紧任务重，项目正式开工后，须按甲方布置的任务要求合理安排好人员、机械投入，保质保量完成工作任务。</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2.垃圾处理和外运</w:t>
      </w:r>
      <w:r/>
    </w:p>
    <w:p>
      <w:pPr>
        <w:ind w:firstLine="480"/>
        <w:spacing w:line="360" w:lineRule="auto"/>
        <w:rPr>
          <w:rFonts w:ascii="宋体" w:hAnsi="宋体" w:cs="宋体"/>
          <w:sz w:val="24"/>
        </w:rPr>
      </w:pPr>
      <w:r>
        <w:rPr>
          <w:rFonts w:hint="eastAsia" w:ascii="宋体" w:hAnsi="宋体" w:cs="宋体"/>
          <w:sz w:val="24"/>
        </w:rPr>
        <w:t xml:space="preserve">（1）垃圾和淤泥运输必须符合环保、卫生、城管等部门的管理要求，并运输至甲方指定场所（市内）。每天做好泥量统计，对于建筑砖块、石块、侧石、混凝土枝浆块等大型垃圾，做好冲洗和筛分剔除。</w:t>
      </w:r>
      <w:r/>
    </w:p>
    <w:p>
      <w:pPr>
        <w:ind w:firstLine="480"/>
        <w:spacing w:line="360" w:lineRule="auto"/>
        <w:rPr>
          <w:rFonts w:ascii="宋体" w:hAnsi="宋体" w:cs="宋体"/>
          <w:sz w:val="24"/>
        </w:rPr>
      </w:pPr>
      <w:r>
        <w:rPr>
          <w:rFonts w:hint="eastAsia" w:ascii="宋体" w:hAnsi="宋体" w:cs="宋体"/>
          <w:sz w:val="24"/>
        </w:rPr>
        <w:t xml:space="preserve">（2）作业现场要做到人走场清，垃圾不得随意丢弃在路边及绿化带中。</w:t>
      </w:r>
      <w:r/>
    </w:p>
    <w:p>
      <w:pPr>
        <w:ind w:firstLine="480"/>
        <w:spacing w:line="360" w:lineRule="auto"/>
        <w:rPr>
          <w:rFonts w:ascii="宋体" w:hAnsi="宋体" w:cs="宋体"/>
          <w:sz w:val="24"/>
        </w:rPr>
      </w:pPr>
      <w:r>
        <w:rPr>
          <w:rFonts w:hint="eastAsia" w:ascii="宋体" w:hAnsi="宋体" w:cs="宋体"/>
          <w:sz w:val="24"/>
        </w:rPr>
        <w:t xml:space="preserve">（3）垃圾运输过程要全程可查、不得随意丢弃，甲方可随时检查运输车辆和运输线路。</w:t>
      </w:r>
      <w:r/>
    </w:p>
    <w:p>
      <w:pPr>
        <w:ind w:firstLine="480"/>
        <w:spacing w:line="360" w:lineRule="auto"/>
        <w:rPr>
          <w:rFonts w:ascii="宋体" w:hAnsi="宋体" w:cs="宋体"/>
          <w:sz w:val="24"/>
        </w:rPr>
      </w:pPr>
      <w:r>
        <w:rPr>
          <w:rFonts w:hint="eastAsia" w:ascii="宋体" w:hAnsi="宋体" w:cs="宋体"/>
          <w:sz w:val="24"/>
        </w:rPr>
        <w:t xml:space="preserve">（4）垃圾清理、装载、运输、卸载过程不得“跑、冒、滴，漏”，不得对环境造成不良影响。</w:t>
      </w:r>
      <w:r/>
    </w:p>
    <w:p>
      <w:pPr>
        <w:ind w:firstLine="482"/>
        <w:spacing w:line="360" w:lineRule="auto"/>
        <w:rPr>
          <w:rFonts w:ascii="宋体" w:hAnsi="宋体" w:cs="宋体"/>
          <w:b/>
          <w:bCs/>
          <w:sz w:val="24"/>
        </w:rPr>
      </w:pPr>
      <w:r>
        <w:rPr>
          <w:rFonts w:hint="eastAsia" w:ascii="宋体" w:hAnsi="宋体" w:cs="宋体"/>
          <w:b/>
          <w:bCs/>
          <w:sz w:val="24"/>
        </w:rPr>
        <w:t xml:space="preserve">3.井下作业要求</w:t>
      </w:r>
      <w:r/>
    </w:p>
    <w:p>
      <w:pPr>
        <w:ind w:firstLine="480"/>
        <w:spacing w:line="360" w:lineRule="auto"/>
        <w:rPr>
          <w:rFonts w:ascii="宋体" w:hAnsi="宋体" w:cs="宋体"/>
          <w:sz w:val="24"/>
        </w:rPr>
      </w:pPr>
      <w:r>
        <w:rPr>
          <w:rFonts w:hint="eastAsia" w:ascii="宋体" w:hAnsi="宋体" w:cs="宋体"/>
          <w:sz w:val="24"/>
        </w:rPr>
        <w:t xml:space="preserve">（1）井下作业应按照《城镇排水管道维护安全技术规程》CJJ6-2009、《常州市排水管理处有限空间作业安全管理规定》的要求执行。</w:t>
      </w:r>
      <w:r/>
    </w:p>
    <w:p>
      <w:pPr>
        <w:ind w:firstLine="480"/>
        <w:spacing w:line="360" w:lineRule="auto"/>
        <w:rPr>
          <w:rFonts w:ascii="宋体" w:hAnsi="宋体" w:cs="宋体"/>
          <w:sz w:val="24"/>
        </w:rPr>
      </w:pPr>
      <w:r>
        <w:rPr>
          <w:rFonts w:hint="eastAsia" w:ascii="宋体" w:hAnsi="宋体" w:cs="宋体"/>
          <w:sz w:val="24"/>
        </w:rPr>
        <w:t xml:space="preserve">（2）从事潜水作业的潜水作业人员必须持证上岗，具备相应的特种作业资质。</w:t>
      </w:r>
      <w:r/>
    </w:p>
    <w:p>
      <w:pPr>
        <w:ind w:firstLine="480"/>
        <w:spacing w:line="360" w:lineRule="auto"/>
        <w:rPr>
          <w:rFonts w:ascii="宋体" w:hAnsi="宋体" w:cs="宋体"/>
          <w:sz w:val="24"/>
        </w:rPr>
      </w:pPr>
      <w:r>
        <w:rPr>
          <w:rFonts w:hint="eastAsia" w:ascii="宋体" w:hAnsi="宋体" w:cs="宋体"/>
          <w:sz w:val="24"/>
        </w:rPr>
        <w:t xml:space="preserve">（3）下井作业人员必须经过专业安全技术培训、考核，具备下井作业资格。</w:t>
      </w:r>
      <w:r/>
    </w:p>
    <w:p>
      <w:pPr>
        <w:ind w:firstLine="480"/>
        <w:spacing w:line="360" w:lineRule="auto"/>
        <w:rPr>
          <w:rFonts w:ascii="宋体" w:hAnsi="宋体" w:cs="宋体"/>
          <w:sz w:val="24"/>
        </w:rPr>
      </w:pPr>
      <w:r>
        <w:rPr>
          <w:rFonts w:hint="eastAsia" w:ascii="宋体" w:hAnsi="宋体" w:cs="宋体"/>
          <w:sz w:val="24"/>
        </w:rPr>
        <w:t xml:space="preserve">（4）下井作业前必须检测管道内有毒有害气体含量并做好记录，井下作业时应佩戴便携式有毒有害气体检测仪。</w:t>
      </w:r>
      <w:r/>
    </w:p>
    <w:p>
      <w:pPr>
        <w:ind w:firstLine="480"/>
        <w:spacing w:line="360" w:lineRule="auto"/>
        <w:rPr>
          <w:rFonts w:ascii="宋体" w:hAnsi="宋体" w:cs="宋体"/>
          <w:sz w:val="24"/>
        </w:rPr>
      </w:pPr>
      <w:r>
        <w:rPr>
          <w:rFonts w:hint="eastAsia" w:ascii="宋体" w:hAnsi="宋体" w:cs="宋体"/>
          <w:sz w:val="24"/>
        </w:rPr>
        <w:t xml:space="preserve">（5）下井作业必须履行审批手续，执行下井作业许可制度。</w:t>
      </w:r>
      <w:r/>
    </w:p>
    <w:p>
      <w:pPr>
        <w:ind w:firstLine="480"/>
        <w:spacing w:line="360" w:lineRule="auto"/>
        <w:rPr>
          <w:rFonts w:ascii="宋体" w:hAnsi="宋体" w:cs="宋体"/>
          <w:sz w:val="24"/>
        </w:rPr>
      </w:pPr>
      <w:r>
        <w:rPr>
          <w:rFonts w:hint="eastAsia" w:ascii="宋体" w:hAnsi="宋体" w:cs="宋体"/>
          <w:sz w:val="24"/>
        </w:rPr>
        <w:t xml:space="preserve">（6）管径小于800mm严禁作业人员进入管道；下井作业人员连续作业时间不得超过1h。</w:t>
      </w:r>
      <w:r/>
    </w:p>
    <w:p>
      <w:pPr>
        <w:ind w:firstLine="482"/>
        <w:spacing w:line="360" w:lineRule="auto"/>
        <w:rPr>
          <w:rFonts w:ascii="宋体" w:hAnsi="宋体" w:cs="宋体"/>
          <w:b/>
          <w:bCs/>
          <w:sz w:val="24"/>
        </w:rPr>
      </w:pPr>
      <w:r>
        <w:rPr>
          <w:rFonts w:hint="eastAsia" w:ascii="宋体" w:hAnsi="宋体" w:cs="宋体"/>
          <w:b/>
          <w:bCs/>
          <w:sz w:val="24"/>
        </w:rPr>
        <w:t xml:space="preserve">4.排水管道检测要求</w:t>
      </w:r>
      <w:r/>
    </w:p>
    <w:p>
      <w:pPr>
        <w:ind w:firstLine="480"/>
        <w:spacing w:line="360" w:lineRule="auto"/>
        <w:rPr>
          <w:rFonts w:ascii="宋体" w:hAnsi="宋体" w:cs="宋体"/>
          <w:sz w:val="24"/>
        </w:rPr>
      </w:pPr>
      <w:r>
        <w:rPr>
          <w:rFonts w:hint="eastAsia" w:ascii="宋体" w:hAnsi="宋体" w:cs="宋体"/>
          <w:sz w:val="24"/>
        </w:rPr>
        <w:t xml:space="preserve">（1）排水管道检测总体要求</w:t>
      </w:r>
      <w:r/>
    </w:p>
    <w:p>
      <w:pPr>
        <w:ind w:firstLine="480"/>
        <w:spacing w:line="360" w:lineRule="auto"/>
        <w:rPr>
          <w:rFonts w:ascii="宋体" w:hAnsi="宋体" w:cs="宋体"/>
          <w:bCs/>
          <w:sz w:val="24"/>
        </w:rPr>
      </w:pPr>
      <w:r>
        <w:rPr>
          <w:rFonts w:ascii="宋体" w:hAnsi="宋体" w:cs="宋体"/>
          <w:sz w:val="24"/>
        </w:rPr>
        <w:fldChar w:fldCharType="begin"/>
      </w:r>
      <w:r>
        <w:rPr>
          <w:rFonts w:hint="eastAsia" w:ascii="宋体" w:hAnsi="宋体" w:cs="宋体"/>
          <w:sz w:val="24"/>
        </w:rPr>
        <w:instrText xml:space="preserve">= 1 \* GB3</w:instrText>
      </w:r>
      <w:r>
        <w:rPr>
          <w:rFonts w:ascii="宋体" w:hAnsi="宋体" w:cs="宋体"/>
          <w:sz w:val="24"/>
        </w:rPr>
        <w:fldChar w:fldCharType="separate"/>
      </w:r>
      <w:r>
        <w:rPr>
          <w:rFonts w:hint="eastAsia" w:ascii="宋体" w:hAnsi="宋体" w:cs="宋体"/>
          <w:sz w:val="24"/>
        </w:rPr>
        <w:t xml:space="preserve">①</w:t>
      </w:r>
      <w:r>
        <w:rPr>
          <w:rFonts w:ascii="宋体" w:hAnsi="宋体" w:cs="宋体"/>
          <w:sz w:val="24"/>
        </w:rPr>
        <w:fldChar w:fldCharType="end"/>
      </w:r>
      <w:r>
        <w:rPr>
          <w:rFonts w:hint="eastAsia" w:ascii="宋体" w:hAnsi="宋体" w:cs="宋体"/>
          <w:sz w:val="24"/>
        </w:rPr>
        <w:t xml:space="preserve">排水管道检测应满足《城镇排水管道检测与评估技术规程》CJJ181-2012和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要求。</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2 \* GB3</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当对每一管段检测前，检测录像资料开始时，应编写并录制检测影像资料版头（主要包括：任务名称、检测地点、检测日期、起始井编号-结束井编号、管材、检测单位和检测员）。对被检测管段进行文字标注，使用检测设备摄影每个检查井周边明显标志物作为现场位置的参照物。</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3 \* GB3</w:instrText>
      </w:r>
      <w:r>
        <w:rPr>
          <w:rFonts w:ascii="宋体" w:hAnsi="宋体" w:cs="宋体"/>
          <w:sz w:val="24"/>
        </w:rPr>
        <w:fldChar w:fldCharType="separate"/>
      </w:r>
      <w:r>
        <w:rPr>
          <w:rFonts w:hint="eastAsia" w:ascii="宋体" w:hAnsi="宋体" w:cs="宋体"/>
          <w:sz w:val="24"/>
        </w:rPr>
        <w:t xml:space="preserve">③</w:t>
      </w:r>
      <w:r>
        <w:rPr>
          <w:rFonts w:ascii="宋体" w:hAnsi="宋体" w:cs="宋体"/>
          <w:sz w:val="24"/>
        </w:rPr>
        <w:fldChar w:fldCharType="end"/>
      </w:r>
      <w:r>
        <w:rPr>
          <w:rFonts w:hint="eastAsia" w:ascii="宋体" w:hAnsi="宋体" w:cs="宋体"/>
          <w:sz w:val="24"/>
        </w:rPr>
        <w:t xml:space="preserve">采用专用工具测量管径，并用检测设备摄影记录在录像资料里；每一管段检测时，在检测设备后退撤离管道直至检测设备拿出检查井口前，不能暂停、中断。</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4 \* GB3</w:instrText>
      </w:r>
      <w:r>
        <w:rPr>
          <w:rFonts w:ascii="宋体" w:hAnsi="宋体" w:cs="宋体"/>
          <w:sz w:val="24"/>
        </w:rPr>
        <w:fldChar w:fldCharType="separate"/>
      </w:r>
      <w:r>
        <w:rPr>
          <w:rFonts w:hint="eastAsia" w:ascii="宋体" w:hAnsi="宋体" w:cs="宋体"/>
          <w:sz w:val="24"/>
        </w:rPr>
        <w:t xml:space="preserve">④</w:t>
      </w:r>
      <w:r>
        <w:rPr>
          <w:rFonts w:ascii="宋体" w:hAnsi="宋体" w:cs="宋体"/>
          <w:sz w:val="24"/>
        </w:rPr>
        <w:fldChar w:fldCharType="end"/>
      </w:r>
      <w:r>
        <w:rPr>
          <w:rFonts w:hint="eastAsia" w:ascii="宋体" w:hAnsi="宋体" w:cs="宋体"/>
          <w:sz w:val="24"/>
        </w:rPr>
        <w:t xml:space="preserve">排水管道检测应按合同要求完成全部检测任务，妥善保存全部原始视频检测资料，并按要求及时提交。检测视频应清晰、不得删减、篡改或替换。</w:t>
      </w:r>
      <w:r/>
    </w:p>
    <w:p>
      <w:pPr>
        <w:ind w:firstLine="480"/>
        <w:spacing w:line="360" w:lineRule="auto"/>
        <w:rPr>
          <w:rFonts w:ascii="宋体" w:hAnsi="宋体" w:cs="宋体"/>
          <w:sz w:val="24"/>
        </w:rPr>
      </w:pPr>
      <w:r>
        <w:rPr>
          <w:rFonts w:hint="eastAsia" w:ascii="宋体" w:hAnsi="宋体" w:cs="宋体"/>
          <w:sz w:val="24"/>
        </w:rPr>
        <w:t xml:space="preserve">（2）CCTV检测要求</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1 \* GB3</w:instrText>
      </w:r>
      <w:r>
        <w:rPr>
          <w:rFonts w:ascii="宋体" w:hAnsi="宋体" w:cs="宋体"/>
          <w:sz w:val="24"/>
        </w:rPr>
        <w:fldChar w:fldCharType="separate"/>
      </w:r>
      <w:r>
        <w:rPr>
          <w:rFonts w:hint="eastAsia" w:ascii="宋体" w:hAnsi="宋体" w:cs="宋体"/>
          <w:sz w:val="24"/>
        </w:rPr>
        <w:t xml:space="preserve">①</w:t>
      </w:r>
      <w:r>
        <w:rPr>
          <w:rFonts w:ascii="宋体" w:hAnsi="宋体" w:cs="宋体"/>
          <w:sz w:val="24"/>
        </w:rPr>
        <w:fldChar w:fldCharType="end"/>
      </w:r>
      <w:r>
        <w:rPr>
          <w:rFonts w:hint="eastAsia" w:ascii="宋体" w:hAnsi="宋体" w:cs="宋体"/>
          <w:sz w:val="24"/>
        </w:rPr>
        <w:t xml:space="preserve">视频检测原则上不应带水作业。当现场条件无法满足时，应采取降低水位措施，确保排水管道内水位不大于管道直径的20%。如应现场条件等客观因素影响，经发包人审批，可采用漂流机器人检测。</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2 \* GB3</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严格控制检测机器前进速度。管径大于200mm时，直向摄影的行进速度不宜超过0.15m/s。</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3 \* GB3</w:instrText>
      </w:r>
      <w:r>
        <w:rPr>
          <w:rFonts w:ascii="宋体" w:hAnsi="宋体" w:cs="宋体"/>
          <w:sz w:val="24"/>
        </w:rPr>
        <w:fldChar w:fldCharType="separate"/>
      </w:r>
      <w:r>
        <w:rPr>
          <w:rFonts w:hint="eastAsia" w:ascii="宋体" w:hAnsi="宋体" w:cs="宋体"/>
          <w:sz w:val="24"/>
        </w:rPr>
        <w:t xml:space="preserve">③</w:t>
      </w:r>
      <w:r>
        <w:rPr>
          <w:rFonts w:ascii="宋体" w:hAnsi="宋体" w:cs="宋体"/>
          <w:sz w:val="24"/>
        </w:rPr>
        <w:fldChar w:fldCharType="end"/>
      </w:r>
      <w:r>
        <w:rPr>
          <w:rFonts w:hint="eastAsia" w:ascii="宋体" w:hAnsi="宋体" w:cs="宋体"/>
          <w:sz w:val="24"/>
        </w:rPr>
        <w:t xml:space="preserve">检测时摄像镜头移动轨迹应在管道中轴线上，偏离度不应大于管径的±10%。当对特殊形状的管道进行检测时，应适当调整摄像头位置并获得最佳图像。如管径大于D1000时，应采用升降式、支架式等CCTV检测设备进行检测，确保镜头轨迹在管道中轴线上。</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4 \* GB3</w:instrText>
      </w:r>
      <w:r>
        <w:rPr>
          <w:rFonts w:ascii="宋体" w:hAnsi="宋体" w:cs="宋体"/>
          <w:sz w:val="24"/>
        </w:rPr>
        <w:fldChar w:fldCharType="separate"/>
      </w:r>
      <w:r>
        <w:rPr>
          <w:rFonts w:hint="eastAsia" w:ascii="宋体" w:hAnsi="宋体" w:cs="宋体"/>
          <w:sz w:val="24"/>
        </w:rPr>
        <w:t xml:space="preserve">④</w:t>
      </w:r>
      <w:r>
        <w:rPr>
          <w:rFonts w:ascii="宋体" w:hAnsi="宋体" w:cs="宋体"/>
          <w:sz w:val="24"/>
        </w:rPr>
        <w:fldChar w:fldCharType="end"/>
      </w:r>
      <w:r>
        <w:rPr>
          <w:rFonts w:hint="eastAsia" w:ascii="宋体" w:hAnsi="宋体" w:cs="宋体"/>
          <w:sz w:val="24"/>
        </w:rPr>
        <w:t xml:space="preserve">计数器归零后应对管道轴线进行拍摄，定点观察对面检查井管口是否完整，观察时至少停止10s。在检测过程中发现缺陷时，调节镜头焦距和角度使爬行器在完全能够解析缺陷，提高缺陷的分辨率，同时缺陷拍摄时间至少10s，确保所拍摄的图像清晰完整。</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5 \* GB3</w:instrText>
      </w:r>
      <w:r>
        <w:rPr>
          <w:rFonts w:ascii="宋体" w:hAnsi="宋体" w:cs="宋体"/>
          <w:sz w:val="24"/>
        </w:rPr>
        <w:fldChar w:fldCharType="separate"/>
      </w:r>
      <w:r>
        <w:rPr>
          <w:rFonts w:hint="eastAsia" w:ascii="宋体" w:hAnsi="宋体" w:cs="宋体"/>
          <w:sz w:val="24"/>
        </w:rPr>
        <w:t xml:space="preserve">⑤</w:t>
      </w:r>
      <w:r>
        <w:rPr>
          <w:rFonts w:ascii="宋体" w:hAnsi="宋体" w:cs="宋体"/>
          <w:sz w:val="24"/>
        </w:rPr>
        <w:fldChar w:fldCharType="end"/>
      </w:r>
      <w:r>
        <w:rPr>
          <w:rFonts w:hint="eastAsia" w:ascii="宋体" w:hAnsi="宋体" w:cs="宋体"/>
          <w:sz w:val="24"/>
        </w:rPr>
        <w:t xml:space="preserve">现场排水管道检测使用的检测设备，其安全性能应符合现行国家标准《爆炸性气体环境用电设备》GB3836的有关规定。</w:t>
      </w:r>
      <w:r/>
    </w:p>
    <w:p>
      <w:pPr>
        <w:ind w:firstLine="482"/>
        <w:spacing w:line="360" w:lineRule="auto"/>
        <w:rPr>
          <w:rFonts w:ascii="宋体" w:hAnsi="宋体" w:cs="宋体"/>
          <w:b/>
          <w:bCs/>
          <w:sz w:val="24"/>
        </w:rPr>
      </w:pPr>
      <w:r>
        <w:rPr>
          <w:rFonts w:hint="eastAsia" w:ascii="宋体" w:hAnsi="宋体" w:cs="宋体"/>
          <w:b/>
          <w:bCs/>
          <w:sz w:val="24"/>
        </w:rPr>
        <w:t xml:space="preserve">5.封堵和拆除要求</w:t>
      </w:r>
      <w:r/>
    </w:p>
    <w:p>
      <w:pPr>
        <w:ind w:firstLine="480"/>
        <w:spacing w:line="360" w:lineRule="auto"/>
        <w:rPr>
          <w:rFonts w:ascii="宋体" w:hAnsi="宋体" w:cs="宋体"/>
          <w:sz w:val="24"/>
        </w:rPr>
      </w:pPr>
      <w:r>
        <w:rPr>
          <w:rFonts w:hint="eastAsia" w:ascii="宋体" w:hAnsi="宋体" w:cs="宋体"/>
          <w:sz w:val="24"/>
        </w:rPr>
        <w:t xml:space="preserve">（1）当气囊使用方案中预计气囊前后最大水位差大于3米时禁止使用气囊。气囊在使用过程中应密切关注其前后水位差，必要时应采用水泵抽水的方式保证其前后水位差不大于3米。</w:t>
      </w:r>
      <w:r/>
    </w:p>
    <w:p>
      <w:pPr>
        <w:ind w:firstLine="480"/>
        <w:spacing w:line="360" w:lineRule="auto"/>
        <w:rPr>
          <w:rFonts w:ascii="宋体" w:hAnsi="宋体" w:cs="宋体"/>
          <w:sz w:val="24"/>
        </w:rPr>
      </w:pPr>
      <w:r>
        <w:rPr>
          <w:rFonts w:hint="eastAsia" w:ascii="宋体" w:hAnsi="宋体" w:cs="宋体"/>
          <w:sz w:val="24"/>
        </w:rPr>
        <w:t xml:space="preserve">（2）气囊在下井前应检查管道垃圾情况，发现垃圾特别是硬质应清理干净，否则禁止气囊下井。</w:t>
      </w:r>
      <w:r/>
    </w:p>
    <w:p>
      <w:pPr>
        <w:ind w:firstLine="480"/>
        <w:spacing w:line="360" w:lineRule="auto"/>
        <w:rPr>
          <w:rFonts w:ascii="宋体" w:hAnsi="宋体" w:cs="宋体"/>
          <w:sz w:val="24"/>
        </w:rPr>
      </w:pPr>
      <w:r>
        <w:rPr>
          <w:rFonts w:hint="eastAsia" w:ascii="宋体" w:hAnsi="宋体" w:cs="宋体"/>
          <w:sz w:val="24"/>
        </w:rPr>
        <w:t xml:space="preserve">（3）在拆除气囊前应检查气囊前后水位差，在条件允许的情况下应保持零水位差，特殊情况下水位差最大不得大于1米。水位差不满足要求时应采用水泵抽水或灌水的方式降低水位差。</w:t>
      </w:r>
      <w:r/>
    </w:p>
    <w:p>
      <w:pPr>
        <w:ind w:firstLine="480"/>
        <w:spacing w:line="360" w:lineRule="auto"/>
        <w:rPr>
          <w:rFonts w:ascii="宋体" w:hAnsi="宋体" w:cs="宋体"/>
          <w:sz w:val="24"/>
        </w:rPr>
      </w:pPr>
      <w:r>
        <w:rPr>
          <w:rFonts w:hint="eastAsia" w:ascii="宋体" w:hAnsi="宋体" w:cs="宋体"/>
          <w:sz w:val="24"/>
        </w:rPr>
        <w:t xml:space="preserve">（4）砖砌等其他方式封堵管道参照气囊安全要求进行。</w:t>
      </w:r>
      <w:r/>
    </w:p>
    <w:p>
      <w:pPr>
        <w:ind w:firstLine="480"/>
        <w:spacing w:line="360" w:lineRule="auto"/>
        <w:rPr>
          <w:rFonts w:ascii="宋体" w:hAnsi="宋体" w:cs="宋体"/>
          <w:sz w:val="24"/>
        </w:rPr>
      </w:pPr>
      <w:r>
        <w:rPr>
          <w:rFonts w:hint="eastAsia" w:ascii="宋体" w:hAnsi="宋体" w:cs="宋体"/>
          <w:sz w:val="24"/>
        </w:rPr>
        <w:t xml:space="preserve">（5）如遇强降雨影响管道排水时，封堵应及时拆除，不得影响防汛安全。</w:t>
      </w:r>
      <w:r/>
    </w:p>
    <w:p>
      <w:pPr>
        <w:ind w:firstLine="482"/>
        <w:spacing w:line="360" w:lineRule="auto"/>
        <w:rPr>
          <w:rFonts w:ascii="宋体" w:hAnsi="宋体" w:cs="宋体"/>
          <w:b/>
          <w:bCs/>
          <w:sz w:val="24"/>
        </w:rPr>
      </w:pPr>
      <w:r>
        <w:rPr>
          <w:rFonts w:hint="eastAsia" w:ascii="宋体" w:hAnsi="宋体" w:cs="宋体"/>
          <w:b/>
          <w:bCs/>
          <w:sz w:val="24"/>
        </w:rPr>
        <w:t xml:space="preserve">6.管道临时导水要求</w:t>
      </w:r>
      <w:r/>
    </w:p>
    <w:p>
      <w:pPr>
        <w:ind w:firstLine="480"/>
        <w:spacing w:line="360" w:lineRule="auto"/>
        <w:rPr>
          <w:rFonts w:ascii="宋体" w:hAnsi="宋体" w:cs="宋体"/>
          <w:sz w:val="24"/>
        </w:rPr>
      </w:pPr>
      <w:r>
        <w:rPr>
          <w:rFonts w:hint="eastAsia" w:ascii="宋体" w:hAnsi="宋体" w:cs="宋体"/>
          <w:sz w:val="24"/>
        </w:rPr>
        <w:t xml:space="preserve">（1）导水作业时，应将水翻至作业段下游，不得将污水排入雨水或者雨水排入污水；不得将污水排入河道。</w:t>
      </w:r>
      <w:r/>
    </w:p>
    <w:p>
      <w:pPr>
        <w:ind w:firstLine="480"/>
        <w:spacing w:line="360" w:lineRule="auto"/>
        <w:rPr>
          <w:rFonts w:ascii="宋体" w:hAnsi="宋体" w:cs="宋体"/>
          <w:sz w:val="24"/>
        </w:rPr>
      </w:pPr>
      <w:r>
        <w:rPr>
          <w:rFonts w:hint="eastAsia" w:ascii="宋体" w:hAnsi="宋体" w:cs="宋体"/>
          <w:sz w:val="24"/>
        </w:rPr>
        <w:t xml:space="preserve">（2）导水作业时应安排专人负责与甲方的运行部门进行对接，负责现场调度管控、水泵运行、对管网上下游水位巡查和记录等，及时掌握管道水位情况，防止出现冒溢事故。</w:t>
      </w:r>
      <w:r/>
    </w:p>
    <w:p>
      <w:pPr>
        <w:ind w:firstLine="482"/>
        <w:spacing w:line="360" w:lineRule="auto"/>
        <w:rPr>
          <w:rFonts w:ascii="宋体" w:hAnsi="宋体" w:cs="宋体"/>
          <w:b/>
          <w:sz w:val="24"/>
        </w:rPr>
      </w:pPr>
      <w:r>
        <w:rPr>
          <w:rFonts w:hint="eastAsia" w:ascii="宋体" w:hAnsi="宋体" w:cs="宋体"/>
          <w:b/>
          <w:sz w:val="24"/>
        </w:rPr>
        <w:t xml:space="preserve">四、管理要求</w:t>
      </w:r>
      <w:r/>
    </w:p>
    <w:p>
      <w:pPr>
        <w:ind w:firstLine="482"/>
        <w:spacing w:line="360" w:lineRule="auto"/>
        <w:rPr>
          <w:rFonts w:ascii="宋体" w:hAnsi="宋体" w:cs="宋体"/>
          <w:b/>
          <w:bCs/>
          <w:sz w:val="24"/>
        </w:rPr>
      </w:pPr>
      <w:r>
        <w:rPr>
          <w:rFonts w:hint="eastAsia" w:ascii="宋体" w:hAnsi="宋体" w:cs="宋体"/>
          <w:b/>
          <w:bCs/>
          <w:sz w:val="24"/>
        </w:rPr>
        <w:t xml:space="preserve">1.项目管理</w:t>
      </w:r>
      <w:r/>
    </w:p>
    <w:p>
      <w:pPr>
        <w:ind w:firstLine="480"/>
        <w:spacing w:line="360" w:lineRule="auto"/>
        <w:rPr>
          <w:rFonts w:ascii="宋体" w:hAnsi="宋体" w:cs="宋体"/>
          <w:sz w:val="24"/>
        </w:rPr>
      </w:pPr>
      <w:r>
        <w:rPr>
          <w:rFonts w:hint="eastAsia" w:ascii="宋体" w:hAnsi="宋体" w:cs="宋体"/>
          <w:sz w:val="24"/>
        </w:rPr>
        <w:t xml:space="preserve">乙方的项目负责人作为与本项目的唯一联络人，必须全程参与项目现场管理，及时跟进本项目进展情况，未经甲方同意不得随意更换；项目负责人必须为乙方正式职工。</w:t>
      </w:r>
      <w:r/>
    </w:p>
    <w:p>
      <w:pPr>
        <w:ind w:firstLine="482"/>
        <w:spacing w:line="360" w:lineRule="auto"/>
        <w:rPr>
          <w:rFonts w:ascii="宋体" w:hAnsi="宋体" w:cs="宋体"/>
          <w:b/>
          <w:bCs/>
          <w:sz w:val="24"/>
        </w:rPr>
      </w:pPr>
      <w:r>
        <w:rPr>
          <w:rFonts w:hint="eastAsia" w:ascii="宋体" w:hAnsi="宋体" w:cs="宋体"/>
          <w:b/>
          <w:bCs/>
          <w:sz w:val="24"/>
        </w:rPr>
        <w:t xml:space="preserve">2.安全要求（包含但不限于）</w:t>
      </w:r>
      <w:r/>
    </w:p>
    <w:p>
      <w:pPr>
        <w:ind w:firstLine="480"/>
        <w:spacing w:line="360" w:lineRule="auto"/>
        <w:rPr>
          <w:rFonts w:ascii="宋体" w:hAnsi="宋体" w:cs="宋体"/>
          <w:sz w:val="24"/>
        </w:rPr>
      </w:pPr>
      <w:r>
        <w:rPr>
          <w:rFonts w:hint="eastAsia" w:ascii="宋体" w:hAnsi="宋体" w:cs="宋体"/>
          <w:sz w:val="24"/>
        </w:rPr>
        <w:t xml:space="preserve">（1）乙方在服务期间必须严格执行</w:t>
      </w:r>
      <w:r>
        <w:rPr>
          <w:rFonts w:hint="eastAsia" w:ascii="宋体" w:hAnsi="宋体" w:cs="宋体"/>
          <w:bCs/>
          <w:sz w:val="24"/>
        </w:rPr>
        <w:t xml:space="preserve">《中华人民共和国安全生产法》、《常州市排水管理处有限空间作业安全管理规定》、《城镇排水管渠与泵站运行、维护及安全技术规程》和《城镇排水管道维护安全技术规程》等相关规定</w:t>
      </w:r>
      <w:r>
        <w:rPr>
          <w:rFonts w:hint="eastAsia" w:ascii="宋体" w:hAnsi="宋体" w:cs="宋体"/>
          <w:sz w:val="24"/>
        </w:rPr>
        <w:t xml:space="preserve">。必须认真贯彻国家和上级安全生产主管部门颁发的有关安全生产的方针、政策，严格执行有关劳动保护法规、条例、规定。</w:t>
      </w:r>
      <w:r/>
    </w:p>
    <w:p>
      <w:pPr>
        <w:ind w:firstLine="480"/>
        <w:spacing w:line="360" w:lineRule="auto"/>
        <w:rPr>
          <w:rFonts w:ascii="宋体" w:hAnsi="宋体" w:cs="宋体"/>
          <w:sz w:val="24"/>
        </w:rPr>
      </w:pPr>
      <w:r>
        <w:rPr>
          <w:rFonts w:hint="eastAsia" w:ascii="宋体" w:hAnsi="宋体" w:cs="宋体"/>
          <w:sz w:val="24"/>
        </w:rPr>
        <w:t xml:space="preserve">（2）乙方应具备安全管理人员，落实安全检查制度，安全教育培训制度等，做好特种作业人员持证上岗的管理工作。乙方必须重视安全生产的管理，加强本单位员工安全生产责任制度，提高员工的安全生产意识和自我保护能力，督促员工自觉遵守安全生产法律法规和规章制度。应制订排水管道养护、视频检测、非开挖修复、临时导水、用电等安全操作规程，作业严格按照规程执行。</w:t>
      </w:r>
      <w:r/>
    </w:p>
    <w:p>
      <w:pPr>
        <w:ind w:firstLine="480"/>
        <w:spacing w:line="360" w:lineRule="auto"/>
        <w:rPr>
          <w:rFonts w:ascii="宋体" w:hAnsi="宋体" w:cs="宋体"/>
          <w:sz w:val="24"/>
        </w:rPr>
      </w:pPr>
      <w:r>
        <w:rPr>
          <w:rFonts w:hint="eastAsia" w:ascii="宋体" w:hAnsi="宋体" w:cs="宋体"/>
          <w:sz w:val="24"/>
        </w:rPr>
        <w:t xml:space="preserve">（3）养护车辆和检测车辆在道路上作业停放时，应设置好围挡和安全警示标志；在交通繁忙路段上作业时，应避开高峰时段，优先进行夜间作业。</w:t>
      </w:r>
      <w:r/>
    </w:p>
    <w:p>
      <w:pPr>
        <w:ind w:firstLine="480"/>
        <w:spacing w:line="360" w:lineRule="auto"/>
        <w:rPr>
          <w:rFonts w:ascii="宋体" w:hAnsi="宋体" w:cs="宋体"/>
          <w:sz w:val="24"/>
        </w:rPr>
      </w:pPr>
      <w:r>
        <w:rPr>
          <w:rFonts w:hint="eastAsia" w:ascii="宋体" w:hAnsi="宋体" w:cs="宋体"/>
          <w:sz w:val="24"/>
        </w:rPr>
        <w:t xml:space="preserve">（4）管道内可能存在H</w:t>
      </w:r>
      <w:r>
        <w:rPr>
          <w:rFonts w:hint="eastAsia" w:ascii="宋体" w:hAnsi="宋体" w:cs="宋体"/>
          <w:sz w:val="24"/>
          <w:vertAlign w:val="subscript"/>
        </w:rPr>
        <w:t xml:space="preserve">2</w:t>
      </w:r>
      <w:r>
        <w:rPr>
          <w:rFonts w:hint="eastAsia" w:ascii="宋体" w:hAnsi="宋体" w:cs="宋体"/>
          <w:sz w:val="24"/>
        </w:rPr>
        <w:t xml:space="preserve">S、CO等有毒有害气体，在作业期间应采取强制通风、气体检测仪检测、正压式呼吸器等安全措施,确保安全生产。</w:t>
      </w:r>
      <w:r/>
    </w:p>
    <w:p>
      <w:pPr>
        <w:ind w:firstLine="480"/>
        <w:spacing w:line="360" w:lineRule="auto"/>
        <w:rPr>
          <w:rFonts w:ascii="宋体" w:hAnsi="宋体" w:cs="宋体"/>
          <w:sz w:val="24"/>
        </w:rPr>
      </w:pPr>
      <w:r>
        <w:rPr>
          <w:rFonts w:hint="eastAsia" w:ascii="宋体" w:hAnsi="宋体" w:cs="宋体"/>
          <w:sz w:val="24"/>
        </w:rPr>
        <w:t xml:space="preserve">（5）在作业安排中，乙方需充分考虑汛期及降雨等对项目的影响，及时跟踪天气情况。</w:t>
      </w:r>
      <w:r/>
    </w:p>
    <w:p>
      <w:pPr>
        <w:ind w:firstLine="482"/>
        <w:spacing w:line="360" w:lineRule="auto"/>
        <w:rPr>
          <w:rFonts w:ascii="宋体" w:hAnsi="宋体" w:cs="宋体"/>
          <w:b/>
          <w:bCs/>
          <w:sz w:val="24"/>
        </w:rPr>
      </w:pPr>
      <w:r>
        <w:rPr>
          <w:rFonts w:hint="eastAsia" w:ascii="宋体" w:hAnsi="宋体" w:cs="宋体"/>
          <w:b/>
          <w:bCs/>
          <w:sz w:val="24"/>
        </w:rPr>
        <w:t xml:space="preserve">3.文明施工要求</w:t>
      </w:r>
      <w:r/>
    </w:p>
    <w:p>
      <w:pPr>
        <w:ind w:firstLine="480"/>
        <w:spacing w:line="360" w:lineRule="auto"/>
        <w:rPr>
          <w:rFonts w:ascii="宋体" w:hAnsi="宋体" w:cs="宋体"/>
          <w:sz w:val="24"/>
        </w:rPr>
      </w:pPr>
      <w:r>
        <w:rPr>
          <w:rFonts w:hint="eastAsia" w:ascii="宋体" w:hAnsi="宋体" w:cs="宋体"/>
          <w:sz w:val="24"/>
        </w:rPr>
        <w:t xml:space="preserve">（1）乙方应遵守文明施工有关管理规定，采取必要的文明施工组织措施，并随时接受甲方安全检查人员的监督检查。乙方办理有关施工场地交通、环卫和施工噪音管理等手续，并承担相关费用；费用由乙方在投标报价中考虑，施工噪音引起的纠纷由乙方自行解决。</w:t>
      </w:r>
      <w:r/>
    </w:p>
    <w:p>
      <w:pPr>
        <w:ind w:firstLine="480"/>
        <w:spacing w:line="360" w:lineRule="auto"/>
        <w:rPr>
          <w:rFonts w:ascii="宋体" w:hAnsi="宋体" w:cs="宋体"/>
          <w:sz w:val="24"/>
        </w:rPr>
      </w:pPr>
      <w:r>
        <w:rPr>
          <w:rFonts w:hint="eastAsia" w:ascii="宋体" w:hAnsi="宋体" w:cs="宋体"/>
          <w:sz w:val="24"/>
        </w:rPr>
        <w:t xml:space="preserve">（2）强化作业现场管理。作业过程中，人员的着装、车辆的停放、设备器具的摆放、污泥和垃圾的堆放等须符合城管部门的相关规定。作业过程应避免对周围环境和居民的正常生活造成影响。</w:t>
      </w:r>
      <w:r/>
    </w:p>
    <w:p>
      <w:pPr>
        <w:ind w:firstLine="480"/>
        <w:spacing w:line="360" w:lineRule="auto"/>
        <w:rPr>
          <w:rFonts w:ascii="宋体" w:hAnsi="宋体" w:cs="宋体"/>
          <w:sz w:val="24"/>
        </w:rPr>
      </w:pPr>
      <w:r>
        <w:rPr>
          <w:rFonts w:hint="eastAsia" w:ascii="宋体" w:hAnsi="宋体" w:cs="宋体"/>
          <w:sz w:val="24"/>
        </w:rPr>
        <w:t xml:space="preserve">（3）施工时，现场不能随意堆放废弃物、垃圾。</w:t>
      </w:r>
      <w:r/>
    </w:p>
    <w:p>
      <w:pPr>
        <w:ind w:firstLine="480"/>
        <w:spacing w:line="360" w:lineRule="auto"/>
        <w:rPr>
          <w:rFonts w:ascii="宋体" w:hAnsi="宋体" w:cs="宋体"/>
          <w:sz w:val="24"/>
        </w:rPr>
      </w:pPr>
      <w:r>
        <w:rPr>
          <w:rFonts w:hint="eastAsia" w:ascii="宋体" w:hAnsi="宋体" w:cs="宋体"/>
          <w:sz w:val="24"/>
        </w:rPr>
        <w:t xml:space="preserve">（4）乙方要加强施工车辆的管理，施工车辆不得无故影响道路交通，必须配合好交巡警部门组织好交通工作。</w:t>
      </w:r>
      <w:r/>
    </w:p>
    <w:p>
      <w:pPr>
        <w:ind w:firstLine="482"/>
        <w:spacing w:line="360" w:lineRule="auto"/>
        <w:rPr>
          <w:rFonts w:ascii="宋体" w:hAnsi="宋体" w:cs="宋体"/>
          <w:b/>
          <w:bCs/>
          <w:sz w:val="24"/>
        </w:rPr>
      </w:pPr>
      <w:r>
        <w:rPr>
          <w:rFonts w:hint="eastAsia" w:ascii="宋体" w:hAnsi="宋体" w:cs="宋体"/>
          <w:b/>
          <w:bCs/>
          <w:sz w:val="24"/>
        </w:rPr>
        <w:t xml:space="preserve">4.夜间作业要求</w:t>
      </w:r>
      <w:r/>
    </w:p>
    <w:p>
      <w:pPr>
        <w:ind w:firstLine="480"/>
        <w:spacing w:line="360" w:lineRule="auto"/>
        <w:rPr>
          <w:rFonts w:ascii="宋体" w:hAnsi="宋体" w:cs="宋体"/>
          <w:sz w:val="24"/>
        </w:rPr>
      </w:pPr>
      <w:r>
        <w:rPr>
          <w:rFonts w:hint="eastAsia" w:ascii="宋体" w:hAnsi="宋体" w:cs="宋体"/>
          <w:sz w:val="24"/>
        </w:rPr>
        <w:t xml:space="preserve">（1）夜间作业应符合《管网所管网养护夜间作业实施细则》的规定。</w:t>
      </w:r>
      <w:r/>
    </w:p>
    <w:p>
      <w:pPr>
        <w:ind w:firstLine="480"/>
        <w:spacing w:line="360" w:lineRule="auto"/>
        <w:rPr>
          <w:rFonts w:ascii="宋体" w:hAnsi="宋体" w:cs="宋体"/>
          <w:sz w:val="24"/>
        </w:rPr>
      </w:pPr>
      <w:r>
        <w:rPr>
          <w:rFonts w:hint="eastAsia" w:ascii="宋体" w:hAnsi="宋体" w:cs="宋体"/>
          <w:sz w:val="24"/>
        </w:rPr>
        <w:t xml:space="preserve">（2）具备夜间作业能力，配备足量的夜间施工照明装备、作业服装和闪烁警示设备。</w:t>
      </w:r>
      <w:r/>
    </w:p>
    <w:p>
      <w:pPr>
        <w:ind w:firstLine="480"/>
        <w:spacing w:line="360" w:lineRule="auto"/>
        <w:rPr>
          <w:rFonts w:ascii="宋体" w:hAnsi="宋体" w:cs="宋体"/>
          <w:sz w:val="24"/>
        </w:rPr>
      </w:pPr>
      <w:r>
        <w:rPr>
          <w:rFonts w:hint="eastAsia" w:ascii="宋体" w:hAnsi="宋体" w:cs="宋体"/>
          <w:sz w:val="24"/>
        </w:rPr>
        <w:t xml:space="preserve">（3）施工现场设置明显的交通标志，安全标牌、警示灯等标志，标志具备荧光功能。夜间施工时在围护上采用反光标志。</w:t>
      </w:r>
      <w:r/>
    </w:p>
    <w:p>
      <w:pPr>
        <w:ind w:firstLine="480"/>
        <w:spacing w:line="360" w:lineRule="auto"/>
        <w:rPr>
          <w:rFonts w:ascii="宋体" w:hAnsi="宋体" w:cs="宋体"/>
          <w:sz w:val="24"/>
        </w:rPr>
      </w:pPr>
      <w:r>
        <w:rPr>
          <w:rFonts w:hint="eastAsia" w:ascii="宋体" w:hAnsi="宋体" w:cs="宋体"/>
          <w:sz w:val="24"/>
        </w:rPr>
        <w:t xml:space="preserve">（4）夜间施工人员白天必须保证睡眠、不得连续作业。</w:t>
      </w:r>
      <w:r/>
    </w:p>
    <w:p>
      <w:pPr>
        <w:ind w:firstLine="482"/>
        <w:spacing w:line="360" w:lineRule="auto"/>
        <w:rPr>
          <w:rFonts w:ascii="宋体" w:hAnsi="宋体" w:cs="宋体"/>
          <w:b/>
          <w:bCs/>
          <w:sz w:val="24"/>
        </w:rPr>
      </w:pPr>
      <w:r>
        <w:rPr>
          <w:rFonts w:hint="eastAsia" w:ascii="宋体" w:hAnsi="宋体" w:cs="宋体"/>
          <w:b/>
          <w:bCs/>
          <w:sz w:val="24"/>
        </w:rPr>
        <w:t xml:space="preserve">5.资料要求</w:t>
      </w:r>
      <w:r/>
    </w:p>
    <w:p>
      <w:pPr>
        <w:ind w:firstLine="480"/>
        <w:spacing w:line="360" w:lineRule="auto"/>
        <w:rPr>
          <w:rFonts w:ascii="宋体" w:hAnsi="宋体" w:cs="宋体"/>
          <w:sz w:val="24"/>
        </w:rPr>
      </w:pPr>
      <w:r>
        <w:rPr>
          <w:rFonts w:hint="eastAsia" w:ascii="宋体" w:hAnsi="宋体" w:cs="宋体"/>
          <w:sz w:val="24"/>
        </w:rPr>
        <w:t xml:space="preserve">（1）已经完成检测的道路，7个工作日应提交所有视频检查资料和现场简图，视频名称、视频中检查井编号应与简图一致以及检测报告，对不符合要求的视频需要重新检测，并对原招标人管线图进行复核，针对发现的问题提出修改建议。</w:t>
      </w:r>
      <w:r/>
    </w:p>
    <w:p>
      <w:pPr>
        <w:ind w:firstLine="480"/>
        <w:spacing w:line="360" w:lineRule="auto"/>
        <w:rPr>
          <w:rFonts w:ascii="宋体" w:hAnsi="宋体" w:cs="宋体"/>
          <w:sz w:val="24"/>
        </w:rPr>
      </w:pPr>
      <w:r>
        <w:rPr>
          <w:rFonts w:hint="eastAsia" w:ascii="宋体" w:hAnsi="宋体" w:cs="宋体"/>
          <w:sz w:val="24"/>
        </w:rPr>
        <w:t xml:space="preserve">（2）乙方应提交每条道路的现场实施情况，包括作业班组、清洗管道长度、井数及清淤量、施工天数等情况。</w:t>
      </w:r>
      <w:r/>
    </w:p>
    <w:p>
      <w:pPr>
        <w:ind w:firstLine="482"/>
        <w:spacing w:line="360" w:lineRule="auto"/>
        <w:rPr>
          <w:rFonts w:ascii="宋体" w:hAnsi="宋体" w:cs="宋体"/>
          <w:b/>
          <w:bCs/>
          <w:sz w:val="24"/>
        </w:rPr>
      </w:pPr>
      <w:r>
        <w:rPr>
          <w:rFonts w:hint="eastAsia" w:ascii="宋体" w:hAnsi="宋体" w:cs="宋体"/>
          <w:b/>
          <w:bCs/>
          <w:sz w:val="24"/>
        </w:rPr>
        <w:t xml:space="preserve">6.验收要求</w:t>
      </w:r>
      <w:r/>
    </w:p>
    <w:p>
      <w:pPr>
        <w:ind w:firstLine="480"/>
        <w:spacing w:line="360" w:lineRule="auto"/>
        <w:rPr>
          <w:rFonts w:ascii="宋体" w:hAnsi="宋体" w:cs="宋体"/>
          <w:bCs/>
          <w:sz w:val="24"/>
        </w:rPr>
      </w:pPr>
      <w:r>
        <w:rPr>
          <w:rFonts w:hint="eastAsia" w:ascii="宋体" w:hAnsi="宋体" w:cs="宋体"/>
          <w:sz w:val="24"/>
        </w:rPr>
        <w:t xml:space="preserve">视频资料质量根据《城镇排水管道检测与评估技术规程》CJJ181-2012和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等有关规定进行验收。</w:t>
      </w:r>
      <w:r/>
    </w:p>
    <w:p>
      <w:pPr>
        <w:ind w:firstLine="482"/>
        <w:spacing w:line="360" w:lineRule="auto"/>
        <w:rPr>
          <w:rFonts w:ascii="宋体" w:hAnsi="宋体" w:cs="宋体"/>
          <w:b/>
          <w:bCs/>
          <w:sz w:val="24"/>
        </w:rPr>
      </w:pPr>
      <w:r>
        <w:rPr>
          <w:rFonts w:hint="eastAsia" w:ascii="宋体" w:hAnsi="宋体" w:cs="宋体"/>
          <w:b/>
          <w:bCs/>
          <w:sz w:val="24"/>
        </w:rPr>
        <w:t xml:space="preserve">7.其他要求</w:t>
      </w:r>
      <w:r/>
    </w:p>
    <w:p>
      <w:pPr>
        <w:ind w:firstLine="480"/>
        <w:spacing w:line="360" w:lineRule="auto"/>
        <w:rPr>
          <w:rFonts w:ascii="宋体" w:hAnsi="宋体" w:cs="宋体"/>
          <w:sz w:val="24"/>
        </w:rPr>
      </w:pPr>
      <w:r>
        <w:rPr>
          <w:rFonts w:hint="eastAsia" w:ascii="宋体" w:hAnsi="宋体" w:cs="宋体"/>
          <w:sz w:val="24"/>
        </w:rPr>
        <w:t xml:space="preserve">（1）甲方不定时对乙方项目实施过程中作业安全文明施工、作业质量等进行监督和考核。</w:t>
      </w:r>
      <w:r/>
    </w:p>
    <w:p>
      <w:pPr>
        <w:ind w:firstLine="480"/>
        <w:spacing w:line="360" w:lineRule="auto"/>
        <w:rPr>
          <w:rFonts w:ascii="宋体" w:hAnsi="宋体" w:cs="宋体"/>
          <w:sz w:val="24"/>
        </w:rPr>
      </w:pPr>
      <w:r>
        <w:rPr>
          <w:rFonts w:hint="eastAsia" w:ascii="宋体" w:hAnsi="宋体" w:cs="宋体"/>
          <w:sz w:val="24"/>
        </w:rPr>
        <w:t xml:space="preserve">（2）乙方项目实施进度或质量不能满足甲方要求时，甲方有权利要求乙方增加作业人员数量或进行人员调换。</w:t>
      </w:r>
      <w:r/>
    </w:p>
    <w:p>
      <w:pPr>
        <w:ind w:firstLine="480"/>
        <w:spacing w:line="360" w:lineRule="auto"/>
        <w:rPr>
          <w:rFonts w:ascii="宋体" w:hAnsi="宋体" w:cs="宋体"/>
          <w:sz w:val="24"/>
        </w:rPr>
      </w:pPr>
      <w:r>
        <w:rPr>
          <w:rFonts w:hint="eastAsia" w:ascii="宋体" w:hAnsi="宋体" w:cs="宋体"/>
          <w:sz w:val="24"/>
        </w:rPr>
        <w:t xml:space="preserve">（3）乙方收到甲方下达的变更指示后，应当立即或者根据进度计划的需要予以执行。</w:t>
      </w:r>
      <w:r/>
    </w:p>
    <w:p>
      <w:pPr>
        <w:ind w:firstLine="482"/>
        <w:spacing w:line="360" w:lineRule="auto"/>
        <w:rPr>
          <w:rFonts w:ascii="宋体" w:hAnsi="宋体" w:cs="宋体"/>
          <w:b/>
          <w:sz w:val="24"/>
        </w:rPr>
      </w:pPr>
      <w:r>
        <w:rPr>
          <w:rFonts w:hint="eastAsia" w:ascii="宋体" w:hAnsi="宋体" w:cs="宋体"/>
          <w:b/>
          <w:sz w:val="24"/>
        </w:rPr>
        <w:t xml:space="preserve">五、履约保证金</w:t>
      </w:r>
      <w:r/>
    </w:p>
    <w:p>
      <w:pPr>
        <w:ind w:firstLine="480"/>
        <w:spacing w:line="360" w:lineRule="auto"/>
        <w:rPr>
          <w:rFonts w:ascii="宋体" w:hAnsi="宋体" w:cs="宋体"/>
          <w:sz w:val="24"/>
        </w:rPr>
      </w:pPr>
      <w:r>
        <w:rPr>
          <w:rFonts w:hint="eastAsia" w:ascii="宋体" w:hAnsi="宋体" w:cs="宋体"/>
          <w:sz w:val="24"/>
        </w:rPr>
        <w:t xml:space="preserve">1.乙方须在中标通知书发出之日起15日内缴纳履约保证金或提交履约保函，履约保证金为</w:t>
      </w:r>
      <w:r>
        <w:rPr>
          <w:rFonts w:hint="eastAsia" w:hAnsi="宋体" w:cs="宋体"/>
        </w:rPr>
        <w:t xml:space="preserve">_______</w:t>
      </w:r>
      <w:r>
        <w:rPr>
          <w:rFonts w:hint="eastAsia" w:ascii="宋体" w:hAnsi="宋体" w:cs="宋体"/>
          <w:sz w:val="24"/>
        </w:rPr>
        <w:t xml:space="preserve">元（大写：</w:t>
      </w:r>
      <w:r>
        <w:rPr>
          <w:rFonts w:hint="eastAsia" w:hAnsi="宋体" w:cs="宋体"/>
        </w:rPr>
        <w:t xml:space="preserve">______________</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2.履约保证金以向甲方银行账户转账或提交履约保函的形式提交。若履约保证金以向甲方银行账户转账的形式提交，甲方账户如下：</w:t>
      </w:r>
      <w:r/>
    </w:p>
    <w:p>
      <w:pPr>
        <w:ind w:firstLine="480"/>
        <w:spacing w:line="360" w:lineRule="auto"/>
        <w:rPr>
          <w:rFonts w:ascii="宋体" w:hAnsi="宋体" w:cs="宋体"/>
          <w:sz w:val="24"/>
        </w:rPr>
      </w:pPr>
      <w:r>
        <w:rPr>
          <w:rFonts w:hint="eastAsia" w:ascii="宋体" w:hAnsi="宋体" w:cs="宋体"/>
          <w:sz w:val="24"/>
        </w:rPr>
        <w:t xml:space="preserve">账户名：常州市财政局，开户银行：建行常州分行营业部，账号：32001629101052500075。</w:t>
      </w:r>
      <w:r/>
    </w:p>
    <w:p>
      <w:pPr>
        <w:ind w:firstLine="480"/>
        <w:spacing w:line="360" w:lineRule="auto"/>
        <w:rPr>
          <w:rFonts w:ascii="宋体" w:hAnsi="宋体" w:cs="宋体"/>
          <w:sz w:val="24"/>
        </w:rPr>
      </w:pPr>
      <w:r>
        <w:rPr>
          <w:rFonts w:hint="eastAsia" w:ascii="宋体" w:hAnsi="宋体" w:cs="宋体"/>
          <w:sz w:val="24"/>
        </w:rPr>
        <w:t xml:space="preserve">3.若乙方未能履行合同规定的义务，甲方有权直接从履约保证金中扣除相当于乙方应支付之违约金及赔偿金的数额，不足部分由乙方另行补足。</w:t>
      </w:r>
      <w:r/>
    </w:p>
    <w:p>
      <w:pPr>
        <w:ind w:firstLine="480"/>
        <w:spacing w:line="360" w:lineRule="auto"/>
        <w:rPr>
          <w:rFonts w:ascii="宋体" w:hAnsi="宋体" w:cs="宋体"/>
          <w:sz w:val="24"/>
        </w:rPr>
      </w:pPr>
      <w:r>
        <w:rPr>
          <w:rFonts w:hint="eastAsia" w:ascii="宋体" w:hAnsi="宋体" w:cs="宋体"/>
          <w:sz w:val="24"/>
        </w:rPr>
        <w:t xml:space="preserve">4.合同期满或提前终止，且甲方确认乙方已按约定完成交接，无任何未结清的违约金、赔偿金及其他款项后，甲方应在15个工作日内将履约保证金（如有余额）无息退还乙方。</w:t>
      </w:r>
      <w:r/>
    </w:p>
    <w:p>
      <w:pPr>
        <w:ind w:firstLine="482"/>
        <w:spacing w:line="360" w:lineRule="auto"/>
        <w:rPr>
          <w:rFonts w:ascii="宋体" w:hAnsi="宋体" w:cs="宋体"/>
          <w:b/>
          <w:sz w:val="24"/>
        </w:rPr>
      </w:pPr>
      <w:r>
        <w:rPr>
          <w:rFonts w:hint="eastAsia" w:ascii="宋体" w:hAnsi="宋体" w:cs="宋体"/>
          <w:b/>
          <w:sz w:val="24"/>
        </w:rPr>
        <w:t xml:space="preserve">六、合同价格、计量与支付</w:t>
      </w:r>
      <w:r/>
    </w:p>
    <w:p>
      <w:pPr>
        <w:ind w:firstLine="480"/>
        <w:spacing w:line="360" w:lineRule="auto"/>
        <w:rPr>
          <w:rFonts w:ascii="宋体" w:hAnsi="宋体"/>
          <w:sz w:val="24"/>
        </w:rPr>
      </w:pPr>
      <w:r>
        <w:rPr>
          <w:rFonts w:hint="eastAsia" w:ascii="宋体" w:hAnsi="宋体" w:cs="宋体"/>
          <w:sz w:val="24"/>
        </w:rPr>
        <w:t xml:space="preserve">1.</w:t>
      </w:r>
      <w:r>
        <w:rPr>
          <w:rFonts w:ascii="宋体" w:hAnsi="宋体"/>
          <w:sz w:val="24"/>
        </w:rPr>
        <w:t xml:space="preserve">本合同为固定单价合同，在项目实施过程中，</w:t>
      </w:r>
      <w:r>
        <w:rPr>
          <w:rFonts w:hint="eastAsia" w:ascii="宋体" w:hAnsi="宋体"/>
          <w:sz w:val="24"/>
        </w:rPr>
        <w:t xml:space="preserve">单价</w:t>
      </w:r>
      <w:r>
        <w:rPr>
          <w:rFonts w:ascii="宋体" w:hAnsi="宋体"/>
          <w:sz w:val="24"/>
        </w:rPr>
        <w:t xml:space="preserve">不作调整。</w:t>
      </w:r>
      <w:r>
        <w:rPr>
          <w:rFonts w:hint="eastAsia" w:ascii="宋体" w:hAnsi="宋体"/>
          <w:sz w:val="24"/>
        </w:rPr>
        <w:t xml:space="preserve">本合同预估总价为150万元。</w:t>
      </w:r>
      <w:r/>
    </w:p>
    <w:p>
      <w:pPr>
        <w:ind w:firstLine="480"/>
        <w:spacing w:line="360" w:lineRule="auto"/>
        <w:rPr>
          <w:rFonts w:ascii="宋体" w:hAnsi="宋体" w:cs="宋体"/>
          <w:sz w:val="24"/>
        </w:rPr>
      </w:pPr>
      <w:r>
        <w:rPr>
          <w:rFonts w:hint="eastAsia" w:ascii="宋体" w:hAnsi="宋体" w:cs="宋体"/>
          <w:sz w:val="24"/>
        </w:rPr>
        <w:t xml:space="preserve">2.计量</w:t>
      </w:r>
      <w:r/>
    </w:p>
    <w:p>
      <w:pPr>
        <w:ind w:firstLine="480"/>
        <w:spacing w:line="360" w:lineRule="auto"/>
        <w:rPr>
          <w:rFonts w:ascii="宋体" w:hAnsi="宋体" w:cs="宋体"/>
          <w:sz w:val="24"/>
        </w:rPr>
      </w:pPr>
      <w:r>
        <w:rPr>
          <w:rFonts w:hint="eastAsia" w:ascii="宋体" w:hAnsi="宋体" w:cs="宋体"/>
          <w:sz w:val="24"/>
        </w:rPr>
        <w:t xml:space="preserve">乙方实际完成的排水管道检测长度以完成检测管段的上下游检查井井中心的实测直线距离为准，经甲方验收合格的管道检测长度相加为累计完成总量。</w:t>
      </w:r>
      <w:r/>
    </w:p>
    <w:p>
      <w:pPr>
        <w:ind w:firstLine="480"/>
        <w:spacing w:line="360" w:lineRule="auto"/>
        <w:rPr>
          <w:rFonts w:ascii="宋体" w:hAnsi="宋体" w:cs="宋体"/>
          <w:sz w:val="24"/>
        </w:rPr>
      </w:pPr>
      <w:r>
        <w:rPr>
          <w:rFonts w:hint="eastAsia" w:ascii="宋体" w:hAnsi="宋体" w:cs="宋体"/>
          <w:sz w:val="24"/>
        </w:rPr>
        <w:t xml:space="preserve">3.结算</w:t>
      </w:r>
      <w:r/>
    </w:p>
    <w:p>
      <w:pPr>
        <w:ind w:firstLine="480"/>
        <w:spacing w:line="360" w:lineRule="auto"/>
        <w:rPr>
          <w:rFonts w:ascii="宋体" w:hAnsi="宋体" w:cs="宋体"/>
          <w:sz w:val="24"/>
        </w:rPr>
      </w:pPr>
      <w:r>
        <w:rPr>
          <w:rFonts w:hint="eastAsia" w:ascii="宋体" w:hAnsi="宋体" w:cs="宋体"/>
          <w:sz w:val="24"/>
        </w:rPr>
        <w:t xml:space="preserve">（1）经甲方审核同意的工作量计量单和工程竣工款申请表；</w:t>
      </w:r>
      <w:r/>
    </w:p>
    <w:p>
      <w:pPr>
        <w:ind w:firstLine="480"/>
        <w:spacing w:line="360" w:lineRule="auto"/>
        <w:rPr>
          <w:rFonts w:ascii="宋体" w:hAnsi="宋体" w:cs="宋体"/>
          <w:sz w:val="24"/>
        </w:rPr>
      </w:pPr>
      <w:r>
        <w:rPr>
          <w:rFonts w:hint="eastAsia" w:ascii="宋体" w:hAnsi="宋体" w:cs="宋体"/>
          <w:sz w:val="24"/>
        </w:rPr>
        <w:t xml:space="preserve">（2）乙方开具的实际支付增值税专用发票，税率按规定执行。</w:t>
      </w:r>
      <w:r/>
    </w:p>
    <w:p>
      <w:pPr>
        <w:ind w:firstLine="482"/>
        <w:spacing w:line="360" w:lineRule="auto"/>
        <w:rPr>
          <w:rFonts w:ascii="宋体" w:hAnsi="宋体" w:cs="宋体"/>
          <w:b/>
          <w:sz w:val="24"/>
        </w:rPr>
      </w:pPr>
      <w:r>
        <w:rPr>
          <w:rFonts w:hint="eastAsia" w:ascii="宋体" w:hAnsi="宋体" w:cs="宋体"/>
          <w:b/>
          <w:sz w:val="24"/>
        </w:rPr>
        <w:t xml:space="preserve">七、甲方的权利与义务</w:t>
      </w:r>
      <w:r/>
    </w:p>
    <w:p>
      <w:pPr>
        <w:ind w:firstLine="480"/>
        <w:spacing w:line="360" w:lineRule="auto"/>
        <w:rPr>
          <w:rFonts w:ascii="宋体" w:hAnsi="宋体" w:cs="宋体"/>
          <w:sz w:val="24"/>
        </w:rPr>
      </w:pPr>
      <w:r>
        <w:rPr>
          <w:rFonts w:hint="eastAsia" w:ascii="宋体" w:hAnsi="宋体" w:cs="宋体"/>
          <w:sz w:val="24"/>
        </w:rPr>
        <w:t xml:space="preserve">1.甲方的权利</w:t>
      </w:r>
      <w:r/>
    </w:p>
    <w:p>
      <w:pPr>
        <w:ind w:firstLine="480"/>
        <w:spacing w:line="360" w:lineRule="auto"/>
        <w:rPr>
          <w:rFonts w:ascii="宋体" w:hAnsi="宋体" w:cs="宋体"/>
          <w:sz w:val="24"/>
        </w:rPr>
      </w:pPr>
      <w:r>
        <w:rPr>
          <w:rFonts w:hint="eastAsia" w:ascii="宋体" w:hAnsi="宋体" w:cs="宋体"/>
          <w:sz w:val="24"/>
        </w:rPr>
        <w:t xml:space="preserve">（1）甲方有权依据招标文件、合同等约定的作业要求与考核标准，对乙方的服务进行监督与考核。</w:t>
      </w:r>
      <w:r/>
    </w:p>
    <w:p>
      <w:pPr>
        <w:ind w:firstLine="480"/>
        <w:spacing w:line="360" w:lineRule="auto"/>
        <w:rPr>
          <w:rFonts w:ascii="宋体" w:hAnsi="宋体" w:cs="宋体"/>
          <w:sz w:val="24"/>
        </w:rPr>
      </w:pPr>
      <w:r>
        <w:rPr>
          <w:rFonts w:hint="eastAsia" w:ascii="宋体" w:hAnsi="宋体" w:cs="宋体"/>
          <w:sz w:val="24"/>
        </w:rPr>
        <w:t xml:space="preserve">（2）甲方有权根据业务发展或运营优化需要，对乙方工作内容等进行合理调整，修改、细化作业要求与考核实施细则，相关文件经书面形式送达乙方后，即构成本合同不可分割的一部分。</w:t>
      </w:r>
      <w:r/>
    </w:p>
    <w:p>
      <w:pPr>
        <w:ind w:firstLine="480"/>
        <w:spacing w:line="360" w:lineRule="auto"/>
        <w:rPr>
          <w:rFonts w:ascii="宋体" w:hAnsi="宋体" w:cs="宋体"/>
          <w:sz w:val="24"/>
        </w:rPr>
      </w:pPr>
      <w:r>
        <w:rPr>
          <w:rFonts w:hint="eastAsia" w:ascii="宋体" w:hAnsi="宋体" w:cs="宋体"/>
          <w:sz w:val="24"/>
        </w:rPr>
        <w:t xml:space="preserve">（3）当乙方的作业进度或质量未能满足合同要求时，甲方有权要求乙方采取增加作业人员数量、调换不合格人员、安排作业人员参加必要的技能培训等措施。</w:t>
      </w:r>
      <w:r/>
    </w:p>
    <w:p>
      <w:pPr>
        <w:ind w:firstLine="480"/>
        <w:spacing w:line="360" w:lineRule="auto"/>
        <w:rPr>
          <w:rFonts w:ascii="宋体" w:hAnsi="宋体" w:cs="宋体"/>
          <w:sz w:val="24"/>
        </w:rPr>
      </w:pPr>
      <w:r>
        <w:rPr>
          <w:rFonts w:hint="eastAsia" w:ascii="宋体" w:hAnsi="宋体" w:cs="宋体"/>
          <w:sz w:val="24"/>
        </w:rPr>
        <w:t xml:space="preserve">（4）甲方有权要求乙方更换其派遣的不满足甲方作业要求的任何作业人员。</w:t>
      </w:r>
      <w:r/>
    </w:p>
    <w:p>
      <w:pPr>
        <w:ind w:firstLine="480"/>
        <w:spacing w:line="360" w:lineRule="auto"/>
        <w:rPr>
          <w:rFonts w:ascii="宋体" w:hAnsi="宋体" w:cs="宋体"/>
          <w:sz w:val="24"/>
        </w:rPr>
      </w:pPr>
      <w:r>
        <w:rPr>
          <w:rFonts w:hint="eastAsia" w:ascii="宋体" w:hAnsi="宋体" w:cs="宋体"/>
          <w:sz w:val="24"/>
        </w:rPr>
        <w:t xml:space="preserve">（5）甲方有权要求乙方提供项目人员的社保缴纳证明、银行代发工资记录等用工合规性证明文件，乙方不得拒绝。</w:t>
      </w:r>
      <w:r/>
    </w:p>
    <w:p>
      <w:pPr>
        <w:ind w:firstLine="480"/>
        <w:spacing w:line="360" w:lineRule="auto"/>
        <w:rPr>
          <w:rFonts w:ascii="宋体" w:hAnsi="宋体" w:cs="宋体"/>
          <w:sz w:val="24"/>
        </w:rPr>
      </w:pPr>
      <w:r>
        <w:rPr>
          <w:rFonts w:hint="eastAsia" w:ascii="宋体" w:hAnsi="宋体" w:cs="宋体"/>
          <w:sz w:val="24"/>
        </w:rPr>
        <w:t xml:space="preserve">2.甲方的义务</w:t>
      </w:r>
      <w:r/>
    </w:p>
    <w:p>
      <w:pPr>
        <w:ind w:firstLine="480"/>
        <w:spacing w:line="360" w:lineRule="auto"/>
        <w:rPr>
          <w:rFonts w:ascii="宋体" w:hAnsi="宋体" w:cs="宋体"/>
          <w:sz w:val="24"/>
        </w:rPr>
      </w:pPr>
      <w:r>
        <w:rPr>
          <w:rFonts w:hint="eastAsia" w:ascii="宋体" w:hAnsi="宋体" w:cs="宋体"/>
          <w:sz w:val="24"/>
        </w:rPr>
        <w:t xml:space="preserve">（1）甲方应将工作范围、作业内容、工作量及相关技术信息告知乙方。</w:t>
      </w:r>
      <w:r/>
    </w:p>
    <w:p>
      <w:pPr>
        <w:ind w:firstLine="480"/>
        <w:spacing w:line="360" w:lineRule="auto"/>
        <w:rPr>
          <w:rFonts w:ascii="宋体" w:hAnsi="宋体" w:cs="宋体"/>
          <w:sz w:val="24"/>
        </w:rPr>
      </w:pPr>
      <w:r>
        <w:rPr>
          <w:rFonts w:hint="eastAsia" w:ascii="宋体" w:hAnsi="宋体" w:cs="宋体"/>
          <w:sz w:val="24"/>
        </w:rPr>
        <w:t xml:space="preserve">（2）甲方应为乙方提供必要的现场交底、信息支持等。</w:t>
      </w:r>
      <w:r/>
    </w:p>
    <w:p>
      <w:pPr>
        <w:ind w:firstLine="480"/>
        <w:spacing w:line="360" w:lineRule="auto"/>
        <w:rPr>
          <w:rFonts w:ascii="宋体" w:hAnsi="宋体" w:cs="宋体"/>
          <w:sz w:val="24"/>
        </w:rPr>
      </w:pPr>
      <w:r>
        <w:rPr>
          <w:rFonts w:hint="eastAsia" w:ascii="宋体" w:hAnsi="宋体" w:cs="宋体"/>
          <w:sz w:val="24"/>
        </w:rPr>
        <w:t xml:space="preserve">（3）甲方应按规定向乙方支付经考核确认的服务费用。</w:t>
      </w:r>
      <w:r/>
    </w:p>
    <w:p>
      <w:pPr>
        <w:ind w:firstLine="480"/>
        <w:spacing w:line="360" w:lineRule="auto"/>
        <w:rPr>
          <w:rFonts w:ascii="宋体" w:hAnsi="宋体" w:cs="宋体"/>
          <w:sz w:val="24"/>
        </w:rPr>
      </w:pPr>
      <w:r>
        <w:rPr>
          <w:rFonts w:hint="eastAsia" w:ascii="宋体" w:hAnsi="宋体" w:cs="宋体"/>
          <w:sz w:val="24"/>
        </w:rPr>
        <w:t xml:space="preserve">（4）如因城市规划调整、重大政策变化或政府指令性重大活动导致服务内容、范围、时间等发生重大变更，甲方应提前通知乙方，双方可就变更内容协商签订补充协议。</w:t>
      </w:r>
      <w:r/>
    </w:p>
    <w:p>
      <w:pPr>
        <w:ind w:firstLine="482"/>
        <w:spacing w:line="360" w:lineRule="auto"/>
        <w:rPr>
          <w:rFonts w:ascii="宋体" w:hAnsi="宋体" w:cs="宋体"/>
          <w:b/>
          <w:sz w:val="24"/>
        </w:rPr>
      </w:pPr>
      <w:r>
        <w:rPr>
          <w:rFonts w:hint="eastAsia" w:ascii="宋体" w:hAnsi="宋体" w:cs="宋体"/>
          <w:b/>
          <w:sz w:val="24"/>
        </w:rPr>
        <w:t xml:space="preserve">八、乙方的权利与义务</w:t>
      </w:r>
      <w:r/>
    </w:p>
    <w:p>
      <w:pPr>
        <w:ind w:firstLine="480"/>
        <w:spacing w:line="360" w:lineRule="auto"/>
        <w:rPr>
          <w:rFonts w:ascii="宋体" w:hAnsi="宋体" w:cs="宋体"/>
          <w:sz w:val="24"/>
        </w:rPr>
      </w:pPr>
      <w:r>
        <w:rPr>
          <w:rFonts w:hint="eastAsia" w:ascii="宋体" w:hAnsi="宋体" w:cs="宋体"/>
          <w:sz w:val="24"/>
        </w:rPr>
        <w:t xml:space="preserve">1.乙方的权利</w:t>
      </w:r>
      <w:r/>
    </w:p>
    <w:p>
      <w:pPr>
        <w:ind w:firstLine="480"/>
        <w:spacing w:line="360" w:lineRule="auto"/>
        <w:rPr>
          <w:rFonts w:ascii="宋体" w:hAnsi="宋体" w:cs="宋体"/>
          <w:sz w:val="24"/>
        </w:rPr>
      </w:pPr>
      <w:r>
        <w:rPr>
          <w:rFonts w:hint="eastAsia" w:ascii="宋体" w:hAnsi="宋体" w:cs="宋体"/>
          <w:sz w:val="24"/>
        </w:rPr>
        <w:t xml:space="preserve">（1）乙方有权就合同范围内的服务内容，向甲方提出合理化建议。</w:t>
      </w:r>
      <w:r/>
    </w:p>
    <w:p>
      <w:pPr>
        <w:ind w:firstLine="480"/>
        <w:spacing w:line="360" w:lineRule="auto"/>
        <w:rPr>
          <w:rFonts w:ascii="宋体" w:hAnsi="宋体" w:cs="宋体"/>
          <w:sz w:val="24"/>
        </w:rPr>
      </w:pPr>
      <w:r>
        <w:rPr>
          <w:rFonts w:hint="eastAsia" w:ascii="宋体" w:hAnsi="宋体" w:cs="宋体"/>
          <w:sz w:val="24"/>
        </w:rPr>
        <w:t xml:space="preserve">（2）乙方有权拒绝甲方提出的违背法律法规、技术规范、安全作业规定的指令和要求。</w:t>
      </w:r>
      <w:r/>
    </w:p>
    <w:p>
      <w:pPr>
        <w:ind w:firstLine="480"/>
        <w:spacing w:line="360" w:lineRule="auto"/>
        <w:rPr>
          <w:rFonts w:ascii="宋体" w:hAnsi="宋体" w:cs="宋体"/>
          <w:sz w:val="24"/>
        </w:rPr>
      </w:pPr>
      <w:r>
        <w:rPr>
          <w:rFonts w:hint="eastAsia" w:ascii="宋体" w:hAnsi="宋体" w:cs="宋体"/>
          <w:sz w:val="24"/>
        </w:rPr>
        <w:t xml:space="preserve">（3）乙方有权就甲方工作人员的不正当要求、违规行为等，向甲方的纪检监察部门或上级主管部门进行投诉。</w:t>
      </w:r>
      <w:r/>
    </w:p>
    <w:p>
      <w:pPr>
        <w:ind w:firstLine="480"/>
        <w:spacing w:line="360" w:lineRule="auto"/>
        <w:rPr>
          <w:rFonts w:ascii="宋体" w:hAnsi="宋体" w:cs="宋体"/>
          <w:sz w:val="24"/>
        </w:rPr>
      </w:pPr>
      <w:r>
        <w:rPr>
          <w:rFonts w:hint="eastAsia" w:ascii="宋体" w:hAnsi="宋体" w:cs="宋体"/>
          <w:sz w:val="24"/>
        </w:rPr>
        <w:t xml:space="preserve">2.乙方的义务</w:t>
      </w:r>
      <w:r/>
    </w:p>
    <w:p>
      <w:pPr>
        <w:ind w:firstLine="480"/>
        <w:spacing w:line="360" w:lineRule="auto"/>
        <w:rPr>
          <w:rFonts w:ascii="宋体" w:hAnsi="宋体" w:cs="宋体"/>
          <w:sz w:val="24"/>
        </w:rPr>
      </w:pPr>
      <w:r>
        <w:rPr>
          <w:rFonts w:hint="eastAsia" w:ascii="宋体" w:hAnsi="宋体" w:cs="宋体"/>
          <w:sz w:val="24"/>
        </w:rPr>
        <w:t xml:space="preserve">（1）资质与能力保证</w:t>
      </w:r>
      <w:r/>
    </w:p>
    <w:p>
      <w:pPr>
        <w:ind w:firstLine="480"/>
        <w:spacing w:line="360" w:lineRule="auto"/>
        <w:rPr>
          <w:rFonts w:ascii="宋体" w:hAnsi="宋体" w:cs="宋体"/>
          <w:sz w:val="24"/>
        </w:rPr>
      </w:pPr>
      <w:r>
        <w:rPr>
          <w:rFonts w:hint="eastAsia" w:ascii="宋体" w:hAnsi="宋体" w:cs="宋体"/>
          <w:sz w:val="24"/>
        </w:rPr>
        <w:t xml:space="preserve">乙方保证自身持续具备履行本合同所必需的营业执照、资质、许可证、技术能力、设备设施和专业人员队伍及资格证书。本项目主体业务不得分包，如需分包非主体业务，须事先获得甲方书面同意，并确保分包商具备相应资质和能力，乙方对分包商的行为承担连带责任。</w:t>
      </w:r>
      <w:r/>
    </w:p>
    <w:p>
      <w:pPr>
        <w:ind w:firstLine="480"/>
        <w:spacing w:line="360" w:lineRule="auto"/>
        <w:rPr>
          <w:rFonts w:ascii="宋体" w:hAnsi="宋体" w:cs="宋体"/>
          <w:sz w:val="24"/>
        </w:rPr>
      </w:pPr>
      <w:r>
        <w:rPr>
          <w:rFonts w:hint="eastAsia" w:ascii="宋体" w:hAnsi="宋体" w:cs="宋体"/>
          <w:sz w:val="24"/>
        </w:rPr>
        <w:t xml:space="preserve">如乙方违法转包，或分包行为不符合本合同约定，乙方派出的实际提供服务（作业、施工）人对甲方提起诉讼的，乙方承担由此导致甲方负担的经济费用，包括但不限于支付合同款项、工作人员误工费、经济损失赔偿、诉讼费用等。</w:t>
      </w:r>
      <w:r/>
    </w:p>
    <w:p>
      <w:pPr>
        <w:ind w:firstLine="480"/>
        <w:spacing w:line="360" w:lineRule="auto"/>
        <w:rPr>
          <w:rFonts w:ascii="宋体" w:hAnsi="宋体" w:cs="宋体"/>
          <w:sz w:val="24"/>
        </w:rPr>
      </w:pPr>
      <w:r>
        <w:rPr>
          <w:rFonts w:hint="eastAsia" w:ascii="宋体" w:hAnsi="宋体" w:cs="宋体"/>
          <w:sz w:val="24"/>
        </w:rPr>
        <w:t xml:space="preserve">（2）人员管理与培训</w:t>
      </w:r>
      <w:r/>
    </w:p>
    <w:p>
      <w:pPr>
        <w:ind w:firstLine="480"/>
        <w:spacing w:line="360" w:lineRule="auto"/>
        <w:rPr>
          <w:rFonts w:ascii="宋体" w:hAnsi="宋体" w:cs="宋体"/>
          <w:sz w:val="24"/>
        </w:rPr>
      </w:pPr>
      <w:r>
        <w:rPr>
          <w:rFonts w:hint="eastAsia" w:ascii="宋体" w:hAnsi="宋体" w:cs="宋体"/>
          <w:sz w:val="24"/>
        </w:rPr>
        <w:t xml:space="preserve">乙方应按照合同和招投标文件，足额配备具备相应资格的项目管理人员和作业人员，并确保人员相对稳定。为保障项目正常开展，后续根据工作内容及事项变化情况，乙方应配合甲方进行人员的调整。</w:t>
      </w:r>
      <w:r/>
    </w:p>
    <w:p>
      <w:pPr>
        <w:ind w:firstLine="480"/>
        <w:spacing w:line="360" w:lineRule="auto"/>
        <w:rPr>
          <w:rFonts w:ascii="宋体" w:hAnsi="宋体" w:cs="宋体"/>
          <w:sz w:val="24"/>
        </w:rPr>
      </w:pPr>
      <w:r>
        <w:rPr>
          <w:rFonts w:hint="eastAsia" w:ascii="宋体" w:hAnsi="宋体" w:cs="宋体"/>
          <w:sz w:val="24"/>
        </w:rPr>
        <w:t xml:space="preserve">项目组人员未经甲方书面批准不得更换。确需更换的，应提前向甲方提交书面申请及继任人选资格材料，继任人选标准不得低于投标人承诺投入人员，经甲方审核同意后方可更换。</w:t>
      </w:r>
      <w:r/>
    </w:p>
    <w:p>
      <w:pPr>
        <w:pStyle w:val="1257"/>
        <w:ind w:firstLine="480"/>
      </w:pPr>
      <w:r>
        <w:rPr>
          <w:rFonts w:hint="eastAsia"/>
        </w:rPr>
        <w:t xml:space="preserve">乙方发现任何组织或个人的行为，对城市排水设施的安全稳定运行可能造成不利影响时，有权进行劝阻、制止，并立即报告甲方。</w:t>
      </w:r>
      <w:r/>
    </w:p>
    <w:p>
      <w:pPr>
        <w:ind w:firstLine="480"/>
        <w:spacing w:line="360" w:lineRule="auto"/>
        <w:rPr>
          <w:rFonts w:ascii="宋体" w:hAnsi="宋体" w:cs="宋体"/>
          <w:sz w:val="24"/>
        </w:rPr>
      </w:pPr>
      <w:r>
        <w:rPr>
          <w:rFonts w:hint="eastAsia" w:ascii="宋体" w:hAnsi="宋体" w:cs="宋体"/>
          <w:sz w:val="24"/>
        </w:rPr>
        <w:t xml:space="preserve">（3）保密义务</w:t>
      </w:r>
      <w:r/>
    </w:p>
    <w:p>
      <w:pPr>
        <w:ind w:firstLine="480"/>
        <w:spacing w:line="360" w:lineRule="auto"/>
        <w:rPr>
          <w:rFonts w:ascii="宋体" w:hAnsi="宋体" w:cs="宋体"/>
          <w:sz w:val="24"/>
        </w:rPr>
      </w:pPr>
      <w:r>
        <w:rPr>
          <w:rFonts w:hint="eastAsia" w:ascii="宋体" w:hAnsi="宋体" w:cs="宋体"/>
          <w:sz w:val="24"/>
        </w:rPr>
        <w:t xml:space="preserve">乙方应对服务过程中获知的甲方所有技术资料、业务数据、工作秘密及其他未公开信息予以严格保密，未经甲方书面同意，不得向任何第三方披露或用于本合同以外的目的。服务终止后，应按甲方要求归还或销毁所有涉密资料。</w:t>
      </w:r>
      <w:r/>
    </w:p>
    <w:p>
      <w:pPr>
        <w:ind w:firstLine="480"/>
        <w:spacing w:line="360" w:lineRule="auto"/>
        <w:rPr>
          <w:rFonts w:ascii="宋体" w:hAnsi="宋体" w:cs="宋体"/>
          <w:sz w:val="24"/>
        </w:rPr>
      </w:pPr>
      <w:r>
        <w:rPr>
          <w:rFonts w:hint="eastAsia" w:ascii="宋体" w:hAnsi="宋体" w:cs="宋体"/>
          <w:sz w:val="24"/>
        </w:rPr>
        <w:t xml:space="preserve">（4）接受监管义务</w:t>
      </w:r>
      <w:r/>
    </w:p>
    <w:p>
      <w:pPr>
        <w:ind w:firstLine="480"/>
        <w:spacing w:line="360" w:lineRule="auto"/>
        <w:rPr>
          <w:rFonts w:ascii="宋体" w:hAnsi="宋体" w:cs="宋体"/>
          <w:sz w:val="24"/>
        </w:rPr>
      </w:pPr>
      <w:r>
        <w:rPr>
          <w:rFonts w:hint="eastAsia" w:ascii="宋体" w:hAnsi="宋体" w:cs="宋体"/>
          <w:sz w:val="24"/>
        </w:rPr>
        <w:t xml:space="preserve">乙方应随时接受并配合甲方及其委托的第三方机构的监督检查，按要求提供相关资料和记录，并配合相关监管部门对合同执行情况的监督。</w:t>
      </w:r>
      <w:r/>
    </w:p>
    <w:p>
      <w:pPr>
        <w:ind w:firstLine="480"/>
        <w:spacing w:line="360" w:lineRule="auto"/>
        <w:rPr>
          <w:rFonts w:ascii="宋体" w:hAnsi="宋体" w:cs="宋体"/>
          <w:sz w:val="24"/>
        </w:rPr>
      </w:pPr>
      <w:r>
        <w:rPr>
          <w:rFonts w:hint="eastAsia" w:ascii="宋体" w:hAnsi="宋体" w:cs="宋体"/>
          <w:sz w:val="24"/>
        </w:rPr>
        <w:t xml:space="preserve">（5）安全文明施工</w:t>
      </w:r>
      <w:r/>
    </w:p>
    <w:p>
      <w:pPr>
        <w:ind w:firstLine="480"/>
        <w:spacing w:line="360" w:lineRule="auto"/>
        <w:rPr>
          <w:rFonts w:ascii="宋体" w:hAnsi="宋体" w:cs="宋体"/>
          <w:sz w:val="24"/>
        </w:rPr>
      </w:pPr>
      <w:r>
        <w:rPr>
          <w:rFonts w:hint="eastAsia" w:ascii="宋体" w:hAnsi="宋体" w:cs="宋体"/>
          <w:sz w:val="24"/>
        </w:rPr>
        <w:t xml:space="preserve">乙方在作业和施工时，必须严格遵守相关法律法规及甲方的管理制度，采取必要措施保障作业安全、交通安全和环境整洁。</w:t>
      </w:r>
      <w:r/>
    </w:p>
    <w:p>
      <w:pPr>
        <w:ind w:firstLine="480"/>
        <w:spacing w:line="360" w:lineRule="auto"/>
        <w:rPr>
          <w:rFonts w:ascii="宋体" w:hAnsi="宋体" w:cs="宋体"/>
          <w:sz w:val="24"/>
        </w:rPr>
      </w:pPr>
      <w:r>
        <w:rPr>
          <w:rFonts w:hint="eastAsia" w:ascii="宋体" w:hAnsi="宋体" w:cs="宋体"/>
          <w:sz w:val="24"/>
        </w:rPr>
        <w:t xml:space="preserve">合同终止时，乙方向甲方移交全部档案资料和属甲方所有的其他资产，并与甲方或后续服务方办理交接手续。</w:t>
      </w:r>
      <w:r/>
    </w:p>
    <w:p>
      <w:pPr>
        <w:ind w:firstLine="482"/>
        <w:spacing w:line="360" w:lineRule="auto"/>
        <w:rPr>
          <w:rFonts w:ascii="宋体" w:hAnsi="宋体" w:cs="宋体"/>
          <w:b/>
          <w:sz w:val="24"/>
        </w:rPr>
      </w:pPr>
      <w:r>
        <w:rPr>
          <w:rFonts w:hint="eastAsia" w:ascii="宋体" w:hAnsi="宋体" w:cs="宋体"/>
          <w:b/>
          <w:sz w:val="24"/>
        </w:rPr>
        <w:t xml:space="preserve">九、违约责任</w:t>
      </w:r>
      <w:r/>
    </w:p>
    <w:p>
      <w:pPr>
        <w:ind w:firstLine="480"/>
        <w:spacing w:line="360" w:lineRule="auto"/>
        <w:rPr>
          <w:rFonts w:ascii="宋体" w:hAnsi="宋体" w:cs="宋体"/>
          <w:bCs/>
          <w:sz w:val="24"/>
        </w:rPr>
      </w:pPr>
      <w:r>
        <w:rPr>
          <w:rFonts w:hint="eastAsia" w:ascii="宋体" w:hAnsi="宋体" w:cs="宋体"/>
          <w:bCs/>
          <w:sz w:val="24"/>
        </w:rPr>
        <w:t xml:space="preserve">1.乙方提交的视频资料不得剪切、嫁接等，保证资料真实准确。若出现视频造假、不符合现场实际等情况，甲方有权委托其他单位重新检测，由此带来的所有损失和发生的费用全部由乙方承担，每发生一次，乙方应向甲方支付违约金1000元。发生三次及以上，甲方有权解除合同。</w:t>
      </w:r>
      <w:r/>
    </w:p>
    <w:p>
      <w:pPr>
        <w:ind w:firstLine="480"/>
        <w:spacing w:line="360" w:lineRule="auto"/>
        <w:rPr>
          <w:rFonts w:ascii="宋体" w:hAnsi="宋体" w:cs="宋体"/>
          <w:bCs/>
          <w:sz w:val="24"/>
        </w:rPr>
      </w:pPr>
      <w:r>
        <w:rPr>
          <w:rFonts w:hint="eastAsia" w:ascii="宋体" w:hAnsi="宋体" w:cs="宋体"/>
          <w:bCs/>
          <w:sz w:val="24"/>
        </w:rPr>
        <w:t xml:space="preserve">2.由于乙方原因造成工期延误的，每延误1天，乙方应向甲方支付违约金，违约金为本合同预估总价的2‰，本项违</w:t>
      </w:r>
      <w:r>
        <w:rPr>
          <w:rFonts w:hint="eastAsia" w:ascii="宋体" w:hAnsi="宋体" w:cs="宋体"/>
          <w:bCs/>
          <w:sz w:val="24"/>
          <w:highlight w:val="none"/>
        </w:rPr>
        <w:t xml:space="preserve">约金最高为本合同预估总价的3%。乙方原则上不应提出延长工期的申请，特殊情况下，乙方要求延长工期</w:t>
      </w:r>
      <w:r>
        <w:rPr>
          <w:rFonts w:hint="eastAsia" w:ascii="宋体" w:hAnsi="宋体" w:cs="宋体"/>
          <w:bCs/>
          <w:sz w:val="24"/>
        </w:rPr>
        <w:t xml:space="preserve">的，应经甲方审核批准。</w:t>
      </w:r>
      <w:r/>
    </w:p>
    <w:p>
      <w:pPr>
        <w:ind w:firstLine="480"/>
        <w:spacing w:line="360" w:lineRule="auto"/>
        <w:rPr>
          <w:rFonts w:ascii="宋体" w:hAnsi="宋体" w:cs="宋体"/>
          <w:bCs/>
          <w:sz w:val="24"/>
        </w:rPr>
      </w:pPr>
      <w:r>
        <w:rPr>
          <w:rFonts w:hint="eastAsia" w:ascii="宋体" w:hAnsi="宋体" w:cs="宋体"/>
          <w:bCs/>
          <w:sz w:val="24"/>
        </w:rPr>
        <w:t xml:space="preserve">3.乙方违反合同约定进行转包或违法分包的，每发现1次，乙方应向甲方支付违约金10万元。</w:t>
      </w:r>
      <w:r/>
    </w:p>
    <w:p>
      <w:pPr>
        <w:ind w:firstLine="480"/>
        <w:spacing w:line="360" w:lineRule="auto"/>
        <w:rPr>
          <w:rFonts w:ascii="宋体" w:hAnsi="宋体" w:cs="宋体"/>
          <w:bCs/>
          <w:sz w:val="24"/>
        </w:rPr>
      </w:pPr>
      <w:r>
        <w:rPr>
          <w:rFonts w:hint="eastAsia" w:ascii="宋体" w:hAnsi="宋体" w:cs="宋体"/>
          <w:bCs/>
          <w:sz w:val="24"/>
        </w:rPr>
        <w:t xml:space="preserve">4.乙方违反相关法律法规，未按规范要求进行结构性检测的，乙方应按照甲方要求进行整改。乙方未能在合理期限内整改或拒绝整改的，甲方有权委托第三方进行施工作业，发生的费用由乙方承担，同时甲方有权根据实际情况决定是否解除合同。</w:t>
      </w:r>
      <w:r/>
    </w:p>
    <w:p>
      <w:pPr>
        <w:ind w:firstLine="480"/>
        <w:spacing w:line="360" w:lineRule="auto"/>
        <w:rPr>
          <w:rFonts w:ascii="宋体" w:hAnsi="宋体" w:cs="宋体"/>
          <w:bCs/>
          <w:sz w:val="24"/>
        </w:rPr>
      </w:pPr>
      <w:r>
        <w:rPr>
          <w:rFonts w:hint="eastAsia" w:ascii="宋体" w:hAnsi="宋体" w:cs="宋体"/>
          <w:bCs/>
          <w:sz w:val="24"/>
        </w:rPr>
        <w:t xml:space="preserve">5.视频提交超过期限的，每推延1天，乙方应向甲方支付违约金500元。若视频提交超过期限发生3次（含），甲方有权委托第三方继续实施，由此带来的所有损失和发生的费用全部由乙方承担，同时甲方有权根据实际情况决定是否解除合同。</w:t>
      </w:r>
      <w:r/>
    </w:p>
    <w:p>
      <w:pPr>
        <w:ind w:firstLine="480"/>
        <w:spacing w:line="360" w:lineRule="auto"/>
        <w:rPr>
          <w:rFonts w:ascii="宋体" w:hAnsi="宋体" w:cs="宋体"/>
          <w:bCs/>
          <w:sz w:val="24"/>
        </w:rPr>
      </w:pPr>
      <w:r>
        <w:rPr>
          <w:rFonts w:hint="eastAsia" w:ascii="宋体" w:hAnsi="宋体" w:cs="宋体"/>
          <w:bCs/>
          <w:sz w:val="24"/>
        </w:rPr>
        <w:t xml:space="preserve">6.视频质量不符合要求的，每发生1次，乙方应向甲方支付违约金1000元，同时乙方应针对不合格视频管道重新检测。若连续不合格超过3次，甲方有权委托第三方继续实施，由此带来的所有损失和发生的费用全部由乙方承担，同时甲方有权根据实际情况决定是否解除合同。</w:t>
      </w:r>
      <w:r/>
    </w:p>
    <w:p>
      <w:pPr>
        <w:ind w:firstLine="480"/>
        <w:spacing w:line="360" w:lineRule="auto"/>
        <w:rPr>
          <w:rFonts w:ascii="宋体" w:hAnsi="宋体" w:cs="宋体"/>
          <w:bCs/>
          <w:sz w:val="24"/>
        </w:rPr>
      </w:pPr>
      <w:r>
        <w:rPr>
          <w:rFonts w:hint="eastAsia" w:ascii="宋体" w:hAnsi="宋体" w:cs="宋体"/>
          <w:bCs/>
          <w:sz w:val="24"/>
        </w:rPr>
        <w:t xml:space="preserve">7.现场井下作业未按要求执行下井作业制度的，每发现1次，乙方应向甲方支付违约金1000元。</w:t>
      </w:r>
      <w:r/>
    </w:p>
    <w:p>
      <w:pPr>
        <w:ind w:firstLine="480"/>
        <w:spacing w:line="360" w:lineRule="auto"/>
        <w:rPr>
          <w:rFonts w:ascii="宋体" w:hAnsi="宋体" w:cs="宋体"/>
          <w:bCs/>
          <w:sz w:val="24"/>
        </w:rPr>
      </w:pPr>
      <w:r>
        <w:rPr>
          <w:rFonts w:hint="eastAsia" w:ascii="宋体" w:hAnsi="宋体" w:cs="宋体"/>
          <w:bCs/>
          <w:sz w:val="24"/>
        </w:rPr>
        <w:t xml:space="preserve">8.现场垃圾随意堆放，清理不及时，随意丢弃影响城市环境的，被检查发现或各类投诉的，每发现一次，乙方应向甲方支付违约金1000元。</w:t>
      </w:r>
      <w:r/>
    </w:p>
    <w:p>
      <w:pPr>
        <w:ind w:firstLine="480"/>
        <w:spacing w:line="360" w:lineRule="auto"/>
        <w:rPr>
          <w:rFonts w:ascii="宋体" w:hAnsi="宋体" w:cs="宋体"/>
          <w:bCs/>
          <w:sz w:val="24"/>
        </w:rPr>
      </w:pPr>
      <w:r>
        <w:rPr>
          <w:rFonts w:hint="eastAsia" w:ascii="宋体" w:hAnsi="宋体" w:cs="宋体"/>
          <w:bCs/>
          <w:sz w:val="24"/>
        </w:rPr>
        <w:t xml:space="preserve">9.现场施工人员未统一穿戴有反光标识警示服及安全帽的，每发现1次，乙方应向甲方支付违约金50元/人。戴帽不系帽扣的，每发现1次，乙方应向甲方支付违约金20元/人。施工周边未进行有效防护的，每发现1次，乙方应向甲方支付违约金200元。现场作业防护不到位，影响交通通行的，被道路交管部门执法通报的，每发现1次，乙方应向甲方支付违约金2000元。</w:t>
      </w:r>
      <w:r/>
    </w:p>
    <w:p>
      <w:pPr>
        <w:ind w:firstLine="480"/>
        <w:spacing w:line="360" w:lineRule="auto"/>
        <w:rPr>
          <w:rFonts w:ascii="宋体" w:hAnsi="宋体" w:cs="宋体"/>
          <w:bCs/>
          <w:sz w:val="24"/>
        </w:rPr>
      </w:pPr>
      <w:r>
        <w:rPr>
          <w:rFonts w:hint="eastAsia" w:ascii="宋体" w:hAnsi="宋体" w:cs="宋体"/>
          <w:bCs/>
          <w:sz w:val="24"/>
        </w:rPr>
        <w:t xml:space="preserve">10.乙方的施工行为、施工围护应符合属地政府、管理部门、居民的合理要求，经甲方或行政管理部门检查存在不合格现象的，每发生1次，乙方应向甲方支付违约金2000元。若被居民投诉举报，经甲方核实后，每发生1次，乙方应应向甲方支付违约金5000元。若被电台、电视台、报纸等媒体曝光，经甲方核实后，每发生1次，乙方应向甲方支付违约金10000元。</w:t>
      </w:r>
      <w:r/>
    </w:p>
    <w:p>
      <w:pPr>
        <w:pStyle w:val="1294"/>
        <w:ind w:firstLine="480"/>
        <w:spacing w:before="0" w:line="360" w:lineRule="auto"/>
      </w:pPr>
      <w:r>
        <w:rPr>
          <w:rFonts w:hint="eastAsia"/>
        </w:rPr>
        <w:t xml:space="preserve">11.未经甲方书面同意，乙方不得随意更换项目组人员，且投入的各类人员需符合其投标承诺，否则每发生1次，乙方应向甲方支付违约金10000元，且甲方有权要求其立即纠正。若乙方拒不纠正的，甲方有权解除合同。</w:t>
      </w:r>
      <w:r/>
    </w:p>
    <w:p>
      <w:pPr>
        <w:pStyle w:val="1294"/>
        <w:ind w:firstLine="480"/>
        <w:spacing w:before="0" w:line="360" w:lineRule="auto"/>
      </w:pPr>
      <w:r>
        <w:rPr>
          <w:rFonts w:hint="eastAsia"/>
        </w:rPr>
        <w:t xml:space="preserve">12.未经甲方书面同意，乙方擅自停止服务工作，乙方应赔偿甲方因此遭受的全部损失，每发生1次，乙方应向甲方支付违约金1万元，同时甲方有权解除合同。</w:t>
      </w:r>
      <w:r/>
    </w:p>
    <w:p>
      <w:pPr>
        <w:pStyle w:val="1294"/>
        <w:ind w:firstLine="480"/>
        <w:spacing w:before="0" w:line="360" w:lineRule="auto"/>
      </w:pPr>
      <w:r>
        <w:rPr>
          <w:rFonts w:hint="eastAsia"/>
        </w:rPr>
        <w:t xml:space="preserve">13.合同签订后15日内，项目组人员未配备完整，或履行本项目所需的设备未配置齐全或不能正常使用的，每推延1天，乙方应向甲方支付违约金1000元，同时甲方有权解除合同。</w:t>
      </w:r>
      <w:r/>
    </w:p>
    <w:p>
      <w:pPr>
        <w:pStyle w:val="1294"/>
        <w:ind w:firstLine="480"/>
        <w:spacing w:before="0" w:line="360" w:lineRule="auto"/>
      </w:pPr>
      <w:r>
        <w:rPr>
          <w:rFonts w:hint="eastAsia"/>
        </w:rPr>
        <w:t xml:space="preserve">14.乙方在合同执行过程中，发生不满足投标承诺配备的人员、装备等事项，且未整改到位的，按其违反事项对应的评标得分，向甲方支付合同预估总价相应比例的违约金。例如投标时若表明投入污泥车2辆，评标得分4分，实际投入1辆且拒绝整改的，经考核应支付违约金150*2%=3万元。</w:t>
      </w:r>
      <w:r/>
    </w:p>
    <w:p>
      <w:pPr>
        <w:pStyle w:val="1294"/>
        <w:ind w:firstLine="480"/>
        <w:spacing w:before="0" w:line="360" w:lineRule="auto"/>
      </w:pPr>
      <w:r>
        <w:rPr>
          <w:rFonts w:hint="eastAsia"/>
        </w:rPr>
        <w:t xml:space="preserve">15.本合同约定的各项违约金，甲方有权从履约保证金或未支付的结算款中直接扣除。违约金不足以弥补甲方损失的，甲方有权继续向乙方追偿。</w:t>
      </w:r>
      <w:r/>
    </w:p>
    <w:p>
      <w:pPr>
        <w:ind w:firstLine="482"/>
        <w:spacing w:line="360" w:lineRule="auto"/>
        <w:rPr>
          <w:rFonts w:ascii="宋体" w:hAnsi="宋体" w:cs="宋体"/>
          <w:b/>
          <w:sz w:val="24"/>
        </w:rPr>
      </w:pPr>
      <w:r>
        <w:rPr>
          <w:rFonts w:hint="eastAsia" w:ascii="宋体" w:hAnsi="宋体" w:cs="宋体"/>
          <w:b/>
          <w:sz w:val="24"/>
        </w:rPr>
        <w:t xml:space="preserve">十、</w:t>
      </w:r>
      <w:r>
        <w:rPr>
          <w:rFonts w:hint="eastAsia" w:ascii="宋体" w:hAnsi="宋体"/>
          <w:b/>
          <w:sz w:val="24"/>
        </w:rPr>
        <w:t xml:space="preserve">合同的变更和终止</w:t>
      </w:r>
      <w:r/>
    </w:p>
    <w:p>
      <w:pPr>
        <w:ind w:firstLine="480"/>
        <w:spacing w:line="360" w:lineRule="auto"/>
        <w:rPr>
          <w:rFonts w:ascii="宋体" w:hAnsi="宋体" w:cs="宋体"/>
          <w:sz w:val="24"/>
        </w:rPr>
      </w:pPr>
      <w:r>
        <w:rPr>
          <w:rFonts w:hint="eastAsia" w:ascii="宋体" w:hAnsi="宋体" w:cs="宋体"/>
          <w:sz w:val="24"/>
        </w:rPr>
        <w:t xml:space="preserve">1.本合同内容如需变更或补充，应经甲乙双方协商后，共同签署书面补充协议。</w:t>
      </w:r>
      <w:r/>
    </w:p>
    <w:p>
      <w:pPr>
        <w:ind w:firstLine="480"/>
        <w:spacing w:line="360" w:lineRule="auto"/>
        <w:rPr>
          <w:rFonts w:ascii="宋体" w:hAnsi="宋体" w:cs="宋体"/>
          <w:sz w:val="24"/>
        </w:rPr>
      </w:pPr>
      <w:r>
        <w:rPr>
          <w:rFonts w:hint="eastAsia" w:ascii="宋体" w:hAnsi="宋体" w:cs="宋体"/>
          <w:sz w:val="24"/>
        </w:rPr>
        <w:t xml:space="preserve">2.合同的解除</w:t>
      </w:r>
      <w:r/>
    </w:p>
    <w:p>
      <w:pPr>
        <w:ind w:firstLine="480"/>
        <w:spacing w:line="360" w:lineRule="auto"/>
        <w:rPr>
          <w:rFonts w:ascii="宋体" w:hAnsi="宋体" w:cs="宋体"/>
          <w:sz w:val="24"/>
        </w:rPr>
      </w:pPr>
      <w:r>
        <w:rPr>
          <w:rFonts w:hint="eastAsia" w:ascii="宋体" w:hAnsi="宋体" w:cs="宋体"/>
          <w:sz w:val="24"/>
        </w:rPr>
        <w:t xml:space="preserve">（1）如甲乙双方协商一致，可以解除合同。</w:t>
      </w:r>
      <w:r/>
    </w:p>
    <w:p>
      <w:pPr>
        <w:ind w:firstLine="480"/>
        <w:spacing w:line="360" w:lineRule="auto"/>
        <w:rPr>
          <w:rFonts w:ascii="宋体" w:hAnsi="宋体" w:cs="宋体"/>
          <w:sz w:val="24"/>
        </w:rPr>
      </w:pPr>
      <w:r>
        <w:rPr>
          <w:rFonts w:hint="eastAsia" w:ascii="宋体" w:hAnsi="宋体" w:cs="宋体"/>
          <w:sz w:val="24"/>
        </w:rPr>
        <w:t xml:space="preserve">（2）乙方由于破产、关停或其他原因而无法继续履行本合同的，甲方有权单方面解除本合同。</w:t>
      </w:r>
      <w:r/>
    </w:p>
    <w:p>
      <w:pPr>
        <w:ind w:firstLine="480"/>
        <w:spacing w:line="360" w:lineRule="auto"/>
        <w:rPr>
          <w:rFonts w:ascii="宋体" w:hAnsi="宋体" w:cs="宋体"/>
          <w:sz w:val="24"/>
        </w:rPr>
      </w:pPr>
      <w:r>
        <w:rPr>
          <w:rFonts w:hint="eastAsia" w:ascii="宋体" w:hAnsi="宋体" w:cs="宋体"/>
          <w:sz w:val="24"/>
        </w:rPr>
        <w:t xml:space="preserve">（3）乙方在履约过程中，有下列情形之一的，甲方有权单方面解除合同，并扣除履约保证金，乙方应赔偿甲方因此遭受的全部损失：</w:t>
      </w:r>
      <w:r/>
    </w:p>
    <w:p>
      <w:pPr>
        <w:ind w:firstLine="480"/>
        <w:spacing w:line="360" w:lineRule="auto"/>
        <w:rPr>
          <w:rFonts w:ascii="宋体" w:hAnsi="宋体" w:cs="宋体"/>
          <w:sz w:val="24"/>
        </w:rPr>
      </w:pPr>
      <w:r>
        <w:rPr>
          <w:rFonts w:hint="eastAsia" w:ascii="宋体" w:hAnsi="宋体" w:cs="宋体"/>
          <w:sz w:val="24"/>
        </w:rPr>
        <w:t xml:space="preserve">①乙方对本项目进行转包或违法分包；</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2 \* GB3</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因乙方原因导致工期滞后合同总工期的20%（开工日期以开工令为准，竣工日期以竣工验收合格之日为准）；</w:t>
      </w:r>
      <w:r/>
    </w:p>
    <w:p>
      <w:pPr>
        <w:ind w:firstLine="480"/>
        <w:spacing w:line="360" w:lineRule="auto"/>
        <w:rPr>
          <w:rFonts w:ascii="宋体" w:hAnsi="宋体" w:cs="宋体"/>
          <w:sz w:val="24"/>
        </w:rPr>
      </w:pPr>
      <w:r>
        <w:rPr>
          <w:rFonts w:hint="eastAsia" w:ascii="宋体" w:hAnsi="宋体" w:cs="宋体"/>
          <w:sz w:val="24"/>
        </w:rPr>
        <w:t xml:space="preserve">③施工期间被相关行政主管部门勒令停工整改次数超过2次以上（含2次）的；</w:t>
      </w:r>
      <w:r/>
    </w:p>
    <w:p>
      <w:pPr>
        <w:ind w:firstLine="480"/>
        <w:spacing w:line="360" w:lineRule="auto"/>
        <w:rPr>
          <w:rFonts w:ascii="宋体" w:hAnsi="宋体" w:cs="宋体"/>
          <w:sz w:val="24"/>
        </w:rPr>
      </w:pPr>
      <w:r>
        <w:rPr>
          <w:rFonts w:hint="eastAsia" w:ascii="宋体" w:hAnsi="宋体" w:cs="宋体"/>
          <w:sz w:val="24"/>
        </w:rPr>
        <w:t xml:space="preserve">④其他任何施工行为被政府主管部门通报批评的；</w:t>
      </w:r>
      <w:r/>
    </w:p>
    <w:p>
      <w:pPr>
        <w:ind w:firstLine="480"/>
        <w:spacing w:line="360" w:lineRule="auto"/>
        <w:rPr>
          <w:rFonts w:ascii="宋体" w:hAnsi="宋体" w:cs="宋体"/>
          <w:sz w:val="24"/>
        </w:rPr>
      </w:pPr>
      <w:r>
        <w:rPr>
          <w:rFonts w:hint="eastAsia" w:ascii="宋体" w:hAnsi="宋体" w:cs="宋体"/>
          <w:sz w:val="24"/>
        </w:rPr>
        <w:t xml:space="preserve">⑤合同签订后15日内，项目组人员未按投标承诺配备完整，或履行本项目所需的设备未配置齐全或不能正常使用的；</w:t>
      </w:r>
      <w:r/>
    </w:p>
    <w:p>
      <w:pPr>
        <w:ind w:firstLine="480"/>
        <w:spacing w:line="360" w:lineRule="auto"/>
        <w:rPr>
          <w:rFonts w:ascii="宋体" w:hAnsi="宋体" w:cs="宋体"/>
          <w:sz w:val="24"/>
        </w:rPr>
      </w:pPr>
      <w:r>
        <w:rPr>
          <w:rFonts w:hint="eastAsia" w:ascii="宋体" w:hAnsi="宋体" w:cs="宋体"/>
          <w:sz w:val="24"/>
        </w:rPr>
        <w:t xml:space="preserve">⑥乙方未能履行本合同约定的主要义务，经催告后在合理期限内仍未履行的，或者有其他违约行为致使不能实现合同目的的；</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7 \* GB3</w:instrText>
      </w:r>
      <w:r>
        <w:rPr>
          <w:rFonts w:ascii="宋体" w:hAnsi="宋体" w:cs="宋体"/>
          <w:sz w:val="24"/>
        </w:rPr>
        <w:fldChar w:fldCharType="separate"/>
      </w:r>
      <w:r>
        <w:rPr>
          <w:rFonts w:hint="eastAsia" w:ascii="宋体" w:hAnsi="宋体" w:cs="宋体"/>
          <w:sz w:val="24"/>
        </w:rPr>
        <w:t xml:space="preserve">⑦</w:t>
      </w:r>
      <w:r>
        <w:rPr>
          <w:rFonts w:ascii="宋体" w:hAnsi="宋体" w:cs="宋体"/>
          <w:sz w:val="24"/>
        </w:rPr>
        <w:fldChar w:fldCharType="end"/>
      </w:r>
      <w:r>
        <w:rPr>
          <w:rFonts w:hint="eastAsia" w:ascii="宋体" w:hAnsi="宋体" w:cs="宋体"/>
          <w:sz w:val="24"/>
        </w:rPr>
        <w:t xml:space="preserve">乙方存在其他违法或严重违约的行为。</w:t>
      </w:r>
      <w:r/>
    </w:p>
    <w:p>
      <w:pPr>
        <w:ind w:firstLine="482"/>
        <w:spacing w:line="360" w:lineRule="auto"/>
        <w:rPr>
          <w:rFonts w:ascii="宋体" w:hAnsi="宋体" w:cs="宋体"/>
          <w:b/>
          <w:sz w:val="24"/>
        </w:rPr>
      </w:pPr>
      <w:r>
        <w:rPr>
          <w:rFonts w:hint="eastAsia" w:ascii="宋体" w:hAnsi="宋体" w:cs="宋体"/>
          <w:b/>
          <w:sz w:val="24"/>
        </w:rPr>
        <w:t xml:space="preserve">十一、争议解决方法</w:t>
      </w:r>
      <w:r/>
    </w:p>
    <w:p>
      <w:pPr>
        <w:ind w:firstLine="480"/>
        <w:spacing w:line="360" w:lineRule="auto"/>
        <w:rPr>
          <w:rFonts w:ascii="宋体" w:hAnsi="宋体" w:cs="宋体"/>
          <w:sz w:val="24"/>
        </w:rPr>
      </w:pPr>
      <w:r>
        <w:rPr>
          <w:rFonts w:hint="eastAsia" w:ascii="宋体" w:hAnsi="宋体" w:cs="宋体"/>
          <w:sz w:val="24"/>
        </w:rPr>
        <w:t xml:space="preserve">1.本合同适用中华人民共和国法律。因本合同引起的任何争议，双方可首先友好协商解决。争议解决方式：双方同意选择仲裁方式处理合同争议，仲裁机构为常州仲裁委员会。</w:t>
      </w:r>
      <w:r/>
    </w:p>
    <w:p>
      <w:pPr>
        <w:ind w:firstLine="480"/>
        <w:spacing w:line="360" w:lineRule="auto"/>
        <w:rPr>
          <w:rFonts w:ascii="宋体" w:hAnsi="宋体" w:cs="宋体"/>
          <w:sz w:val="24"/>
        </w:rPr>
      </w:pPr>
      <w:r>
        <w:rPr>
          <w:rFonts w:hint="eastAsia" w:ascii="宋体" w:hAnsi="宋体" w:cs="宋体"/>
          <w:sz w:val="24"/>
        </w:rPr>
        <w:t xml:space="preserve">2.双方对于仲裁的约定</w:t>
      </w:r>
      <w:r/>
    </w:p>
    <w:p>
      <w:pPr>
        <w:ind w:firstLine="480"/>
        <w:spacing w:line="360" w:lineRule="auto"/>
        <w:rPr>
          <w:rFonts w:ascii="宋体" w:hAnsi="宋体" w:cs="宋体"/>
          <w:sz w:val="24"/>
        </w:rPr>
      </w:pPr>
      <w:r>
        <w:rPr>
          <w:rFonts w:hint="eastAsia" w:ascii="宋体" w:hAnsi="宋体" w:cs="宋体"/>
          <w:sz w:val="24"/>
        </w:rPr>
        <w:t xml:space="preserve">（1）双方同意在争议仲裁期间，除与争议直接相关的部分外，本合同其余部分应继续履行。仲裁庭另有决定的，按仲裁庭要求执行。乙方承诺，即便发生争议，其仍将继续提供涉及公共安全的核心服务，直至新的服务提供商完成接管。甲方如需进行过渡安排，乙方应予以全面配合。</w:t>
      </w:r>
      <w:r/>
    </w:p>
    <w:p>
      <w:pPr>
        <w:ind w:firstLine="480"/>
        <w:spacing w:line="360" w:lineRule="auto"/>
        <w:rPr>
          <w:rFonts w:ascii="宋体" w:hAnsi="宋体" w:cs="宋体"/>
          <w:sz w:val="24"/>
        </w:rPr>
      </w:pPr>
      <w:r>
        <w:rPr>
          <w:rFonts w:hint="eastAsia" w:ascii="宋体" w:hAnsi="宋体" w:cs="宋体"/>
          <w:sz w:val="24"/>
        </w:rPr>
        <w:t xml:space="preserve">（2）双方同意争议解决适用简易程序和先行裁决：对于涉及合同是否解除等紧迫问题的争议，双方同意可提请仲裁庭适用简易程序，也可同时提请进行先行裁决（部分裁决）。</w:t>
      </w:r>
      <w:r/>
    </w:p>
    <w:p>
      <w:pPr>
        <w:ind w:firstLine="480"/>
        <w:spacing w:line="360" w:lineRule="auto"/>
        <w:rPr>
          <w:rFonts w:ascii="宋体" w:hAnsi="宋体" w:cs="宋体"/>
          <w:sz w:val="24"/>
        </w:rPr>
      </w:pPr>
      <w:r>
        <w:rPr>
          <w:rFonts w:hint="eastAsia" w:ascii="宋体" w:hAnsi="宋体" w:cs="宋体"/>
          <w:sz w:val="24"/>
        </w:rPr>
        <w:t xml:space="preserve">（3）仲裁裁决是终局的，对双方均有约束力。</w:t>
      </w:r>
      <w:r/>
    </w:p>
    <w:p>
      <w:pPr>
        <w:ind w:firstLine="480"/>
        <w:spacing w:line="360" w:lineRule="auto"/>
        <w:rPr>
          <w:rFonts w:ascii="宋体" w:hAnsi="宋体" w:cs="宋体"/>
          <w:sz w:val="24"/>
        </w:rPr>
      </w:pPr>
      <w:r>
        <w:rPr>
          <w:rFonts w:hint="eastAsia" w:ascii="宋体" w:hAnsi="宋体" w:cs="宋体"/>
          <w:sz w:val="24"/>
        </w:rPr>
        <w:t xml:space="preserve">（4）因乙方违约、甲方选择解除合同的，可提前向乙方发出《合同解除通知书》。乙方对解除合同有争议的，应于15日内向常州仲裁委员会申请仲裁，并书面告知甲方；乙方对解除合同没有异议的，应书面告知同意解除合同，并在《合同解除通知书》要求的时间内，按本合同规定做好交接和善后工作，合同解除的具体时间以《合同解除通知书》中载明的时间为准。未按时履行交接，每延迟一天，按本合同预估总价的0.5%支付违约金, 违约金最高为本合同预估总价的15%。</w:t>
      </w:r>
      <w:r/>
    </w:p>
    <w:p>
      <w:pPr>
        <w:pStyle w:val="1026"/>
        <w:ind w:firstLine="482"/>
        <w:spacing w:line="360" w:lineRule="auto"/>
        <w:rPr>
          <w:rFonts w:hAnsi="宋体"/>
          <w:b/>
          <w:bCs/>
        </w:rPr>
      </w:pPr>
      <w:r>
        <w:rPr>
          <w:rFonts w:hint="eastAsia" w:hAnsi="宋体"/>
          <w:b/>
          <w:bCs/>
        </w:rPr>
        <w:t xml:space="preserve">十二、合同生效及其他</w:t>
      </w:r>
      <w:r/>
    </w:p>
    <w:p>
      <w:pPr>
        <w:pStyle w:val="1026"/>
        <w:ind w:firstLine="480"/>
        <w:spacing w:line="360" w:lineRule="auto"/>
        <w:rPr>
          <w:rFonts w:hAnsi="宋体"/>
        </w:rPr>
      </w:pPr>
      <w:r>
        <w:rPr>
          <w:rFonts w:hint="eastAsia" w:hAnsi="宋体"/>
        </w:rPr>
        <w:t xml:space="preserve">1.本合同自甲乙双方盖章之日起生效。</w:t>
      </w:r>
      <w:r/>
    </w:p>
    <w:p>
      <w:pPr>
        <w:pStyle w:val="1026"/>
        <w:ind w:firstLine="480"/>
        <w:spacing w:line="360" w:lineRule="auto"/>
        <w:rPr>
          <w:rFonts w:hAnsi="宋体"/>
        </w:rPr>
      </w:pPr>
      <w:r>
        <w:rPr>
          <w:rFonts w:hint="eastAsia" w:hAnsi="宋体"/>
        </w:rPr>
        <w:t xml:space="preserve">2.本合同一式陆份，甲方执叁份,乙方执贰份。</w:t>
      </w:r>
      <w:r/>
    </w:p>
    <w:p>
      <w:pPr>
        <w:pStyle w:val="1026"/>
        <w:ind w:firstLine="480"/>
        <w:spacing w:line="360" w:lineRule="auto"/>
        <w:rPr>
          <w:rFonts w:hAnsi="宋体"/>
        </w:rPr>
      </w:pPr>
      <w:r>
        <w:rPr>
          <w:rFonts w:hAnsi="宋体"/>
        </w:rPr>
      </w:r>
      <w:r/>
    </w:p>
    <w:p>
      <w:pPr>
        <w:pStyle w:val="1026"/>
        <w:ind w:firstLine="480"/>
        <w:spacing w:line="360" w:lineRule="auto"/>
        <w:rPr>
          <w:rFonts w:hAnsi="宋体"/>
        </w:rPr>
      </w:pPr>
      <w:r>
        <w:rPr>
          <w:rFonts w:hAnsi="宋体"/>
        </w:rPr>
      </w:r>
      <w:r/>
    </w:p>
    <w:p>
      <w:pPr>
        <w:pStyle w:val="1026"/>
        <w:ind w:firstLine="0"/>
        <w:spacing w:line="360" w:lineRule="auto"/>
        <w:rPr>
          <w:rFonts w:hAnsi="宋体"/>
          <w:b/>
        </w:rPr>
      </w:pPr>
      <w:r>
        <w:rPr>
          <w:rFonts w:hAnsi="宋体" w:cs="宋体"/>
        </w:rPr>
        <w:br w:type="page" w:clear="all"/>
      </w:r>
      <w:r>
        <w:rPr>
          <w:rFonts w:hint="eastAsia" w:hAnsi="宋体"/>
          <w:b/>
          <w:bCs/>
        </w:rPr>
        <w:t xml:space="preserve">（合同签章页）</w:t>
      </w:r>
      <w:r/>
    </w:p>
    <w:p>
      <w:pPr>
        <w:pStyle w:val="1026"/>
        <w:ind w:firstLine="480"/>
        <w:spacing w:line="360" w:lineRule="auto"/>
        <w:rPr>
          <w:rFonts w:hAnsi="宋体"/>
        </w:rPr>
      </w:pPr>
      <w:r>
        <w:rPr>
          <w:rFonts w:hAnsi="宋体"/>
        </w:rPr>
      </w:r>
      <w:r/>
    </w:p>
    <w:p>
      <w:pPr>
        <w:spacing w:line="360" w:lineRule="auto"/>
        <w:rPr>
          <w:rFonts w:ascii="宋体" w:hAnsi="宋体"/>
          <w:sz w:val="24"/>
        </w:rPr>
      </w:pPr>
      <w:r>
        <w:rPr>
          <w:rFonts w:hint="eastAsia" w:ascii="宋体" w:hAnsi="宋体"/>
          <w:sz w:val="24"/>
        </w:rPr>
        <w:t xml:space="preserve">甲方：常州市排水管理处</w:t>
      </w:r>
      <w:r/>
    </w:p>
    <w:p>
      <w:pPr>
        <w:spacing w:line="360" w:lineRule="auto"/>
        <w:rPr>
          <w:rFonts w:ascii="宋体" w:hAnsi="宋体"/>
          <w:sz w:val="24"/>
          <w:u w:val="single"/>
        </w:rPr>
      </w:pPr>
      <w:r>
        <w:rPr>
          <w:rFonts w:hint="eastAsia" w:ascii="宋体" w:hAnsi="宋体"/>
          <w:sz w:val="24"/>
        </w:rPr>
        <w:t xml:space="preserve">单位名称（章）：</w:t>
      </w:r>
      <w:r/>
    </w:p>
    <w:p>
      <w:pPr>
        <w:spacing w:line="360" w:lineRule="auto"/>
        <w:rPr>
          <w:rFonts w:ascii="宋体" w:hAnsi="宋体"/>
          <w:sz w:val="24"/>
          <w:u w:val="single"/>
        </w:rPr>
      </w:pPr>
      <w:r>
        <w:rPr>
          <w:rFonts w:hint="eastAsia" w:ascii="宋体" w:hAnsi="宋体"/>
          <w:sz w:val="24"/>
        </w:rPr>
        <w:t xml:space="preserve">单位地址：</w:t>
      </w:r>
      <w:r>
        <w:rPr>
          <w:rFonts w:hint="eastAsia" w:ascii="宋体" w:hAnsi="宋体"/>
          <w:sz w:val="24"/>
          <w:u w:val="single"/>
        </w:rPr>
        <w:t xml:space="preserve">常州市天宁区飞龙东路116号</w:t>
      </w:r>
      <w:r/>
    </w:p>
    <w:p>
      <w:pPr>
        <w:spacing w:line="360" w:lineRule="auto"/>
        <w:rPr>
          <w:rFonts w:ascii="宋体" w:hAnsi="宋体"/>
          <w:sz w:val="24"/>
        </w:rPr>
      </w:pPr>
      <w:r>
        <w:rPr>
          <w:rFonts w:hint="eastAsia" w:ascii="宋体" w:hAnsi="宋体"/>
          <w:sz w:val="24"/>
        </w:rPr>
        <w:t xml:space="preserve">法定代表人：</w:t>
      </w:r>
      <w:r/>
    </w:p>
    <w:p>
      <w:pPr>
        <w:spacing w:line="360" w:lineRule="auto"/>
        <w:rPr>
          <w:rFonts w:ascii="宋体" w:hAnsi="宋体"/>
          <w:sz w:val="24"/>
        </w:rPr>
      </w:pPr>
      <w:r>
        <w:rPr>
          <w:rFonts w:hint="eastAsia" w:ascii="宋体" w:hAnsi="宋体"/>
          <w:sz w:val="24"/>
        </w:rPr>
        <w:t xml:space="preserve">委托代理人：</w:t>
      </w:r>
      <w:r/>
    </w:p>
    <w:p>
      <w:pPr>
        <w:spacing w:line="360" w:lineRule="auto"/>
        <w:rPr>
          <w:rFonts w:ascii="宋体" w:hAnsi="宋体"/>
          <w:sz w:val="24"/>
        </w:rPr>
      </w:pPr>
      <w:r>
        <w:rPr>
          <w:rFonts w:hint="eastAsia" w:ascii="宋体" w:hAnsi="宋体"/>
          <w:sz w:val="24"/>
        </w:rPr>
        <w:t xml:space="preserve">联系电话：</w:t>
      </w:r>
      <w:r/>
    </w:p>
    <w:p>
      <w:pPr>
        <w:spacing w:line="360" w:lineRule="auto"/>
        <w:rPr>
          <w:rFonts w:ascii="宋体" w:hAnsi="宋体"/>
          <w:sz w:val="24"/>
        </w:rPr>
      </w:pPr>
      <w:r>
        <w:rPr>
          <w:rFonts w:hint="eastAsia" w:ascii="宋体" w:hAnsi="宋体"/>
          <w:sz w:val="24"/>
        </w:rPr>
        <w:t xml:space="preserve">日期：_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乙方：</w:t>
      </w:r>
      <w:r/>
    </w:p>
    <w:p>
      <w:pPr>
        <w:spacing w:line="360" w:lineRule="auto"/>
        <w:rPr>
          <w:rFonts w:ascii="宋体" w:hAnsi="宋体"/>
          <w:sz w:val="24"/>
          <w:u w:val="single"/>
        </w:rPr>
      </w:pPr>
      <w:r>
        <w:rPr>
          <w:rFonts w:hint="eastAsia" w:ascii="宋体" w:hAnsi="宋体"/>
          <w:sz w:val="24"/>
        </w:rPr>
        <w:t xml:space="preserve">单位名称（章）：</w:t>
      </w:r>
      <w:r/>
    </w:p>
    <w:p>
      <w:pPr>
        <w:spacing w:line="360" w:lineRule="auto"/>
        <w:rPr>
          <w:rFonts w:ascii="宋体" w:hAnsi="宋体"/>
          <w:sz w:val="24"/>
          <w:u w:val="single"/>
        </w:rPr>
      </w:pPr>
      <w:r>
        <w:rPr>
          <w:rFonts w:hint="eastAsia" w:ascii="宋体" w:hAnsi="宋体"/>
          <w:sz w:val="24"/>
        </w:rPr>
        <w:t xml:space="preserve">单位地址：</w:t>
      </w:r>
      <w:r/>
    </w:p>
    <w:p>
      <w:pPr>
        <w:spacing w:line="360" w:lineRule="auto"/>
        <w:rPr>
          <w:rFonts w:ascii="宋体" w:hAnsi="宋体"/>
          <w:sz w:val="24"/>
        </w:rPr>
      </w:pPr>
      <w:r>
        <w:rPr>
          <w:rFonts w:hint="eastAsia" w:ascii="宋体" w:hAnsi="宋体"/>
          <w:sz w:val="24"/>
        </w:rPr>
        <w:t xml:space="preserve">法定代表人：</w:t>
      </w:r>
      <w:r/>
    </w:p>
    <w:p>
      <w:pPr>
        <w:spacing w:line="360" w:lineRule="auto"/>
        <w:rPr>
          <w:rFonts w:ascii="宋体" w:hAnsi="宋体"/>
          <w:sz w:val="24"/>
        </w:rPr>
      </w:pPr>
      <w:r>
        <w:rPr>
          <w:rFonts w:hint="eastAsia" w:ascii="宋体" w:hAnsi="宋体"/>
          <w:sz w:val="24"/>
        </w:rPr>
        <w:t xml:space="preserve">委托代理人：</w:t>
      </w:r>
      <w:r/>
    </w:p>
    <w:p>
      <w:pPr>
        <w:spacing w:line="360" w:lineRule="auto"/>
        <w:rPr>
          <w:rFonts w:ascii="宋体" w:hAnsi="宋体"/>
          <w:sz w:val="24"/>
        </w:rPr>
      </w:pPr>
      <w:r>
        <w:rPr>
          <w:rFonts w:hint="eastAsia" w:ascii="宋体" w:hAnsi="宋体"/>
          <w:sz w:val="24"/>
        </w:rPr>
        <w:t xml:space="preserve">联系电话：</w:t>
      </w:r>
      <w:r/>
    </w:p>
    <w:p>
      <w:pPr>
        <w:spacing w:line="360" w:lineRule="auto"/>
        <w:rPr>
          <w:rFonts w:ascii="宋体" w:hAnsi="宋体"/>
          <w:sz w:val="24"/>
        </w:rPr>
      </w:pPr>
      <w:r>
        <w:rPr>
          <w:rFonts w:hint="eastAsia" w:ascii="宋体" w:hAnsi="宋体"/>
          <w:sz w:val="24"/>
        </w:rPr>
        <w:t xml:space="preserve">日期：_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p>
    <w:p>
      <w:pPr>
        <w:spacing w:line="360" w:lineRule="auto"/>
        <w:rPr>
          <w:rFonts w:ascii="宋体" w:hAnsi="宋体"/>
          <w:sz w:val="24"/>
        </w:rPr>
      </w:pPr>
      <w:r>
        <w:rPr>
          <w:rFonts w:ascii="宋体" w:hAnsi="宋体"/>
          <w:sz w:val="24"/>
        </w:rPr>
      </w:r>
      <w:r/>
    </w:p>
    <w:p>
      <w:pPr>
        <w:spacing w:line="360" w:lineRule="auto"/>
        <w:rPr>
          <w:rFonts w:ascii="宋体" w:hAnsi="宋体"/>
          <w:sz w:val="24"/>
          <w:u w:val="single"/>
        </w:rPr>
      </w:pPr>
      <w:r>
        <w:rPr>
          <w:rFonts w:hint="eastAsia" w:ascii="宋体" w:hAnsi="宋体"/>
          <w:sz w:val="24"/>
        </w:rPr>
        <w:t xml:space="preserve">见证方（招标代理机构）：</w:t>
      </w:r>
      <w:r/>
    </w:p>
    <w:p>
      <w:pPr>
        <w:spacing w:line="360" w:lineRule="auto"/>
        <w:rPr>
          <w:rFonts w:ascii="宋体" w:hAnsi="宋体"/>
          <w:sz w:val="24"/>
          <w:u w:val="single"/>
        </w:rPr>
      </w:pPr>
      <w:r>
        <w:rPr>
          <w:rFonts w:hint="eastAsia" w:ascii="宋体" w:hAnsi="宋体"/>
          <w:sz w:val="24"/>
        </w:rPr>
        <w:t xml:space="preserve">单位地址：</w:t>
      </w:r>
      <w:r/>
    </w:p>
    <w:p>
      <w:pPr>
        <w:spacing w:line="360" w:lineRule="auto"/>
        <w:rPr>
          <w:rFonts w:ascii="宋体" w:hAnsi="宋体"/>
          <w:sz w:val="24"/>
        </w:rPr>
      </w:pPr>
      <w:r>
        <w:rPr>
          <w:rFonts w:hint="eastAsia" w:ascii="宋体" w:hAnsi="宋体"/>
          <w:sz w:val="24"/>
        </w:rPr>
        <w:t xml:space="preserve">法定代表人：</w:t>
      </w:r>
      <w:r/>
    </w:p>
    <w:p>
      <w:pPr>
        <w:spacing w:line="360" w:lineRule="auto"/>
        <w:rPr>
          <w:rFonts w:ascii="宋体" w:hAnsi="宋体"/>
          <w:sz w:val="24"/>
        </w:rPr>
      </w:pPr>
      <w:r>
        <w:rPr>
          <w:rFonts w:hint="eastAsia" w:ascii="宋体" w:hAnsi="宋体"/>
          <w:sz w:val="24"/>
        </w:rPr>
        <w:t xml:space="preserve">委托代理人：</w:t>
      </w:r>
      <w:r/>
    </w:p>
    <w:p>
      <w:pPr>
        <w:spacing w:line="360" w:lineRule="auto"/>
        <w:rPr>
          <w:rFonts w:ascii="宋体" w:hAnsi="宋体"/>
          <w:sz w:val="24"/>
        </w:rPr>
      </w:pPr>
      <w:r>
        <w:rPr>
          <w:rFonts w:hint="eastAsia" w:ascii="宋体" w:hAnsi="宋体"/>
          <w:sz w:val="24"/>
        </w:rPr>
        <w:t xml:space="preserve">联系电话：</w:t>
      </w:r>
      <w:r/>
    </w:p>
    <w:p>
      <w:pPr>
        <w:spacing w:line="360" w:lineRule="auto"/>
        <w:rPr>
          <w:rFonts w:ascii="宋体" w:hAnsi="宋体"/>
          <w:sz w:val="24"/>
        </w:rPr>
      </w:pPr>
      <w:r>
        <w:rPr>
          <w:rFonts w:hint="eastAsia" w:ascii="宋体" w:hAnsi="宋体"/>
          <w:sz w:val="24"/>
        </w:rPr>
        <w:t xml:space="preserve">日期：_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p>
    <w:p>
      <w:pPr>
        <w:jc w:val="center"/>
        <w:spacing w:line="360" w:lineRule="auto"/>
        <w:widowControl/>
        <w:rPr>
          <w:rFonts w:ascii="宋体" w:hAnsi="宋体"/>
          <w:sz w:val="24"/>
        </w:rPr>
      </w:pPr>
      <w:r>
        <w:rPr>
          <w:rFonts w:ascii="宋体" w:hAnsi="宋体" w:cs="宋体"/>
          <w:sz w:val="24"/>
        </w:rPr>
        <w:br w:type="page" w:clear="all"/>
      </w:r>
      <w:r>
        <w:rPr>
          <w:rFonts w:hint="eastAsia" w:ascii="宋体" w:hAnsi="宋体"/>
          <w:b/>
          <w:sz w:val="32"/>
          <w:szCs w:val="32"/>
        </w:rPr>
        <w:t xml:space="preserve">安全生产协议</w:t>
      </w:r>
      <w:r/>
    </w:p>
    <w:p>
      <w:pPr>
        <w:spacing w:line="360" w:lineRule="auto"/>
        <w:rPr>
          <w:rFonts w:ascii="宋体" w:hAnsi="宋体"/>
          <w:sz w:val="24"/>
          <w:szCs w:val="22"/>
        </w:rPr>
      </w:pPr>
      <w:r>
        <w:rPr>
          <w:rFonts w:hint="eastAsia" w:ascii="宋体" w:hAnsi="宋体"/>
          <w:sz w:val="24"/>
          <w:szCs w:val="22"/>
        </w:rPr>
        <w:t xml:space="preserve">协议单位：</w:t>
      </w:r>
      <w:r/>
    </w:p>
    <w:p>
      <w:pPr>
        <w:spacing w:line="440" w:lineRule="exact"/>
        <w:rPr>
          <w:rFonts w:ascii="宋体" w:hAnsi="宋体"/>
          <w:sz w:val="24"/>
          <w:szCs w:val="22"/>
        </w:rPr>
      </w:pPr>
      <w:r>
        <w:rPr>
          <w:rFonts w:hint="eastAsia" w:ascii="宋体" w:hAnsi="宋体"/>
          <w:sz w:val="24"/>
          <w:szCs w:val="22"/>
        </w:rPr>
        <w:t xml:space="preserve">甲方：</w:t>
      </w:r>
      <w:r>
        <w:rPr>
          <w:rFonts w:hint="eastAsia" w:ascii="宋体" w:hAnsi="宋体"/>
          <w:sz w:val="24"/>
          <w:u w:val="single"/>
        </w:rPr>
        <w:t xml:space="preserve">常州市排水管理处</w:t>
      </w:r>
      <w:r/>
    </w:p>
    <w:p>
      <w:pPr>
        <w:spacing w:line="440" w:lineRule="exact"/>
        <w:rPr>
          <w:rFonts w:ascii="宋体" w:hAnsi="宋体"/>
          <w:sz w:val="24"/>
          <w:szCs w:val="22"/>
        </w:rPr>
      </w:pPr>
      <w:r>
        <w:rPr>
          <w:rFonts w:hint="eastAsia" w:ascii="宋体" w:hAnsi="宋体"/>
          <w:sz w:val="24"/>
          <w:szCs w:val="22"/>
        </w:rPr>
        <w:t xml:space="preserve">乙方：</w:t>
      </w:r>
      <w:r/>
    </w:p>
    <w:p>
      <w:pPr>
        <w:spacing w:line="440" w:lineRule="exact"/>
        <w:rPr>
          <w:rFonts w:ascii="宋体" w:hAnsi="宋体"/>
          <w:sz w:val="24"/>
          <w:szCs w:val="22"/>
        </w:rPr>
      </w:pPr>
      <w:r>
        <w:rPr>
          <w:rFonts w:ascii="宋体" w:hAnsi="宋体"/>
          <w:sz w:val="24"/>
          <w:szCs w:val="22"/>
        </w:rPr>
      </w:r>
      <w:r/>
    </w:p>
    <w:p>
      <w:pPr>
        <w:ind w:firstLine="480"/>
        <w:spacing w:line="440" w:lineRule="exact"/>
        <w:rPr>
          <w:rFonts w:ascii="宋体" w:hAnsi="宋体"/>
          <w:sz w:val="24"/>
          <w:szCs w:val="22"/>
        </w:rPr>
      </w:pPr>
      <w:r>
        <w:rPr>
          <w:rFonts w:hint="eastAsia" w:ascii="宋体" w:hAnsi="宋体"/>
          <w:sz w:val="24"/>
          <w:szCs w:val="22"/>
        </w:rPr>
        <w:t xml:space="preserve">为贯彻“安全第一、预防为主、综合治理”的方针，根据国家有关法律法规规定，明确双方的安全生产责任，确保操作安全，双方自愿签订本安全生产协议，以资共同遵守。</w:t>
      </w:r>
      <w:r/>
    </w:p>
    <w:p>
      <w:pPr>
        <w:spacing w:line="440" w:lineRule="exact"/>
        <w:rPr>
          <w:rFonts w:ascii="宋体" w:hAnsi="宋体"/>
          <w:sz w:val="24"/>
          <w:szCs w:val="22"/>
        </w:rPr>
      </w:pPr>
      <w:r>
        <w:rPr>
          <w:rFonts w:hint="eastAsia" w:ascii="宋体" w:hAnsi="宋体"/>
          <w:sz w:val="24"/>
          <w:szCs w:val="22"/>
        </w:rPr>
        <w:t xml:space="preserve">一、承包工程项目</w:t>
      </w:r>
      <w:r/>
    </w:p>
    <w:p>
      <w:pPr>
        <w:ind w:firstLine="480"/>
        <w:spacing w:line="440" w:lineRule="exact"/>
        <w:rPr>
          <w:rFonts w:ascii="宋体" w:hAnsi="宋体"/>
          <w:sz w:val="24"/>
          <w:szCs w:val="22"/>
          <w:u w:val="single"/>
        </w:rPr>
      </w:pPr>
      <w:r>
        <w:rPr>
          <w:rFonts w:hint="eastAsia" w:ascii="宋体" w:hAnsi="宋体"/>
          <w:sz w:val="24"/>
          <w:szCs w:val="22"/>
        </w:rPr>
        <w:t xml:space="preserve">1.项目名称：</w:t>
      </w:r>
      <w:r>
        <w:rPr>
          <w:rFonts w:hint="eastAsia" w:ascii="宋体" w:hAnsi="宋体"/>
          <w:bCs/>
          <w:sz w:val="24"/>
          <w:szCs w:val="22"/>
          <w:u w:val="single"/>
        </w:rPr>
        <w:t xml:space="preserve">2026年管线功能性结构性检测</w:t>
      </w:r>
      <w:r/>
    </w:p>
    <w:p>
      <w:pPr>
        <w:ind w:firstLine="480"/>
        <w:spacing w:line="440" w:lineRule="exact"/>
        <w:rPr>
          <w:rFonts w:ascii="宋体" w:hAnsi="宋体"/>
          <w:sz w:val="24"/>
          <w:szCs w:val="22"/>
          <w:u w:val="single"/>
        </w:rPr>
      </w:pPr>
      <w:r>
        <w:rPr>
          <w:rFonts w:hint="eastAsia" w:ascii="宋体" w:hAnsi="宋体"/>
          <w:sz w:val="24"/>
          <w:szCs w:val="22"/>
        </w:rPr>
        <w:t xml:space="preserve">2.作业内容：</w:t>
      </w:r>
      <w:r>
        <w:rPr>
          <w:rFonts w:hint="eastAsia" w:ascii="宋体" w:hAnsi="宋体"/>
          <w:sz w:val="24"/>
          <w:szCs w:val="22"/>
          <w:u w:val="single"/>
        </w:rPr>
        <w:t xml:space="preserve">详见招标文件及合同</w:t>
      </w:r>
      <w:r/>
    </w:p>
    <w:p>
      <w:pPr>
        <w:ind w:firstLine="480"/>
        <w:spacing w:line="440" w:lineRule="exact"/>
        <w:rPr>
          <w:rFonts w:ascii="宋体" w:hAnsi="宋体"/>
          <w:sz w:val="24"/>
          <w:szCs w:val="22"/>
          <w:u w:val="single"/>
        </w:rPr>
      </w:pPr>
      <w:r>
        <w:rPr>
          <w:rFonts w:hint="eastAsia" w:ascii="宋体" w:hAnsi="宋体"/>
          <w:sz w:val="24"/>
          <w:szCs w:val="22"/>
        </w:rPr>
        <w:t xml:space="preserve">3.项目期限：</w:t>
      </w:r>
      <w:r>
        <w:rPr>
          <w:rFonts w:hint="eastAsia" w:ascii="宋体" w:hAnsi="宋体"/>
          <w:sz w:val="24"/>
          <w:szCs w:val="22"/>
          <w:u w:val="single"/>
        </w:rPr>
        <w:t xml:space="preserve">见合同</w:t>
      </w:r>
      <w:r/>
    </w:p>
    <w:p>
      <w:pPr>
        <w:spacing w:line="440" w:lineRule="exact"/>
        <w:rPr>
          <w:rFonts w:ascii="宋体" w:hAnsi="宋体"/>
          <w:sz w:val="24"/>
          <w:szCs w:val="22"/>
        </w:rPr>
      </w:pPr>
      <w:r>
        <w:rPr>
          <w:rFonts w:hint="eastAsia" w:ascii="宋体" w:hAnsi="宋体"/>
          <w:sz w:val="24"/>
          <w:szCs w:val="22"/>
        </w:rPr>
        <w:t xml:space="preserve">二、双方权利义务</w:t>
      </w:r>
      <w:r/>
    </w:p>
    <w:p>
      <w:pPr>
        <w:spacing w:line="440" w:lineRule="exact"/>
        <w:rPr>
          <w:rFonts w:ascii="宋体" w:hAnsi="宋体"/>
          <w:sz w:val="24"/>
          <w:szCs w:val="22"/>
        </w:rPr>
      </w:pPr>
      <w:r>
        <w:rPr>
          <w:rFonts w:hint="eastAsia" w:ascii="宋体" w:hAnsi="宋体"/>
          <w:sz w:val="24"/>
          <w:szCs w:val="22"/>
        </w:rPr>
        <w:t xml:space="preserve">    1.甲乙双方必须认真贯彻国家和上级劳动保护、安全生产主管部门颁发的有关安全生产、文明施工、消防工作的方针、政策，严格执行有关劳动保护法规、条例、规定。乙方必须服从属地行政部门和单位的管理，并使操作项目达到主合同约定的安全、文明、环保等方面的要求。</w:t>
      </w:r>
      <w:r/>
    </w:p>
    <w:p>
      <w:pPr>
        <w:ind w:firstLine="480"/>
        <w:spacing w:line="440" w:lineRule="exact"/>
        <w:rPr>
          <w:rFonts w:ascii="宋体" w:hAnsi="宋体"/>
          <w:sz w:val="24"/>
          <w:szCs w:val="22"/>
        </w:rPr>
      </w:pPr>
      <w:r>
        <w:rPr>
          <w:rFonts w:hint="eastAsia" w:ascii="宋体" w:hAnsi="宋体"/>
          <w:sz w:val="24"/>
          <w:szCs w:val="22"/>
        </w:rPr>
        <w:t xml:space="preserve">2.乙方应建立健全安全管理制度，加强本单位员工安全生产责任制度，督促员工自觉遵守安全生产法律法规和规章制度。</w:t>
      </w:r>
      <w:r/>
    </w:p>
    <w:p>
      <w:pPr>
        <w:ind w:firstLine="480"/>
        <w:spacing w:line="440" w:lineRule="exact"/>
        <w:rPr>
          <w:rFonts w:ascii="宋体" w:hAnsi="宋体"/>
          <w:sz w:val="24"/>
          <w:szCs w:val="22"/>
        </w:rPr>
      </w:pPr>
      <w:r>
        <w:rPr>
          <w:rFonts w:hint="eastAsia" w:ascii="宋体" w:hAnsi="宋体"/>
          <w:sz w:val="24"/>
          <w:szCs w:val="22"/>
        </w:rPr>
        <w:t xml:space="preserve">3.乙方委派的项目操作人员必须熟知和遵守本工种的各项安全技术操作规程，对于从事电气、起重、焊接、</w:t>
      </w:r>
      <w:r>
        <w:rPr>
          <w:rFonts w:ascii="宋体" w:hAnsi="宋体"/>
          <w:sz w:val="24"/>
          <w:szCs w:val="22"/>
        </w:rPr>
        <w:t xml:space="preserve">安装</w:t>
      </w:r>
      <w:r>
        <w:rPr>
          <w:rFonts w:hint="eastAsia" w:ascii="宋体" w:hAnsi="宋体"/>
          <w:sz w:val="24"/>
          <w:szCs w:val="22"/>
        </w:rPr>
        <w:t xml:space="preserve">等特殊工种的人员，需经过专业培训后持证上岗。</w:t>
      </w:r>
      <w:r/>
    </w:p>
    <w:p>
      <w:pPr>
        <w:ind w:firstLine="480"/>
        <w:spacing w:line="440" w:lineRule="exact"/>
        <w:rPr>
          <w:rFonts w:ascii="宋体" w:hAnsi="宋体"/>
          <w:sz w:val="24"/>
          <w:szCs w:val="22"/>
        </w:rPr>
      </w:pPr>
      <w:r>
        <w:rPr>
          <w:rFonts w:hint="eastAsia" w:ascii="宋体" w:hAnsi="宋体"/>
          <w:sz w:val="24"/>
          <w:szCs w:val="22"/>
        </w:rPr>
        <w:t xml:space="preserve">4.乙方作业应确保</w:t>
      </w:r>
      <w:r>
        <w:rPr>
          <w:rFonts w:ascii="宋体" w:hAnsi="宋体"/>
          <w:sz w:val="24"/>
          <w:szCs w:val="22"/>
        </w:rPr>
        <w:t xml:space="preserve">安全</w:t>
      </w:r>
      <w:r>
        <w:rPr>
          <w:rFonts w:hint="eastAsia" w:ascii="宋体" w:hAnsi="宋体"/>
          <w:sz w:val="24"/>
          <w:szCs w:val="22"/>
        </w:rPr>
        <w:t xml:space="preserve">,并落实</w:t>
      </w:r>
      <w:r>
        <w:rPr>
          <w:rFonts w:ascii="宋体" w:hAnsi="宋体"/>
          <w:sz w:val="24"/>
          <w:szCs w:val="22"/>
        </w:rPr>
        <w:t xml:space="preserve">安全责任</w:t>
      </w:r>
      <w:r>
        <w:rPr>
          <w:rFonts w:hint="eastAsia" w:ascii="宋体" w:hAnsi="宋体"/>
          <w:sz w:val="24"/>
          <w:szCs w:val="22"/>
        </w:rPr>
        <w:t xml:space="preserve">，作业</w:t>
      </w:r>
      <w:r>
        <w:rPr>
          <w:rFonts w:ascii="宋体" w:hAnsi="宋体"/>
          <w:sz w:val="24"/>
          <w:szCs w:val="22"/>
        </w:rPr>
        <w:t xml:space="preserve">安全</w:t>
      </w:r>
      <w:r>
        <w:rPr>
          <w:rFonts w:hint="eastAsia" w:ascii="宋体" w:hAnsi="宋体"/>
          <w:sz w:val="24"/>
          <w:szCs w:val="22"/>
        </w:rPr>
        <w:t xml:space="preserve">包括</w:t>
      </w:r>
      <w:r>
        <w:rPr>
          <w:rFonts w:ascii="宋体" w:hAnsi="宋体"/>
          <w:sz w:val="24"/>
          <w:szCs w:val="22"/>
        </w:rPr>
        <w:t xml:space="preserve">但不限于</w:t>
      </w:r>
      <w:r>
        <w:rPr>
          <w:rFonts w:hint="eastAsia" w:ascii="宋体" w:hAnsi="宋体"/>
          <w:sz w:val="24"/>
          <w:szCs w:val="22"/>
        </w:rPr>
        <w:t xml:space="preserve">作业</w:t>
      </w:r>
      <w:r>
        <w:rPr>
          <w:rFonts w:ascii="宋体" w:hAnsi="宋体"/>
          <w:sz w:val="24"/>
          <w:szCs w:val="22"/>
        </w:rPr>
        <w:t xml:space="preserve">环境、作业设施设备、作业活动、作业</w:t>
      </w:r>
      <w:r>
        <w:rPr>
          <w:rFonts w:hint="eastAsia" w:ascii="宋体" w:hAnsi="宋体"/>
          <w:sz w:val="24"/>
          <w:szCs w:val="22"/>
        </w:rPr>
        <w:t xml:space="preserve">流程</w:t>
      </w:r>
      <w:r>
        <w:rPr>
          <w:rFonts w:ascii="宋体" w:hAnsi="宋体"/>
          <w:sz w:val="24"/>
          <w:szCs w:val="22"/>
        </w:rPr>
        <w:t xml:space="preserve">合规、人员行为</w:t>
      </w:r>
      <w:r>
        <w:rPr>
          <w:rFonts w:hint="eastAsia" w:ascii="宋体" w:hAnsi="宋体"/>
          <w:sz w:val="24"/>
          <w:szCs w:val="22"/>
        </w:rPr>
        <w:t xml:space="preserve">等因素；</w:t>
      </w:r>
      <w:r>
        <w:rPr>
          <w:rFonts w:ascii="宋体" w:hAnsi="宋体"/>
          <w:sz w:val="24"/>
          <w:szCs w:val="22"/>
        </w:rPr>
        <w:t xml:space="preserve">如</w:t>
      </w:r>
      <w:r>
        <w:rPr>
          <w:rFonts w:hint="eastAsia" w:ascii="宋体" w:hAnsi="宋体"/>
          <w:sz w:val="24"/>
          <w:szCs w:val="22"/>
        </w:rPr>
        <w:t xml:space="preserve">作业</w:t>
      </w:r>
      <w:r>
        <w:rPr>
          <w:rFonts w:ascii="宋体" w:hAnsi="宋体"/>
          <w:sz w:val="24"/>
          <w:szCs w:val="22"/>
        </w:rPr>
        <w:t xml:space="preserve">现场因甲方</w:t>
      </w:r>
      <w:r>
        <w:rPr>
          <w:rFonts w:hint="eastAsia" w:ascii="宋体" w:hAnsi="宋体"/>
          <w:sz w:val="24"/>
          <w:szCs w:val="22"/>
        </w:rPr>
        <w:t xml:space="preserve">的</w:t>
      </w:r>
      <w:r>
        <w:rPr>
          <w:rFonts w:ascii="宋体" w:hAnsi="宋体"/>
          <w:sz w:val="24"/>
          <w:szCs w:val="22"/>
        </w:rPr>
        <w:t xml:space="preserve">原因</w:t>
      </w:r>
      <w:r>
        <w:rPr>
          <w:rFonts w:hint="eastAsia" w:ascii="宋体" w:hAnsi="宋体"/>
          <w:sz w:val="24"/>
          <w:szCs w:val="22"/>
        </w:rPr>
        <w:t xml:space="preserve">有</w:t>
      </w:r>
      <w:r>
        <w:rPr>
          <w:rFonts w:ascii="宋体" w:hAnsi="宋体"/>
          <w:sz w:val="24"/>
          <w:szCs w:val="22"/>
        </w:rPr>
        <w:t xml:space="preserve">不符合作业安全的事项</w:t>
      </w:r>
      <w:r>
        <w:rPr>
          <w:rFonts w:hint="eastAsia" w:ascii="宋体" w:hAnsi="宋体"/>
          <w:sz w:val="24"/>
          <w:szCs w:val="22"/>
        </w:rPr>
        <w:t xml:space="preserve">时应</w:t>
      </w:r>
      <w:r>
        <w:rPr>
          <w:rFonts w:ascii="宋体" w:hAnsi="宋体"/>
          <w:sz w:val="24"/>
          <w:szCs w:val="22"/>
        </w:rPr>
        <w:t xml:space="preserve">及时</w:t>
      </w:r>
      <w:r>
        <w:rPr>
          <w:rFonts w:hint="eastAsia" w:ascii="宋体" w:hAnsi="宋体"/>
          <w:sz w:val="24"/>
          <w:szCs w:val="22"/>
        </w:rPr>
        <w:t xml:space="preserve">告</w:t>
      </w:r>
      <w:r>
        <w:rPr>
          <w:rFonts w:ascii="宋体" w:hAnsi="宋体"/>
          <w:sz w:val="24"/>
          <w:szCs w:val="22"/>
        </w:rPr>
        <w:t xml:space="preserve">知甲方</w:t>
      </w:r>
      <w:r>
        <w:rPr>
          <w:rFonts w:hint="eastAsia" w:ascii="宋体" w:hAnsi="宋体"/>
          <w:sz w:val="24"/>
          <w:szCs w:val="22"/>
        </w:rPr>
        <w:t xml:space="preserve">，</w:t>
      </w:r>
      <w:r>
        <w:rPr>
          <w:rFonts w:ascii="宋体" w:hAnsi="宋体"/>
          <w:sz w:val="24"/>
          <w:szCs w:val="22"/>
        </w:rPr>
        <w:t xml:space="preserve">解决</w:t>
      </w:r>
      <w:r>
        <w:rPr>
          <w:rFonts w:hint="eastAsia" w:ascii="宋体" w:hAnsi="宋体"/>
          <w:sz w:val="24"/>
          <w:szCs w:val="22"/>
        </w:rPr>
        <w:t xml:space="preserve">后</w:t>
      </w:r>
      <w:r>
        <w:rPr>
          <w:rFonts w:ascii="宋体" w:hAnsi="宋体"/>
          <w:sz w:val="24"/>
          <w:szCs w:val="22"/>
        </w:rPr>
        <w:t xml:space="preserve">方可</w:t>
      </w:r>
      <w:r>
        <w:rPr>
          <w:rFonts w:hint="eastAsia" w:ascii="宋体" w:hAnsi="宋体"/>
          <w:sz w:val="24"/>
          <w:szCs w:val="22"/>
        </w:rPr>
        <w:t xml:space="preserve">进行</w:t>
      </w:r>
      <w:r>
        <w:rPr>
          <w:rFonts w:ascii="宋体" w:hAnsi="宋体"/>
          <w:sz w:val="24"/>
          <w:szCs w:val="22"/>
        </w:rPr>
        <w:t xml:space="preserve">作业。</w:t>
      </w:r>
      <w:r/>
    </w:p>
    <w:p>
      <w:pPr>
        <w:ind w:firstLine="480"/>
        <w:spacing w:line="440" w:lineRule="exact"/>
        <w:rPr>
          <w:rFonts w:ascii="宋体" w:hAnsi="Calibri" w:cs="宋体"/>
          <w:color w:val="000000"/>
          <w:sz w:val="24"/>
          <w:szCs w:val="22"/>
          <w:lang w:val="zh-CN"/>
        </w:rPr>
      </w:pPr>
      <w:r>
        <w:rPr>
          <w:rFonts w:hint="eastAsia" w:ascii="宋体" w:hAnsi="宋体"/>
          <w:sz w:val="24"/>
          <w:szCs w:val="22"/>
        </w:rPr>
        <w:t xml:space="preserve">5.甲方或上级安全管理部门在检查中发现存在安全隐患或操作不符合相关要求时，甲方在要求乙方整改的同时，可视情节轻重，乙方向甲方支付1000---3000元/次的违约金；</w:t>
      </w:r>
      <w:r>
        <w:rPr>
          <w:rFonts w:hint="eastAsia" w:ascii="宋体" w:hAnsi="Calibri" w:cs="宋体"/>
          <w:color w:val="000000"/>
          <w:sz w:val="24"/>
          <w:szCs w:val="22"/>
          <w:lang w:val="zh-CN"/>
        </w:rPr>
        <w:t xml:space="preserve">发生一般安全生产责任事故但未造成人员伤亡的，或产生较大社会影响的事件，甲方有权要求乙方停工整改，乙方应向甲方支付5000元</w:t>
      </w:r>
      <w:r>
        <w:rPr>
          <w:rFonts w:ascii="宋体" w:hAnsi="Calibri" w:cs="宋体"/>
          <w:color w:val="000000"/>
          <w:sz w:val="24"/>
          <w:szCs w:val="22"/>
          <w:lang w:val="zh-CN"/>
        </w:rPr>
        <w:t xml:space="preserve">/</w:t>
      </w:r>
      <w:r>
        <w:rPr>
          <w:rFonts w:hint="eastAsia" w:ascii="宋体" w:hAnsi="Calibri" w:cs="宋体"/>
          <w:color w:val="000000"/>
          <w:sz w:val="24"/>
          <w:szCs w:val="22"/>
          <w:lang w:val="zh-CN"/>
        </w:rPr>
        <w:t xml:space="preserve">次的违约金。</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lang w:val="zh-CN"/>
        </w:rPr>
        <w:t xml:space="preserve">6.</w:t>
      </w:r>
      <w:r>
        <w:rPr>
          <w:rFonts w:ascii="宋体" w:hAnsi="Calibri" w:cs="宋体"/>
          <w:color w:val="000000"/>
          <w:sz w:val="24"/>
          <w:szCs w:val="22"/>
        </w:rPr>
        <w:t xml:space="preserve">本项目有限空间作业</w:t>
      </w:r>
      <w:r>
        <w:rPr>
          <w:rFonts w:hint="eastAsia" w:ascii="宋体" w:hAnsi="Calibri" w:cs="宋体"/>
          <w:color w:val="000000"/>
          <w:sz w:val="24"/>
          <w:szCs w:val="22"/>
        </w:rPr>
        <w:t xml:space="preserve">按GB46768—2025《有限空间作业安全技术规范》要求执行，</w:t>
      </w:r>
      <w:r>
        <w:rPr>
          <w:rFonts w:ascii="宋体" w:hAnsi="Calibri" w:cs="宋体"/>
          <w:color w:val="000000"/>
          <w:sz w:val="24"/>
          <w:szCs w:val="22"/>
        </w:rPr>
        <w:t xml:space="preserve">严格执行先审批、后作业制度，作业前必须完整填报有限空间作业审批表，经甲乙双方对应审批人签字确认后方可开工；作业前需完成风险评估、安全交底、安全隔离、通风及气体检测，氧含量、可燃气体、有毒有害气体浓度须符合规范限值，同时配齐合格防护、应急设备，相关台账、检测、交底、确认记录全程留存归档。</w:t>
      </w:r>
      <w:r/>
    </w:p>
    <w:p>
      <w:pPr>
        <w:ind w:firstLine="480"/>
        <w:spacing w:line="440" w:lineRule="exact"/>
        <w:rPr>
          <w:rFonts w:ascii="宋体" w:hAnsi="Calibri" w:cs="宋体"/>
          <w:color w:val="000000"/>
          <w:sz w:val="24"/>
          <w:szCs w:val="22"/>
        </w:rPr>
      </w:pPr>
      <w:r>
        <w:rPr>
          <w:rFonts w:ascii="宋体" w:hAnsi="Calibri" w:cs="宋体"/>
          <w:color w:val="000000"/>
          <w:sz w:val="24"/>
          <w:szCs w:val="22"/>
        </w:rPr>
        <w:t xml:space="preserve">有限空间作业须配备专职监护人全程在岗监护，作业过程持续通风、定时检测气体，作业人员连续作业时长、作业管径严格遵照合同要求；作业中断、地点或人员变更必须重新审批，完工后履行验收手续。凡未履行审批、资料缺失造假、监护缺位、违规作业等行为，乙方须按约定承担相应违约责任，由此引发的安全隐患及事故均由乙方承担全部责任。</w:t>
      </w:r>
      <w:r/>
    </w:p>
    <w:p>
      <w:pPr>
        <w:ind w:firstLine="480"/>
        <w:spacing w:line="440" w:lineRule="exact"/>
      </w:pPr>
      <w:r>
        <w:rPr>
          <w:rFonts w:hint="eastAsia" w:ascii="宋体" w:hAnsi="Calibri" w:cs="宋体"/>
          <w:color w:val="000000"/>
          <w:sz w:val="24"/>
          <w:szCs w:val="22"/>
        </w:rPr>
        <w:t xml:space="preserve">7.</w:t>
      </w:r>
      <w:r>
        <w:rPr>
          <w:rFonts w:ascii="宋体" w:hAnsi="Calibri" w:cs="宋体"/>
          <w:color w:val="000000"/>
          <w:sz w:val="24"/>
          <w:szCs w:val="22"/>
        </w:rPr>
        <w:t xml:space="preserve">有限空间作业安全生产职责</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（1）常态安全职责</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甲方（发包单位）：负责统筹本项目有限空间作业整体安全管理，对作业现场开展安全巡查、监督考核；审核乙方作业资质、人员培训及设备台账，核查作业审批、气体检测等资料合规性；督促乙方落实各项安全技术措施，发现隐患及时要求整改。</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乙方（作业单位）：作为现场安全第一责任方，落实有限空间辨识、台账更新、警示标识设置等基础管理；严格执行作业审批、通风、气体检测、安全交底等流程；配齐并定期校验防护、通风、检测、应急设备；做好作业人员年度安全培训与持证管理，规范现场作业、人员防护及文明施工。</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（2）应急处置职责</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甲方（发包单位）：作业现场发生险情、中毒、窒息、坠落等突发事故时，负责统筹协调应急工作，对接外部救援力量，上报相关主管部门，监督现场应急处置过程。</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乙方（作业单位）：第一时间停止作业、组织人员撤离，立即启动现场应急方案；组织现场自救互救，严禁盲目施救；第一时间向甲方及相关部门上报事故情况，保护事故现场，配合后续调查、处置及善后工作。</w:t>
      </w:r>
      <w:r/>
    </w:p>
    <w:p>
      <w:pPr>
        <w:ind w:firstLine="480"/>
        <w:spacing w:line="440" w:lineRule="exact"/>
        <w:rPr>
          <w:rFonts w:ascii="宋体" w:hAnsi="宋体"/>
          <w:sz w:val="24"/>
          <w:szCs w:val="22"/>
        </w:rPr>
      </w:pPr>
      <w:r>
        <w:rPr>
          <w:rFonts w:hint="eastAsia" w:ascii="宋体" w:hAnsi="宋体"/>
          <w:sz w:val="24"/>
          <w:szCs w:val="22"/>
        </w:rPr>
        <w:t xml:space="preserve">三、责任划分</w:t>
      </w:r>
      <w:r/>
    </w:p>
    <w:p>
      <w:pPr>
        <w:ind w:firstLine="480"/>
        <w:spacing w:line="440" w:lineRule="exact"/>
        <w:rPr>
          <w:rFonts w:ascii="宋体" w:hAnsi="宋体"/>
          <w:sz w:val="24"/>
          <w:szCs w:val="22"/>
        </w:rPr>
      </w:pPr>
      <w:r>
        <w:rPr>
          <w:rFonts w:hint="eastAsia" w:ascii="宋体" w:hAnsi="宋体"/>
          <w:sz w:val="24"/>
          <w:szCs w:val="22"/>
        </w:rPr>
        <w:t xml:space="preserve">1.施工过程造成甲乙双方或第三者伤害或经济损失的，由乙方承担全部赔偿责任。如上级管理部门判定</w:t>
      </w:r>
      <w:r>
        <w:rPr>
          <w:rFonts w:ascii="宋体" w:hAnsi="宋体"/>
          <w:sz w:val="24"/>
          <w:szCs w:val="22"/>
        </w:rPr>
        <w:t xml:space="preserve">甲方</w:t>
      </w:r>
      <w:r>
        <w:rPr>
          <w:rFonts w:hint="eastAsia" w:ascii="宋体" w:hAnsi="宋体"/>
          <w:sz w:val="24"/>
          <w:szCs w:val="22"/>
        </w:rPr>
        <w:t xml:space="preserve">有管理责任，则按上级管理部门核定比例承担各自责任。</w:t>
      </w:r>
      <w:r/>
    </w:p>
    <w:p>
      <w:pPr>
        <w:ind w:firstLine="480"/>
        <w:spacing w:line="440" w:lineRule="exact"/>
        <w:rPr>
          <w:rFonts w:ascii="宋体" w:hAnsi="宋体"/>
          <w:sz w:val="24"/>
          <w:szCs w:val="22"/>
        </w:rPr>
      </w:pPr>
      <w:r>
        <w:rPr>
          <w:rFonts w:hint="eastAsia" w:ascii="宋体" w:hAnsi="宋体"/>
          <w:sz w:val="24"/>
          <w:szCs w:val="22"/>
        </w:rPr>
        <w:t xml:space="preserve">2.施工过程如有因意外事件造成甲乙双方工作人员伤害，则各自承担本方人员医疗、赔偿等责任。</w:t>
      </w:r>
      <w:r/>
    </w:p>
    <w:p>
      <w:pPr>
        <w:ind w:firstLine="480"/>
        <w:spacing w:line="440" w:lineRule="exact"/>
        <w:rPr>
          <w:rFonts w:ascii="宋体" w:hAnsi="宋体"/>
          <w:sz w:val="24"/>
          <w:szCs w:val="22"/>
        </w:rPr>
      </w:pPr>
      <w:r>
        <w:rPr>
          <w:rFonts w:hint="eastAsia" w:ascii="宋体" w:hAnsi="宋体"/>
          <w:sz w:val="24"/>
          <w:szCs w:val="22"/>
        </w:rPr>
        <w:t xml:space="preserve">四、争议解决</w:t>
      </w:r>
      <w:r/>
    </w:p>
    <w:p>
      <w:pPr>
        <w:ind w:firstLine="480"/>
        <w:spacing w:line="440" w:lineRule="exact"/>
        <w:rPr>
          <w:rFonts w:ascii="宋体" w:hAnsi="宋体"/>
          <w:sz w:val="24"/>
          <w:szCs w:val="22"/>
        </w:rPr>
      </w:pPr>
      <w:r>
        <w:rPr>
          <w:rFonts w:hint="eastAsia" w:ascii="宋体" w:hAnsi="宋体"/>
          <w:sz w:val="24"/>
          <w:szCs w:val="22"/>
        </w:rPr>
        <w:t xml:space="preserve">1.因本协议引起或有关的任何争议，均应提交常州仲裁委员会按照其仲裁规则进行仲裁。仲裁裁决是终局的，对协议各方均有约束力。</w:t>
      </w:r>
      <w:r/>
    </w:p>
    <w:p>
      <w:pPr>
        <w:ind w:left="480"/>
        <w:spacing w:line="440" w:lineRule="exact"/>
        <w:rPr>
          <w:rFonts w:ascii="宋体" w:hAnsi="宋体"/>
          <w:sz w:val="24"/>
          <w:szCs w:val="22"/>
        </w:rPr>
      </w:pPr>
      <w:r>
        <w:rPr>
          <w:rFonts w:hint="eastAsia" w:ascii="宋体" w:hAnsi="宋体"/>
          <w:sz w:val="24"/>
          <w:szCs w:val="22"/>
        </w:rPr>
        <w:t xml:space="preserve">五</w:t>
      </w:r>
      <w:r>
        <w:rPr>
          <w:rFonts w:ascii="宋体" w:hAnsi="宋体"/>
          <w:sz w:val="24"/>
          <w:szCs w:val="22"/>
        </w:rPr>
        <w:t xml:space="preserve">、</w:t>
      </w:r>
      <w:r>
        <w:rPr>
          <w:rFonts w:hint="eastAsia" w:ascii="宋体" w:hAnsi="宋体"/>
          <w:sz w:val="24"/>
          <w:szCs w:val="22"/>
        </w:rPr>
        <w:t xml:space="preserve">其他</w:t>
      </w:r>
      <w:r/>
    </w:p>
    <w:p>
      <w:pPr>
        <w:ind w:firstLine="480"/>
        <w:spacing w:line="440" w:lineRule="exact"/>
        <w:rPr>
          <w:rFonts w:ascii="宋体" w:hAnsi="宋体"/>
          <w:sz w:val="24"/>
          <w:szCs w:val="22"/>
        </w:rPr>
      </w:pPr>
      <w:r>
        <w:rPr>
          <w:rFonts w:hint="eastAsia" w:ascii="宋体" w:hAnsi="宋体"/>
          <w:sz w:val="24"/>
          <w:szCs w:val="22"/>
        </w:rPr>
        <w:t xml:space="preserve">1.双方对上述条款有异议或有补充的可列于本款。</w:t>
      </w:r>
      <w:r/>
    </w:p>
    <w:p>
      <w:pPr>
        <w:ind w:firstLine="480"/>
        <w:spacing w:line="440" w:lineRule="exact"/>
        <w:rPr>
          <w:rFonts w:ascii="宋体" w:hAnsi="宋体"/>
          <w:sz w:val="24"/>
          <w:szCs w:val="22"/>
        </w:rPr>
      </w:pPr>
      <w:r>
        <w:rPr>
          <w:rFonts w:hint="eastAsia" w:ascii="宋体" w:hAnsi="宋体"/>
          <w:sz w:val="24"/>
          <w:szCs w:val="22"/>
        </w:rPr>
        <w:t xml:space="preserve">2.本协议自2026年X月XX日生效，甲乙双方各执贰份。</w:t>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hint="eastAsia" w:ascii="宋体" w:hAnsi="宋体"/>
          <w:sz w:val="24"/>
          <w:szCs w:val="22"/>
        </w:rPr>
        <w:t xml:space="preserve">甲方：                          乙方：</w:t>
      </w:r>
      <w:r/>
    </w:p>
    <w:p>
      <w:pPr>
        <w:ind w:firstLine="480"/>
        <w:spacing w:line="360" w:lineRule="auto"/>
        <w:rPr>
          <w:rFonts w:ascii="宋体" w:hAnsi="宋体"/>
          <w:sz w:val="24"/>
          <w:szCs w:val="22"/>
        </w:rPr>
      </w:pPr>
      <w:r>
        <w:rPr>
          <w:rFonts w:hint="eastAsia" w:ascii="宋体" w:hAnsi="宋体"/>
          <w:sz w:val="24"/>
          <w:szCs w:val="22"/>
        </w:rPr>
        <w:t xml:space="preserve">（印章）                        （印章）</w:t>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hint="eastAsia" w:ascii="宋体" w:hAnsi="宋体"/>
          <w:sz w:val="24"/>
          <w:szCs w:val="22"/>
        </w:rPr>
        <w:t xml:space="preserve">法人代表或委托代理人            法人代表或委托代理人</w:t>
      </w:r>
      <w:r/>
    </w:p>
    <w:p>
      <w:pPr>
        <w:ind w:firstLine="480"/>
        <w:spacing w:line="360" w:lineRule="auto"/>
        <w:rPr>
          <w:rFonts w:ascii="宋体" w:hAnsi="宋体"/>
          <w:sz w:val="24"/>
          <w:szCs w:val="22"/>
        </w:rPr>
      </w:pPr>
      <w:r>
        <w:rPr>
          <w:rFonts w:hint="eastAsia" w:ascii="宋体" w:hAnsi="宋体"/>
          <w:sz w:val="24"/>
          <w:szCs w:val="22"/>
        </w:rPr>
        <w:t xml:space="preserve">（签名或盖章）                  （签名或盖章）</w:t>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jc w:val="right"/>
        <w:spacing w:line="360" w:lineRule="auto"/>
        <w:rPr>
          <w:rFonts w:ascii="宋体" w:hAnsi="宋体"/>
          <w:sz w:val="24"/>
          <w:szCs w:val="22"/>
        </w:rPr>
      </w:pPr>
      <w:r>
        <w:rPr>
          <w:rFonts w:hint="eastAsia" w:ascii="宋体" w:hAnsi="宋体"/>
          <w:sz w:val="24"/>
          <w:szCs w:val="22"/>
        </w:rPr>
        <w:t xml:space="preserve"> 签订日期：    年  月  日</w:t>
      </w:r>
      <w:r/>
    </w:p>
    <w:p>
      <w:pPr>
        <w:spacing w:line="360" w:lineRule="auto"/>
        <w:tabs>
          <w:tab w:val="left" w:pos="7665" w:leader="none"/>
        </w:tabs>
        <w:rPr>
          <w:rFonts w:ascii="宋体" w:hAnsi="宋体"/>
          <w:sz w:val="24"/>
        </w:rPr>
      </w:pPr>
      <w:r>
        <w:rPr>
          <w:rFonts w:ascii="宋体" w:hAnsi="宋体"/>
          <w:sz w:val="24"/>
        </w:rPr>
      </w:r>
      <w:r/>
    </w:p>
    <w:p>
      <w:pPr>
        <w:jc w:val="center"/>
        <w:spacing w:line="360" w:lineRule="auto"/>
        <w:rPr>
          <w:rFonts w:ascii="宋体" w:hAnsi="宋体" w:cs="宋体"/>
          <w:b/>
          <w:sz w:val="24"/>
        </w:rPr>
      </w:pPr>
      <w:r>
        <w:rPr>
          <w:rFonts w:ascii="宋体" w:hAnsi="宋体" w:cs="宋体"/>
          <w:b/>
          <w:sz w:val="24"/>
        </w:rPr>
        <w:t xml:space="preserve">以上格式仅供参考</w:t>
      </w:r>
      <w:r>
        <w:rPr>
          <w:rFonts w:hint="eastAsia" w:ascii="宋体" w:hAnsi="宋体" w:cs="宋体"/>
          <w:b/>
          <w:sz w:val="24"/>
        </w:rPr>
        <w:t xml:space="preserve">，合同条款最终以双方签定为准。</w:t>
      </w:r>
      <w:r/>
    </w:p>
    <w:p>
      <w:pPr>
        <w:jc w:val="center"/>
        <w:spacing w:line="360" w:lineRule="auto"/>
        <w:rPr>
          <w:b/>
          <w:sz w:val="36"/>
          <w:szCs w:val="36"/>
        </w:rPr>
        <w:sectPr>
          <w:footerReference w:type="default" r:id="rId24"/>
          <w:footnotePr/>
          <w:endnotePr/>
          <w:type w:val="nextPage"/>
          <w:pgSz w:w="11907" w:h="16840" w:orient="portrait"/>
          <w:pgMar w:top="1440" w:right="1803" w:bottom="1440" w:left="1803" w:header="851" w:footer="851" w:gutter="0"/>
          <w:cols w:num="1" w:sep="0" w:space="1701" w:equalWidth="1"/>
          <w:docGrid w:linePitch="360"/>
        </w:sectPr>
        <w:outlineLvl w:val="0"/>
      </w:pPr>
      <w:r>
        <w:rPr>
          <w:b/>
          <w:sz w:val="36"/>
          <w:szCs w:val="36"/>
        </w:rPr>
      </w:r>
      <w:r/>
    </w:p>
    <w:p>
      <w:pPr>
        <w:jc w:val="center"/>
        <w:spacing w:line="360" w:lineRule="auto"/>
        <w:rPr>
          <w:b/>
          <w:sz w:val="36"/>
          <w:szCs w:val="36"/>
        </w:rPr>
        <w:outlineLvl w:val="0"/>
      </w:pPr>
      <w:r/>
      <w:bookmarkStart w:id="832" w:name="_Toc11047"/>
      <w:r>
        <w:rPr>
          <w:b/>
          <w:sz w:val="36"/>
          <w:szCs w:val="36"/>
        </w:rPr>
        <w:t xml:space="preserve">第七章   投标文件格式</w:t>
      </w:r>
      <w:bookmarkEnd w:id="832"/>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jc w:val="left"/>
        <w:widowControl/>
        <w:rPr>
          <w:sz w:val="24"/>
        </w:rPr>
      </w:pPr>
      <w:r>
        <w:rPr>
          <w:sz w:val="24"/>
        </w:rPr>
        <w:br w:type="page" w:clear="all"/>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投标文件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p>
    <w:p>
      <w:pPr>
        <w:rPr>
          <w:rFonts w:ascii="宋体" w:hAnsi="宋体"/>
          <w:b/>
          <w:sz w:val="36"/>
        </w:rPr>
      </w:pPr>
      <w:r>
        <w:rPr>
          <w:rFonts w:hint="eastAsia" w:ascii="宋体" w:hAnsi="宋体"/>
          <w:b/>
          <w:sz w:val="36"/>
        </w:rPr>
        <w:t xml:space="preserve">      日      期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25"/>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投标人资格声明</w:t>
      </w:r>
      <w:r>
        <w:rPr>
          <w:rFonts w:hint="eastAsia" w:ascii="Times New Roman"/>
          <w:b w:val="0"/>
          <w:u w:val="none"/>
        </w:rPr>
        <w:t xml:space="preserve">函</w:t>
      </w:r>
      <w:r>
        <w:rPr>
          <w:rFonts w:ascii="Times New Roman"/>
          <w:u w:val="none"/>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1026"/>
        <w:ind w:firstLine="480"/>
        <w:spacing w:line="460" w:lineRule="exact"/>
      </w:pPr>
      <w:r/>
      <w:r/>
    </w:p>
    <w:p>
      <w:pPr>
        <w:pStyle w:val="1026"/>
        <w:ind w:firstLine="480"/>
        <w:spacing w:line="460" w:lineRule="exact"/>
      </w:pPr>
      <w:r>
        <w:rPr>
          <w:rFonts w:hint="eastAsia"/>
        </w:rPr>
        <w:t xml:space="preserve">致：江苏中冠工程咨询有限公司</w:t>
      </w:r>
      <w:r/>
    </w:p>
    <w:p>
      <w:pPr>
        <w:pStyle w:val="1026"/>
        <w:ind w:firstLine="960"/>
        <w:spacing w:line="460" w:lineRule="exact"/>
        <w:rPr>
          <w:u w:val="single"/>
        </w:rPr>
      </w:pPr>
      <w:r>
        <w:rPr>
          <w:rFonts w:hint="eastAsia"/>
          <w:u w:val="single"/>
        </w:rPr>
        <w:t xml:space="preserve">（招标人名称）</w:t>
      </w:r>
      <w:r/>
    </w:p>
    <w:p>
      <w:pPr>
        <w:pStyle w:val="1026"/>
        <w:ind w:firstLine="480"/>
        <w:spacing w:line="460" w:lineRule="exact"/>
      </w:pPr>
      <w:r/>
      <w:r/>
    </w:p>
    <w:p>
      <w:pPr>
        <w:pStyle w:val="1026"/>
        <w:ind w:firstLine="480"/>
        <w:spacing w:line="460" w:lineRule="exact"/>
      </w:pPr>
      <w:r>
        <w:rPr>
          <w:rFonts w:hint="eastAsia"/>
        </w:rPr>
        <w:t xml:space="preserve">按照《中华人民共和国政府采购法》第二十二条和招标文件的规定，我单位郑重声明如下：</w:t>
      </w:r>
      <w:r/>
    </w:p>
    <w:p>
      <w:pPr>
        <w:pStyle w:val="1026"/>
        <w:ind w:firstLine="480"/>
        <w:spacing w:line="460" w:lineRule="exact"/>
      </w:pPr>
      <w:r>
        <w:rPr>
          <w:rFonts w:hint="eastAsia"/>
        </w:rPr>
        <w:t xml:space="preserve">一、我单位是按照中华人民共和国法律规定登记注册的，注册地点为，全称为，统一社会信用代码为，法定代表人（单位负责人）为，具有独立承担民事责任的能力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26"/>
        <w:ind w:firstLine="480"/>
        <w:spacing w:line="460" w:lineRule="exact"/>
      </w:pPr>
      <w:r>
        <w:rPr>
          <w:rFonts w:hint="eastAsia"/>
        </w:rPr>
        <w:t xml:space="preserve">二、我单位具有良好的商业信誉（指投标人经营状况良好，无本资格声明第十条情形）和健全的财务会计制度。</w:t>
      </w:r>
      <w:r/>
    </w:p>
    <w:p>
      <w:pPr>
        <w:pStyle w:val="1026"/>
        <w:ind w:firstLine="480"/>
        <w:spacing w:line="460" w:lineRule="exact"/>
      </w:pPr>
      <w:r>
        <w:rPr>
          <w:rFonts w:hint="eastAsia"/>
        </w:rPr>
        <w:t xml:space="preserve">三、我单位依法进行纳税和社会保险申报并实际履行了义务。</w:t>
      </w:r>
      <w:r/>
    </w:p>
    <w:p>
      <w:pPr>
        <w:pStyle w:val="102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6"/>
        <w:ind w:firstLine="480"/>
        <w:spacing w:line="460" w:lineRule="exact"/>
      </w:pPr>
      <w:r>
        <w:rPr>
          <w:rFonts w:hint="eastAsia"/>
        </w:rPr>
        <w:t xml:space="preserve">主要设备有：</w:t>
      </w:r>
      <w:r/>
    </w:p>
    <w:p>
      <w:pPr>
        <w:pStyle w:val="1026"/>
        <w:ind w:firstLine="480"/>
        <w:spacing w:line="460" w:lineRule="exact"/>
      </w:pPr>
      <w:r>
        <w:rPr>
          <w:rFonts w:hint="eastAsia"/>
        </w:rPr>
        <w:t xml:space="preserve">主要专业技术能力有</w:t>
      </w:r>
      <w:r/>
    </w:p>
    <w:p>
      <w:pPr>
        <w:pStyle w:val="102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26"/>
        <w:ind w:firstLine="480"/>
        <w:spacing w:line="460" w:lineRule="exact"/>
      </w:pPr>
      <w:r>
        <w:rPr>
          <w:rFonts w:hint="eastAsia"/>
        </w:rPr>
        <w:t xml:space="preserve">六、我单位具备法律、行政法规规定的其他条件。</w:t>
      </w:r>
      <w:r/>
    </w:p>
    <w:p>
      <w:pPr>
        <w:pStyle w:val="102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26"/>
        <w:ind w:firstLine="480"/>
        <w:spacing w:line="460" w:lineRule="exact"/>
      </w:pPr>
      <w:r>
        <w:rPr>
          <w:rFonts w:hint="eastAsia"/>
        </w:rPr>
        <w:t xml:space="preserve">1、与我单位的法定代表人（单位负责人）为同一人的其他单位如下：</w:t>
      </w:r>
      <w:r/>
    </w:p>
    <w:p>
      <w:pPr>
        <w:pStyle w:val="1026"/>
        <w:ind w:firstLine="480"/>
        <w:spacing w:line="460" w:lineRule="exact"/>
      </w:pPr>
      <w:r>
        <w:rPr>
          <w:rFonts w:hint="eastAsia"/>
        </w:rPr>
        <w:t xml:space="preserve">2、我单位直接控股的其他单位如下：</w:t>
      </w:r>
      <w:r/>
    </w:p>
    <w:p>
      <w:pPr>
        <w:pStyle w:val="1026"/>
        <w:ind w:firstLine="480"/>
        <w:spacing w:line="460" w:lineRule="exact"/>
      </w:pPr>
      <w:r>
        <w:rPr>
          <w:rFonts w:hint="eastAsia"/>
        </w:rPr>
        <w:t xml:space="preserve">3、与我单位存在管理关系的其他单位如下：</w:t>
      </w:r>
      <w:r/>
    </w:p>
    <w:p>
      <w:pPr>
        <w:pStyle w:val="102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26"/>
        <w:ind w:firstLine="480"/>
        <w:spacing w:line="460" w:lineRule="exact"/>
      </w:pPr>
      <w:r>
        <w:rPr>
          <w:rFonts w:hint="eastAsia"/>
        </w:rPr>
        <w:t xml:space="preserve">九、</w:t>
      </w:r>
      <w:r>
        <w:t xml:space="preserve">我单位无以下不良信用记录情形：</w:t>
      </w:r>
      <w:r/>
    </w:p>
    <w:p>
      <w:pPr>
        <w:pStyle w:val="1026"/>
        <w:ind w:firstLine="480"/>
        <w:spacing w:line="460" w:lineRule="exact"/>
      </w:pPr>
      <w:r>
        <w:t xml:space="preserve">1</w:t>
      </w:r>
      <w:r>
        <w:rPr>
          <w:rFonts w:hint="eastAsia"/>
        </w:rPr>
        <w:t xml:space="preserve">、在“信用中国”网站被列入失信被执行人和重大税收违法案件当事人名单；</w:t>
      </w:r>
      <w:r/>
    </w:p>
    <w:p>
      <w:pPr>
        <w:pStyle w:val="1026"/>
        <w:ind w:firstLine="480"/>
        <w:spacing w:line="460" w:lineRule="exact"/>
      </w:pPr>
      <w:r>
        <w:t xml:space="preserve">2</w:t>
      </w:r>
      <w:r>
        <w:rPr>
          <w:rFonts w:hint="eastAsia"/>
        </w:rPr>
        <w:t xml:space="preserve">、在“中国政府采购网”网站被列入政府采购严重违法失信行为记录名单；</w:t>
      </w:r>
      <w:r/>
    </w:p>
    <w:p>
      <w:pPr>
        <w:pStyle w:val="1026"/>
        <w:ind w:firstLine="480"/>
        <w:spacing w:line="460" w:lineRule="exact"/>
      </w:pPr>
      <w:r>
        <w:t xml:space="preserve">3</w:t>
      </w:r>
      <w:r>
        <w:rPr>
          <w:rFonts w:hint="eastAsia"/>
        </w:rPr>
        <w:t xml:space="preserve">、</w:t>
      </w:r>
      <w:r>
        <w:t xml:space="preserve">不符合《政府采购法》第二十二条规定的条件。</w:t>
      </w:r>
      <w:r/>
    </w:p>
    <w:p>
      <w:pPr>
        <w:pStyle w:val="1026"/>
        <w:ind w:firstLine="480"/>
        <w:spacing w:line="460" w:lineRule="exact"/>
      </w:pPr>
      <w:r/>
      <w:r/>
    </w:p>
    <w:p>
      <w:pPr>
        <w:pStyle w:val="102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26"/>
        <w:ind w:firstLine="480"/>
        <w:spacing w:line="460" w:lineRule="exact"/>
      </w:pPr>
      <w:r/>
      <w:r/>
    </w:p>
    <w:p>
      <w:pPr>
        <w:pStyle w:val="1026"/>
        <w:ind w:firstLine="480"/>
        <w:spacing w:line="460" w:lineRule="exact"/>
      </w:pPr>
      <w:r/>
      <w:r/>
    </w:p>
    <w:p>
      <w:pPr>
        <w:pStyle w:val="1026"/>
        <w:ind w:firstLine="480"/>
        <w:jc w:val="center"/>
        <w:spacing w:line="460" w:lineRule="exact"/>
      </w:pPr>
      <w:r>
        <w:rPr>
          <w:rFonts w:hint="eastAsia"/>
        </w:rPr>
        <w:t xml:space="preserve">投标人：（加盖公章）</w:t>
      </w:r>
      <w:r/>
    </w:p>
    <w:p>
      <w:pPr>
        <w:pStyle w:val="1026"/>
        <w:ind w:firstLine="480"/>
        <w:jc w:val="right"/>
        <w:spacing w:line="460" w:lineRule="exact"/>
      </w:pPr>
      <w:r>
        <w:rPr>
          <w:rFonts w:hint="eastAsia"/>
        </w:rPr>
        <w:t xml:space="preserve">法定代表人（或单位负责人）签字或盖章：</w:t>
      </w:r>
      <w:r/>
    </w:p>
    <w:p>
      <w:pPr>
        <w:pStyle w:val="1026"/>
        <w:ind w:firstLine="0"/>
        <w:jc w:val="center"/>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40" w:right="1803" w:bottom="1440" w:left="1803" w:header="851" w:footer="851" w:gutter="0"/>
          <w:cols w:num="1" w:sep="0" w:space="1701" w:equalWidth="1"/>
          <w:docGrid w:linePitch="360"/>
        </w:sectPr>
      </w:pPr>
      <w:r>
        <w:rPr>
          <w:sz w:val="24"/>
        </w:rPr>
      </w:r>
      <w:r/>
    </w:p>
    <w:p>
      <w:pPr>
        <w:spacing w:line="360" w:lineRule="auto"/>
        <w:rPr>
          <w:sz w:val="24"/>
          <w:szCs w:val="20"/>
        </w:rPr>
        <w:outlineLvl w:val="2"/>
      </w:pPr>
      <w:r>
        <w:rPr>
          <w:sz w:val="24"/>
          <w:szCs w:val="20"/>
        </w:rPr>
        <w:t xml:space="preserve">2 落实政府采购政策需满足的资格要求（如有）</w:t>
      </w:r>
      <w:r/>
    </w:p>
    <w:p>
      <w:pPr>
        <w:spacing w:line="360" w:lineRule="auto"/>
        <w:rPr>
          <w:b/>
          <w:bCs/>
          <w:sz w:val="24"/>
          <w:szCs w:val="20"/>
        </w:rPr>
        <w:outlineLvl w:val="2"/>
      </w:pPr>
      <w:r>
        <w:rPr>
          <w:sz w:val="24"/>
          <w:szCs w:val="20"/>
        </w:rPr>
        <w:t xml:space="preserve">2-1中小企业声明函</w:t>
      </w:r>
      <w:r>
        <w:rPr>
          <w:rFonts w:hint="eastAsia"/>
          <w:b/>
          <w:bCs/>
          <w:sz w:val="24"/>
          <w:szCs w:val="20"/>
        </w:rPr>
        <w:t xml:space="preserve">（</w:t>
      </w:r>
      <w:r>
        <w:rPr>
          <w:b/>
          <w:bCs/>
          <w:sz w:val="24"/>
        </w:rPr>
        <w:t xml:space="preserve">本项目不专门面向中小企业预留采购份额</w:t>
      </w:r>
      <w:r>
        <w:rPr>
          <w:rFonts w:hint="eastAsia"/>
          <w:b/>
          <w:bCs/>
          <w:sz w:val="24"/>
          <w:szCs w:val="20"/>
        </w:rPr>
        <w:t xml:space="preserve">）</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p>
    <w:p>
      <w:pPr>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rFonts w:hint="eastAsia"/>
          <w:sz w:val="24"/>
        </w:rPr>
        <w:t xml:space="preserve">（4）其他</w:t>
      </w:r>
      <w:r/>
    </w:p>
    <w:p>
      <w:pPr>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jc w:val="left"/>
        <w:widowControl/>
        <w:rPr>
          <w:sz w:val="24"/>
        </w:rPr>
      </w:pPr>
      <w:r>
        <w:rPr>
          <w:sz w:val="24"/>
        </w:rPr>
        <w:br w:type="page" w:clear="all"/>
      </w:r>
      <w:r/>
    </w:p>
    <w:p>
      <w:pPr>
        <w:jc w:val="center"/>
        <w:spacing w:before="240" w:after="240" w:line="360" w:lineRule="auto"/>
        <w:rPr>
          <w:b/>
          <w:sz w:val="36"/>
          <w:szCs w:val="36"/>
        </w:rPr>
      </w:pPr>
      <w:r>
        <w:rPr>
          <w:rFonts w:hint="eastAsia"/>
          <w:b/>
          <w:bCs/>
          <w:sz w:val="36"/>
          <w:szCs w:val="36"/>
        </w:rPr>
        <w:t xml:space="preserve">中小企业声明函（服务）格式</w:t>
      </w:r>
      <w:r/>
    </w:p>
    <w:p>
      <w:pPr>
        <w:ind w:firstLine="504"/>
        <w:spacing w:line="360" w:lineRule="auto"/>
        <w:rPr>
          <w:spacing w:val="6"/>
          <w:sz w:val="24"/>
        </w:rPr>
      </w:pPr>
      <w:r>
        <w:rPr>
          <w:spacing w:val="6"/>
          <w:sz w:val="24"/>
        </w:rPr>
        <w:t xml:space="preserve">本公司郑重声明，根据《政府采购促进中小企业发展管理办法》（财库﹝2020﹞46 号）的规定，本公司参加</w:t>
      </w:r>
      <w:r>
        <w:rPr>
          <w:rFonts w:hint="eastAsia"/>
          <w:spacing w:val="6"/>
          <w:sz w:val="24"/>
        </w:rPr>
        <w:t xml:space="preserve">_</w:t>
      </w:r>
      <w:r>
        <w:rPr>
          <w:spacing w:val="6"/>
          <w:sz w:val="24"/>
        </w:rPr>
        <w:t xml:space="preserve">________________（单位名称）的</w:t>
      </w:r>
      <w:r>
        <w:rPr>
          <w:rFonts w:hint="eastAsia"/>
          <w:spacing w:val="6"/>
          <w:sz w:val="24"/>
        </w:rPr>
        <w:t xml:space="preserve">_</w:t>
      </w:r>
      <w:r>
        <w:rPr>
          <w:spacing w:val="6"/>
          <w:sz w:val="24"/>
        </w:rPr>
        <w:t xml:space="preserve">_________________（项目名称）采购活动，服务全部由符合政策要求的中小企业承接。相关企业的具体情况如下：</w:t>
      </w:r>
      <w:r/>
    </w:p>
    <w:p>
      <w:pPr>
        <w:ind w:firstLine="504"/>
        <w:spacing w:line="360" w:lineRule="auto"/>
        <w:rPr>
          <w:spacing w:val="6"/>
          <w:sz w:val="24"/>
        </w:rPr>
      </w:pPr>
      <w:r>
        <w:rPr>
          <w:rFonts w:hint="eastAsia"/>
          <w:spacing w:val="6"/>
          <w:sz w:val="24"/>
          <w:u w:val="single"/>
        </w:rPr>
        <w:t xml:space="preserve">2026年管线功能性结构性检测</w:t>
      </w:r>
      <w:r>
        <w:rPr>
          <w:spacing w:val="6"/>
          <w:sz w:val="24"/>
        </w:rPr>
        <w:t xml:space="preserve">，属于</w:t>
      </w:r>
      <w:r>
        <w:rPr>
          <w:rFonts w:hint="eastAsia"/>
          <w:spacing w:val="6"/>
          <w:sz w:val="24"/>
          <w:u w:val="single"/>
        </w:rPr>
        <w:t xml:space="preserve">其他未列明行业</w:t>
      </w:r>
      <w:r>
        <w:rPr>
          <w:spacing w:val="6"/>
          <w:sz w:val="24"/>
        </w:rPr>
        <w:t xml:space="preserve">行业；承接企业为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r>
      <w:r/>
    </w:p>
    <w:p>
      <w:pPr>
        <w:ind w:firstLine="504"/>
        <w:spacing w:line="360" w:lineRule="auto"/>
        <w:rPr>
          <w:rFonts w:ascii="宋体" w:hAnsi="宋体"/>
          <w:spacing w:val="6"/>
          <w:sz w:val="24"/>
        </w:rPr>
      </w:pPr>
      <w:r>
        <w:rPr>
          <w:rFonts w:ascii="宋体" w:hAnsi="宋体"/>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企业名称（加盖公章）：________</w:t>
      </w:r>
      <w:r/>
    </w:p>
    <w:p>
      <w:pPr>
        <w:ind w:right="360" w:firstLine="480"/>
        <w:jc w:val="right"/>
        <w:spacing w:line="360" w:lineRule="auto"/>
        <w:rPr>
          <w:sz w:val="24"/>
        </w:rPr>
      </w:pPr>
      <w:r>
        <w:rPr>
          <w:sz w:val="24"/>
        </w:rPr>
        <w:t xml:space="preserve">日期：________</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tbl>
      <w:tblPr>
        <w:tblStyle w:val="84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25"/>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center"/>
        <w:spacing w:before="240" w:after="240" w:line="360" w:lineRule="auto"/>
        <w:rPr>
          <w:b/>
          <w:sz w:val="36"/>
          <w:szCs w:val="36"/>
        </w:rPr>
      </w:pPr>
      <w:r>
        <w:rPr>
          <w:b/>
          <w:bCs/>
          <w:sz w:val="36"/>
          <w:szCs w:val="36"/>
        </w:rPr>
        <w:br w:type="column"/>
      </w:r>
      <w:r>
        <w:rPr>
          <w:rFonts w:hint="eastAsia"/>
          <w:b/>
          <w:bCs/>
          <w:sz w:val="36"/>
          <w:szCs w:val="36"/>
        </w:rPr>
        <w:t xml:space="preserve">残疾人福利性单位声明函格式</w:t>
      </w:r>
      <w:r/>
    </w:p>
    <w:p>
      <w:pPr>
        <w:ind w:firstLine="504"/>
        <w:spacing w:line="588" w:lineRule="exact"/>
        <w:rPr>
          <w:spacing w:val="6"/>
          <w:sz w:val="24"/>
        </w:rPr>
      </w:pPr>
      <w:r>
        <w:rPr>
          <w:spacing w:val="6"/>
          <w:sz w:val="24"/>
        </w:rPr>
        <w:t xml:space="preserve">本单位郑重声明，根据《财政部民政部中国残疾人联合会关于促进残疾人就业政府采购政策的通知》（财库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日期：</w:t>
      </w:r>
      <w:r/>
    </w:p>
    <w:p>
      <w:pPr>
        <w:spacing w:line="360" w:lineRule="auto"/>
        <w:rPr>
          <w:sz w:val="24"/>
          <w:szCs w:val="20"/>
        </w:rPr>
      </w:pPr>
      <w:r>
        <w:rPr>
          <w:sz w:val="24"/>
          <w:szCs w:val="20"/>
        </w:rPr>
        <w:br w:type="column"/>
      </w:r>
      <w:r/>
    </w:p>
    <w:p>
      <w:pPr>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p>
    <w:p>
      <w:pPr>
        <w:jc w:val="left"/>
        <w:rPr>
          <w:sz w:val="24"/>
        </w:rPr>
        <w:sectPr>
          <w:footnotePr/>
          <w:endnotePr/>
          <w:type w:val="nextPage"/>
          <w:pgSz w:w="11907" w:h="16840" w:orient="portrait"/>
          <w:pgMar w:top="1440" w:right="1803" w:bottom="1440" w:left="1803" w:header="851" w:footer="851" w:gutter="0"/>
          <w:cols w:num="1" w:sep="0" w:space="1701" w:equalWidth="1"/>
          <w:docGrid w:linePitch="360"/>
        </w:sectPr>
      </w:pPr>
      <w:r>
        <w:rPr>
          <w:rFonts w:hint="eastAsia"/>
          <w:sz w:val="24"/>
        </w:rPr>
        <w:t xml:space="preserve">无。</w:t>
      </w:r>
      <w:r/>
    </w:p>
    <w:p>
      <w:pPr>
        <w:jc w:val="left"/>
        <w:rPr>
          <w:rFonts w:ascii="宋体" w:hAnsi="宋体"/>
          <w:b/>
          <w:sz w:val="32"/>
          <w:szCs w:val="32"/>
        </w:rPr>
        <w:outlineLvl w:val="1"/>
      </w:pPr>
      <w:r>
        <w:rPr>
          <w:rFonts w:ascii="宋体" w:hAnsi="宋体"/>
          <w:b/>
          <w:sz w:val="32"/>
          <w:szCs w:val="32"/>
        </w:rPr>
        <w:t xml:space="preserve">二、商务技术文件格式</w:t>
      </w:r>
      <w:bookmarkStart w:id="833" w:name="_Ref467988698"/>
      <w:r/>
      <w:bookmarkStart w:id="834" w:name="_Toc520356217"/>
      <w:r/>
      <w:bookmarkStart w:id="835" w:name="_Toc480942349"/>
      <w:r/>
      <w:bookmarkStart w:id="836" w:name="_Toc127151556"/>
      <w:r/>
      <w:bookmarkStart w:id="837" w:name="_Toc226337252"/>
      <w:r/>
      <w:bookmarkStart w:id="838" w:name="_Toc195842921"/>
      <w:r/>
      <w:bookmarkStart w:id="839" w:name="_Toc226965829"/>
      <w:r/>
      <w:bookmarkStart w:id="840" w:name="_Toc226309800"/>
      <w:r/>
      <w:bookmarkStart w:id="841" w:name="_Toc150774761"/>
      <w:r/>
      <w:bookmarkStart w:id="842" w:name="_Toc150480794"/>
      <w:r/>
      <w:bookmarkStart w:id="843" w:name="_Toc226965746"/>
      <w:r/>
      <w:bookmarkStart w:id="844" w:name="_Toc142311058"/>
      <w:r/>
      <w:r/>
    </w:p>
    <w:p>
      <w:pPr>
        <w:jc w:val="center"/>
        <w:widowControl/>
        <w:rPr>
          <w:rFonts w:ascii="宋体" w:hAnsi="宋体"/>
          <w:b/>
          <w:sz w:val="32"/>
          <w:szCs w:val="32"/>
        </w:rPr>
      </w:pPr>
      <w:r>
        <w:rPr>
          <w:rFonts w:ascii="宋体" w:hAnsi="宋体"/>
          <w:b/>
          <w:sz w:val="32"/>
          <w:szCs w:val="32"/>
        </w:rPr>
      </w:r>
      <w:r/>
    </w:p>
    <w:p>
      <w:pPr>
        <w:spacing w:line="360" w:lineRule="auto"/>
        <w:rPr>
          <w:sz w:val="24"/>
          <w:szCs w:val="20"/>
        </w:rPr>
        <w:outlineLvl w:val="2"/>
      </w:pPr>
      <w:r>
        <w:rPr>
          <w:rFonts w:hint="eastAsia"/>
          <w:sz w:val="24"/>
        </w:rPr>
        <w:t xml:space="preserve">1</w:t>
      </w:r>
      <w:r>
        <w:rPr>
          <w:rFonts w:hint="eastAsia"/>
          <w:sz w:val="24"/>
          <w:lang w:val="en-US" w:eastAsia="zh-CN"/>
        </w:rPr>
        <w:t xml:space="preserve">  </w:t>
      </w:r>
      <w:r>
        <w:rPr>
          <w:sz w:val="24"/>
        </w:rPr>
        <w:t xml:space="preserve">投标</w:t>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rPr>
          <w:rFonts w:hint="eastAsia"/>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sz w:val="24"/>
          <w:u w:val="single"/>
        </w:rPr>
        <w:t xml:space="preserve">（招标人或招标代理机构）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sz w:val="24"/>
        </w:rPr>
        <w:t xml:space="preserve">120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其他补充条款（如有）：</w:t>
      </w:r>
      <w:r/>
    </w:p>
    <w:p>
      <w:pPr>
        <w:ind w:left="420"/>
        <w:spacing w:line="360" w:lineRule="auto"/>
        <w:rPr>
          <w:b/>
          <w:bCs/>
          <w:sz w:val="24"/>
        </w:rPr>
      </w:pPr>
      <w:r>
        <w:rPr>
          <w:rFonts w:hint="eastAsia"/>
          <w:b/>
          <w:bCs/>
          <w:sz w:val="24"/>
        </w:rPr>
        <w:t xml:space="preserve">我方承诺养护车辆和检测车辆在道路上作业停放时，设置好围挡和安全警示标志；在交通繁忙路段上作业时，避开高峰时段，优先进行夜间作业</w:t>
      </w:r>
      <w:r>
        <w:rPr>
          <w:b/>
          <w:bCs/>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 ___________</w:t>
      </w:r>
      <w:r/>
    </w:p>
    <w:p>
      <w:pPr>
        <w:ind w:left="420"/>
        <w:spacing w:line="360" w:lineRule="auto"/>
        <w:tabs>
          <w:tab w:val="left" w:pos="5580" w:leader="none"/>
        </w:tabs>
        <w:rPr>
          <w:sz w:val="24"/>
          <w:szCs w:val="20"/>
        </w:rPr>
      </w:pPr>
      <w:r>
        <w:rPr>
          <w:sz w:val="24"/>
          <w:szCs w:val="20"/>
        </w:rPr>
        <w:t xml:space="preserve">日期：_____年______月______日</w:t>
      </w:r>
      <w:r/>
    </w:p>
    <w:p>
      <w:pPr>
        <w:spacing w:line="360" w:lineRule="auto"/>
        <w:rPr>
          <w:sz w:val="24"/>
        </w:rPr>
      </w:pPr>
      <w:r/>
      <w:bookmarkStart w:id="845" w:name="_Hlt520356243"/>
      <w:r/>
      <w:bookmarkEnd w:id="845"/>
      <w:r/>
      <w:bookmarkStart w:id="846" w:name="_Hlt520355938"/>
      <w:r/>
      <w:bookmarkEnd w:id="846"/>
      <w:r>
        <w:rPr>
          <w:sz w:val="24"/>
        </w:rPr>
        <w:br w:type="page" w:clear="all"/>
      </w:r>
      <w:r/>
    </w:p>
    <w:p>
      <w:pPr>
        <w:spacing w:line="360" w:lineRule="auto"/>
        <w:rPr>
          <w:sz w:val="24"/>
        </w:rPr>
        <w:outlineLvl w:val="2"/>
      </w:pPr>
      <w:r>
        <w:rPr>
          <w:rFonts w:hint="eastAsia"/>
          <w:sz w:val="24"/>
        </w:rPr>
        <w:t xml:space="preserve">2</w:t>
      </w:r>
      <w:r>
        <w:rPr>
          <w:rFonts w:hint="eastAsia"/>
          <w:sz w:val="24"/>
          <w:lang w:val="en-US" w:eastAsia="zh-CN"/>
        </w:rPr>
        <w:t xml:space="preserve">  </w:t>
      </w:r>
      <w:r>
        <w:rPr>
          <w:rFonts w:hint="eastAsia"/>
          <w:sz w:val="24"/>
        </w:rPr>
        <w:t xml:space="preserve">法定代表人资格证明书</w:t>
      </w:r>
      <w:r>
        <w:rPr>
          <w:b/>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054"/>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w:t>
      </w:r>
      <w:r>
        <w:rPr>
          <w:rFonts w:hint="eastAsia" w:ascii="宋体" w:hAnsi="宋体"/>
          <w:sz w:val="24"/>
          <w:szCs w:val="20"/>
        </w:rPr>
        <w:t xml:space="preserve">供应商</w:t>
      </w:r>
      <w:r>
        <w:rPr>
          <w:rFonts w:ascii="宋体" w:hAnsi="宋体"/>
          <w:sz w:val="24"/>
          <w:szCs w:val="20"/>
        </w:rPr>
        <w:t xml:space="preserve">为事业单位或其他组织或分支机构（仅当</w:t>
      </w:r>
      <w:r>
        <w:rPr>
          <w:rFonts w:hint="eastAsia" w:ascii="宋体" w:hAnsi="宋体"/>
          <w:sz w:val="24"/>
          <w:szCs w:val="20"/>
        </w:rPr>
        <w:t xml:space="preserve">招标文件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sz w:val="24"/>
        </w:rPr>
      </w:pPr>
      <w:r>
        <w:rPr>
          <w:sz w:val="24"/>
        </w:rPr>
        <w:br w:type="page" w:clear="all"/>
      </w:r>
      <w:r/>
    </w:p>
    <w:p>
      <w:pPr>
        <w:spacing w:line="360" w:lineRule="auto"/>
        <w:rPr>
          <w:sz w:val="24"/>
        </w:rPr>
        <w:outlineLvl w:val="2"/>
      </w:pPr>
      <w:r>
        <w:rPr>
          <w:rFonts w:hint="eastAsia"/>
          <w:sz w:val="24"/>
        </w:rPr>
        <w:t xml:space="preserve">3</w:t>
      </w:r>
      <w:r>
        <w:rPr>
          <w:rFonts w:hint="eastAsia"/>
          <w:sz w:val="24"/>
          <w:lang w:val="en-US" w:eastAsia="zh-CN"/>
        </w:rPr>
        <w:t xml:space="preserve">  </w:t>
      </w:r>
      <w:r>
        <w:rPr>
          <w:rFonts w:hint="eastAsia"/>
          <w:sz w:val="24"/>
        </w:rPr>
        <w:t xml:space="preserve">政府采购供应商信用承诺书</w:t>
      </w:r>
      <w:r>
        <w:rPr>
          <w:b/>
          <w:sz w:val="24"/>
          <w:szCs w:val="20"/>
        </w:rPr>
        <w:t xml:space="preserve">（实质性格式）</w:t>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17"/>
        <w:ind w:right="1050" w:firstLine="199"/>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：________</w:t>
      </w:r>
      <w:r>
        <w:rPr>
          <w:rFonts w:hint="eastAsia"/>
          <w:sz w:val="24"/>
        </w:rPr>
        <w:t xml:space="preserve">________</w:t>
      </w:r>
      <w:r>
        <w:rPr>
          <w:sz w:val="24"/>
          <w:lang w:val="zh-CN"/>
        </w:rPr>
        <w:t xml:space="preserve">____</w:t>
      </w:r>
      <w:r/>
    </w:p>
    <w:p>
      <w:pPr>
        <w:spacing w:before="25" w:after="25" w:line="360" w:lineRule="auto"/>
        <w:rPr>
          <w:sz w:val="24"/>
          <w:lang w:val="zh-CN"/>
        </w:rPr>
      </w:pPr>
      <w:r>
        <w:rPr>
          <w:sz w:val="24"/>
          <w:szCs w:val="20"/>
        </w:rPr>
        <w:t xml:space="preserve">日期：_____年_____月_____日</w:t>
      </w:r>
      <w:r/>
    </w:p>
    <w:p>
      <w:pPr>
        <w:jc w:val="left"/>
        <w:widowControl/>
        <w:rPr>
          <w:sz w:val="24"/>
          <w:szCs w:val="20"/>
        </w:rPr>
      </w:pPr>
      <w:r/>
      <w:bookmarkStart w:id="847" w:name="_Hlt520274407"/>
      <w:r/>
      <w:bookmarkEnd w:id="847"/>
      <w:r/>
      <w:bookmarkStart w:id="848" w:name="_Hlt520274065"/>
      <w:r/>
      <w:bookmarkEnd w:id="848"/>
      <w:r/>
      <w:bookmarkStart w:id="849" w:name="_Hlt520273711"/>
      <w:r/>
      <w:bookmarkEnd w:id="849"/>
      <w:r/>
      <w:bookmarkStart w:id="850" w:name="_Hlt520343000"/>
      <w:r/>
      <w:bookmarkEnd w:id="850"/>
      <w:r/>
      <w:bookmarkStart w:id="851" w:name="_Hlt520274393"/>
      <w:r/>
      <w:bookmarkEnd w:id="851"/>
      <w:r/>
      <w:bookmarkStart w:id="852" w:name="_Hlt520343392"/>
      <w:r/>
      <w:bookmarkEnd w:id="852"/>
      <w:r/>
      <w:bookmarkStart w:id="853" w:name="_Hlt520350918"/>
      <w:r/>
      <w:bookmarkEnd w:id="853"/>
      <w:r/>
      <w:bookmarkStart w:id="854" w:name="_Hlt520355504"/>
      <w:r/>
      <w:bookmarkEnd w:id="854"/>
      <w:r/>
      <w:bookmarkStart w:id="855" w:name="_Hlt520274121"/>
      <w:r/>
      <w:bookmarkEnd w:id="855"/>
      <w:r/>
      <w:bookmarkStart w:id="856" w:name="_Hlt520271212"/>
      <w:r/>
      <w:bookmarkEnd w:id="856"/>
      <w:r/>
      <w:bookmarkStart w:id="857" w:name="_Toc520356218"/>
      <w:r/>
      <w:bookmarkStart w:id="858" w:name="_Toc127151557"/>
      <w:r/>
      <w:bookmarkStart w:id="859" w:name="_Toc305158825"/>
      <w:r/>
      <w:bookmarkStart w:id="860" w:name="_Toc480942350"/>
      <w:r/>
      <w:bookmarkStart w:id="861" w:name="_Toc150480795"/>
      <w:r/>
      <w:bookmarkStart w:id="862" w:name="_Toc305158899"/>
      <w:r/>
      <w:bookmarkStart w:id="863" w:name="_Toc142311059"/>
      <w:r/>
      <w:bookmarkStart w:id="864" w:name="_Toc195842922"/>
      <w:r/>
      <w:bookmarkStart w:id="865" w:name="_Toc150774762"/>
      <w:r/>
      <w:bookmarkStart w:id="866" w:name="_Toc226965747"/>
      <w:r/>
      <w:bookmarkStart w:id="867" w:name="_Toc226337253"/>
      <w:r/>
      <w:bookmarkStart w:id="868" w:name="_Ref467988705"/>
      <w:r/>
      <w:bookmarkStart w:id="869" w:name="_Toc226965830"/>
      <w:r/>
      <w:bookmarkStart w:id="870" w:name="_Toc226309801"/>
      <w:r/>
      <w:bookmarkStart w:id="871" w:name="_Toc265228395"/>
      <w:r/>
      <w:bookmarkStart w:id="872" w:name="_Toc264969247"/>
      <w:r>
        <w:rPr>
          <w:sz w:val="24"/>
          <w:szCs w:val="20"/>
        </w:rPr>
        <w:br w:type="page" w:clear="all"/>
      </w:r>
      <w:r/>
    </w:p>
    <w:p>
      <w:pPr>
        <w:spacing w:line="360" w:lineRule="auto"/>
        <w:rPr>
          <w:b/>
          <w:sz w:val="24"/>
          <w:szCs w:val="20"/>
        </w:rPr>
        <w:outlineLvl w:val="2"/>
      </w:pPr>
      <w:r>
        <w:rPr>
          <w:rFonts w:hint="eastAsia"/>
          <w:sz w:val="24"/>
          <w:szCs w:val="20"/>
        </w:rPr>
        <w:t xml:space="preserve">4</w:t>
      </w:r>
      <w:r>
        <w:rPr>
          <w:sz w:val="24"/>
          <w:szCs w:val="20"/>
        </w:rPr>
        <w:t xml:space="preserve">  开标一览表</w:t>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rPr>
          <w:b/>
          <w:sz w:val="24"/>
          <w:szCs w:val="20"/>
        </w:rPr>
        <w:t xml:space="preserve">（实质性格式）</w:t>
      </w:r>
      <w:r/>
    </w:p>
    <w:p>
      <w:pPr>
        <w:jc w:val="center"/>
        <w:spacing w:line="360" w:lineRule="exact"/>
        <w:rPr>
          <w:b/>
          <w:sz w:val="36"/>
          <w:szCs w:val="36"/>
        </w:rPr>
      </w:pPr>
      <w:r/>
      <w:bookmarkStart w:id="873" w:name="_Toc226337254"/>
      <w:r/>
      <w:bookmarkStart w:id="874" w:name="_Toc305158900"/>
      <w:r/>
      <w:bookmarkStart w:id="875" w:name="_Toc164608672"/>
      <w:r/>
      <w:bookmarkStart w:id="876" w:name="_Toc226965748"/>
      <w:r/>
      <w:bookmarkStart w:id="877" w:name="_Toc265228396"/>
      <w:r/>
      <w:bookmarkStart w:id="878" w:name="_Toc305158826"/>
      <w:r/>
      <w:bookmarkStart w:id="879" w:name="_Toc226309802"/>
      <w:r/>
      <w:bookmarkStart w:id="880" w:name="_Toc195842923"/>
      <w:r/>
      <w:bookmarkStart w:id="881" w:name="_Toc164608827"/>
      <w:r/>
      <w:bookmarkStart w:id="882" w:name="_Toc264969248"/>
      <w:r/>
      <w:bookmarkStart w:id="883" w:name="_Toc226965831"/>
      <w:r>
        <w:rPr>
          <w:rFonts w:hint="eastAsia"/>
          <w:b/>
          <w:sz w:val="36"/>
          <w:szCs w:val="36"/>
        </w:rPr>
        <w:t xml:space="preserve">开标一览表</w:t>
      </w:r>
      <w:bookmarkEnd w:id="873"/>
      <w:r/>
      <w:bookmarkEnd w:id="874"/>
      <w:r/>
      <w:bookmarkEnd w:id="875"/>
      <w:r/>
      <w:bookmarkEnd w:id="876"/>
      <w:r/>
      <w:bookmarkEnd w:id="877"/>
      <w:r/>
      <w:bookmarkEnd w:id="878"/>
      <w:r/>
      <w:bookmarkEnd w:id="879"/>
      <w:r/>
      <w:bookmarkEnd w:id="880"/>
      <w:r/>
      <w:bookmarkEnd w:id="881"/>
      <w:r/>
      <w:bookmarkEnd w:id="882"/>
      <w:r/>
      <w:bookmarkEnd w:id="883"/>
      <w:r/>
      <w:r/>
    </w:p>
    <w:p>
      <w:pPr>
        <w:jc w:val="left"/>
        <w:spacing w:line="360" w:lineRule="auto"/>
        <w:tabs>
          <w:tab w:val="left" w:pos="1800" w:leader="none"/>
          <w:tab w:val="left" w:pos="5580" w:leader="none"/>
        </w:tabs>
        <w:rPr>
          <w:i/>
          <w:sz w:val="24"/>
        </w:rPr>
      </w:pPr>
      <w:r>
        <w:rPr>
          <w:i/>
          <w:sz w:val="24"/>
        </w:rPr>
      </w:r>
      <w:r/>
    </w:p>
    <w:p>
      <w:pPr>
        <w:ind w:firstLine="240"/>
        <w:jc w:val="left"/>
        <w:spacing w:line="360" w:lineRule="auto"/>
        <w:tabs>
          <w:tab w:val="left" w:pos="1800" w:leader="none"/>
          <w:tab w:val="left" w:pos="5580" w:leader="none"/>
        </w:tabs>
        <w:rPr>
          <w:rFonts w:ascii="宋体" w:hAnsi="宋体"/>
          <w:sz w:val="24"/>
        </w:rPr>
      </w:pPr>
      <w:r>
        <w:rPr>
          <w:sz w:val="24"/>
        </w:rPr>
        <w:t xml:space="preserve">项目编号：</w:t>
      </w:r>
      <w:r>
        <w:rPr>
          <w:rFonts w:hint="eastAsia" w:ascii="宋体" w:hAnsi="宋体"/>
          <w:sz w:val="24"/>
        </w:rPr>
        <w:t xml:space="preserve">JSZC-320400-JSZG-G2026-0040</w:t>
      </w:r>
      <w:r/>
    </w:p>
    <w:p>
      <w:pPr>
        <w:ind w:firstLine="240"/>
        <w:jc w:val="left"/>
        <w:spacing w:line="360" w:lineRule="auto"/>
        <w:tabs>
          <w:tab w:val="left" w:pos="1800" w:leader="none"/>
          <w:tab w:val="left" w:pos="5580" w:leader="none"/>
        </w:tabs>
        <w:rPr>
          <w:sz w:val="24"/>
          <w:u w:val="single"/>
        </w:rPr>
      </w:pPr>
      <w:r>
        <w:rPr>
          <w:sz w:val="24"/>
        </w:rPr>
        <w:t xml:space="preserve">项目名称：</w:t>
      </w:r>
      <w:r>
        <w:rPr>
          <w:rFonts w:hint="eastAsia"/>
          <w:sz w:val="24"/>
        </w:rPr>
        <w:t xml:space="preserve">2026年管线功能性结构性检测</w:t>
      </w:r>
      <w:r/>
    </w:p>
    <w:tbl>
      <w:tblPr>
        <w:tblStyle w:val="8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446"/>
        </w:trPr>
        <w:tc>
          <w:tcPr>
            <w:tcW w:w="690" w:type="dxa"/>
            <w:vAlign w:val="center"/>
            <w:vMerge w:val="restart"/>
            <w:textDirection w:val="lrTb"/>
            <w:noWrap w:val="false"/>
          </w:tcPr>
          <w:p>
            <w:pPr>
              <w:jc w:val="center"/>
              <w:tabs>
                <w:tab w:val="left" w:pos="5580" w:leader="none"/>
              </w:tabs>
              <w:rPr>
                <w:b/>
                <w:color w:val="000000"/>
                <w:sz w:val="24"/>
              </w:rPr>
            </w:pPr>
            <w:r>
              <w:rPr>
                <w:b/>
                <w:color w:val="000000"/>
                <w:sz w:val="24"/>
              </w:rPr>
              <w:t xml:space="preserve">序号</w:t>
            </w:r>
            <w:r/>
          </w:p>
        </w:tc>
        <w:tc>
          <w:tcPr>
            <w:tcW w:w="3709" w:type="dxa"/>
            <w:vAlign w:val="center"/>
            <w:vMerge w:val="restart"/>
            <w:textDirection w:val="lrTb"/>
            <w:noWrap w:val="false"/>
          </w:tcPr>
          <w:p>
            <w:pPr>
              <w:jc w:val="center"/>
              <w:tabs>
                <w:tab w:val="left" w:pos="5580" w:leader="none"/>
              </w:tabs>
              <w:rPr>
                <w:b/>
                <w:color w:val="000000"/>
                <w:sz w:val="24"/>
              </w:rPr>
            </w:pPr>
            <w:r>
              <w:rPr>
                <w:b/>
                <w:color w:val="000000"/>
                <w:sz w:val="24"/>
              </w:rPr>
              <w:t xml:space="preserve">投标人名称</w:t>
            </w:r>
            <w:r/>
          </w:p>
        </w:tc>
        <w:tc>
          <w:tcPr>
            <w:gridSpan w:val="2"/>
            <w:tcW w:w="3973" w:type="dxa"/>
            <w:vAlign w:val="center"/>
            <w:textDirection w:val="lrTb"/>
            <w:noWrap w:val="false"/>
          </w:tcPr>
          <w:p>
            <w:pPr>
              <w:jc w:val="center"/>
              <w:tabs>
                <w:tab w:val="left" w:pos="5580" w:leader="none"/>
              </w:tabs>
              <w:rPr>
                <w:b/>
                <w:color w:val="000000"/>
                <w:sz w:val="24"/>
              </w:rPr>
            </w:pPr>
            <w:r>
              <w:rPr>
                <w:b/>
                <w:color w:val="000000"/>
                <w:sz w:val="24"/>
              </w:rPr>
              <w:t xml:space="preserve">投标报价</w:t>
            </w:r>
            <w:r>
              <w:rPr>
                <w:rFonts w:hint="eastAsia"/>
                <w:b/>
                <w:color w:val="000000"/>
                <w:sz w:val="24"/>
              </w:rPr>
              <w:t xml:space="preserve">（单价）</w:t>
            </w:r>
            <w:r/>
          </w:p>
        </w:tc>
      </w:tr>
      <w:tr>
        <w:trPr>
          <w:jc w:val="center"/>
          <w:trHeight w:val="444"/>
        </w:trPr>
        <w:tc>
          <w:tcPr>
            <w:tcW w:w="690" w:type="dxa"/>
            <w:vAlign w:val="center"/>
            <w:vMerge w:val="continue"/>
            <w:textDirection w:val="lrTb"/>
            <w:noWrap w:val="false"/>
          </w:tcPr>
          <w:p>
            <w:pPr>
              <w:jc w:val="center"/>
              <w:tabs>
                <w:tab w:val="left" w:pos="5580" w:leader="none"/>
              </w:tabs>
              <w:rPr>
                <w:color w:val="000000"/>
                <w:sz w:val="24"/>
              </w:rPr>
            </w:pPr>
            <w:r>
              <w:rPr>
                <w:color w:val="000000"/>
                <w:sz w:val="24"/>
              </w:rPr>
            </w:r>
            <w:r/>
          </w:p>
        </w:tc>
        <w:tc>
          <w:tcPr>
            <w:tcW w:w="3709" w:type="dxa"/>
            <w:vAlign w:val="center"/>
            <w:vMerge w:val="continue"/>
            <w:textDirection w:val="lrTb"/>
            <w:noWrap w:val="false"/>
          </w:tcPr>
          <w:p>
            <w:pPr>
              <w:jc w:val="center"/>
              <w:tabs>
                <w:tab w:val="left" w:pos="5580" w:leader="none"/>
              </w:tabs>
              <w:rPr>
                <w:color w:val="000000"/>
                <w:sz w:val="24"/>
              </w:rPr>
            </w:pPr>
            <w:r>
              <w:rPr>
                <w:color w:val="000000"/>
                <w:sz w:val="24"/>
              </w:rPr>
            </w:r>
            <w:r/>
          </w:p>
        </w:tc>
        <w:tc>
          <w:tcPr>
            <w:tcW w:w="1989" w:type="dxa"/>
            <w:vAlign w:val="center"/>
            <w:textDirection w:val="lrTb"/>
            <w:noWrap w:val="false"/>
          </w:tcPr>
          <w:p>
            <w:pPr>
              <w:jc w:val="center"/>
              <w:tabs>
                <w:tab w:val="left" w:pos="5580" w:leader="none"/>
              </w:tabs>
              <w:rPr>
                <w:b/>
                <w:color w:val="000000"/>
                <w:sz w:val="24"/>
              </w:rPr>
            </w:pPr>
            <w:r>
              <w:rPr>
                <w:b/>
                <w:color w:val="000000"/>
                <w:sz w:val="24"/>
              </w:rPr>
              <w:t xml:space="preserve">大写</w:t>
            </w:r>
            <w:r>
              <w:rPr>
                <w:rFonts w:hint="eastAsia"/>
                <w:b/>
                <w:color w:val="000000"/>
                <w:sz w:val="24"/>
              </w:rPr>
              <w:t xml:space="preserve">（元/米）</w:t>
            </w:r>
            <w:r/>
          </w:p>
        </w:tc>
        <w:tc>
          <w:tcPr>
            <w:tcW w:w="1984" w:type="dxa"/>
            <w:vAlign w:val="center"/>
            <w:textDirection w:val="lrTb"/>
            <w:noWrap w:val="false"/>
          </w:tcPr>
          <w:p>
            <w:pPr>
              <w:jc w:val="center"/>
              <w:tabs>
                <w:tab w:val="left" w:pos="5580" w:leader="none"/>
              </w:tabs>
              <w:rPr>
                <w:b/>
                <w:color w:val="000000"/>
                <w:sz w:val="24"/>
              </w:rPr>
            </w:pPr>
            <w:r>
              <w:rPr>
                <w:b/>
                <w:color w:val="000000"/>
                <w:sz w:val="24"/>
              </w:rPr>
              <w:t xml:space="preserve">小写</w:t>
            </w:r>
            <w:r>
              <w:rPr>
                <w:rFonts w:hint="eastAsia"/>
                <w:b/>
                <w:color w:val="000000"/>
                <w:sz w:val="24"/>
              </w:rPr>
              <w:t xml:space="preserve">（元/米）</w:t>
            </w:r>
            <w:r/>
          </w:p>
        </w:tc>
      </w:tr>
      <w:tr>
        <w:trPr>
          <w:jc w:val="center"/>
          <w:trHeight w:val="976"/>
        </w:trPr>
        <w:tc>
          <w:tcPr>
            <w:tcW w:w="690" w:type="dxa"/>
            <w:vAlign w:val="center"/>
            <w:textDirection w:val="lrTb"/>
            <w:noWrap w:val="false"/>
          </w:tcPr>
          <w:p>
            <w:pPr>
              <w:jc w:val="center"/>
              <w:tabs>
                <w:tab w:val="left" w:pos="5580" w:leader="none"/>
              </w:tabs>
              <w:rPr>
                <w:color w:val="000000"/>
                <w:sz w:val="24"/>
              </w:rPr>
            </w:pPr>
            <w:r>
              <w:rPr>
                <w:color w:val="000000"/>
                <w:sz w:val="24"/>
              </w:rPr>
            </w:r>
            <w:r/>
          </w:p>
        </w:tc>
        <w:tc>
          <w:tcPr>
            <w:tcW w:w="3709" w:type="dxa"/>
            <w:vAlign w:val="center"/>
            <w:textDirection w:val="lrTb"/>
            <w:noWrap w:val="false"/>
          </w:tcPr>
          <w:p>
            <w:pPr>
              <w:jc w:val="center"/>
              <w:tabs>
                <w:tab w:val="left" w:pos="5580" w:leader="none"/>
              </w:tabs>
              <w:rPr>
                <w:color w:val="000000"/>
                <w:sz w:val="24"/>
              </w:rPr>
            </w:pPr>
            <w:r>
              <w:rPr>
                <w:color w:val="000000"/>
                <w:sz w:val="24"/>
              </w:rPr>
            </w:r>
            <w:r/>
          </w:p>
        </w:tc>
        <w:tc>
          <w:tcPr>
            <w:tcW w:w="1989" w:type="dxa"/>
            <w:vAlign w:val="center"/>
            <w:textDirection w:val="lrTb"/>
            <w:noWrap w:val="false"/>
          </w:tcPr>
          <w:p>
            <w:pPr>
              <w:jc w:val="center"/>
              <w:tabs>
                <w:tab w:val="left" w:pos="5580" w:leader="none"/>
              </w:tabs>
              <w:rPr>
                <w:color w:val="000000"/>
                <w:sz w:val="24"/>
              </w:rPr>
            </w:pPr>
            <w:r>
              <w:rPr>
                <w:color w:val="000000"/>
                <w:sz w:val="24"/>
              </w:rPr>
            </w:r>
            <w:r/>
          </w:p>
        </w:tc>
        <w:tc>
          <w:tcPr>
            <w:tcW w:w="1984" w:type="dxa"/>
            <w:vAlign w:val="center"/>
            <w:textDirection w:val="lrTb"/>
            <w:noWrap w:val="false"/>
          </w:tcPr>
          <w:p>
            <w:pPr>
              <w:jc w:val="center"/>
              <w:tabs>
                <w:tab w:val="left" w:pos="5580" w:leader="none"/>
              </w:tabs>
              <w:rPr>
                <w:color w:val="000000"/>
                <w:sz w:val="24"/>
              </w:rPr>
            </w:pPr>
            <w:r>
              <w:rPr>
                <w:color w:val="000000"/>
                <w:sz w:val="24"/>
              </w:rPr>
            </w:r>
            <w:r/>
          </w:p>
        </w:tc>
      </w:tr>
    </w:tbl>
    <w:p>
      <w:pPr>
        <w:jc w:val="left"/>
        <w:rPr>
          <w:color w:val="000000"/>
          <w:sz w:val="24"/>
        </w:rPr>
      </w:pPr>
      <w:r>
        <w:rPr>
          <w:color w:val="000000"/>
          <w:sz w:val="24"/>
        </w:rPr>
      </w:r>
      <w:r/>
    </w:p>
    <w:p>
      <w:pPr>
        <w:jc w:val="left"/>
        <w:rPr>
          <w:color w:val="000000"/>
          <w:sz w:val="24"/>
        </w:rPr>
      </w:pPr>
      <w:r/>
      <w:bookmarkStart w:id="884" w:name="_Toc150774763"/>
      <w:r/>
      <w:bookmarkStart w:id="885" w:name="_Toc305158827"/>
      <w:r/>
      <w:bookmarkStart w:id="886" w:name="_Toc226965749"/>
      <w:r/>
      <w:bookmarkStart w:id="887" w:name="_Toc127151558"/>
      <w:r/>
      <w:bookmarkStart w:id="888" w:name="_Toc142311060"/>
      <w:r/>
      <w:bookmarkStart w:id="889" w:name="_Toc195842924"/>
      <w:r/>
      <w:bookmarkStart w:id="890" w:name="_Toc305158901"/>
      <w:r/>
      <w:bookmarkStart w:id="891" w:name="_Toc226965832"/>
      <w:r/>
      <w:bookmarkStart w:id="892" w:name="_Toc150480796"/>
      <w:r/>
      <w:bookmarkStart w:id="893" w:name="_Toc265228397"/>
      <w:r/>
      <w:bookmarkStart w:id="894" w:name="_Toc226309803"/>
      <w:r/>
      <w:bookmarkStart w:id="895" w:name="_Toc226337255"/>
      <w:r/>
      <w:bookmarkStart w:id="896" w:name="_Toc264969249"/>
      <w:r/>
      <w:r/>
    </w:p>
    <w:p>
      <w:pPr>
        <w:jc w:val="left"/>
        <w:rPr>
          <w:color w:val="000000"/>
          <w:sz w:val="24"/>
        </w:rPr>
      </w:pPr>
      <w:r>
        <w:rPr>
          <w:color w:val="000000"/>
          <w:sz w:val="24"/>
        </w:rPr>
        <w:t xml:space="preserve">注：</w:t>
      </w:r>
      <w:r>
        <w:rPr>
          <w:rFonts w:hint="eastAsia"/>
          <w:color w:val="000000"/>
          <w:sz w:val="24"/>
        </w:rPr>
        <w:t xml:space="preserve">1.本项目采用固定单价形式报价，结算费用根据结算周期管线功能性结构性检测实际完成量和考核结果进行计算。</w:t>
      </w:r>
      <w:r/>
    </w:p>
    <w:p>
      <w:pPr>
        <w:jc w:val="left"/>
        <w:rPr>
          <w:color w:val="000000"/>
          <w:sz w:val="24"/>
        </w:rPr>
      </w:pPr>
      <w:r>
        <w:rPr>
          <w:rFonts w:hint="eastAsia"/>
          <w:color w:val="000000"/>
          <w:sz w:val="24"/>
        </w:rPr>
        <w:t xml:space="preserve">2.本项目参照财政部《关于推动解决政府采购异常低价问题的通知》（财库〔2026〕2号）文件规定，</w:t>
      </w:r>
      <w:r>
        <w:rPr>
          <w:rFonts w:hint="eastAsia"/>
          <w:color w:val="000000"/>
          <w:sz w:val="24"/>
        </w:rPr>
        <w:t xml:space="preserve">评审中出现下列情形之一的，评标委员会（评审小组）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w:t>
      </w:r>
      <w:r>
        <w:rPr>
          <w:rFonts w:hint="eastAsia"/>
          <w:color w:val="000000"/>
          <w:sz w:val="24"/>
        </w:rPr>
        <w:t xml:space="preserve">会基于专业判断，认为供应商报价过低，有可能影响产品质量或者不能诚信履约的其他情形。启动异常低价投标（响应）审查后，评标委员会（评审小组）应当要求相关投标人在评标现场合理的时间内，提供项目具体成本测算等与报价合理性相关的书面说明及相关证明材料，对投标（响应）价格作出解释，由评标委员会（评审小组）对投标人报价合理性进行判断。投标（响应）投标人不提供书面说明、证明材料，或者提供的书面说明、证明材料不能证明其报价合理性的，评标委员会（评审小组）应当将其作为无效投标（响应）处理。审查相关情况应当在评审报告中进行记录。</w:t>
      </w:r>
      <w:r/>
    </w:p>
    <w:p>
      <w:pPr>
        <w:ind w:firstLine="480"/>
        <w:tabs>
          <w:tab w:val="left" w:pos="5580" w:leader="none"/>
        </w:tabs>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：______</w:t>
      </w:r>
      <w:r>
        <w:rPr>
          <w:rFonts w:hint="eastAsia"/>
          <w:sz w:val="24"/>
        </w:rPr>
        <w:t xml:space="preserve">_________</w:t>
      </w:r>
      <w:r>
        <w:rPr>
          <w:sz w:val="24"/>
          <w:lang w:val="zh-CN"/>
        </w:rPr>
        <w:t xml:space="preserve">______</w:t>
      </w:r>
      <w:r/>
    </w:p>
    <w:p>
      <w:pPr>
        <w:spacing w:before="25" w:after="25" w:line="360" w:lineRule="auto"/>
        <w:rPr>
          <w:sz w:val="24"/>
          <w:lang w:val="zh-CN"/>
        </w:rPr>
      </w:pPr>
      <w:r>
        <w:rPr>
          <w:sz w:val="24"/>
          <w:szCs w:val="20"/>
        </w:rPr>
        <w:t xml:space="preserve">日期：_____年______月______日</w:t>
      </w:r>
      <w:r/>
    </w:p>
    <w:p>
      <w:pPr>
        <w:jc w:val="left"/>
        <w:widowControl/>
        <w:rPr>
          <w:sz w:val="24"/>
          <w:szCs w:val="20"/>
        </w:rPr>
      </w:pPr>
      <w:r>
        <w:rPr>
          <w:sz w:val="24"/>
          <w:szCs w:val="20"/>
        </w:rPr>
        <w:br w:type="page" w:clear="all"/>
      </w:r>
      <w:bookmarkEnd w:id="884"/>
      <w:bookmarkEnd w:id="885"/>
      <w:bookmarkEnd w:id="886"/>
      <w:bookmarkEnd w:id="887"/>
      <w:bookmarkEnd w:id="888"/>
      <w:bookmarkEnd w:id="889"/>
      <w:bookmarkEnd w:id="890"/>
      <w:bookmarkEnd w:id="891"/>
      <w:bookmarkEnd w:id="892"/>
      <w:bookmarkEnd w:id="893"/>
      <w:bookmarkEnd w:id="894"/>
      <w:bookmarkEnd w:id="895"/>
      <w:bookmarkEnd w:id="896"/>
      <w:r/>
    </w:p>
    <w:p>
      <w:pPr>
        <w:spacing w:line="360" w:lineRule="auto"/>
        <w:rPr>
          <w:sz w:val="24"/>
          <w:szCs w:val="20"/>
        </w:rPr>
        <w:outlineLvl w:val="2"/>
      </w:pPr>
      <w:r/>
      <w:bookmarkStart w:id="897" w:name="_Toc226965835"/>
      <w:r/>
      <w:bookmarkStart w:id="898" w:name="_Toc226965752"/>
      <w:r/>
      <w:bookmarkStart w:id="899" w:name="_Toc226337258"/>
      <w:r/>
      <w:bookmarkStart w:id="900" w:name="_Toc265228400"/>
      <w:r/>
      <w:bookmarkStart w:id="901" w:name="_Toc150774765"/>
      <w:r/>
      <w:bookmarkStart w:id="902" w:name="_Toc226309806"/>
      <w:r/>
      <w:bookmarkStart w:id="903" w:name="_Toc305158830"/>
      <w:r/>
      <w:bookmarkStart w:id="904" w:name="_Toc142311062"/>
      <w:r/>
      <w:bookmarkStart w:id="905" w:name="_Toc150480798"/>
      <w:r/>
      <w:bookmarkStart w:id="906" w:name="_Toc305158904"/>
      <w:r/>
      <w:bookmarkStart w:id="907" w:name="_Toc195842927"/>
      <w:r/>
      <w:bookmarkStart w:id="908" w:name="_Toc127151562"/>
      <w:r/>
      <w:bookmarkStart w:id="909" w:name="_Toc264969252"/>
      <w:r/>
      <w:bookmarkStart w:id="910" w:name="_Toc226965834"/>
      <w:r/>
      <w:bookmarkStart w:id="911" w:name="_Toc142311061"/>
      <w:r/>
      <w:bookmarkStart w:id="912" w:name="_Toc150480797"/>
      <w:r/>
      <w:bookmarkStart w:id="913" w:name="_Toc265228399"/>
      <w:r/>
      <w:bookmarkStart w:id="914" w:name="_Toc150774764"/>
      <w:r/>
      <w:bookmarkStart w:id="915" w:name="_Toc226337257"/>
      <w:r/>
      <w:bookmarkStart w:id="916" w:name="_Toc226309805"/>
      <w:r/>
      <w:bookmarkStart w:id="917" w:name="_Toc195842926"/>
      <w:r/>
      <w:bookmarkStart w:id="918" w:name="_Toc305158829"/>
      <w:r/>
      <w:bookmarkStart w:id="919" w:name="_Toc127151561"/>
      <w:r/>
      <w:bookmarkStart w:id="920" w:name="_Toc226965751"/>
      <w:r/>
      <w:bookmarkStart w:id="921" w:name="_Toc264969251"/>
      <w:r/>
      <w:bookmarkStart w:id="922" w:name="_Toc305158903"/>
      <w:r>
        <w:rPr>
          <w:rFonts w:hint="eastAsia"/>
          <w:sz w:val="24"/>
          <w:szCs w:val="20"/>
        </w:rPr>
        <w:t xml:space="preserve">5</w:t>
      </w:r>
      <w:r>
        <w:rPr>
          <w:sz w:val="24"/>
          <w:szCs w:val="20"/>
        </w:rPr>
        <w:t xml:space="preserve">  合同条款偏离表</w:t>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rPr>
          <w:b/>
          <w:sz w:val="24"/>
          <w:szCs w:val="20"/>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ind w:firstLine="360"/>
        <w:jc w:val="left"/>
        <w:spacing w:line="360" w:lineRule="auto"/>
        <w:tabs>
          <w:tab w:val="left" w:pos="1800" w:leader="none"/>
          <w:tab w:val="left" w:pos="5580" w:leader="none"/>
        </w:tabs>
        <w:rPr>
          <w:rFonts w:ascii="宋体" w:hAnsi="宋体"/>
          <w:sz w:val="24"/>
        </w:rPr>
      </w:pPr>
      <w:r>
        <w:rPr>
          <w:sz w:val="24"/>
        </w:rPr>
        <w:t xml:space="preserve">项目编号：</w:t>
      </w:r>
      <w:r>
        <w:rPr>
          <w:rFonts w:hint="eastAsia" w:ascii="宋体" w:hAnsi="宋体"/>
          <w:sz w:val="24"/>
        </w:rPr>
        <w:t xml:space="preserve">JSZC-320400-JSZG-G2026-0040</w:t>
      </w:r>
      <w:r/>
    </w:p>
    <w:p>
      <w:pPr>
        <w:ind w:firstLine="360"/>
        <w:jc w:val="left"/>
        <w:spacing w:line="360" w:lineRule="auto"/>
        <w:tabs>
          <w:tab w:val="left" w:pos="1800" w:leader="none"/>
          <w:tab w:val="left" w:pos="5580" w:leader="none"/>
        </w:tabs>
        <w:rPr>
          <w:sz w:val="24"/>
        </w:rPr>
      </w:pPr>
      <w:r>
        <w:rPr>
          <w:sz w:val="24"/>
        </w:rPr>
        <w:t xml:space="preserve">项目名称：</w:t>
      </w:r>
      <w:r>
        <w:rPr>
          <w:rFonts w:hint="eastAsia"/>
          <w:sz w:val="24"/>
        </w:rPr>
        <w:t xml:space="preserve">2026年管线功能性结构性检测</w:t>
      </w:r>
      <w:r/>
    </w:p>
    <w:tbl>
      <w:tblPr>
        <w:tblStyle w:val="8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2" w:type="dxa"/>
            <w:vAlign w:val="center"/>
            <w:textDirection w:val="lrTb"/>
            <w:noWrap w:val="false"/>
          </w:tcPr>
          <w:p>
            <w:pPr>
              <w:jc w:val="center"/>
              <w:rPr>
                <w:sz w:val="24"/>
              </w:rPr>
            </w:pPr>
            <w:r>
              <w:rPr>
                <w:sz w:val="24"/>
              </w:rPr>
              <w:t xml:space="preserve">序号</w:t>
            </w:r>
            <w:r/>
          </w:p>
        </w:tc>
        <w:tc>
          <w:tcPr>
            <w:tcW w:w="1290"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1980"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1981" w:type="dxa"/>
            <w:vAlign w:val="center"/>
            <w:textDirection w:val="lrTb"/>
            <w:noWrap w:val="false"/>
          </w:tcPr>
          <w:p>
            <w:pPr>
              <w:jc w:val="center"/>
              <w:rPr>
                <w:sz w:val="24"/>
              </w:rPr>
            </w:pPr>
            <w:r>
              <w:rPr>
                <w:sz w:val="24"/>
              </w:rPr>
              <w:t xml:space="preserve">投标文件内容</w:t>
            </w:r>
            <w:r/>
          </w:p>
        </w:tc>
        <w:tc>
          <w:tcPr>
            <w:tcW w:w="2423" w:type="dxa"/>
            <w:vAlign w:val="center"/>
            <w:textDirection w:val="lrTb"/>
            <w:noWrap w:val="false"/>
          </w:tcPr>
          <w:p>
            <w:pPr>
              <w:jc w:val="center"/>
              <w:rPr>
                <w:sz w:val="24"/>
              </w:rPr>
            </w:pPr>
            <w:r>
              <w:rPr>
                <w:sz w:val="24"/>
              </w:rPr>
              <w:t xml:space="preserve">偏离情况</w:t>
            </w:r>
            <w:r/>
          </w:p>
        </w:tc>
        <w:tc>
          <w:tcPr>
            <w:tcW w:w="782" w:type="dxa"/>
            <w:vAlign w:val="center"/>
            <w:textDirection w:val="lrTb"/>
            <w:noWrap w:val="false"/>
          </w:tcPr>
          <w:p>
            <w:pPr>
              <w:jc w:val="center"/>
              <w:rPr>
                <w:sz w:val="24"/>
              </w:rPr>
            </w:pPr>
            <w:r>
              <w:rPr>
                <w:sz w:val="24"/>
              </w:rPr>
              <w:t xml:space="preserve">说明</w:t>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t xml:space="preserve">……</w:t>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w:t>
      </w:r>
      <w:r>
        <w:rPr>
          <w:rFonts w:hint="eastAsia"/>
          <w:sz w:val="24"/>
        </w:rPr>
        <w:t xml:space="preserve">“偏离情况”列应</w:t>
      </w:r>
      <w:r>
        <w:rPr>
          <w:sz w:val="24"/>
        </w:rPr>
        <w:t xml:space="preserve">据实</w:t>
      </w:r>
      <w:r>
        <w:rPr>
          <w:rFonts w:hint="eastAsia"/>
          <w:sz w:val="24"/>
        </w:rPr>
        <w:t xml:space="preserve">填写“无偏离”或“有偏离”。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日期：_____年____月____日</w:t>
      </w:r>
      <w:r/>
    </w:p>
    <w:p>
      <w:pPr>
        <w:spacing w:line="360" w:lineRule="auto"/>
        <w:rPr>
          <w:sz w:val="24"/>
          <w:szCs w:val="20"/>
        </w:rPr>
      </w:pPr>
      <w:r>
        <w:rPr>
          <w:sz w:val="24"/>
          <w:szCs w:val="20"/>
        </w:rPr>
        <w:br w:type="page" w:clear="all"/>
      </w:r>
      <w:r/>
    </w:p>
    <w:p>
      <w:pPr>
        <w:spacing w:line="360" w:lineRule="auto"/>
        <w:rPr>
          <w:sz w:val="24"/>
          <w:szCs w:val="20"/>
        </w:rPr>
        <w:outlineLvl w:val="2"/>
      </w:pPr>
      <w:r>
        <w:rPr>
          <w:rFonts w:hint="eastAsia"/>
          <w:sz w:val="24"/>
          <w:szCs w:val="20"/>
        </w:rPr>
        <w:t xml:space="preserve">6</w:t>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rPr>
          <w:sz w:val="24"/>
          <w:szCs w:val="20"/>
        </w:rPr>
        <w:t xml:space="preserve">  采购需求偏离表</w:t>
      </w:r>
      <w:r>
        <w:rPr>
          <w:b/>
          <w:sz w:val="24"/>
          <w:szCs w:val="20"/>
        </w:rPr>
        <w:t xml:space="preserve">（实质性格式）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rFonts w:ascii="宋体" w:hAnsi="宋体"/>
          <w:sz w:val="24"/>
        </w:rPr>
      </w:pPr>
      <w:r>
        <w:rPr>
          <w:sz w:val="24"/>
        </w:rPr>
        <w:t xml:space="preserve">项目编号：</w:t>
      </w:r>
      <w:r>
        <w:rPr>
          <w:rFonts w:hint="eastAsia" w:ascii="宋体" w:hAnsi="宋体"/>
          <w:sz w:val="24"/>
        </w:rPr>
        <w:t xml:space="preserve">JSZC-320400-JSZG-G2026-0040</w:t>
      </w:r>
      <w:r/>
    </w:p>
    <w:p>
      <w:pPr>
        <w:ind w:firstLine="360"/>
        <w:jc w:val="left"/>
        <w:spacing w:line="360" w:lineRule="auto"/>
        <w:tabs>
          <w:tab w:val="left" w:pos="1800" w:leader="none"/>
          <w:tab w:val="left" w:pos="5580" w:leader="none"/>
        </w:tabs>
        <w:rPr>
          <w:sz w:val="24"/>
          <w:u w:val="single"/>
        </w:rPr>
      </w:pPr>
      <w:r>
        <w:rPr>
          <w:sz w:val="24"/>
        </w:rPr>
        <w:t xml:space="preserve">项目名称：</w:t>
      </w:r>
      <w:r>
        <w:rPr>
          <w:rFonts w:hint="eastAsia"/>
          <w:sz w:val="24"/>
        </w:rPr>
        <w:t xml:space="preserve">2026年管线功能性结构性检测</w:t>
      </w:r>
      <w:r/>
    </w:p>
    <w:tbl>
      <w:tblPr>
        <w:tblStyle w:val="8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招标文件条目号(页码)</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填写“无偏离”、“正偏离”或“负偏离”。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日期：_____年_____月_____日</w:t>
      </w:r>
      <w:r/>
    </w:p>
    <w:p>
      <w:pPr>
        <w:spacing w:line="360" w:lineRule="auto"/>
        <w:rPr>
          <w:sz w:val="24"/>
          <w:szCs w:val="20"/>
        </w:rPr>
      </w:pPr>
      <w:r>
        <w:rPr>
          <w:sz w:val="24"/>
          <w:szCs w:val="20"/>
        </w:rPr>
        <w:br w:type="page" w:clear="all"/>
      </w:r>
      <w:r/>
    </w:p>
    <w:p>
      <w:pPr>
        <w:spacing w:line="360" w:lineRule="auto"/>
        <w:rPr>
          <w:color w:val="000000"/>
          <w:sz w:val="24"/>
          <w:szCs w:val="20"/>
          <w:highlight w:val="none"/>
        </w:rPr>
        <w:outlineLvl w:val="2"/>
      </w:pPr>
      <w:r>
        <w:rPr>
          <w:rFonts w:hint="eastAsia" w:eastAsia="宋体"/>
          <w:color w:val="000000"/>
          <w:sz w:val="24"/>
          <w:szCs w:val="20"/>
          <w:highlight w:val="none"/>
          <w:lang w:val="en-US" w:eastAsia="zh-CN"/>
        </w:rPr>
        <w:t xml:space="preserve">7</w:t>
      </w:r>
      <w:r>
        <w:rPr>
          <w:rFonts w:hint="eastAsia" w:eastAsia="宋体"/>
          <w:color w:val="000000"/>
          <w:sz w:val="24"/>
          <w:szCs w:val="20"/>
          <w:highlight w:val="none"/>
        </w:rPr>
        <w:t xml:space="preserve">  </w:t>
      </w:r>
      <w:r>
        <w:rPr>
          <w:rFonts w:hint="eastAsia"/>
          <w:color w:val="000000"/>
          <w:sz w:val="24"/>
          <w:szCs w:val="20"/>
          <w:highlight w:val="none"/>
        </w:rPr>
        <w:t xml:space="preserve">关于符合本国产品标准的声明函</w:t>
      </w:r>
      <w:r/>
    </w:p>
    <w:p>
      <w:pPr>
        <w:spacing w:line="360" w:lineRule="auto"/>
        <w:tabs>
          <w:tab w:val="left" w:pos="5580" w:leader="none"/>
        </w:tabs>
        <w:rPr>
          <w:rFonts w:hint="eastAsia"/>
          <w:sz w:val="24"/>
          <w:highlight w:val="none"/>
          <w:lang w:eastAsia="zh-CN"/>
        </w:rPr>
      </w:pPr>
      <w:r>
        <w:rPr>
          <w:rFonts w:hint="eastAsia"/>
          <w:sz w:val="24"/>
          <w:highlight w:val="none"/>
          <w:lang w:val="en-US" w:eastAsia="zh-CN"/>
        </w:rPr>
        <w:t xml:space="preserve">说明</w:t>
      </w:r>
      <w:r>
        <w:rPr>
          <w:rFonts w:hint="eastAsia"/>
          <w:sz w:val="24"/>
          <w:highlight w:val="none"/>
          <w:lang w:eastAsia="zh-CN"/>
        </w:rPr>
        <w:t xml:space="preserve">：</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1.本项目对采购本国产品给予政策支持，具体内容</w:t>
      </w:r>
      <w:r>
        <w:rPr>
          <w:rFonts w:hint="eastAsia"/>
          <w:sz w:val="24"/>
          <w:highlight w:val="none"/>
          <w:lang w:val="en-US" w:eastAsia="zh-CN"/>
        </w:rPr>
        <w:t xml:space="preserve">如下</w:t>
      </w:r>
      <w:r>
        <w:rPr>
          <w:rFonts w:hint="eastAsia"/>
          <w:sz w:val="24"/>
          <w:highlight w:val="none"/>
          <w:lang w:eastAsia="zh-CN"/>
        </w:rPr>
        <w:t xml:space="preserve">：</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1</w:t>
      </w:r>
      <w:r>
        <w:rPr>
          <w:rFonts w:hint="eastAsia"/>
          <w:sz w:val="24"/>
          <w:highlight w:val="none"/>
          <w:lang w:eastAsia="zh-CN"/>
        </w:rPr>
        <w:t xml:space="preserve">）</w:t>
      </w:r>
      <w:r>
        <w:rPr>
          <w:rFonts w:hint="eastAsia"/>
          <w:sz w:val="24"/>
          <w:highlight w:val="none"/>
        </w:rPr>
        <w:t xml:space="preserve">本项目政府采购活动中既有本国产品又有非本国产品参与竞争的，依法对本国产品给予价格评审优惠，对本国产品的报价给予</w:t>
      </w:r>
      <w:r>
        <w:rPr>
          <w:rFonts w:hint="eastAsia"/>
          <w:sz w:val="24"/>
          <w:highlight w:val="none"/>
          <w:u w:val="single"/>
        </w:rPr>
        <w:t xml:space="preserve">20%</w:t>
      </w:r>
      <w:r>
        <w:rPr>
          <w:rFonts w:hint="eastAsia"/>
          <w:sz w:val="24"/>
          <w:highlight w:val="none"/>
        </w:rPr>
        <w:t xml:space="preserve">的价格扣除，用扣除后的价格参与评审。</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2</w:t>
      </w:r>
      <w:r>
        <w:rPr>
          <w:rFonts w:hint="eastAsia"/>
          <w:sz w:val="24"/>
          <w:highlight w:val="none"/>
          <w:lang w:eastAsia="zh-CN"/>
        </w:rPr>
        <w:t xml:space="preserve">）</w:t>
      </w:r>
      <w:r>
        <w:rPr>
          <w:rFonts w:hint="eastAsia"/>
          <w:sz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highlight w:val="none"/>
          <w:u w:val="single"/>
        </w:rPr>
        <w:t xml:space="preserve">80%</w:t>
      </w:r>
      <w:r>
        <w:rPr>
          <w:rFonts w:hint="eastAsia"/>
          <w:sz w:val="24"/>
          <w:highlight w:val="none"/>
        </w:rPr>
        <w:t xml:space="preserve">以上时（供应商需在“第</w:t>
      </w:r>
      <w:r>
        <w:rPr>
          <w:rFonts w:hint="eastAsia"/>
          <w:sz w:val="24"/>
          <w:highlight w:val="none"/>
          <w:lang w:val="en-US" w:eastAsia="zh-CN"/>
        </w:rPr>
        <w:t xml:space="preserve">七</w:t>
      </w:r>
      <w:r>
        <w:rPr>
          <w:rFonts w:hint="eastAsia"/>
          <w:sz w:val="24"/>
          <w:highlight w:val="none"/>
        </w:rPr>
        <w:t xml:space="preserve">章 投标文件格式”的“投标分项报价表”中填写比例数值），依法对该供应商提供的全部产品给予价格评审优惠，即对该供应商提供的全部产品的总报价给予</w:t>
      </w:r>
      <w:r>
        <w:rPr>
          <w:rFonts w:hint="eastAsia"/>
          <w:sz w:val="24"/>
          <w:highlight w:val="none"/>
          <w:u w:val="single"/>
        </w:rPr>
        <w:t xml:space="preserve">20%</w:t>
      </w:r>
      <w:r>
        <w:rPr>
          <w:rFonts w:hint="eastAsia"/>
          <w:sz w:val="24"/>
          <w:highlight w:val="none"/>
        </w:rPr>
        <w:t xml:space="preserve">的价格扣除，用扣除后的价格参与评审。供应商未填写比例数值，或比例数值未达到</w:t>
      </w:r>
      <w:r>
        <w:rPr>
          <w:rFonts w:hint="eastAsia"/>
          <w:sz w:val="24"/>
          <w:highlight w:val="none"/>
          <w:u w:val="single"/>
        </w:rPr>
        <w:t xml:space="preserve">80%</w:t>
      </w:r>
      <w:r>
        <w:rPr>
          <w:rFonts w:hint="eastAsia"/>
          <w:sz w:val="24"/>
          <w:highlight w:val="none"/>
        </w:rPr>
        <w:t xml:space="preserve">的，将不享受本国产品价格评审优惠。</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3</w:t>
      </w:r>
      <w:r>
        <w:rPr>
          <w:rFonts w:hint="eastAsia"/>
          <w:sz w:val="24"/>
          <w:highlight w:val="none"/>
          <w:lang w:eastAsia="zh-CN"/>
        </w:rPr>
        <w:t xml:space="preserve">）</w:t>
      </w:r>
      <w:r>
        <w:rPr>
          <w:rFonts w:hint="eastAsia"/>
          <w:sz w:val="24"/>
          <w:highlight w:val="none"/>
        </w:rPr>
        <w:t xml:space="preserve">供应商需按照招标文件的要求提供《关于符合本国产品标准的声明函》（以下简称《声明函》），如不提供将不享受本国产品价格评审优惠。</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4</w:t>
      </w:r>
      <w:r>
        <w:rPr>
          <w:rFonts w:hint="eastAsia"/>
          <w:sz w:val="24"/>
          <w:highlight w:val="none"/>
          <w:lang w:eastAsia="zh-CN"/>
        </w:rPr>
        <w:t xml:space="preserve">）</w:t>
      </w:r>
      <w:r>
        <w:rPr>
          <w:rFonts w:hint="eastAsia"/>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5580" w:leader="none"/>
        </w:tabs>
        <w:rPr>
          <w:rFonts w:hint="eastAsia" w:eastAsia="宋体"/>
          <w:sz w:val="24"/>
          <w:highlight w:val="none"/>
          <w:lang w:eastAsia="zh-CN"/>
        </w:rPr>
      </w:pPr>
      <w:r>
        <w:rPr>
          <w:rFonts w:hint="eastAsia"/>
          <w:sz w:val="24"/>
          <w:highlight w:val="none"/>
          <w:lang w:eastAsia="zh-CN"/>
        </w:rPr>
        <w:t xml:space="preserve">（</w:t>
      </w:r>
      <w:r>
        <w:rPr>
          <w:rFonts w:hint="eastAsia"/>
          <w:sz w:val="24"/>
          <w:highlight w:val="none"/>
          <w:lang w:val="en-US" w:eastAsia="zh-CN"/>
        </w:rPr>
        <w:t xml:space="preserve">5</w:t>
      </w:r>
      <w:r>
        <w:rPr>
          <w:rFonts w:hint="eastAsia"/>
          <w:sz w:val="24"/>
          <w:highlight w:val="none"/>
          <w:lang w:eastAsia="zh-CN"/>
        </w:rPr>
        <w:t xml:space="preserve">）</w:t>
      </w:r>
      <w:r>
        <w:rPr>
          <w:rFonts w:hint="eastAsia"/>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sz w:val="24"/>
          <w:highlight w:val="none"/>
          <w:lang w:eastAsia="zh-CN"/>
        </w:rPr>
        <w:t xml:space="preserve">。</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before="240" w:beforeAutospacing="0" w:after="240" w:afterAutospacing="0" w:line="360" w:lineRule="auto"/>
        <w:shd w:val="clear" w:color="auto" w:fill="ffffff"/>
        <w:rPr>
          <w:rFonts w:hint="eastAsia" w:eastAsia="宋体"/>
          <w:b/>
          <w:bCs/>
          <w:color w:val="000000"/>
          <w:sz w:val="36"/>
          <w:szCs w:val="36"/>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eastAsia="宋体"/>
          <w:b/>
          <w:bCs/>
          <w:color w:val="000000"/>
          <w:sz w:val="36"/>
          <w:szCs w:val="36"/>
          <w:highlight w:val="none"/>
        </w:rPr>
      </w:r>
      <w:r/>
    </w:p>
    <w:p>
      <w:pPr>
        <w:jc w:val="center"/>
        <w:spacing w:before="240" w:beforeAutospacing="0" w:after="240" w:afterAutospacing="0" w:line="360" w:lineRule="auto"/>
        <w:shd w:val="clear" w:color="auto" w:fill="ffffff"/>
        <w:rPr>
          <w:rFonts w:hint="eastAsia" w:eastAsia="宋体"/>
          <w:b/>
          <w:bCs/>
          <w:color w:val="000000"/>
          <w:sz w:val="36"/>
          <w:szCs w:val="36"/>
          <w:highlight w:val="none"/>
        </w:rPr>
      </w:pPr>
      <w:r>
        <w:rPr>
          <w:rFonts w:hint="eastAsia" w:eastAsia="宋体"/>
          <w:b/>
          <w:bCs/>
          <w:color w:val="000000"/>
          <w:sz w:val="36"/>
          <w:szCs w:val="36"/>
          <w:highlight w:val="none"/>
        </w:rPr>
        <w:t xml:space="preserve">关于符合本国产品标准的声明函</w:t>
      </w:r>
      <w:r/>
    </w:p>
    <w:p>
      <w:pPr>
        <w:pStyle w:val="867"/>
        <w:ind w:firstLine="480"/>
        <w:spacing w:before="30" w:beforeAutospacing="0" w:after="30" w:afterAutospacing="0"/>
        <w:shd w:val="clear" w:color="auto" w:fill="ffffff"/>
        <w:rPr>
          <w:rFonts w:hint="eastAsia"/>
          <w:color w:val="333333"/>
        </w:rPr>
      </w:pPr>
      <w:r>
        <w:rPr>
          <w:rFonts w:hint="eastAsia"/>
          <w:color w:val="333333"/>
        </w:rPr>
      </w:r>
      <w:r/>
    </w:p>
    <w:p>
      <w:pPr>
        <w:pStyle w:val="867"/>
        <w:ind w:left="0" w:righ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67"/>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86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67"/>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86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67"/>
        <w:keepLines w:val="0"/>
        <w:keepNext w:val="0"/>
        <w:spacing w:before="30" w:beforeAutospacing="0" w:after="30" w:afterAutospacing="0" w:line="0" w:lineRule="atLeast"/>
        <w:shd w:val="clear" w:color="auto" w:fill="ffffff"/>
        <w:widowControl/>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rPr>
          <w:rFonts w:hint="eastAsia"/>
          <w:shd w:val="clear" w:color="auto" w:fill="ffffff"/>
          <w:lang w:val="en-US" w:eastAsia="zh-CN"/>
        </w:rPr>
        <w:t xml:space="preserve"> </w:t>
      </w:r>
      <w:r/>
    </w:p>
    <w:p>
      <w:pPr>
        <w:pStyle w:val="867"/>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     投标人</w:t>
      </w:r>
      <w:r>
        <w:rPr>
          <w:rFonts w:hint="eastAsia" w:ascii="宋体" w:hAnsi="宋体" w:eastAsia="宋体" w:cs="宋体"/>
          <w:color w:val="000000"/>
          <w:sz w:val="24"/>
          <w:szCs w:val="24"/>
          <w:shd w:val="clear" w:color="auto" w:fill="ffffff"/>
        </w:rPr>
        <w:t xml:space="preserve">名称（加盖公章）：     </w:t>
      </w:r>
      <w:r/>
    </w:p>
    <w:p>
      <w:pPr>
        <w:pStyle w:val="867"/>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   年  月  日</w:t>
      </w:r>
      <w:r/>
    </w:p>
    <w:p>
      <w:pPr>
        <w:pStyle w:val="86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6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6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6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6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6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6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6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spacing w:line="360" w:lineRule="auto"/>
        <w:rPr>
          <w:sz w:val="24"/>
          <w:szCs w:val="20"/>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spacing w:line="360" w:lineRule="auto"/>
        <w:rPr>
          <w:rFonts w:hint="eastAsia"/>
          <w:sz w:val="24"/>
          <w:szCs w:val="20"/>
        </w:rPr>
        <w:sectPr>
          <w:footnotePr/>
          <w:endnotePr/>
          <w:type w:val="nextPage"/>
          <w:pgSz w:w="11907" w:h="16840" w:orient="portrait"/>
          <w:pgMar w:top="1440" w:right="1803" w:bottom="1440" w:left="1803" w:header="851" w:footer="851" w:gutter="0"/>
          <w:cols w:num="1" w:sep="0" w:space="1701" w:equalWidth="1"/>
          <w:docGrid w:linePitch="360"/>
        </w:sectPr>
        <w:outlineLvl w:val="2"/>
      </w:pPr>
      <w:r>
        <w:rPr>
          <w:rFonts w:hint="eastAsia"/>
          <w:sz w:val="24"/>
          <w:szCs w:val="20"/>
        </w:rPr>
      </w:r>
      <w:r/>
    </w:p>
    <w:p>
      <w:pPr>
        <w:spacing w:line="360" w:lineRule="auto"/>
        <w:rPr>
          <w:sz w:val="24"/>
          <w:szCs w:val="20"/>
        </w:rPr>
        <w:outlineLvl w:val="2"/>
      </w:pPr>
      <w:r>
        <w:rPr>
          <w:rFonts w:hint="eastAsia"/>
          <w:sz w:val="24"/>
          <w:szCs w:val="20"/>
          <w:lang w:val="en-US" w:eastAsia="zh-CN"/>
        </w:rPr>
        <w:t xml:space="preserve">8  </w:t>
      </w:r>
      <w:r>
        <w:rPr>
          <w:rFonts w:hint="eastAsia"/>
          <w:sz w:val="24"/>
          <w:szCs w:val="20"/>
        </w:rPr>
        <w:t xml:space="preserve">项目实施方案等，包括但不限于如下主题：</w:t>
      </w:r>
      <w:r/>
    </w:p>
    <w:p>
      <w:pPr>
        <w:ind w:firstLine="480"/>
        <w:spacing w:line="560" w:lineRule="exact"/>
        <w:rPr>
          <w:sz w:val="24"/>
          <w:szCs w:val="20"/>
        </w:rPr>
      </w:pPr>
      <w:r>
        <w:rPr>
          <w:rFonts w:hint="eastAsia"/>
          <w:sz w:val="24"/>
          <w:szCs w:val="20"/>
        </w:rPr>
        <w:t xml:space="preserve">1）安全文明施工方案；</w:t>
      </w:r>
      <w:r/>
    </w:p>
    <w:p>
      <w:pPr>
        <w:ind w:firstLine="480"/>
        <w:spacing w:line="560" w:lineRule="exact"/>
        <w:rPr>
          <w:sz w:val="24"/>
          <w:szCs w:val="20"/>
        </w:rPr>
      </w:pPr>
      <w:r>
        <w:rPr>
          <w:rFonts w:hint="eastAsia"/>
          <w:sz w:val="24"/>
          <w:szCs w:val="20"/>
        </w:rPr>
        <w:t xml:space="preserve">2）应急预案；</w:t>
      </w:r>
      <w:r/>
    </w:p>
    <w:p>
      <w:pPr>
        <w:ind w:firstLine="480"/>
        <w:spacing w:line="560" w:lineRule="exact"/>
        <w:rPr>
          <w:sz w:val="24"/>
          <w:szCs w:val="20"/>
        </w:rPr>
      </w:pPr>
      <w:r>
        <w:rPr>
          <w:rFonts w:hint="eastAsia"/>
          <w:sz w:val="24"/>
          <w:szCs w:val="20"/>
        </w:rPr>
        <w:t xml:space="preserve">3）工作重点、难点及合理化建议；</w:t>
      </w:r>
      <w:r/>
    </w:p>
    <w:p>
      <w:pPr>
        <w:ind w:firstLine="480"/>
        <w:spacing w:line="560" w:lineRule="exact"/>
        <w:rPr>
          <w:sz w:val="24"/>
          <w:szCs w:val="20"/>
        </w:rPr>
      </w:pPr>
      <w:r>
        <w:rPr>
          <w:rFonts w:hint="eastAsia"/>
          <w:sz w:val="24"/>
          <w:szCs w:val="20"/>
        </w:rPr>
        <w:t xml:space="preserve">4）其他。</w:t>
      </w:r>
      <w:r/>
    </w:p>
    <w:p>
      <w:pPr>
        <w:spacing w:line="360" w:lineRule="auto"/>
        <w:rPr>
          <w:sz w:val="24"/>
          <w:szCs w:val="20"/>
        </w:rPr>
      </w:pPr>
      <w:r>
        <w:rPr>
          <w:sz w:val="24"/>
          <w:szCs w:val="20"/>
        </w:rPr>
        <w:br w:type="page" w:clear="all"/>
      </w:r>
      <w:r/>
    </w:p>
    <w:p>
      <w:pPr>
        <w:spacing w:line="360" w:lineRule="auto"/>
        <w:rPr>
          <w:sz w:val="24"/>
          <w:szCs w:val="20"/>
        </w:rPr>
        <w:outlineLvl w:val="2"/>
      </w:pPr>
      <w:r>
        <w:rPr>
          <w:rFonts w:hint="eastAsia"/>
          <w:sz w:val="24"/>
          <w:szCs w:val="20"/>
          <w:lang w:val="en-US" w:eastAsia="zh-CN"/>
        </w:rPr>
        <w:t xml:space="preserve">9</w:t>
      </w:r>
      <w:r>
        <w:rPr>
          <w:rFonts w:hint="eastAsia"/>
          <w:sz w:val="24"/>
          <w:szCs w:val="20"/>
        </w:rPr>
        <w:t xml:space="preserve">  参加本项目人员一览表</w:t>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cs="宋体"/>
          <w:sz w:val="24"/>
        </w:rPr>
      </w:pPr>
      <w:r>
        <w:rPr>
          <w:rFonts w:hint="eastAsia" w:ascii="宋体" w:hAnsi="宋体" w:cs="宋体"/>
          <w:sz w:val="24"/>
        </w:rPr>
        <w:t xml:space="preserve">项目编号：JSZC-320400-JSZG-G2026-0040</w:t>
      </w:r>
      <w:r/>
    </w:p>
    <w:p>
      <w:pPr>
        <w:spacing w:line="360" w:lineRule="auto"/>
        <w:rPr>
          <w:rFonts w:ascii="宋体" w:hAnsi="宋体" w:cs="宋体"/>
          <w:sz w:val="24"/>
        </w:rPr>
      </w:pPr>
      <w:r>
        <w:rPr>
          <w:sz w:val="24"/>
        </w:rPr>
        <w:t xml:space="preserve">项目名称：</w:t>
      </w:r>
      <w:r>
        <w:rPr>
          <w:rFonts w:hint="eastAsia"/>
          <w:sz w:val="24"/>
        </w:rPr>
        <w:t xml:space="preserve">2026年管线功能性结构性检测</w:t>
      </w:r>
      <w:r/>
    </w:p>
    <w:tbl>
      <w:tblPr>
        <w:tblStyle w:val="845"/>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w:t>
      </w:r>
      <w:r>
        <w:rPr>
          <w:rFonts w:hint="eastAsia" w:ascii="宋体" w:hAnsi="宋体" w:cs="宋体"/>
          <w:b/>
          <w:sz w:val="24"/>
        </w:rPr>
        <w:t xml:space="preserve">1.人员证书及社保证明材料可附于本表下方；</w:t>
      </w:r>
      <w:r/>
    </w:p>
    <w:p>
      <w:pPr>
        <w:ind w:firstLine="482"/>
        <w:spacing w:line="360" w:lineRule="auto"/>
        <w:tabs>
          <w:tab w:val="left" w:pos="9765" w:leader="none"/>
        </w:tabs>
        <w:rPr>
          <w:rFonts w:ascii="宋体" w:hAnsi="宋体" w:cs="宋体"/>
          <w:b/>
          <w:sz w:val="24"/>
        </w:rPr>
      </w:pPr>
      <w:r>
        <w:rPr>
          <w:rFonts w:hint="eastAsia" w:ascii="宋体" w:hAnsi="宋体" w:cs="宋体"/>
          <w:b/>
          <w:sz w:val="24"/>
        </w:rPr>
        <w:t xml:space="preserve">2.在采购需求的基础上愿意增加人员的，须提供承诺函（格式自拟），可附于本表下方；</w:t>
      </w:r>
      <w:r/>
    </w:p>
    <w:p>
      <w:pPr>
        <w:ind w:firstLine="482"/>
        <w:spacing w:line="360" w:lineRule="auto"/>
        <w:tabs>
          <w:tab w:val="left" w:pos="9765" w:leader="none"/>
        </w:tabs>
        <w:rPr>
          <w:rFonts w:ascii="宋体" w:hAnsi="宋体" w:cs="宋体"/>
          <w:b/>
          <w:sz w:val="24"/>
          <w:lang w:val="zh-CN"/>
        </w:rPr>
      </w:pPr>
      <w:r>
        <w:rPr>
          <w:rFonts w:hint="eastAsia" w:ascii="宋体" w:hAnsi="宋体" w:cs="宋体"/>
          <w:b/>
          <w:sz w:val="24"/>
        </w:rPr>
        <w:t xml:space="preserve">3.</w:t>
      </w:r>
      <w:r>
        <w:rPr>
          <w:rFonts w:hint="eastAsia" w:ascii="宋体" w:hAnsi="宋体" w:cs="宋体"/>
          <w:b/>
          <w:sz w:val="24"/>
          <w:lang w:val="zh-CN"/>
        </w:rPr>
        <w:t xml:space="preserve">参加本项目人员须是投标人正式职工。</w:t>
      </w:r>
      <w:r/>
    </w:p>
    <w:p>
      <w:pPr>
        <w:spacing w:before="25" w:after="25" w:line="360" w:lineRule="auto"/>
        <w:rPr>
          <w:sz w:val="24"/>
        </w:rPr>
      </w:pPr>
      <w:r>
        <w:rPr>
          <w:sz w:val="24"/>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日期：_____年_____月_____日</w:t>
      </w:r>
      <w:r/>
    </w:p>
    <w:p>
      <w:pPr>
        <w:rPr>
          <w:sz w:val="22"/>
        </w:rPr>
      </w:pPr>
      <w:r>
        <w:rPr>
          <w:sz w:val="22"/>
        </w:rPr>
        <w:br w:type="page" w:clear="all"/>
      </w:r>
      <w:bookmarkStart w:id="923" w:name="_Toc288738839"/>
      <w:r/>
      <w:bookmarkStart w:id="924" w:name="_Toc288738397"/>
      <w:r/>
      <w:r/>
    </w:p>
    <w:p>
      <w:pPr>
        <w:spacing w:line="360" w:lineRule="auto"/>
        <w:rPr>
          <w:sz w:val="24"/>
          <w:szCs w:val="20"/>
        </w:rPr>
        <w:outlineLvl w:val="2"/>
      </w:pPr>
      <w:r>
        <w:rPr>
          <w:rFonts w:hint="eastAsia"/>
          <w:sz w:val="24"/>
          <w:szCs w:val="20"/>
          <w:lang w:val="en-US" w:eastAsia="zh-CN"/>
        </w:rPr>
        <w:t xml:space="preserve">10</w:t>
      </w:r>
      <w:r>
        <w:rPr>
          <w:rFonts w:hint="eastAsia"/>
          <w:sz w:val="24"/>
          <w:szCs w:val="20"/>
        </w:rPr>
        <w:t xml:space="preserve">  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23"/>
      <w:r/>
      <w:bookmarkEnd w:id="924"/>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项目编号：JSZC-320400-JSZG-G2026-0040</w:t>
      </w:r>
      <w:r/>
    </w:p>
    <w:p>
      <w:pPr>
        <w:ind w:firstLine="480"/>
        <w:spacing w:line="360" w:lineRule="auto"/>
        <w:rPr>
          <w:rFonts w:ascii="宋体" w:hAnsi="宋体" w:cs="宋体"/>
          <w:sz w:val="24"/>
        </w:rPr>
      </w:pPr>
      <w:r>
        <w:rPr>
          <w:sz w:val="24"/>
        </w:rPr>
        <w:t xml:space="preserve">项目名称：</w:t>
      </w:r>
      <w:r>
        <w:rPr>
          <w:rFonts w:hint="eastAsia"/>
          <w:sz w:val="24"/>
        </w:rPr>
        <w:t xml:space="preserve">2026年管线功能性结构性检测</w:t>
      </w:r>
      <w:r/>
    </w:p>
    <w:tbl>
      <w:tblPr>
        <w:tblStyle w:val="845"/>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日期：_____年____月____日</w:t>
      </w:r>
      <w:r/>
    </w:p>
    <w:p>
      <w:pPr>
        <w:spacing w:line="360" w:lineRule="auto"/>
        <w:rPr>
          <w:sz w:val="24"/>
        </w:rPr>
      </w:pPr>
      <w:r>
        <w:rPr>
          <w:sz w:val="24"/>
        </w:rPr>
        <w:br w:type="page" w:clear="all"/>
      </w:r>
      <w:r/>
    </w:p>
    <w:p>
      <w:pPr>
        <w:spacing w:line="360" w:lineRule="auto"/>
        <w:rPr>
          <w:sz w:val="24"/>
          <w:szCs w:val="20"/>
        </w:rPr>
        <w:outlineLvl w:val="2"/>
      </w:pPr>
      <w:r>
        <w:rPr>
          <w:rFonts w:hint="eastAsia"/>
          <w:sz w:val="24"/>
          <w:szCs w:val="20"/>
        </w:rPr>
        <w:t xml:space="preserve">1</w:t>
      </w:r>
      <w:r>
        <w:rPr>
          <w:rFonts w:hint="eastAsia"/>
          <w:sz w:val="24"/>
          <w:szCs w:val="20"/>
          <w:lang w:val="en-US" w:eastAsia="zh-CN"/>
        </w:rPr>
        <w:t xml:space="preserve">1  </w:t>
      </w:r>
      <w:r>
        <w:rPr>
          <w:sz w:val="24"/>
          <w:szCs w:val="20"/>
        </w:rPr>
        <w:t xml:space="preserve">招标文件要求提供或投标人认为应附的其他材料</w:t>
      </w:r>
      <w:r/>
    </w:p>
    <w:sectPr>
      <w:footnotePr/>
      <w:endnotePr/>
      <w:type w:val="nextPage"/>
      <w:pgSz w:w="11907" w:h="16840" w:orient="portrait"/>
      <w:pgMar w:top="1440" w:right="1803" w:bottom="1440" w:left="1803"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Wingdings">
    <w:panose1 w:val="05000000000000000000"/>
  </w:font>
  <w:font w:name="Symbol">
    <w:panose1 w:val="05050102010706020507"/>
  </w:font>
  <w:font w:name="Segoe UI Symbol">
    <w:panose1 w:val="020B0502040204020203"/>
  </w:font>
  <w:font w:name="???|CS?o｡ﾀ?">
    <w:panose1 w:val="020B0503020202020204"/>
  </w:font>
  <w:font w:name="Arial Unicode MS">
    <w:panose1 w:val="020B0604020202020204"/>
  </w:font>
  <w:font w:name="仿宋">
    <w:panose1 w:val="02010609060101010101"/>
  </w:font>
  <w:font w:name="等线 Light">
    <w:panose1 w:val="02010600030101010101"/>
  </w:font>
  <w:font w:name="Calibri">
    <w:panose1 w:val="020F0502020204030204"/>
  </w:font>
  <w:font w:name="CESI黑体-GB2312">
    <w:panose1 w:val="020B0503020202020204"/>
  </w:font>
  <w:font w:name="Cambria">
    <w:panose1 w:val="02040503050406030204"/>
  </w:font>
  <w:font w:name="Menlo">
    <w:panose1 w:val="020B0503020202020204"/>
  </w:font>
  <w:font w:name="Tahoma">
    <w:panose1 w:val="020B06040305040402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ind w:right="360"/>
      <w:tabs>
        <w:tab w:val="center" w:pos="4153" w:leader="none"/>
        <w:tab w:val="clear" w:pos="7143" w:leader="none"/>
        <w:tab w:val="right" w:pos="8306" w:leader="none"/>
        <w:tab w:val="clear" w:pos="14287" w:leader="none"/>
      </w:tabs>
      <w:rPr>
        <w:rStyle w:val="873"/>
      </w:rPr>
      <w:framePr w:wrap="around" w:vAnchor="text" w:hAnchor="margin" w:y="1"/>
    </w:pPr>
    <w:r/>
    <w:r/>
  </w:p>
  <w:p>
    <w:pPr>
      <w:pStyle w:val="857"/>
      <w:ind w:right="360" w:firstLine="360"/>
      <w:jc w:val="right"/>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clear" w:pos="7143" w:leader="none"/>
        <w:tab w:val="right" w:pos="8306" w:leader="none"/>
        <w:tab w:val="clear" w:pos="14287" w:leader="none"/>
      </w:tabs>
      <w:rPr>
        <w:rStyle w:val="873"/>
      </w:rPr>
      <w:framePr w:wrap="around" w:vAnchor="text" w:hAnchor="margin" w:xAlign="center" w:y="1"/>
    </w:pPr>
    <w:r>
      <w:fldChar w:fldCharType="begin"/>
    </w:r>
    <w:r>
      <w:rPr>
        <w:rStyle w:val="873"/>
      </w:rPr>
      <w:instrText xml:space="preserve">PAGE  </w:instrText>
    </w:r>
    <w:r>
      <w:fldChar w:fldCharType="end"/>
    </w:r>
    <w:r/>
  </w:p>
  <w:p>
    <w:pPr>
      <w:pStyle w:val="857"/>
      <w:ind w:right="360" w:firstLine="36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103"/>
      </w:rPr>
      <w:framePr w:wrap="around" w:vAnchor="text" w:hAnchor="margin" w:xAlign="right" w:y="1"/>
    </w:pPr>
    <w:r>
      <w:fldChar w:fldCharType="begin"/>
    </w:r>
    <w:r>
      <w:rPr>
        <w:rStyle w:val="1103"/>
      </w:rPr>
      <w:instrText xml:space="preserve">PAGE  </w:instrText>
    </w:r>
    <w:r>
      <w:fldChar w:fldCharType="end"/>
    </w:r>
    <w:r/>
  </w:p>
  <w:p>
    <w:pPr>
      <w:pStyle w:val="1071"/>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40</w:t>
    </w:r>
    <w:r>
      <w:rPr>
        <w:rFonts w:ascii="Times New Roma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50</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right"/>
      <w:tabs>
        <w:tab w:val="center" w:pos="4153" w:leader="none"/>
        <w:tab w:val="clear" w:pos="7143" w:leader="none"/>
        <w:tab w:val="right" w:pos="8306" w:leader="none"/>
        <w:tab w:val="clear" w:pos="14287"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rPr>
        <w:rFonts w:ascii="楷体_GB2312" w:eastAsia="楷体_GB2312"/>
      </w:rPr>
    </w:pPr>
    <w:r>
      <w:rPr>
        <w:rFonts w:hint="eastAsia"/>
      </w:rPr>
      <w:t xml:space="preserve">常州市政府</w:t>
    </w:r>
    <w:r>
      <w:t xml:space="preserve">采购</w:t>
    </w:r>
    <w:r>
      <w:rPr>
        <w:rFonts w:hint="eastAsia"/>
      </w:rPr>
      <w:t xml:space="preserve">项目公开招标文件</w:t>
    </w:r>
    <w:r/>
  </w:p>
  <w:p>
    <w:pPr>
      <w:pStyle w:val="85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pPr>
    <w:r>
      <w:rPr>
        <w:rFonts w:hint="eastAsia"/>
      </w:rPr>
      <w:t xml:space="preserve">常州市政府</w:t>
    </w:r>
    <w:r>
      <w:t xml:space="preserve">采购</w:t>
    </w:r>
    <w:r>
      <w:rPr>
        <w:rFonts w:hint="eastAsia"/>
      </w:rPr>
      <w:t xml:space="preserve">项目公开招标文件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rPr>
        <w:rFonts w:ascii="楷体_GB2312" w:eastAsia="楷体_GB2312"/>
      </w:rPr>
    </w:pPr>
    <w:r>
      <w:rPr>
        <w:rFonts w:hint="eastAsia"/>
      </w:rPr>
      <w:t xml:space="preserve">常州市政府</w:t>
    </w:r>
    <w:r>
      <w:t xml:space="preserve">采购</w:t>
    </w:r>
    <w:r>
      <w:rPr>
        <w:rFonts w:hint="eastAsia"/>
      </w:rPr>
      <w:t xml:space="preserve">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bullet"/>
      <w:pStyle w:val="1315"/>
      <w:isLgl w:val="false"/>
      <w:suff w:val="tab"/>
      <w:lvlText w:val=""/>
      <w:lvlJc w:val="left"/>
      <w:pPr>
        <w:ind w:left="902" w:hanging="420"/>
      </w:pPr>
      <w:rPr>
        <w:rFonts w:ascii="Wingdings" w:hAnsi="Wingdings"/>
      </w:rPr>
    </w:lvl>
    <w:lvl w:ilvl="1">
      <w:start w:val="1"/>
      <w:numFmt w:val="bullet"/>
      <w:isLgl w:val="false"/>
      <w:suff w:val="tab"/>
      <w:lvlText w:val=""/>
      <w:lvlJc w:val="left"/>
      <w:pPr>
        <w:ind w:left="1322" w:hanging="420"/>
      </w:pPr>
      <w:rPr>
        <w:rFonts w:ascii="Wingdings" w:hAnsi="Wingdings"/>
      </w:rPr>
    </w:lvl>
    <w:lvl w:ilvl="2">
      <w:start w:val="1"/>
      <w:numFmt w:val="bullet"/>
      <w:isLgl w:val="false"/>
      <w:suff w:val="tab"/>
      <w:lvlText w:val=""/>
      <w:lvlJc w:val="left"/>
      <w:pPr>
        <w:ind w:left="1742" w:hanging="420"/>
      </w:pPr>
      <w:rPr>
        <w:rFonts w:ascii="Wingdings" w:hAnsi="Wingdings"/>
      </w:rPr>
    </w:lvl>
    <w:lvl w:ilvl="3">
      <w:start w:val="1"/>
      <w:numFmt w:val="bullet"/>
      <w:isLgl w:val="false"/>
      <w:suff w:val="tab"/>
      <w:lvlText w:val=""/>
      <w:lvlJc w:val="left"/>
      <w:pPr>
        <w:ind w:left="2162" w:hanging="420"/>
      </w:pPr>
      <w:rPr>
        <w:rFonts w:ascii="Wingdings" w:hAnsi="Wingdings"/>
      </w:rPr>
    </w:lvl>
    <w:lvl w:ilvl="4">
      <w:start w:val="1"/>
      <w:numFmt w:val="bullet"/>
      <w:isLgl w:val="false"/>
      <w:suff w:val="tab"/>
      <w:lvlText w:val=""/>
      <w:lvlJc w:val="left"/>
      <w:pPr>
        <w:ind w:left="2582" w:hanging="420"/>
      </w:pPr>
      <w:rPr>
        <w:rFonts w:ascii="Wingdings" w:hAnsi="Wingdings"/>
      </w:rPr>
    </w:lvl>
    <w:lvl w:ilvl="5">
      <w:start w:val="1"/>
      <w:numFmt w:val="bullet"/>
      <w:isLgl w:val="false"/>
      <w:suff w:val="tab"/>
      <w:lvlText w:val=""/>
      <w:lvlJc w:val="left"/>
      <w:pPr>
        <w:ind w:left="3002" w:hanging="420"/>
      </w:pPr>
      <w:rPr>
        <w:rFonts w:ascii="Wingdings" w:hAnsi="Wingdings"/>
      </w:rPr>
    </w:lvl>
    <w:lvl w:ilvl="6">
      <w:start w:val="1"/>
      <w:numFmt w:val="bullet"/>
      <w:isLgl w:val="false"/>
      <w:suff w:val="tab"/>
      <w:lvlText w:val=""/>
      <w:lvlJc w:val="left"/>
      <w:pPr>
        <w:ind w:left="3422" w:hanging="420"/>
      </w:pPr>
      <w:rPr>
        <w:rFonts w:ascii="Wingdings" w:hAnsi="Wingdings"/>
      </w:rPr>
    </w:lvl>
    <w:lvl w:ilvl="7">
      <w:start w:val="1"/>
      <w:numFmt w:val="bullet"/>
      <w:isLgl w:val="false"/>
      <w:suff w:val="tab"/>
      <w:lvlText w:val=""/>
      <w:lvlJc w:val="left"/>
      <w:pPr>
        <w:ind w:left="3842" w:hanging="420"/>
      </w:pPr>
      <w:rPr>
        <w:rFonts w:ascii="Wingdings" w:hAnsi="Wingdings"/>
      </w:rPr>
    </w:lvl>
    <w:lvl w:ilvl="8">
      <w:start w:val="1"/>
      <w:numFmt w:val="bullet"/>
      <w:isLgl w:val="false"/>
      <w:suff w:val="tab"/>
      <w:lvlText w:val=""/>
      <w:lvlJc w:val="left"/>
      <w:pPr>
        <w:ind w:left="4262" w:hanging="420"/>
      </w:pPr>
      <w:rPr>
        <w:rFonts w:ascii="Wingdings" w:hAnsi="Wingdings"/>
      </w:rPr>
    </w:lvl>
  </w:abstractNum>
  <w:abstractNum w:abstractNumId="2">
    <w:multiLevelType w:val="hybridMultilevel"/>
    <w:lvl w:ilvl="0">
      <w:start w:val="1"/>
      <w:numFmt w:val="lowerLetter"/>
      <w:pStyle w:val="128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307"/>
      <w:isLgl w:val="false"/>
      <w:suff w:val="tab"/>
      <w:lvlText w:val="%1"/>
      <w:lvlJc w:val="left"/>
      <w:pPr>
        <w:ind w:left="680" w:hanging="680"/>
      </w:pPr>
      <w:rPr>
        <w:rFonts w:hint="eastAsia" w:ascii="宋体" w:hAnsi="宋体" w:eastAsia="宋体"/>
      </w:rPr>
    </w:lvl>
    <w:lvl w:ilvl="1">
      <w:start w:val="1"/>
      <w:numFmt w:val="decimal"/>
      <w:pStyle w:val="1279"/>
      <w:isLgl w:val="false"/>
      <w:suff w:val="tab"/>
      <w:lvlText w:val="%1.%2"/>
      <w:lvlJc w:val="left"/>
      <w:pPr>
        <w:ind w:left="851" w:hanging="851"/>
      </w:pPr>
      <w:rPr>
        <w:rFonts w:hint="eastAsia" w:ascii="宋体" w:hAnsi="宋体" w:eastAsia="宋体"/>
        <w:color w:val="000000"/>
      </w:rPr>
    </w:lvl>
    <w:lvl w:ilvl="2">
      <w:start w:val="1"/>
      <w:numFmt w:val="decimal"/>
      <w:pStyle w:val="135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bullet"/>
      <w:pStyle w:val="1277"/>
      <w:isLgl w:val="false"/>
      <w:suff w:val="tab"/>
      <w:lvlText w:val=""/>
      <w:lvlJc w:val="left"/>
      <w:pPr>
        <w:ind w:left="902"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41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pStyle w:val="132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2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8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8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83"/>
      <w:isLgl w:val="false"/>
      <w:suff w:val="nothing"/>
      <w:lvlText w:val="%1.%2.%3.%4.%5.%6　"/>
      <w:lvlJc w:val="left"/>
      <w:pPr>
        <w:ind w:left="-25" w:firstLine="0"/>
      </w:pPr>
      <w:rPr>
        <w:rFonts w:ascii="Times New Roman" w:hAnsi="Times New Roman" w:eastAsia="宋体"/>
        <w:b/>
        <w:i w:val="0"/>
        <w:sz w:val="28"/>
      </w:rPr>
    </w:lvl>
    <w:lvl w:ilvl="6">
      <w:start w:val="1"/>
      <w:numFmt w:val="lowerLetter"/>
      <w:pStyle w:val="133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6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pStyle w:val="137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28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5">
    <w:multiLevelType w:val="hybridMultilevel"/>
    <w:lvl w:ilvl="0">
      <w:start w:val="1"/>
      <w:numFmt w:val="decimal"/>
      <w:pStyle w:val="137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4"/>
  </w:num>
  <w:num w:numId="3">
    <w:abstractNumId w:val="13"/>
  </w:num>
  <w:num w:numId="4">
    <w:abstractNumId w:val="2"/>
  </w:num>
  <w:num w:numId="5">
    <w:abstractNumId w:val="1"/>
  </w:num>
  <w:num w:numId="6">
    <w:abstractNumId w:val="9"/>
  </w:num>
  <w:num w:numId="7">
    <w:abstractNumId w:val="10"/>
  </w:num>
  <w:num w:numId="8">
    <w:abstractNumId w:val="15"/>
  </w:num>
  <w:num w:numId="9">
    <w:abstractNumId w:val="8"/>
  </w:num>
  <w:num w:numId="10">
    <w:abstractNumId w:val="0"/>
  </w:num>
  <w:num w:numId="11">
    <w:abstractNumId w:val="11"/>
  </w:num>
  <w:num w:numId="12">
    <w:abstractNumId w:val="14"/>
  </w:num>
  <w:num w:numId="13">
    <w:abstractNumId w:val="3"/>
  </w:num>
  <w:num w:numId="14">
    <w:abstractNumId w:val="12"/>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4"/>
    <w:link w:val="835"/>
    <w:uiPriority w:val="9"/>
    <w:rPr>
      <w:rFonts w:ascii="Arial" w:hAnsi="Arial" w:eastAsia="Arial" w:cs="Arial"/>
      <w:sz w:val="40"/>
      <w:szCs w:val="40"/>
    </w:rPr>
  </w:style>
  <w:style w:type="character" w:styleId="15">
    <w:name w:val="Heading 2 Char"/>
    <w:basedOn w:val="844"/>
    <w:link w:val="836"/>
    <w:uiPriority w:val="9"/>
    <w:rPr>
      <w:rFonts w:ascii="Arial" w:hAnsi="Arial" w:eastAsia="Arial" w:cs="Arial"/>
      <w:sz w:val="34"/>
    </w:rPr>
  </w:style>
  <w:style w:type="character" w:styleId="17">
    <w:name w:val="Heading 3 Char"/>
    <w:basedOn w:val="844"/>
    <w:link w:val="837"/>
    <w:uiPriority w:val="9"/>
    <w:rPr>
      <w:rFonts w:ascii="Arial" w:hAnsi="Arial" w:eastAsia="Arial" w:cs="Arial"/>
      <w:sz w:val="30"/>
      <w:szCs w:val="30"/>
    </w:rPr>
  </w:style>
  <w:style w:type="character" w:styleId="19">
    <w:name w:val="Heading 4 Char"/>
    <w:basedOn w:val="844"/>
    <w:link w:val="838"/>
    <w:uiPriority w:val="9"/>
    <w:rPr>
      <w:rFonts w:ascii="Arial" w:hAnsi="Arial" w:eastAsia="Arial" w:cs="Arial"/>
      <w:b/>
      <w:bCs/>
      <w:sz w:val="26"/>
      <w:szCs w:val="26"/>
    </w:rPr>
  </w:style>
  <w:style w:type="character" w:styleId="21">
    <w:name w:val="Heading 5 Char"/>
    <w:basedOn w:val="844"/>
    <w:link w:val="839"/>
    <w:uiPriority w:val="9"/>
    <w:rPr>
      <w:rFonts w:ascii="Arial" w:hAnsi="Arial" w:eastAsia="Arial" w:cs="Arial"/>
      <w:b/>
      <w:bCs/>
      <w:sz w:val="24"/>
      <w:szCs w:val="24"/>
    </w:rPr>
  </w:style>
  <w:style w:type="character" w:styleId="23">
    <w:name w:val="Heading 6 Char"/>
    <w:basedOn w:val="844"/>
    <w:link w:val="840"/>
    <w:uiPriority w:val="9"/>
    <w:rPr>
      <w:rFonts w:ascii="Arial" w:hAnsi="Arial" w:eastAsia="Arial" w:cs="Arial"/>
      <w:b/>
      <w:bCs/>
      <w:sz w:val="22"/>
      <w:szCs w:val="22"/>
    </w:rPr>
  </w:style>
  <w:style w:type="character" w:styleId="25">
    <w:name w:val="Heading 7 Char"/>
    <w:basedOn w:val="844"/>
    <w:link w:val="841"/>
    <w:uiPriority w:val="9"/>
    <w:rPr>
      <w:rFonts w:ascii="Arial" w:hAnsi="Arial" w:eastAsia="Arial" w:cs="Arial"/>
      <w:b/>
      <w:bCs/>
      <w:i/>
      <w:iCs/>
      <w:sz w:val="22"/>
      <w:szCs w:val="22"/>
    </w:rPr>
  </w:style>
  <w:style w:type="character" w:styleId="27">
    <w:name w:val="Heading 8 Char"/>
    <w:basedOn w:val="844"/>
    <w:link w:val="842"/>
    <w:uiPriority w:val="9"/>
    <w:rPr>
      <w:rFonts w:ascii="Arial" w:hAnsi="Arial" w:eastAsia="Arial" w:cs="Arial"/>
      <w:i/>
      <w:iCs/>
      <w:sz w:val="22"/>
      <w:szCs w:val="22"/>
    </w:rPr>
  </w:style>
  <w:style w:type="character" w:styleId="29">
    <w:name w:val="Heading 9 Char"/>
    <w:basedOn w:val="844"/>
    <w:link w:val="843"/>
    <w:uiPriority w:val="9"/>
    <w:rPr>
      <w:rFonts w:ascii="Arial" w:hAnsi="Arial" w:eastAsia="Arial" w:cs="Arial"/>
      <w:i/>
      <w:iCs/>
      <w:sz w:val="21"/>
      <w:szCs w:val="21"/>
    </w:rPr>
  </w:style>
  <w:style w:type="character" w:styleId="34">
    <w:name w:val="Title Char"/>
    <w:basedOn w:val="844"/>
    <w:link w:val="868"/>
    <w:uiPriority w:val="10"/>
    <w:rPr>
      <w:sz w:val="48"/>
      <w:szCs w:val="48"/>
    </w:rPr>
  </w:style>
  <w:style w:type="character" w:styleId="36">
    <w:name w:val="Subtitle Char"/>
    <w:basedOn w:val="844"/>
    <w:link w:val="861"/>
    <w:uiPriority w:val="11"/>
    <w:rPr>
      <w:sz w:val="24"/>
      <w:szCs w:val="24"/>
    </w:rPr>
  </w:style>
  <w:style w:type="character" w:styleId="38">
    <w:name w:val="Quote Char"/>
    <w:link w:val="890"/>
    <w:uiPriority w:val="29"/>
    <w:rPr>
      <w:i/>
    </w:rPr>
  </w:style>
  <w:style w:type="character" w:styleId="40">
    <w:name w:val="Intense Quote Char"/>
    <w:link w:val="892"/>
    <w:uiPriority w:val="30"/>
    <w:rPr>
      <w:i/>
    </w:rPr>
  </w:style>
  <w:style w:type="character" w:styleId="46">
    <w:name w:val="Caption Char"/>
    <w:basedOn w:val="847"/>
    <w:link w:val="857"/>
    <w:uiPriority w:val="99"/>
  </w:style>
  <w:style w:type="character" w:styleId="175">
    <w:name w:val="Footnote Text Char"/>
    <w:link w:val="862"/>
    <w:uiPriority w:val="99"/>
    <w:rPr>
      <w:sz w:val="18"/>
    </w:rPr>
  </w:style>
  <w:style w:type="character" w:styleId="178">
    <w:name w:val="Endnote Text Char"/>
    <w:link w:val="855"/>
    <w:uiPriority w:val="99"/>
    <w:rPr>
      <w:sz w:val="20"/>
    </w:rPr>
  </w:style>
  <w:style w:type="paragraph" w:styleId="189">
    <w:name w:val="TOC Heading"/>
    <w:uiPriority w:val="39"/>
    <w:unhideWhenUsed/>
  </w:style>
  <w:style w:type="paragraph" w:styleId="83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35">
    <w:name w:val="Heading 1"/>
    <w:basedOn w:val="834"/>
    <w:next w:val="834"/>
    <w:link w:val="877"/>
    <w:uiPriority w:val="9"/>
    <w:qFormat/>
    <w:pPr>
      <w:keepLines/>
      <w:keepNext/>
      <w:spacing w:before="480" w:after="200"/>
      <w:outlineLvl w:val="0"/>
    </w:pPr>
    <w:rPr>
      <w:rFonts w:ascii="Arial" w:hAnsi="Arial" w:eastAsia="Arial" w:cs="Arial"/>
      <w:sz w:val="40"/>
      <w:szCs w:val="40"/>
    </w:rPr>
  </w:style>
  <w:style w:type="paragraph" w:styleId="836">
    <w:name w:val="Heading 2"/>
    <w:basedOn w:val="834"/>
    <w:next w:val="834"/>
    <w:link w:val="878"/>
    <w:uiPriority w:val="9"/>
    <w:unhideWhenUsed/>
    <w:qFormat/>
    <w:pPr>
      <w:keepLines/>
      <w:keepNext/>
      <w:spacing w:before="360" w:after="200"/>
      <w:outlineLvl w:val="1"/>
    </w:pPr>
    <w:rPr>
      <w:rFonts w:ascii="Arial" w:hAnsi="Arial" w:eastAsia="Arial" w:cs="Arial"/>
      <w:sz w:val="34"/>
    </w:rPr>
  </w:style>
  <w:style w:type="paragraph" w:styleId="837">
    <w:name w:val="Heading 3"/>
    <w:basedOn w:val="834"/>
    <w:next w:val="834"/>
    <w:link w:val="879"/>
    <w:uiPriority w:val="9"/>
    <w:unhideWhenUsed/>
    <w:qFormat/>
    <w:pPr>
      <w:keepLines/>
      <w:keepNext/>
      <w:spacing w:before="320" w:after="200"/>
      <w:outlineLvl w:val="2"/>
    </w:pPr>
    <w:rPr>
      <w:rFonts w:ascii="Arial" w:hAnsi="Arial" w:eastAsia="Arial" w:cs="Arial"/>
      <w:sz w:val="30"/>
      <w:szCs w:val="30"/>
    </w:rPr>
  </w:style>
  <w:style w:type="paragraph" w:styleId="838">
    <w:name w:val="Heading 4"/>
    <w:basedOn w:val="834"/>
    <w:next w:val="834"/>
    <w:link w:val="880"/>
    <w:uiPriority w:val="9"/>
    <w:unhideWhenUsed/>
    <w:qFormat/>
    <w:pPr>
      <w:keepLines/>
      <w:keepNext/>
      <w:spacing w:before="320" w:after="200"/>
      <w:outlineLvl w:val="3"/>
    </w:pPr>
    <w:rPr>
      <w:rFonts w:ascii="Arial" w:hAnsi="Arial" w:eastAsia="Arial" w:cs="Arial"/>
      <w:b/>
      <w:bCs/>
      <w:sz w:val="26"/>
      <w:szCs w:val="26"/>
    </w:rPr>
  </w:style>
  <w:style w:type="paragraph" w:styleId="839">
    <w:name w:val="Heading 5"/>
    <w:basedOn w:val="834"/>
    <w:next w:val="834"/>
    <w:link w:val="881"/>
    <w:uiPriority w:val="9"/>
    <w:unhideWhenUsed/>
    <w:qFormat/>
    <w:pPr>
      <w:keepLines/>
      <w:keepNext/>
      <w:spacing w:before="320" w:after="200"/>
      <w:outlineLvl w:val="4"/>
    </w:pPr>
    <w:rPr>
      <w:rFonts w:ascii="Arial" w:hAnsi="Arial" w:eastAsia="Arial" w:cs="Arial"/>
      <w:b/>
      <w:bCs/>
      <w:sz w:val="24"/>
    </w:rPr>
  </w:style>
  <w:style w:type="paragraph" w:styleId="840">
    <w:name w:val="Heading 6"/>
    <w:basedOn w:val="834"/>
    <w:next w:val="834"/>
    <w:link w:val="882"/>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link w:val="883"/>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link w:val="884"/>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link w:val="885"/>
    <w:uiPriority w:val="9"/>
    <w:unhideWhenUsed/>
    <w:qFormat/>
    <w:pPr>
      <w:keepLines/>
      <w:keepNext/>
      <w:spacing w:before="320" w:after="200"/>
      <w:outlineLvl w:val="8"/>
    </w:pPr>
    <w:rPr>
      <w:rFonts w:ascii="Arial" w:hAnsi="Arial" w:eastAsia="Arial" w:cs="Arial"/>
      <w:i/>
      <w:iCs/>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toc 7"/>
    <w:basedOn w:val="834"/>
    <w:next w:val="834"/>
    <w:uiPriority w:val="39"/>
    <w:unhideWhenUsed/>
    <w:qFormat/>
    <w:pPr>
      <w:ind w:left="1701"/>
      <w:spacing w:after="57"/>
    </w:pPr>
  </w:style>
  <w:style w:type="paragraph" w:styleId="847">
    <w:name w:val="Caption"/>
    <w:basedOn w:val="834"/>
    <w:next w:val="834"/>
    <w:uiPriority w:val="35"/>
    <w:semiHidden/>
    <w:unhideWhenUsed/>
    <w:qFormat/>
    <w:pPr>
      <w:spacing w:line="276" w:lineRule="auto"/>
    </w:pPr>
    <w:rPr>
      <w:b/>
      <w:bCs/>
      <w:color w:val="4f81bd" w:themeColor="accent1"/>
      <w:sz w:val="18"/>
      <w:szCs w:val="18"/>
    </w:rPr>
  </w:style>
  <w:style w:type="paragraph" w:styleId="848">
    <w:name w:val="Document Map"/>
    <w:basedOn w:val="834"/>
    <w:link w:val="1422"/>
    <w:uiPriority w:val="99"/>
    <w:semiHidden/>
    <w:unhideWhenUsed/>
    <w:qFormat/>
    <w:rPr>
      <w:rFonts w:ascii="宋体"/>
      <w:sz w:val="18"/>
      <w:szCs w:val="18"/>
    </w:rPr>
  </w:style>
  <w:style w:type="paragraph" w:styleId="849">
    <w:name w:val="annotation text"/>
    <w:basedOn w:val="834"/>
    <w:uiPriority w:val="99"/>
    <w:semiHidden/>
    <w:unhideWhenUsed/>
    <w:qFormat/>
    <w:pPr>
      <w:jc w:val="left"/>
    </w:pPr>
  </w:style>
  <w:style w:type="paragraph" w:styleId="850">
    <w:name w:val="Body Text"/>
    <w:basedOn w:val="834"/>
    <w:uiPriority w:val="0"/>
    <w:qFormat/>
    <w:pPr>
      <w:spacing w:after="120"/>
    </w:pPr>
  </w:style>
  <w:style w:type="paragraph" w:styleId="851">
    <w:name w:val="toc 5"/>
    <w:basedOn w:val="834"/>
    <w:next w:val="834"/>
    <w:uiPriority w:val="39"/>
    <w:unhideWhenUsed/>
    <w:qFormat/>
    <w:pPr>
      <w:ind w:left="1134"/>
      <w:spacing w:after="57"/>
    </w:pPr>
  </w:style>
  <w:style w:type="paragraph" w:styleId="852">
    <w:name w:val="toc 3"/>
    <w:basedOn w:val="834"/>
    <w:next w:val="834"/>
    <w:uiPriority w:val="39"/>
    <w:unhideWhenUsed/>
    <w:qFormat/>
    <w:pPr>
      <w:ind w:left="567"/>
      <w:spacing w:after="57"/>
    </w:pPr>
  </w:style>
  <w:style w:type="paragraph" w:styleId="853">
    <w:name w:val="Plain Text"/>
    <w:basedOn w:val="834"/>
    <w:uiPriority w:val="99"/>
    <w:qFormat/>
    <w:rPr>
      <w:rFonts w:hint="eastAsia" w:ascii="宋体" w:hAnsi="Courier New"/>
      <w:szCs w:val="20"/>
    </w:rPr>
  </w:style>
  <w:style w:type="paragraph" w:styleId="854">
    <w:name w:val="toc 8"/>
    <w:basedOn w:val="834"/>
    <w:next w:val="834"/>
    <w:uiPriority w:val="39"/>
    <w:unhideWhenUsed/>
    <w:qFormat/>
    <w:pPr>
      <w:ind w:left="1984"/>
      <w:spacing w:after="57"/>
    </w:pPr>
  </w:style>
  <w:style w:type="paragraph" w:styleId="855">
    <w:name w:val="endnote text"/>
    <w:basedOn w:val="834"/>
    <w:link w:val="1021"/>
    <w:uiPriority w:val="99"/>
    <w:semiHidden/>
    <w:unhideWhenUsed/>
    <w:qFormat/>
    <w:rPr>
      <w:sz w:val="20"/>
    </w:rPr>
  </w:style>
  <w:style w:type="paragraph" w:styleId="856">
    <w:name w:val="Balloon Text"/>
    <w:basedOn w:val="834"/>
    <w:link w:val="1421"/>
    <w:uiPriority w:val="99"/>
    <w:semiHidden/>
    <w:unhideWhenUsed/>
    <w:qFormat/>
    <w:rPr>
      <w:sz w:val="18"/>
      <w:szCs w:val="18"/>
    </w:rPr>
  </w:style>
  <w:style w:type="paragraph" w:styleId="857">
    <w:name w:val="Footer"/>
    <w:basedOn w:val="834"/>
    <w:link w:val="894"/>
    <w:uiPriority w:val="99"/>
    <w:unhideWhenUsed/>
    <w:qFormat/>
    <w:pPr>
      <w:tabs>
        <w:tab w:val="center" w:pos="7143" w:leader="none"/>
        <w:tab w:val="right" w:pos="14287" w:leader="none"/>
      </w:tabs>
    </w:pPr>
  </w:style>
  <w:style w:type="paragraph" w:styleId="858">
    <w:name w:val="Header"/>
    <w:basedOn w:val="834"/>
    <w:uiPriority w:val="99"/>
    <w:unhideWhenUsed/>
    <w:qFormat/>
    <w:pPr>
      <w:tabs>
        <w:tab w:val="center" w:pos="7143" w:leader="none"/>
        <w:tab w:val="right" w:pos="14287" w:leader="none"/>
      </w:tabs>
    </w:pPr>
  </w:style>
  <w:style w:type="paragraph" w:styleId="859">
    <w:name w:val="toc 1"/>
    <w:basedOn w:val="834"/>
    <w:next w:val="834"/>
    <w:uiPriority w:val="39"/>
    <w:unhideWhenUsed/>
    <w:qFormat/>
    <w:pPr>
      <w:spacing w:after="57"/>
    </w:pPr>
  </w:style>
  <w:style w:type="paragraph" w:styleId="860">
    <w:name w:val="toc 4"/>
    <w:basedOn w:val="834"/>
    <w:next w:val="834"/>
    <w:uiPriority w:val="39"/>
    <w:unhideWhenUsed/>
    <w:qFormat/>
    <w:pPr>
      <w:ind w:left="850"/>
      <w:spacing w:after="57"/>
    </w:pPr>
  </w:style>
  <w:style w:type="paragraph" w:styleId="861">
    <w:name w:val="Subtitle"/>
    <w:basedOn w:val="834"/>
    <w:next w:val="834"/>
    <w:link w:val="889"/>
    <w:uiPriority w:val="11"/>
    <w:qFormat/>
    <w:pPr>
      <w:spacing w:before="200" w:after="200"/>
    </w:pPr>
    <w:rPr>
      <w:sz w:val="24"/>
    </w:rPr>
  </w:style>
  <w:style w:type="paragraph" w:styleId="862">
    <w:name w:val="footnote text"/>
    <w:basedOn w:val="834"/>
    <w:link w:val="1020"/>
    <w:uiPriority w:val="99"/>
    <w:semiHidden/>
    <w:unhideWhenUsed/>
    <w:qFormat/>
    <w:pPr>
      <w:spacing w:after="40"/>
    </w:pPr>
    <w:rPr>
      <w:sz w:val="18"/>
    </w:rPr>
  </w:style>
  <w:style w:type="paragraph" w:styleId="863">
    <w:name w:val="toc 6"/>
    <w:basedOn w:val="834"/>
    <w:next w:val="834"/>
    <w:uiPriority w:val="39"/>
    <w:unhideWhenUsed/>
    <w:qFormat/>
    <w:pPr>
      <w:ind w:left="1417"/>
      <w:spacing w:after="57"/>
    </w:pPr>
  </w:style>
  <w:style w:type="paragraph" w:styleId="864">
    <w:name w:val="table of figures"/>
    <w:basedOn w:val="834"/>
    <w:next w:val="834"/>
    <w:uiPriority w:val="99"/>
    <w:unhideWhenUsed/>
    <w:qFormat/>
  </w:style>
  <w:style w:type="paragraph" w:styleId="865">
    <w:name w:val="toc 2"/>
    <w:basedOn w:val="834"/>
    <w:next w:val="834"/>
    <w:uiPriority w:val="39"/>
    <w:unhideWhenUsed/>
    <w:qFormat/>
    <w:pPr>
      <w:ind w:left="283"/>
      <w:spacing w:after="57"/>
    </w:pPr>
  </w:style>
  <w:style w:type="paragraph" w:styleId="866">
    <w:name w:val="toc 9"/>
    <w:basedOn w:val="834"/>
    <w:next w:val="834"/>
    <w:uiPriority w:val="39"/>
    <w:unhideWhenUsed/>
    <w:qFormat/>
    <w:pPr>
      <w:ind w:left="2268"/>
      <w:spacing w:after="57"/>
    </w:pPr>
  </w:style>
  <w:style w:type="paragraph" w:styleId="867">
    <w:name w:val="Normal (Web)"/>
    <w:basedOn w:val="834"/>
    <w:uiPriority w:val="99"/>
    <w:unhideWhenUsed/>
    <w:qFormat/>
    <w:pPr>
      <w:jc w:val="left"/>
      <w:spacing w:before="100" w:beforeAutospacing="1" w:after="100" w:afterAutospacing="1"/>
      <w:widowControl/>
    </w:pPr>
    <w:rPr>
      <w:rFonts w:ascii="宋体" w:hAnsi="宋体" w:cs="宋体"/>
      <w:sz w:val="24"/>
    </w:rPr>
  </w:style>
  <w:style w:type="paragraph" w:styleId="868">
    <w:name w:val="Title"/>
    <w:basedOn w:val="834"/>
    <w:next w:val="834"/>
    <w:link w:val="888"/>
    <w:uiPriority w:val="10"/>
    <w:qFormat/>
    <w:pPr>
      <w:contextualSpacing/>
      <w:spacing w:before="300" w:after="200"/>
    </w:pPr>
    <w:rPr>
      <w:sz w:val="48"/>
      <w:szCs w:val="48"/>
    </w:rPr>
  </w:style>
  <w:style w:type="paragraph" w:styleId="869">
    <w:name w:val="Body Text First Indent"/>
    <w:basedOn w:val="850"/>
    <w:uiPriority w:val="0"/>
    <w:qFormat/>
    <w:pPr>
      <w:ind w:firstLine="420"/>
    </w:pPr>
  </w:style>
  <w:style w:type="table" w:styleId="8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Strong"/>
    <w:basedOn w:val="844"/>
    <w:uiPriority w:val="22"/>
    <w:qFormat/>
    <w:rPr>
      <w:b/>
    </w:rPr>
  </w:style>
  <w:style w:type="character" w:styleId="872">
    <w:name w:val="endnote reference"/>
    <w:uiPriority w:val="99"/>
    <w:semiHidden/>
    <w:unhideWhenUsed/>
    <w:qFormat/>
    <w:rPr>
      <w:vertAlign w:val="superscript"/>
    </w:rPr>
  </w:style>
  <w:style w:type="character" w:styleId="873">
    <w:name w:val="page number"/>
    <w:uiPriority w:val="0"/>
    <w:qFormat/>
  </w:style>
  <w:style w:type="character" w:styleId="874">
    <w:name w:val="Hyperlink"/>
    <w:uiPriority w:val="99"/>
    <w:unhideWhenUsed/>
    <w:qFormat/>
    <w:rPr>
      <w:color w:val="0000ff" w:themeColor="hyperlink"/>
      <w:u w:val="single"/>
    </w:rPr>
  </w:style>
  <w:style w:type="character" w:styleId="875">
    <w:name w:val="annotation reference"/>
    <w:basedOn w:val="844"/>
    <w:uiPriority w:val="99"/>
    <w:semiHidden/>
    <w:unhideWhenUsed/>
    <w:qFormat/>
    <w:rPr>
      <w:sz w:val="21"/>
      <w:szCs w:val="21"/>
    </w:rPr>
  </w:style>
  <w:style w:type="character" w:styleId="876">
    <w:name w:val="footnote reference"/>
    <w:uiPriority w:val="99"/>
    <w:unhideWhenUsed/>
    <w:qFormat/>
    <w:rPr>
      <w:vertAlign w:val="superscript"/>
    </w:rPr>
  </w:style>
  <w:style w:type="character" w:styleId="877" w:customStyle="1">
    <w:name w:val="标题 1 Char1"/>
    <w:link w:val="835"/>
    <w:uiPriority w:val="9"/>
    <w:qFormat/>
    <w:rPr>
      <w:rFonts w:ascii="Arial" w:hAnsi="Arial" w:eastAsia="Arial" w:cs="Arial"/>
      <w:sz w:val="40"/>
      <w:szCs w:val="40"/>
    </w:rPr>
  </w:style>
  <w:style w:type="character" w:styleId="878" w:customStyle="1">
    <w:name w:val="标题 2 Char2"/>
    <w:link w:val="836"/>
    <w:uiPriority w:val="9"/>
    <w:qFormat/>
    <w:rPr>
      <w:rFonts w:ascii="Arial" w:hAnsi="Arial" w:eastAsia="Arial" w:cs="Arial"/>
      <w:sz w:val="34"/>
    </w:rPr>
  </w:style>
  <w:style w:type="character" w:styleId="879" w:customStyle="1">
    <w:name w:val="标题 3 Char2"/>
    <w:link w:val="837"/>
    <w:uiPriority w:val="9"/>
    <w:qFormat/>
    <w:rPr>
      <w:rFonts w:ascii="Arial" w:hAnsi="Arial" w:eastAsia="Arial" w:cs="Arial"/>
      <w:sz w:val="30"/>
      <w:szCs w:val="30"/>
    </w:rPr>
  </w:style>
  <w:style w:type="character" w:styleId="880" w:customStyle="1">
    <w:name w:val="标题 4 Char1"/>
    <w:link w:val="838"/>
    <w:uiPriority w:val="9"/>
    <w:qFormat/>
    <w:rPr>
      <w:rFonts w:ascii="Arial" w:hAnsi="Arial" w:eastAsia="Arial" w:cs="Arial"/>
      <w:b/>
      <w:bCs/>
      <w:sz w:val="26"/>
      <w:szCs w:val="26"/>
    </w:rPr>
  </w:style>
  <w:style w:type="character" w:styleId="881" w:customStyle="1">
    <w:name w:val="标题 5 Char1"/>
    <w:link w:val="839"/>
    <w:uiPriority w:val="9"/>
    <w:qFormat/>
    <w:rPr>
      <w:rFonts w:ascii="Arial" w:hAnsi="Arial" w:eastAsia="Arial" w:cs="Arial"/>
      <w:b/>
      <w:bCs/>
      <w:sz w:val="24"/>
      <w:szCs w:val="24"/>
    </w:rPr>
  </w:style>
  <w:style w:type="character" w:styleId="882" w:customStyle="1">
    <w:name w:val="标题 6 Char1"/>
    <w:link w:val="840"/>
    <w:uiPriority w:val="9"/>
    <w:qFormat/>
    <w:rPr>
      <w:rFonts w:ascii="Arial" w:hAnsi="Arial" w:eastAsia="Arial" w:cs="Arial"/>
      <w:b/>
      <w:bCs/>
      <w:sz w:val="22"/>
      <w:szCs w:val="22"/>
    </w:rPr>
  </w:style>
  <w:style w:type="character" w:styleId="883" w:customStyle="1">
    <w:name w:val="标题 7 Char1"/>
    <w:link w:val="841"/>
    <w:uiPriority w:val="9"/>
    <w:qFormat/>
    <w:rPr>
      <w:rFonts w:ascii="Arial" w:hAnsi="Arial" w:eastAsia="Arial" w:cs="Arial"/>
      <w:b/>
      <w:bCs/>
      <w:i/>
      <w:iCs/>
      <w:sz w:val="22"/>
      <w:szCs w:val="22"/>
    </w:rPr>
  </w:style>
  <w:style w:type="character" w:styleId="884" w:customStyle="1">
    <w:name w:val="标题 8 Char1"/>
    <w:link w:val="842"/>
    <w:uiPriority w:val="9"/>
    <w:qFormat/>
    <w:rPr>
      <w:rFonts w:ascii="Arial" w:hAnsi="Arial" w:eastAsia="Arial" w:cs="Arial"/>
      <w:i/>
      <w:iCs/>
      <w:sz w:val="22"/>
      <w:szCs w:val="22"/>
    </w:rPr>
  </w:style>
  <w:style w:type="character" w:styleId="885" w:customStyle="1">
    <w:name w:val="标题 9 Char1"/>
    <w:link w:val="843"/>
    <w:uiPriority w:val="9"/>
    <w:qFormat/>
    <w:rPr>
      <w:rFonts w:ascii="Arial" w:hAnsi="Arial" w:eastAsia="Arial" w:cs="Arial"/>
      <w:i/>
      <w:iCs/>
      <w:sz w:val="21"/>
      <w:szCs w:val="21"/>
    </w:rPr>
  </w:style>
  <w:style w:type="paragraph" w:styleId="886">
    <w:name w:val="List Paragraph"/>
    <w:basedOn w:val="834"/>
    <w:uiPriority w:val="34"/>
    <w:qFormat/>
    <w:pPr>
      <w:contextualSpacing/>
      <w:ind w:left="720"/>
    </w:pPr>
  </w:style>
  <w:style w:type="paragraph" w:styleId="887">
    <w:name w:val="No Spacing"/>
    <w:uiPriority w:val="1"/>
    <w:qFormat/>
    <w:rPr>
      <w:rFonts w:ascii="Times New Roman" w:hAnsi="Times New Roman" w:eastAsia="宋体" w:cs="Times New Roman"/>
      <w:lang w:val="en-US" w:eastAsia="zh-CN" w:bidi="ar-SA"/>
    </w:rPr>
  </w:style>
  <w:style w:type="character" w:styleId="888" w:customStyle="1">
    <w:name w:val="标题 Char2"/>
    <w:link w:val="868"/>
    <w:uiPriority w:val="10"/>
    <w:qFormat/>
    <w:rPr>
      <w:sz w:val="48"/>
      <w:szCs w:val="48"/>
    </w:rPr>
  </w:style>
  <w:style w:type="character" w:styleId="889" w:customStyle="1">
    <w:name w:val="副标题 Char2"/>
    <w:link w:val="861"/>
    <w:uiPriority w:val="11"/>
    <w:qFormat/>
    <w:rPr>
      <w:sz w:val="24"/>
      <w:szCs w:val="24"/>
    </w:rPr>
  </w:style>
  <w:style w:type="paragraph" w:styleId="890">
    <w:name w:val="Quote"/>
    <w:basedOn w:val="834"/>
    <w:next w:val="834"/>
    <w:link w:val="891"/>
    <w:uiPriority w:val="29"/>
    <w:qFormat/>
    <w:pPr>
      <w:ind w:left="720" w:right="720"/>
    </w:pPr>
    <w:rPr>
      <w:i/>
    </w:rPr>
  </w:style>
  <w:style w:type="character" w:styleId="891" w:customStyle="1">
    <w:name w:val="引用 Char3"/>
    <w:link w:val="890"/>
    <w:uiPriority w:val="29"/>
    <w:qFormat/>
    <w:rPr>
      <w:i/>
    </w:rPr>
  </w:style>
  <w:style w:type="paragraph" w:styleId="892">
    <w:name w:val="Intense Quote"/>
    <w:basedOn w:val="834"/>
    <w:next w:val="834"/>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明显引用 Char2"/>
    <w:link w:val="892"/>
    <w:uiPriority w:val="30"/>
    <w:qFormat/>
    <w:rPr>
      <w:i/>
    </w:rPr>
  </w:style>
  <w:style w:type="character" w:styleId="894" w:customStyle="1">
    <w:name w:val="页脚 Char2"/>
    <w:link w:val="857"/>
    <w:uiPriority w:val="99"/>
    <w:qFormat/>
  </w:style>
  <w:style w:type="table" w:styleId="89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8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8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8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8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8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8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9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9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0" w:customStyle="1">
    <w:name w:val="脚注文本 Char"/>
    <w:link w:val="862"/>
    <w:uiPriority w:val="99"/>
    <w:qFormat/>
    <w:rPr>
      <w:sz w:val="18"/>
    </w:rPr>
  </w:style>
  <w:style w:type="character" w:styleId="1021" w:customStyle="1">
    <w:name w:val="尾注文本 Char"/>
    <w:link w:val="855"/>
    <w:uiPriority w:val="99"/>
    <w:qFormat/>
    <w:rPr>
      <w:sz w:val="20"/>
    </w:rPr>
  </w:style>
  <w:style w:type="paragraph" w:styleId="1022" w:customStyle="1">
    <w:name w:val="TOC 标题1"/>
    <w:uiPriority w:val="39"/>
    <w:unhideWhenUsed/>
    <w:qFormat/>
    <w:rPr>
      <w:rFonts w:ascii="Times New Roman" w:hAnsi="Times New Roman" w:eastAsia="宋体" w:cs="Times New Roman"/>
      <w:lang w:val="en-US" w:eastAsia="zh-CN" w:bidi="ar-SA"/>
    </w:rPr>
  </w:style>
  <w:style w:type="paragraph" w:styleId="1023" w:customStyle="1">
    <w:name w:val="标题 11"/>
    <w:basedOn w:val="834"/>
    <w:next w:val="834"/>
    <w:link w:val="1035"/>
    <w:uiPriority w:val="0"/>
    <w:qFormat/>
    <w:pPr>
      <w:jc w:val="center"/>
      <w:keepLines/>
      <w:keepNext/>
      <w:spacing w:before="240" w:after="120" w:line="300" w:lineRule="auto"/>
      <w:outlineLvl w:val="0"/>
    </w:pPr>
    <w:rPr>
      <w:rFonts w:ascii="宋体"/>
      <w:b/>
      <w:sz w:val="32"/>
      <w:szCs w:val="20"/>
    </w:rPr>
  </w:style>
  <w:style w:type="paragraph" w:styleId="1024" w:customStyle="1">
    <w:name w:val="标题 21"/>
    <w:basedOn w:val="834"/>
    <w:next w:val="834"/>
    <w:link w:val="1036"/>
    <w:uiPriority w:val="0"/>
    <w:qFormat/>
    <w:pPr>
      <w:jc w:val="center"/>
      <w:keepLines/>
      <w:keepNext/>
      <w:spacing w:before="120" w:line="300" w:lineRule="auto"/>
      <w:outlineLvl w:val="1"/>
    </w:pPr>
    <w:rPr>
      <w:rFonts w:ascii="Arial" w:hAnsi="Arial" w:eastAsia="黑体"/>
      <w:b/>
      <w:sz w:val="30"/>
      <w:szCs w:val="20"/>
    </w:rPr>
  </w:style>
  <w:style w:type="paragraph" w:styleId="1025" w:customStyle="1">
    <w:name w:val="标题 31"/>
    <w:basedOn w:val="834"/>
    <w:next w:val="1026"/>
    <w:link w:val="1037"/>
    <w:uiPriority w:val="0"/>
    <w:qFormat/>
    <w:pPr>
      <w:jc w:val="left"/>
      <w:keepLines/>
      <w:keepNext/>
      <w:spacing w:before="360" w:after="120"/>
      <w:outlineLvl w:val="2"/>
    </w:pPr>
    <w:rPr>
      <w:rFonts w:ascii="宋体"/>
      <w:b/>
      <w:sz w:val="24"/>
      <w:szCs w:val="20"/>
      <w:u w:val="single"/>
    </w:rPr>
  </w:style>
  <w:style w:type="paragraph" w:styleId="1026" w:customStyle="1">
    <w:name w:val="正文缩进11"/>
    <w:basedOn w:val="834"/>
    <w:link w:val="1038"/>
    <w:uiPriority w:val="0"/>
    <w:qFormat/>
    <w:pPr>
      <w:ind w:firstLine="420"/>
      <w:jc w:val="left"/>
    </w:pPr>
    <w:rPr>
      <w:rFonts w:ascii="宋体"/>
      <w:sz w:val="24"/>
    </w:rPr>
  </w:style>
  <w:style w:type="paragraph" w:styleId="1027" w:customStyle="1">
    <w:name w:val="标题 41"/>
    <w:basedOn w:val="834"/>
    <w:next w:val="834"/>
    <w:link w:val="1039"/>
    <w:uiPriority w:val="0"/>
    <w:qFormat/>
    <w:pPr>
      <w:keepLines/>
      <w:keepNext/>
      <w:spacing w:before="280" w:after="290" w:line="376" w:lineRule="atLeast"/>
      <w:outlineLvl w:val="3"/>
    </w:pPr>
    <w:rPr>
      <w:rFonts w:ascii="Arial" w:hAnsi="Arial" w:eastAsia="黑体"/>
      <w:b/>
      <w:sz w:val="28"/>
      <w:szCs w:val="20"/>
    </w:rPr>
  </w:style>
  <w:style w:type="paragraph" w:styleId="1028" w:customStyle="1">
    <w:name w:val="标题 51"/>
    <w:basedOn w:val="834"/>
    <w:next w:val="834"/>
    <w:link w:val="1040"/>
    <w:uiPriority w:val="0"/>
    <w:qFormat/>
    <w:pPr>
      <w:keepLines/>
      <w:keepNext/>
      <w:spacing w:before="280" w:after="290" w:line="376" w:lineRule="atLeast"/>
      <w:outlineLvl w:val="4"/>
    </w:pPr>
    <w:rPr>
      <w:b/>
      <w:sz w:val="28"/>
      <w:szCs w:val="20"/>
    </w:rPr>
  </w:style>
  <w:style w:type="paragraph" w:styleId="1029" w:customStyle="1">
    <w:name w:val="标题 61"/>
    <w:basedOn w:val="834"/>
    <w:next w:val="834"/>
    <w:link w:val="1041"/>
    <w:uiPriority w:val="0"/>
    <w:qFormat/>
    <w:pPr>
      <w:keepLines/>
      <w:keepNext/>
      <w:spacing w:before="240" w:after="64" w:line="320" w:lineRule="atLeast"/>
      <w:outlineLvl w:val="5"/>
    </w:pPr>
    <w:rPr>
      <w:rFonts w:ascii="Arial" w:hAnsi="Arial" w:eastAsia="黑体"/>
      <w:b/>
      <w:sz w:val="24"/>
      <w:szCs w:val="20"/>
    </w:rPr>
  </w:style>
  <w:style w:type="paragraph" w:styleId="1030" w:customStyle="1">
    <w:name w:val="标题 71"/>
    <w:basedOn w:val="834"/>
    <w:next w:val="834"/>
    <w:link w:val="1042"/>
    <w:uiPriority w:val="0"/>
    <w:qFormat/>
    <w:pPr>
      <w:keepLines/>
      <w:keepNext/>
      <w:spacing w:before="240" w:after="64" w:line="320" w:lineRule="atLeast"/>
      <w:outlineLvl w:val="6"/>
    </w:pPr>
    <w:rPr>
      <w:b/>
      <w:sz w:val="24"/>
      <w:szCs w:val="20"/>
    </w:rPr>
  </w:style>
  <w:style w:type="paragraph" w:styleId="1031" w:customStyle="1">
    <w:name w:val="标题 81"/>
    <w:basedOn w:val="834"/>
    <w:next w:val="834"/>
    <w:link w:val="1043"/>
    <w:uiPriority w:val="0"/>
    <w:qFormat/>
    <w:pPr>
      <w:keepLines/>
      <w:keepNext/>
      <w:spacing w:before="240" w:after="64" w:line="320" w:lineRule="atLeast"/>
      <w:outlineLvl w:val="7"/>
    </w:pPr>
    <w:rPr>
      <w:rFonts w:ascii="Arial" w:hAnsi="Arial" w:eastAsia="黑体"/>
      <w:sz w:val="24"/>
      <w:szCs w:val="20"/>
    </w:rPr>
  </w:style>
  <w:style w:type="paragraph" w:styleId="1032" w:customStyle="1">
    <w:name w:val="标题 91"/>
    <w:basedOn w:val="834"/>
    <w:next w:val="834"/>
    <w:link w:val="1044"/>
    <w:uiPriority w:val="0"/>
    <w:qFormat/>
    <w:pPr>
      <w:keepLines/>
      <w:keepNext/>
      <w:spacing w:before="240" w:after="64" w:line="320" w:lineRule="atLeast"/>
      <w:outlineLvl w:val="8"/>
    </w:pPr>
    <w:rPr>
      <w:rFonts w:ascii="Arial" w:hAnsi="Arial" w:eastAsia="黑体"/>
      <w:szCs w:val="20"/>
    </w:rPr>
  </w:style>
  <w:style w:type="character" w:styleId="1033" w:customStyle="1">
    <w:name w:val="默认段落字体1"/>
    <w:uiPriority w:val="1"/>
    <w:unhideWhenUsed/>
    <w:qFormat/>
  </w:style>
  <w:style w:type="table" w:styleId="1034" w:customStyle="1">
    <w:name w:val="普通表格1"/>
    <w:uiPriority w:val="99"/>
    <w:unhideWhenUsed/>
    <w:qFormat/>
    <w:tblPr>
      <w:tblCellMar>
        <w:left w:w="0" w:type="dxa"/>
        <w:top w:w="0" w:type="dxa"/>
        <w:right w:w="0" w:type="dxa"/>
        <w:bottom w:w="0" w:type="dxa"/>
      </w:tblCellMar>
    </w:tblPr>
  </w:style>
  <w:style w:type="character" w:styleId="1035" w:customStyle="1">
    <w:name w:val="标题 1 Char"/>
    <w:link w:val="1023"/>
    <w:uiPriority w:val="0"/>
    <w:qFormat/>
    <w:rPr>
      <w:rFonts w:ascii="宋体"/>
      <w:b/>
      <w:sz w:val="32"/>
    </w:rPr>
  </w:style>
  <w:style w:type="character" w:styleId="1036" w:customStyle="1">
    <w:name w:val="标题 2 Char1"/>
    <w:link w:val="1024"/>
    <w:uiPriority w:val="0"/>
    <w:qFormat/>
    <w:rPr>
      <w:rFonts w:ascii="Arial" w:hAnsi="Arial" w:eastAsia="黑体"/>
      <w:b/>
      <w:sz w:val="30"/>
      <w:lang w:val="en-US" w:eastAsia="zh-CN" w:bidi="ar-SA"/>
    </w:rPr>
  </w:style>
  <w:style w:type="character" w:styleId="1037" w:customStyle="1">
    <w:name w:val="标题 3 Char1"/>
    <w:link w:val="1025"/>
    <w:uiPriority w:val="0"/>
    <w:qFormat/>
    <w:rPr>
      <w:rFonts w:ascii="宋体" w:eastAsia="宋体"/>
      <w:b/>
      <w:sz w:val="24"/>
      <w:u w:val="single"/>
      <w:lang w:val="en-US" w:eastAsia="zh-CN" w:bidi="ar-SA"/>
    </w:rPr>
  </w:style>
  <w:style w:type="character" w:styleId="1038" w:customStyle="1">
    <w:name w:val="正文缩进 Char1"/>
    <w:link w:val="1026"/>
    <w:uiPriority w:val="0"/>
    <w:qFormat/>
    <w:rPr>
      <w:rFonts w:ascii="宋体" w:eastAsia="宋体"/>
      <w:sz w:val="24"/>
      <w:szCs w:val="24"/>
      <w:lang w:val="en-US" w:eastAsia="zh-CN" w:bidi="ar-SA"/>
    </w:rPr>
  </w:style>
  <w:style w:type="character" w:styleId="1039" w:customStyle="1">
    <w:name w:val="标题 4 Char"/>
    <w:link w:val="1027"/>
    <w:uiPriority w:val="0"/>
    <w:qFormat/>
    <w:rPr>
      <w:rFonts w:ascii="Arial" w:hAnsi="Arial" w:eastAsia="黑体"/>
      <w:b/>
      <w:sz w:val="28"/>
    </w:rPr>
  </w:style>
  <w:style w:type="character" w:styleId="1040" w:customStyle="1">
    <w:name w:val="标题 5 Char"/>
    <w:link w:val="1028"/>
    <w:uiPriority w:val="0"/>
    <w:qFormat/>
    <w:rPr>
      <w:b/>
      <w:sz w:val="28"/>
    </w:rPr>
  </w:style>
  <w:style w:type="character" w:styleId="1041" w:customStyle="1">
    <w:name w:val="标题 6 Char"/>
    <w:link w:val="1029"/>
    <w:uiPriority w:val="0"/>
    <w:qFormat/>
    <w:rPr>
      <w:rFonts w:ascii="Arial" w:hAnsi="Arial" w:eastAsia="黑体"/>
      <w:b/>
      <w:sz w:val="24"/>
    </w:rPr>
  </w:style>
  <w:style w:type="character" w:styleId="1042" w:customStyle="1">
    <w:name w:val="标题 7 Char"/>
    <w:link w:val="1030"/>
    <w:uiPriority w:val="0"/>
    <w:qFormat/>
    <w:rPr>
      <w:b/>
      <w:sz w:val="24"/>
    </w:rPr>
  </w:style>
  <w:style w:type="character" w:styleId="1043" w:customStyle="1">
    <w:name w:val="标题 8 Char"/>
    <w:link w:val="1031"/>
    <w:uiPriority w:val="0"/>
    <w:qFormat/>
    <w:rPr>
      <w:rFonts w:ascii="Arial" w:hAnsi="Arial" w:eastAsia="黑体"/>
      <w:sz w:val="24"/>
    </w:rPr>
  </w:style>
  <w:style w:type="character" w:styleId="1044" w:customStyle="1">
    <w:name w:val="标题 9 Char"/>
    <w:link w:val="1032"/>
    <w:uiPriority w:val="0"/>
    <w:qFormat/>
    <w:rPr>
      <w:rFonts w:ascii="Arial" w:hAnsi="Arial" w:eastAsia="黑体"/>
      <w:sz w:val="21"/>
    </w:rPr>
  </w:style>
  <w:style w:type="paragraph" w:styleId="1045" w:customStyle="1">
    <w:name w:val="列表 31"/>
    <w:basedOn w:val="834"/>
    <w:uiPriority w:val="0"/>
    <w:qFormat/>
    <w:pPr>
      <w:ind w:left="100" w:hanging="200"/>
    </w:pPr>
    <w:rPr>
      <w:rFonts w:eastAsia="楷体_GB2312"/>
      <w:sz w:val="26"/>
      <w:szCs w:val="20"/>
    </w:rPr>
  </w:style>
  <w:style w:type="paragraph" w:styleId="1046" w:customStyle="1">
    <w:name w:val="目录 71"/>
    <w:basedOn w:val="834"/>
    <w:next w:val="834"/>
    <w:uiPriority w:val="0"/>
    <w:qFormat/>
    <w:pPr>
      <w:ind w:left="2520"/>
    </w:pPr>
  </w:style>
  <w:style w:type="paragraph" w:styleId="1047" w:customStyle="1">
    <w:name w:val="题注1"/>
    <w:basedOn w:val="834"/>
    <w:next w:val="834"/>
    <w:uiPriority w:val="0"/>
    <w:qFormat/>
    <w:pPr>
      <w:spacing w:line="480" w:lineRule="auto"/>
    </w:pPr>
    <w:rPr>
      <w:rFonts w:ascii="华文中宋" w:hAnsi="华文中宋" w:eastAsia="华文中宋"/>
      <w:sz w:val="36"/>
      <w:szCs w:val="20"/>
    </w:rPr>
  </w:style>
  <w:style w:type="paragraph" w:styleId="1048" w:customStyle="1">
    <w:name w:val="文档结构图1"/>
    <w:basedOn w:val="834"/>
    <w:link w:val="1049"/>
    <w:uiPriority w:val="0"/>
    <w:qFormat/>
    <w:pPr>
      <w:shd w:val="clear" w:color="auto" w:fill="000080"/>
    </w:pPr>
  </w:style>
  <w:style w:type="character" w:styleId="1049" w:customStyle="1">
    <w:name w:val="文档结构图 Char"/>
    <w:link w:val="1048"/>
    <w:uiPriority w:val="0"/>
    <w:qFormat/>
    <w:rPr>
      <w:sz w:val="21"/>
      <w:szCs w:val="24"/>
      <w:shd w:val="clear" w:color="auto" w:fill="000080"/>
    </w:rPr>
  </w:style>
  <w:style w:type="paragraph" w:styleId="1050" w:customStyle="1">
    <w:name w:val="批注文字1"/>
    <w:basedOn w:val="834"/>
    <w:link w:val="1051"/>
    <w:uiPriority w:val="99"/>
    <w:qFormat/>
    <w:pPr>
      <w:jc w:val="left"/>
    </w:pPr>
  </w:style>
  <w:style w:type="character" w:styleId="1051" w:customStyle="1">
    <w:name w:val="批注文字 Char1"/>
    <w:link w:val="1050"/>
    <w:uiPriority w:val="99"/>
    <w:qFormat/>
    <w:rPr>
      <w:sz w:val="21"/>
      <w:szCs w:val="24"/>
    </w:rPr>
  </w:style>
  <w:style w:type="paragraph" w:styleId="1052" w:customStyle="1">
    <w:name w:val="正文文本 31"/>
    <w:basedOn w:val="834"/>
    <w:link w:val="1053"/>
    <w:uiPriority w:val="0"/>
    <w:qFormat/>
    <w:pPr>
      <w:spacing w:after="120"/>
    </w:pPr>
    <w:rPr>
      <w:sz w:val="16"/>
      <w:szCs w:val="16"/>
    </w:rPr>
  </w:style>
  <w:style w:type="character" w:styleId="1053" w:customStyle="1">
    <w:name w:val="正文文本 3 Char"/>
    <w:link w:val="1052"/>
    <w:uiPriority w:val="0"/>
    <w:qFormat/>
    <w:rPr>
      <w:sz w:val="16"/>
      <w:szCs w:val="16"/>
    </w:rPr>
  </w:style>
  <w:style w:type="paragraph" w:styleId="1054" w:customStyle="1">
    <w:name w:val="正文文本11"/>
    <w:basedOn w:val="834"/>
    <w:link w:val="1055"/>
    <w:uiPriority w:val="0"/>
    <w:qFormat/>
    <w:pPr>
      <w:spacing w:before="120" w:line="22" w:lineRule="atLeast"/>
      <w:tabs>
        <w:tab w:val="left" w:pos="567" w:leader="none"/>
      </w:tabs>
    </w:pPr>
    <w:rPr>
      <w:rFonts w:ascii="宋体" w:hAnsi="宋体"/>
      <w:sz w:val="24"/>
    </w:rPr>
  </w:style>
  <w:style w:type="character" w:styleId="1055" w:customStyle="1">
    <w:name w:val="正文文本 Char"/>
    <w:link w:val="1054"/>
    <w:uiPriority w:val="0"/>
    <w:qFormat/>
    <w:rPr>
      <w:rFonts w:ascii="宋体" w:hAnsi="宋体"/>
      <w:sz w:val="24"/>
      <w:szCs w:val="24"/>
    </w:rPr>
  </w:style>
  <w:style w:type="paragraph" w:styleId="1056" w:customStyle="1">
    <w:name w:val="正文文本缩进11"/>
    <w:basedOn w:val="834"/>
    <w:link w:val="1057"/>
    <w:uiPriority w:val="0"/>
    <w:qFormat/>
    <w:pPr>
      <w:ind w:firstLine="570"/>
      <w:spacing w:line="360" w:lineRule="auto"/>
    </w:pPr>
    <w:rPr>
      <w:sz w:val="24"/>
    </w:rPr>
  </w:style>
  <w:style w:type="character" w:styleId="1057" w:customStyle="1">
    <w:name w:val="正文文本缩进 Char2"/>
    <w:link w:val="1056"/>
    <w:uiPriority w:val="0"/>
    <w:qFormat/>
    <w:rPr>
      <w:rFonts w:eastAsia="宋体"/>
      <w:sz w:val="24"/>
      <w:szCs w:val="24"/>
      <w:lang w:val="en-US" w:eastAsia="zh-CN" w:bidi="ar-SA"/>
    </w:rPr>
  </w:style>
  <w:style w:type="paragraph" w:styleId="1058" w:customStyle="1">
    <w:name w:val="列表 21"/>
    <w:basedOn w:val="834"/>
    <w:uiPriority w:val="0"/>
    <w:qFormat/>
    <w:pPr>
      <w:ind w:left="100" w:hanging="200"/>
    </w:pPr>
  </w:style>
  <w:style w:type="paragraph" w:styleId="1059" w:customStyle="1">
    <w:name w:val="文本块1"/>
    <w:basedOn w:val="834"/>
    <w:uiPriority w:val="0"/>
    <w:qFormat/>
    <w:pPr>
      <w:ind w:left="480" w:right="-341" w:firstLine="513"/>
      <w:widowControl/>
    </w:pPr>
    <w:rPr>
      <w:sz w:val="24"/>
      <w:szCs w:val="20"/>
    </w:rPr>
  </w:style>
  <w:style w:type="paragraph" w:styleId="1060" w:customStyle="1">
    <w:name w:val="目录 51"/>
    <w:basedOn w:val="834"/>
    <w:next w:val="834"/>
    <w:uiPriority w:val="0"/>
    <w:qFormat/>
    <w:pPr>
      <w:ind w:left="1680"/>
    </w:pPr>
  </w:style>
  <w:style w:type="paragraph" w:styleId="1061" w:customStyle="1">
    <w:name w:val="目录 31"/>
    <w:basedOn w:val="834"/>
    <w:next w:val="834"/>
    <w:uiPriority w:val="39"/>
    <w:qFormat/>
    <w:pPr>
      <w:ind w:left="840"/>
    </w:pPr>
  </w:style>
  <w:style w:type="paragraph" w:styleId="1062" w:customStyle="1">
    <w:name w:val="纯文本11"/>
    <w:basedOn w:val="834"/>
    <w:link w:val="1063"/>
    <w:uiPriority w:val="99"/>
    <w:qFormat/>
    <w:rPr>
      <w:rFonts w:hint="eastAsia" w:ascii="宋体" w:hAnsi="Courier New"/>
      <w:szCs w:val="20"/>
    </w:rPr>
  </w:style>
  <w:style w:type="character" w:styleId="1063" w:customStyle="1">
    <w:name w:val="纯文本 Char2"/>
    <w:link w:val="1062"/>
    <w:uiPriority w:val="99"/>
    <w:qFormat/>
    <w:rPr>
      <w:rFonts w:hint="eastAsia" w:ascii="宋体" w:hAnsi="Courier New" w:eastAsia="宋体" w:cs="宋体"/>
      <w:sz w:val="21"/>
    </w:rPr>
  </w:style>
  <w:style w:type="paragraph" w:styleId="1064" w:customStyle="1">
    <w:name w:val="目录 81"/>
    <w:basedOn w:val="834"/>
    <w:next w:val="834"/>
    <w:uiPriority w:val="0"/>
    <w:qFormat/>
    <w:pPr>
      <w:ind w:left="2940"/>
    </w:pPr>
  </w:style>
  <w:style w:type="paragraph" w:styleId="1065" w:customStyle="1">
    <w:name w:val="日期1"/>
    <w:basedOn w:val="834"/>
    <w:next w:val="834"/>
    <w:link w:val="1066"/>
    <w:uiPriority w:val="0"/>
    <w:qFormat/>
    <w:pPr>
      <w:ind w:left="100"/>
    </w:pPr>
    <w:rPr>
      <w:rFonts w:ascii="仿宋_GB2312" w:hAnsi="宋体" w:eastAsia="仿宋_GB2312"/>
      <w:color w:val="000000"/>
      <w:sz w:val="24"/>
    </w:rPr>
  </w:style>
  <w:style w:type="character" w:styleId="1066" w:customStyle="1">
    <w:name w:val="日期 Char"/>
    <w:link w:val="1065"/>
    <w:uiPriority w:val="0"/>
    <w:qFormat/>
    <w:rPr>
      <w:rFonts w:ascii="仿宋_GB2312" w:hAnsi="宋体" w:eastAsia="仿宋_GB2312"/>
      <w:color w:val="000000"/>
      <w:sz w:val="24"/>
      <w:szCs w:val="24"/>
    </w:rPr>
  </w:style>
  <w:style w:type="paragraph" w:styleId="1067" w:customStyle="1">
    <w:name w:val="正文文本缩进 21"/>
    <w:basedOn w:val="834"/>
    <w:link w:val="1068"/>
    <w:uiPriority w:val="0"/>
    <w:qFormat/>
    <w:pPr>
      <w:ind w:firstLine="480"/>
    </w:pPr>
    <w:rPr>
      <w:rFonts w:ascii="仿宋_GB2312" w:eastAsia="仿宋_GB2312"/>
      <w:sz w:val="24"/>
    </w:rPr>
  </w:style>
  <w:style w:type="character" w:styleId="1068" w:customStyle="1">
    <w:name w:val="正文文本缩进 2 Char"/>
    <w:link w:val="1067"/>
    <w:uiPriority w:val="0"/>
    <w:qFormat/>
    <w:rPr>
      <w:rFonts w:ascii="仿宋_GB2312" w:eastAsia="仿宋_GB2312"/>
      <w:sz w:val="24"/>
      <w:szCs w:val="24"/>
    </w:rPr>
  </w:style>
  <w:style w:type="paragraph" w:styleId="1069" w:customStyle="1">
    <w:name w:val="批注框文本1"/>
    <w:basedOn w:val="834"/>
    <w:link w:val="1070"/>
    <w:uiPriority w:val="0"/>
    <w:qFormat/>
    <w:rPr>
      <w:sz w:val="18"/>
      <w:szCs w:val="18"/>
    </w:rPr>
  </w:style>
  <w:style w:type="character" w:styleId="1070" w:customStyle="1">
    <w:name w:val="批注框文本 Char"/>
    <w:link w:val="1069"/>
    <w:uiPriority w:val="0"/>
    <w:qFormat/>
    <w:rPr>
      <w:sz w:val="18"/>
      <w:szCs w:val="18"/>
    </w:rPr>
  </w:style>
  <w:style w:type="paragraph" w:styleId="1071" w:customStyle="1">
    <w:name w:val="页脚1"/>
    <w:basedOn w:val="834"/>
    <w:link w:val="1072"/>
    <w:uiPriority w:val="99"/>
    <w:qFormat/>
    <w:pPr>
      <w:jc w:val="left"/>
      <w:tabs>
        <w:tab w:val="center" w:pos="4153" w:leader="none"/>
        <w:tab w:val="right" w:pos="8306" w:leader="none"/>
      </w:tabs>
    </w:pPr>
    <w:rPr>
      <w:rFonts w:ascii="宋体"/>
      <w:sz w:val="18"/>
      <w:szCs w:val="20"/>
    </w:rPr>
  </w:style>
  <w:style w:type="character" w:styleId="1072" w:customStyle="1">
    <w:name w:val="页脚 Char1"/>
    <w:link w:val="1071"/>
    <w:uiPriority w:val="99"/>
    <w:qFormat/>
    <w:rPr>
      <w:rFonts w:ascii="宋体" w:eastAsia="宋体"/>
      <w:sz w:val="18"/>
      <w:lang w:val="en-US" w:eastAsia="zh-CN" w:bidi="ar-SA"/>
    </w:rPr>
  </w:style>
  <w:style w:type="paragraph" w:styleId="1073" w:customStyle="1">
    <w:name w:val="页眉1"/>
    <w:basedOn w:val="834"/>
    <w:link w:val="1074"/>
    <w:uiPriority w:val="0"/>
    <w:qFormat/>
    <w:pPr>
      <w:jc w:val="center"/>
      <w:tabs>
        <w:tab w:val="center" w:pos="4153" w:leader="none"/>
        <w:tab w:val="right" w:pos="8306" w:leader="none"/>
      </w:tabs>
      <w:pBdr>
        <w:bottom w:val="single" w:color="000000" w:sz="6" w:space="1"/>
      </w:pBdr>
    </w:pPr>
    <w:rPr>
      <w:sz w:val="18"/>
      <w:szCs w:val="18"/>
    </w:rPr>
  </w:style>
  <w:style w:type="character" w:styleId="1074" w:customStyle="1">
    <w:name w:val="页眉 Char1"/>
    <w:link w:val="1073"/>
    <w:uiPriority w:val="0"/>
    <w:qFormat/>
    <w:rPr>
      <w:rFonts w:eastAsia="宋体"/>
      <w:sz w:val="18"/>
      <w:szCs w:val="18"/>
      <w:lang w:val="en-US" w:eastAsia="zh-CN" w:bidi="ar-SA"/>
    </w:rPr>
  </w:style>
  <w:style w:type="paragraph" w:styleId="1075" w:customStyle="1">
    <w:name w:val="签名1"/>
    <w:basedOn w:val="834"/>
    <w:link w:val="1076"/>
    <w:uiPriority w:val="0"/>
    <w:qFormat/>
    <w:pPr>
      <w:jc w:val="left"/>
      <w:widowControl/>
    </w:pPr>
    <w:rPr>
      <w:rFonts w:ascii="Tahoma" w:hAnsi="Tahoma"/>
      <w:sz w:val="24"/>
      <w:szCs w:val="20"/>
      <w:lang w:val="de-DE" w:eastAsia="de-DE"/>
    </w:rPr>
  </w:style>
  <w:style w:type="character" w:styleId="1076" w:customStyle="1">
    <w:name w:val="签名 Char"/>
    <w:link w:val="1075"/>
    <w:uiPriority w:val="0"/>
    <w:qFormat/>
    <w:rPr>
      <w:rFonts w:ascii="Tahoma" w:hAnsi="Tahoma"/>
      <w:sz w:val="24"/>
      <w:lang w:val="de-DE" w:eastAsia="de-DE"/>
    </w:rPr>
  </w:style>
  <w:style w:type="paragraph" w:styleId="1077" w:customStyle="1">
    <w:name w:val="目录 11"/>
    <w:basedOn w:val="834"/>
    <w:next w:val="834"/>
    <w:uiPriority w:val="39"/>
    <w:qFormat/>
    <w:pPr>
      <w:spacing w:line="300" w:lineRule="auto"/>
      <w:tabs>
        <w:tab w:val="left" w:pos="1050" w:leader="none"/>
        <w:tab w:val="right" w:pos="8937" w:leader="dot"/>
      </w:tabs>
    </w:pPr>
    <w:rPr>
      <w:rFonts w:ascii="宋体" w:hAnsi="宋体"/>
      <w:b/>
      <w:sz w:val="24"/>
    </w:rPr>
  </w:style>
  <w:style w:type="paragraph" w:styleId="1078" w:customStyle="1">
    <w:name w:val="目录 41"/>
    <w:basedOn w:val="834"/>
    <w:next w:val="834"/>
    <w:uiPriority w:val="0"/>
    <w:qFormat/>
    <w:pPr>
      <w:ind w:left="1260"/>
    </w:pPr>
  </w:style>
  <w:style w:type="paragraph" w:styleId="1079" w:customStyle="1">
    <w:name w:val="副标题1"/>
    <w:basedOn w:val="834"/>
    <w:next w:val="834"/>
    <w:link w:val="1080"/>
    <w:uiPriority w:val="11"/>
    <w:qFormat/>
    <w:pPr>
      <w:jc w:val="center"/>
      <w:spacing w:before="240" w:after="60" w:line="312" w:lineRule="auto"/>
      <w:outlineLvl w:val="1"/>
    </w:pPr>
    <w:rPr>
      <w:rFonts w:ascii="Cambria" w:hAnsi="Cambria"/>
      <w:b/>
      <w:bCs/>
      <w:sz w:val="32"/>
      <w:szCs w:val="32"/>
    </w:rPr>
  </w:style>
  <w:style w:type="character" w:styleId="1080" w:customStyle="1">
    <w:name w:val="副标题 Char"/>
    <w:link w:val="1079"/>
    <w:uiPriority w:val="11"/>
    <w:qFormat/>
    <w:rPr>
      <w:rFonts w:ascii="Cambria" w:hAnsi="Cambria"/>
      <w:b/>
      <w:bCs/>
      <w:sz w:val="32"/>
      <w:szCs w:val="32"/>
    </w:rPr>
  </w:style>
  <w:style w:type="paragraph" w:styleId="1081" w:customStyle="1">
    <w:name w:val="目录 61"/>
    <w:basedOn w:val="834"/>
    <w:next w:val="834"/>
    <w:uiPriority w:val="0"/>
    <w:qFormat/>
    <w:pPr>
      <w:ind w:left="2100"/>
    </w:pPr>
  </w:style>
  <w:style w:type="paragraph" w:styleId="1082" w:customStyle="1">
    <w:name w:val="正文文本缩进 31"/>
    <w:basedOn w:val="834"/>
    <w:link w:val="1083"/>
    <w:uiPriority w:val="0"/>
    <w:qFormat/>
    <w:pPr>
      <w:ind w:left="720" w:firstLine="480"/>
      <w:jc w:val="left"/>
      <w:spacing w:before="120" w:line="22" w:lineRule="atLeast"/>
    </w:pPr>
    <w:rPr>
      <w:rFonts w:ascii="宋体"/>
      <w:sz w:val="24"/>
      <w:szCs w:val="20"/>
    </w:rPr>
  </w:style>
  <w:style w:type="character" w:styleId="1083" w:customStyle="1">
    <w:name w:val="正文文本缩进 3 Char"/>
    <w:link w:val="1082"/>
    <w:uiPriority w:val="0"/>
    <w:qFormat/>
    <w:rPr>
      <w:rFonts w:ascii="宋体"/>
      <w:sz w:val="24"/>
    </w:rPr>
  </w:style>
  <w:style w:type="paragraph" w:styleId="1084" w:customStyle="1">
    <w:name w:val="目录 21"/>
    <w:basedOn w:val="834"/>
    <w:next w:val="834"/>
    <w:uiPriority w:val="39"/>
    <w:qFormat/>
    <w:pPr>
      <w:ind w:left="420"/>
      <w:spacing w:line="312" w:lineRule="auto"/>
      <w:tabs>
        <w:tab w:val="right" w:pos="8937" w:leader="dot"/>
      </w:tabs>
    </w:pPr>
  </w:style>
  <w:style w:type="paragraph" w:styleId="1085" w:customStyle="1">
    <w:name w:val="目录 91"/>
    <w:basedOn w:val="834"/>
    <w:next w:val="834"/>
    <w:uiPriority w:val="0"/>
    <w:qFormat/>
    <w:pPr>
      <w:ind w:left="3360"/>
    </w:pPr>
  </w:style>
  <w:style w:type="paragraph" w:styleId="1086" w:customStyle="1">
    <w:name w:val="正文文本 21"/>
    <w:basedOn w:val="834"/>
    <w:link w:val="1087"/>
    <w:uiPriority w:val="0"/>
    <w:qFormat/>
    <w:pPr>
      <w:spacing w:line="360" w:lineRule="auto"/>
    </w:pPr>
    <w:rPr>
      <w:rFonts w:ascii="宋体" w:hAnsi="宋体"/>
      <w:color w:val="0000ff"/>
      <w:sz w:val="24"/>
    </w:rPr>
  </w:style>
  <w:style w:type="character" w:styleId="1087" w:customStyle="1">
    <w:name w:val="正文文本 2 Char"/>
    <w:link w:val="1086"/>
    <w:uiPriority w:val="0"/>
    <w:qFormat/>
    <w:rPr>
      <w:rFonts w:ascii="宋体" w:hAnsi="宋体"/>
      <w:color w:val="0000ff"/>
      <w:sz w:val="24"/>
      <w:szCs w:val="24"/>
    </w:rPr>
  </w:style>
  <w:style w:type="paragraph" w:styleId="1088" w:customStyle="1">
    <w:name w:val="HTML 预设格式1"/>
    <w:basedOn w:val="834"/>
    <w:link w:val="10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9" w:customStyle="1">
    <w:name w:val="HTML 预设格式 Char"/>
    <w:link w:val="1088"/>
    <w:uiPriority w:val="0"/>
    <w:qFormat/>
    <w:rPr>
      <w:rFonts w:ascii="宋体" w:hAnsi="宋体" w:cs="宋体"/>
      <w:sz w:val="24"/>
      <w:szCs w:val="24"/>
    </w:rPr>
  </w:style>
  <w:style w:type="paragraph" w:styleId="1090" w:customStyle="1">
    <w:name w:val="普通(网站)1"/>
    <w:basedOn w:val="834"/>
    <w:uiPriority w:val="99"/>
    <w:unhideWhenUsed/>
    <w:qFormat/>
    <w:pPr>
      <w:jc w:val="left"/>
      <w:spacing w:before="100" w:beforeAutospacing="1" w:after="100" w:afterAutospacing="1"/>
      <w:widowControl/>
    </w:pPr>
    <w:rPr>
      <w:rFonts w:ascii="宋体" w:hAnsi="宋体" w:cs="宋体"/>
      <w:sz w:val="24"/>
    </w:rPr>
  </w:style>
  <w:style w:type="paragraph" w:styleId="1091" w:customStyle="1">
    <w:name w:val="索引 11"/>
    <w:basedOn w:val="834"/>
    <w:next w:val="834"/>
    <w:uiPriority w:val="0"/>
    <w:qFormat/>
    <w:rPr>
      <w:szCs w:val="20"/>
    </w:rPr>
  </w:style>
  <w:style w:type="paragraph" w:styleId="1092" w:customStyle="1">
    <w:name w:val="标题1"/>
    <w:basedOn w:val="834"/>
    <w:link w:val="1093"/>
    <w:uiPriority w:val="10"/>
    <w:qFormat/>
    <w:pPr>
      <w:jc w:val="center"/>
      <w:outlineLvl w:val="0"/>
    </w:pPr>
    <w:rPr>
      <w:b/>
      <w:sz w:val="32"/>
      <w:szCs w:val="20"/>
    </w:rPr>
  </w:style>
  <w:style w:type="character" w:styleId="1093" w:customStyle="1">
    <w:name w:val="标题 Char1"/>
    <w:link w:val="1092"/>
    <w:uiPriority w:val="10"/>
    <w:qFormat/>
    <w:rPr>
      <w:b/>
      <w:sz w:val="32"/>
    </w:rPr>
  </w:style>
  <w:style w:type="paragraph" w:styleId="1094" w:customStyle="1">
    <w:name w:val="批注主题1"/>
    <w:basedOn w:val="1050"/>
    <w:next w:val="1050"/>
    <w:link w:val="1095"/>
    <w:uiPriority w:val="99"/>
    <w:qFormat/>
    <w:rPr>
      <w:b/>
      <w:bCs/>
    </w:rPr>
  </w:style>
  <w:style w:type="character" w:styleId="1095" w:customStyle="1">
    <w:name w:val="批注主题 Char"/>
    <w:link w:val="1094"/>
    <w:uiPriority w:val="99"/>
    <w:qFormat/>
    <w:rPr>
      <w:rFonts w:ascii="Times New Roman" w:hAnsi="Times New Roman" w:eastAsia="宋体" w:cs="Times New Roman"/>
      <w:b/>
      <w:bCs/>
      <w:sz w:val="21"/>
      <w:szCs w:val="24"/>
      <w:lang w:val="en-US" w:eastAsia="zh-CN" w:bidi="ar-SA"/>
    </w:rPr>
  </w:style>
  <w:style w:type="paragraph" w:styleId="1096" w:customStyle="1">
    <w:name w:val="正文首行缩进1"/>
    <w:basedOn w:val="1054"/>
    <w:link w:val="1097"/>
    <w:uiPriority w:val="0"/>
    <w:qFormat/>
    <w:pPr>
      <w:ind w:firstLine="200"/>
      <w:spacing w:before="0" w:line="360" w:lineRule="auto"/>
      <w:tabs>
        <w:tab w:val="clear" w:pos="567" w:leader="none"/>
      </w:tabs>
    </w:pPr>
    <w:rPr>
      <w:rFonts w:ascii="Calibri" w:hAnsi="Calibri" w:eastAsia="仿宋_GB2312"/>
    </w:rPr>
  </w:style>
  <w:style w:type="character" w:styleId="1097" w:customStyle="1">
    <w:name w:val="正文首行缩进 Char"/>
    <w:link w:val="1096"/>
    <w:uiPriority w:val="0"/>
    <w:qFormat/>
    <w:rPr>
      <w:rFonts w:ascii="Calibri" w:hAnsi="Calibri" w:eastAsia="仿宋_GB2312"/>
      <w:sz w:val="24"/>
      <w:szCs w:val="24"/>
    </w:rPr>
  </w:style>
  <w:style w:type="paragraph" w:styleId="1098" w:customStyle="1">
    <w:name w:val="正文首行缩进 21"/>
    <w:basedOn w:val="1056"/>
    <w:link w:val="1099"/>
    <w:uiPriority w:val="0"/>
    <w:qFormat/>
    <w:pPr>
      <w:ind w:left="420" w:firstLine="420"/>
      <w:spacing w:after="120" w:line="480" w:lineRule="exact"/>
    </w:pPr>
  </w:style>
  <w:style w:type="character" w:styleId="1099" w:customStyle="1">
    <w:name w:val="正文首行缩进 2 Char"/>
    <w:link w:val="1098"/>
    <w:uiPriority w:val="0"/>
    <w:qFormat/>
    <w:rPr>
      <w:rFonts w:eastAsia="宋体"/>
      <w:sz w:val="24"/>
      <w:szCs w:val="24"/>
      <w:lang w:val="en-US" w:eastAsia="zh-CN" w:bidi="ar-SA"/>
    </w:rPr>
  </w:style>
  <w:style w:type="table" w:styleId="1100" w:customStyle="1">
    <w:name w:val="网格型1"/>
    <w:basedOn w:val="1034"/>
    <w:uiPriority w:val="59"/>
    <w:qFormat/>
    <w:tblPr>
      <w:tblCellMar>
        <w:left w:w="0" w:type="dxa"/>
        <w:top w:w="0" w:type="dxa"/>
        <w:right w:w="0" w:type="dxa"/>
        <w:bottom w:w="0" w:type="dxa"/>
      </w:tblCellMar>
    </w:tblPr>
  </w:style>
  <w:style w:type="table" w:styleId="1101" w:customStyle="1">
    <w:name w:val="中等深浅网格 1 - 强调文字颜色 21"/>
    <w:basedOn w:val="1034"/>
    <w:uiPriority w:val="0"/>
    <w:qFormat/>
    <w:rPr>
      <w:sz w:val="21"/>
      <w:szCs w:val="24"/>
    </w:rPr>
    <w:tblPr>
      <w:tblCellMar>
        <w:left w:w="0" w:type="dxa"/>
        <w:top w:w="0" w:type="dxa"/>
        <w:right w:w="0" w:type="dxa"/>
        <w:bottom w:w="0" w:type="dxa"/>
      </w:tblCellMar>
    </w:tblPr>
  </w:style>
  <w:style w:type="character" w:styleId="1102" w:customStyle="1">
    <w:name w:val="要点1"/>
    <w:uiPriority w:val="99"/>
    <w:qFormat/>
    <w:rPr>
      <w:b/>
      <w:bCs/>
    </w:rPr>
  </w:style>
  <w:style w:type="character" w:styleId="1103" w:customStyle="1">
    <w:name w:val="页码1"/>
    <w:uiPriority w:val="0"/>
    <w:qFormat/>
  </w:style>
  <w:style w:type="character" w:styleId="1104" w:customStyle="1">
    <w:name w:val="已访问的超链接1"/>
    <w:uiPriority w:val="99"/>
    <w:qFormat/>
    <w:rPr>
      <w:color w:val="800080"/>
      <w:u w:val="single"/>
    </w:rPr>
  </w:style>
  <w:style w:type="character" w:styleId="1105" w:customStyle="1">
    <w:name w:val="强调1"/>
    <w:uiPriority w:val="20"/>
    <w:qFormat/>
    <w:rPr>
      <w:color w:val="cc0033"/>
    </w:rPr>
  </w:style>
  <w:style w:type="character" w:styleId="1106" w:customStyle="1">
    <w:name w:val="HTML 定义1"/>
    <w:uiPriority w:val="99"/>
    <w:unhideWhenUsed/>
    <w:qFormat/>
    <w:rPr>
      <w:i/>
    </w:rPr>
  </w:style>
  <w:style w:type="character" w:styleId="1107" w:customStyle="1">
    <w:name w:val="超链接1"/>
    <w:uiPriority w:val="99"/>
    <w:qFormat/>
    <w:rPr>
      <w:color w:val="0000ff"/>
      <w:u w:val="single"/>
    </w:rPr>
  </w:style>
  <w:style w:type="character" w:styleId="1108" w:customStyle="1">
    <w:name w:val="HTML 代码1"/>
    <w:uiPriority w:val="99"/>
    <w:unhideWhenUsed/>
    <w:qFormat/>
    <w:rPr>
      <w:rFonts w:ascii="Menlo" w:hAnsi="Menlo" w:eastAsia="Menlo" w:cs="Menlo"/>
      <w:color w:val="c7254e"/>
      <w:sz w:val="21"/>
      <w:szCs w:val="21"/>
      <w:shd w:val="clear" w:color="auto" w:fill="f9f2f4"/>
    </w:rPr>
  </w:style>
  <w:style w:type="character" w:styleId="1109" w:customStyle="1">
    <w:name w:val="批注引用1"/>
    <w:uiPriority w:val="0"/>
    <w:qFormat/>
    <w:rPr>
      <w:sz w:val="21"/>
      <w:szCs w:val="21"/>
    </w:rPr>
  </w:style>
  <w:style w:type="character" w:styleId="1110" w:customStyle="1">
    <w:name w:val="HTML 引文1"/>
    <w:uiPriority w:val="0"/>
    <w:qFormat/>
    <w:rPr>
      <w:i/>
      <w:iCs/>
    </w:rPr>
  </w:style>
  <w:style w:type="character" w:styleId="1111" w:customStyle="1">
    <w:name w:val="HTML 键盘1"/>
    <w:uiPriority w:val="99"/>
    <w:unhideWhenUsed/>
    <w:qFormat/>
    <w:rPr>
      <w:rFonts w:ascii="Menlo" w:hAnsi="Menlo" w:eastAsia="Menlo" w:cs="Menlo"/>
      <w:color w:val="ffffff"/>
      <w:sz w:val="21"/>
      <w:szCs w:val="21"/>
      <w:shd w:val="clear" w:color="auto" w:fill="333333"/>
    </w:rPr>
  </w:style>
  <w:style w:type="character" w:styleId="1112" w:customStyle="1">
    <w:name w:val="HTML 样本1"/>
    <w:uiPriority w:val="99"/>
    <w:unhideWhenUsed/>
    <w:qFormat/>
    <w:rPr>
      <w:rFonts w:ascii="Menlo" w:hAnsi="Menlo" w:eastAsia="Menlo" w:cs="Menlo"/>
      <w:sz w:val="21"/>
      <w:szCs w:val="21"/>
    </w:rPr>
  </w:style>
  <w:style w:type="character" w:styleId="1113" w:customStyle="1">
    <w:name w:val="z-窗体顶端 Char"/>
    <w:link w:val="1114"/>
    <w:uiPriority w:val="0"/>
    <w:qFormat/>
    <w:rPr>
      <w:rFonts w:ascii="Arial"/>
      <w:vanish/>
      <w:sz w:val="16"/>
      <w:szCs w:val="24"/>
    </w:rPr>
  </w:style>
  <w:style w:type="paragraph" w:styleId="1114" w:customStyle="1">
    <w:name w:val="z-窗体顶端1"/>
    <w:basedOn w:val="834"/>
    <w:next w:val="834"/>
    <w:link w:val="1113"/>
    <w:uiPriority w:val="0"/>
    <w:qFormat/>
    <w:pPr>
      <w:jc w:val="center"/>
      <w:pBdr>
        <w:bottom w:val="single" w:color="000000" w:sz="6" w:space="1"/>
      </w:pBdr>
    </w:pPr>
    <w:rPr>
      <w:rFonts w:ascii="Arial"/>
      <w:vanish/>
      <w:sz w:val="16"/>
    </w:rPr>
  </w:style>
  <w:style w:type="character" w:styleId="1115" w:customStyle="1">
    <w:name w:val="正文大标题 Char"/>
    <w:link w:val="1116"/>
    <w:uiPriority w:val="0"/>
    <w:qFormat/>
    <w:rPr>
      <w:rFonts w:ascii="宋体" w:hAnsi="宋体"/>
      <w:b/>
      <w:color w:val="000000"/>
      <w:sz w:val="28"/>
      <w:szCs w:val="21"/>
    </w:rPr>
  </w:style>
  <w:style w:type="paragraph" w:styleId="1116" w:customStyle="1">
    <w:name w:val="正文大标题"/>
    <w:basedOn w:val="1117"/>
    <w:next w:val="1026"/>
    <w:link w:val="1115"/>
    <w:uiPriority w:val="0"/>
    <w:qFormat/>
    <w:pPr>
      <w:jc w:val="center"/>
    </w:pPr>
    <w:rPr>
      <w:i w:val="0"/>
      <w:color w:val="000000"/>
      <w:sz w:val="28"/>
      <w:szCs w:val="21"/>
    </w:rPr>
  </w:style>
  <w:style w:type="paragraph" w:styleId="1117" w:customStyle="1">
    <w:name w:val="正文小标题"/>
    <w:basedOn w:val="834"/>
    <w:next w:val="1026"/>
    <w:link w:val="1118"/>
    <w:uiPriority w:val="0"/>
    <w:qFormat/>
    <w:pPr>
      <w:ind w:firstLine="482"/>
      <w:jc w:val="left"/>
      <w:spacing w:before="312" w:after="312"/>
    </w:pPr>
    <w:rPr>
      <w:rFonts w:ascii="宋体" w:hAnsi="宋体"/>
      <w:b/>
      <w:i/>
      <w:color w:val="ff0000"/>
      <w:sz w:val="24"/>
      <w:szCs w:val="20"/>
    </w:rPr>
  </w:style>
  <w:style w:type="character" w:styleId="1118" w:customStyle="1">
    <w:name w:val="正文小标题 Char"/>
    <w:link w:val="1117"/>
    <w:uiPriority w:val="0"/>
    <w:qFormat/>
    <w:rPr>
      <w:rFonts w:ascii="宋体" w:hAnsi="宋体"/>
      <w:b/>
      <w:i/>
      <w:color w:val="ff0000"/>
      <w:sz w:val="24"/>
    </w:rPr>
  </w:style>
  <w:style w:type="character" w:styleId="1119" w:customStyle="1">
    <w:name w:val="unnamed11"/>
    <w:uiPriority w:val="0"/>
    <w:qFormat/>
  </w:style>
  <w:style w:type="character" w:styleId="1120" w:customStyle="1">
    <w:name w:val="正文（绿盟科技） Char"/>
    <w:link w:val="1121"/>
    <w:uiPriority w:val="0"/>
    <w:qFormat/>
    <w:rPr>
      <w:rFonts w:ascii="Arial" w:hAnsi="Arial"/>
      <w:lang w:val="en-US" w:eastAsia="zh-CN" w:bidi="ar-SA"/>
    </w:rPr>
  </w:style>
  <w:style w:type="paragraph" w:styleId="1121" w:customStyle="1">
    <w:name w:val="正文（绿盟科技）"/>
    <w:link w:val="1120"/>
    <w:uiPriority w:val="0"/>
    <w:qFormat/>
    <w:pPr>
      <w:spacing w:line="300" w:lineRule="auto"/>
    </w:pPr>
    <w:rPr>
      <w:rFonts w:ascii="Arial" w:hAnsi="Arial" w:eastAsia="宋体" w:cs="Times New Roman"/>
      <w:lang w:val="en-US" w:eastAsia="zh-CN" w:bidi="ar-SA"/>
    </w:rPr>
  </w:style>
  <w:style w:type="character" w:styleId="1122" w:customStyle="1">
    <w:name w:val="页脚 字符"/>
    <w:uiPriority w:val="99"/>
    <w:qFormat/>
    <w:rPr>
      <w:rFonts w:ascii="Times New Roman" w:hAnsi="Times New Roman" w:eastAsia="楷体_GB2312" w:cs="Times New Roman"/>
      <w:sz w:val="18"/>
      <w:szCs w:val="18"/>
    </w:rPr>
  </w:style>
  <w:style w:type="character" w:styleId="1123" w:customStyle="1">
    <w:name w:val="签名 Char1"/>
    <w:uiPriority w:val="0"/>
    <w:qFormat/>
  </w:style>
  <w:style w:type="character" w:styleId="1124" w:customStyle="1">
    <w:name w:val="title4"/>
    <w:uiPriority w:val="0"/>
    <w:qFormat/>
    <w:rPr>
      <w:b/>
      <w:bCs/>
      <w:color w:val="1d87b3"/>
      <w:sz w:val="15"/>
      <w:szCs w:val="15"/>
    </w:rPr>
  </w:style>
  <w:style w:type="character" w:styleId="1125" w:customStyle="1">
    <w:name w:val="标题 Char"/>
    <w:uiPriority w:val="0"/>
    <w:qFormat/>
    <w:rPr>
      <w:b/>
      <w:sz w:val="32"/>
    </w:rPr>
  </w:style>
  <w:style w:type="character" w:styleId="1126" w:customStyle="1">
    <w:name w:val="标书正文 Char Char"/>
    <w:link w:val="1127"/>
    <w:uiPriority w:val="0"/>
    <w:qFormat/>
    <w:rPr>
      <w:spacing w:val="1"/>
      <w:sz w:val="24"/>
      <w:szCs w:val="24"/>
    </w:rPr>
  </w:style>
  <w:style w:type="paragraph" w:styleId="1127" w:customStyle="1">
    <w:name w:val="标书正文"/>
    <w:basedOn w:val="834"/>
    <w:link w:val="1126"/>
    <w:uiPriority w:val="0"/>
    <w:qFormat/>
    <w:pPr>
      <w:ind w:firstLine="200"/>
      <w:spacing w:line="360" w:lineRule="auto"/>
    </w:pPr>
    <w:rPr>
      <w:spacing w:val="1"/>
      <w:sz w:val="24"/>
    </w:rPr>
  </w:style>
  <w:style w:type="character" w:styleId="1128" w:customStyle="1">
    <w:name w:val="标题 9 字符"/>
    <w:uiPriority w:val="0"/>
    <w:qFormat/>
    <w:rPr>
      <w:rFonts w:ascii="Arial" w:hAnsi="Arial" w:eastAsia="黑体" w:cs="Times New Roman"/>
      <w:sz w:val="20"/>
      <w:szCs w:val="21"/>
    </w:rPr>
  </w:style>
  <w:style w:type="character" w:styleId="1129" w:customStyle="1">
    <w:name w:val="street-address"/>
    <w:uiPriority w:val="0"/>
    <w:qFormat/>
  </w:style>
  <w:style w:type="character" w:styleId="1130" w:customStyle="1">
    <w:name w:val="标书正文格式 Char"/>
    <w:link w:val="1131"/>
    <w:uiPriority w:val="0"/>
    <w:qFormat/>
    <w:rPr>
      <w:rFonts w:eastAsia="楷体_GB2312"/>
      <w:sz w:val="24"/>
      <w:szCs w:val="24"/>
      <w:lang w:val="en-US" w:eastAsia="zh-CN" w:bidi="ar-SA"/>
    </w:rPr>
  </w:style>
  <w:style w:type="paragraph" w:styleId="1131" w:customStyle="1">
    <w:name w:val="标书正文格式"/>
    <w:link w:val="1130"/>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132" w:customStyle="1">
    <w:name w:val="副标题 Char1"/>
    <w:uiPriority w:val="11"/>
    <w:qFormat/>
    <w:rPr>
      <w:rFonts w:ascii="Cambria" w:hAnsi="Cambria" w:eastAsia="宋体" w:cs="Times New Roman"/>
      <w:b/>
      <w:bCs/>
      <w:sz w:val="32"/>
      <w:szCs w:val="32"/>
    </w:rPr>
  </w:style>
  <w:style w:type="character" w:styleId="1133" w:customStyle="1">
    <w:name w:val="style3"/>
    <w:uiPriority w:val="0"/>
    <w:qFormat/>
  </w:style>
  <w:style w:type="character" w:styleId="1134" w:customStyle="1">
    <w:name w:val="font11"/>
    <w:uiPriority w:val="0"/>
    <w:qFormat/>
    <w:rPr>
      <w:rFonts w:hint="eastAsia" w:ascii="仿宋" w:hAnsi="仿宋" w:eastAsia="仿宋" w:cs="仿宋"/>
      <w:color w:val="333333"/>
      <w:sz w:val="22"/>
      <w:szCs w:val="22"/>
      <w:u w:val="none"/>
    </w:rPr>
  </w:style>
  <w:style w:type="character" w:styleId="1135" w:customStyle="1">
    <w:name w:val="日期 字符"/>
    <w:uiPriority w:val="99"/>
    <w:qFormat/>
    <w:rPr>
      <w:rFonts w:ascii="宋体" w:hAnsi="宋体" w:eastAsia="楷体_GB2312" w:cs="Times New Roman"/>
      <w:sz w:val="24"/>
      <w:szCs w:val="20"/>
    </w:rPr>
  </w:style>
  <w:style w:type="character" w:styleId="1136" w:customStyle="1">
    <w:name w:val="标题 字符"/>
    <w:uiPriority w:val="0"/>
    <w:qFormat/>
    <w:rPr>
      <w:rFonts w:ascii="Cambria" w:hAnsi="Cambria"/>
      <w:b/>
      <w:bCs/>
      <w:sz w:val="32"/>
      <w:szCs w:val="32"/>
    </w:rPr>
  </w:style>
  <w:style w:type="character" w:styleId="1137" w:customStyle="1">
    <w:name w:val="fonta1"/>
    <w:uiPriority w:val="0"/>
    <w:qFormat/>
    <w:rPr>
      <w:sz w:val="30"/>
    </w:rPr>
  </w:style>
  <w:style w:type="character" w:styleId="1138" w:customStyle="1">
    <w:name w:val="样式 正文缩进 + 首行缩进:  2 字符 Char"/>
    <w:link w:val="1139"/>
    <w:uiPriority w:val="0"/>
    <w:qFormat/>
    <w:rPr>
      <w:sz w:val="24"/>
    </w:rPr>
  </w:style>
  <w:style w:type="paragraph" w:styleId="1139" w:customStyle="1">
    <w:name w:val="样式 正文缩进 + 首行缩进:  2 字符"/>
    <w:basedOn w:val="1026"/>
    <w:link w:val="1138"/>
    <w:uiPriority w:val="0"/>
    <w:qFormat/>
    <w:pPr>
      <w:ind w:firstLine="200"/>
      <w:jc w:val="both"/>
      <w:spacing w:line="360" w:lineRule="auto"/>
    </w:pPr>
    <w:rPr>
      <w:rFonts w:ascii="Times New Roman"/>
      <w:szCs w:val="20"/>
    </w:rPr>
  </w:style>
  <w:style w:type="character" w:styleId="1140" w:customStyle="1">
    <w:name w:val="纯文本 字符1"/>
    <w:uiPriority w:val="0"/>
    <w:qFormat/>
    <w:rPr>
      <w:rFonts w:ascii="宋体" w:hAnsi="Courier New"/>
    </w:rPr>
  </w:style>
  <w:style w:type="character" w:styleId="1141" w:customStyle="1">
    <w:name w:val="明显引用 字符1"/>
    <w:uiPriority w:val="30"/>
    <w:qFormat/>
    <w:rPr>
      <w:i/>
      <w:iCs/>
      <w:color w:val="5b9bd5"/>
      <w:sz w:val="21"/>
      <w:szCs w:val="24"/>
    </w:rPr>
  </w:style>
  <w:style w:type="character" w:styleId="1142" w:customStyle="1">
    <w:name w:val="Char Char10"/>
    <w:uiPriority w:val="0"/>
    <w:qFormat/>
    <w:rPr>
      <w:rFonts w:ascii="宋体" w:hAnsi="Courier New" w:eastAsia="宋体" w:cs="Times New Roman"/>
      <w:szCs w:val="21"/>
    </w:rPr>
  </w:style>
  <w:style w:type="character" w:styleId="1143" w:customStyle="1">
    <w:name w:val="标题 4 字符"/>
    <w:uiPriority w:val="0"/>
    <w:qFormat/>
    <w:rPr>
      <w:rFonts w:ascii="Arial" w:hAnsi="Arial" w:eastAsia="黑体" w:cs="Times New Roman"/>
      <w:b/>
      <w:bCs/>
      <w:sz w:val="28"/>
      <w:szCs w:val="28"/>
    </w:rPr>
  </w:style>
  <w:style w:type="character" w:styleId="1144" w:customStyle="1">
    <w:name w:val="标题 7 字符"/>
    <w:uiPriority w:val="0"/>
    <w:qFormat/>
    <w:rPr>
      <w:rFonts w:ascii="Times New Roman" w:hAnsi="Times New Roman" w:eastAsia="宋体" w:cs="Times New Roman"/>
      <w:b/>
      <w:bCs/>
      <w:sz w:val="24"/>
      <w:szCs w:val="24"/>
    </w:rPr>
  </w:style>
  <w:style w:type="character" w:styleId="1145" w:customStyle="1">
    <w:name w:val="明显参考1"/>
    <w:uiPriority w:val="32"/>
    <w:qFormat/>
    <w:rPr>
      <w:b/>
      <w:bCs/>
      <w:smallCaps/>
      <w:color w:val="c0504d"/>
      <w:spacing w:val="5"/>
      <w:u w:val="single"/>
    </w:rPr>
  </w:style>
  <w:style w:type="character" w:styleId="1146" w:customStyle="1">
    <w:name w:val="页脚 Char"/>
    <w:uiPriority w:val="0"/>
    <w:qFormat/>
    <w:rPr>
      <w:rFonts w:ascii="宋体" w:eastAsia="宋体"/>
      <w:sz w:val="18"/>
      <w:lang w:val="en-US" w:eastAsia="zh-CN" w:bidi="ar-SA"/>
    </w:rPr>
  </w:style>
  <w:style w:type="character" w:styleId="1147" w:customStyle="1">
    <w:name w:val="正文文本 字符"/>
    <w:uiPriority w:val="0"/>
    <w:qFormat/>
    <w:rPr>
      <w:rFonts w:ascii="Times New Roman" w:hAnsi="Times New Roman" w:eastAsia="宋体" w:cs="Times New Roman"/>
      <w:szCs w:val="24"/>
    </w:rPr>
  </w:style>
  <w:style w:type="character" w:styleId="1148" w:customStyle="1">
    <w:name w:val="批注文字 Char"/>
    <w:uiPriority w:val="99"/>
    <w:qFormat/>
    <w:rPr>
      <w:sz w:val="21"/>
      <w:szCs w:val="24"/>
    </w:rPr>
  </w:style>
  <w:style w:type="character" w:styleId="1149" w:customStyle="1">
    <w:name w:val="正文首行缩进 字符1"/>
    <w:uiPriority w:val="99"/>
    <w:qFormat/>
    <w:rPr>
      <w:rFonts w:ascii="宋体" w:hAnsi="宋体"/>
      <w:sz w:val="21"/>
      <w:szCs w:val="24"/>
    </w:rPr>
  </w:style>
  <w:style w:type="character" w:styleId="1150" w:customStyle="1">
    <w:name w:val="书籍标题1"/>
    <w:uiPriority w:val="33"/>
    <w:qFormat/>
    <w:rPr>
      <w:b/>
      <w:bCs/>
      <w:smallCaps/>
      <w:spacing w:val="5"/>
    </w:rPr>
  </w:style>
  <w:style w:type="character" w:styleId="1151" w:customStyle="1">
    <w:name w:val="不明显强调1"/>
    <w:uiPriority w:val="19"/>
    <w:qFormat/>
    <w:rPr>
      <w:i/>
      <w:iCs/>
      <w:color w:val="808080"/>
    </w:rPr>
  </w:style>
  <w:style w:type="character" w:styleId="1152" w:customStyle="1">
    <w:name w:val="普通文字1 Char1"/>
    <w:uiPriority w:val="0"/>
    <w:qFormat/>
    <w:rPr>
      <w:rFonts w:ascii="宋体" w:hAnsi="Courier New" w:eastAsia="宋体"/>
      <w:sz w:val="21"/>
      <w:lang w:val="en-US" w:eastAsia="zh-CN" w:bidi="ar-SA"/>
    </w:rPr>
  </w:style>
  <w:style w:type="character" w:styleId="1153" w:customStyle="1">
    <w:name w:val="正文文本 3 字符1"/>
    <w:uiPriority w:val="99"/>
    <w:semiHidden/>
    <w:qFormat/>
    <w:rPr>
      <w:sz w:val="16"/>
      <w:szCs w:val="16"/>
    </w:rPr>
  </w:style>
  <w:style w:type="character" w:styleId="1154" w:customStyle="1">
    <w:name w:val="black1"/>
    <w:uiPriority w:val="0"/>
    <w:qFormat/>
    <w:rPr>
      <w:color w:val="000000"/>
    </w:rPr>
  </w:style>
  <w:style w:type="character" w:styleId="1155" w:customStyle="1">
    <w:name w:val="正文缩进 Char Char"/>
    <w:link w:val="1156"/>
    <w:uiPriority w:val="0"/>
    <w:qFormat/>
    <w:rPr>
      <w:rFonts w:ascii="宋体" w:eastAsia="宋体"/>
      <w:color w:val="000000"/>
      <w:sz w:val="28"/>
      <w:lang w:bidi="ar-SA"/>
    </w:rPr>
  </w:style>
  <w:style w:type="paragraph" w:styleId="1156" w:customStyle="1">
    <w:name w:val="正文缩进1"/>
    <w:basedOn w:val="834"/>
    <w:link w:val="1155"/>
    <w:uiPriority w:val="0"/>
    <w:qFormat/>
    <w:pPr>
      <w:ind w:firstLine="567"/>
      <w:spacing w:line="480" w:lineRule="exact"/>
      <w:widowControl/>
    </w:pPr>
    <w:rPr>
      <w:rFonts w:ascii="宋体"/>
      <w:color w:val="000000"/>
      <w:sz w:val="28"/>
      <w:szCs w:val="20"/>
    </w:rPr>
  </w:style>
  <w:style w:type="character" w:styleId="1157" w:customStyle="1">
    <w:name w:val="reg"/>
    <w:uiPriority w:val="0"/>
    <w:qFormat/>
  </w:style>
  <w:style w:type="character" w:styleId="1158" w:customStyle="1">
    <w:name w:val="正文表格 Char"/>
    <w:link w:val="1159"/>
    <w:uiPriority w:val="0"/>
    <w:qFormat/>
    <w:rPr>
      <w:rFonts w:ascii="宋体" w:hAnsi="宋体"/>
      <w:color w:val="000000"/>
      <w:sz w:val="21"/>
      <w:szCs w:val="21"/>
    </w:rPr>
  </w:style>
  <w:style w:type="paragraph" w:styleId="1159" w:customStyle="1">
    <w:name w:val="正文表格"/>
    <w:basedOn w:val="834"/>
    <w:link w:val="1158"/>
    <w:uiPriority w:val="0"/>
    <w:qFormat/>
    <w:pPr>
      <w:jc w:val="left"/>
    </w:pPr>
    <w:rPr>
      <w:rFonts w:ascii="宋体" w:hAnsi="宋体"/>
      <w:color w:val="000000"/>
      <w:szCs w:val="21"/>
    </w:rPr>
  </w:style>
  <w:style w:type="character" w:styleId="1160" w:customStyle="1">
    <w:name w:val="font31"/>
    <w:uiPriority w:val="0"/>
    <w:qFormat/>
    <w:rPr>
      <w:rFonts w:hint="eastAsia" w:ascii="宋体" w:hAnsi="宋体" w:eastAsia="宋体" w:cs="宋体"/>
      <w:b/>
      <w:color w:val="000000"/>
      <w:sz w:val="20"/>
      <w:szCs w:val="20"/>
      <w:u w:val="none"/>
    </w:rPr>
  </w:style>
  <w:style w:type="character" w:styleId="1161" w:customStyle="1">
    <w:name w:val="批注文字 字符"/>
    <w:uiPriority w:val="0"/>
    <w:qFormat/>
    <w:rPr>
      <w:rFonts w:ascii="Times New Roman" w:hAnsi="Times New Roman" w:eastAsia="宋体" w:cs="Times New Roman"/>
      <w:sz w:val="24"/>
      <w:lang w:val="en-US" w:eastAsia="zh-CN" w:bidi="ar-SA"/>
    </w:rPr>
  </w:style>
  <w:style w:type="character" w:styleId="1162" w:customStyle="1">
    <w:name w:val="z-窗体底端 Char"/>
    <w:link w:val="1163"/>
    <w:uiPriority w:val="0"/>
    <w:qFormat/>
    <w:rPr>
      <w:rFonts w:ascii="Arial"/>
      <w:vanish/>
      <w:sz w:val="16"/>
      <w:szCs w:val="24"/>
    </w:rPr>
  </w:style>
  <w:style w:type="paragraph" w:styleId="1163" w:customStyle="1">
    <w:name w:val="z-窗体底端1"/>
    <w:basedOn w:val="834"/>
    <w:next w:val="834"/>
    <w:link w:val="1162"/>
    <w:uiPriority w:val="0"/>
    <w:qFormat/>
    <w:pPr>
      <w:jc w:val="center"/>
      <w:pBdr>
        <w:top w:val="single" w:color="000000" w:sz="6" w:space="1"/>
      </w:pBdr>
    </w:pPr>
    <w:rPr>
      <w:rFonts w:ascii="Arial"/>
      <w:vanish/>
      <w:sz w:val="16"/>
    </w:rPr>
  </w:style>
  <w:style w:type="character" w:styleId="1164" w:customStyle="1">
    <w:name w:val="HTML 预设格式 字符"/>
    <w:uiPriority w:val="0"/>
    <w:qFormat/>
    <w:rPr>
      <w:rFonts w:ascii="黑体" w:hAnsi="Courier New" w:eastAsia="黑体" w:cs="楷体_GB2312"/>
      <w:sz w:val="20"/>
      <w:szCs w:val="20"/>
    </w:rPr>
  </w:style>
  <w:style w:type="character" w:styleId="1165" w:customStyle="1">
    <w:name w:val="Char Char11"/>
    <w:uiPriority w:val="0"/>
    <w:qFormat/>
    <w:rPr>
      <w:rFonts w:ascii="宋体" w:eastAsia="宋体"/>
      <w:b/>
      <w:sz w:val="24"/>
      <w:u w:val="single"/>
      <w:lang w:val="en-US" w:eastAsia="zh-CN" w:bidi="ar-SA"/>
    </w:rPr>
  </w:style>
  <w:style w:type="character" w:styleId="1166" w:customStyle="1">
    <w:name w:val="bjh-p"/>
    <w:uiPriority w:val="0"/>
    <w:qFormat/>
  </w:style>
  <w:style w:type="character" w:styleId="1167" w:customStyle="1">
    <w:name w:val="point_small1"/>
    <w:uiPriority w:val="0"/>
    <w:qFormat/>
    <w:rPr>
      <w:rFonts w:ascii="Arial" w:hAnsi="Arial" w:cs="Arial"/>
      <w:sz w:val="18"/>
      <w:szCs w:val="18"/>
    </w:rPr>
  </w:style>
  <w:style w:type="character" w:styleId="1168" w:customStyle="1">
    <w:name w:val="Char Char5"/>
    <w:uiPriority w:val="0"/>
    <w:qFormat/>
    <w:rPr>
      <w:rFonts w:ascii="宋体" w:hAnsi="Courier New" w:eastAsia="宋体"/>
      <w:szCs w:val="21"/>
      <w:lang w:bidi="ar-SA"/>
    </w:rPr>
  </w:style>
  <w:style w:type="character" w:styleId="1169" w:customStyle="1">
    <w:name w:val="标题 2 字符"/>
    <w:uiPriority w:val="9"/>
    <w:qFormat/>
    <w:rPr>
      <w:rFonts w:ascii="宋体" w:hAnsi="Times New Roman" w:eastAsia="宋体" w:cs="Times New Roman"/>
      <w:b/>
      <w:sz w:val="28"/>
      <w:szCs w:val="20"/>
    </w:rPr>
  </w:style>
  <w:style w:type="character" w:styleId="1170" w:customStyle="1">
    <w:name w:val="正文缩进 字符"/>
    <w:uiPriority w:val="0"/>
    <w:qFormat/>
    <w:rPr>
      <w:rFonts w:ascii="Times New Roman" w:hAnsi="Times New Roman" w:eastAsia="宋体" w:cs="Times New Roman"/>
      <w:szCs w:val="20"/>
    </w:rPr>
  </w:style>
  <w:style w:type="character" w:styleId="1171" w:customStyle="1">
    <w:name w:val="tpc_content1"/>
    <w:uiPriority w:val="0"/>
    <w:qFormat/>
    <w:rPr>
      <w:sz w:val="18"/>
      <w:szCs w:val="18"/>
    </w:rPr>
  </w:style>
  <w:style w:type="character" w:styleId="1172" w:customStyle="1">
    <w:name w:val="标题 5 字符"/>
    <w:uiPriority w:val="0"/>
    <w:qFormat/>
    <w:rPr>
      <w:rFonts w:ascii="宋体" w:hAnsi="宋体" w:eastAsia="宋体" w:cs="Times New Roman"/>
      <w:color w:val="000000"/>
      <w:sz w:val="28"/>
      <w:szCs w:val="20"/>
    </w:rPr>
  </w:style>
  <w:style w:type="character" w:styleId="1173" w:customStyle="1">
    <w:name w:val="chanpin1"/>
    <w:uiPriority w:val="0"/>
    <w:qFormat/>
    <w:rPr>
      <w:rFonts w:ascii="ˎ̥" w:hAnsi="ˎ̥"/>
      <w:color w:val="000000"/>
      <w:sz w:val="20"/>
      <w:szCs w:val="20"/>
      <w:u w:val="none"/>
    </w:rPr>
  </w:style>
  <w:style w:type="character" w:styleId="1174" w:customStyle="1">
    <w:name w:val="标题 字符1"/>
    <w:uiPriority w:val="10"/>
    <w:qFormat/>
    <w:rPr>
      <w:rFonts w:ascii="Cambria" w:hAnsi="Cambria" w:eastAsia="宋体" w:cs="Times New Roman"/>
      <w:b/>
      <w:bCs/>
      <w:sz w:val="32"/>
      <w:szCs w:val="32"/>
    </w:rPr>
  </w:style>
  <w:style w:type="character" w:styleId="1175" w:customStyle="1">
    <w:name w:val="bt1"/>
    <w:uiPriority w:val="0"/>
    <w:qFormat/>
    <w:rPr>
      <w:color w:val="000000"/>
    </w:rPr>
  </w:style>
  <w:style w:type="character" w:styleId="1176" w:customStyle="1">
    <w:name w:val="Header Char"/>
    <w:uiPriority w:val="0"/>
    <w:qFormat/>
    <w:rPr>
      <w:rFonts w:cs="Times New Roman"/>
      <w:sz w:val="18"/>
      <w:szCs w:val="18"/>
    </w:rPr>
  </w:style>
  <w:style w:type="character" w:styleId="1177" w:customStyle="1">
    <w:name w:val="正文缩进 Char"/>
    <w:uiPriority w:val="0"/>
    <w:qFormat/>
    <w:rPr>
      <w:rFonts w:ascii="宋体" w:eastAsia="宋体"/>
      <w:sz w:val="24"/>
      <w:szCs w:val="24"/>
      <w:lang w:val="en-US" w:eastAsia="zh-CN" w:bidi="ar-SA"/>
    </w:rPr>
  </w:style>
  <w:style w:type="character" w:styleId="1178" w:customStyle="1">
    <w:name w:val="unnamed31"/>
    <w:uiPriority w:val="0"/>
    <w:qFormat/>
    <w:rPr>
      <w:rFonts w:hint="eastAsia" w:ascii="幼圆" w:eastAsia="幼圆"/>
      <w:sz w:val="21"/>
      <w:szCs w:val="21"/>
    </w:rPr>
  </w:style>
  <w:style w:type="character" w:styleId="1179" w:customStyle="1">
    <w:name w:val="正文首行缩进 2 Char1"/>
    <w:uiPriority w:val="99"/>
    <w:qFormat/>
  </w:style>
  <w:style w:type="character" w:styleId="1180" w:customStyle="1">
    <w:name w:val="正文符号1 Char"/>
    <w:link w:val="1181"/>
    <w:uiPriority w:val="0"/>
    <w:qFormat/>
    <w:rPr>
      <w:rFonts w:eastAsia="楷体_GB2312"/>
      <w:sz w:val="28"/>
      <w:szCs w:val="24"/>
    </w:rPr>
  </w:style>
  <w:style w:type="paragraph" w:styleId="1181" w:customStyle="1">
    <w:name w:val="正文符号1"/>
    <w:basedOn w:val="1182"/>
    <w:link w:val="1180"/>
    <w:uiPriority w:val="0"/>
    <w:qFormat/>
    <w:pPr>
      <w:ind w:left="987" w:firstLine="0"/>
      <w:tabs>
        <w:tab w:val="left" w:pos="987" w:leader="none"/>
      </w:tabs>
    </w:pPr>
  </w:style>
  <w:style w:type="paragraph" w:styleId="1182" w:customStyle="1">
    <w:name w:val="正文首行缩进2字"/>
    <w:basedOn w:val="834"/>
    <w:link w:val="1183"/>
    <w:uiPriority w:val="0"/>
    <w:qFormat/>
    <w:pPr>
      <w:ind w:firstLine="560"/>
    </w:pPr>
    <w:rPr>
      <w:rFonts w:eastAsia="楷体_GB2312"/>
      <w:sz w:val="28"/>
    </w:rPr>
  </w:style>
  <w:style w:type="character" w:styleId="1183" w:customStyle="1">
    <w:name w:val="正文首行缩进2字 Char"/>
    <w:link w:val="1182"/>
    <w:uiPriority w:val="0"/>
    <w:qFormat/>
    <w:rPr>
      <w:rFonts w:eastAsia="楷体_GB2312"/>
      <w:sz w:val="28"/>
      <w:szCs w:val="24"/>
    </w:rPr>
  </w:style>
  <w:style w:type="character" w:styleId="1184" w:customStyle="1">
    <w:name w:val="页眉 字符"/>
    <w:uiPriority w:val="99"/>
    <w:qFormat/>
    <w:rPr>
      <w:rFonts w:ascii="Times New Roman" w:hAnsi="Times New Roman" w:eastAsia="宋体" w:cs="Times New Roman"/>
      <w:sz w:val="18"/>
      <w:szCs w:val="18"/>
    </w:rPr>
  </w:style>
  <w:style w:type="character" w:styleId="1185" w:customStyle="1">
    <w:name w:val="正文格式 Char"/>
    <w:link w:val="1186"/>
    <w:uiPriority w:val="0"/>
    <w:qFormat/>
    <w:rPr>
      <w:rFonts w:ascii="宋体" w:hAnsi="宋体"/>
      <w:sz w:val="24"/>
      <w:szCs w:val="24"/>
      <w:lang w:val="en-GB"/>
    </w:rPr>
  </w:style>
  <w:style w:type="paragraph" w:styleId="1186" w:customStyle="1">
    <w:name w:val="正文格式"/>
    <w:basedOn w:val="834"/>
    <w:link w:val="1185"/>
    <w:uiPriority w:val="0"/>
    <w:qFormat/>
    <w:pPr>
      <w:ind w:firstLine="480"/>
      <w:spacing w:line="360" w:lineRule="auto"/>
    </w:pPr>
    <w:rPr>
      <w:rFonts w:ascii="宋体" w:hAnsi="宋体"/>
      <w:sz w:val="24"/>
      <w:lang w:val="en-GB"/>
    </w:rPr>
  </w:style>
  <w:style w:type="character" w:styleId="1187" w:customStyle="1">
    <w:name w:val="引用 字符1"/>
    <w:uiPriority w:val="29"/>
    <w:qFormat/>
    <w:rPr>
      <w:i/>
      <w:iCs/>
      <w:color w:val="404040"/>
      <w:sz w:val="21"/>
      <w:szCs w:val="24"/>
    </w:rPr>
  </w:style>
  <w:style w:type="character" w:styleId="1188" w:customStyle="1">
    <w:name w:val="列出段落 Char"/>
    <w:uiPriority w:val="0"/>
    <w:qFormat/>
    <w:rPr>
      <w:rFonts w:ascii="Calibri" w:hAnsi="Calibri" w:eastAsia="宋体"/>
      <w:sz w:val="21"/>
      <w:szCs w:val="22"/>
      <w:lang w:val="en-US" w:eastAsia="zh-CN" w:bidi="ar-SA"/>
    </w:rPr>
  </w:style>
  <w:style w:type="character" w:styleId="1189" w:customStyle="1">
    <w:name w:val="标题 2 Char"/>
    <w:uiPriority w:val="0"/>
    <w:qFormat/>
    <w:rPr>
      <w:rFonts w:ascii="Arial" w:hAnsi="Arial" w:eastAsia="黑体"/>
      <w:b/>
      <w:sz w:val="30"/>
      <w:lang w:val="en-US" w:eastAsia="zh-CN" w:bidi="ar-SA"/>
    </w:rPr>
  </w:style>
  <w:style w:type="character" w:styleId="1190" w:customStyle="1">
    <w:name w:val="Table Text Char"/>
    <w:link w:val="1191"/>
    <w:uiPriority w:val="0"/>
    <w:qFormat/>
    <w:rPr>
      <w:rFonts w:ascii="Arial" w:hAnsi="Arial"/>
      <w:sz w:val="18"/>
      <w:szCs w:val="24"/>
    </w:rPr>
  </w:style>
  <w:style w:type="paragraph" w:styleId="1191" w:customStyle="1">
    <w:name w:val="Table Text"/>
    <w:basedOn w:val="834"/>
    <w:link w:val="1190"/>
    <w:uiPriority w:val="0"/>
    <w:qFormat/>
    <w:pPr>
      <w:spacing w:before="80" w:after="80"/>
      <w:widowControl/>
      <w:tabs>
        <w:tab w:val="decimal" w:pos="0" w:leader="none"/>
      </w:tabs>
    </w:pPr>
    <w:rPr>
      <w:rFonts w:ascii="Arial" w:hAnsi="Arial"/>
      <w:sz w:val="18"/>
    </w:rPr>
  </w:style>
  <w:style w:type="character" w:styleId="1192" w:customStyle="1">
    <w:name w:val="文档结构图 字符"/>
    <w:uiPriority w:val="0"/>
    <w:qFormat/>
    <w:rPr>
      <w:rFonts w:ascii="Times New Roman" w:hAnsi="Times New Roman" w:eastAsia="楷体_GB2312" w:cs="Times New Roman"/>
      <w:sz w:val="26"/>
      <w:szCs w:val="20"/>
      <w:shd w:val="clear" w:color="auto" w:fill="000080"/>
    </w:rPr>
  </w:style>
  <w:style w:type="character" w:styleId="1193" w:customStyle="1">
    <w:name w:val="正文首行缩进2字 Char Char"/>
    <w:uiPriority w:val="0"/>
    <w:qFormat/>
    <w:rPr>
      <w:rFonts w:eastAsia="楷体_GB2312"/>
      <w:sz w:val="28"/>
      <w:szCs w:val="24"/>
      <w:lang w:val="en-US" w:eastAsia="zh-CN" w:bidi="ar-SA"/>
    </w:rPr>
  </w:style>
  <w:style w:type="character" w:styleId="1194" w:customStyle="1">
    <w:name w:val="Footer Char"/>
    <w:uiPriority w:val="0"/>
    <w:qFormat/>
    <w:rPr>
      <w:rFonts w:cs="Times New Roman"/>
      <w:sz w:val="18"/>
      <w:szCs w:val="18"/>
    </w:rPr>
  </w:style>
  <w:style w:type="character" w:styleId="1195" w:customStyle="1">
    <w:name w:val="apple-style-span"/>
    <w:uiPriority w:val="0"/>
    <w:qFormat/>
    <w:rPr>
      <w:rFonts w:cs="Times New Roman"/>
    </w:rPr>
  </w:style>
  <w:style w:type="character" w:styleId="1196" w:customStyle="1">
    <w:name w:val="locality"/>
    <w:uiPriority w:val="0"/>
    <w:qFormat/>
  </w:style>
  <w:style w:type="character" w:styleId="1197" w:customStyle="1">
    <w:name w:val="段1 Char"/>
    <w:uiPriority w:val="0"/>
    <w:qFormat/>
    <w:rPr>
      <w:rFonts w:ascii="宋体" w:eastAsia="宋体"/>
      <w:sz w:val="24"/>
      <w:lang w:val="en-US" w:eastAsia="zh-CN" w:bidi="ar-SA"/>
    </w:rPr>
  </w:style>
  <w:style w:type="character" w:styleId="1198" w:customStyle="1">
    <w:name w:val="标题 6 字符"/>
    <w:uiPriority w:val="0"/>
    <w:qFormat/>
    <w:rPr>
      <w:rFonts w:ascii="Arial" w:hAnsi="Arial" w:eastAsia="黑体" w:cs="Times New Roman"/>
      <w:b/>
      <w:bCs/>
      <w:sz w:val="24"/>
      <w:szCs w:val="24"/>
    </w:rPr>
  </w:style>
  <w:style w:type="character" w:styleId="1199" w:customStyle="1">
    <w:name w:val="样式1 Char Char"/>
    <w:link w:val="1200"/>
    <w:uiPriority w:val="0"/>
    <w:qFormat/>
    <w:rPr>
      <w:rFonts w:eastAsia="仿宋_GB2312"/>
      <w:spacing w:val="-6"/>
      <w:sz w:val="32"/>
      <w:szCs w:val="24"/>
    </w:rPr>
  </w:style>
  <w:style w:type="paragraph" w:styleId="1200" w:customStyle="1">
    <w:name w:val="样式1"/>
    <w:basedOn w:val="834"/>
    <w:link w:val="1199"/>
    <w:uiPriority w:val="0"/>
    <w:qFormat/>
    <w:pPr>
      <w:spacing w:line="340" w:lineRule="auto"/>
    </w:pPr>
    <w:rPr>
      <w:rFonts w:eastAsia="仿宋_GB2312"/>
      <w:spacing w:val="-6"/>
      <w:sz w:val="32"/>
    </w:rPr>
  </w:style>
  <w:style w:type="character" w:styleId="1201" w:customStyle="1">
    <w:name w:val="文字 Char Char"/>
    <w:link w:val="1202"/>
    <w:uiPriority w:val="0"/>
    <w:qFormat/>
    <w:rPr>
      <w:rFonts w:ascii="宋体" w:hAnsi="宋体"/>
      <w:sz w:val="28"/>
    </w:rPr>
  </w:style>
  <w:style w:type="paragraph" w:styleId="1202" w:customStyle="1">
    <w:name w:val="文字"/>
    <w:basedOn w:val="834"/>
    <w:link w:val="1201"/>
    <w:uiPriority w:val="0"/>
    <w:qFormat/>
    <w:pPr>
      <w:ind w:right="-210" w:firstLine="556"/>
      <w:spacing w:line="312" w:lineRule="auto"/>
      <w:tabs>
        <w:tab w:val="left" w:pos="8520" w:leader="none"/>
      </w:tabs>
    </w:pPr>
    <w:rPr>
      <w:rFonts w:ascii="宋体" w:hAnsi="宋体"/>
      <w:sz w:val="28"/>
      <w:szCs w:val="20"/>
    </w:rPr>
  </w:style>
  <w:style w:type="character" w:styleId="1203" w:customStyle="1">
    <w:name w:val="标题 3 Char"/>
    <w:uiPriority w:val="0"/>
    <w:qFormat/>
    <w:rPr>
      <w:rFonts w:ascii="宋体" w:eastAsia="宋体"/>
      <w:b/>
      <w:sz w:val="24"/>
      <w:u w:val="single"/>
      <w:lang w:val="en-US" w:eastAsia="zh-CN" w:bidi="ar-SA"/>
    </w:rPr>
  </w:style>
  <w:style w:type="character" w:styleId="1204" w:customStyle="1">
    <w:name w:val="明显引用 Char"/>
    <w:link w:val="1205"/>
    <w:uiPriority w:val="30"/>
    <w:qFormat/>
    <w:rPr>
      <w:b/>
      <w:bCs/>
      <w:i/>
      <w:iCs/>
      <w:color w:val="4f81bd"/>
      <w:szCs w:val="24"/>
    </w:rPr>
  </w:style>
  <w:style w:type="paragraph" w:styleId="1205" w:customStyle="1">
    <w:name w:val="明显引用1"/>
    <w:basedOn w:val="834"/>
    <w:next w:val="834"/>
    <w:link w:val="1204"/>
    <w:uiPriority w:val="30"/>
    <w:qFormat/>
    <w:pPr>
      <w:ind w:left="936" w:right="936"/>
      <w:spacing w:before="200" w:after="280"/>
      <w:pBdr>
        <w:bottom w:val="single" w:color="4F81BD" w:sz="4" w:space="4"/>
      </w:pBdr>
    </w:pPr>
    <w:rPr>
      <w:b/>
      <w:bCs/>
      <w:i/>
      <w:iCs/>
      <w:color w:val="4f81bd"/>
      <w:sz w:val="20"/>
    </w:rPr>
  </w:style>
  <w:style w:type="character" w:styleId="1206" w:customStyle="1">
    <w:name w:val="纯文本 Char1"/>
    <w:uiPriority w:val="99"/>
    <w:qFormat/>
    <w:rPr>
      <w:rFonts w:ascii="宋体" w:hAnsi="Courier New" w:eastAsia="宋体"/>
      <w:sz w:val="21"/>
      <w:lang w:val="en-US" w:eastAsia="zh-CN" w:bidi="ar-SA"/>
    </w:rPr>
  </w:style>
  <w:style w:type="character" w:styleId="1207" w:customStyle="1">
    <w:name w:val="正文首行缩进 2 字符"/>
    <w:uiPriority w:val="0"/>
    <w:qFormat/>
    <w:rPr>
      <w:rFonts w:ascii="仿宋_GB2312" w:hAnsi="Arial" w:eastAsia="仿宋_GB2312" w:cs="Times New Roman"/>
      <w:b/>
      <w:color w:val="000000"/>
      <w:sz w:val="28"/>
      <w:szCs w:val="32"/>
      <w:lang w:val="en-US" w:eastAsia="zh-CN" w:bidi="ar-SA"/>
    </w:rPr>
  </w:style>
  <w:style w:type="character" w:styleId="1208" w:customStyle="1">
    <w:name w:val="正文文本缩进 字符"/>
    <w:uiPriority w:val="99"/>
    <w:qFormat/>
    <w:rPr>
      <w:rFonts w:ascii="Times New Roman" w:hAnsi="Times New Roman" w:eastAsia="宋体" w:cs="Times New Roman"/>
      <w:szCs w:val="20"/>
    </w:rPr>
  </w:style>
  <w:style w:type="character" w:styleId="1209" w:customStyle="1">
    <w:name w:val="正文重点 Char"/>
    <w:link w:val="1210"/>
    <w:uiPriority w:val="0"/>
    <w:qFormat/>
    <w:rPr>
      <w:b/>
      <w:sz w:val="24"/>
    </w:rPr>
  </w:style>
  <w:style w:type="paragraph" w:styleId="1210" w:customStyle="1">
    <w:name w:val="正文重点"/>
    <w:basedOn w:val="834"/>
    <w:link w:val="1209"/>
    <w:uiPriority w:val="0"/>
    <w:qFormat/>
    <w:pPr>
      <w:ind w:firstLine="482"/>
      <w:jc w:val="left"/>
      <w:spacing w:line="360" w:lineRule="auto"/>
    </w:pPr>
    <w:rPr>
      <w:b/>
      <w:sz w:val="24"/>
      <w:szCs w:val="20"/>
    </w:rPr>
  </w:style>
  <w:style w:type="character" w:styleId="1211" w:customStyle="1">
    <w:name w:val="Unresolved Mention"/>
    <w:uiPriority w:val="99"/>
    <w:unhideWhenUsed/>
    <w:qFormat/>
    <w:rPr>
      <w:color w:val="808080"/>
      <w:shd w:val="clear" w:color="auto" w:fill="e6e6e6"/>
    </w:rPr>
  </w:style>
  <w:style w:type="character" w:styleId="1212" w:customStyle="1">
    <w:name w:val="st1"/>
    <w:uiPriority w:val="0"/>
    <w:qFormat/>
  </w:style>
  <w:style w:type="character" w:styleId="1213" w:customStyle="1">
    <w:name w:val="标书正文格式 Char Char"/>
    <w:uiPriority w:val="0"/>
    <w:qFormat/>
    <w:rPr>
      <w:rFonts w:eastAsia="楷体_GB2312"/>
      <w:sz w:val="24"/>
      <w:szCs w:val="24"/>
      <w:lang w:bidi="ar-SA"/>
    </w:rPr>
  </w:style>
  <w:style w:type="character" w:styleId="1214" w:customStyle="1">
    <w:name w:val="正文_标准 Char Char"/>
    <w:link w:val="1215"/>
    <w:uiPriority w:val="0"/>
    <w:qFormat/>
    <w:rPr>
      <w:rFonts w:ascii="宋体" w:hAnsi="宋体"/>
      <w:sz w:val="24"/>
    </w:rPr>
  </w:style>
  <w:style w:type="paragraph" w:styleId="1215" w:customStyle="1">
    <w:name w:val="正文_标准"/>
    <w:basedOn w:val="834"/>
    <w:link w:val="1214"/>
    <w:uiPriority w:val="0"/>
    <w:qFormat/>
    <w:pPr>
      <w:ind w:firstLine="480"/>
      <w:spacing w:line="360" w:lineRule="auto"/>
    </w:pPr>
    <w:rPr>
      <w:rFonts w:ascii="宋体" w:hAnsi="宋体"/>
      <w:sz w:val="24"/>
      <w:szCs w:val="20"/>
    </w:rPr>
  </w:style>
  <w:style w:type="character" w:styleId="1216" w:customStyle="1">
    <w:name w:val="成文日期 Char"/>
    <w:link w:val="1217"/>
    <w:uiPriority w:val="0"/>
    <w:qFormat/>
    <w:rPr>
      <w:rFonts w:ascii="仿宋_GB2312" w:eastAsia="仿宋_GB2312"/>
      <w:sz w:val="32"/>
    </w:rPr>
  </w:style>
  <w:style w:type="paragraph" w:styleId="1217" w:customStyle="1">
    <w:name w:val="成文日期"/>
    <w:basedOn w:val="834"/>
    <w:link w:val="1216"/>
    <w:uiPriority w:val="0"/>
    <w:qFormat/>
    <w:pPr>
      <w:ind w:right="400" w:firstLine="200"/>
      <w:jc w:val="right"/>
      <w:spacing w:line="570" w:lineRule="exact"/>
    </w:pPr>
    <w:rPr>
      <w:rFonts w:ascii="仿宋_GB2312" w:eastAsia="仿宋_GB2312"/>
      <w:sz w:val="32"/>
      <w:szCs w:val="20"/>
    </w:rPr>
  </w:style>
  <w:style w:type="character" w:styleId="1218" w:customStyle="1">
    <w:name w:val="标题 1 字符"/>
    <w:uiPriority w:val="0"/>
    <w:qFormat/>
    <w:rPr>
      <w:rFonts w:ascii="Times New Roman" w:hAnsi="Times New Roman" w:eastAsia="楷体_GB2312" w:cs="Times New Roman"/>
      <w:b/>
      <w:bCs/>
      <w:sz w:val="44"/>
      <w:szCs w:val="44"/>
    </w:rPr>
  </w:style>
  <w:style w:type="character" w:styleId="1219" w:customStyle="1">
    <w:name w:val="标题 3 Char Char"/>
    <w:uiPriority w:val="0"/>
    <w:qFormat/>
    <w:rPr>
      <w:rFonts w:eastAsia="宋体"/>
      <w:b/>
      <w:bCs/>
      <w:sz w:val="32"/>
      <w:szCs w:val="32"/>
      <w:lang w:val="en-US" w:eastAsia="zh-CN" w:bidi="ar-SA"/>
    </w:rPr>
  </w:style>
  <w:style w:type="character" w:styleId="1220" w:customStyle="1">
    <w:name w:val="font21"/>
    <w:uiPriority w:val="0"/>
    <w:qFormat/>
    <w:rPr>
      <w:rFonts w:ascii="Times New Roman" w:hAnsi="Times New Roman" w:cs="Times New Roman"/>
      <w:b/>
      <w:color w:val="000000"/>
      <w:sz w:val="20"/>
      <w:szCs w:val="20"/>
      <w:u w:val="none"/>
    </w:rPr>
  </w:style>
  <w:style w:type="character" w:styleId="1221" w:customStyle="1">
    <w:name w:val="正文new Char Char"/>
    <w:link w:val="1222"/>
    <w:uiPriority w:val="0"/>
    <w:qFormat/>
    <w:rPr>
      <w:rFonts w:cs="宋体"/>
      <w:sz w:val="24"/>
    </w:rPr>
  </w:style>
  <w:style w:type="paragraph" w:styleId="1222" w:customStyle="1">
    <w:name w:val="正文new"/>
    <w:basedOn w:val="834"/>
    <w:link w:val="1221"/>
    <w:uiPriority w:val="0"/>
    <w:qFormat/>
    <w:pPr>
      <w:ind w:firstLine="200"/>
      <w:spacing w:line="300" w:lineRule="auto"/>
    </w:pPr>
    <w:rPr>
      <w:sz w:val="24"/>
      <w:szCs w:val="20"/>
    </w:rPr>
  </w:style>
  <w:style w:type="character" w:styleId="1223" w:customStyle="1">
    <w:name w:val="prodname1"/>
    <w:uiPriority w:val="0"/>
    <w:qFormat/>
    <w:rPr>
      <w:b/>
      <w:bCs/>
      <w:color w:val="347ca9"/>
      <w:sz w:val="17"/>
      <w:szCs w:val="17"/>
    </w:rPr>
  </w:style>
  <w:style w:type="character" w:styleId="1224" w:customStyle="1">
    <w:name w:val="正文文本 Char1"/>
    <w:uiPriority w:val="0"/>
    <w:qFormat/>
    <w:rPr>
      <w:rFonts w:ascii="宋体" w:hAnsi="宋体"/>
      <w:sz w:val="24"/>
      <w:szCs w:val="24"/>
    </w:rPr>
  </w:style>
  <w:style w:type="character" w:styleId="1225" w:customStyle="1">
    <w:name w:val="正文首行缩进 Char1"/>
    <w:uiPriority w:val="99"/>
    <w:qFormat/>
  </w:style>
  <w:style w:type="character" w:styleId="1226" w:customStyle="1">
    <w:name w:val="font51"/>
    <w:uiPriority w:val="0"/>
    <w:qFormat/>
    <w:rPr>
      <w:rFonts w:hint="eastAsia" w:ascii="宋体" w:hAnsi="宋体" w:eastAsia="宋体" w:cs="宋体"/>
      <w:color w:val="000000"/>
      <w:sz w:val="18"/>
      <w:szCs w:val="18"/>
      <w:u w:val="none"/>
    </w:rPr>
  </w:style>
  <w:style w:type="character" w:styleId="1227" w:customStyle="1">
    <w:name w:val="unnamed21"/>
    <w:uiPriority w:val="0"/>
    <w:qFormat/>
    <w:rPr>
      <w:rFonts w:hint="eastAsia" w:ascii="宋体" w:hAnsi="宋体" w:eastAsia="宋体"/>
      <w:sz w:val="24"/>
      <w:szCs w:val="24"/>
    </w:rPr>
  </w:style>
  <w:style w:type="character" w:styleId="1228" w:customStyle="1">
    <w:name w:val="引用 Char"/>
    <w:link w:val="1229"/>
    <w:uiPriority w:val="29"/>
    <w:qFormat/>
    <w:rPr>
      <w:i/>
      <w:iCs/>
      <w:color w:val="000000"/>
      <w:szCs w:val="24"/>
    </w:rPr>
  </w:style>
  <w:style w:type="paragraph" w:styleId="1229" w:customStyle="1">
    <w:name w:val="引用1"/>
    <w:basedOn w:val="834"/>
    <w:next w:val="834"/>
    <w:link w:val="1228"/>
    <w:uiPriority w:val="29"/>
    <w:qFormat/>
    <w:rPr>
      <w:i/>
      <w:iCs/>
      <w:color w:val="000000"/>
      <w:sz w:val="20"/>
    </w:rPr>
  </w:style>
  <w:style w:type="character" w:styleId="1230" w:customStyle="1">
    <w:name w:val="纯文本 字符"/>
    <w:uiPriority w:val="0"/>
    <w:qFormat/>
    <w:rPr>
      <w:rFonts w:ascii="宋体" w:hAnsi="Courier New" w:eastAsia="宋体" w:cs="Times New Roman"/>
      <w:sz w:val="21"/>
      <w:szCs w:val="21"/>
      <w:lang w:val="en-US" w:eastAsia="zh-CN" w:bidi="ar-SA"/>
    </w:rPr>
  </w:style>
  <w:style w:type="character" w:styleId="1231" w:customStyle="1">
    <w:name w:val="标题 2 Char Char"/>
    <w:uiPriority w:val="0"/>
    <w:qFormat/>
    <w:rPr>
      <w:rFonts w:ascii="Arial" w:hAnsi="Arial" w:eastAsia="黑体"/>
      <w:b/>
      <w:bCs/>
      <w:sz w:val="32"/>
      <w:szCs w:val="32"/>
      <w:lang w:val="en-US" w:eastAsia="zh-CN" w:bidi="ar-SA"/>
    </w:rPr>
  </w:style>
  <w:style w:type="character" w:styleId="1232" w:customStyle="1">
    <w:name w:val="标题 3 字符"/>
    <w:uiPriority w:val="99"/>
    <w:qFormat/>
    <w:rPr>
      <w:rFonts w:ascii="宋体" w:hAnsi="Times New Roman" w:eastAsia="宋体" w:cs="Times New Roman"/>
      <w:b/>
      <w:sz w:val="24"/>
      <w:szCs w:val="20"/>
      <w:u w:val="single"/>
    </w:rPr>
  </w:style>
  <w:style w:type="character" w:styleId="1233" w:customStyle="1">
    <w:name w:val="正文首行缩进 2 字符1"/>
    <w:uiPriority w:val="99"/>
    <w:semiHidden/>
    <w:qFormat/>
  </w:style>
  <w:style w:type="character" w:styleId="1234" w:customStyle="1">
    <w:name w:val="标题 8 字符"/>
    <w:uiPriority w:val="0"/>
    <w:qFormat/>
    <w:rPr>
      <w:rFonts w:ascii="Arial" w:hAnsi="Arial" w:eastAsia="黑体" w:cs="Times New Roman"/>
      <w:sz w:val="24"/>
      <w:szCs w:val="24"/>
    </w:rPr>
  </w:style>
  <w:style w:type="character" w:styleId="1235" w:customStyle="1">
    <w:name w:val="批注主题 字符"/>
    <w:uiPriority w:val="0"/>
    <w:qFormat/>
    <w:rPr>
      <w:rFonts w:ascii="Times New Roman" w:hAnsi="Times New Roman" w:eastAsia="宋体" w:cs="Times New Roman"/>
      <w:b/>
      <w:bCs/>
      <w:sz w:val="20"/>
      <w:szCs w:val="20"/>
      <w:lang w:val="en-US" w:eastAsia="zh-CN" w:bidi="ar-SA"/>
    </w:rPr>
  </w:style>
  <w:style w:type="character" w:styleId="1236" w:customStyle="1">
    <w:name w:val="引用 Char1"/>
    <w:uiPriority w:val="29"/>
    <w:qFormat/>
    <w:rPr>
      <w:rFonts w:ascii="Times New Roman" w:hAnsi="Times New Roman" w:eastAsia="宋体" w:cs="Times New Roman"/>
      <w:i/>
      <w:iCs/>
      <w:color w:val="000000"/>
      <w:szCs w:val="24"/>
    </w:rPr>
  </w:style>
  <w:style w:type="character" w:styleId="1237" w:customStyle="1">
    <w:name w:val="列出段落 Char1"/>
    <w:link w:val="1238"/>
    <w:uiPriority w:val="34"/>
    <w:qFormat/>
    <w:rPr>
      <w:rFonts w:ascii="Calibri" w:hAnsi="Calibri" w:eastAsia="宋体"/>
      <w:sz w:val="21"/>
      <w:szCs w:val="22"/>
      <w:lang w:val="en-US" w:eastAsia="zh-CN" w:bidi="ar-SA"/>
    </w:rPr>
  </w:style>
  <w:style w:type="paragraph" w:styleId="1238" w:customStyle="1">
    <w:name w:val="列出段落1"/>
    <w:basedOn w:val="834"/>
    <w:link w:val="1237"/>
    <w:uiPriority w:val="34"/>
    <w:qFormat/>
    <w:pPr>
      <w:ind w:firstLine="420"/>
    </w:pPr>
    <w:rPr>
      <w:rFonts w:ascii="Calibri" w:hAnsi="Calibri"/>
      <w:szCs w:val="22"/>
    </w:rPr>
  </w:style>
  <w:style w:type="character" w:styleId="1239" w:customStyle="1">
    <w:name w:val="style21"/>
    <w:uiPriority w:val="99"/>
    <w:qFormat/>
    <w:rPr>
      <w:color w:val="0000a0"/>
      <w:sz w:val="33"/>
      <w:szCs w:val="33"/>
    </w:rPr>
  </w:style>
  <w:style w:type="character" w:styleId="1240" w:customStyle="1">
    <w:name w:val="明显强调1"/>
    <w:uiPriority w:val="21"/>
    <w:qFormat/>
    <w:rPr>
      <w:b/>
      <w:bCs/>
      <w:i/>
      <w:iCs/>
      <w:color w:val="4f81bd"/>
    </w:rPr>
  </w:style>
  <w:style w:type="character" w:styleId="1241" w:customStyle="1">
    <w:name w:val="引用 Char2"/>
    <w:uiPriority w:val="29"/>
    <w:qFormat/>
    <w:rPr>
      <w:i/>
      <w:iCs/>
      <w:color w:val="000000"/>
    </w:rPr>
  </w:style>
  <w:style w:type="character" w:styleId="1242" w:customStyle="1">
    <w:name w:val="unnamed1"/>
    <w:uiPriority w:val="0"/>
    <w:qFormat/>
  </w:style>
  <w:style w:type="character" w:styleId="1243" w:customStyle="1">
    <w:name w:val="正文文本缩进 Char"/>
    <w:uiPriority w:val="99"/>
    <w:qFormat/>
    <w:rPr>
      <w:rFonts w:eastAsia="宋体"/>
      <w:sz w:val="24"/>
      <w:szCs w:val="24"/>
      <w:lang w:val="en-US" w:eastAsia="zh-CN" w:bidi="ar-SA"/>
    </w:rPr>
  </w:style>
  <w:style w:type="character" w:styleId="1244" w:customStyle="1">
    <w:name w:val="不明显参考1"/>
    <w:uiPriority w:val="31"/>
    <w:qFormat/>
    <w:rPr>
      <w:smallCaps/>
      <w:color w:val="c0504d"/>
      <w:u w:val="single"/>
    </w:rPr>
  </w:style>
  <w:style w:type="character" w:styleId="1245" w:customStyle="1">
    <w:name w:val="页眉 Char"/>
    <w:uiPriority w:val="99"/>
    <w:qFormat/>
    <w:rPr>
      <w:rFonts w:eastAsia="宋体"/>
      <w:sz w:val="18"/>
      <w:szCs w:val="18"/>
      <w:lang w:val="en-US" w:eastAsia="zh-CN" w:bidi="ar-SA"/>
    </w:rPr>
  </w:style>
  <w:style w:type="character" w:styleId="1246" w:customStyle="1">
    <w:name w:val="Plain Text Char"/>
    <w:uiPriority w:val="99"/>
    <w:qFormat/>
    <w:rPr>
      <w:rFonts w:ascii="宋体" w:hAnsi="Courier New" w:cs="宋体"/>
      <w:sz w:val="21"/>
      <w:szCs w:val="21"/>
    </w:rPr>
  </w:style>
  <w:style w:type="character" w:styleId="1247" w:customStyle="1">
    <w:name w:val="c21"/>
    <w:uiPriority w:val="0"/>
    <w:qFormat/>
    <w:rPr>
      <w:rFonts w:ascii="ˎ̥" w:hAnsi="ˎ̥"/>
      <w:color w:val="000000"/>
      <w:sz w:val="20"/>
      <w:szCs w:val="20"/>
      <w:u w:val="none"/>
    </w:rPr>
  </w:style>
  <w:style w:type="character" w:styleId="1248" w:customStyle="1">
    <w:name w:val="font01"/>
    <w:uiPriority w:val="0"/>
    <w:qFormat/>
    <w:rPr>
      <w:rFonts w:hint="eastAsia" w:ascii="仿宋" w:hAnsi="仿宋" w:eastAsia="仿宋" w:cs="仿宋"/>
      <w:color w:val="000000"/>
      <w:sz w:val="22"/>
      <w:szCs w:val="22"/>
      <w:u w:val="none"/>
    </w:rPr>
  </w:style>
  <w:style w:type="character" w:styleId="1249" w:customStyle="1">
    <w:name w:val="纯文本 Char"/>
    <w:uiPriority w:val="0"/>
    <w:qFormat/>
    <w:rPr>
      <w:rFonts w:hint="eastAsia" w:ascii="宋体" w:hAnsi="Courier New" w:eastAsia="宋体" w:cs="宋体"/>
      <w:sz w:val="21"/>
    </w:rPr>
  </w:style>
  <w:style w:type="character" w:styleId="1250" w:customStyle="1">
    <w:name w:val="txt"/>
    <w:uiPriority w:val="0"/>
    <w:qFormat/>
  </w:style>
  <w:style w:type="character" w:styleId="1251" w:customStyle="1">
    <w:name w:val="正文文本缩进 Char1"/>
    <w:link w:val="1252"/>
    <w:uiPriority w:val="0"/>
    <w:qFormat/>
    <w:rPr>
      <w:rFonts w:ascii="宋体" w:hAnsi="宋体" w:eastAsia="宋体"/>
      <w:sz w:val="24"/>
      <w:szCs w:val="24"/>
      <w:lang w:bidi="ar-SA"/>
    </w:rPr>
  </w:style>
  <w:style w:type="paragraph" w:styleId="1252" w:customStyle="1">
    <w:name w:val="正文文本缩进1"/>
    <w:basedOn w:val="834"/>
    <w:link w:val="1251"/>
    <w:uiPriority w:val="0"/>
    <w:qFormat/>
    <w:pPr>
      <w:ind w:firstLine="480"/>
      <w:spacing w:line="480" w:lineRule="exact"/>
    </w:pPr>
    <w:rPr>
      <w:rFonts w:ascii="宋体" w:hAnsi="宋体"/>
      <w:sz w:val="24"/>
    </w:rPr>
  </w:style>
  <w:style w:type="character" w:styleId="1253" w:customStyle="1">
    <w:name w:val="副标题 字符1"/>
    <w:uiPriority w:val="11"/>
    <w:qFormat/>
    <w:rPr>
      <w:rFonts w:ascii="等线 Light" w:hAnsi="等线 Light" w:cs="Times New Roman"/>
      <w:b/>
      <w:bCs/>
      <w:sz w:val="32"/>
      <w:szCs w:val="32"/>
    </w:rPr>
  </w:style>
  <w:style w:type="character" w:styleId="1254" w:customStyle="1">
    <w:name w:val="无间隔 Char"/>
    <w:link w:val="1255"/>
    <w:uiPriority w:val="1"/>
    <w:qFormat/>
    <w:rPr>
      <w:sz w:val="21"/>
      <w:szCs w:val="24"/>
      <w:lang w:val="en-US" w:eastAsia="zh-CN" w:bidi="ar-SA"/>
    </w:rPr>
  </w:style>
  <w:style w:type="paragraph" w:styleId="1255" w:customStyle="1">
    <w:name w:val="无间隔1"/>
    <w:link w:val="1254"/>
    <w:uiPriority w:val="1"/>
    <w:qFormat/>
    <w:pPr>
      <w:jc w:val="both"/>
      <w:widowControl w:val="off"/>
    </w:pPr>
    <w:rPr>
      <w:rFonts w:ascii="Times New Roman" w:hAnsi="Times New Roman" w:eastAsia="宋体" w:cs="Times New Roman"/>
      <w:sz w:val="21"/>
      <w:szCs w:val="24"/>
      <w:lang w:val="en-US" w:eastAsia="zh-CN" w:bidi="ar-SA"/>
    </w:rPr>
  </w:style>
  <w:style w:type="character" w:styleId="1256" w:customStyle="1">
    <w:name w:val="+正文 Char"/>
    <w:link w:val="1257"/>
    <w:uiPriority w:val="0"/>
    <w:qFormat/>
    <w:rPr>
      <w:sz w:val="24"/>
      <w:szCs w:val="28"/>
    </w:rPr>
  </w:style>
  <w:style w:type="paragraph" w:styleId="1257" w:customStyle="1">
    <w:name w:val="+正文"/>
    <w:basedOn w:val="834"/>
    <w:link w:val="1256"/>
    <w:uiPriority w:val="0"/>
    <w:qFormat/>
    <w:pPr>
      <w:ind w:firstLine="200"/>
      <w:spacing w:line="360" w:lineRule="auto"/>
    </w:pPr>
    <w:rPr>
      <w:sz w:val="24"/>
      <w:szCs w:val="28"/>
    </w:rPr>
  </w:style>
  <w:style w:type="character" w:styleId="1258" w:customStyle="1">
    <w:name w:val="txt1"/>
    <w:uiPriority w:val="0"/>
    <w:qFormat/>
    <w:rPr>
      <w:color w:val="000099"/>
      <w:sz w:val="20"/>
      <w:szCs w:val="20"/>
      <w:u w:val="none"/>
    </w:rPr>
  </w:style>
  <w:style w:type="character" w:styleId="1259" w:customStyle="1">
    <w:name w:val="明显引用 Char1"/>
    <w:uiPriority w:val="30"/>
    <w:qFormat/>
    <w:rPr>
      <w:b/>
      <w:bCs/>
      <w:i/>
      <w:iCs/>
      <w:color w:val="4f81bd"/>
    </w:rPr>
  </w:style>
  <w:style w:type="character" w:styleId="1260" w:customStyle="1">
    <w:name w:val="项目编号（2） Char Char"/>
    <w:link w:val="1261"/>
    <w:uiPriority w:val="0"/>
    <w:qFormat/>
    <w:rPr>
      <w:rFonts w:cs="宋体"/>
      <w:sz w:val="24"/>
    </w:rPr>
  </w:style>
  <w:style w:type="paragraph" w:styleId="1261" w:customStyle="1">
    <w:name w:val="项目编号（2）"/>
    <w:basedOn w:val="834"/>
    <w:link w:val="1260"/>
    <w:uiPriority w:val="0"/>
    <w:qFormat/>
    <w:pPr>
      <w:ind w:left="960" w:hanging="420"/>
      <w:spacing w:line="300" w:lineRule="auto"/>
      <w:tabs>
        <w:tab w:val="left" w:pos="960" w:leader="none"/>
      </w:tabs>
    </w:pPr>
    <w:rPr>
      <w:sz w:val="24"/>
      <w:szCs w:val="20"/>
    </w:rPr>
  </w:style>
  <w:style w:type="character" w:styleId="1262" w:customStyle="1">
    <w:name w:val="中等深浅网格 1 - 强调文字颜色 2 Char"/>
    <w:link w:val="1263"/>
    <w:uiPriority w:val="0"/>
    <w:qFormat/>
    <w:rPr>
      <w:sz w:val="21"/>
      <w:szCs w:val="24"/>
      <w:lang w:val="zh-CN" w:eastAsia="zh-CN" w:bidi="ar-SA"/>
    </w:rPr>
  </w:style>
  <w:style w:type="paragraph" w:styleId="1263" w:customStyle="1">
    <w:name w:val="1"/>
    <w:link w:val="1262"/>
    <w:uiPriority w:val="0"/>
    <w:qFormat/>
    <w:rPr>
      <w:rFonts w:ascii="Times New Roman" w:hAnsi="Times New Roman" w:eastAsia="宋体" w:cs="Times New Roman"/>
      <w:sz w:val="21"/>
      <w:szCs w:val="24"/>
      <w:lang w:val="zh-CN" w:eastAsia="zh-CN" w:bidi="ar-SA"/>
    </w:rPr>
  </w:style>
  <w:style w:type="character" w:styleId="1264" w:customStyle="1">
    <w:name w:val="正文文本 3 字符"/>
    <w:uiPriority w:val="0"/>
    <w:qFormat/>
    <w:rPr>
      <w:b/>
      <w:color w:val="000000"/>
      <w:sz w:val="32"/>
      <w:szCs w:val="28"/>
      <w:u w:val="single"/>
    </w:rPr>
  </w:style>
  <w:style w:type="character" w:styleId="1265" w:customStyle="1">
    <w:name w:val="注释 Char"/>
    <w:link w:val="1266"/>
    <w:uiPriority w:val="0"/>
    <w:qFormat/>
    <w:rPr>
      <w:rFonts w:ascii="宋体" w:hAnsi="宋体"/>
      <w:sz w:val="21"/>
      <w:szCs w:val="21"/>
    </w:rPr>
  </w:style>
  <w:style w:type="paragraph" w:styleId="1266" w:customStyle="1">
    <w:name w:val="注释"/>
    <w:basedOn w:val="834"/>
    <w:link w:val="1265"/>
    <w:uiPriority w:val="0"/>
    <w:qFormat/>
    <w:pPr>
      <w:ind w:left="420" w:hanging="420"/>
      <w:jc w:val="left"/>
    </w:pPr>
    <w:rPr>
      <w:rFonts w:ascii="宋体" w:hAnsi="宋体"/>
      <w:szCs w:val="21"/>
    </w:rPr>
  </w:style>
  <w:style w:type="character" w:styleId="1267" w:customStyle="1">
    <w:name w:val="正文符号1 Char Char"/>
    <w:uiPriority w:val="0"/>
    <w:qFormat/>
    <w:rPr>
      <w:rFonts w:eastAsia="楷体_GB2312"/>
      <w:sz w:val="28"/>
      <w:szCs w:val="24"/>
      <w:lang w:val="en-US" w:eastAsia="zh-CN" w:bidi="ar-SA"/>
    </w:rPr>
  </w:style>
  <w:style w:type="character" w:styleId="1268" w:customStyle="1">
    <w:name w:val="正文文本缩进 3 字符"/>
    <w:uiPriority w:val="0"/>
    <w:qFormat/>
    <w:rPr>
      <w:rFonts w:ascii="宋体" w:hAnsi="宋体" w:eastAsia="宋体" w:cs="Times New Roman"/>
      <w:color w:val="0000ff"/>
      <w:sz w:val="24"/>
      <w:szCs w:val="24"/>
    </w:rPr>
  </w:style>
  <w:style w:type="character" w:styleId="1269" w:customStyle="1">
    <w:name w:val="正文文本 3 Char1"/>
    <w:uiPriority w:val="99"/>
    <w:qFormat/>
    <w:rPr>
      <w:sz w:val="16"/>
      <w:szCs w:val="16"/>
    </w:rPr>
  </w:style>
  <w:style w:type="character" w:styleId="1270" w:customStyle="1">
    <w:name w:val="正文文本缩进 2 字符"/>
    <w:uiPriority w:val="99"/>
    <w:qFormat/>
    <w:rPr>
      <w:rFonts w:ascii="宋体" w:hAnsi="宋体" w:eastAsia="宋体" w:cs="Times New Roman"/>
      <w:b/>
      <w:bCs/>
      <w:sz w:val="24"/>
      <w:szCs w:val="24"/>
    </w:rPr>
  </w:style>
  <w:style w:type="character" w:styleId="1271" w:customStyle="1">
    <w:name w:val="chanpin拷贝"/>
    <w:uiPriority w:val="0"/>
    <w:qFormat/>
  </w:style>
  <w:style w:type="character" w:styleId="1272" w:customStyle="1">
    <w:name w:val="签名 字符1"/>
    <w:uiPriority w:val="99"/>
    <w:qFormat/>
    <w:rPr>
      <w:sz w:val="21"/>
      <w:szCs w:val="24"/>
    </w:rPr>
  </w:style>
  <w:style w:type="character" w:styleId="1273" w:customStyle="1">
    <w:name w:val="Char Char111"/>
    <w:uiPriority w:val="0"/>
    <w:qFormat/>
    <w:rPr>
      <w:rFonts w:ascii="宋体" w:eastAsia="宋体"/>
      <w:b/>
      <w:sz w:val="24"/>
      <w:u w:val="single"/>
      <w:lang w:val="en-US" w:eastAsia="zh-CN" w:bidi="ar-SA"/>
    </w:rPr>
  </w:style>
  <w:style w:type="character" w:styleId="1274" w:customStyle="1">
    <w:name w:val="small"/>
    <w:uiPriority w:val="0"/>
    <w:qFormat/>
  </w:style>
  <w:style w:type="character" w:styleId="1275" w:customStyle="1">
    <w:name w:val="批注框文本 字符"/>
    <w:uiPriority w:val="99"/>
    <w:qFormat/>
    <w:rPr>
      <w:rFonts w:ascii="Times New Roman" w:hAnsi="Times New Roman" w:eastAsia="宋体" w:cs="Times New Roman"/>
      <w:sz w:val="18"/>
      <w:szCs w:val="18"/>
    </w:rPr>
  </w:style>
  <w:style w:type="character" w:styleId="1276" w:customStyle="1">
    <w:name w:val="ca-1"/>
    <w:uiPriority w:val="0"/>
    <w:qFormat/>
  </w:style>
  <w:style w:type="paragraph" w:styleId="1277" w:customStyle="1">
    <w:name w:val="其他发布日期"/>
    <w:basedOn w:val="834"/>
    <w:uiPriority w:val="0"/>
    <w:qFormat/>
    <w:pPr>
      <w:numPr>
        <w:ilvl w:val="0"/>
        <w:numId w:val="1"/>
      </w:numPr>
      <w:jc w:val="left"/>
      <w:widowControl/>
      <w:tabs>
        <w:tab w:val="left" w:pos="780" w:leader="none"/>
      </w:tabs>
      <w:framePr w:w="3997" w:h="471" w:vSpace="181" w:wrap="around" w:vAnchor="page" w:hAnchor="page" w:x="1419" w:y="14097" w:hRule="exact"/>
    </w:pPr>
    <w:rPr>
      <w:sz w:val="28"/>
      <w:szCs w:val="20"/>
    </w:rPr>
  </w:style>
  <w:style w:type="paragraph" w:styleId="1278" w:customStyle="1">
    <w:name w:val="表格1"/>
    <w:basedOn w:val="834"/>
    <w:uiPriority w:val="0"/>
    <w:qFormat/>
    <w:pPr>
      <w:ind w:firstLine="480"/>
      <w:jc w:val="center"/>
    </w:pPr>
    <w:rPr>
      <w:sz w:val="24"/>
      <w:szCs w:val="20"/>
    </w:rPr>
  </w:style>
  <w:style w:type="paragraph" w:styleId="1279" w:customStyle="1">
    <w:name w:val="正文须知-2级"/>
    <w:basedOn w:val="834"/>
    <w:uiPriority w:val="0"/>
    <w:qFormat/>
    <w:pPr>
      <w:numPr>
        <w:ilvl w:val="1"/>
        <w:numId w:val="2"/>
      </w:numPr>
      <w:spacing w:line="300" w:lineRule="auto"/>
    </w:pPr>
    <w:rPr>
      <w:rFonts w:ascii="宋体" w:hAnsi="Calibri"/>
      <w:sz w:val="24"/>
      <w:szCs w:val="21"/>
    </w:rPr>
  </w:style>
  <w:style w:type="paragraph" w:styleId="1280" w:customStyle="1">
    <w:name w:val="1名"/>
    <w:basedOn w:val="834"/>
    <w:uiPriority w:val="0"/>
    <w:qFormat/>
    <w:pPr>
      <w:numPr>
        <w:ilvl w:val="0"/>
        <w:numId w:val="3"/>
      </w:numPr>
      <w:spacing w:before="120"/>
    </w:pPr>
    <w:rPr>
      <w:rFonts w:ascii="宋体"/>
      <w:sz w:val="28"/>
      <w:szCs w:val="20"/>
    </w:rPr>
  </w:style>
  <w:style w:type="paragraph" w:styleId="1281" w:customStyle="1">
    <w:name w:val="xl44"/>
    <w:basedOn w:val="8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2" w:customStyle="1">
    <w:name w:val="正文文本样式 加粗"/>
    <w:basedOn w:val="1283"/>
    <w:uiPriority w:val="0"/>
    <w:qFormat/>
    <w:rPr>
      <w:b/>
    </w:rPr>
  </w:style>
  <w:style w:type="paragraph" w:styleId="1283" w:customStyle="1">
    <w:name w:val="正文文本样式"/>
    <w:basedOn w:val="834"/>
    <w:uiPriority w:val="0"/>
    <w:qFormat/>
    <w:pPr>
      <w:ind w:firstLine="482"/>
      <w:spacing w:line="360" w:lineRule="auto"/>
    </w:pPr>
    <w:rPr>
      <w:rFonts w:cs="宋体"/>
      <w:sz w:val="24"/>
      <w:szCs w:val="20"/>
    </w:rPr>
  </w:style>
  <w:style w:type="paragraph" w:styleId="1284" w:customStyle="1">
    <w:name w:val="Char1"/>
    <w:basedOn w:val="834"/>
    <w:uiPriority w:val="0"/>
    <w:qFormat/>
    <w:pPr>
      <w:tabs>
        <w:tab w:val="left" w:pos="360" w:leader="none"/>
      </w:tabs>
    </w:pPr>
    <w:rPr>
      <w:sz w:val="24"/>
    </w:rPr>
  </w:style>
  <w:style w:type="paragraph" w:styleId="1285" w:customStyle="1">
    <w:name w:val="项目编号3"/>
    <w:basedOn w:val="1283"/>
    <w:uiPriority w:val="0"/>
    <w:qFormat/>
    <w:pPr>
      <w:numPr>
        <w:ilvl w:val="0"/>
        <w:numId w:val="4"/>
      </w:numPr>
    </w:pPr>
  </w:style>
  <w:style w:type="paragraph" w:styleId="1286" w:customStyle="1">
    <w:name w:val="Char Char Char1 Char"/>
    <w:basedOn w:val="834"/>
    <w:uiPriority w:val="0"/>
    <w:qFormat/>
    <w:rPr>
      <w:rFonts w:ascii="Tahoma" w:hAnsi="Tahoma"/>
      <w:sz w:val="24"/>
      <w:szCs w:val="20"/>
    </w:rPr>
  </w:style>
  <w:style w:type="paragraph" w:styleId="1287" w:customStyle="1">
    <w:name w:val="Char Char Char1 Char2"/>
    <w:basedOn w:val="834"/>
    <w:uiPriority w:val="0"/>
    <w:qFormat/>
    <w:rPr>
      <w:rFonts w:ascii="Tahoma" w:hAnsi="Tahoma"/>
      <w:sz w:val="24"/>
      <w:szCs w:val="20"/>
    </w:rPr>
  </w:style>
  <w:style w:type="paragraph" w:styleId="128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89"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Char21"/>
    <w:basedOn w:val="834"/>
    <w:uiPriority w:val="0"/>
    <w:qFormat/>
    <w:rPr>
      <w:rFonts w:ascii="Tahoma" w:hAnsi="Tahoma"/>
      <w:sz w:val="24"/>
      <w:szCs w:val="20"/>
    </w:rPr>
  </w:style>
  <w:style w:type="paragraph" w:styleId="1291" w:customStyle="1">
    <w:name w:val="Char Char Char"/>
    <w:basedOn w:val="834"/>
    <w:uiPriority w:val="0"/>
    <w:qFormat/>
    <w:rPr>
      <w:rFonts w:ascii="Tahoma" w:hAnsi="Tahoma"/>
      <w:sz w:val="24"/>
      <w:szCs w:val="20"/>
    </w:rPr>
  </w:style>
  <w:style w:type="paragraph" w:styleId="1292" w:customStyle="1">
    <w:name w:val="Char Char Char Char Char Char Char Char Char Char2"/>
    <w:basedOn w:val="834"/>
    <w:uiPriority w:val="0"/>
    <w:qFormat/>
    <w:rPr>
      <w:rFonts w:ascii="宋体" w:hAnsi="宋体" w:cs="Courier New"/>
      <w:sz w:val="32"/>
      <w:szCs w:val="32"/>
    </w:rPr>
  </w:style>
  <w:style w:type="paragraph" w:styleId="1293" w:customStyle="1">
    <w:name w:val="xl35"/>
    <w:basedOn w:val="83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4" w:customStyle="1">
    <w:name w:val="正文文本1"/>
    <w:basedOn w:val="834"/>
    <w:next w:val="834"/>
    <w:uiPriority w:val="0"/>
    <w:qFormat/>
    <w:pPr>
      <w:spacing w:before="120" w:line="22" w:lineRule="atLeast"/>
      <w:tabs>
        <w:tab w:val="left" w:pos="567" w:leader="none"/>
      </w:tabs>
    </w:pPr>
    <w:rPr>
      <w:rFonts w:ascii="宋体" w:hAnsi="宋体"/>
      <w:sz w:val="24"/>
    </w:rPr>
  </w:style>
  <w:style w:type="paragraph" w:styleId="1295" w:customStyle="1">
    <w:name w:val="样式2"/>
    <w:basedOn w:val="1091"/>
    <w:uiPriority w:val="0"/>
    <w:qFormat/>
    <w:pPr>
      <w:jc w:val="center"/>
      <w:spacing w:line="360" w:lineRule="auto"/>
    </w:pPr>
    <w:rPr>
      <w:sz w:val="24"/>
    </w:rPr>
  </w:style>
  <w:style w:type="paragraph" w:styleId="1296" w:customStyle="1">
    <w:name w:val="正文1"/>
    <w:basedOn w:val="834"/>
    <w:uiPriority w:val="0"/>
    <w:qFormat/>
    <w:pPr>
      <w:jc w:val="left"/>
      <w:spacing w:line="360" w:lineRule="atLeast"/>
    </w:pPr>
    <w:rPr>
      <w:rFonts w:ascii="宋体"/>
      <w:sz w:val="24"/>
      <w:szCs w:val="20"/>
    </w:rPr>
  </w:style>
  <w:style w:type="paragraph" w:styleId="1297" w:customStyle="1">
    <w:name w:val="font5"/>
    <w:basedOn w:val="834"/>
    <w:uiPriority w:val="0"/>
    <w:qFormat/>
    <w:pPr>
      <w:jc w:val="left"/>
      <w:spacing w:before="100" w:beforeAutospacing="1" w:after="100" w:afterAutospacing="1"/>
      <w:widowControl/>
    </w:pPr>
    <w:rPr>
      <w:rFonts w:ascii="宋体" w:hAnsi="宋体" w:cs="宋体"/>
      <w:sz w:val="18"/>
      <w:szCs w:val="18"/>
    </w:rPr>
  </w:style>
  <w:style w:type="paragraph" w:styleId="1298" w:customStyle="1">
    <w:name w:val="xl41"/>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9" w:customStyle="1">
    <w:name w:val="Char1 Char Char Char1"/>
    <w:basedOn w:val="834"/>
    <w:uiPriority w:val="0"/>
    <w:qFormat/>
    <w:rPr>
      <w:rFonts w:ascii="Tahoma" w:hAnsi="Tahoma" w:cs="仿宋_GB2312"/>
      <w:sz w:val="24"/>
      <w:szCs w:val="28"/>
    </w:rPr>
  </w:style>
  <w:style w:type="paragraph" w:styleId="1300" w:customStyle="1">
    <w:name w:val="22222222222222"/>
    <w:basedOn w:val="834"/>
    <w:uiPriority w:val="0"/>
    <w:qFormat/>
    <w:pPr>
      <w:ind w:firstLine="480"/>
      <w:jc w:val="left"/>
      <w:spacing w:line="360" w:lineRule="auto"/>
      <w:widowControl/>
    </w:pPr>
    <w:rPr>
      <w:color w:val="ff0000"/>
      <w:sz w:val="24"/>
      <w:szCs w:val="20"/>
    </w:rPr>
  </w:style>
  <w:style w:type="paragraph" w:styleId="1301" w:customStyle="1">
    <w:name w:val="xl48"/>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2" w:customStyle="1">
    <w:name w:val="Char22"/>
    <w:basedOn w:val="834"/>
    <w:uiPriority w:val="0"/>
    <w:qFormat/>
    <w:rPr>
      <w:rFonts w:ascii="Tahoma" w:hAnsi="Tahoma"/>
      <w:sz w:val="24"/>
      <w:szCs w:val="20"/>
    </w:rPr>
  </w:style>
  <w:style w:type="paragraph" w:styleId="1303" w:customStyle="1">
    <w:name w:val="List Paragraph1"/>
    <w:basedOn w:val="834"/>
    <w:uiPriority w:val="0"/>
    <w:qFormat/>
    <w:pPr>
      <w:ind w:firstLine="420"/>
    </w:pPr>
    <w:rPr>
      <w:rFonts w:ascii="Calibri" w:hAnsi="Calibri"/>
      <w:szCs w:val="22"/>
    </w:rPr>
  </w:style>
  <w:style w:type="paragraph" w:styleId="1304" w:customStyle="1">
    <w:name w:val="缺省文本"/>
    <w:basedOn w:val="834"/>
    <w:uiPriority w:val="0"/>
    <w:qFormat/>
    <w:pPr>
      <w:jc w:val="left"/>
    </w:pPr>
    <w:rPr>
      <w:sz w:val="24"/>
    </w:rPr>
  </w:style>
  <w:style w:type="paragraph" w:styleId="1305" w:customStyle="1">
    <w:name w:val="xl53"/>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6" w:customStyle="1">
    <w:name w:val="图文"/>
    <w:basedOn w:val="834"/>
    <w:uiPriority w:val="0"/>
    <w:qFormat/>
    <w:pPr>
      <w:spacing w:after="50" w:line="360" w:lineRule="auto"/>
    </w:pPr>
    <w:rPr>
      <w:sz w:val="24"/>
    </w:rPr>
  </w:style>
  <w:style w:type="paragraph" w:styleId="1307" w:customStyle="1">
    <w:name w:val="正文须知-1级"/>
    <w:basedOn w:val="834"/>
    <w:next w:val="834"/>
    <w:uiPriority w:val="0"/>
    <w:qFormat/>
    <w:pPr>
      <w:numPr>
        <w:ilvl w:val="0"/>
        <w:numId w:val="2"/>
      </w:numPr>
      <w:spacing w:line="300" w:lineRule="auto"/>
    </w:pPr>
    <w:rPr>
      <w:rFonts w:ascii="宋体" w:hAnsi="Calibri"/>
      <w:sz w:val="24"/>
      <w:szCs w:val="21"/>
    </w:rPr>
  </w:style>
  <w:style w:type="paragraph" w:styleId="1308" w:customStyle="1">
    <w:name w:val="Char Char4"/>
    <w:basedOn w:val="834"/>
    <w:uiPriority w:val="0"/>
    <w:qFormat/>
    <w:pPr>
      <w:jc w:val="center"/>
      <w:spacing w:line="400" w:lineRule="exact"/>
      <w:widowControl/>
    </w:pPr>
  </w:style>
  <w:style w:type="paragraph" w:styleId="1309" w:customStyle="1">
    <w:name w:val="修订1"/>
    <w:uiPriority w:val="99"/>
    <w:unhideWhenUsed/>
    <w:qFormat/>
    <w:rPr>
      <w:rFonts w:ascii="Times New Roman" w:hAnsi="Times New Roman" w:eastAsia="宋体" w:cs="Times New Roman"/>
      <w:sz w:val="21"/>
      <w:szCs w:val="24"/>
      <w:lang w:val="en-US" w:eastAsia="zh-CN" w:bidi="ar-SA"/>
    </w:rPr>
  </w:style>
  <w:style w:type="paragraph" w:styleId="1310" w:customStyle="1">
    <w:name w:val="xl25"/>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1" w:customStyle="1">
    <w:name w:val="xl24"/>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2" w:customStyle="1">
    <w:name w:val="xl49"/>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13" w:customStyle="1">
    <w:name w:val="图中文字"/>
    <w:basedOn w:val="834"/>
    <w:uiPriority w:val="0"/>
    <w:qFormat/>
    <w:pPr>
      <w:jc w:val="center"/>
      <w:spacing w:line="0" w:lineRule="atLeast"/>
    </w:pPr>
    <w:rPr>
      <w:sz w:val="24"/>
      <w:szCs w:val="20"/>
    </w:rPr>
  </w:style>
  <w:style w:type="paragraph" w:styleId="1314" w:customStyle="1">
    <w:name w:val="Char3 Char Char Char"/>
    <w:basedOn w:val="834"/>
    <w:uiPriority w:val="0"/>
    <w:qFormat/>
    <w:rPr>
      <w:rFonts w:ascii="Tahoma" w:hAnsi="Tahoma"/>
      <w:sz w:val="24"/>
      <w:szCs w:val="20"/>
    </w:rPr>
  </w:style>
  <w:style w:type="paragraph" w:styleId="1315" w:customStyle="1">
    <w:name w:val="AA2"/>
    <w:basedOn w:val="834"/>
    <w:uiPriority w:val="0"/>
    <w:qFormat/>
    <w:pPr>
      <w:numPr>
        <w:ilvl w:val="0"/>
        <w:numId w:val="5"/>
      </w:numPr>
      <w:spacing w:line="312" w:lineRule="exact"/>
      <w:tabs>
        <w:tab w:val="left" w:pos="500" w:leader="none"/>
        <w:tab w:val="left" w:pos="780" w:leader="none"/>
      </w:tabs>
      <w:outlineLvl w:val="1"/>
    </w:pPr>
    <w:rPr>
      <w:b/>
      <w:bCs/>
      <w:szCs w:val="21"/>
    </w:rPr>
  </w:style>
  <w:style w:type="paragraph" w:styleId="1316" w:customStyle="1">
    <w:name w:val="Char3 Char Char Char1"/>
    <w:basedOn w:val="834"/>
    <w:uiPriority w:val="0"/>
    <w:qFormat/>
    <w:rPr>
      <w:rFonts w:ascii="Tahoma" w:hAnsi="Tahoma"/>
      <w:sz w:val="24"/>
      <w:szCs w:val="20"/>
    </w:rPr>
  </w:style>
  <w:style w:type="paragraph" w:styleId="1317" w:customStyle="1">
    <w:name w:val="xl28"/>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8" w:customStyle="1">
    <w:name w:val="表身（左）"/>
    <w:uiPriority w:val="0"/>
    <w:qFormat/>
    <w:pPr>
      <w:spacing w:line="300" w:lineRule="auto"/>
    </w:pPr>
    <w:rPr>
      <w:rFonts w:ascii="Times New Roman" w:hAnsi="Times New Roman" w:eastAsia="宋体" w:cs="Times New Roman"/>
      <w:sz w:val="18"/>
      <w:lang w:val="en-US" w:eastAsia="zh-CN" w:bidi="ar-SA"/>
    </w:rPr>
  </w:style>
  <w:style w:type="paragraph" w:styleId="1319" w:customStyle="1">
    <w:name w:val="纯文本1"/>
    <w:basedOn w:val="834"/>
    <w:uiPriority w:val="0"/>
    <w:qFormat/>
    <w:rPr>
      <w:rFonts w:ascii="宋体" w:hAnsi="Courier New" w:eastAsia="楷体_GB2312"/>
      <w:sz w:val="26"/>
      <w:szCs w:val="20"/>
    </w:rPr>
  </w:style>
  <w:style w:type="paragraph" w:styleId="1320" w:customStyle="1">
    <w:name w:val="一级条标题"/>
    <w:basedOn w:val="1321"/>
    <w:next w:val="834"/>
    <w:uiPriority w:val="0"/>
    <w:qFormat/>
    <w:pPr>
      <w:numPr>
        <w:ilvl w:val="1"/>
      </w:numPr>
      <w:ind w:left="0" w:hanging="840"/>
      <w:tabs>
        <w:tab w:val="left" w:pos="360" w:leader="none"/>
        <w:tab w:val="left" w:pos="840" w:leader="none"/>
      </w:tabs>
      <w:outlineLvl w:val="1"/>
    </w:pPr>
  </w:style>
  <w:style w:type="paragraph" w:styleId="1321" w:customStyle="1">
    <w:name w:val="章标题"/>
    <w:next w:val="834"/>
    <w:uiPriority w:val="0"/>
    <w:qFormat/>
    <w:pPr>
      <w:numPr>
        <w:ilvl w:val="0"/>
        <w:numId w:val="6"/>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322" w:customStyle="1">
    <w:name w:val="1 Char Char Char Char"/>
    <w:basedOn w:val="834"/>
    <w:uiPriority w:val="0"/>
    <w:qFormat/>
    <w:rPr>
      <w:rFonts w:ascii="Tahoma" w:hAnsi="Tahoma"/>
      <w:sz w:val="24"/>
      <w:szCs w:val="20"/>
    </w:rPr>
  </w:style>
  <w:style w:type="paragraph" w:styleId="1323" w:customStyle="1">
    <w:name w:val="Char Char1 Char Char Char Char Char Char Char Char"/>
    <w:basedOn w:val="834"/>
    <w:uiPriority w:val="0"/>
    <w:qFormat/>
    <w:pPr>
      <w:jc w:val="left"/>
      <w:spacing w:after="160" w:line="240" w:lineRule="exact"/>
      <w:widowControl/>
    </w:pPr>
    <w:rPr>
      <w:rFonts w:ascii="Verdana" w:hAnsi="Verdana"/>
      <w:sz w:val="20"/>
      <w:szCs w:val="20"/>
      <w:lang w:eastAsia="en-US"/>
    </w:rPr>
  </w:style>
  <w:style w:type="paragraph" w:styleId="1324" w:customStyle="1">
    <w:name w:val="Char Char Char Char Char Char Char Char Char Char"/>
    <w:basedOn w:val="834"/>
    <w:uiPriority w:val="0"/>
    <w:qFormat/>
  </w:style>
  <w:style w:type="paragraph" w:styleId="1325" w:customStyle="1">
    <w:name w:val="Char Char1 Char Char Char Char Char Char"/>
    <w:basedOn w:val="834"/>
    <w:uiPriority w:val="0"/>
    <w:qFormat/>
    <w:pPr>
      <w:jc w:val="left"/>
      <w:spacing w:after="160" w:line="240" w:lineRule="exact"/>
      <w:widowControl/>
    </w:pPr>
    <w:rPr>
      <w:rFonts w:ascii="Verdana" w:hAnsi="Verdana" w:eastAsia="仿宋_GB2312"/>
      <w:sz w:val="24"/>
      <w:szCs w:val="20"/>
      <w:lang w:eastAsia="en-US"/>
    </w:rPr>
  </w:style>
  <w:style w:type="paragraph" w:styleId="1326" w:customStyle="1">
    <w:name w:val="xl33"/>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7" w:customStyle="1">
    <w:name w:val="Char Char Char1 Char1"/>
    <w:basedOn w:val="834"/>
    <w:uiPriority w:val="0"/>
    <w:qFormat/>
    <w:rPr>
      <w:rFonts w:ascii="Tahoma" w:hAnsi="Tahoma"/>
      <w:sz w:val="24"/>
      <w:szCs w:val="20"/>
    </w:rPr>
  </w:style>
  <w:style w:type="paragraph" w:styleId="1328" w:customStyle="1">
    <w:name w:val="表项"/>
    <w:next w:val="834"/>
    <w:uiPriority w:val="0"/>
    <w:qFormat/>
    <w:pPr>
      <w:jc w:val="center"/>
      <w:keepNext/>
      <w:spacing w:line="300" w:lineRule="auto"/>
    </w:pPr>
    <w:rPr>
      <w:rFonts w:ascii="Arial" w:hAnsi="Arial" w:eastAsia="黑体" w:cs="Times New Roman"/>
      <w:sz w:val="18"/>
      <w:lang w:val="en-US" w:eastAsia="zh-CN" w:bidi="ar-SA"/>
    </w:rPr>
  </w:style>
  <w:style w:type="paragraph" w:styleId="1329" w:customStyle="1">
    <w:name w:val="Char2 Char Char Char Char Char Char"/>
    <w:basedOn w:val="834"/>
    <w:uiPriority w:val="0"/>
    <w:qFormat/>
    <w:pPr>
      <w:jc w:val="center"/>
      <w:spacing w:line="400" w:lineRule="exact"/>
      <w:widowControl/>
    </w:pPr>
  </w:style>
  <w:style w:type="paragraph" w:styleId="1330" w:customStyle="1">
    <w:name w:val="xl23"/>
    <w:basedOn w:val="834"/>
    <w:uiPriority w:val="0"/>
    <w:qFormat/>
    <w:pPr>
      <w:spacing w:before="100" w:beforeAutospacing="1" w:after="100" w:afterAutospacing="1" w:line="360" w:lineRule="auto"/>
      <w:widowControl/>
    </w:pPr>
    <w:rPr>
      <w:sz w:val="24"/>
      <w:szCs w:val="20"/>
    </w:rPr>
  </w:style>
  <w:style w:type="paragraph" w:styleId="1331" w:customStyle="1">
    <w:name w:val="列出段落2"/>
    <w:basedOn w:val="834"/>
    <w:uiPriority w:val="0"/>
    <w:qFormat/>
    <w:pPr>
      <w:ind w:firstLine="420"/>
    </w:pPr>
    <w:rPr>
      <w:rFonts w:ascii="Calibri" w:hAnsi="Calibri"/>
      <w:szCs w:val="22"/>
    </w:rPr>
  </w:style>
  <w:style w:type="paragraph" w:styleId="1332" w:customStyle="1">
    <w:name w:val="text"/>
    <w:basedOn w:val="834"/>
    <w:uiPriority w:val="0"/>
    <w:qFormat/>
    <w:pPr>
      <w:ind w:left="1049"/>
      <w:spacing w:before="240"/>
      <w:widowControl/>
      <w:tabs>
        <w:tab w:val="left" w:pos="1050" w:leader="none"/>
      </w:tabs>
    </w:pPr>
    <w:rPr>
      <w:sz w:val="24"/>
      <w:szCs w:val="20"/>
    </w:rPr>
  </w:style>
  <w:style w:type="paragraph" w:styleId="1333" w:customStyle="1">
    <w:name w:val="Table Paragraph"/>
    <w:basedOn w:val="834"/>
    <w:uiPriority w:val="1"/>
    <w:qFormat/>
    <w:pPr>
      <w:jc w:val="left"/>
    </w:pPr>
    <w:rPr>
      <w:rFonts w:ascii="宋体" w:hAnsi="宋体" w:cs="宋体"/>
      <w:sz w:val="22"/>
      <w:szCs w:val="22"/>
      <w:lang w:eastAsia="en-US"/>
    </w:rPr>
  </w:style>
  <w:style w:type="paragraph" w:styleId="1334" w:customStyle="1">
    <w:name w:val="xl50"/>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35" w:customStyle="1">
    <w:name w:val="Char Char Char Char"/>
    <w:basedOn w:val="1048"/>
    <w:uiPriority w:val="0"/>
    <w:qFormat/>
    <w:pPr>
      <w:spacing w:line="360" w:lineRule="auto"/>
    </w:pPr>
    <w:rPr>
      <w:rFonts w:ascii="Tahoma" w:hAnsi="Tahoma"/>
      <w:sz w:val="24"/>
    </w:rPr>
  </w:style>
  <w:style w:type="paragraph" w:styleId="1336" w:customStyle="1">
    <w:name w:val="字元 字元1"/>
    <w:basedOn w:val="834"/>
    <w:uiPriority w:val="0"/>
    <w:qFormat/>
    <w:rPr>
      <w:rFonts w:ascii="Tahoma" w:hAnsi="Tahoma"/>
      <w:sz w:val="24"/>
      <w:szCs w:val="20"/>
    </w:rPr>
  </w:style>
  <w:style w:type="paragraph" w:styleId="1337" w:customStyle="1">
    <w:name w:val="xl42"/>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38" w:customStyle="1">
    <w:name w:val="修订2"/>
    <w:uiPriority w:val="0"/>
    <w:qFormat/>
    <w:rPr>
      <w:rFonts w:ascii="Times New Roman" w:hAnsi="Times New Roman" w:eastAsia="宋体" w:cs="Times New Roman"/>
      <w:sz w:val="21"/>
      <w:szCs w:val="24"/>
      <w:lang w:val="en-US" w:eastAsia="zh-CN" w:bidi="ar-SA"/>
    </w:rPr>
  </w:style>
  <w:style w:type="paragraph" w:styleId="1339" w:customStyle="1">
    <w:name w:val="正文列项_字母"/>
    <w:basedOn w:val="834"/>
    <w:uiPriority w:val="0"/>
    <w:qFormat/>
    <w:pPr>
      <w:numPr>
        <w:ilvl w:val="6"/>
        <w:numId w:val="6"/>
      </w:numPr>
      <w:ind w:left="480" w:hanging="180"/>
      <w:spacing w:line="460" w:lineRule="exact"/>
      <w:tabs>
        <w:tab w:val="clear" w:pos="635" w:leader="none"/>
      </w:tabs>
      <w:outlineLvl w:val="6"/>
    </w:pPr>
    <w:rPr>
      <w:rFonts w:ascii="宋体"/>
      <w:sz w:val="28"/>
      <w:szCs w:val="20"/>
    </w:rPr>
  </w:style>
  <w:style w:type="paragraph" w:styleId="1340" w:customStyle="1">
    <w:name w:val="(1)"/>
    <w:basedOn w:val="834"/>
    <w:uiPriority w:val="0"/>
    <w:qFormat/>
    <w:pPr>
      <w:spacing w:line="400" w:lineRule="exact"/>
    </w:pPr>
    <w:rPr>
      <w:rFonts w:ascii="楷体_GB2312" w:hAnsi="Arial" w:eastAsia="楷体_GB2312"/>
      <w:sz w:val="24"/>
    </w:rPr>
  </w:style>
  <w:style w:type="paragraph" w:styleId="1341" w:customStyle="1">
    <w:name w:val="项目符号1"/>
    <w:basedOn w:val="1283"/>
    <w:uiPriority w:val="0"/>
    <w:qFormat/>
    <w:pPr>
      <w:ind w:left="-25" w:firstLine="0"/>
    </w:pPr>
  </w:style>
  <w:style w:type="paragraph" w:styleId="1342" w:customStyle="1">
    <w:name w:val="内文正文"/>
    <w:uiPriority w:val="0"/>
    <w:qFormat/>
    <w:pPr>
      <w:ind w:firstLine="200"/>
      <w:jc w:val="both"/>
      <w:spacing w:line="400" w:lineRule="exact"/>
    </w:pPr>
    <w:rPr>
      <w:rFonts w:ascii="宋体" w:hAnsi="???|CS?o｡ﾀ?" w:eastAsia="宋体" w:cs="Times New Roman"/>
      <w:sz w:val="21"/>
      <w:szCs w:val="28"/>
      <w:lang w:val="en-US" w:eastAsia="zh-CN" w:bidi="ar-SA"/>
    </w:rPr>
  </w:style>
  <w:style w:type="paragraph" w:styleId="1343" w:customStyle="1">
    <w:name w:val="Char3 Char Char Char2"/>
    <w:basedOn w:val="834"/>
    <w:uiPriority w:val="0"/>
    <w:qFormat/>
    <w:rPr>
      <w:rFonts w:ascii="Tahoma" w:hAnsi="Tahoma"/>
      <w:sz w:val="24"/>
      <w:szCs w:val="20"/>
    </w:rPr>
  </w:style>
  <w:style w:type="paragraph" w:styleId="1344" w:customStyle="1">
    <w:name w:val="xl52"/>
    <w:basedOn w:val="83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45" w:customStyle="1">
    <w:name w:val="xl46"/>
    <w:basedOn w:val="83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46" w:customStyle="1">
    <w:name w:val="Char2"/>
    <w:basedOn w:val="834"/>
    <w:uiPriority w:val="0"/>
    <w:qFormat/>
    <w:rPr>
      <w:rFonts w:ascii="Tahoma" w:hAnsi="Tahoma"/>
      <w:sz w:val="24"/>
      <w:szCs w:val="20"/>
    </w:rPr>
  </w:style>
  <w:style w:type="paragraph" w:styleId="1347" w:customStyle="1">
    <w:name w:val="Char Char1 Char Char Char Char Char Char1"/>
    <w:basedOn w:val="834"/>
    <w:uiPriority w:val="0"/>
    <w:qFormat/>
    <w:pPr>
      <w:jc w:val="left"/>
      <w:spacing w:after="160" w:line="240" w:lineRule="exact"/>
      <w:widowControl/>
    </w:pPr>
    <w:rPr>
      <w:rFonts w:ascii="Verdana" w:hAnsi="Verdana" w:eastAsia="仿宋_GB2312"/>
      <w:sz w:val="24"/>
      <w:szCs w:val="20"/>
      <w:lang w:eastAsia="en-US"/>
    </w:rPr>
  </w:style>
  <w:style w:type="paragraph" w:styleId="1348" w:customStyle="1">
    <w:name w:val="xl34"/>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49" w:customStyle="1">
    <w:name w:val="Char Char Char Char Char Char Char Char Char Char Char Char Char Char Char Char"/>
    <w:basedOn w:val="834"/>
    <w:uiPriority w:val="0"/>
    <w:qFormat/>
    <w:pPr>
      <w:jc w:val="center"/>
      <w:spacing w:after="160" w:line="240" w:lineRule="exact"/>
      <w:widowControl/>
    </w:pPr>
    <w:rPr>
      <w:rFonts w:ascii="宋体" w:hAnsi="宋体"/>
      <w:b/>
      <w:sz w:val="30"/>
      <w:szCs w:val="30"/>
      <w:lang w:eastAsia="en-US"/>
    </w:rPr>
  </w:style>
  <w:style w:type="paragraph" w:styleId="1350" w:customStyle="1">
    <w:name w:val="Char2 Char Char Char Char Char Char1"/>
    <w:basedOn w:val="834"/>
    <w:uiPriority w:val="0"/>
    <w:qFormat/>
    <w:pPr>
      <w:jc w:val="center"/>
      <w:spacing w:line="400" w:lineRule="exact"/>
      <w:widowControl/>
    </w:pPr>
  </w:style>
  <w:style w:type="paragraph" w:styleId="1351" w:customStyle="1">
    <w:name w:val="Char Char Char Char Char Char Char Char Char Char1"/>
    <w:basedOn w:val="834"/>
    <w:uiPriority w:val="0"/>
    <w:qFormat/>
    <w:rPr>
      <w:rFonts w:ascii="宋体" w:hAnsi="宋体" w:cs="Courier New"/>
      <w:sz w:val="32"/>
      <w:szCs w:val="32"/>
    </w:rPr>
  </w:style>
  <w:style w:type="paragraph" w:styleId="1352" w:customStyle="1">
    <w:name w:val="正文须知-3级"/>
    <w:basedOn w:val="834"/>
    <w:uiPriority w:val="0"/>
    <w:qFormat/>
    <w:pPr>
      <w:numPr>
        <w:ilvl w:val="2"/>
        <w:numId w:val="2"/>
      </w:numPr>
      <w:ind w:hanging="355"/>
      <w:spacing w:line="300" w:lineRule="auto"/>
    </w:pPr>
    <w:rPr>
      <w:rFonts w:ascii="宋体" w:hAnsi="Calibri"/>
      <w:sz w:val="24"/>
      <w:szCs w:val="21"/>
    </w:rPr>
  </w:style>
  <w:style w:type="paragraph" w:styleId="1353" w:customStyle="1">
    <w:name w:val="Char Char Char2"/>
    <w:basedOn w:val="834"/>
    <w:uiPriority w:val="0"/>
    <w:qFormat/>
    <w:rPr>
      <w:rFonts w:ascii="Tahoma" w:hAnsi="Tahoma"/>
      <w:sz w:val="24"/>
      <w:szCs w:val="20"/>
    </w:rPr>
  </w:style>
  <w:style w:type="paragraph" w:styleId="1354" w:customStyle="1">
    <w:name w:val="xl36"/>
    <w:basedOn w:val="83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55" w:customStyle="1">
    <w:name w:val="表内文字"/>
    <w:basedOn w:val="834"/>
    <w:uiPriority w:val="0"/>
    <w:qFormat/>
    <w:pPr>
      <w:spacing w:line="360" w:lineRule="auto"/>
    </w:pPr>
    <w:rPr>
      <w:rFonts w:ascii="宋体" w:hAnsi="宋体"/>
      <w:bCs/>
      <w:sz w:val="24"/>
    </w:rPr>
  </w:style>
  <w:style w:type="paragraph" w:styleId="1356" w:customStyle="1">
    <w:name w:val="Char Char Char Char Char Char Char1"/>
    <w:basedOn w:val="834"/>
    <w:uiPriority w:val="0"/>
    <w:qFormat/>
    <w:pPr>
      <w:ind w:firstLine="200"/>
      <w:spacing w:line="360" w:lineRule="auto"/>
    </w:pPr>
    <w:rPr>
      <w:rFonts w:eastAsia="仿宋_GB2312"/>
      <w:sz w:val="24"/>
    </w:rPr>
  </w:style>
  <w:style w:type="paragraph" w:styleId="1357" w:customStyle="1">
    <w:name w:val="列出段落11"/>
    <w:basedOn w:val="834"/>
    <w:uiPriority w:val="0"/>
    <w:qFormat/>
    <w:pPr>
      <w:ind w:firstLine="420"/>
    </w:pPr>
    <w:rPr>
      <w:rFonts w:ascii="Calibri" w:hAnsi="Calibri"/>
      <w:szCs w:val="22"/>
    </w:rPr>
  </w:style>
  <w:style w:type="paragraph" w:styleId="1358" w:customStyle="1">
    <w:name w:val="9-表目录"/>
    <w:basedOn w:val="834"/>
    <w:uiPriority w:val="99"/>
    <w:qFormat/>
    <w:pPr>
      <w:ind w:firstLine="480"/>
      <w:jc w:val="center"/>
      <w:spacing w:line="400" w:lineRule="exact"/>
    </w:pPr>
    <w:rPr>
      <w:rFonts w:ascii="Calibri" w:hAnsi="Calibri" w:cs="宋体"/>
      <w:sz w:val="24"/>
      <w:szCs w:val="20"/>
    </w:rPr>
  </w:style>
  <w:style w:type="paragraph" w:styleId="135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360" w:customStyle="1">
    <w:name w:val="正文 + 楷体_GB2312"/>
    <w:basedOn w:val="834"/>
    <w:uiPriority w:val="0"/>
    <w:qFormat/>
    <w:pPr>
      <w:jc w:val="left"/>
      <w:widowControl/>
    </w:pPr>
    <w:rPr>
      <w:rFonts w:ascii="楷体_GB2312" w:eastAsia="楷体_GB2312" w:cs="Arial"/>
      <w:sz w:val="24"/>
    </w:rPr>
  </w:style>
  <w:style w:type="paragraph" w:styleId="1361" w:customStyle="1">
    <w:name w:val="正文列项_数字"/>
    <w:basedOn w:val="834"/>
    <w:uiPriority w:val="0"/>
    <w:qFormat/>
    <w:pPr>
      <w:numPr>
        <w:ilvl w:val="7"/>
        <w:numId w:val="6"/>
      </w:numPr>
      <w:ind w:left="680" w:hanging="150"/>
      <w:spacing w:line="460" w:lineRule="exact"/>
      <w:tabs>
        <w:tab w:val="clear" w:pos="860" w:leader="none"/>
      </w:tabs>
      <w:outlineLvl w:val="7"/>
    </w:pPr>
    <w:rPr>
      <w:rFonts w:ascii="宋体"/>
      <w:sz w:val="28"/>
      <w:szCs w:val="20"/>
    </w:rPr>
  </w:style>
  <w:style w:type="paragraph" w:styleId="1362" w:customStyle="1">
    <w:name w:val="_Style 160"/>
    <w:uiPriority w:val="0"/>
    <w:qFormat/>
    <w:rPr>
      <w:rFonts w:ascii="Times New Roman" w:hAnsi="Times New Roman" w:eastAsia="宋体" w:cs="Times New Roman"/>
      <w:sz w:val="21"/>
      <w:szCs w:val="24"/>
      <w:lang w:val="en-US" w:eastAsia="zh-CN" w:bidi="ar-SA"/>
    </w:rPr>
  </w:style>
  <w:style w:type="paragraph" w:styleId="1363" w:customStyle="1">
    <w:name w:val="默认段落字体 Para Char Char Char Char"/>
    <w:basedOn w:val="834"/>
    <w:uiPriority w:val="0"/>
    <w:qFormat/>
    <w:rPr>
      <w:rFonts w:ascii="Arial" w:hAnsi="Arial" w:cs="Arial"/>
      <w:szCs w:val="21"/>
    </w:rPr>
  </w:style>
  <w:style w:type="paragraph" w:styleId="1364" w:customStyle="1">
    <w:name w:val="样式 宋体 五号 行距: 单倍行距"/>
    <w:basedOn w:val="834"/>
    <w:uiPriority w:val="0"/>
    <w:qFormat/>
    <w:pPr>
      <w:jc w:val="left"/>
    </w:pPr>
    <w:rPr>
      <w:rFonts w:ascii="宋体" w:hAnsi="宋体"/>
      <w:szCs w:val="20"/>
    </w:rPr>
  </w:style>
  <w:style w:type="paragraph" w:styleId="1365" w:customStyle="1">
    <w:name w:val="font8"/>
    <w:basedOn w:val="834"/>
    <w:uiPriority w:val="0"/>
    <w:qFormat/>
    <w:pPr>
      <w:jc w:val="left"/>
      <w:spacing w:before="100" w:beforeAutospacing="1" w:after="100" w:afterAutospacing="1"/>
      <w:widowControl/>
    </w:pPr>
    <w:rPr>
      <w:sz w:val="36"/>
      <w:szCs w:val="36"/>
    </w:rPr>
  </w:style>
  <w:style w:type="paragraph" w:styleId="1366" w:customStyle="1">
    <w:name w:val="表格文字"/>
    <w:basedOn w:val="1056"/>
    <w:uiPriority w:val="0"/>
    <w:qFormat/>
    <w:pPr>
      <w:ind w:firstLine="0"/>
      <w:spacing w:before="20" w:after="20" w:line="240" w:lineRule="auto"/>
    </w:pPr>
    <w:rPr>
      <w:rFonts w:ascii="Century Gothic" w:hAnsi="Century Gothic"/>
      <w:sz w:val="20"/>
      <w:szCs w:val="20"/>
    </w:rPr>
  </w:style>
  <w:style w:type="paragraph" w:styleId="1367" w:customStyle="1">
    <w:name w:val="正文 + 宋体"/>
    <w:basedOn w:val="834"/>
    <w:uiPriority w:val="0"/>
    <w:qFormat/>
    <w:pPr>
      <w:ind w:left="360" w:hanging="360"/>
      <w:jc w:val="left"/>
      <w:widowControl/>
    </w:pPr>
    <w:rPr>
      <w:rFonts w:ascii="宋体" w:hAnsi="宋体" w:cs="宋体"/>
      <w:b/>
      <w:bCs/>
      <w:color w:val="000000"/>
      <w:sz w:val="18"/>
      <w:szCs w:val="18"/>
    </w:rPr>
  </w:style>
  <w:style w:type="paragraph" w:styleId="1368" w:customStyle="1">
    <w:name w:val="xl51"/>
    <w:basedOn w:val="83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9" w:customStyle="1">
    <w:name w:val="xl26"/>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70" w:customStyle="1">
    <w:name w:val="Í¼±íÕýÎÄ"/>
    <w:basedOn w:val="834"/>
    <w:next w:val="1026"/>
    <w:uiPriority w:val="0"/>
    <w:qFormat/>
    <w:pPr>
      <w:ind w:firstLine="420"/>
    </w:pPr>
    <w:rPr>
      <w:sz w:val="24"/>
      <w:szCs w:val="20"/>
    </w:rPr>
  </w:style>
  <w:style w:type="paragraph" w:styleId="1371" w:customStyle="1">
    <w:name w:val="Char Char Char Char Char Char Char Char Char Char Char Char Char Char Char Char1"/>
    <w:basedOn w:val="834"/>
    <w:uiPriority w:val="0"/>
    <w:qFormat/>
    <w:pPr>
      <w:jc w:val="center"/>
      <w:spacing w:after="160" w:line="240" w:lineRule="exact"/>
      <w:widowControl/>
    </w:pPr>
    <w:rPr>
      <w:rFonts w:ascii="宋体" w:hAnsi="宋体"/>
      <w:b/>
      <w:sz w:val="30"/>
      <w:szCs w:val="30"/>
      <w:lang w:eastAsia="en-US"/>
    </w:rPr>
  </w:style>
  <w:style w:type="paragraph" w:styleId="1372" w:customStyle="1">
    <w:name w:val="font6"/>
    <w:basedOn w:val="834"/>
    <w:uiPriority w:val="0"/>
    <w:qFormat/>
    <w:pPr>
      <w:jc w:val="left"/>
      <w:spacing w:before="100" w:beforeAutospacing="1" w:after="100" w:afterAutospacing="1"/>
      <w:widowControl/>
    </w:pPr>
    <w:rPr>
      <w:rFonts w:ascii="宋体" w:hAnsi="宋体" w:cs="宋体"/>
      <w:sz w:val="20"/>
      <w:szCs w:val="20"/>
    </w:rPr>
  </w:style>
  <w:style w:type="paragraph" w:styleId="1373" w:customStyle="1">
    <w:name w:val="项目编号2"/>
    <w:basedOn w:val="1374"/>
    <w:uiPriority w:val="0"/>
    <w:qFormat/>
    <w:pPr>
      <w:numPr>
        <w:numId w:val="7"/>
      </w:numPr>
    </w:pPr>
  </w:style>
  <w:style w:type="paragraph" w:styleId="1374" w:customStyle="1">
    <w:name w:val="项目编号1"/>
    <w:basedOn w:val="834"/>
    <w:uiPriority w:val="0"/>
    <w:qFormat/>
    <w:pPr>
      <w:numPr>
        <w:ilvl w:val="0"/>
        <w:numId w:val="8"/>
      </w:numPr>
      <w:spacing w:before="100" w:beforeAutospacing="1" w:after="100" w:afterAutospacing="1" w:line="360" w:lineRule="auto"/>
    </w:pPr>
    <w:rPr>
      <w:sz w:val="24"/>
    </w:rPr>
  </w:style>
  <w:style w:type="paragraph" w:styleId="1375" w:customStyle="1">
    <w:name w:val="正文文本缩进2"/>
    <w:basedOn w:val="834"/>
    <w:uiPriority w:val="0"/>
    <w:qFormat/>
    <w:pPr>
      <w:ind w:firstLine="480"/>
      <w:spacing w:line="480" w:lineRule="exact"/>
    </w:pPr>
    <w:rPr>
      <w:rFonts w:ascii="宋体" w:hAnsi="宋体"/>
      <w:sz w:val="24"/>
      <w:lang w:val="zh-CN"/>
    </w:rPr>
  </w:style>
  <w:style w:type="paragraph" w:styleId="1376" w:customStyle="1">
    <w:name w:val="xl43"/>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77" w:customStyle="1">
    <w:name w:val="default"/>
    <w:basedOn w:val="834"/>
    <w:uiPriority w:val="0"/>
    <w:qFormat/>
    <w:pPr>
      <w:jc w:val="left"/>
      <w:spacing w:before="100" w:beforeAutospacing="1" w:after="100" w:afterAutospacing="1"/>
      <w:widowControl/>
    </w:pPr>
    <w:rPr>
      <w:rFonts w:ascii="宋体" w:hAnsi="宋体" w:cs="宋体"/>
      <w:sz w:val="24"/>
    </w:rPr>
  </w:style>
  <w:style w:type="paragraph" w:styleId="1378" w:customStyle="1">
    <w:name w:val="Char Char41"/>
    <w:basedOn w:val="834"/>
    <w:uiPriority w:val="0"/>
    <w:qFormat/>
    <w:pPr>
      <w:jc w:val="center"/>
      <w:spacing w:line="400" w:lineRule="exact"/>
      <w:widowControl/>
    </w:pPr>
  </w:style>
  <w:style w:type="paragraph" w:styleId="1379" w:customStyle="1">
    <w:name w:val="Char3"/>
    <w:basedOn w:val="834"/>
    <w:uiPriority w:val="0"/>
    <w:qFormat/>
    <w:pPr>
      <w:tabs>
        <w:tab w:val="left" w:pos="360" w:leader="none"/>
      </w:tabs>
    </w:pPr>
    <w:rPr>
      <w:sz w:val="24"/>
    </w:rPr>
  </w:style>
  <w:style w:type="paragraph" w:styleId="1380" w:customStyle="1">
    <w:name w:val="xl45"/>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81" w:customStyle="1">
    <w:name w:val="xl29"/>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82" w:customStyle="1">
    <w:name w:val="_Style 147"/>
    <w:next w:val="834"/>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383" w:customStyle="1">
    <w:name w:val="五级条标题"/>
    <w:basedOn w:val="1384"/>
    <w:next w:val="834"/>
    <w:uiPriority w:val="0"/>
    <w:qFormat/>
    <w:pPr>
      <w:numPr>
        <w:ilvl w:val="5"/>
      </w:numPr>
      <w:ind w:left="0" w:hanging="840"/>
      <w:tabs>
        <w:tab w:val="left" w:pos="360" w:leader="none"/>
        <w:tab w:val="left" w:pos="840" w:leader="none"/>
      </w:tabs>
      <w:outlineLvl w:val="5"/>
    </w:pPr>
  </w:style>
  <w:style w:type="paragraph" w:styleId="1384" w:customStyle="1">
    <w:name w:val="四级条标题"/>
    <w:basedOn w:val="1385"/>
    <w:next w:val="834"/>
    <w:uiPriority w:val="0"/>
    <w:qFormat/>
    <w:pPr>
      <w:numPr>
        <w:ilvl w:val="4"/>
      </w:numPr>
      <w:ind w:left="0" w:hanging="840"/>
      <w:tabs>
        <w:tab w:val="left" w:pos="360" w:leader="none"/>
        <w:tab w:val="left" w:pos="840" w:leader="none"/>
      </w:tabs>
      <w:outlineLvl w:val="4"/>
    </w:pPr>
  </w:style>
  <w:style w:type="paragraph" w:styleId="1385" w:customStyle="1">
    <w:name w:val="三级条标题"/>
    <w:basedOn w:val="1386"/>
    <w:next w:val="834"/>
    <w:uiPriority w:val="0"/>
    <w:qFormat/>
    <w:pPr>
      <w:numPr>
        <w:ilvl w:val="3"/>
        <w:numId w:val="6"/>
      </w:numPr>
      <w:ind w:left="0" w:hanging="840"/>
      <w:tabs>
        <w:tab w:val="left" w:pos="360" w:leader="none"/>
        <w:tab w:val="left" w:pos="840" w:leader="none"/>
      </w:tabs>
      <w:outlineLvl w:val="3"/>
    </w:pPr>
  </w:style>
  <w:style w:type="paragraph" w:styleId="1386" w:customStyle="1">
    <w:name w:val="二级条标题"/>
    <w:basedOn w:val="1320"/>
    <w:next w:val="834"/>
    <w:uiPriority w:val="0"/>
    <w:qFormat/>
    <w:pPr>
      <w:numPr>
        <w:ilvl w:val="0"/>
        <w:numId w:val="0"/>
      </w:numPr>
      <w:ind w:hanging="840"/>
      <w:outlineLvl w:val="2"/>
    </w:pPr>
    <w:rPr>
      <w:rFonts w:ascii="宋体" w:eastAsia="宋体"/>
      <w:b w:val="0"/>
    </w:rPr>
  </w:style>
  <w:style w:type="paragraph" w:styleId="1387" w:customStyle="1">
    <w:name w:val="字元 字元2"/>
    <w:basedOn w:val="834"/>
    <w:uiPriority w:val="0"/>
    <w:qFormat/>
    <w:rPr>
      <w:rFonts w:ascii="Tahoma" w:hAnsi="Tahoma"/>
      <w:sz w:val="24"/>
      <w:szCs w:val="20"/>
    </w:rPr>
  </w:style>
  <w:style w:type="paragraph" w:styleId="1388" w:customStyle="1">
    <w:name w:val="文档正文"/>
    <w:basedOn w:val="834"/>
    <w:uiPriority w:val="0"/>
    <w:qFormat/>
    <w:pPr>
      <w:spacing w:before="120" w:after="120" w:line="180" w:lineRule="auto"/>
    </w:pPr>
    <w:rPr>
      <w:rFonts w:ascii="Arial" w:hAnsi="Arial"/>
      <w:szCs w:val="20"/>
    </w:rPr>
  </w:style>
  <w:style w:type="paragraph" w:styleId="1389" w:customStyle="1">
    <w:name w:val="xl30"/>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0" w:customStyle="1">
    <w:name w:val="修订11"/>
    <w:uiPriority w:val="99"/>
    <w:qFormat/>
    <w:rPr>
      <w:rFonts w:ascii="Times New Roman" w:hAnsi="Times New Roman" w:eastAsia="宋体" w:cs="Times New Roman"/>
      <w:sz w:val="21"/>
      <w:szCs w:val="24"/>
      <w:lang w:val="en-US" w:eastAsia="zh-CN" w:bidi="ar-SA"/>
    </w:rPr>
  </w:style>
  <w:style w:type="paragraph" w:styleId="1391" w:customStyle="1">
    <w:name w:val="xl37"/>
    <w:basedOn w:val="83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92" w:customStyle="1">
    <w:name w:val="字元 字元"/>
    <w:basedOn w:val="834"/>
    <w:uiPriority w:val="0"/>
    <w:qFormat/>
    <w:rPr>
      <w:rFonts w:ascii="Tahoma" w:hAnsi="Tahoma"/>
      <w:sz w:val="24"/>
      <w:szCs w:val="20"/>
    </w:rPr>
  </w:style>
  <w:style w:type="paragraph" w:styleId="1393" w:customStyle="1">
    <w:name w:val="Char Char Char Char Char Char Char"/>
    <w:basedOn w:val="834"/>
    <w:uiPriority w:val="0"/>
    <w:qFormat/>
    <w:pPr>
      <w:ind w:firstLine="200"/>
      <w:spacing w:line="360" w:lineRule="auto"/>
    </w:pPr>
    <w:rPr>
      <w:rFonts w:eastAsia="仿宋_GB2312"/>
      <w:sz w:val="24"/>
    </w:rPr>
  </w:style>
  <w:style w:type="paragraph" w:styleId="1394" w:customStyle="1">
    <w:name w:val="Char"/>
    <w:basedOn w:val="834"/>
    <w:uiPriority w:val="0"/>
    <w:qFormat/>
    <w:pPr>
      <w:tabs>
        <w:tab w:val="left" w:pos="360" w:leader="none"/>
      </w:tabs>
    </w:pPr>
    <w:rPr>
      <w:sz w:val="24"/>
    </w:rPr>
  </w:style>
  <w:style w:type="paragraph" w:styleId="1395" w:customStyle="1">
    <w:name w:val="xl31"/>
    <w:basedOn w:val="83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6" w:customStyle="1">
    <w:name w:val="附言"/>
    <w:basedOn w:val="834"/>
    <w:next w:val="834"/>
    <w:uiPriority w:val="0"/>
    <w:qFormat/>
    <w:pPr>
      <w:jc w:val="center"/>
    </w:pPr>
    <w:rPr>
      <w:rFonts w:ascii="宋体" w:hAnsi="宋体"/>
    </w:rPr>
  </w:style>
  <w:style w:type="paragraph" w:styleId="1397" w:customStyle="1">
    <w:name w:val="图例"/>
    <w:basedOn w:val="834"/>
    <w:uiPriority w:val="0"/>
    <w:qFormat/>
    <w:pPr>
      <w:jc w:val="center"/>
      <w:spacing w:before="120" w:after="120" w:line="360" w:lineRule="auto"/>
    </w:pPr>
    <w:rPr>
      <w:rFonts w:eastAsia="仿宋_GB2312"/>
      <w:b/>
      <w:sz w:val="24"/>
      <w:szCs w:val="20"/>
    </w:rPr>
  </w:style>
  <w:style w:type="paragraph" w:styleId="1398" w:customStyle="1">
    <w:name w:val="xl40"/>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9" w:customStyle="1">
    <w:name w:val="background1"/>
    <w:basedOn w:val="834"/>
    <w:uiPriority w:val="0"/>
    <w:qFormat/>
    <w:pPr>
      <w:jc w:val="left"/>
      <w:spacing w:before="100" w:beforeAutospacing="1" w:after="100" w:afterAutospacing="1"/>
      <w:widowControl/>
    </w:pPr>
    <w:rPr>
      <w:rFonts w:ascii="宋体" w:hAnsi="宋体" w:cs="宋体"/>
      <w:sz w:val="24"/>
    </w:rPr>
  </w:style>
  <w:style w:type="paragraph" w:styleId="1400" w:customStyle="1">
    <w:name w:val="无标题条"/>
    <w:next w:val="834"/>
    <w:uiPriority w:val="0"/>
    <w:qFormat/>
    <w:pPr>
      <w:jc w:val="both"/>
    </w:pPr>
    <w:rPr>
      <w:rFonts w:ascii="Times New Roman" w:hAnsi="Times New Roman" w:eastAsia="宋体" w:cs="Times New Roman"/>
      <w:sz w:val="21"/>
      <w:lang w:val="en-US" w:eastAsia="zh-CN" w:bidi="ar-SA"/>
    </w:rPr>
  </w:style>
  <w:style w:type="paragraph" w:styleId="1401" w:customStyle="1">
    <w:name w:val="xl47"/>
    <w:basedOn w:val="8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2" w:customStyle="1">
    <w:name w:val="xl32"/>
    <w:basedOn w:val="83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03" w:customStyle="1">
    <w:name w:val="表格侧编号"/>
    <w:next w:val="834"/>
    <w:uiPriority w:val="0"/>
    <w:qFormat/>
    <w:pPr>
      <w:jc w:val="center"/>
      <w:widowControl w:val="off"/>
      <w:tabs>
        <w:tab w:val="left" w:pos="314" w:leader="none"/>
      </w:tabs>
    </w:pPr>
    <w:rPr>
      <w:rFonts w:ascii="宋体" w:hAnsi="宋体" w:eastAsia="宋体" w:cs="Times New Roman"/>
      <w:bCs/>
      <w:color w:val="000000"/>
      <w:sz w:val="30"/>
      <w:szCs w:val="30"/>
      <w:lang w:val="en-US" w:eastAsia="zh-CN" w:bidi="ar-SA"/>
    </w:rPr>
  </w:style>
  <w:style w:type="paragraph" w:styleId="1404" w:customStyle="1">
    <w:name w:val="font7"/>
    <w:basedOn w:val="834"/>
    <w:uiPriority w:val="0"/>
    <w:qFormat/>
    <w:pPr>
      <w:jc w:val="left"/>
      <w:spacing w:before="100" w:beforeAutospacing="1" w:after="100" w:afterAutospacing="1"/>
      <w:widowControl/>
    </w:pPr>
    <w:rPr>
      <w:rFonts w:eastAsia="Arial Unicode MS"/>
      <w:b/>
      <w:bCs/>
      <w:color w:val="000000"/>
      <w:sz w:val="20"/>
      <w:szCs w:val="20"/>
    </w:rPr>
  </w:style>
  <w:style w:type="paragraph" w:styleId="1405" w:customStyle="1">
    <w:name w:val="Char Char Char Char Char Char Char2"/>
    <w:basedOn w:val="834"/>
    <w:uiPriority w:val="0"/>
    <w:qFormat/>
    <w:pPr>
      <w:ind w:firstLine="200"/>
      <w:spacing w:line="360" w:lineRule="auto"/>
    </w:pPr>
    <w:rPr>
      <w:rFonts w:eastAsia="仿宋_GB2312"/>
      <w:sz w:val="24"/>
    </w:rPr>
  </w:style>
  <w:style w:type="paragraph" w:styleId="1406" w:customStyle="1">
    <w:name w:val="xl38"/>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407" w:customStyle="1">
    <w:name w:val="font9"/>
    <w:basedOn w:val="83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08" w:customStyle="1">
    <w:name w:val="默认段落字体 Para Char Char Char Char Char Char Char Char Char1 Char Char Char Char Char Char Char"/>
    <w:basedOn w:val="1048"/>
    <w:uiPriority w:val="0"/>
    <w:qFormat/>
    <w:rPr>
      <w:rFonts w:ascii="Tahoma" w:hAnsi="Tahoma"/>
      <w:sz w:val="24"/>
    </w:rPr>
  </w:style>
  <w:style w:type="paragraph" w:styleId="1409" w:customStyle="1">
    <w:name w:val="正文缩进2"/>
    <w:basedOn w:val="834"/>
    <w:uiPriority w:val="0"/>
    <w:qFormat/>
    <w:pPr>
      <w:ind w:firstLine="567"/>
      <w:spacing w:line="480" w:lineRule="exact"/>
      <w:widowControl/>
    </w:pPr>
    <w:rPr>
      <w:rFonts w:ascii="宋体"/>
      <w:color w:val="000000"/>
      <w:sz w:val="28"/>
      <w:szCs w:val="20"/>
      <w:lang w:val="zh-CN"/>
    </w:rPr>
  </w:style>
  <w:style w:type="paragraph" w:styleId="1410" w:customStyle="1">
    <w:name w:val="xl27"/>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1" w:customStyle="1">
    <w:name w:val="列出段落3"/>
    <w:basedOn w:val="834"/>
    <w:uiPriority w:val="34"/>
    <w:qFormat/>
    <w:pPr>
      <w:ind w:left="420" w:hanging="420"/>
      <w:tabs>
        <w:tab w:val="left" w:pos="425" w:leader="none"/>
      </w:tabs>
    </w:pPr>
  </w:style>
  <w:style w:type="paragraph" w:styleId="1412" w:customStyle="1">
    <w:name w:val="标题1-附件"/>
    <w:basedOn w:val="1023"/>
    <w:uiPriority w:val="0"/>
    <w:qFormat/>
    <w:pPr>
      <w:jc w:val="left"/>
    </w:pPr>
    <w:rPr>
      <w:sz w:val="24"/>
      <w:szCs w:val="24"/>
    </w:rPr>
  </w:style>
  <w:style w:type="paragraph" w:styleId="1413" w:customStyle="1">
    <w:name w:val="cjk"/>
    <w:basedOn w:val="834"/>
    <w:uiPriority w:val="0"/>
    <w:qFormat/>
    <w:pPr>
      <w:spacing w:before="100" w:beforeAutospacing="1" w:after="119"/>
      <w:widowControl/>
    </w:pPr>
    <w:rPr>
      <w:rFonts w:ascii="宋体" w:hAnsi="宋体" w:cs="宋体"/>
      <w:color w:val="000000"/>
      <w:sz w:val="28"/>
      <w:szCs w:val="28"/>
    </w:rPr>
  </w:style>
  <w:style w:type="paragraph" w:styleId="1414" w:customStyle="1">
    <w:name w:val="Char Char Char1"/>
    <w:basedOn w:val="834"/>
    <w:uiPriority w:val="0"/>
    <w:qFormat/>
    <w:rPr>
      <w:rFonts w:ascii="Tahoma" w:hAnsi="Tahoma"/>
      <w:sz w:val="24"/>
      <w:szCs w:val="20"/>
    </w:rPr>
  </w:style>
  <w:style w:type="paragraph" w:styleId="1415" w:customStyle="1">
    <w:name w:val="xl39"/>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16" w:customStyle="1">
    <w:name w:val="dbchf15cgrid sbasedon0 s"/>
    <w:uiPriority w:val="0"/>
    <w:qFormat/>
    <w:pPr>
      <w:jc w:val="both"/>
      <w:widowControl w:val="off"/>
    </w:pPr>
    <w:rPr>
      <w:rFonts w:ascii="宋体" w:hAnsi="Times New Roman" w:eastAsia="宋体" w:cs="Times New Roman"/>
      <w:spacing w:val="5"/>
      <w:sz w:val="21"/>
      <w:lang w:val="en-US" w:eastAsia="zh-CN" w:bidi="ar-SA"/>
    </w:rPr>
  </w:style>
  <w:style w:type="paragraph" w:styleId="1417" w:customStyle="1">
    <w:name w:val="样式 标题 2 + 宋体 五号 行距: 单倍行距"/>
    <w:basedOn w:val="1024"/>
    <w:uiPriority w:val="0"/>
    <w:qFormat/>
    <w:pPr>
      <w:numPr>
        <w:ilvl w:val="1"/>
        <w:numId w:val="9"/>
      </w:numPr>
      <w:jc w:val="left"/>
      <w:spacing w:before="260" w:after="260" w:line="240" w:lineRule="auto"/>
    </w:pPr>
    <w:rPr>
      <w:rFonts w:ascii="宋体" w:hAnsi="宋体" w:eastAsia="宋体"/>
      <w:bCs/>
      <w:sz w:val="21"/>
    </w:rPr>
  </w:style>
  <w:style w:type="paragraph" w:styleId="1418" w:customStyle="1">
    <w:name w:val="Char Char1"/>
    <w:basedOn w:val="1048"/>
    <w:uiPriority w:val="0"/>
    <w:qFormat/>
    <w:rPr>
      <w:rFonts w:ascii="Tahoma" w:hAnsi="Tahoma"/>
      <w:sz w:val="24"/>
    </w:rPr>
  </w:style>
  <w:style w:type="table" w:styleId="141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20" w:customStyle="1">
    <w:name w:val="ds-markdown-paragraph"/>
    <w:basedOn w:val="834"/>
    <w:uiPriority w:val="0"/>
    <w:qFormat/>
    <w:pPr>
      <w:jc w:val="left"/>
      <w:spacing w:before="100" w:beforeAutospacing="1" w:after="100" w:afterAutospacing="1"/>
      <w:widowControl/>
    </w:pPr>
    <w:rPr>
      <w:rFonts w:ascii="宋体" w:hAnsi="宋体" w:cs="宋体"/>
      <w:sz w:val="24"/>
      <w:szCs w:val="21"/>
    </w:rPr>
  </w:style>
  <w:style w:type="character" w:styleId="1421" w:customStyle="1">
    <w:name w:val="批注框文本 Char1"/>
    <w:basedOn w:val="844"/>
    <w:link w:val="856"/>
    <w:uiPriority w:val="99"/>
    <w:semiHidden/>
    <w:qFormat/>
    <w:rPr>
      <w:sz w:val="18"/>
      <w:szCs w:val="18"/>
    </w:rPr>
  </w:style>
  <w:style w:type="character" w:styleId="1422" w:customStyle="1">
    <w:name w:val="文档结构图 Char1"/>
    <w:basedOn w:val="844"/>
    <w:link w:val="848"/>
    <w:uiPriority w:val="99"/>
    <w:semiHidden/>
    <w:qFormat/>
    <w:rPr>
      <w:rFonts w:ascii="宋体"/>
      <w:sz w:val="18"/>
      <w:szCs w:val="18"/>
    </w:rPr>
  </w:style>
  <w:style w:type="numbering" w:styleId="148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朱丹俊</cp:lastModifiedBy>
  <cp:revision>66</cp:revision>
  <dcterms:created xsi:type="dcterms:W3CDTF">2024-04-12T00:42:00Z</dcterms:created>
  <dcterms:modified xsi:type="dcterms:W3CDTF">2026-08-07T05:51:38Z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eyJoZGlkIjoiZmY5NmM4YTI2NmYyZTM5NzY0NjJiMmRiZGU4NjYxZDEiLCJ1c2VySWQiOiI4MjU2MzkzOTcifQ==</vt:lpwstr>
  </property>
  <property fmtid="{D5CDD505-2E9C-101B-9397-08002B2CF9AE}" pid="3" name="KSOProductBuildVer">
    <vt:lpwstr>2052-12.1.0.26895</vt:lpwstr>
  </property>
  <property fmtid="{D5CDD505-2E9C-101B-9397-08002B2CF9AE}" pid="4" name="ICV">
    <vt:lpwstr>A72025BAD9244DCFB7249C35AEC2478C_13</vt:lpwstr>
  </property>
</Properties>
</file>