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项目编号：JSZC-320115-NSZX-G2026-</w:t>
            </w:r>
            <w:r>
              <w:rPr>
                <w:rStyle w:val="1123"/>
                <w:rFonts w:ascii="黑体" w:eastAsia="黑体"/>
                <w:sz w:val="40"/>
              </w:rPr>
              <w:t xml:space="preserve">0020</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hint="eastAsia" w:ascii="黑体" w:eastAsia="黑体"/>
                <w:sz w:val="40"/>
              </w:rPr>
              <w:t xml:space="preserve">泥塘文齐实验、芳园吉山金乌、22</w:t>
            </w:r>
            <w:r>
              <w:rPr>
                <w:rStyle w:val="1123"/>
                <w:rFonts w:hint="eastAsia" w:ascii="黑体" w:eastAsia="黑体"/>
                <w:sz w:val="40"/>
              </w:rPr>
              <w:t xml:space="preserve">农路宁马</w:t>
            </w:r>
            <w:r>
              <w:rPr>
                <w:rStyle w:val="1123"/>
                <w:rFonts w:hint="eastAsia" w:ascii="黑体" w:eastAsia="黑体"/>
                <w:sz w:val="40"/>
              </w:rPr>
              <w:t xml:space="preserve">、飞天大道九龙湖市政19道路结算审计服务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八</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泥塘文齐实验、芳园吉山金乌、22</w:t>
      </w:r>
      <w:r>
        <w:rPr>
          <w:rFonts w:hint="eastAsia"/>
          <w:bCs/>
          <w:u w:val="single"/>
        </w:rPr>
        <w:t xml:space="preserve">农路宁马</w:t>
      </w:r>
      <w:r>
        <w:rPr>
          <w:rFonts w:hint="eastAsia"/>
          <w:bCs/>
          <w:u w:val="single"/>
        </w:rPr>
        <w:t xml:space="preserve">、飞天大道九龙湖市政19道路结算审计服务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0020</w:t>
      </w:r>
      <w:r/>
    </w:p>
    <w:p>
      <w:pPr>
        <w:ind w:firstLine="560"/>
        <w:jc w:val="both"/>
        <w:spacing w:line="240" w:lineRule="exact"/>
      </w:pPr>
      <w:r>
        <w:rPr>
          <w:rFonts w:hint="eastAsia"/>
        </w:rPr>
        <w:t xml:space="preserve">项目名称：泥塘文齐实验、芳园吉山金乌、</w:t>
      </w:r>
      <w:r>
        <w:t xml:space="preserve">22</w:t>
      </w:r>
      <w:r>
        <w:rPr>
          <w:rFonts w:hint="eastAsia"/>
        </w:rPr>
        <w:t xml:space="preserve">农路宁马</w:t>
      </w:r>
      <w:r>
        <w:rPr>
          <w:rFonts w:hint="eastAsia"/>
        </w:rPr>
        <w:t xml:space="preserve">、飞天大道九龙湖市政</w:t>
      </w:r>
      <w:r>
        <w:t xml:space="preserve">19道路结算审计服务</w:t>
      </w:r>
      <w:r/>
    </w:p>
    <w:p>
      <w:pPr>
        <w:ind w:firstLine="560"/>
        <w:jc w:val="both"/>
        <w:spacing w:line="240" w:lineRule="exact"/>
        <w:rPr>
          <w:lang w:val="en-US"/>
        </w:rPr>
      </w:pPr>
      <w:r>
        <w:rPr>
          <w:rFonts w:hint="eastAsia"/>
        </w:rPr>
        <w:t xml:space="preserve">预算金额：</w:t>
      </w:r>
      <w:r>
        <w:rPr>
          <w:lang w:val="en-US"/>
        </w:rPr>
        <w:t xml:space="preserve">392</w:t>
      </w:r>
      <w:r>
        <w:rPr>
          <w:rFonts w:hint="eastAsia"/>
          <w:lang w:val="en-US"/>
        </w:rPr>
        <w:t xml:space="preserve">万元，其中包一</w:t>
      </w:r>
      <w:r>
        <w:rPr>
          <w:lang w:val="en-US"/>
        </w:rPr>
        <w:t xml:space="preserve">98万元、包二86万元、包三112万元、包四96</w:t>
      </w:r>
      <w:r>
        <w:rPr>
          <w:rFonts w:hint="eastAsia"/>
          <w:lang w:val="en-US"/>
        </w:rPr>
        <w:t xml:space="preserve">万元。（核减率暂按</w:t>
      </w:r>
      <w:r>
        <w:rPr>
          <w:lang w:val="en-US"/>
        </w:rPr>
        <w:t xml:space="preserve">5%计算，预算金额</w:t>
      </w:r>
      <w:bookmarkStart w:id="1" w:name="_GoBack"/>
      <w:r/>
      <w:bookmarkEnd w:id="1"/>
      <w:r>
        <w:rPr>
          <w:lang w:val="en-US"/>
        </w:rPr>
        <w:t xml:space="preserve">按</w:t>
      </w:r>
      <w:r>
        <w:t xml:space="preserve">“苏价服</w:t>
      </w:r>
      <w:r>
        <w:rPr>
          <w:rFonts w:hint="eastAsia"/>
        </w:rPr>
        <w:t xml:space="preserve">〔</w:t>
      </w:r>
      <w:r>
        <w:t xml:space="preserve">2014〕383号文件”中工程结算审核（基本收费+效益收费）收费标准</w:t>
      </w:r>
      <w:r>
        <w:rPr>
          <w:rFonts w:hint="eastAsia"/>
          <w:lang w:val="en-US"/>
        </w:rPr>
        <w:t xml:space="preserve">×</w:t>
      </w:r>
      <w:r>
        <w:rPr>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392</w:t>
      </w:r>
      <w:r>
        <w:rPr>
          <w:rFonts w:hint="eastAsia"/>
          <w:lang w:val="en-US"/>
        </w:rPr>
        <w:t xml:space="preserve">万元，其中包一</w:t>
      </w:r>
      <w:r>
        <w:rPr>
          <w:lang w:val="en-US"/>
        </w:rPr>
        <w:t xml:space="preserve">98万元、包二86万元、包三112万元、包四96万元</w:t>
      </w:r>
      <w:r>
        <w:rPr>
          <w:rFonts w:hint="eastAsia"/>
          <w:lang w:val="en-US"/>
        </w:rPr>
        <w:t xml:space="preserve">。</w:t>
      </w:r>
      <w:r>
        <w:rPr>
          <w:rFonts w:hint="eastAsia" w:cs="Times New Roman"/>
          <w:lang w:val="en-US"/>
        </w:rPr>
        <w:t xml:space="preserve">本项目投标报价中“价格系数”最高为</w:t>
      </w:r>
      <w:r>
        <w:rPr>
          <w:rFonts w:cs="Times New Roman"/>
          <w:lang w:val="en-US"/>
        </w:rPr>
        <w:t xml:space="preserve">60%</w:t>
      </w:r>
      <w:r/>
    </w:p>
    <w:p>
      <w:pPr>
        <w:ind w:firstLine="560"/>
        <w:jc w:val="both"/>
        <w:spacing w:line="240" w:lineRule="exact"/>
      </w:pPr>
      <w:r>
        <w:rPr>
          <w:rFonts w:hint="eastAsia"/>
        </w:rPr>
        <w:t xml:space="preserve">采购需求：泥塘文齐实验、芳园吉山金乌、</w:t>
      </w:r>
      <w:r>
        <w:t xml:space="preserve">22</w:t>
      </w:r>
      <w:r>
        <w:t xml:space="preserve">农路宁马</w:t>
      </w:r>
      <w:r>
        <w:t xml:space="preserve">、飞天大道九龙湖市政19道路结算审计服务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合同履行期限：自签订合同后6个月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8</w:t>
      </w:r>
      <w:r>
        <w:rPr>
          <w:rFonts w:cs="仿宋"/>
          <w:b/>
          <w:u w:val="single"/>
          <w:lang w:val="en-US"/>
        </w:rPr>
        <w:t xml:space="preserve">月</w:t>
      </w:r>
      <w:r>
        <w:rPr>
          <w:rFonts w:hint="eastAsia" w:cs="仿宋"/>
          <w:b/>
          <w:u w:val="single"/>
          <w:lang w:val="en-US"/>
        </w:rPr>
        <w:t xml:space="preserve">26</w:t>
      </w:r>
      <w:r>
        <w:rPr>
          <w:rFonts w:cs="仿宋"/>
          <w:b/>
          <w:u w:val="single"/>
          <w:lang w:val="en-US"/>
        </w:rPr>
        <w:t xml:space="preserve">日9</w:t>
      </w:r>
      <w:r>
        <w:rPr>
          <w:rFonts w:hint="eastAsia" w:cs="仿宋"/>
          <w:b/>
          <w:u w:val="single"/>
        </w:rPr>
        <w:t xml:space="preserve">点</w:t>
      </w:r>
      <w:r>
        <w:rPr>
          <w:rFonts w:cs="仿宋"/>
          <w:b/>
          <w:u w:val="single"/>
          <w:lang w:val="en-US"/>
        </w:rPr>
        <w:t xml:space="preserve">00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w:t>
      </w:r>
      <w:r>
        <w:rPr>
          <w:rFonts w:hint="eastAsia" w:cs="仿宋"/>
          <w:spacing w:val="-3"/>
          <w:sz w:val="24"/>
          <w:szCs w:val="24"/>
          <w:lang w:val="en-US"/>
        </w:rPr>
        <w:t xml:space="preserve">本项目招标代理费以预算金额为基础，参照江苏省政府采购协会关于印发《江苏省政府采购代理服务收费指导意见》的通知（苏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12160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10720</w:t>
      </w:r>
      <w:r>
        <w:rPr>
          <w:rFonts w:cs="仿宋"/>
          <w:spacing w:val="-3"/>
          <w:sz w:val="24"/>
          <w:szCs w:val="24"/>
          <w:lang w:val="en-US"/>
        </w:rPr>
        <w:t xml:space="preserve">元、</w:t>
      </w:r>
      <w:r>
        <w:rPr>
          <w:rFonts w:hint="eastAsia" w:cs="仿宋"/>
          <w:spacing w:val="-3"/>
          <w:sz w:val="24"/>
          <w:szCs w:val="24"/>
          <w:lang w:val="en-US"/>
        </w:rPr>
        <w:t xml:space="preserve">包三</w:t>
      </w:r>
      <w:r>
        <w:rPr>
          <w:rFonts w:cs="仿宋"/>
          <w:spacing w:val="-3"/>
          <w:sz w:val="24"/>
          <w:szCs w:val="24"/>
          <w:lang w:val="en-US"/>
        </w:rPr>
        <w:t xml:space="preserve">13840</w:t>
      </w:r>
      <w:r>
        <w:rPr>
          <w:rFonts w:cs="仿宋"/>
          <w:spacing w:val="-3"/>
          <w:sz w:val="24"/>
          <w:szCs w:val="24"/>
          <w:lang w:val="en-US"/>
        </w:rPr>
        <w:t xml:space="preserve">元、</w:t>
      </w:r>
      <w:r>
        <w:rPr>
          <w:rFonts w:hint="eastAsia" w:cs="仿宋"/>
          <w:spacing w:val="-3"/>
          <w:sz w:val="24"/>
          <w:szCs w:val="24"/>
          <w:lang w:val="en-US"/>
        </w:rPr>
        <w:t xml:space="preserve">包四</w:t>
      </w:r>
      <w:r>
        <w:rPr>
          <w:rFonts w:cs="仿宋"/>
          <w:spacing w:val="-3"/>
          <w:sz w:val="24"/>
          <w:szCs w:val="24"/>
          <w:lang w:val="en-US"/>
        </w:rPr>
        <w:t xml:space="preserve">11920</w:t>
      </w:r>
      <w:r>
        <w:rPr>
          <w:rFonts w:hint="eastAsia" w:cs="仿宋"/>
          <w:spacing w:val="-3"/>
          <w:sz w:val="24"/>
          <w:szCs w:val="24"/>
          <w:lang w:val="en-US"/>
        </w:rPr>
        <w:t xml:space="preserve">元</w:t>
      </w:r>
      <w:r>
        <w:rPr>
          <w:rFonts w:cs="仿宋"/>
          <w:spacing w:val="-3"/>
          <w:sz w:val="24"/>
          <w:szCs w:val="24"/>
          <w:lang w:val="en-US"/>
        </w:rPr>
        <w:t xml:space="preserve">。本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w:t>
      </w:r>
      <w:r>
        <w:rPr>
          <w:rFonts w:hint="eastAsia"/>
          <w:bCs/>
          <w:spacing w:val="-1"/>
          <w:sz w:val="24"/>
          <w:szCs w:val="24"/>
          <w:lang w:val="en-US" w:eastAsia="zh-CN"/>
        </w:rPr>
        <w:t xml:space="preserve">表</w:t>
      </w:r>
      <w:r>
        <w:rPr>
          <w:rFonts w:hint="eastAsia"/>
          <w:bCs/>
          <w:spacing w:val="-1"/>
          <w:sz w:val="24"/>
          <w:szCs w:val="24"/>
          <w:lang w:val="en-US" w:eastAsia="zh-CN"/>
        </w:rPr>
        <w:t xml:space="preserve">》；</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w:t>
      </w:r>
      <w:r>
        <w:rPr>
          <w:rFonts w:cs="仿宋"/>
          <w:spacing w:val="-3"/>
          <w:sz w:val="24"/>
          <w:szCs w:val="24"/>
          <w:lang w:val="en-US"/>
        </w:rPr>
        <w:t xml:space="preserve">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进行评审排序，再对包二、包三、包四依次评审排序，同一投标人不可兼中多个包，前一个采购包中排名第一的供应商不参与后续采购包的评审排序。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子项目如下：</w:t>
      </w:r>
      <w:r/>
    </w:p>
    <w:p>
      <w:pPr>
        <w:ind w:firstLine="480"/>
        <w:jc w:val="both"/>
        <w:spacing w:line="288" w:lineRule="auto"/>
        <w:rPr>
          <w:sz w:val="24"/>
          <w:szCs w:val="24"/>
        </w:rPr>
      </w:pPr>
      <w:r>
        <w:rPr>
          <w:sz w:val="24"/>
          <w:szCs w:val="24"/>
        </w:rPr>
        <w:t xml:space="preserve">1、</w:t>
      </w:r>
      <w:r>
        <w:rPr>
          <w:rFonts w:hint="eastAsia"/>
          <w:sz w:val="24"/>
          <w:szCs w:val="24"/>
        </w:rPr>
        <w:t xml:space="preserve">南京市泥塘初级中学新建工程项目工程总承包（装配式）工程按照基本建设程序由南京市江宁区教育局投资建设，已经江宁发</w:t>
      </w:r>
      <w:r>
        <w:rPr>
          <w:rFonts w:hint="eastAsia"/>
          <w:sz w:val="24"/>
          <w:szCs w:val="24"/>
        </w:rPr>
        <w:t xml:space="preserve">改投字【</w:t>
      </w:r>
      <w:r>
        <w:rPr>
          <w:sz w:val="24"/>
          <w:szCs w:val="24"/>
        </w:rPr>
        <w:t xml:space="preserve">2018】</w:t>
      </w:r>
      <w:r>
        <w:rPr>
          <w:sz w:val="24"/>
          <w:szCs w:val="24"/>
        </w:rPr>
        <w:t xml:space="preserve">64</w:t>
      </w:r>
      <w:r>
        <w:rPr>
          <w:sz w:val="24"/>
          <w:szCs w:val="24"/>
        </w:rPr>
        <w:t xml:space="preserve">号</w:t>
      </w:r>
      <w:r>
        <w:rPr>
          <w:sz w:val="24"/>
          <w:szCs w:val="24"/>
        </w:rPr>
        <w:t xml:space="preserve">批文批准立项；计划总投资22735万元；资金来源为财政；跟踪审计初步审定价为16240.946842万元。</w:t>
      </w:r>
      <w:r/>
    </w:p>
    <w:p>
      <w:pPr>
        <w:ind w:firstLine="480"/>
        <w:jc w:val="both"/>
        <w:spacing w:line="288" w:lineRule="auto"/>
        <w:rPr>
          <w:sz w:val="24"/>
          <w:szCs w:val="24"/>
        </w:rPr>
      </w:pPr>
      <w:r>
        <w:rPr>
          <w:sz w:val="24"/>
          <w:szCs w:val="24"/>
        </w:rPr>
        <w:t xml:space="preserve">2.</w:t>
      </w:r>
      <w:r>
        <w:rPr>
          <w:rFonts w:hint="eastAsia"/>
          <w:sz w:val="24"/>
          <w:szCs w:val="24"/>
        </w:rPr>
        <w:t xml:space="preserve">南京市文齐路小学建设工程项目工程按照基本建设程序由南京市江宁区教育局</w:t>
      </w:r>
      <w:r>
        <w:rPr>
          <w:rFonts w:hint="eastAsia"/>
          <w:sz w:val="24"/>
          <w:szCs w:val="24"/>
        </w:rPr>
        <w:t xml:space="preserve">投资建设</w:t>
      </w:r>
      <w:r>
        <w:rPr>
          <w:rFonts w:hint="eastAsia"/>
          <w:sz w:val="24"/>
          <w:szCs w:val="24"/>
        </w:rPr>
        <w:t xml:space="preserve">，已经南京市江宁区高新技术产业开发区管理委员会文件（江宁高新管复【</w:t>
      </w:r>
      <w:r>
        <w:rPr>
          <w:sz w:val="24"/>
          <w:szCs w:val="24"/>
        </w:rPr>
        <w:t xml:space="preserve">2021】7号）批文批准立项；计划总投资18900万元；资金来源为财政；跟踪审计初步审定价为14918.285096万元。</w:t>
      </w:r>
      <w:r/>
    </w:p>
    <w:p>
      <w:pPr>
        <w:ind w:firstLine="480"/>
        <w:jc w:val="both"/>
        <w:spacing w:line="288" w:lineRule="auto"/>
        <w:rPr>
          <w:sz w:val="24"/>
          <w:szCs w:val="24"/>
        </w:rPr>
      </w:pPr>
      <w:r>
        <w:rPr>
          <w:sz w:val="24"/>
          <w:szCs w:val="24"/>
        </w:rPr>
        <w:t xml:space="preserve">3. </w:t>
      </w:r>
      <w:r>
        <w:rPr>
          <w:rFonts w:hint="eastAsia"/>
          <w:sz w:val="24"/>
          <w:szCs w:val="24"/>
        </w:rPr>
        <w:t xml:space="preserve">南京市江宁实验小学整体改扩建工程项目综合楼改造及食堂体育馆（含风雨操场）、一期地下车库新建工程总承包工程按照基本建设程序由南京市江宁区教育局投资建设，已经江宁发</w:t>
      </w:r>
      <w:r>
        <w:rPr>
          <w:rFonts w:hint="eastAsia"/>
          <w:sz w:val="24"/>
          <w:szCs w:val="24"/>
        </w:rPr>
        <w:t xml:space="preserve">改投字【</w:t>
      </w:r>
      <w:r>
        <w:rPr>
          <w:sz w:val="24"/>
          <w:szCs w:val="24"/>
        </w:rPr>
        <w:t xml:space="preserve">2018】</w:t>
      </w:r>
      <w:r>
        <w:rPr>
          <w:sz w:val="24"/>
          <w:szCs w:val="24"/>
        </w:rPr>
        <w:t xml:space="preserve">112</w:t>
      </w:r>
      <w:r>
        <w:rPr>
          <w:sz w:val="24"/>
          <w:szCs w:val="24"/>
        </w:rPr>
        <w:t xml:space="preserve">号</w:t>
      </w:r>
      <w:r>
        <w:rPr>
          <w:sz w:val="24"/>
          <w:szCs w:val="24"/>
        </w:rPr>
        <w:t xml:space="preserve">批文批准立项；计划总投资25000万元；资金来源为区财政资金；跟踪审计初步审定价为9962.908551万元。</w:t>
      </w:r>
      <w:r/>
    </w:p>
    <w:p>
      <w:pPr>
        <w:ind w:firstLine="480"/>
        <w:jc w:val="both"/>
        <w:spacing w:line="288" w:lineRule="auto"/>
        <w:rPr>
          <w:sz w:val="24"/>
          <w:szCs w:val="24"/>
        </w:rPr>
      </w:pPr>
      <w:r>
        <w:rPr>
          <w:sz w:val="24"/>
          <w:szCs w:val="24"/>
        </w:rPr>
        <w:t xml:space="preserve">4.</w:t>
      </w:r>
      <w:r>
        <w:rPr>
          <w:rFonts w:hint="eastAsia"/>
          <w:sz w:val="24"/>
          <w:szCs w:val="24"/>
        </w:rPr>
        <w:t xml:space="preserve">南京市芳园西路小学项目</w:t>
      </w:r>
      <w:r>
        <w:rPr>
          <w:sz w:val="24"/>
          <w:szCs w:val="24"/>
        </w:rPr>
        <w:t xml:space="preserve">EPC工程总承包（装配式）工程按照基本建设程序由南京市江宁区教育局投资建设，已经</w:t>
      </w:r>
      <w:r>
        <w:rPr>
          <w:rFonts w:hint="eastAsia"/>
          <w:sz w:val="24"/>
          <w:szCs w:val="24"/>
        </w:rPr>
        <w:t xml:space="preserve">宁经管委发【</w:t>
      </w:r>
      <w:r>
        <w:rPr>
          <w:sz w:val="24"/>
          <w:szCs w:val="24"/>
        </w:rPr>
        <w:t xml:space="preserve">2017】562</w:t>
      </w:r>
      <w:r>
        <w:rPr>
          <w:sz w:val="24"/>
          <w:szCs w:val="24"/>
        </w:rPr>
        <w:t xml:space="preserve">号</w:t>
      </w:r>
      <w:r>
        <w:rPr>
          <w:sz w:val="24"/>
          <w:szCs w:val="24"/>
        </w:rPr>
        <w:t xml:space="preserve">批文批准立项；计划总投资13000万元；资金来源为财政拨款；跟踪审计初步审定价为12782.872604万元。</w:t>
      </w:r>
      <w:r/>
    </w:p>
    <w:p>
      <w:pPr>
        <w:ind w:firstLine="480"/>
        <w:jc w:val="both"/>
        <w:spacing w:line="288" w:lineRule="auto"/>
        <w:rPr>
          <w:sz w:val="24"/>
          <w:szCs w:val="24"/>
        </w:rPr>
      </w:pPr>
      <w:r>
        <w:rPr>
          <w:sz w:val="24"/>
          <w:szCs w:val="24"/>
        </w:rPr>
        <w:t xml:space="preserve">5.南京市吉山软件园小学新建工程EPC工程总承包（装配式）工程按照基本建设程序由南京市江宁区教育局投资建设，已经南京江宁经济技术开发区管理委员会（宁经管委发【2017】230号）批文批准立项；计划总投资12000万元；资金来源为财政拨款；跟踪审计初步审定价为12165.10339万元。</w:t>
      </w:r>
      <w:r/>
    </w:p>
    <w:p>
      <w:pPr>
        <w:ind w:firstLine="480"/>
        <w:jc w:val="both"/>
        <w:spacing w:line="288" w:lineRule="auto"/>
        <w:rPr>
          <w:sz w:val="24"/>
          <w:szCs w:val="24"/>
        </w:rPr>
      </w:pPr>
      <w:r>
        <w:rPr>
          <w:sz w:val="24"/>
          <w:szCs w:val="24"/>
        </w:rPr>
        <w:t xml:space="preserve">6.汤山度假区金乌温泉文化展示中心项目工程总承包项目由南京汤山温泉旅游度假区管理办公室下属南京汤山建设投资发展有限公司(非财政)投资建设，经江宁发</w:t>
      </w:r>
      <w:r>
        <w:rPr>
          <w:sz w:val="24"/>
          <w:szCs w:val="24"/>
        </w:rPr>
        <w:t xml:space="preserve">改投字【2018】</w:t>
      </w:r>
      <w:r>
        <w:rPr>
          <w:sz w:val="24"/>
          <w:szCs w:val="24"/>
        </w:rPr>
        <w:t xml:space="preserve">55号、江宁</w:t>
      </w:r>
      <w:r>
        <w:rPr>
          <w:sz w:val="24"/>
          <w:szCs w:val="24"/>
        </w:rPr>
        <w:t xml:space="preserve">审批投字【2018】</w:t>
      </w:r>
      <w:r>
        <w:rPr>
          <w:sz w:val="24"/>
          <w:szCs w:val="24"/>
        </w:rPr>
        <w:t xml:space="preserve">63号批文批准立项，计划总投资13000万元，共计1个标段。该工程竣工决(结)</w:t>
      </w:r>
      <w:r>
        <w:rPr>
          <w:sz w:val="24"/>
          <w:szCs w:val="24"/>
        </w:rPr>
        <w:t xml:space="preserve">算资料</w:t>
      </w:r>
      <w:r>
        <w:rPr>
          <w:sz w:val="24"/>
          <w:szCs w:val="24"/>
        </w:rPr>
        <w:t xml:space="preserve">归集工作已完成，初步审计结果为10935.54万元。</w:t>
      </w:r>
      <w:r/>
    </w:p>
    <w:p>
      <w:pPr>
        <w:ind w:firstLine="480"/>
        <w:jc w:val="both"/>
        <w:spacing w:line="288" w:lineRule="auto"/>
        <w:rPr>
          <w:sz w:val="24"/>
          <w:szCs w:val="24"/>
        </w:rPr>
      </w:pPr>
      <w:r>
        <w:rPr>
          <w:sz w:val="24"/>
          <w:szCs w:val="24"/>
        </w:rPr>
        <w:t xml:space="preserve">7.</w:t>
      </w:r>
      <w:r>
        <w:t xml:space="preserve"> </w:t>
      </w:r>
      <w:r>
        <w:rPr>
          <w:sz w:val="24"/>
          <w:szCs w:val="24"/>
        </w:rPr>
        <w:t xml:space="preserve">2022年江宁区农村公路提档升级工程由区财政资金投资建设，已由南京市江宁区交通运输局组织建设，该项目经申报区行政</w:t>
      </w:r>
      <w:r>
        <w:rPr>
          <w:sz w:val="24"/>
          <w:szCs w:val="24"/>
        </w:rPr>
        <w:t xml:space="preserve">审批局</w:t>
      </w:r>
      <w:r>
        <w:rPr>
          <w:sz w:val="24"/>
          <w:szCs w:val="24"/>
        </w:rPr>
        <w:t xml:space="preserve">审批，计划总投69000万元，资金来源为财政，经江宁审批投资〔2022〕136号批文批准立项。该工程实行公开招标，开竣工时间为2023年3月至2023年12月31日。</w:t>
      </w:r>
      <w:r/>
    </w:p>
    <w:p>
      <w:pPr>
        <w:ind w:firstLine="480"/>
        <w:jc w:val="both"/>
        <w:spacing w:line="288" w:lineRule="auto"/>
        <w:rPr>
          <w:sz w:val="24"/>
          <w:szCs w:val="24"/>
        </w:rPr>
      </w:pPr>
      <w:r>
        <w:rPr>
          <w:sz w:val="24"/>
          <w:szCs w:val="24"/>
        </w:rPr>
        <w:t xml:space="preserve">8.</w:t>
      </w:r>
      <w:r>
        <w:t xml:space="preserve"> </w:t>
      </w:r>
      <w:r>
        <w:rPr>
          <w:rFonts w:hint="eastAsia"/>
          <w:sz w:val="24"/>
          <w:szCs w:val="24"/>
        </w:rPr>
        <w:t xml:space="preserve">宁马高速江宁滨江开发区互通改扩建配套工程</w:t>
      </w:r>
      <w:r>
        <w:rPr>
          <w:sz w:val="24"/>
          <w:szCs w:val="24"/>
        </w:rPr>
        <w:t xml:space="preserve">NM-BJKJ-1标段项目工程</w:t>
      </w:r>
      <w:r>
        <w:rPr>
          <w:rFonts w:hint="eastAsia"/>
          <w:sz w:val="24"/>
          <w:szCs w:val="24"/>
        </w:rPr>
        <w:t xml:space="preserve">由南京滨江投资发展有限公司投资建设、委托南京市公共工程建设中心代建、中铁七局集团有限公司负责工程施工</w:t>
      </w:r>
      <w:r>
        <w:rPr>
          <w:sz w:val="24"/>
          <w:szCs w:val="24"/>
        </w:rPr>
        <w:t xml:space="preserve">，工程项目开工日期为2020年12月01日，竣工日期为2023年08月22日。现已完工进入竣工结算阶段。</w:t>
      </w:r>
      <w:r>
        <w:rPr>
          <w:rFonts w:hint="eastAsia"/>
          <w:sz w:val="24"/>
          <w:szCs w:val="24"/>
        </w:rPr>
        <w:t xml:space="preserve">该工程项目按照基本建设报建审</w:t>
      </w:r>
      <w:r>
        <w:rPr>
          <w:rFonts w:hint="eastAsia"/>
          <w:sz w:val="24"/>
          <w:szCs w:val="24"/>
        </w:rPr>
        <w:t xml:space="preserve">批程序，经江宁</w:t>
      </w:r>
      <w:r>
        <w:rPr>
          <w:rFonts w:hint="eastAsia"/>
          <w:sz w:val="24"/>
          <w:szCs w:val="24"/>
        </w:rPr>
        <w:t xml:space="preserve">审批投字〔</w:t>
      </w:r>
      <w:r>
        <w:rPr>
          <w:sz w:val="24"/>
          <w:szCs w:val="24"/>
        </w:rPr>
        <w:t xml:space="preserve">2018〕</w:t>
      </w:r>
      <w:r>
        <w:rPr>
          <w:sz w:val="24"/>
          <w:szCs w:val="24"/>
        </w:rPr>
        <w:t xml:space="preserve">207</w:t>
      </w:r>
      <w:r>
        <w:rPr>
          <w:sz w:val="24"/>
          <w:szCs w:val="24"/>
        </w:rPr>
        <w:t xml:space="preserve">号文</w:t>
      </w:r>
      <w:r>
        <w:rPr>
          <w:sz w:val="24"/>
          <w:szCs w:val="24"/>
        </w:rPr>
        <w:t xml:space="preserve">批准立项，总投资约87356万元。 </w:t>
      </w:r>
      <w:r/>
    </w:p>
    <w:p>
      <w:pPr>
        <w:ind w:firstLine="480"/>
        <w:jc w:val="both"/>
        <w:spacing w:line="288" w:lineRule="auto"/>
        <w:rPr>
          <w:sz w:val="24"/>
          <w:szCs w:val="24"/>
        </w:rPr>
      </w:pPr>
      <w:r>
        <w:rPr>
          <w:sz w:val="24"/>
          <w:szCs w:val="24"/>
        </w:rPr>
        <w:t xml:space="preserve">9.</w:t>
      </w:r>
      <w:r>
        <w:rPr>
          <w:rFonts w:hint="eastAsia"/>
          <w:sz w:val="24"/>
          <w:szCs w:val="24"/>
        </w:rPr>
        <w:t xml:space="preserve">南京禄口空港新城建设发展有限公司义庆路、飞天大道项目由南京江宁经济技术开发集团有限公司投资建设，经宁经管委发〔</w:t>
      </w:r>
      <w:r>
        <w:rPr>
          <w:sz w:val="24"/>
          <w:szCs w:val="24"/>
        </w:rPr>
        <w:t xml:space="preserve">2017〕522号批文批准立项，计划总投资36000万元。其中飞天大道改造(越秀路-信诚大道)EPC总承包已于2021年4月30日完成施工。</w:t>
      </w:r>
      <w:r/>
    </w:p>
    <w:p>
      <w:pPr>
        <w:ind w:firstLine="480"/>
        <w:jc w:val="both"/>
        <w:spacing w:line="288" w:lineRule="auto"/>
        <w:rPr>
          <w:sz w:val="24"/>
          <w:szCs w:val="24"/>
        </w:rPr>
      </w:pPr>
      <w:r>
        <w:rPr>
          <w:sz w:val="24"/>
          <w:szCs w:val="24"/>
        </w:rPr>
        <w:t xml:space="preserve">10.九龙湖南湖景观提升工程由南京江宁经济技术开发集团有限公司非财政投资建设，经“宁经管委发〔2018〕272号”批文批准立项，计划总投资22,000万元，采用工程总承包方式发包，工程总承包中标合同价19,158.85万元，已于2022年04月25日完成施工。</w:t>
      </w:r>
      <w:r/>
    </w:p>
    <w:p>
      <w:pPr>
        <w:ind w:firstLine="480"/>
        <w:jc w:val="both"/>
        <w:spacing w:line="288" w:lineRule="auto"/>
        <w:rPr>
          <w:sz w:val="24"/>
          <w:szCs w:val="24"/>
        </w:rPr>
      </w:pPr>
      <w:r>
        <w:rPr>
          <w:sz w:val="24"/>
          <w:szCs w:val="24"/>
        </w:rPr>
        <w:t xml:space="preserve">11.</w:t>
      </w:r>
      <w:r>
        <w:t xml:space="preserve"> </w:t>
      </w:r>
      <w:r>
        <w:rPr>
          <w:rFonts w:hint="eastAsia"/>
          <w:sz w:val="24"/>
          <w:szCs w:val="24"/>
        </w:rPr>
        <w:t xml:space="preserve">江宁高新区</w:t>
      </w:r>
      <w:r>
        <w:rPr>
          <w:sz w:val="24"/>
          <w:szCs w:val="24"/>
        </w:rPr>
        <w:t xml:space="preserve">2019年道路提升项目由南京江宁科学园发展集团有限公司非财政投资建设，经南京江宁高新技术产业开发区管理委员会（江宁高新管字【2019】273号）批文批准立项，计划总投资26400万元，共计1个标段，合同价15836.54万元。该工程竣工结算资料归集工作已完成，结算送审金额14871.22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747"/>
        <w:gridCol w:w="679"/>
        <w:gridCol w:w="3791"/>
        <w:gridCol w:w="1277"/>
        <w:gridCol w:w="852"/>
        <w:gridCol w:w="1135"/>
        <w:gridCol w:w="589"/>
      </w:tblGrid>
      <w:tr>
        <w:trPr>
          <w:jc w:val="center"/>
          <w:trHeight w:val="113"/>
          <w:tblHeader/>
        </w:trPr>
        <w:tc>
          <w:tcPr>
            <w:tcW w:w="74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7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pPr>
              <w:jc w:val="center"/>
              <w:spacing w:line="240" w:lineRule="exact"/>
            </w:pPr>
            <w:r>
              <w:rPr>
                <w:rFonts w:hint="eastAsia"/>
              </w:rPr>
              <w:t xml:space="preserve">南京市泥塘初级中学新建工程项目工程总承包（装配式）</w:t>
            </w:r>
            <w:r/>
          </w:p>
        </w:tc>
        <w:tc>
          <w:tcPr>
            <w:tcW w:w="1277" w:type="dxa"/>
            <w:vAlign w:val="center"/>
            <w:textDirection w:val="lrTb"/>
            <w:noWrap w:val="false"/>
          </w:tcPr>
          <w:p>
            <w:pPr>
              <w:jc w:val="center"/>
              <w:spacing w:line="240" w:lineRule="exact"/>
            </w:pPr>
            <w:r>
              <w:t xml:space="preserve">16,240.95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38.15 </w:t>
            </w:r>
            <w:r/>
          </w:p>
        </w:tc>
        <w:tc>
          <w:tcPr>
            <w:tcW w:w="589" w:type="dxa"/>
            <w:vAlign w:val="center"/>
            <w:vMerge w:val="restart"/>
            <w:textDirection w:val="lrTb"/>
            <w:noWrap w:val="false"/>
          </w:tcPr>
          <w:p>
            <w:pPr>
              <w:jc w:val="center"/>
              <w:spacing w:line="240" w:lineRule="exact"/>
            </w:pPr>
            <w:r>
              <w:t xml:space="preserve">98</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南京市文齐路小学建设工程项目</w:t>
            </w:r>
            <w:r/>
          </w:p>
        </w:tc>
        <w:tc>
          <w:tcPr>
            <w:tcW w:w="1277" w:type="dxa"/>
            <w:vAlign w:val="center"/>
            <w:textDirection w:val="lrTb"/>
            <w:noWrap w:val="false"/>
          </w:tcPr>
          <w:p>
            <w:pPr>
              <w:jc w:val="center"/>
              <w:spacing w:line="240" w:lineRule="exact"/>
            </w:pPr>
            <w:r>
              <w:t xml:space="preserve">14,918.29 </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35.22 </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江宁实验小学整体改扩建工程项目综合楼改造及食堂体育馆（含风雨操场）、一期地下车库新建工程总承包</w:t>
            </w:r>
            <w:r/>
          </w:p>
        </w:tc>
        <w:tc>
          <w:tcPr>
            <w:tcW w:w="1277" w:type="dxa"/>
            <w:vAlign w:val="center"/>
            <w:textDirection w:val="lrTb"/>
            <w:noWrap w:val="false"/>
          </w:tcPr>
          <w:p>
            <w:pPr>
              <w:jc w:val="center"/>
              <w:spacing w:line="240" w:lineRule="exact"/>
            </w:pPr>
            <w:r>
              <w:t xml:space="preserve">9,962.91</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24.21</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pPr>
              <w:jc w:val="center"/>
              <w:spacing w:line="240" w:lineRule="exact"/>
            </w:pPr>
            <w:r>
              <w:rPr>
                <w:rFonts w:hint="eastAsia"/>
              </w:rPr>
              <w:t xml:space="preserve">南京市芳园西路小学项目</w:t>
            </w:r>
            <w:r>
              <w:t xml:space="preserve">EPC工程总承包（装配式）</w:t>
            </w:r>
            <w:r/>
          </w:p>
        </w:tc>
        <w:tc>
          <w:tcPr>
            <w:tcW w:w="1277" w:type="dxa"/>
            <w:vAlign w:val="center"/>
            <w:textDirection w:val="lrTb"/>
            <w:noWrap w:val="false"/>
          </w:tcPr>
          <w:p>
            <w:pPr>
              <w:jc w:val="center"/>
              <w:spacing w:line="240" w:lineRule="exact"/>
            </w:pPr>
            <w:r>
              <w:t xml:space="preserve">12,782.87</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30.48</w:t>
            </w:r>
            <w:r/>
          </w:p>
        </w:tc>
        <w:tc>
          <w:tcPr>
            <w:tcW w:w="589" w:type="dxa"/>
            <w:vAlign w:val="center"/>
            <w:vMerge w:val="restart"/>
            <w:textDirection w:val="lrTb"/>
            <w:noWrap w:val="false"/>
          </w:tcPr>
          <w:p>
            <w:pPr>
              <w:jc w:val="center"/>
              <w:spacing w:line="240" w:lineRule="exact"/>
            </w:pPr>
            <w:r>
              <w:t xml:space="preserve">86</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南京市吉山软件园小学新建工程</w:t>
            </w:r>
            <w:r>
              <w:t xml:space="preserve">EPC工程总承包（装配式）</w:t>
            </w:r>
            <w:r/>
          </w:p>
        </w:tc>
        <w:tc>
          <w:tcPr>
            <w:tcW w:w="1277" w:type="dxa"/>
            <w:vAlign w:val="center"/>
            <w:textDirection w:val="lrTb"/>
            <w:noWrap w:val="false"/>
          </w:tcPr>
          <w:p>
            <w:pPr>
              <w:jc w:val="center"/>
              <w:spacing w:line="240" w:lineRule="exact"/>
            </w:pPr>
            <w:r>
              <w:t xml:space="preserve">12,165.10</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29.11</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汤山度假区金乌温泉文化展示中心项目工程总承包项目</w:t>
            </w:r>
            <w:r/>
          </w:p>
        </w:tc>
        <w:tc>
          <w:tcPr>
            <w:tcW w:w="1277" w:type="dxa"/>
            <w:vAlign w:val="center"/>
            <w:textDirection w:val="lrTb"/>
            <w:noWrap w:val="false"/>
          </w:tcPr>
          <w:p>
            <w:pPr>
              <w:jc w:val="center"/>
              <w:spacing w:line="240" w:lineRule="exact"/>
            </w:pPr>
            <w:r>
              <w:t xml:space="preserve">10,935.54</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26.38</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包三</w:t>
            </w:r>
            <w:r/>
          </w:p>
        </w:tc>
        <w:tc>
          <w:tcPr>
            <w:tcW w:w="3791" w:type="dxa"/>
            <w:vAlign w:val="center"/>
            <w:textDirection w:val="lrTb"/>
            <w:noWrap w:val="false"/>
          </w:tcPr>
          <w:p>
            <w:pPr>
              <w:jc w:val="center"/>
              <w:spacing w:line="240" w:lineRule="exact"/>
            </w:pPr>
            <w:r>
              <w:t xml:space="preserve">2022年江宁区农村公路高质量提档升级工程</w:t>
            </w:r>
            <w:r/>
          </w:p>
        </w:tc>
        <w:tc>
          <w:tcPr>
            <w:tcW w:w="1277" w:type="dxa"/>
            <w:vAlign w:val="center"/>
            <w:textDirection w:val="lrTb"/>
            <w:noWrap w:val="false"/>
          </w:tcPr>
          <w:p>
            <w:pPr>
              <w:jc w:val="center"/>
              <w:spacing w:line="240" w:lineRule="exact"/>
            </w:pPr>
            <w:r>
              <w:t xml:space="preserve">25,645.12</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59.03</w:t>
            </w:r>
            <w:r/>
          </w:p>
        </w:tc>
        <w:tc>
          <w:tcPr>
            <w:tcW w:w="589" w:type="dxa"/>
            <w:vAlign w:val="center"/>
            <w:vMerge w:val="restart"/>
            <w:textDirection w:val="lrTb"/>
            <w:noWrap w:val="false"/>
          </w:tcPr>
          <w:p>
            <w:pPr>
              <w:jc w:val="center"/>
              <w:spacing w:line="240" w:lineRule="exact"/>
            </w:pPr>
            <w:r>
              <w:t xml:space="preserve">112</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宁马高速江宁滨江开发区互通改扩建配套工程</w:t>
            </w:r>
            <w:r>
              <w:t xml:space="preserve">NM-BJKJ-1标段项目</w:t>
            </w:r>
            <w:r/>
          </w:p>
        </w:tc>
        <w:tc>
          <w:tcPr>
            <w:tcW w:w="1277" w:type="dxa"/>
            <w:vAlign w:val="center"/>
            <w:textDirection w:val="lrTb"/>
            <w:noWrap w:val="false"/>
          </w:tcPr>
          <w:p>
            <w:pPr>
              <w:jc w:val="center"/>
              <w:spacing w:line="240" w:lineRule="exact"/>
            </w:pPr>
            <w:r>
              <w:t xml:space="preserve">22,708.95</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52.51</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restart"/>
            <w:textDirection w:val="lrTb"/>
            <w:noWrap w:val="false"/>
          </w:tcPr>
          <w:p>
            <w:pPr>
              <w:jc w:val="center"/>
              <w:spacing w:line="240" w:lineRule="exact"/>
            </w:pPr>
            <w:r>
              <w:rPr>
                <w:rFonts w:hint="eastAsia"/>
              </w:rPr>
              <w:t xml:space="preserve">包四</w:t>
            </w:r>
            <w:r/>
          </w:p>
        </w:tc>
        <w:tc>
          <w:tcPr>
            <w:tcW w:w="3791" w:type="dxa"/>
            <w:vAlign w:val="center"/>
            <w:textDirection w:val="lrTb"/>
            <w:noWrap w:val="false"/>
          </w:tcPr>
          <w:p>
            <w:pPr>
              <w:jc w:val="center"/>
              <w:spacing w:line="240" w:lineRule="exact"/>
            </w:pPr>
            <w:r>
              <w:rPr>
                <w:rFonts w:hint="eastAsia"/>
              </w:rPr>
              <w:t xml:space="preserve">飞天大道改造</w:t>
            </w:r>
            <w:r>
              <w:t xml:space="preserve">(越秀路-信诚大道)EPC总承包工程</w:t>
            </w:r>
            <w:r/>
          </w:p>
        </w:tc>
        <w:tc>
          <w:tcPr>
            <w:tcW w:w="1277" w:type="dxa"/>
            <w:vAlign w:val="center"/>
            <w:textDirection w:val="lrTb"/>
            <w:noWrap w:val="false"/>
          </w:tcPr>
          <w:p>
            <w:pPr>
              <w:jc w:val="center"/>
              <w:spacing w:line="240" w:lineRule="exact"/>
            </w:pPr>
            <w:r>
              <w:t xml:space="preserve">8,248.75</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20.20</w:t>
            </w:r>
            <w:r/>
          </w:p>
        </w:tc>
        <w:tc>
          <w:tcPr>
            <w:tcW w:w="589" w:type="dxa"/>
            <w:vAlign w:val="center"/>
            <w:vMerge w:val="restart"/>
            <w:textDirection w:val="lrTb"/>
            <w:noWrap w:val="false"/>
          </w:tcPr>
          <w:p>
            <w:pPr>
              <w:jc w:val="center"/>
              <w:spacing w:line="240" w:lineRule="exact"/>
            </w:pPr>
            <w:r>
              <w:t xml:space="preserve">96</w:t>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九龙湖市政工程改造及景观提升工程总承包</w:t>
            </w:r>
            <w:r/>
          </w:p>
        </w:tc>
        <w:tc>
          <w:tcPr>
            <w:tcW w:w="1277" w:type="dxa"/>
            <w:vAlign w:val="center"/>
            <w:textDirection w:val="lrTb"/>
            <w:noWrap w:val="false"/>
          </w:tcPr>
          <w:p>
            <w:pPr>
              <w:jc w:val="center"/>
              <w:spacing w:line="240" w:lineRule="exact"/>
            </w:pPr>
            <w:r>
              <w:t xml:space="preserve">17,318.52</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40.55</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pStyle w:val="859"/>
              <w:numPr>
                <w:ilvl w:val="0"/>
                <w:numId w:val="5"/>
              </w:numPr>
              <w:jc w:val="center"/>
              <w:spacing w:line="240" w:lineRule="exact"/>
            </w:pPr>
            <w:r/>
            <w:r/>
          </w:p>
        </w:tc>
        <w:tc>
          <w:tcPr>
            <w:tcW w:w="679"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Pr>
                <w:rFonts w:hint="eastAsia"/>
              </w:rPr>
              <w:t xml:space="preserve">江宁高新区</w:t>
            </w:r>
            <w:r>
              <w:t xml:space="preserve">2019年道路提升项目</w:t>
            </w:r>
            <w:r/>
          </w:p>
        </w:tc>
        <w:tc>
          <w:tcPr>
            <w:tcW w:w="1277" w:type="dxa"/>
            <w:vAlign w:val="center"/>
            <w:textDirection w:val="lrTb"/>
            <w:noWrap w:val="false"/>
          </w:tcPr>
          <w:p>
            <w:pPr>
              <w:jc w:val="center"/>
              <w:spacing w:line="240" w:lineRule="exact"/>
            </w:pPr>
            <w:r>
              <w:t xml:space="preserve">14,871.22</w:t>
            </w:r>
            <w:r/>
          </w:p>
        </w:tc>
        <w:tc>
          <w:tcPr>
            <w:tcW w:w="852" w:type="dxa"/>
            <w:vAlign w:val="center"/>
            <w:textDirection w:val="lrTb"/>
            <w:noWrap w:val="false"/>
          </w:tcPr>
          <w:p>
            <w:pPr>
              <w:jc w:val="center"/>
              <w:spacing w:line="240" w:lineRule="exact"/>
            </w:pPr>
            <w:r>
              <w:t xml:space="preserve">5%</w:t>
            </w:r>
            <w:r/>
          </w:p>
        </w:tc>
        <w:tc>
          <w:tcPr>
            <w:tcW w:w="1135" w:type="dxa"/>
            <w:vAlign w:val="center"/>
            <w:textDirection w:val="lrTb"/>
            <w:noWrap w:val="false"/>
          </w:tcPr>
          <w:p>
            <w:pPr>
              <w:jc w:val="center"/>
              <w:spacing w:line="240" w:lineRule="exact"/>
            </w:pPr>
            <w:r>
              <w:t xml:space="preserve">35.11</w:t>
            </w:r>
            <w:r/>
          </w:p>
        </w:tc>
        <w:tc>
          <w:tcPr>
            <w:tcW w:w="589" w:type="dxa"/>
            <w:vAlign w:val="center"/>
            <w:vMerge w:val="continue"/>
            <w:textDirection w:val="lrTb"/>
            <w:noWrap w:val="false"/>
          </w:tcPr>
          <w:p>
            <w:pPr>
              <w:jc w:val="center"/>
              <w:spacing w:line="240" w:lineRule="exact"/>
            </w:pPr>
            <w:r/>
            <w:r/>
          </w:p>
        </w:tc>
      </w:tr>
      <w:tr>
        <w:trPr>
          <w:jc w:val="center"/>
          <w:trHeight w:val="113"/>
        </w:trPr>
        <w:tc>
          <w:tcPr>
            <w:tcW w:w="747" w:type="dxa"/>
            <w:vAlign w:val="center"/>
            <w:textDirection w:val="lrTb"/>
            <w:noWrap w:val="false"/>
          </w:tcPr>
          <w:p>
            <w:pPr>
              <w:jc w:val="center"/>
              <w:spacing w:line="240" w:lineRule="exact"/>
            </w:pPr>
            <w:r/>
            <w:r/>
          </w:p>
        </w:tc>
        <w:tc>
          <w:tcPr>
            <w:tcW w:w="679" w:type="dxa"/>
            <w:vAlign w:val="center"/>
            <w:textDirection w:val="lrTb"/>
            <w:noWrap w:val="false"/>
          </w:tcPr>
          <w:p>
            <w:pPr>
              <w:jc w:val="center"/>
              <w:spacing w:line="240" w:lineRule="exact"/>
            </w:pPr>
            <w:r/>
            <w:r/>
          </w:p>
        </w:tc>
        <w:tc>
          <w:tcPr>
            <w:tcW w:w="3791" w:type="dxa"/>
            <w:vAlign w:val="center"/>
            <w:textDirection w:val="lrTb"/>
            <w:noWrap w:val="false"/>
          </w:tcPr>
          <w:p>
            <w:pPr>
              <w:jc w:val="center"/>
              <w:spacing w:line="240" w:lineRule="exact"/>
            </w:pPr>
            <w:r/>
            <w:r/>
          </w:p>
        </w:tc>
        <w:tc>
          <w:tcPr>
            <w:tcW w:w="1277" w:type="dxa"/>
            <w:vAlign w:val="center"/>
            <w:textDirection w:val="lrTb"/>
            <w:noWrap w:val="false"/>
          </w:tcPr>
          <w:p>
            <w:pPr>
              <w:jc w:val="center"/>
              <w:spacing w:line="240" w:lineRule="exact"/>
            </w:pPr>
            <w:r>
              <w:t xml:space="preserve">165,798.22 </w:t>
            </w:r>
            <w:r/>
          </w:p>
        </w:tc>
        <w:tc>
          <w:tcPr>
            <w:tcW w:w="852" w:type="dxa"/>
            <w:vAlign w:val="center"/>
            <w:textDirection w:val="lrTb"/>
            <w:noWrap w:val="false"/>
          </w:tcPr>
          <w:p>
            <w:pPr>
              <w:jc w:val="center"/>
              <w:spacing w:line="240" w:lineRule="exact"/>
              <w:widowControl/>
              <w:rPr>
                <w:sz w:val="20"/>
                <w:szCs w:val="20"/>
                <w:lang w:val="en-US" w:bidi="ar-SA"/>
              </w:rPr>
            </w:pPr>
            <w:r>
              <w:rPr>
                <w:sz w:val="20"/>
                <w:szCs w:val="20"/>
                <w:lang w:val="en-US" w:bidi="ar-SA"/>
              </w:rPr>
            </w:r>
            <w:r/>
          </w:p>
        </w:tc>
        <w:tc>
          <w:tcPr>
            <w:tcW w:w="1135" w:type="dxa"/>
            <w:vAlign w:val="center"/>
            <w:textDirection w:val="lrTb"/>
            <w:noWrap w:val="false"/>
          </w:tcPr>
          <w:p>
            <w:pPr>
              <w:jc w:val="center"/>
              <w:spacing w:line="240" w:lineRule="exact"/>
            </w:pPr>
            <w:r>
              <w:t xml:space="preserve">390.95</w:t>
            </w:r>
            <w:r/>
          </w:p>
        </w:tc>
        <w:tc>
          <w:tcPr>
            <w:tcW w:w="589" w:type="dxa"/>
            <w:vAlign w:val="center"/>
            <w:textDirection w:val="lrTb"/>
            <w:noWrap w:val="false"/>
          </w:tcPr>
          <w:p>
            <w:pPr>
              <w:jc w:val="center"/>
              <w:spacing w:line="240" w:lineRule="exact"/>
            </w:pPr>
            <w:r>
              <w:t xml:space="preserve">392</w:t>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泥塘文齐实验、芳园吉山金乌、22</w:t>
      </w:r>
      <w:r>
        <w:rPr>
          <w:rFonts w:hint="eastAsia"/>
          <w:sz w:val="24"/>
          <w:szCs w:val="24"/>
        </w:rPr>
        <w:t xml:space="preserve">农路宁马</w:t>
      </w:r>
      <w:r>
        <w:rPr>
          <w:rFonts w:hint="eastAsia"/>
          <w:sz w:val="24"/>
          <w:szCs w:val="24"/>
        </w:rPr>
        <w:t xml:space="preserve">、飞天大道九龙湖市政19道路结算审计服务。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rPr>
          <w:rFonts w:hint="eastAsia"/>
          <w:sz w:val="24"/>
          <w:szCs w:val="24"/>
        </w:rPr>
        <w:t xml:space="preserve">，现场审计时间不超过</w:t>
      </w:r>
      <w:r>
        <w:rPr>
          <w:sz w:val="24"/>
          <w:szCs w:val="24"/>
        </w:rPr>
        <w:t xml:space="preserve">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1）包一、包二</w:t>
      </w:r>
      <w:r/>
    </w:p>
    <w:p>
      <w:pPr>
        <w:ind w:firstLine="480"/>
        <w:jc w:val="both"/>
        <w:spacing w:line="340" w:lineRule="exact"/>
        <w:rPr>
          <w:sz w:val="24"/>
          <w:szCs w:val="24"/>
        </w:rPr>
      </w:pPr>
      <w:r>
        <w:rPr>
          <w:rFonts w:hint="eastAsia"/>
          <w:sz w:val="24"/>
          <w:szCs w:val="24"/>
        </w:rPr>
        <w:t xml:space="preserve">供应商投入不少于</w:t>
      </w:r>
      <w:r>
        <w:rPr>
          <w:sz w:val="24"/>
          <w:szCs w:val="24"/>
          <w:lang w:val="en-US"/>
        </w:rPr>
        <w:t xml:space="preserve">10</w:t>
      </w:r>
      <w:r>
        <w:rPr>
          <w:sz w:val="24"/>
          <w:szCs w:val="24"/>
        </w:rPr>
        <w:t xml:space="preserve">人团队成员，其中至少</w:t>
      </w:r>
      <w:r>
        <w:rPr>
          <w:sz w:val="24"/>
          <w:szCs w:val="24"/>
          <w:lang w:val="en-US"/>
        </w:rPr>
        <w:t xml:space="preserve">6</w:t>
      </w:r>
      <w:r>
        <w:rPr>
          <w:sz w:val="24"/>
          <w:szCs w:val="24"/>
        </w:rPr>
        <w:t xml:space="preserve">名团队成员同时具备一级注册造价工程师和建设工程类高级工程师及以上职称，团队成员中应当具有3名成员为“安装工程”专业的一级注册造价工程师，所有成员男性不超过60周岁，女性不超过55周岁。（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bCs/>
          <w:sz w:val="24"/>
          <w:szCs w:val="24"/>
        </w:rPr>
        <w:t xml:space="preserve">号</w:t>
      </w:r>
      <w:r>
        <w:rPr>
          <w:sz w:val="24"/>
          <w:szCs w:val="24"/>
        </w:rPr>
        <w:t xml:space="preserve">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ind w:firstLine="482"/>
        <w:jc w:val="both"/>
        <w:spacing w:line="340" w:lineRule="exact"/>
        <w:rPr>
          <w:bCs/>
          <w:sz w:val="24"/>
          <w:szCs w:val="24"/>
        </w:rPr>
      </w:pPr>
      <w:r>
        <w:rPr>
          <w:rFonts w:hint="eastAsia"/>
          <w:bCs/>
          <w:sz w:val="24"/>
          <w:szCs w:val="24"/>
        </w:rPr>
        <w:t xml:space="preserve">2）包三、包四</w:t>
      </w:r>
      <w:r/>
    </w:p>
    <w:p>
      <w:pPr>
        <w:ind w:firstLine="482"/>
        <w:jc w:val="both"/>
        <w:spacing w:line="340" w:lineRule="exact"/>
        <w:rPr>
          <w:bCs/>
          <w:sz w:val="24"/>
          <w:szCs w:val="24"/>
        </w:rPr>
      </w:pPr>
      <w:r>
        <w:rPr>
          <w:rFonts w:hint="eastAsia"/>
          <w:bCs/>
          <w:sz w:val="24"/>
          <w:szCs w:val="24"/>
        </w:rPr>
        <w:t xml:space="preserve">供应商投入不少于</w:t>
      </w:r>
      <w:r>
        <w:rPr>
          <w:bCs/>
          <w:sz w:val="24"/>
          <w:szCs w:val="24"/>
        </w:rPr>
        <w:t xml:space="preserve">10人团队成员，其中至少</w:t>
      </w:r>
      <w:r>
        <w:rPr>
          <w:rFonts w:hint="eastAsia"/>
          <w:bCs/>
          <w:sz w:val="24"/>
          <w:szCs w:val="24"/>
          <w:lang w:val="en-US"/>
        </w:rPr>
        <w:t xml:space="preserve">6</w:t>
      </w:r>
      <w:r>
        <w:rPr>
          <w:bCs/>
          <w:sz w:val="24"/>
          <w:szCs w:val="24"/>
        </w:rPr>
        <w:t xml:space="preserve">名团队成员同时具备一级注册造价工程师和建设工程类高级工程师及以上职称，团队成员中应当具有1名成员为“安装工程”、</w:t>
      </w:r>
      <w:r>
        <w:rPr>
          <w:rFonts w:hint="eastAsia"/>
          <w:bCs/>
          <w:sz w:val="24"/>
          <w:szCs w:val="24"/>
          <w:lang w:val="en-US"/>
        </w:rPr>
        <w:t xml:space="preserve">2</w:t>
      </w:r>
      <w:r>
        <w:rPr>
          <w:bCs/>
          <w:sz w:val="24"/>
          <w:szCs w:val="24"/>
        </w:rPr>
        <w:t xml:space="preserve">名成员为“交通运输工程”专业的一级注册造价工程师，所有成员男性不超过60周岁，女性不超过55周岁。（提供注册在本单位的注册证书、职称证书原件彩色扫描件及</w:t>
      </w:r>
      <w:r>
        <w:rPr>
          <w:bCs/>
          <w:sz w:val="24"/>
          <w:szCs w:val="24"/>
        </w:rPr>
        <w:t xml:space="preserve">2026年2月至2026年7月</w:t>
      </w:r>
      <w:r>
        <w:rPr>
          <w:bCs/>
          <w:sz w:val="24"/>
          <w:szCs w:val="24"/>
        </w:rPr>
        <w:t xml:space="preserve">期间投标人为其缴纳的至少一个月社保缴纳证明，年龄以身份证</w:t>
      </w:r>
      <w:r>
        <w:rPr>
          <w:bCs/>
          <w:sz w:val="24"/>
          <w:szCs w:val="24"/>
        </w:rPr>
        <w:t xml:space="preserve">号</w:t>
      </w:r>
      <w:r>
        <w:rPr>
          <w:bCs/>
          <w:sz w:val="24"/>
          <w:szCs w:val="24"/>
        </w:rPr>
        <w:t xml:space="preserve">年龄</w:t>
      </w:r>
      <w:r>
        <w:rPr>
          <w:bCs/>
          <w:sz w:val="24"/>
          <w:szCs w:val="24"/>
        </w:rPr>
        <w:t xml:space="preserve">为准</w:t>
      </w:r>
      <w:r>
        <w:rPr>
          <w:sz w:val="24"/>
          <w:szCs w:val="24"/>
        </w:rPr>
        <w:t xml:space="preserve">，</w:t>
      </w:r>
      <w:r>
        <w:rPr>
          <w:rFonts w:hint="eastAsia"/>
          <w:sz w:val="24"/>
          <w:szCs w:val="24"/>
        </w:rPr>
        <w:t xml:space="preserve">若上传的证书不完整、模糊等无法识别出有效信息的，视为无效</w:t>
      </w:r>
      <w:r>
        <w:rPr>
          <w:bCs/>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bCs/>
          <w:sz w:val="24"/>
          <w:szCs w:val="24"/>
        </w:rPr>
        <w:t xml:space="preserve">人为项目</w:t>
      </w:r>
      <w:r>
        <w:rPr>
          <w:bCs/>
          <w:sz w:val="24"/>
          <w:szCs w:val="24"/>
        </w:rPr>
        <w:t xml:space="preserve">组组长。组长须为一级注册造价工程师且具备高级工程师及以上技术职称（建设工程类或交通运输工程类）。供应商派出</w:t>
      </w:r>
      <w:r>
        <w:rPr>
          <w:bCs/>
          <w:sz w:val="24"/>
          <w:szCs w:val="24"/>
        </w:rPr>
        <w:t xml:space="preserve">的项目组组长需全程参与审计过程，供应商无权撤出响应文件中提供的人员，如因人员离职、丧失工作能力等原因有增补调换须得到采购人的同意。</w:t>
      </w:r>
      <w:r/>
    </w:p>
    <w:p>
      <w:pPr>
        <w:pStyle w:val="1135"/>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w:t>
      </w:r>
      <w:r>
        <w:rPr>
          <w:bCs/>
          <w:sz w:val="24"/>
          <w:szCs w:val="24"/>
          <w:lang w:val="en-US"/>
        </w:rPr>
        <w:t xml:space="preserve">3人</w:t>
      </w:r>
      <w:r>
        <w:rPr>
          <w:rFonts w:hint="eastAsia"/>
          <w:bCs/>
          <w:sz w:val="24"/>
          <w:szCs w:val="24"/>
          <w:lang w:val="en-US"/>
        </w:rPr>
        <w:t xml:space="preserve">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5"/>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lang w:val="en-US"/>
        </w:rPr>
        <w:t xml:space="preserve">包一98万元、包二86万元、包三112万元、包四96万元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（即包一</w:t>
      </w:r>
      <w:r>
        <w:rPr>
          <w:sz w:val="24"/>
          <w:szCs w:val="24"/>
        </w:rPr>
        <w:t xml:space="preserve">98万元、包二86万元、包三112万元、包四96万元）。</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w:t>
      </w:r>
      <w:r>
        <w:rPr>
          <w:rFonts w:hint="eastAsia"/>
          <w:sz w:val="24"/>
          <w:szCs w:val="24"/>
        </w:rPr>
        <w:t xml:space="preserve">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5"/>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泥塘文齐实验、芳园吉山金乌、22</w:t>
      </w:r>
      <w:r>
        <w:rPr>
          <w:rFonts w:hint="eastAsia" w:hAnsi="宋体"/>
          <w:sz w:val="24"/>
          <w:szCs w:val="24"/>
          <w:u w:val="single"/>
        </w:rPr>
        <w:t xml:space="preserve">农路宁马</w:t>
      </w:r>
      <w:r>
        <w:rPr>
          <w:rFonts w:hint="eastAsia" w:hAnsi="宋体"/>
          <w:sz w:val="24"/>
          <w:szCs w:val="24"/>
          <w:u w:val="single"/>
        </w:rPr>
        <w:t xml:space="preserve">、飞天大道九龙湖市政19道路结算审计服务（包一/二/三/四）</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（即包一</w:t>
      </w:r>
      <w:r>
        <w:rPr>
          <w:sz w:val="24"/>
          <w:szCs w:val="24"/>
        </w:rPr>
        <w:t xml:space="preserve">98万元、包二86万元、包三112万元、包四96万元）均不予增加。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32290"/>
      <w:r/>
      <w:bookmarkStart w:id="19" w:name="_Toc12329"/>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0" w:name="_Toc1284"/>
      <w:r/>
      <w:bookmarkStart w:id="21" w:name="_Toc838"/>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7"/>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4"/>
      <w:r/>
      <w:bookmarkStart w:id="40" w:name="bookmark32"/>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TOC Heading"/>
    <w:uiPriority w:val="39"/>
    <w:unhideWhenUsed/>
  </w:style>
  <w:style w:type="paragraph" w:styleId="819" w:default="1">
    <w:name w:val="Normal"/>
    <w:uiPriority w:val="1"/>
    <w:qFormat/>
    <w:pPr>
      <w:widowControl w:val="off"/>
    </w:pPr>
    <w:rPr>
      <w:rFonts w:ascii="宋体" w:hAnsi="宋体" w:cs="宋体"/>
      <w:sz w:val="22"/>
      <w:szCs w:val="22"/>
      <w:lang w:val="zh-CN" w:bidi="zh-CN"/>
    </w:rPr>
  </w:style>
  <w:style w:type="paragraph" w:styleId="820">
    <w:name w:val="Heading 1"/>
    <w:basedOn w:val="819"/>
    <w:next w:val="819"/>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uiPriority w:val="9"/>
    <w:unhideWhenUsed/>
    <w:qFormat/>
    <w:pPr>
      <w:keepLines/>
      <w:keepNext/>
      <w:spacing w:before="320" w:after="200"/>
      <w:outlineLvl w:val="5"/>
    </w:pPr>
    <w:rPr>
      <w:rFonts w:ascii="Arial" w:hAnsi="Arial" w:eastAsia="Arial" w:cs="Arial"/>
      <w:b/>
      <w:bCs/>
    </w:rPr>
  </w:style>
  <w:style w:type="paragraph" w:styleId="826">
    <w:name w:val="Heading 7"/>
    <w:basedOn w:val="819"/>
    <w:next w:val="819"/>
    <w:uiPriority w:val="9"/>
    <w:unhideWhenUsed/>
    <w:qFormat/>
    <w:pPr>
      <w:keepLines/>
      <w:keepNext/>
      <w:spacing w:before="320" w:after="200"/>
      <w:outlineLvl w:val="6"/>
    </w:pPr>
    <w:rPr>
      <w:rFonts w:ascii="Arial" w:hAnsi="Arial" w:eastAsia="Arial" w:cs="Arial"/>
      <w:b/>
      <w:bCs/>
      <w:i/>
      <w:iCs/>
    </w:rPr>
  </w:style>
  <w:style w:type="paragraph" w:styleId="827">
    <w:name w:val="Heading 8"/>
    <w:basedOn w:val="819"/>
    <w:next w:val="819"/>
    <w:uiPriority w:val="9"/>
    <w:unhideWhenUsed/>
    <w:qFormat/>
    <w:pPr>
      <w:keepLines/>
      <w:keepNext/>
      <w:spacing w:before="320" w:after="200"/>
      <w:outlineLvl w:val="7"/>
    </w:pPr>
    <w:rPr>
      <w:rFonts w:ascii="Arial" w:hAnsi="Arial" w:eastAsia="Arial" w:cs="Arial"/>
      <w:i/>
      <w:iCs/>
    </w:rPr>
  </w:style>
  <w:style w:type="paragraph" w:styleId="828">
    <w:name w:val="Heading 9"/>
    <w:basedOn w:val="819"/>
    <w:next w:val="819"/>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toc 7"/>
    <w:basedOn w:val="819"/>
    <w:next w:val="819"/>
    <w:uiPriority w:val="39"/>
    <w:unhideWhenUsed/>
    <w:qFormat/>
    <w:pPr>
      <w:ind w:left="1701"/>
      <w:spacing w:after="57"/>
    </w:pPr>
  </w:style>
  <w:style w:type="paragraph" w:styleId="833">
    <w:name w:val="Caption"/>
    <w:basedOn w:val="819"/>
    <w:next w:val="819"/>
    <w:uiPriority w:val="35"/>
    <w:semiHidden/>
    <w:unhideWhenUsed/>
    <w:qFormat/>
    <w:pPr>
      <w:spacing w:line="276" w:lineRule="auto"/>
    </w:pPr>
    <w:rPr>
      <w:b/>
      <w:bCs/>
      <w:color w:val="4f81bd" w:themeColor="accent1"/>
      <w:sz w:val="18"/>
      <w:szCs w:val="18"/>
    </w:rPr>
  </w:style>
  <w:style w:type="paragraph" w:styleId="834">
    <w:name w:val="annotation text"/>
    <w:basedOn w:val="819"/>
    <w:link w:val="1138"/>
    <w:uiPriority w:val="99"/>
    <w:semiHidden/>
    <w:unhideWhenUsed/>
    <w:qFormat/>
  </w:style>
  <w:style w:type="paragraph" w:styleId="835">
    <w:name w:val="toc 5"/>
    <w:basedOn w:val="819"/>
    <w:next w:val="819"/>
    <w:uiPriority w:val="39"/>
    <w:unhideWhenUsed/>
    <w:qFormat/>
    <w:pPr>
      <w:ind w:left="1134"/>
      <w:spacing w:after="57"/>
    </w:pPr>
  </w:style>
  <w:style w:type="paragraph" w:styleId="836">
    <w:name w:val="toc 3"/>
    <w:basedOn w:val="819"/>
    <w:next w:val="819"/>
    <w:uiPriority w:val="39"/>
    <w:unhideWhenUsed/>
    <w:qFormat/>
    <w:pPr>
      <w:ind w:left="567"/>
      <w:spacing w:after="57"/>
    </w:pPr>
  </w:style>
  <w:style w:type="paragraph" w:styleId="837">
    <w:name w:val="toc 8"/>
    <w:basedOn w:val="819"/>
    <w:next w:val="819"/>
    <w:uiPriority w:val="39"/>
    <w:unhideWhenUsed/>
    <w:qFormat/>
    <w:pPr>
      <w:ind w:left="1984"/>
      <w:spacing w:after="57"/>
    </w:pPr>
  </w:style>
  <w:style w:type="paragraph" w:styleId="838">
    <w:name w:val="endnote text"/>
    <w:basedOn w:val="819"/>
    <w:uiPriority w:val="99"/>
    <w:semiHidden/>
    <w:unhideWhenUsed/>
    <w:qFormat/>
    <w:rPr>
      <w:sz w:val="20"/>
    </w:rPr>
  </w:style>
  <w:style w:type="paragraph" w:styleId="839">
    <w:name w:val="Balloon Text"/>
    <w:basedOn w:val="819"/>
    <w:link w:val="1137"/>
    <w:uiPriority w:val="99"/>
    <w:semiHidden/>
    <w:unhideWhenUsed/>
    <w:qFormat/>
    <w:rPr>
      <w:sz w:val="18"/>
      <w:szCs w:val="18"/>
    </w:rPr>
  </w:style>
  <w:style w:type="paragraph" w:styleId="840">
    <w:name w:val="Footer"/>
    <w:basedOn w:val="819"/>
    <w:uiPriority w:val="99"/>
    <w:unhideWhenUsed/>
    <w:qFormat/>
    <w:pPr>
      <w:tabs>
        <w:tab w:val="center" w:pos="7143" w:leader="none"/>
        <w:tab w:val="right" w:pos="14287" w:leader="none"/>
      </w:tabs>
    </w:pPr>
  </w:style>
  <w:style w:type="paragraph" w:styleId="841">
    <w:name w:val="Header"/>
    <w:basedOn w:val="819"/>
    <w:uiPriority w:val="99"/>
    <w:unhideWhenUsed/>
    <w:qFormat/>
    <w:pPr>
      <w:tabs>
        <w:tab w:val="center" w:pos="7143" w:leader="none"/>
        <w:tab w:val="right" w:pos="14287" w:leader="none"/>
      </w:tabs>
    </w:pPr>
  </w:style>
  <w:style w:type="paragraph" w:styleId="842">
    <w:name w:val="toc 1"/>
    <w:basedOn w:val="819"/>
    <w:next w:val="819"/>
    <w:uiPriority w:val="39"/>
    <w:unhideWhenUsed/>
    <w:qFormat/>
    <w:pPr>
      <w:spacing w:after="57"/>
    </w:pPr>
  </w:style>
  <w:style w:type="paragraph" w:styleId="843">
    <w:name w:val="toc 4"/>
    <w:basedOn w:val="819"/>
    <w:next w:val="819"/>
    <w:uiPriority w:val="39"/>
    <w:unhideWhenUsed/>
    <w:qFormat/>
    <w:pPr>
      <w:ind w:left="850"/>
      <w:spacing w:after="57"/>
    </w:pPr>
  </w:style>
  <w:style w:type="paragraph" w:styleId="844">
    <w:name w:val="Subtitle"/>
    <w:basedOn w:val="819"/>
    <w:next w:val="819"/>
    <w:uiPriority w:val="11"/>
    <w:qFormat/>
    <w:pPr>
      <w:spacing w:before="200" w:after="200"/>
    </w:pPr>
    <w:rPr>
      <w:sz w:val="24"/>
      <w:szCs w:val="24"/>
    </w:rPr>
  </w:style>
  <w:style w:type="paragraph" w:styleId="845">
    <w:name w:val="footnote text"/>
    <w:basedOn w:val="819"/>
    <w:uiPriority w:val="99"/>
    <w:semiHidden/>
    <w:unhideWhenUsed/>
    <w:qFormat/>
    <w:pPr>
      <w:spacing w:after="40"/>
    </w:pPr>
    <w:rPr>
      <w:sz w:val="18"/>
    </w:rPr>
  </w:style>
  <w:style w:type="paragraph" w:styleId="846">
    <w:name w:val="toc 6"/>
    <w:basedOn w:val="819"/>
    <w:next w:val="819"/>
    <w:uiPriority w:val="39"/>
    <w:unhideWhenUsed/>
    <w:qFormat/>
    <w:pPr>
      <w:ind w:left="1417"/>
      <w:spacing w:after="57"/>
    </w:pPr>
  </w:style>
  <w:style w:type="paragraph" w:styleId="847">
    <w:name w:val="table of figures"/>
    <w:basedOn w:val="819"/>
    <w:next w:val="819"/>
    <w:uiPriority w:val="99"/>
    <w:unhideWhenUsed/>
    <w:qFormat/>
  </w:style>
  <w:style w:type="paragraph" w:styleId="848">
    <w:name w:val="toc 2"/>
    <w:basedOn w:val="819"/>
    <w:next w:val="819"/>
    <w:uiPriority w:val="39"/>
    <w:unhideWhenUsed/>
    <w:qFormat/>
    <w:pPr>
      <w:ind w:left="283"/>
      <w:spacing w:after="57"/>
    </w:pPr>
  </w:style>
  <w:style w:type="paragraph" w:styleId="849">
    <w:name w:val="toc 9"/>
    <w:basedOn w:val="819"/>
    <w:next w:val="819"/>
    <w:uiPriority w:val="39"/>
    <w:unhideWhenUsed/>
    <w:qFormat/>
    <w:pPr>
      <w:ind w:left="2268"/>
      <w:spacing w:after="57"/>
    </w:pPr>
  </w:style>
  <w:style w:type="paragraph" w:styleId="850">
    <w:name w:val="Title"/>
    <w:basedOn w:val="819"/>
    <w:next w:val="819"/>
    <w:uiPriority w:val="10"/>
    <w:qFormat/>
    <w:pPr>
      <w:contextualSpacing/>
      <w:spacing w:before="300" w:after="200"/>
    </w:pPr>
    <w:rPr>
      <w:sz w:val="48"/>
      <w:szCs w:val="48"/>
    </w:rPr>
  </w:style>
  <w:style w:type="paragraph" w:styleId="851">
    <w:name w:val="annotation subject"/>
    <w:basedOn w:val="834"/>
    <w:next w:val="834"/>
    <w:link w:val="1139"/>
    <w:uiPriority w:val="99"/>
    <w:semiHidden/>
    <w:unhideWhenUsed/>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9"/>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style>
  <w:style w:type="paragraph" w:styleId="858" w:customStyle="1">
    <w:name w:val="TOC 标题1"/>
    <w:uiPriority w:val="39"/>
    <w:unhideWhenUsed/>
  </w:style>
  <w:style w:type="paragraph" w:styleId="859">
    <w:name w:val="List Paragraph"/>
    <w:basedOn w:val="819"/>
    <w:uiPriority w:val="34"/>
    <w:qFormat/>
    <w:pPr>
      <w:contextualSpacing/>
      <w:ind w:left="720"/>
    </w:pPr>
  </w:style>
  <w:style w:type="paragraph" w:styleId="860">
    <w:name w:val="No Spacing"/>
    <w:uiPriority w:val="1"/>
    <w:qFormat/>
  </w:style>
  <w:style w:type="paragraph" w:styleId="861">
    <w:name w:val="Quote"/>
    <w:basedOn w:val="819"/>
    <w:next w:val="819"/>
    <w:uiPriority w:val="29"/>
    <w:qFormat/>
    <w:pPr>
      <w:ind w:left="720" w:right="720"/>
    </w:pPr>
    <w:rPr>
      <w:i/>
    </w:rPr>
  </w:style>
  <w:style w:type="paragraph" w:styleId="862">
    <w:name w:val="Intense Quote"/>
    <w:basedOn w:val="819"/>
    <w:next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style>
  <w:style w:type="paragraph" w:styleId="864" w:customStyle="1">
    <w:name w:val="标题 11"/>
    <w:basedOn w:val="819"/>
    <w:next w:val="819"/>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9"/>
    <w:next w:val="819"/>
    <w:uiPriority w:val="1"/>
    <w:qFormat/>
    <w:pPr>
      <w:ind w:left="320"/>
      <w:outlineLvl w:val="1"/>
    </w:pPr>
    <w:rPr>
      <w:sz w:val="36"/>
      <w:szCs w:val="36"/>
    </w:rPr>
  </w:style>
  <w:style w:type="paragraph" w:styleId="866" w:customStyle="1">
    <w:name w:val="标题 31"/>
    <w:basedOn w:val="819"/>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9"/>
    <w:qFormat/>
    <w:pPr>
      <w:ind w:firstLine="420"/>
    </w:pPr>
  </w:style>
  <w:style w:type="paragraph" w:styleId="868" w:customStyle="1">
    <w:name w:val="标题 41"/>
    <w:basedOn w:val="819"/>
    <w:next w:val="819"/>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9"/>
    <w:next w:val="819"/>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9"/>
    <w:next w:val="819"/>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9"/>
    <w:next w:val="819"/>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9"/>
    <w:next w:val="819"/>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9"/>
    <w:next w:val="819"/>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9"/>
    <w:next w:val="819"/>
    <w:uiPriority w:val="39"/>
    <w:unhideWhenUsed/>
    <w:qFormat/>
    <w:pPr>
      <w:ind w:left="1701"/>
      <w:spacing w:after="57"/>
    </w:pPr>
  </w:style>
  <w:style w:type="paragraph" w:styleId="882" w:customStyle="1">
    <w:name w:val="题注1"/>
    <w:basedOn w:val="819"/>
    <w:next w:val="819"/>
    <w:uiPriority w:val="35"/>
    <w:qFormat/>
    <w:pPr>
      <w:spacing w:line="276" w:lineRule="auto"/>
    </w:pPr>
    <w:rPr>
      <w:b/>
      <w:bCs/>
      <w:color w:val="4f81bd"/>
      <w:sz w:val="18"/>
      <w:szCs w:val="18"/>
    </w:rPr>
  </w:style>
  <w:style w:type="paragraph" w:styleId="883" w:customStyle="1">
    <w:name w:val="文档结构图1"/>
    <w:basedOn w:val="819"/>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9"/>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9"/>
    <w:qFormat/>
    <w:rPr>
      <w:rFonts w:ascii="仿宋_GB2312" w:hAnsi="Arial" w:eastAsia="仿宋_GB2312"/>
      <w:sz w:val="32"/>
    </w:rPr>
  </w:style>
  <w:style w:type="paragraph" w:styleId="888" w:customStyle="1">
    <w:name w:val="正文文本1"/>
    <w:basedOn w:val="819"/>
    <w:next w:val="819"/>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9"/>
    <w:qFormat/>
    <w:pPr>
      <w:ind w:firstLine="600"/>
      <w:spacing w:line="400" w:lineRule="atLeast"/>
    </w:pPr>
    <w:rPr>
      <w:rFonts w:ascii="仿宋_GB2312" w:eastAsia="仿宋_GB2312"/>
      <w:bCs/>
      <w:sz w:val="24"/>
    </w:rPr>
  </w:style>
  <w:style w:type="paragraph" w:styleId="891" w:customStyle="1">
    <w:name w:val="列表项目符号 21"/>
    <w:basedOn w:val="819"/>
    <w:qFormat/>
    <w:pPr>
      <w:numPr>
        <w:numId w:val="1"/>
      </w:numPr>
    </w:pPr>
  </w:style>
  <w:style w:type="paragraph" w:styleId="892" w:customStyle="1">
    <w:name w:val="索引 41"/>
    <w:basedOn w:val="819"/>
    <w:next w:val="819"/>
    <w:semiHidden/>
    <w:qFormat/>
    <w:pPr>
      <w:ind w:left="1260"/>
    </w:pPr>
  </w:style>
  <w:style w:type="paragraph" w:styleId="893" w:customStyle="1">
    <w:name w:val="目录 51"/>
    <w:basedOn w:val="819"/>
    <w:next w:val="819"/>
    <w:uiPriority w:val="39"/>
    <w:unhideWhenUsed/>
    <w:qFormat/>
    <w:pPr>
      <w:ind w:left="1134"/>
      <w:spacing w:after="57"/>
    </w:pPr>
  </w:style>
  <w:style w:type="paragraph" w:styleId="894" w:customStyle="1">
    <w:name w:val="目录 31"/>
    <w:basedOn w:val="819"/>
    <w:next w:val="819"/>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9"/>
    <w:next w:val="819"/>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9"/>
    <w:next w:val="819"/>
    <w:uiPriority w:val="39"/>
    <w:unhideWhenUsed/>
    <w:qFormat/>
    <w:pPr>
      <w:ind w:left="1984"/>
      <w:spacing w:after="57"/>
    </w:pPr>
  </w:style>
  <w:style w:type="paragraph" w:styleId="898" w:customStyle="1">
    <w:name w:val="索引 31"/>
    <w:basedOn w:val="819"/>
    <w:next w:val="819"/>
    <w:qFormat/>
    <w:pPr>
      <w:ind w:left="400"/>
      <w:jc w:val="both"/>
    </w:pPr>
    <w:rPr>
      <w:rFonts w:ascii="Times New Roman" w:hAnsi="Times New Roman" w:cs="Times New Roman"/>
      <w:sz w:val="21"/>
      <w:szCs w:val="20"/>
      <w:lang w:val="en-US" w:bidi="ar-SA"/>
    </w:rPr>
  </w:style>
  <w:style w:type="paragraph" w:styleId="899" w:customStyle="1">
    <w:name w:val="尾注文本1"/>
    <w:basedOn w:val="819"/>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9"/>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9"/>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9"/>
    <w:next w:val="819"/>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9"/>
    <w:next w:val="819"/>
    <w:uiPriority w:val="1"/>
    <w:qFormat/>
    <w:pPr>
      <w:ind w:left="1058"/>
      <w:spacing w:line="256" w:lineRule="exact"/>
    </w:pPr>
    <w:rPr>
      <w:sz w:val="21"/>
      <w:szCs w:val="21"/>
    </w:rPr>
  </w:style>
  <w:style w:type="paragraph" w:styleId="908" w:customStyle="1">
    <w:name w:val="副标题1"/>
    <w:basedOn w:val="819"/>
    <w:next w:val="819"/>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9"/>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9"/>
    <w:next w:val="819"/>
    <w:uiPriority w:val="39"/>
    <w:unhideWhenUsed/>
    <w:qFormat/>
    <w:pPr>
      <w:ind w:left="1417"/>
      <w:spacing w:after="57"/>
    </w:pPr>
  </w:style>
  <w:style w:type="paragraph" w:styleId="913" w:customStyle="1">
    <w:name w:val="图表目录1"/>
    <w:basedOn w:val="819"/>
    <w:next w:val="819"/>
    <w:uiPriority w:val="99"/>
    <w:unhideWhenUsed/>
    <w:qFormat/>
  </w:style>
  <w:style w:type="paragraph" w:styleId="914" w:customStyle="1">
    <w:name w:val="目录 21"/>
    <w:basedOn w:val="819"/>
    <w:next w:val="819"/>
    <w:uiPriority w:val="1"/>
    <w:qFormat/>
    <w:pPr>
      <w:ind w:left="218"/>
      <w:spacing w:before="43"/>
    </w:pPr>
    <w:rPr>
      <w:sz w:val="21"/>
      <w:szCs w:val="21"/>
    </w:rPr>
  </w:style>
  <w:style w:type="paragraph" w:styleId="915" w:customStyle="1">
    <w:name w:val="目录 91"/>
    <w:basedOn w:val="819"/>
    <w:next w:val="819"/>
    <w:uiPriority w:val="39"/>
    <w:unhideWhenUsed/>
    <w:qFormat/>
    <w:pPr>
      <w:ind w:left="2268"/>
      <w:spacing w:after="57"/>
    </w:pPr>
  </w:style>
  <w:style w:type="paragraph" w:styleId="916" w:customStyle="1">
    <w:name w:val="普通(网站)1"/>
    <w:basedOn w:val="819"/>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9"/>
    <w:next w:val="819"/>
    <w:unhideWhenUsed/>
    <w:qFormat/>
  </w:style>
  <w:style w:type="paragraph" w:styleId="918" w:customStyle="1">
    <w:name w:val="标题1"/>
    <w:basedOn w:val="819"/>
    <w:next w:val="819"/>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9"/>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style>
  <w:style w:type="paragraph" w:styleId="930" w:customStyle="1">
    <w:name w:val="TOC 标题112"/>
    <w:uiPriority w:val="39"/>
    <w:unhideWhenUsed/>
    <w:qFormat/>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style>
  <w:style w:type="paragraph" w:styleId="962" w:customStyle="1">
    <w:name w:val="首行缩进"/>
    <w:basedOn w:val="819"/>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style>
  <w:style w:type="paragraph" w:styleId="968" w:customStyle="1">
    <w:name w:val="引用1"/>
    <w:basedOn w:val="819"/>
    <w:next w:val="819"/>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9"/>
    <w:next w:val="819"/>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style>
  <w:style w:type="paragraph" w:styleId="1101" w:customStyle="1">
    <w:name w:val="正文1"/>
    <w:next w:val="819"/>
    <w:qFormat/>
    <w:pPr>
      <w:jc w:val="both"/>
      <w:widowControl w:val="off"/>
    </w:pPr>
    <w:rPr>
      <w:rFonts w:eastAsia="Times New Roman"/>
      <w:color w:val="000000"/>
      <w:sz w:val="21"/>
      <w:szCs w:val="21"/>
    </w:rPr>
  </w:style>
  <w:style w:type="paragraph" w:styleId="1102" w:customStyle="1">
    <w:name w:val="彩色列表1"/>
    <w:basedOn w:val="819"/>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9"/>
    <w:uiPriority w:val="1"/>
    <w:qFormat/>
    <w:pPr>
      <w:ind w:left="218" w:firstLine="419"/>
    </w:pPr>
  </w:style>
  <w:style w:type="paragraph" w:styleId="1105" w:customStyle="1">
    <w:name w:val="Table Paragraph"/>
    <w:basedOn w:val="819"/>
    <w:uiPriority w:val="1"/>
    <w:qFormat/>
  </w:style>
  <w:style w:type="paragraph" w:styleId="1106" w:customStyle="1">
    <w:name w:val="列出段落1"/>
    <w:basedOn w:val="819"/>
    <w:uiPriority w:val="99"/>
    <w:qFormat/>
    <w:rPr>
      <w:lang w:eastAsia="en-US"/>
    </w:rPr>
  </w:style>
  <w:style w:type="paragraph" w:styleId="1107" w:customStyle="1">
    <w:name w:val="ListBullet21"/>
    <w:basedOn w:val="819"/>
    <w:qFormat/>
    <w:pPr>
      <w:numPr>
        <w:numId w:val="2"/>
      </w:numPr>
      <w:tabs>
        <w:tab w:val="decimal" w:pos="780" w:leader="none"/>
      </w:tabs>
    </w:pPr>
  </w:style>
  <w:style w:type="paragraph" w:styleId="1108" w:customStyle="1">
    <w:name w:val="WPSOffice手动目录 1"/>
    <w:qFormat/>
  </w:style>
  <w:style w:type="paragraph" w:styleId="1109" w:customStyle="1">
    <w:name w:val="WPSOffice手动目录 3"/>
    <w:qFormat/>
    <w:pPr>
      <w:ind w:left="400"/>
    </w:pPr>
  </w:style>
  <w:style w:type="paragraph" w:styleId="1110" w:customStyle="1">
    <w:name w:val="WPSOffice手动目录 2"/>
    <w:qFormat/>
    <w:pPr>
      <w:ind w:left="200"/>
    </w:p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rFonts w:ascii="Calibri" w:hAnsi="Calibri"/>
      <w:sz w:val="21"/>
      <w:szCs w:val="22"/>
    </w:rPr>
  </w:style>
  <w:style w:type="paragraph" w:styleId="1113" w:customStyle="1">
    <w:name w:val="无间隔11"/>
    <w:qFormat/>
    <w:pPr>
      <w:jc w:val="both"/>
      <w:widowControl w:val="off"/>
    </w:pPr>
    <w:rPr>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9"/>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9"/>
    <w:uiPriority w:val="99"/>
    <w:qFormat/>
    <w:pPr>
      <w:ind w:firstLine="420"/>
    </w:pPr>
  </w:style>
  <w:style w:type="paragraph" w:styleId="1122" w:customStyle="1">
    <w:name w:val="Default"/>
    <w:qFormat/>
    <w:pPr>
      <w:widowControl w:val="off"/>
    </w:pPr>
    <w:rPr>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9"/>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rPr>
      <w:rFonts w:ascii="Calibri" w:hAnsi="Calibri"/>
    </w:r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9"/>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9"/>
    <w:qFormat/>
    <w:pPr>
      <w:ind w:firstLine="420"/>
      <w:jc w:val="both"/>
    </w:pPr>
    <w:rPr>
      <w:sz w:val="21"/>
      <w:szCs w:val="21"/>
    </w:rPr>
  </w:style>
  <w:style w:type="character" w:styleId="1136" w:customStyle="1">
    <w:name w:val="font21"/>
    <w:basedOn w:val="829"/>
    <w:qFormat/>
    <w:rPr>
      <w:rFonts w:hint="eastAsia" w:ascii="宋体" w:hAnsi="宋体" w:eastAsia="宋体" w:cs="宋体"/>
      <w:b/>
      <w:bCs/>
      <w:color w:val="000000"/>
      <w:sz w:val="20"/>
      <w:szCs w:val="20"/>
      <w:u w:val="none"/>
    </w:rPr>
  </w:style>
  <w:style w:type="character" w:styleId="1137" w:customStyle="1">
    <w:name w:val="批注框文本 Char1"/>
    <w:basedOn w:val="829"/>
    <w:link w:val="839"/>
    <w:uiPriority w:val="99"/>
    <w:semiHidden/>
    <w:qFormat/>
    <w:rPr>
      <w:rFonts w:ascii="宋体" w:hAnsi="宋体" w:cs="宋体"/>
      <w:sz w:val="18"/>
      <w:szCs w:val="18"/>
      <w:lang w:val="zh-CN" w:bidi="zh-CN"/>
    </w:rPr>
  </w:style>
  <w:style w:type="character" w:styleId="1138" w:customStyle="1">
    <w:name w:val="批注文字 Char1"/>
    <w:basedOn w:val="829"/>
    <w:link w:val="834"/>
    <w:uiPriority w:val="99"/>
    <w:semiHidden/>
    <w:qFormat/>
    <w:rPr>
      <w:rFonts w:ascii="宋体" w:hAnsi="宋体" w:cs="宋体"/>
      <w:sz w:val="22"/>
      <w:szCs w:val="22"/>
      <w:lang w:val="zh-CN" w:bidi="zh-CN"/>
    </w:rPr>
  </w:style>
  <w:style w:type="character" w:styleId="1139" w:customStyle="1">
    <w:name w:val="批注主题 Char1"/>
    <w:basedOn w:val="1138"/>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D93763-2D63-48E5-AC9F-1E269D477231}">
  <ds:schemaRefs>
    <ds:schemaRef ds:uri="http://schemas.openxmlformats.org/officeDocument/2006/bibliography"/>
  </ds:schemaRefs>
</ds:datastoreItem>
</file>

<file path=customXml/itemProps2.xml><?xml version="1.0" encoding="utf-8"?>
<ds:datastoreItem xmlns:ds="http://schemas.openxmlformats.org/officeDocument/2006/customXml" ds:itemID="{F026B80C-CC86-43C3-831D-9434F5D1CBD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33</cp:revision>
  <dcterms:created xsi:type="dcterms:W3CDTF">2026-06-08T06:10:00Z</dcterms:created>
  <dcterms:modified xsi:type="dcterms:W3CDTF">2026-08-05T02:41:43Z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