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jc w:val="center"/>
        <w:rPr>
          <w:rFonts w:ascii="宋体" w:hAnsi="宋体" w:cs="宋体"/>
          <w:b/>
          <w:bCs/>
          <w:color w:val="000000"/>
          <w:sz w:val="84"/>
          <w:szCs w:val="84"/>
          <w:highlight w:val="none"/>
        </w:rPr>
      </w:pPr>
      <w:r>
        <w:rPr>
          <w:rFonts w:ascii="宋体" w:hAnsi="宋体" w:cs="宋体"/>
          <w:b/>
          <w:bCs/>
          <w:color w:val="000000"/>
          <w:sz w:val="84"/>
          <w:szCs w:val="84"/>
          <w:highlight w:val="none"/>
        </w:rPr>
      </w:r>
      <w:r/>
    </w:p>
    <w:p>
      <w:pPr>
        <w:pStyle w:val="682"/>
        <w:jc w:val="center"/>
        <w:rPr>
          <w:rFonts w:ascii="宋体" w:hAnsi="宋体" w:cs="宋体"/>
          <w:b/>
          <w:bCs/>
          <w:color w:val="000000"/>
          <w:sz w:val="84"/>
          <w:szCs w:val="84"/>
          <w:highlight w:val="none"/>
        </w:rPr>
      </w:pPr>
      <w:r>
        <w:rPr>
          <w:rFonts w:hint="eastAsia" w:ascii="宋体" w:hAnsi="宋体" w:cs="宋体"/>
          <w:b/>
          <w:bCs/>
          <w:color w:val="000000"/>
          <w:sz w:val="84"/>
          <w:szCs w:val="84"/>
          <w:highlight w:val="none"/>
        </w:rPr>
        <w:t xml:space="preserve">苏州政府采购</w:t>
      </w:r>
      <w:r>
        <w:rPr>
          <w:rFonts w:ascii="宋体" w:hAnsi="宋体" w:cs="宋体"/>
          <w:b/>
          <w:bCs/>
          <w:color w:val="000000"/>
          <w:sz w:val="84"/>
          <w:szCs w:val="84"/>
          <w:highlight w:val="none"/>
        </w:rPr>
      </w:r>
      <w:r/>
    </w:p>
    <w:p>
      <w:pPr>
        <w:pStyle w:val="682"/>
        <w:jc w:val="center"/>
        <w:rPr>
          <w:rFonts w:ascii="宋体" w:hAnsi="宋体" w:cs="宋体"/>
          <w:color w:val="000000"/>
          <w:sz w:val="84"/>
          <w:szCs w:val="84"/>
          <w:highlight w:val="none"/>
        </w:rPr>
      </w:pPr>
      <w:r>
        <w:rPr>
          <w:rFonts w:hint="eastAsia" w:ascii="宋体" w:hAnsi="宋体" w:cs="宋体"/>
          <w:b/>
          <w:bCs/>
          <w:color w:val="000000"/>
          <w:sz w:val="84"/>
          <w:szCs w:val="84"/>
          <w:highlight w:val="none"/>
        </w:rPr>
        <w:t xml:space="preserve">招标文件</w:t>
      </w:r>
      <w:r>
        <w:rPr>
          <w:rFonts w:ascii="宋体" w:hAnsi="宋体" w:cs="宋体"/>
          <w:color w:val="000000"/>
          <w:sz w:val="84"/>
          <w:szCs w:val="84"/>
          <w:highlight w:val="none"/>
        </w:rPr>
      </w:r>
      <w:r/>
    </w:p>
    <w:p>
      <w:pPr>
        <w:pStyle w:val="682"/>
        <w:rPr>
          <w:rFonts w:ascii="宋体" w:hAnsi="宋体" w:cs="宋体"/>
          <w:color w:val="000000"/>
          <w:sz w:val="84"/>
          <w:szCs w:val="84"/>
          <w:highlight w:val="none"/>
        </w:rPr>
      </w:pPr>
      <w:r>
        <w:rPr>
          <w:rFonts w:ascii="宋体" w:hAnsi="宋体" w:cs="宋体"/>
          <w:color w:val="000000"/>
          <w:sz w:val="84"/>
          <w:szCs w:val="84"/>
          <w:highlight w:val="none"/>
        </w:rPr>
      </w:r>
      <w:r/>
    </w:p>
    <w:p>
      <w:pPr>
        <w:pStyle w:val="682"/>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682"/>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项目名称：2026年环境监测能力建设项目和大气超级站运维耗材采购项目</w:t>
      </w:r>
      <w:r>
        <w:rPr>
          <w:rFonts w:ascii="宋体" w:hAnsi="宋体" w:cs="宋体"/>
          <w:b/>
          <w:bCs/>
          <w:color w:val="000000"/>
          <w:sz w:val="32"/>
          <w:szCs w:val="32"/>
          <w:highlight w:val="none"/>
        </w:rPr>
      </w:r>
      <w:r/>
    </w:p>
    <w:p>
      <w:pPr>
        <w:pStyle w:val="682"/>
        <w:ind w:firstLine="321"/>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项目编号：JSZC-320500-SZJX-G2026-0043</w:t>
      </w:r>
      <w:r>
        <w:rPr>
          <w:rFonts w:ascii="宋体" w:hAnsi="宋体" w:cs="宋体"/>
          <w:b/>
          <w:bCs/>
          <w:color w:val="000000"/>
          <w:sz w:val="32"/>
          <w:szCs w:val="32"/>
          <w:highlight w:val="none"/>
        </w:rPr>
      </w:r>
      <w:r/>
    </w:p>
    <w:p>
      <w:pPr>
        <w:pStyle w:val="682"/>
        <w:rPr>
          <w:color w:val="000000"/>
          <w:highlight w:val="none"/>
        </w:rPr>
      </w:pPr>
      <w:r>
        <w:rPr>
          <w:rFonts w:hint="eastAsia"/>
          <w:color w:val="000000"/>
          <w:highlight w:val="none"/>
        </w:rPr>
        <w:t xml:space="preserve">  </w:t>
      </w:r>
      <w:r>
        <w:rPr>
          <w:rFonts w:hint="eastAsia" w:ascii="宋体" w:hAnsi="宋体" w:cs="宋体"/>
          <w:b/>
          <w:bCs/>
          <w:color w:val="000000"/>
          <w:sz w:val="32"/>
          <w:szCs w:val="32"/>
          <w:highlight w:val="none"/>
        </w:rPr>
        <w:t xml:space="preserve"> 采购单位：江苏省苏州环境监测中心</w:t>
      </w:r>
      <w:r>
        <w:rPr>
          <w:color w:val="000000"/>
          <w:highlight w:val="none"/>
        </w:rPr>
      </w:r>
      <w:r/>
    </w:p>
    <w:p>
      <w:pPr>
        <w:pStyle w:val="892"/>
        <w:rPr>
          <w:color w:val="000000"/>
          <w:highlight w:val="none"/>
        </w:rPr>
      </w:pPr>
      <w:r>
        <w:rPr>
          <w:rFonts w:hint="eastAsia"/>
          <w:color w:val="000000"/>
          <w:highlight w:val="none"/>
        </w:rPr>
        <w:t xml:space="preserve">   </w:t>
      </w:r>
      <w:r>
        <w:rPr>
          <w:rFonts w:hint="eastAsia" w:ascii="宋体" w:hAnsi="宋体" w:cs="宋体"/>
          <w:b/>
          <w:bCs/>
          <w:color w:val="000000"/>
          <w:sz w:val="32"/>
          <w:szCs w:val="32"/>
          <w:highlight w:val="none"/>
        </w:rPr>
        <w:t xml:space="preserve">项目类别：货物类</w:t>
      </w:r>
      <w:r>
        <w:rPr>
          <w:color w:val="000000"/>
          <w:highlight w:val="none"/>
        </w:rPr>
      </w:r>
      <w:r/>
    </w:p>
    <w:p>
      <w:pPr>
        <w:pStyle w:val="682"/>
        <w:rPr>
          <w:color w:val="000000"/>
          <w:highlight w:val="none"/>
        </w:rPr>
      </w:pPr>
      <w:r>
        <w:rPr>
          <w:color w:val="000000"/>
          <w:highlight w:val="none"/>
        </w:rPr>
      </w:r>
      <w:r/>
    </w:p>
    <w:p>
      <w:pPr>
        <w:pStyle w:val="892"/>
        <w:rPr>
          <w:color w:val="000000"/>
          <w:highlight w:val="none"/>
        </w:rPr>
      </w:pPr>
      <w:r>
        <w:rPr>
          <w:color w:val="000000"/>
          <w:highlight w:val="none"/>
        </w:rPr>
      </w:r>
      <w:r/>
    </w:p>
    <w:p>
      <w:pPr>
        <w:pStyle w:val="682"/>
        <w:rPr>
          <w:color w:val="000000"/>
          <w:highlight w:val="none"/>
        </w:rPr>
      </w:pPr>
      <w:r>
        <w:rPr>
          <w:color w:val="000000"/>
          <w:highlight w:val="none"/>
        </w:rPr>
      </w:r>
      <w:r/>
    </w:p>
    <w:p>
      <w:pPr>
        <w:pStyle w:val="891"/>
        <w:ind w:firstLine="280"/>
        <w:rPr>
          <w:color w:val="000000"/>
          <w:highlight w:val="none"/>
        </w:rPr>
      </w:pPr>
      <w:r>
        <w:rPr>
          <w:color w:val="000000"/>
          <w:highlight w:val="none"/>
        </w:rPr>
      </w:r>
      <w:r/>
    </w:p>
    <w:p>
      <w:pPr>
        <w:pStyle w:val="682"/>
        <w:rPr>
          <w:color w:val="000000"/>
          <w:highlight w:val="none"/>
        </w:rPr>
      </w:pPr>
      <w:r>
        <w:rPr>
          <w:color w:val="000000"/>
          <w:highlight w:val="none"/>
        </w:rPr>
      </w:r>
      <w:r/>
    </w:p>
    <w:p>
      <w:pPr>
        <w:pStyle w:val="682"/>
        <w:jc w:val="center"/>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苏州捷信招投标咨询有限公司</w:t>
      </w:r>
      <w:r>
        <w:rPr>
          <w:rFonts w:ascii="宋体" w:hAnsi="宋体" w:cs="宋体"/>
          <w:b/>
          <w:bCs/>
          <w:color w:val="000000"/>
          <w:sz w:val="32"/>
          <w:szCs w:val="32"/>
          <w:highlight w:val="none"/>
        </w:rPr>
      </w:r>
      <w:r/>
    </w:p>
    <w:p>
      <w:pPr>
        <w:pStyle w:val="682"/>
        <w:jc w:val="center"/>
        <w:rPr>
          <w:rFonts w:ascii="宋体" w:hAnsi="宋体" w:cs="宋体"/>
          <w:b/>
          <w:bCs/>
          <w:color w:val="000000"/>
          <w:sz w:val="28"/>
          <w:szCs w:val="28"/>
          <w:highlight w:val="none"/>
        </w:rPr>
      </w:pPr>
      <w:r>
        <w:rPr>
          <w:rFonts w:hint="eastAsia" w:ascii="宋体" w:hAnsi="宋体" w:cs="宋体"/>
          <w:b/>
          <w:bCs/>
          <w:color w:val="000000"/>
          <w:sz w:val="32"/>
          <w:szCs w:val="32"/>
          <w:highlight w:val="none"/>
        </w:rPr>
        <w:t xml:space="preserve">二〇二六年七月</w:t>
      </w:r>
      <w:r>
        <w:rPr>
          <w:rFonts w:ascii="宋体" w:hAnsi="宋体" w:cs="宋体"/>
          <w:b/>
          <w:bCs/>
          <w:color w:val="000000"/>
          <w:sz w:val="28"/>
          <w:szCs w:val="28"/>
          <w:highlight w:val="none"/>
        </w:rPr>
      </w:r>
      <w:r/>
    </w:p>
    <w:p>
      <w:pPr>
        <w:pStyle w:val="891"/>
        <w:ind w:firstLine="280"/>
        <w:rPr>
          <w:color w:val="000000"/>
          <w:highlight w:val="none"/>
        </w:rPr>
      </w:pPr>
      <w:r>
        <w:rPr>
          <w:color w:val="000000"/>
          <w:highlight w:val="none"/>
        </w:rPr>
      </w:r>
      <w:r/>
    </w:p>
    <w:p>
      <w:pPr>
        <w:pStyle w:val="891"/>
        <w:ind w:firstLine="280"/>
        <w:rPr>
          <w:color w:val="000000"/>
          <w:highlight w:val="none"/>
        </w:rPr>
      </w:pPr>
      <w:r>
        <w:rPr>
          <w:color w:val="000000"/>
          <w:highlight w:val="none"/>
        </w:rPr>
      </w:r>
      <w:r/>
    </w:p>
    <w:p>
      <w:pPr>
        <w:pStyle w:val="891"/>
        <w:ind w:firstLine="280"/>
        <w:rPr>
          <w:color w:val="000000"/>
          <w:highlight w:val="none"/>
        </w:rPr>
      </w:pPr>
      <w:r>
        <w:rPr>
          <w:color w:val="000000"/>
          <w:highlight w:val="none"/>
        </w:rPr>
      </w:r>
      <w:r/>
    </w:p>
    <w:p>
      <w:pPr>
        <w:pStyle w:val="682"/>
        <w:jc w:val="center"/>
        <w:spacing w:line="480" w:lineRule="auto"/>
        <w:rPr>
          <w:rFonts w:ascii="宋体" w:hAnsi="宋体" w:cs="宋体"/>
          <w:color w:val="000000"/>
          <w:highlight w:val="none"/>
        </w:rPr>
        <w:outlineLvl w:val="0"/>
      </w:pPr>
      <w:r>
        <w:rPr>
          <w:rFonts w:hint="eastAsia" w:ascii="宋体" w:hAnsi="宋体" w:cs="宋体"/>
          <w:color w:val="000000"/>
          <w:highlight w:val="none"/>
        </w:rPr>
        <w:t xml:space="preserve"> </w:t>
      </w:r>
      <w:r>
        <w:rPr>
          <w:rFonts w:ascii="宋体" w:hAnsi="宋体" w:cs="宋体"/>
          <w:color w:val="000000"/>
          <w:highlight w:val="none"/>
        </w:rPr>
      </w:r>
      <w:r/>
    </w:p>
    <w:p>
      <w:pPr>
        <w:pStyle w:val="682"/>
        <w:rPr>
          <w:rFonts w:ascii="宋体" w:hAnsi="宋体" w:cs="宋体"/>
          <w:b/>
          <w:bCs/>
          <w:color w:val="000000"/>
          <w:sz w:val="44"/>
          <w:szCs w:val="44"/>
          <w:highlight w:val="none"/>
        </w:rPr>
        <w:outlineLvl w:val="0"/>
      </w:pPr>
      <w:r>
        <w:rPr>
          <w:rFonts w:hint="eastAsia" w:ascii="宋体" w:hAnsi="宋体" w:cs="宋体"/>
          <w:b/>
          <w:color w:val="000000"/>
          <w:sz w:val="44"/>
          <w:highlight w:val="none"/>
        </w:rPr>
        <w:br w:type="page" w:clear="all"/>
      </w:r>
      <w:r>
        <w:rPr>
          <w:rFonts w:ascii="宋体" w:hAnsi="宋体" w:cs="宋体"/>
          <w:b/>
          <w:bCs/>
          <w:color w:val="000000"/>
          <w:sz w:val="44"/>
          <w:szCs w:val="44"/>
          <w:highlight w:val="none"/>
        </w:rPr>
      </w:r>
      <w:r/>
    </w:p>
    <w:p>
      <w:pPr>
        <w:pStyle w:val="682"/>
        <w:jc w:val="center"/>
        <w:spacing w:line="480" w:lineRule="auto"/>
        <w:rPr>
          <w:rFonts w:ascii="宋体" w:hAnsi="宋体" w:cs="宋体"/>
          <w:b/>
          <w:bCs/>
          <w:color w:val="000000"/>
          <w:sz w:val="44"/>
          <w:szCs w:val="44"/>
          <w:highlight w:val="none"/>
        </w:rPr>
        <w:outlineLvl w:val="0"/>
      </w:pPr>
      <w:r>
        <w:rPr>
          <w:rFonts w:hint="eastAsia" w:ascii="宋体" w:hAnsi="宋体" w:cs="宋体"/>
          <w:b/>
          <w:color w:val="000000"/>
          <w:sz w:val="44"/>
          <w:highlight w:val="none"/>
        </w:rPr>
        <w:t xml:space="preserve">总  目  录</w:t>
      </w:r>
      <w:r>
        <w:rPr>
          <w:rFonts w:ascii="宋体" w:hAnsi="宋体" w:cs="宋体"/>
          <w:b/>
          <w:bCs/>
          <w:color w:val="000000"/>
          <w:sz w:val="44"/>
          <w:szCs w:val="44"/>
          <w:highlight w:val="none"/>
        </w:rPr>
      </w:r>
      <w:r/>
    </w:p>
    <w:p>
      <w:pPr>
        <w:pStyle w:val="682"/>
        <w:spacing w:line="480" w:lineRule="auto"/>
        <w:rPr>
          <w:rFonts w:ascii="宋体" w:hAnsi="宋体" w:cs="宋体"/>
          <w:b/>
          <w:bCs/>
          <w:color w:val="000000"/>
          <w:sz w:val="36"/>
          <w:highlight w:val="none"/>
        </w:rPr>
        <w:outlineLvl w:val="0"/>
      </w:pPr>
      <w:r>
        <w:rPr>
          <w:rFonts w:hint="eastAsia" w:ascii="宋体" w:hAnsi="宋体" w:cs="宋体"/>
          <w:b/>
          <w:bCs/>
          <w:color w:val="000000"/>
          <w:sz w:val="36"/>
          <w:highlight w:val="none"/>
        </w:rPr>
        <w:t xml:space="preserve">前附表</w:t>
      </w:r>
      <w:r>
        <w:rPr>
          <w:rFonts w:ascii="宋体" w:hAnsi="宋体" w:cs="宋体"/>
          <w:b/>
          <w:bCs/>
          <w:color w:val="000000"/>
          <w:sz w:val="36"/>
          <w:highlight w:val="none"/>
        </w:rPr>
      </w:r>
      <w:r/>
    </w:p>
    <w:p>
      <w:pPr>
        <w:pStyle w:val="682"/>
        <w:spacing w:line="480" w:lineRule="auto"/>
        <w:rPr>
          <w:rFonts w:ascii="宋体" w:hAnsi="宋体" w:cs="宋体"/>
          <w:b/>
          <w:bCs/>
          <w:color w:val="000000"/>
          <w:sz w:val="32"/>
          <w:highlight w:val="none"/>
        </w:rPr>
        <w:outlineLvl w:val="0"/>
      </w:pPr>
      <w:r>
        <w:rPr>
          <w:rFonts w:hint="eastAsia" w:ascii="宋体" w:hAnsi="宋体" w:cs="宋体"/>
          <w:b/>
          <w:bCs/>
          <w:color w:val="000000"/>
          <w:sz w:val="36"/>
          <w:highlight w:val="none"/>
        </w:rPr>
        <w:t xml:space="preserve">第一章  投标邀请</w:t>
      </w:r>
      <w:r>
        <w:rPr>
          <w:rFonts w:ascii="宋体" w:hAnsi="宋体" w:cs="宋体"/>
          <w:b/>
          <w:bCs/>
          <w:color w:val="000000"/>
          <w:sz w:val="32"/>
          <w:highlight w:val="none"/>
        </w:rPr>
      </w:r>
      <w:r/>
    </w:p>
    <w:p>
      <w:pPr>
        <w:pStyle w:val="682"/>
        <w:spacing w:line="480" w:lineRule="auto"/>
        <w:rPr>
          <w:rFonts w:ascii="宋体" w:hAnsi="宋体" w:cs="宋体"/>
          <w:b/>
          <w:bCs/>
          <w:color w:val="000000"/>
          <w:sz w:val="36"/>
          <w:highlight w:val="none"/>
        </w:rPr>
        <w:outlineLvl w:val="0"/>
      </w:pPr>
      <w:r>
        <w:rPr>
          <w:rFonts w:hint="eastAsia" w:ascii="宋体" w:hAnsi="宋体" w:cs="宋体"/>
          <w:b/>
          <w:bCs/>
          <w:color w:val="000000"/>
          <w:sz w:val="36"/>
          <w:szCs w:val="36"/>
          <w:highlight w:val="none"/>
        </w:rPr>
        <w:t xml:space="preserve">第二章  投标人须知</w:t>
      </w:r>
      <w:r>
        <w:rPr>
          <w:rFonts w:ascii="宋体" w:hAnsi="宋体" w:cs="宋体"/>
          <w:b/>
          <w:bCs/>
          <w:color w:val="000000"/>
          <w:sz w:val="36"/>
          <w:highlight w:val="none"/>
        </w:rPr>
      </w:r>
      <w:r/>
    </w:p>
    <w:p>
      <w:pPr>
        <w:pStyle w:val="682"/>
        <w:spacing w:line="480" w:lineRule="auto"/>
        <w:rPr>
          <w:rFonts w:ascii="宋体" w:hAnsi="宋体" w:cs="宋体"/>
          <w:b/>
          <w:bCs/>
          <w:color w:val="000000"/>
          <w:sz w:val="36"/>
          <w:highlight w:val="none"/>
        </w:rPr>
        <w:outlineLvl w:val="0"/>
      </w:pPr>
      <w:r>
        <w:rPr>
          <w:rFonts w:hint="eastAsia" w:ascii="宋体" w:hAnsi="宋体" w:cs="宋体"/>
          <w:b/>
          <w:bCs/>
          <w:color w:val="000000"/>
          <w:sz w:val="36"/>
          <w:highlight w:val="none"/>
        </w:rPr>
        <w:t xml:space="preserve">第三章  合同文本</w:t>
      </w:r>
      <w:r>
        <w:rPr>
          <w:rFonts w:ascii="宋体" w:hAnsi="宋体" w:cs="宋体"/>
          <w:b/>
          <w:bCs/>
          <w:color w:val="000000"/>
          <w:sz w:val="36"/>
          <w:highlight w:val="none"/>
        </w:rPr>
      </w:r>
      <w:r/>
    </w:p>
    <w:p>
      <w:pPr>
        <w:pStyle w:val="682"/>
        <w:spacing w:line="480" w:lineRule="auto"/>
        <w:rPr>
          <w:rFonts w:ascii="宋体" w:hAnsi="宋体" w:cs="宋体"/>
          <w:b/>
          <w:bCs/>
          <w:color w:val="000000"/>
          <w:sz w:val="36"/>
          <w:highlight w:val="none"/>
        </w:rPr>
        <w:outlineLvl w:val="0"/>
      </w:pPr>
      <w:r>
        <w:rPr>
          <w:rFonts w:hint="eastAsia" w:ascii="宋体" w:hAnsi="宋体" w:cs="宋体"/>
          <w:b/>
          <w:bCs/>
          <w:color w:val="000000"/>
          <w:sz w:val="36"/>
          <w:highlight w:val="none"/>
        </w:rPr>
        <w:t xml:space="preserve">第四章  采购需求</w:t>
      </w:r>
      <w:r>
        <w:rPr>
          <w:rFonts w:ascii="宋体" w:hAnsi="宋体" w:cs="宋体"/>
          <w:b/>
          <w:bCs/>
          <w:color w:val="000000"/>
          <w:sz w:val="36"/>
          <w:highlight w:val="none"/>
        </w:rPr>
      </w:r>
      <w:r/>
    </w:p>
    <w:p>
      <w:pPr>
        <w:pStyle w:val="682"/>
        <w:spacing w:line="480" w:lineRule="auto"/>
        <w:rPr>
          <w:rFonts w:ascii="宋体" w:hAnsi="宋体" w:cs="宋体"/>
          <w:b/>
          <w:bCs/>
          <w:color w:val="000000"/>
          <w:sz w:val="36"/>
          <w:highlight w:val="none"/>
        </w:rPr>
        <w:outlineLvl w:val="0"/>
      </w:pPr>
      <w:r>
        <w:rPr>
          <w:rFonts w:hint="eastAsia" w:ascii="宋体" w:hAnsi="宋体" w:cs="宋体"/>
          <w:b/>
          <w:bCs/>
          <w:color w:val="000000"/>
          <w:sz w:val="36"/>
          <w:szCs w:val="36"/>
          <w:highlight w:val="none"/>
        </w:rPr>
        <w:t xml:space="preserve">第五章  评标方法与评标标准</w:t>
      </w:r>
      <w:r>
        <w:rPr>
          <w:rFonts w:ascii="宋体" w:hAnsi="宋体" w:cs="宋体"/>
          <w:b/>
          <w:bCs/>
          <w:color w:val="000000"/>
          <w:sz w:val="36"/>
          <w:highlight w:val="none"/>
        </w:rPr>
      </w:r>
      <w:r/>
    </w:p>
    <w:p>
      <w:pPr>
        <w:pStyle w:val="682"/>
        <w:rPr>
          <w:rFonts w:ascii="宋体" w:hAnsi="宋体" w:cs="宋体"/>
          <w:b/>
          <w:bCs/>
          <w:color w:val="000000"/>
          <w:sz w:val="36"/>
          <w:highlight w:val="none"/>
        </w:rPr>
      </w:pPr>
      <w:r>
        <w:rPr>
          <w:rFonts w:hint="eastAsia" w:ascii="宋体" w:hAnsi="宋体" w:cs="宋体"/>
          <w:b/>
          <w:bCs/>
          <w:color w:val="000000"/>
          <w:sz w:val="36"/>
          <w:highlight w:val="none"/>
        </w:rPr>
        <w:t xml:space="preserve">第六章  投标文件格式</w:t>
      </w:r>
      <w:r>
        <w:rPr>
          <w:rFonts w:ascii="宋体" w:hAnsi="宋体" w:cs="宋体"/>
          <w:b/>
          <w:bCs/>
          <w:color w:val="000000"/>
          <w:sz w:val="36"/>
          <w:highlight w:val="none"/>
        </w:rPr>
      </w:r>
      <w:r/>
    </w:p>
    <w:p>
      <w:pPr>
        <w:pStyle w:val="892"/>
        <w:rPr>
          <w:rFonts w:ascii="宋体" w:hAnsi="宋体" w:cs="宋体"/>
          <w:b/>
          <w:bCs/>
          <w:color w:val="000000"/>
          <w:sz w:val="36"/>
          <w:highlight w:val="none"/>
        </w:rPr>
      </w:pPr>
      <w:r>
        <w:rPr>
          <w:rFonts w:ascii="宋体" w:hAnsi="宋体" w:cs="宋体"/>
          <w:b/>
          <w:bCs/>
          <w:color w:val="000000"/>
          <w:sz w:val="36"/>
          <w:highlight w:val="none"/>
        </w:rPr>
      </w:r>
      <w:r/>
    </w:p>
    <w:p>
      <w:pPr>
        <w:pStyle w:val="892"/>
        <w:rPr>
          <w:rFonts w:ascii="宋体" w:hAnsi="宋体" w:cs="宋体"/>
          <w:b/>
          <w:bCs/>
          <w:color w:val="000000"/>
          <w:sz w:val="36"/>
          <w:highlight w:val="none"/>
        </w:rPr>
      </w:pPr>
      <w:r>
        <w:rPr>
          <w:rFonts w:hint="eastAsia" w:ascii="宋体" w:hAnsi="宋体" w:cs="宋体"/>
          <w:b/>
          <w:bCs/>
          <w:color w:val="000000"/>
          <w:sz w:val="36"/>
          <w:highlight w:val="none"/>
        </w:rPr>
        <w:t xml:space="preserve">第七章  附件</w:t>
      </w:r>
      <w:r>
        <w:rPr>
          <w:rFonts w:ascii="宋体" w:hAnsi="宋体" w:cs="宋体"/>
          <w:b/>
          <w:bCs/>
          <w:color w:val="000000"/>
          <w:sz w:val="36"/>
          <w:highlight w:val="none"/>
        </w:rPr>
      </w:r>
      <w:r/>
    </w:p>
    <w:p>
      <w:pPr>
        <w:pStyle w:val="682"/>
        <w:rPr>
          <w:rFonts w:ascii="宋体" w:hAnsi="宋体" w:cs="宋体"/>
          <w:b/>
          <w:bCs/>
          <w:color w:val="000000"/>
          <w:sz w:val="36"/>
          <w:highlight w:val="none"/>
        </w:rPr>
      </w:pPr>
      <w:r>
        <w:rPr>
          <w:rFonts w:ascii="宋体" w:hAnsi="宋体" w:cs="宋体"/>
          <w:b/>
          <w:bCs/>
          <w:color w:val="000000"/>
          <w:sz w:val="36"/>
          <w:highlight w:val="none"/>
        </w:rPr>
      </w:r>
      <w:r/>
    </w:p>
    <w:p>
      <w:pPr>
        <w:pStyle w:val="682"/>
        <w:rPr>
          <w:rFonts w:ascii="宋体" w:hAnsi="宋体" w:cs="宋体"/>
          <w:b/>
          <w:bCs/>
          <w:color w:val="000000"/>
          <w:sz w:val="36"/>
          <w:highlight w:val="none"/>
        </w:rPr>
      </w:pPr>
      <w:r>
        <w:rPr>
          <w:rFonts w:ascii="宋体" w:hAnsi="宋体" w:cs="宋体"/>
          <w:b/>
          <w:bCs/>
          <w:color w:val="000000"/>
          <w:sz w:val="36"/>
          <w:highlight w:val="none"/>
        </w:rPr>
      </w:r>
      <w:r/>
    </w:p>
    <w:p>
      <w:pPr>
        <w:pStyle w:val="682"/>
        <w:keepNext/>
        <w:rPr>
          <w:rFonts w:ascii="宋体" w:hAnsi="宋体" w:cs="宋体"/>
          <w:b/>
          <w:bCs/>
          <w:color w:val="000000"/>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outlineLvl w:val="0"/>
      </w:pPr>
      <w:r>
        <w:rPr>
          <w:rFonts w:ascii="宋体" w:hAnsi="宋体" w:cs="宋体"/>
          <w:b/>
          <w:bCs/>
          <w:color w:val="000000"/>
          <w:sz w:val="44"/>
          <w:szCs w:val="44"/>
          <w:highlight w:val="none"/>
        </w:rPr>
      </w:r>
      <w:r/>
    </w:p>
    <w:p>
      <w:pPr>
        <w:pStyle w:val="867"/>
        <w:jc w:val="center"/>
        <w:pageBreakBefore/>
        <w:spacing w:line="360" w:lineRule="auto"/>
        <w:tabs>
          <w:tab w:val="right" w:pos="8302" w:leader="dot"/>
        </w:tabs>
        <w:rPr>
          <w:rStyle w:val="885"/>
          <w:rFonts w:ascii="宋体" w:hAnsi="宋体" w:cs="宋体"/>
          <w:bCs/>
          <w:color w:val="000000"/>
          <w:sz w:val="32"/>
          <w:szCs w:val="32"/>
          <w:highlight w:val="none"/>
        </w:rPr>
      </w:pPr>
      <w:r>
        <w:rPr>
          <w:rStyle w:val="885"/>
          <w:rFonts w:hint="eastAsia" w:ascii="宋体" w:hAnsi="宋体" w:cs="宋体"/>
          <w:bCs/>
          <w:color w:val="000000"/>
          <w:sz w:val="32"/>
          <w:szCs w:val="32"/>
          <w:highlight w:val="none"/>
        </w:rPr>
        <w:t xml:space="preserve">前附表</w:t>
      </w:r>
      <w:r>
        <w:rPr>
          <w:rStyle w:val="885"/>
          <w:rFonts w:ascii="宋体" w:hAnsi="宋体" w:cs="宋体"/>
          <w:bCs/>
          <w:color w:val="000000"/>
          <w:sz w:val="32"/>
          <w:szCs w:val="32"/>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3"/>
        <w:gridCol w:w="1750"/>
        <w:gridCol w:w="6169"/>
      </w:tblGrid>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项号</w:t>
            </w:r>
            <w:r>
              <w:rPr>
                <w:rFonts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ascii="宋体" w:hAnsi="宋体" w:cs="宋体"/>
                <w:b/>
                <w:bCs/>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center"/>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内      容</w:t>
            </w:r>
            <w:r>
              <w:rPr>
                <w:rFonts w:ascii="宋体" w:hAnsi="宋体" w:cs="宋体"/>
                <w:b/>
                <w:bCs/>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zh-CN"/>
              </w:rPr>
              <w:t xml:space="preserve">编号</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JSZC-320500-SZJX-G2026-0043</w:t>
            </w:r>
            <w:r>
              <w:rPr>
                <w:rFonts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招标内容</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2026年环境监测能力建设项目和大气超级站运维耗材采购项目</w:t>
            </w:r>
            <w:r>
              <w:rPr>
                <w:rFonts w:ascii="宋体" w:hAnsi="宋体" w:cs="宋体"/>
                <w:color w:val="000000"/>
                <w:szCs w:val="21"/>
                <w:highlight w:val="none"/>
              </w:rPr>
            </w:r>
            <w:r/>
          </w:p>
          <w:p>
            <w:pPr>
              <w:pStyle w:val="853"/>
              <w:ind w:firstLine="0"/>
              <w:rPr>
                <w:color w:val="000000"/>
                <w:highlight w:val="none"/>
              </w:rPr>
            </w:pPr>
            <w:r>
              <w:rPr>
                <w:rFonts w:hint="eastAsia" w:ascii="宋体" w:hAnsi="宋体" w:cs="宋体"/>
                <w:color w:val="000000"/>
                <w:sz w:val="21"/>
                <w:szCs w:val="21"/>
                <w:highlight w:val="none"/>
              </w:rPr>
              <w:t xml:space="preserve">第二标段：在线无机元素分析仪等设备耗材采购</w:t>
            </w:r>
            <w:r>
              <w:rPr>
                <w:color w:val="000000"/>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投标有效期</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90天（日历日）</w:t>
            </w:r>
            <w:r>
              <w:rPr>
                <w:rFonts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投标保证金</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858"/>
              <w:spacing w:line="360" w:lineRule="auto"/>
              <w:rPr>
                <w:rFonts w:ascii="宋体" w:hAnsi="宋体" w:cs="宋体"/>
                <w:color w:val="000000"/>
                <w:sz w:val="21"/>
                <w:szCs w:val="21"/>
                <w:highlight w:val="none"/>
              </w:rPr>
            </w:pPr>
            <w:r>
              <w:rPr>
                <w:rStyle w:val="1077"/>
                <w:rFonts w:ascii="Wingdings" w:hAnsi="Wingdings" w:eastAsia="Wingdings" w:cs="Wingdings"/>
                <w:color w:val="000000"/>
                <w:spacing w:val="0"/>
                <w:sz w:val="21"/>
                <w:szCs w:val="21"/>
                <w:highlight w:val="none"/>
              </w:rPr>
              <w:t xml:space="preserve"></w:t>
            </w:r>
            <w:r>
              <w:rPr>
                <w:rStyle w:val="1077"/>
                <w:rFonts w:hint="eastAsia" w:ascii="宋体" w:hAnsi="宋体" w:cs="宋体"/>
                <w:color w:val="000000"/>
                <w:spacing w:val="0"/>
                <w:sz w:val="21"/>
                <w:szCs w:val="21"/>
                <w:highlight w:val="none"/>
              </w:rPr>
              <w:t xml:space="preserve">不需提交，招标文件中有关投标保证金的规定均不适用。</w:t>
            </w:r>
            <w:r>
              <w:rPr>
                <w:rFonts w:ascii="宋体" w:hAnsi="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852"/>
              <w:jc w:val="center"/>
              <w:spacing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招标代理机构</w:t>
            </w: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360" w:lineRule="auto"/>
              <w:rPr>
                <w:rFonts w:ascii="宋体" w:hAnsi="宋体"/>
                <w:color w:val="000000"/>
                <w:szCs w:val="21"/>
                <w:highlight w:val="none"/>
              </w:rPr>
            </w:pPr>
            <w:r>
              <w:rPr>
                <w:rFonts w:hint="eastAsia" w:ascii="宋体" w:hAnsi="宋体"/>
                <w:color w:val="000000"/>
                <w:szCs w:val="21"/>
                <w:highlight w:val="none"/>
              </w:rPr>
              <w:t xml:space="preserve">苏州捷信招投标咨询有限公司</w:t>
            </w:r>
            <w:r>
              <w:rPr>
                <w:rFonts w:ascii="宋体" w:hAnsi="宋体"/>
                <w:color w:val="000000"/>
                <w:szCs w:val="21"/>
                <w:highlight w:val="none"/>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地  址：</w:t>
            </w:r>
            <w:r>
              <w:rPr>
                <w:rFonts w:hint="eastAsia" w:ascii="宋体" w:hAnsi="宋体" w:cs="宋体"/>
                <w:color w:val="000000"/>
                <w:szCs w:val="21"/>
                <w:highlight w:val="none"/>
              </w:rPr>
              <w:t xml:space="preserve">苏州市南园北路118号天和大厦6-206</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张瑾、陈丽韵</w:t>
            </w:r>
            <w:r>
              <w:rPr>
                <w:rFonts w:ascii="宋体" w:hAnsi="宋体" w:cs="宋体"/>
                <w:color w:val="000000"/>
                <w:szCs w:val="21"/>
                <w:highlight w:val="none"/>
              </w:rPr>
            </w:r>
            <w:r/>
          </w:p>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w:t>
            </w: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0512-65200361</w:t>
            </w:r>
            <w:r>
              <w:rPr>
                <w:rFonts w:hint="eastAsia" w:ascii="宋体" w:hAnsi="宋体" w:cs="宋体"/>
                <w:color w:val="000000"/>
                <w:szCs w:val="21"/>
                <w:highlight w:val="none"/>
                <w:lang w:val="zh-CN"/>
              </w:rPr>
              <w:t xml:space="preserve"> </w:t>
            </w:r>
            <w:r>
              <w:rPr>
                <w:rFonts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tabs>
                <w:tab w:val="left" w:pos="3600" w:leader="none"/>
              </w:tabs>
              <w:rPr>
                <w:rFonts w:ascii="宋体" w:hAnsi="宋体" w:cs="宋体"/>
                <w:color w:val="000000"/>
                <w:szCs w:val="21"/>
                <w:highlight w:val="none"/>
                <w:lang w:val="zh-CN"/>
              </w:rPr>
            </w:pPr>
            <w:r>
              <w:rPr>
                <w:rFonts w:hint="eastAsia" w:ascii="宋体" w:hAnsi="宋体" w:cs="宋体"/>
                <w:color w:val="000000"/>
                <w:szCs w:val="21"/>
                <w:highlight w:val="none"/>
              </w:rPr>
              <w:t xml:space="preserve">采购单位</w:t>
            </w:r>
            <w:r>
              <w:rPr>
                <w:rFonts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江苏省苏州环境监测中心</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val="zh-CN"/>
              </w:rPr>
              <w:t xml:space="preserve">苏州市虎丘区竹园路8号</w:t>
            </w:r>
            <w:r>
              <w:rPr>
                <w:rFonts w:ascii="宋体" w:hAnsi="宋体" w:cs="宋体"/>
                <w:color w:val="000000"/>
                <w:szCs w:val="21"/>
                <w:highlight w:val="none"/>
              </w:rPr>
            </w:r>
            <w:r/>
          </w:p>
          <w:p>
            <w:pPr>
              <w:pStyle w:val="682"/>
              <w:jc w:val="left"/>
              <w:spacing w:line="360"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联系人：李芳      </w:t>
            </w:r>
            <w:r>
              <w:rPr>
                <w:rFonts w:ascii="宋体" w:hAnsi="宋体" w:cs="宋体"/>
                <w:color w:val="000000"/>
                <w:highlight w:val="none"/>
                <w:lang w:val="zh-CN"/>
              </w:rPr>
            </w:r>
            <w:r/>
          </w:p>
          <w:p>
            <w:pPr>
              <w:pStyle w:val="682"/>
              <w:jc w:val="left"/>
              <w:spacing w:line="360"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联系电话：0512-68338011</w:t>
            </w:r>
            <w:r>
              <w:rPr>
                <w:rFonts w:ascii="宋体" w:hAnsi="宋体" w:cs="宋体"/>
                <w:color w:val="000000"/>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投标文件组成</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详见招标文件第二章</w:t>
            </w:r>
            <w:r>
              <w:rPr>
                <w:rFonts w:ascii="宋体" w:hAnsi="宋体" w:cs="宋体"/>
                <w:color w:val="000000"/>
                <w:szCs w:val="21"/>
                <w:highlight w:val="none"/>
              </w:rPr>
            </w:r>
            <w:r/>
          </w:p>
        </w:tc>
      </w:tr>
      <w:tr>
        <w:trPr>
          <w:trHeight w:val="891"/>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获取招标文件</w:t>
            </w:r>
            <w:r>
              <w:rPr>
                <w:rFonts w:ascii="宋体" w:hAnsi="宋体" w:cs="宋体"/>
                <w:color w:val="000000"/>
                <w:szCs w:val="21"/>
                <w:highlight w:val="none"/>
              </w:rPr>
            </w:r>
            <w:r/>
          </w:p>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时间</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自公告发布之日起5个工作日</w:t>
            </w:r>
            <w:r>
              <w:rPr>
                <w:rFonts w:ascii="宋体" w:hAnsi="宋体" w:cs="宋体"/>
                <w:color w:val="000000"/>
                <w:szCs w:val="21"/>
                <w:highlight w:val="none"/>
              </w:rPr>
            </w:r>
            <w:r/>
          </w:p>
        </w:tc>
      </w:tr>
      <w:tr>
        <w:trPr>
          <w:trHeight w:val="1342"/>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投标文件网上</w:t>
            </w:r>
            <w:r>
              <w:rPr>
                <w:rFonts w:ascii="宋体" w:hAnsi="宋体" w:cs="宋体"/>
                <w:color w:val="000000"/>
                <w:szCs w:val="21"/>
                <w:highlight w:val="none"/>
              </w:rPr>
            </w:r>
            <w:r/>
          </w:p>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提交截止时间</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2026年8月13 日</w:t>
            </w:r>
            <w:r>
              <w:rPr>
                <w:rFonts w:ascii="宋体" w:hAnsi="宋体" w:cs="宋体"/>
                <w:color w:val="000000" w:themeColor="text1"/>
                <w:szCs w:val="21"/>
                <w:highlight w:val="none"/>
              </w:rPr>
              <w:t xml:space="preserve"> 9</w:t>
            </w:r>
            <w:r>
              <w:rPr>
                <w:rFonts w:hint="eastAsia" w:ascii="宋体" w:hAnsi="宋体" w:cs="宋体"/>
                <w:color w:val="000000" w:themeColor="text1"/>
                <w:szCs w:val="21"/>
                <w:highlight w:val="none"/>
              </w:rPr>
              <w:t xml:space="preserve">:30</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（北京时间）</w:t>
            </w:r>
            <w:r>
              <w:rPr>
                <w:rFonts w:ascii="宋体" w:hAnsi="宋体" w:cs="宋体"/>
                <w:color w:val="000000" w:themeColor="text1"/>
                <w:szCs w:val="21"/>
                <w:highlight w:val="none"/>
              </w:rPr>
            </w:r>
            <w:r>
              <w:rPr>
                <w:color w:val="000000" w:themeColor="text1"/>
              </w:rPr>
            </w:r>
          </w:p>
          <w:p>
            <w:pPr>
              <w:pStyle w:val="853"/>
              <w:ind w:firstLine="0"/>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投标文件必须在截止时间前完成提交（上传），逾期提交（上传）的投标文件恕不接受。</w:t>
            </w:r>
            <w:r>
              <w:rPr>
                <w:rFonts w:ascii="宋体" w:hAnsi="宋体" w:cs="宋体"/>
                <w:color w:val="000000" w:themeColor="text1"/>
                <w:sz w:val="21"/>
                <w:szCs w:val="21"/>
                <w:highlight w:val="none"/>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开标时间</w:t>
            </w:r>
            <w:r>
              <w:rPr>
                <w:rFonts w:ascii="宋体" w:hAnsi="宋体" w:cs="宋体"/>
                <w:color w:val="000000"/>
                <w:szCs w:val="21"/>
                <w:highlight w:val="none"/>
              </w:rPr>
            </w:r>
            <w:r/>
          </w:p>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开标地点</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2026年8月13日</w:t>
            </w:r>
            <w:r>
              <w:rPr>
                <w:rFonts w:ascii="宋体" w:hAnsi="宋体" w:cs="宋体"/>
                <w:color w:val="000000" w:themeColor="text1"/>
                <w:szCs w:val="21"/>
                <w:highlight w:val="none"/>
              </w:rPr>
              <w:t xml:space="preserve"> 9</w:t>
            </w:r>
            <w:r>
              <w:rPr>
                <w:rFonts w:hint="eastAsia"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（北京时间）</w:t>
            </w:r>
            <w:r>
              <w:rPr>
                <w:rFonts w:ascii="宋体" w:hAnsi="宋体" w:cs="宋体"/>
                <w:color w:val="000000" w:themeColor="text1"/>
                <w:szCs w:val="21"/>
                <w:highlight w:val="none"/>
              </w:rPr>
            </w:r>
            <w:r>
              <w:rPr>
                <w:color w:val="000000" w:themeColor="text1"/>
              </w:rPr>
            </w:r>
          </w:p>
          <w:p>
            <w:pPr>
              <w:pStyle w:val="682"/>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887"/>
                <w:rFonts w:hint="eastAsia" w:ascii="宋体" w:hAnsi="宋体" w:cs="宋体"/>
                <w:color w:val="000000" w:themeColor="text1"/>
                <w:szCs w:val="21"/>
                <w:highlight w:val="none"/>
              </w:rPr>
              <w:t xml:space="preserve">http://jszfcg.jsczt.cn/）</w:t>
            </w:r>
            <w:r>
              <w:rPr>
                <w:rStyle w:val="887"/>
                <w:rFonts w:hint="eastAsia" w:ascii="宋体" w:hAnsi="宋体" w:cs="宋体"/>
                <w:color w:val="000000" w:themeColor="text1"/>
                <w:szCs w:val="21"/>
                <w:highlight w:val="none"/>
              </w:rPr>
              <w:fldChar w:fldCharType="end"/>
            </w:r>
            <w:r>
              <w:rPr>
                <w:rFonts w:ascii="宋体" w:hAnsi="宋体" w:cs="宋体"/>
                <w:color w:val="000000" w:themeColor="text1"/>
                <w:szCs w:val="21"/>
                <w:highlight w:val="none"/>
              </w:rPr>
            </w:r>
            <w:r>
              <w:rPr>
                <w:color w:val="000000" w:themeColor="text1"/>
              </w:rPr>
            </w:r>
          </w:p>
          <w:p>
            <w:pPr>
              <w:pStyle w:val="682"/>
              <w:spacing w:line="360" w:lineRule="auto"/>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rPr>
                <w:rFonts w:ascii="宋体" w:hAnsi="宋体" w:cs="宋体"/>
                <w:color w:val="000000" w:themeColor="text1"/>
                <w:szCs w:val="21"/>
                <w:highlight w:val="none"/>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评标时间</w:t>
            </w:r>
            <w:r>
              <w:rPr>
                <w:rFonts w:ascii="宋体" w:hAnsi="宋体" w:cs="宋体"/>
                <w:color w:val="000000"/>
                <w:szCs w:val="21"/>
                <w:highlight w:val="none"/>
              </w:rPr>
            </w:r>
            <w:r/>
          </w:p>
          <w:p>
            <w:pPr>
              <w:pStyle w:val="682"/>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评标地点</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2026年8月13日</w:t>
            </w:r>
            <w:r>
              <w:rPr>
                <w:rFonts w:ascii="宋体" w:hAnsi="宋体" w:cs="宋体"/>
                <w:color w:val="000000" w:themeColor="text1"/>
                <w:szCs w:val="21"/>
                <w:highlight w:val="none"/>
              </w:rPr>
              <w:t xml:space="preserve"> 9</w:t>
            </w:r>
            <w:r>
              <w:rPr>
                <w:rFonts w:hint="eastAsia" w:ascii="宋体" w:hAnsi="宋体" w:cs="宋体"/>
                <w:color w:val="000000" w:themeColor="text1"/>
                <w:szCs w:val="21"/>
                <w:highlight w:val="none"/>
              </w:rPr>
              <w:t xml:space="preserve">:30</w:t>
            </w:r>
            <w:r>
              <w:rPr>
                <w:rFonts w:hint="eastAsia" w:ascii="宋体" w:hAnsi="宋体" w:cs="宋体"/>
                <w:color w:val="000000" w:themeColor="text1"/>
                <w:szCs w:val="21"/>
                <w:highlight w:val="none"/>
              </w:rPr>
              <w:t xml:space="preserve">（北京时间）</w:t>
            </w:r>
            <w:r>
              <w:rPr>
                <w:rFonts w:ascii="宋体" w:hAnsi="宋体" w:cs="宋体"/>
                <w:color w:val="000000" w:themeColor="text1"/>
                <w:szCs w:val="21"/>
                <w:highlight w:val="none"/>
              </w:rPr>
            </w:r>
            <w:r>
              <w:rPr>
                <w:color w:val="000000" w:themeColor="text1"/>
              </w:rPr>
            </w:r>
          </w:p>
          <w:p>
            <w:pPr>
              <w:pStyle w:val="682"/>
              <w:jc w:val="left"/>
              <w:spacing w:line="312" w:lineRule="auto"/>
              <w:rPr>
                <w:rFonts w:ascii="宋体" w:hAnsi="宋体" w:cs="宋体"/>
                <w:color w:val="000000"/>
                <w:szCs w:val="21"/>
                <w:highlight w:val="none"/>
              </w:rPr>
            </w:pPr>
            <w:r>
              <w:rPr>
                <w:rFonts w:hint="eastAsia" w:ascii="宋体" w:hAnsi="宋体"/>
                <w:color w:val="000000"/>
                <w:szCs w:val="21"/>
                <w:highlight w:val="none"/>
              </w:rPr>
              <w:t xml:space="preserve">苏州市市辖区【狮山科技馆】不见面开标室</w:t>
            </w: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投标文件份数</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本项目采用电子投标文件，投标人按照招标文件要求制作上传电子投标文件，投标人无需提供纸质投标文件。</w:t>
            </w:r>
            <w:r>
              <w:rPr>
                <w:rFonts w:ascii="宋体" w:hAnsi="宋体" w:cs="宋体"/>
                <w:color w:val="000000"/>
                <w:szCs w:val="21"/>
                <w:highlight w:val="none"/>
              </w:rPr>
            </w:r>
            <w:r/>
          </w:p>
          <w:p>
            <w:pPr>
              <w:pStyle w:val="68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中标后5个工作日内，中标单位向招标代理机构提供与电子投标文件内容一致的纸质投标文件两份。</w:t>
            </w:r>
            <w:r>
              <w:rPr>
                <w:rFonts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投标报价本位币</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履约保证金</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1920"/>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中标通知书</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1053"/>
              <w:ind w:firstLine="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确定出中标人后，采购代理机构在法定时间内向中标人发出中标通知书。中标通知书将成为合同的组成部分。</w:t>
            </w:r>
            <w:r>
              <w:rPr>
                <w:rFonts w:ascii="宋体" w:hAnsi="宋体" w:cs="宋体"/>
                <w:color w:val="000000"/>
                <w:szCs w:val="21"/>
                <w:highlight w:val="none"/>
              </w:rPr>
            </w:r>
            <w:r/>
          </w:p>
          <w:p>
            <w:pPr>
              <w:pStyle w:val="1053"/>
              <w:ind w:firstLine="0"/>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代理服务费</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color w:val="000000" w:themeColor="text1"/>
                <w:szCs w:val="21"/>
                <w:highlight w:val="none"/>
              </w:rPr>
            </w:pPr>
            <w:r>
              <w:rPr>
                <w:rFonts w:hint="eastAsia" w:ascii="宋体" w:hAnsi="宋体"/>
                <w:color w:val="000000"/>
                <w:szCs w:val="21"/>
                <w:highlight w:val="none"/>
              </w:rPr>
              <w:t xml:space="preserve">本项目代理服务费由采购单位支付，</w:t>
            </w:r>
            <w:r>
              <w:rPr>
                <w:rFonts w:hint="eastAsia" w:ascii="宋体" w:hAnsi="宋体" w:cs="宋体"/>
                <w:color w:val="000000" w:themeColor="text1"/>
                <w:szCs w:val="21"/>
                <w:highlight w:val="none"/>
              </w:rPr>
              <w:t xml:space="preserve">代理服务费金额：人民币贰仟柒佰柒拾伍元整。</w:t>
            </w:r>
            <w:r>
              <w:rPr>
                <w:rFonts w:ascii="宋体" w:hAnsi="宋体" w:cs="宋体"/>
                <w:color w:val="000000" w:themeColor="text1"/>
                <w:szCs w:val="21"/>
                <w:highlight w:val="none"/>
              </w:rPr>
            </w:r>
            <w:r>
              <w:rPr>
                <w:color w:val="000000" w:themeColor="text1"/>
              </w:rPr>
            </w:r>
          </w:p>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代理服务费账户名：苏州捷信招投标咨询有限公司，</w:t>
            </w:r>
            <w:r>
              <w:rPr>
                <w:rFonts w:ascii="宋体" w:hAnsi="宋体" w:cs="宋体"/>
                <w:color w:val="000000"/>
                <w:szCs w:val="21"/>
                <w:highlight w:val="none"/>
              </w:rPr>
            </w:r>
            <w:r/>
          </w:p>
          <w:p>
            <w:pPr>
              <w:pStyle w:val="68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账号：543058195260，开户银行：中国银行苏州南园支行</w:t>
            </w:r>
            <w:r>
              <w:rPr>
                <w:rFonts w:ascii="宋体" w:hAnsi="宋体" w:cs="宋体"/>
                <w:color w:val="000000"/>
                <w:szCs w:val="21"/>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评分标准</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按招标文件。</w:t>
            </w:r>
            <w:r>
              <w:rPr>
                <w:rFonts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评标方法</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综合评分法。</w:t>
            </w:r>
            <w:r>
              <w:rPr>
                <w:rFonts w:ascii="宋体" w:hAnsi="宋体" w:cs="宋体"/>
                <w:color w:val="000000"/>
                <w:szCs w:val="2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874"/>
              <w:ind w:firstLine="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rPr>
                <w:rFonts w:ascii="宋体" w:hAnsi="宋体" w:cs="宋体"/>
                <w:color w:val="000000"/>
                <w:sz w:val="21"/>
                <w:szCs w:val="21"/>
                <w:highlight w:val="none"/>
              </w:rPr>
            </w:r>
            <w:r/>
          </w:p>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投标因素</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投标人存在下列情况之一的，投标无效：</w:t>
            </w:r>
            <w:r>
              <w:rPr>
                <w:rFonts w:ascii="宋体" w:hAnsi="宋体" w:cs="宋体"/>
                <w:b/>
                <w:color w:val="000000"/>
                <w:szCs w:val="21"/>
                <w:highlight w:val="none"/>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投标文件未按招标文件要求签署、盖章的；</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不具备招标文件中规定的资格要求的；</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报价超过招标文件中规定的预算金额（总预算和单项预算）或者最高限价的；</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投标文件含有采购单位不能接受的附加条件的；</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5.不同投标（响应）文件制作机器码一致的；</w:t>
            </w:r>
            <w:r>
              <w:rPr>
                <w:rFonts w:ascii="宋体" w:hAnsi="宋体" w:cs="宋体"/>
                <w:color w:val="000000"/>
                <w:szCs w:val="21"/>
                <w:highlight w:val="none"/>
              </w:rPr>
            </w:r>
            <w:r/>
          </w:p>
          <w:p>
            <w:pPr>
              <w:pStyle w:val="68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法律、法规和招标文件规定的其他无效情形。</w:t>
            </w:r>
            <w:r>
              <w:rPr>
                <w:rFonts w:ascii="宋体" w:hAnsi="宋体" w:cs="宋体"/>
                <w:color w:val="000000"/>
                <w:szCs w:val="21"/>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603"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50" w:type="dxa"/>
            <w:vAlign w:val="center"/>
            <w:textDirection w:val="lrTb"/>
            <w:noWrap w:val="false"/>
          </w:tcPr>
          <w:p>
            <w:pPr>
              <w:pStyle w:val="682"/>
              <w:jc w:val="center"/>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导致废标因素</w:t>
            </w:r>
            <w:r>
              <w:rPr>
                <w:rFonts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6169" w:type="dxa"/>
            <w:vAlign w:val="center"/>
            <w:textDirection w:val="lrTb"/>
            <w:noWrap w:val="false"/>
          </w:tcPr>
          <w:p>
            <w:pPr>
              <w:pStyle w:val="682"/>
              <w:jc w:val="left"/>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出现下列情形之一的，为废标：</w:t>
            </w:r>
            <w:r>
              <w:rPr>
                <w:rFonts w:ascii="宋体" w:hAnsi="宋体" w:cs="宋体"/>
                <w:b/>
                <w:bCs/>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符合专业条件的投标人或者对招标文件作实质响应的投标人不足三家的（各标段）；</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出现影响采购公正的违法、违规行为的；</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投标人的报价均超过了采购预算（总预算和单项预算）或者最高限价的，采购单位不能支付的； </w:t>
            </w:r>
            <w:r>
              <w:rPr>
                <w:rFonts w:ascii="宋体" w:hAnsi="宋体" w:cs="宋体"/>
                <w:color w:val="000000"/>
                <w:szCs w:val="21"/>
                <w:highlight w:val="none"/>
                <w:lang w:val="zh-CN"/>
              </w:rPr>
            </w:r>
            <w:r/>
          </w:p>
          <w:p>
            <w:pPr>
              <w:pStyle w:val="682"/>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因重大变故，采购任务取消的。</w:t>
            </w:r>
            <w:r>
              <w:rPr>
                <w:rFonts w:ascii="宋体" w:hAnsi="宋体" w:cs="宋体"/>
                <w:color w:val="000000"/>
                <w:szCs w:val="21"/>
                <w:highlight w:val="none"/>
                <w:lang w:val="zh-CN"/>
              </w:rPr>
            </w:r>
            <w:r/>
          </w:p>
        </w:tc>
      </w:tr>
    </w:tbl>
    <w:p>
      <w:pPr>
        <w:pStyle w:val="682"/>
        <w:rPr>
          <w:rFonts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ascii="宋体" w:hAnsi="宋体" w:cs="宋体"/>
          <w:b/>
          <w:bCs/>
          <w:color w:val="000000"/>
          <w:sz w:val="44"/>
          <w:szCs w:val="44"/>
          <w:highlight w:val="none"/>
        </w:rPr>
      </w:r>
      <w:r/>
    </w:p>
    <w:p>
      <w:pPr>
        <w:pStyle w:val="682"/>
        <w:jc w:val="center"/>
        <w:keepNext/>
        <w:rPr>
          <w:rFonts w:ascii="宋体" w:hAnsi="宋体" w:cs="宋体"/>
          <w:color w:val="000000"/>
          <w:szCs w:val="21"/>
          <w:highlight w:val="none"/>
        </w:rPr>
        <w:outlineLvl w:val="0"/>
      </w:pPr>
      <w:r>
        <w:rPr>
          <w:rFonts w:hint="eastAsia" w:ascii="宋体" w:hAnsi="宋体" w:cs="宋体"/>
          <w:b/>
          <w:bCs/>
          <w:color w:val="000000"/>
          <w:sz w:val="44"/>
          <w:szCs w:val="44"/>
          <w:highlight w:val="none"/>
        </w:rPr>
        <w:t xml:space="preserve">第一章  投标邀请</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项目概况</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2026年环境监测能力建设项目和大气超级站运维耗材采购项目的潜在供应商可在“苏采云”系统自行免费下载招标文件，并</w:t>
      </w:r>
      <w:r>
        <w:rPr>
          <w:rFonts w:hint="eastAsia" w:ascii="宋体" w:hAnsi="宋体" w:cs="宋体"/>
          <w:color w:val="000000" w:themeColor="text1"/>
          <w:szCs w:val="21"/>
          <w:highlight w:val="none"/>
        </w:rPr>
        <w:t xml:space="preserve">于</w:t>
      </w:r>
      <w:r>
        <w:rPr>
          <w:rFonts w:hint="eastAsia" w:ascii="宋体" w:hAnsi="宋体" w:cs="宋体"/>
          <w:color w:val="000000" w:themeColor="text1"/>
          <w:szCs w:val="21"/>
          <w:highlight w:val="none"/>
        </w:rPr>
        <w:t xml:space="preserve">2026年8月13日9点30分（北京时间）</w:t>
      </w:r>
      <w:r>
        <w:rPr>
          <w:rFonts w:hint="eastAsia" w:ascii="宋体" w:hAnsi="宋体" w:cs="宋体"/>
          <w:color w:val="000000"/>
          <w:szCs w:val="21"/>
          <w:highlight w:val="none"/>
        </w:rPr>
        <w:t xml:space="preserve">前递交投标文件。</w:t>
      </w:r>
      <w:r>
        <w:rPr>
          <w:rFonts w:ascii="宋体" w:hAnsi="宋体" w:cs="宋体"/>
          <w:b/>
          <w:bCs/>
          <w:color w:val="000000"/>
          <w:szCs w:val="21"/>
          <w:highlight w:val="none"/>
        </w:rPr>
      </w:r>
      <w:r/>
    </w:p>
    <w:p>
      <w:pPr>
        <w:pStyle w:val="68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1.项目编号：JSZC-320500-SZJX-G2026-0043</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2.项目名称：2026年环境监测能力建设项目和大气超级站运维耗材采购</w:t>
      </w:r>
      <w:r>
        <w:rPr>
          <w:rFonts w:ascii="宋体" w:hAnsi="宋体" w:cs="宋体"/>
          <w:color w:val="000000"/>
          <w:szCs w:val="21"/>
          <w:highlight w:val="none"/>
        </w:rPr>
      </w:r>
      <w:r/>
    </w:p>
    <w:p>
      <w:pPr>
        <w:pStyle w:val="891"/>
        <w:ind w:firstLine="630"/>
        <w:rPr>
          <w:rFonts w:ascii="宋体" w:hAnsi="宋体" w:cs="宋体"/>
          <w:color w:val="000000"/>
          <w:sz w:val="21"/>
          <w:szCs w:val="21"/>
          <w:highlight w:val="none"/>
        </w:rPr>
      </w:pPr>
      <w:r>
        <w:rPr>
          <w:rFonts w:hint="eastAsia" w:ascii="宋体" w:hAnsi="宋体" w:cs="宋体"/>
          <w:color w:val="000000"/>
          <w:sz w:val="21"/>
          <w:szCs w:val="21"/>
          <w:highlight w:val="none"/>
        </w:rPr>
        <w:t xml:space="preserve">第二标段：在线无机元素分析仪等设备耗材采购</w:t>
      </w:r>
      <w:r>
        <w:rPr>
          <w:rFonts w:ascii="宋体" w:hAnsi="宋体" w:cs="宋体"/>
          <w:color w:val="000000"/>
          <w:sz w:val="21"/>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3.预算金额：</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第二标段：人民币叁拾柒万元整（¥370000.00）；</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lang w:val="en-US"/>
        </w:rPr>
      </w:pPr>
      <w:r>
        <w:rPr>
          <w:rFonts w:hint="eastAsia" w:ascii="宋体" w:hAnsi="宋体" w:cs="宋体"/>
          <w:color w:val="000000"/>
          <w:szCs w:val="21"/>
          <w:highlight w:val="none"/>
          <w:lang w:val="en-US"/>
        </w:rPr>
        <w:t xml:space="preserve">4.采购需求：</w:t>
      </w:r>
      <w:r>
        <w:rPr>
          <w:rFonts w:ascii="宋体" w:hAnsi="宋体" w:cs="宋体"/>
          <w:color w:val="000000"/>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3247"/>
        <w:gridCol w:w="750"/>
        <w:gridCol w:w="886"/>
        <w:gridCol w:w="1173"/>
        <w:gridCol w:w="1553"/>
      </w:tblGrid>
      <w:tr>
        <w:trPr>
          <w:trHeight w:val="426"/>
        </w:trPr>
        <w:tc>
          <w:tcPr>
            <w:tcW w:w="721" w:type="dxa"/>
            <w:vAlign w:val="center"/>
            <w:textDirection w:val="lrTb"/>
            <w:noWrap w:val="false"/>
          </w:tcPr>
          <w:p>
            <w:pPr>
              <w:pStyle w:val="1053"/>
              <w:ind w:firstLine="0"/>
              <w:jc w:val="center"/>
              <w:spacing w:line="560" w:lineRule="exact"/>
              <w:rPr>
                <w:rFonts w:ascii="Times New Roman" w:hAnsi="Times New Roman"/>
                <w:color w:val="000000"/>
                <w:szCs w:val="21"/>
                <w:highlight w:val="none"/>
                <w:lang w:val="en-US"/>
              </w:rPr>
            </w:pPr>
            <w:r>
              <w:rPr>
                <w:rFonts w:hint="eastAsia" w:ascii="Times New Roman" w:hAnsi="Times New Roman"/>
                <w:color w:val="000000"/>
                <w:szCs w:val="21"/>
                <w:highlight w:val="none"/>
                <w:lang w:val="en-US"/>
              </w:rPr>
              <w:t xml:space="preserve">标段 </w:t>
            </w:r>
            <w:r>
              <w:rPr>
                <w:rFonts w:ascii="Times New Roman" w:hAnsi="Times New Roman"/>
                <w:color w:val="000000"/>
                <w:szCs w:val="21"/>
                <w:highlight w:val="none"/>
                <w:lang w:val="en-US"/>
              </w:rPr>
            </w:r>
            <w:r/>
          </w:p>
        </w:tc>
        <w:tc>
          <w:tcPr>
            <w:tcW w:w="3247" w:type="dxa"/>
            <w:vAlign w:val="center"/>
            <w:textDirection w:val="lrTb"/>
            <w:noWrap w:val="false"/>
          </w:tcPr>
          <w:p>
            <w:pPr>
              <w:pStyle w:val="1053"/>
              <w:ind w:firstLine="0"/>
              <w:jc w:val="center"/>
              <w:spacing w:line="560" w:lineRule="exact"/>
              <w:rPr>
                <w:rFonts w:ascii="Times New Roman" w:hAnsi="Times New Roman"/>
                <w:color w:val="000000"/>
                <w:szCs w:val="21"/>
                <w:highlight w:val="none"/>
                <w:lang w:val="en-US"/>
              </w:rPr>
            </w:pPr>
            <w:r>
              <w:rPr>
                <w:rFonts w:ascii="Times New Roman" w:hAnsi="Times New Roman"/>
                <w:color w:val="000000"/>
                <w:szCs w:val="21"/>
                <w:highlight w:val="none"/>
                <w:lang w:val="en-US"/>
              </w:rPr>
              <w:t xml:space="preserve">名称</w:t>
            </w:r>
            <w:r>
              <w:rPr>
                <w:rFonts w:ascii="Times New Roman" w:hAnsi="Times New Roman"/>
                <w:color w:val="000000"/>
                <w:szCs w:val="21"/>
                <w:highlight w:val="none"/>
                <w:lang w:val="en-US"/>
              </w:rPr>
            </w:r>
            <w:r/>
          </w:p>
        </w:tc>
        <w:tc>
          <w:tcPr>
            <w:tcW w:w="750" w:type="dxa"/>
            <w:vAlign w:val="center"/>
            <w:textDirection w:val="lrTb"/>
            <w:noWrap w:val="false"/>
          </w:tcPr>
          <w:p>
            <w:pPr>
              <w:pStyle w:val="1053"/>
              <w:ind w:firstLine="0"/>
              <w:jc w:val="center"/>
              <w:spacing w:line="560" w:lineRule="exact"/>
              <w:rPr>
                <w:rFonts w:ascii="Times New Roman" w:hAnsi="Times New Roman"/>
                <w:color w:val="000000"/>
                <w:szCs w:val="21"/>
                <w:highlight w:val="none"/>
                <w:lang w:val="en-US"/>
              </w:rPr>
            </w:pPr>
            <w:r>
              <w:rPr>
                <w:rFonts w:ascii="Times New Roman" w:hAnsi="Times New Roman"/>
                <w:color w:val="000000"/>
                <w:szCs w:val="21"/>
                <w:highlight w:val="none"/>
                <w:lang w:val="en-US"/>
              </w:rPr>
              <w:t xml:space="preserve">数量</w:t>
            </w:r>
            <w:r>
              <w:rPr>
                <w:rFonts w:ascii="Times New Roman" w:hAnsi="Times New Roman"/>
                <w:color w:val="000000"/>
                <w:szCs w:val="21"/>
                <w:highlight w:val="none"/>
                <w:lang w:val="en-US"/>
              </w:rPr>
            </w:r>
            <w:r/>
          </w:p>
        </w:tc>
        <w:tc>
          <w:tcPr>
            <w:tcW w:w="886" w:type="dxa"/>
            <w:vAlign w:val="center"/>
            <w:textDirection w:val="lrTb"/>
            <w:noWrap w:val="false"/>
          </w:tcPr>
          <w:p>
            <w:pPr>
              <w:pStyle w:val="1053"/>
              <w:ind w:firstLine="0"/>
              <w:jc w:val="center"/>
              <w:spacing w:line="560" w:lineRule="exact"/>
              <w:rPr>
                <w:rFonts w:ascii="Times New Roman" w:hAnsi="Times New Roman"/>
                <w:color w:val="000000"/>
                <w:szCs w:val="21"/>
                <w:highlight w:val="none"/>
                <w:lang w:val="en-US"/>
              </w:rPr>
            </w:pPr>
            <w:r>
              <w:rPr>
                <w:rFonts w:ascii="Times New Roman" w:hAnsi="Times New Roman"/>
                <w:color w:val="000000"/>
                <w:szCs w:val="21"/>
                <w:highlight w:val="none"/>
                <w:lang w:val="en-US"/>
              </w:rPr>
              <w:t xml:space="preserve">单位</w:t>
            </w:r>
            <w:r>
              <w:rPr>
                <w:rFonts w:ascii="Times New Roman" w:hAnsi="Times New Roman"/>
                <w:color w:val="000000"/>
                <w:szCs w:val="21"/>
                <w:highlight w:val="none"/>
                <w:lang w:val="en-US"/>
              </w:rPr>
            </w:r>
            <w:r/>
          </w:p>
        </w:tc>
        <w:tc>
          <w:tcPr>
            <w:tcW w:w="1173" w:type="dxa"/>
            <w:vAlign w:val="center"/>
            <w:textDirection w:val="lrTb"/>
            <w:noWrap w:val="false"/>
          </w:tcPr>
          <w:p>
            <w:pPr>
              <w:pStyle w:val="1053"/>
              <w:ind w:firstLine="0"/>
              <w:jc w:val="center"/>
              <w:spacing w:line="360" w:lineRule="exact"/>
              <w:rPr>
                <w:rFonts w:ascii="Times New Roman" w:hAnsi="Times New Roman"/>
                <w:color w:val="000000"/>
                <w:szCs w:val="21"/>
                <w:highlight w:val="none"/>
                <w:lang w:val="en-US"/>
              </w:rPr>
            </w:pPr>
            <w:r>
              <w:rPr>
                <w:rFonts w:hint="eastAsia" w:ascii="Times New Roman" w:hAnsi="Times New Roman"/>
                <w:color w:val="000000"/>
                <w:szCs w:val="21"/>
                <w:highlight w:val="none"/>
                <w:lang w:val="en-US"/>
              </w:rPr>
              <w:t xml:space="preserve">预算金额（元）</w:t>
            </w:r>
            <w:r>
              <w:rPr>
                <w:rFonts w:ascii="Times New Roman" w:hAnsi="Times New Roman"/>
                <w:color w:val="000000"/>
                <w:szCs w:val="21"/>
                <w:highlight w:val="none"/>
                <w:lang w:val="en-US"/>
              </w:rPr>
            </w:r>
            <w:r/>
          </w:p>
        </w:tc>
        <w:tc>
          <w:tcPr>
            <w:tcW w:w="1553" w:type="dxa"/>
            <w:vAlign w:val="center"/>
            <w:textDirection w:val="lrTb"/>
            <w:noWrap w:val="false"/>
          </w:tcPr>
          <w:p>
            <w:pPr>
              <w:pStyle w:val="1053"/>
              <w:ind w:firstLine="0"/>
              <w:jc w:val="center"/>
              <w:spacing w:line="560" w:lineRule="exact"/>
              <w:rPr>
                <w:rFonts w:ascii="Times New Roman" w:hAnsi="Times New Roman"/>
                <w:color w:val="000000"/>
                <w:szCs w:val="21"/>
                <w:highlight w:val="none"/>
                <w:lang w:val="en-US"/>
              </w:rPr>
            </w:pPr>
            <w:r>
              <w:rPr>
                <w:rFonts w:ascii="Times New Roman" w:hAnsi="Times New Roman"/>
                <w:color w:val="000000"/>
                <w:szCs w:val="21"/>
                <w:highlight w:val="none"/>
                <w:lang w:val="en-US"/>
              </w:rPr>
              <w:t xml:space="preserve">备注</w:t>
            </w:r>
            <w:r>
              <w:rPr>
                <w:rFonts w:ascii="Times New Roman" w:hAnsi="Times New Roman"/>
                <w:color w:val="000000"/>
                <w:szCs w:val="21"/>
                <w:highlight w:val="none"/>
                <w:lang w:val="en-US"/>
              </w:rPr>
            </w:r>
            <w:r/>
          </w:p>
        </w:tc>
      </w:tr>
      <w:tr>
        <w:trPr>
          <w:trHeight w:val="460"/>
        </w:trPr>
        <w:tc>
          <w:tcPr>
            <w:tcW w:w="721" w:type="dxa"/>
            <w:vAlign w:val="center"/>
            <w:textDirection w:val="lrTb"/>
            <w:noWrap w:val="false"/>
          </w:tcPr>
          <w:p>
            <w:pPr>
              <w:pStyle w:val="1053"/>
              <w:ind w:firstLine="0"/>
              <w:jc w:val="center"/>
              <w:rPr>
                <w:rFonts w:ascii="Times New Roman" w:hAnsi="Times New Roman" w:cs="宋体"/>
                <w:color w:val="000000"/>
                <w:szCs w:val="21"/>
                <w:highlight w:val="none"/>
                <w:lang w:val="en-US"/>
              </w:rPr>
            </w:pPr>
            <w:r>
              <w:rPr>
                <w:rFonts w:hint="eastAsia" w:ascii="Times New Roman" w:hAnsi="Times New Roman" w:cs="宋体"/>
                <w:color w:val="000000"/>
                <w:szCs w:val="21"/>
                <w:highlight w:val="none"/>
                <w:lang w:val="en-US"/>
              </w:rPr>
              <w:t xml:space="preserve">二</w:t>
            </w:r>
            <w:r>
              <w:rPr>
                <w:rFonts w:ascii="Times New Roman" w:hAnsi="Times New Roman" w:cs="宋体"/>
                <w:color w:val="000000"/>
                <w:szCs w:val="21"/>
                <w:highlight w:val="none"/>
                <w:lang w:val="en-US"/>
              </w:rPr>
            </w:r>
            <w:r/>
          </w:p>
        </w:tc>
        <w:tc>
          <w:tcPr>
            <w:tcW w:w="3247" w:type="dxa"/>
            <w:vAlign w:val="center"/>
            <w:textDirection w:val="lrTb"/>
            <w:noWrap w:val="false"/>
          </w:tcPr>
          <w:p>
            <w:pPr>
              <w:pStyle w:val="682"/>
              <w:jc w:val="center"/>
              <w:widowControl/>
              <w:rPr>
                <w:rFonts w:ascii="Times New Roman" w:hAnsi="Times New Roman"/>
                <w:color w:val="000000"/>
                <w:szCs w:val="21"/>
                <w:highlight w:val="none"/>
              </w:rPr>
            </w:pPr>
            <w:r>
              <w:rPr>
                <w:rFonts w:hint="eastAsia" w:ascii="Times New Roman" w:hAnsi="Times New Roman" w:cs="宋体"/>
                <w:color w:val="000000"/>
                <w:szCs w:val="21"/>
                <w:highlight w:val="none"/>
              </w:rPr>
              <w:t xml:space="preserve">在线无机元素分析仪等设备耗材采购</w:t>
            </w:r>
            <w:r>
              <w:rPr>
                <w:rFonts w:ascii="Times New Roman" w:hAnsi="Times New Roman"/>
                <w:color w:val="000000"/>
                <w:szCs w:val="21"/>
                <w:highlight w:val="none"/>
              </w:rPr>
            </w:r>
            <w:r/>
          </w:p>
        </w:tc>
        <w:tc>
          <w:tcPr>
            <w:tcW w:w="750" w:type="dxa"/>
            <w:vAlign w:val="center"/>
            <w:textDirection w:val="lrTb"/>
            <w:noWrap w:val="false"/>
          </w:tcPr>
          <w:p>
            <w:pPr>
              <w:pStyle w:val="682"/>
              <w:jc w:val="center"/>
              <w:widowControl/>
              <w:rPr>
                <w:rFonts w:ascii="Times New Roman" w:hAnsi="Times New Roman"/>
                <w:color w:val="000000"/>
                <w:szCs w:val="21"/>
                <w:highlight w:val="none"/>
              </w:rPr>
            </w:pPr>
            <w:r>
              <w:rPr>
                <w:rFonts w:hint="eastAsia" w:ascii="Times New Roman" w:hAnsi="Times New Roman"/>
                <w:color w:val="000000"/>
                <w:szCs w:val="21"/>
                <w:highlight w:val="none"/>
              </w:rPr>
              <w:t xml:space="preserve">1</w:t>
            </w:r>
            <w:r>
              <w:rPr>
                <w:rFonts w:ascii="Times New Roman" w:hAnsi="Times New Roman"/>
                <w:color w:val="000000"/>
                <w:szCs w:val="21"/>
                <w:highlight w:val="none"/>
              </w:rPr>
            </w:r>
            <w:r/>
          </w:p>
        </w:tc>
        <w:tc>
          <w:tcPr>
            <w:tcW w:w="886" w:type="dxa"/>
            <w:vAlign w:val="center"/>
            <w:textDirection w:val="lrTb"/>
            <w:noWrap w:val="false"/>
          </w:tcPr>
          <w:p>
            <w:pPr>
              <w:pStyle w:val="1053"/>
              <w:ind w:firstLine="0"/>
              <w:jc w:val="center"/>
              <w:rPr>
                <w:rFonts w:ascii="Times New Roman" w:hAnsi="Times New Roman" w:cs="宋体"/>
                <w:color w:val="000000"/>
                <w:szCs w:val="21"/>
                <w:highlight w:val="none"/>
                <w:lang w:val="en-US"/>
              </w:rPr>
            </w:pPr>
            <w:r>
              <w:rPr>
                <w:rFonts w:hint="eastAsia" w:ascii="Times New Roman" w:hAnsi="Times New Roman" w:cs="宋体"/>
                <w:color w:val="000000"/>
                <w:szCs w:val="21"/>
                <w:highlight w:val="none"/>
                <w:lang w:val="en-US"/>
              </w:rPr>
              <w:t xml:space="preserve">批</w:t>
            </w:r>
            <w:r>
              <w:rPr>
                <w:rFonts w:ascii="Times New Roman" w:hAnsi="Times New Roman" w:cs="宋体"/>
                <w:color w:val="000000"/>
                <w:szCs w:val="21"/>
                <w:highlight w:val="none"/>
                <w:lang w:val="en-US"/>
              </w:rPr>
            </w:r>
            <w:r/>
          </w:p>
        </w:tc>
        <w:tc>
          <w:tcPr>
            <w:tcW w:w="1173" w:type="dxa"/>
            <w:vAlign w:val="center"/>
            <w:textDirection w:val="lrTb"/>
            <w:noWrap w:val="false"/>
          </w:tcPr>
          <w:p>
            <w:pPr>
              <w:pStyle w:val="1053"/>
              <w:ind w:firstLine="0"/>
              <w:jc w:val="center"/>
              <w:spacing w:line="560" w:lineRule="exact"/>
              <w:rPr>
                <w:rFonts w:ascii="Times New Roman" w:hAnsi="Times New Roman"/>
                <w:color w:val="000000"/>
                <w:szCs w:val="21"/>
                <w:highlight w:val="none"/>
                <w:lang w:val="en-US"/>
              </w:rPr>
            </w:pPr>
            <w:r>
              <w:rPr>
                <w:rFonts w:hint="eastAsia" w:ascii="Times New Roman" w:hAnsi="Times New Roman"/>
                <w:color w:val="000000"/>
                <w:szCs w:val="21"/>
                <w:highlight w:val="none"/>
                <w:lang w:val="en-US"/>
              </w:rPr>
              <w:t xml:space="preserve">370000</w:t>
            </w:r>
            <w:r>
              <w:rPr>
                <w:rFonts w:ascii="Times New Roman" w:hAnsi="Times New Roman"/>
                <w:color w:val="000000"/>
                <w:szCs w:val="21"/>
                <w:highlight w:val="none"/>
                <w:lang w:val="en-US"/>
              </w:rPr>
            </w:r>
            <w:r/>
          </w:p>
        </w:tc>
        <w:tc>
          <w:tcPr>
            <w:tcW w:w="1553" w:type="dxa"/>
            <w:vAlign w:val="center"/>
            <w:textDirection w:val="lrTb"/>
            <w:noWrap w:val="false"/>
          </w:tcPr>
          <w:p>
            <w:pPr>
              <w:pStyle w:val="1053"/>
              <w:ind w:firstLine="0"/>
              <w:jc w:val="center"/>
              <w:rPr>
                <w:rFonts w:ascii="Times New Roman" w:hAnsi="Times New Roman"/>
                <w:color w:val="000000"/>
                <w:szCs w:val="21"/>
                <w:highlight w:val="none"/>
                <w:lang w:val="en-US"/>
              </w:rPr>
            </w:pPr>
            <w:r>
              <w:rPr>
                <w:rFonts w:hint="eastAsia" w:ascii="Times New Roman" w:hAnsi="Times New Roman"/>
                <w:color w:val="000000"/>
                <w:szCs w:val="21"/>
                <w:highlight w:val="none"/>
                <w:lang w:val="en-US"/>
              </w:rPr>
              <w:t xml:space="preserve">技术要求详见招标文件</w:t>
            </w:r>
            <w:r>
              <w:rPr>
                <w:rFonts w:ascii="Times New Roman" w:hAnsi="Times New Roman"/>
                <w:color w:val="000000"/>
                <w:szCs w:val="21"/>
                <w:highlight w:val="none"/>
                <w:lang w:val="en-US"/>
              </w:rPr>
            </w:r>
            <w:r/>
          </w:p>
        </w:tc>
      </w:tr>
    </w:tbl>
    <w:p>
      <w:pPr>
        <w:pStyle w:val="682"/>
        <w:ind w:firstLine="420"/>
        <w:jc w:val="left"/>
        <w:spacing w:line="360" w:lineRule="auto"/>
        <w:widowControl/>
        <w:rPr>
          <w:color w:val="000000"/>
          <w:szCs w:val="21"/>
          <w:highlight w:val="none"/>
        </w:rPr>
      </w:pPr>
      <w:r>
        <w:rPr>
          <w:rFonts w:hint="eastAsia" w:ascii="宋体" w:hAnsi="宋体" w:cs="宋体"/>
          <w:color w:val="000000"/>
          <w:szCs w:val="21"/>
          <w:highlight w:val="none"/>
        </w:rPr>
        <w:t xml:space="preserve">5.合同履行期限：合同签订后30日内供货至采购单位指定地点</w:t>
      </w:r>
      <w:r>
        <w:rPr>
          <w:rFonts w:hint="eastAsia"/>
          <w:color w:val="000000"/>
          <w:szCs w:val="21"/>
          <w:highlight w:val="none"/>
        </w:rPr>
        <w:t xml:space="preserve">（实际以采购单位通知为准）。</w:t>
      </w:r>
      <w:r>
        <w:rPr>
          <w:color w:val="000000"/>
          <w:szCs w:val="21"/>
          <w:highlight w:val="none"/>
        </w:rPr>
      </w:r>
      <w:r/>
    </w:p>
    <w:p>
      <w:pPr>
        <w:pStyle w:val="1011"/>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6.标段划分及中标原则：本项目共一个采购包（即原JSZC-320500-SZJX-G2026-0030号项目中第二标段），成交单位数量为一家。已在原JSZC-320500-SZJX-G2026-0030号项目其他标段评审中成交的供应商，不再具有本项目得标权。</w:t>
      </w:r>
      <w:r>
        <w:rPr>
          <w:rFonts w:ascii="宋体" w:hAnsi="宋体" w:cs="宋体"/>
          <w:bCs/>
          <w:color w:val="000000"/>
          <w:sz w:val="21"/>
          <w:szCs w:val="21"/>
          <w:highlight w:val="none"/>
        </w:rPr>
      </w:r>
      <w:r/>
    </w:p>
    <w:p>
      <w:pPr>
        <w:pStyle w:val="682"/>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7.本项目（是/否）接受联合体投标：否</w:t>
      </w:r>
      <w:r>
        <w:rPr>
          <w:rFonts w:ascii="宋体" w:hAnsi="宋体" w:cs="宋体"/>
          <w:color w:val="000000"/>
          <w:szCs w:val="21"/>
          <w:highlight w:val="none"/>
        </w:rPr>
      </w:r>
      <w:r/>
    </w:p>
    <w:p>
      <w:pPr>
        <w:pStyle w:val="68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3.具有履行合同所必须的设备和专业技术能力；</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Cs/>
          <w:color w:val="000000"/>
          <w:szCs w:val="21"/>
          <w:highlight w:val="none"/>
        </w:rPr>
        <w:t xml:space="preserve">法律、行政法规规定的其他条件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rPr>
          <w:rFonts w:ascii="宋体" w:hAnsi="宋体" w:cs="宋体"/>
          <w:color w:val="000000"/>
          <w:szCs w:val="21"/>
          <w:highlight w:val="none"/>
        </w:rPr>
      </w:r>
      <w:r/>
    </w:p>
    <w:p>
      <w:pPr>
        <w:pStyle w:val="682"/>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根据《政府采购促进中小企业发展管理办法》的相关规定，本项目为专门面向中小企业采购，所属行业为工业，供应商所提供货物的所有承接商应为中小微企业、监狱企业、残疾人福利性单位。投标人必须提供《中小企业声明函》或残疾人福利性单位声明函或监狱企业证明。</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rPr>
          <w:rFonts w:ascii="宋体" w:hAnsi="宋体" w:cs="宋体"/>
          <w:color w:val="000000"/>
          <w:szCs w:val="21"/>
          <w:highlight w:val="none"/>
        </w:rPr>
        <w:t xml:space="preserve">无</w:t>
      </w:r>
      <w:r>
        <w:rPr>
          <w:rFonts w:ascii="宋体" w:hAnsi="宋体" w:cs="宋体"/>
          <w:color w:val="000000"/>
          <w:szCs w:val="21"/>
          <w:highlight w:val="none"/>
        </w:rPr>
      </w:r>
      <w:r/>
    </w:p>
    <w:p>
      <w:pPr>
        <w:pStyle w:val="682"/>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三、获取招标文件</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1.时间：自招标公告发布之日起5个工作日。</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 </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3.方式：自行下载</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4.售价：0.00元</w:t>
      </w:r>
      <w:r>
        <w:rPr>
          <w:rFonts w:ascii="宋体" w:hAnsi="宋体" w:cs="宋体"/>
          <w:color w:val="000000"/>
          <w:szCs w:val="21"/>
          <w:highlight w:val="none"/>
        </w:rPr>
      </w:r>
      <w:r/>
    </w:p>
    <w:p>
      <w:pPr>
        <w:pStyle w:val="68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1.2026-8-13   9:30 （北京时间）</w:t>
      </w:r>
      <w:r>
        <w:rPr>
          <w:rFonts w:ascii="宋体" w:hAnsi="宋体" w:cs="宋体"/>
          <w:color w:val="000000"/>
          <w:szCs w:val="21"/>
          <w:highlight w:val="none"/>
        </w:rPr>
      </w:r>
      <w:r/>
    </w:p>
    <w:p>
      <w:pPr>
        <w:pStyle w:val="682"/>
        <w:ind w:firstLine="4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w:t>
      </w:r>
      <w:r>
        <w:rPr>
          <w:rFonts w:ascii="宋体" w:hAnsi="宋体" w:cs="宋体"/>
          <w:color w:val="000000"/>
          <w:szCs w:val="21"/>
          <w:highlight w:val="none"/>
        </w:rPr>
      </w:r>
      <w:r/>
    </w:p>
    <w:p>
      <w:pPr>
        <w:pStyle w:val="68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六、其它补充事宜</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color w:val="000000"/>
          <w:szCs w:val="21"/>
          <w:highlight w:val="none"/>
        </w:rPr>
        <w:t xml:space="preserve">—</w:t>
      </w:r>
      <w:r>
        <w:rPr>
          <w:rFonts w:hint="eastAsia" w:ascii="宋体" w:hAnsi="宋体" w:cs="宋体"/>
          <w:bCs/>
          <w:color w:val="000000"/>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Cs w:val="21"/>
          <w:highlight w:val="none"/>
        </w:rPr>
        <w:t xml:space="preserve">苏州现场办理地址：苏州市市辖区【狮山科技馆】一楼</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2.参与采购活动</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000000"/>
          <w:szCs w:val="21"/>
          <w:highlight w:val="none"/>
        </w:rPr>
        <w:t xml:space="preserve">（具体详见《苏采云系统供应商操作手册》，网址链接https://czju.suzhou.gov.cn/zfcg/html/content/20231220161910031.shtml）。</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注册咨询：0512-69820854；</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系统使用指导与咨询：联系电话：0512-69820854；智能客服：登录苏采云系统后，联系系统右下方智能客服图标进行咨询。</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5.有关本项目电子投标具体操作方法详见苏采云系统中的客户端使用说明和供应商《操作手册》。</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b/>
          <w:bCs/>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请供应商确保电脑、系统及其他设备（视频输入输出设备等）无误，且开启直至项目结束始终保持系统在线状态。</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6.本项目获取招标文件截止日期之后仍可以下载招标文件，但截止日期之后下载的招标文件，视为非有效方式且不作为供应商权益受到损害的证明材料和依据。</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7.单位负责人为同一人或存在直接控股、管理关系的不同供应商，不得参加同一合同项下的政府采购活动。 </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8.为采购项目提供整体设计、规范编制或者项目管理、监理、检测等服务的供应商，不得再参加该采购项目的其他采购活动。 </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9、根据苏州市财政局《关于深入开展苏州市政府采购合同信用融资业务的通知》相关要求，本项目支持政府采购合同信用融资。</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1.招标人信息</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名称：江苏省苏州环境监测中心</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bCs/>
          <w:color w:val="000000"/>
          <w:szCs w:val="21"/>
          <w:highlight w:val="none"/>
        </w:rPr>
        <w:t xml:space="preserve">苏州市竹园路8号</w:t>
      </w:r>
      <w:r>
        <w:rPr>
          <w:rFonts w:ascii="宋体" w:hAnsi="宋体" w:cs="宋体"/>
          <w:color w:val="000000"/>
          <w:szCs w:val="21"/>
          <w:highlight w:val="none"/>
        </w:rPr>
      </w:r>
      <w:r/>
    </w:p>
    <w:p>
      <w:pPr>
        <w:pStyle w:val="68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联系人：李芳</w:t>
      </w:r>
      <w:r>
        <w:rPr>
          <w:rFonts w:ascii="宋体" w:hAnsi="宋体" w:cs="宋体"/>
          <w:bCs/>
          <w:color w:val="000000"/>
          <w:szCs w:val="21"/>
          <w:highlight w:val="none"/>
        </w:rPr>
      </w:r>
      <w:r/>
    </w:p>
    <w:p>
      <w:pPr>
        <w:pStyle w:val="68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电　话：0512-</w:t>
      </w:r>
      <w:r>
        <w:rPr>
          <w:rFonts w:hint="eastAsia" w:ascii="宋体" w:hAnsi="宋体" w:cs="宋体"/>
          <w:color w:val="000000"/>
          <w:szCs w:val="21"/>
          <w:highlight w:val="none"/>
        </w:rPr>
        <w:t xml:space="preserve">68338011</w:t>
      </w:r>
      <w:r>
        <w:rPr>
          <w:rFonts w:ascii="宋体" w:hAnsi="宋体" w:cs="宋体"/>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称：苏州捷信招投标咨询有限公司</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地址：苏州市南园北路118号天和商务大厦6-206</w:t>
      </w:r>
      <w:r>
        <w:rPr>
          <w:rFonts w:ascii="宋体" w:hAnsi="宋体" w:cs="宋体"/>
          <w:color w:val="000000"/>
          <w:szCs w:val="21"/>
          <w:highlight w:val="none"/>
        </w:rPr>
      </w:r>
      <w:r/>
    </w:p>
    <w:p>
      <w:pPr>
        <w:pStyle w:val="1026"/>
        <w:ind w:firstLine="420"/>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val="zh-CN"/>
        </w:rPr>
        <w:t xml:space="preserve">张瑾、</w:t>
      </w:r>
      <w:r>
        <w:rPr>
          <w:rFonts w:hint="eastAsia" w:ascii="宋体" w:hAnsi="宋体" w:cs="宋体"/>
          <w:color w:val="000000"/>
          <w:sz w:val="21"/>
          <w:szCs w:val="21"/>
          <w:highlight w:val="none"/>
        </w:rPr>
        <w:t xml:space="preserve">陈丽韵</w:t>
      </w:r>
      <w:r>
        <w:rPr>
          <w:rFonts w:ascii="宋体" w:hAnsi="宋体" w:cs="宋体"/>
          <w:color w:val="000000"/>
          <w:sz w:val="21"/>
          <w:szCs w:val="21"/>
          <w:highlight w:val="none"/>
          <w:lang w:val="zh-CN"/>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联系方式：0512-65200361</w:t>
      </w:r>
      <w:r>
        <w:rPr>
          <w:rFonts w:ascii="宋体" w:hAnsi="宋体" w:cs="宋体"/>
          <w:color w:val="000000"/>
          <w:szCs w:val="21"/>
          <w:highlight w:val="none"/>
        </w:rPr>
      </w:r>
      <w:r/>
    </w:p>
    <w:p>
      <w:pPr>
        <w:pStyle w:val="682"/>
        <w:rPr>
          <w:rFonts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ascii="宋体" w:hAnsi="宋体" w:cs="宋体"/>
          <w:b/>
          <w:bCs/>
          <w:color w:val="000000"/>
          <w:sz w:val="44"/>
          <w:szCs w:val="44"/>
          <w:highlight w:val="none"/>
        </w:rPr>
      </w:r>
      <w:r/>
    </w:p>
    <w:p>
      <w:pPr>
        <w:pStyle w:val="682"/>
        <w:jc w:val="center"/>
        <w:keepNext/>
        <w:rPr>
          <w:rFonts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第二章 投标人须知</w:t>
      </w:r>
      <w:r>
        <w:rPr>
          <w:rFonts w:ascii="宋体" w:hAnsi="宋体" w:cs="宋体"/>
          <w:b/>
          <w:bCs/>
          <w:color w:val="000000"/>
          <w:sz w:val="44"/>
          <w:szCs w:val="44"/>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A说明和释义</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1.说明</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1.1本招标文件仅适用于苏州捷信招投标咨询有限公司组织的招标活动。</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1.3本招标文件的解释权属于苏州捷信招投标咨询有限公司。</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2.词语释义</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2.1招标人：指依法进行政府采购的国家机关、事业单位、团体组织。</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2.2采购代理机构：指依法接受采购人委托，从事货物、工程和服务等政府采购代理业务的社会中介机构。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2.3投标人：指响应招标、参加投标竞争的法人、其他组织或者自然人。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2.4投标：投标人根据采购人或采购代理机构发布的招标文件，编制投标文件并按规定投标的行为。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2.6甲方（招标人）：合同中明确规定的实际购买货物和服务的法人或其他组织和自然人。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2.7乙方（投标人）：合同中规定的向采购人提供货物和服务的法人或其他组织和自然人。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2.8货物：系指乙方按招标采购文件规定，应向甲方提供的一切设备、备品、备件、工具、手册及其它有关技术资料和材料。</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2.9服务：系指本次招标采购文件规定乙方应承担的与提供货物和服务有关的辅助服务，比如运输、提供技术援助、配合措施、维修响应及合同中规定乙方应承担的其它义务。</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2.10知识产权：指专利权、商标权、著作权等无形财产专有权的统称。</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2.11天：日历日。</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2.12时间：除特别说明，均指北京时间。</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2.13交货地点：合同中明确约定的乙方提交的货物和服务最终到达地点。</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2.14合同价款：根据合同规定，乙方在正确地履行合同义务后甲方应支付乙方的价款。</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2.15产地：货物开采、生长、生产、最终制造、加工或提供服务的来源地。</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2.16不可抗力：不能预见、不能避免并且不能克服的客观情况。</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2.17实质响应：满足有关本次采购标的、数量、质量、价款或者报酬、履行期限、履行地点和方式、违约责任和解决争议方法等要求。</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2.18进口产品：通过中国海关报关验放进入中国境内且产自关境外的产品。</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2.19书面形式：指书面文字、合同书、信件和传真等可以有形地表现所载内容的形式。</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B投标人</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3.供应商资格要求</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3.1满足《中华人民共和国政府采购法》第二十二条规定，投标人应当具备下列条件：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（6）法律、行政法规规定的其他条件。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3.2落实政府采购政策需满足的资格要求：本项目专门面向中小企业，所属行业为工业，供应商所提供货物的所有承接商应为中小微企业、监狱企业、残疾人福利性单位。投标人必须提供《中小企业声明函》或《残疾人福利性单位声明函》或由省级以上监狱管理局、戒毒管理局（含新疆生产建设兵团）出具的属于监狱企业的证明文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3.3本项目的特定资格要求：无</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4.投标人代表</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4.1指全权代表投标人参加投标活动并签署投标文件的人，如果投标人代表不是法定代表人，须持有《法人代表授权委托书》（详见统一格式）。</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5.投标费用</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6.联合投标及进口产品</w:t>
      </w:r>
      <w:r>
        <w:rPr>
          <w:rFonts w:ascii="宋体" w:hAnsi="宋体" w:cs="宋体"/>
          <w:color w:val="000000"/>
          <w:sz w:val="21"/>
          <w:szCs w:val="21"/>
          <w:highlight w:val="none"/>
        </w:rPr>
      </w:r>
      <w:r/>
    </w:p>
    <w:p>
      <w:pPr>
        <w:pStyle w:val="892"/>
        <w:ind w:firstLine="420"/>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6.1本项目不接受联合体投标。</w:t>
      </w:r>
      <w:r>
        <w:rPr>
          <w:rFonts w:ascii="宋体" w:hAnsi="宋体" w:cs="宋体"/>
          <w:b/>
          <w:bCs/>
          <w:color w:val="000000"/>
          <w:sz w:val="21"/>
          <w:szCs w:val="21"/>
          <w:highlight w:val="none"/>
        </w:rPr>
      </w:r>
      <w:r/>
    </w:p>
    <w:p>
      <w:pPr>
        <w:pStyle w:val="892"/>
        <w:ind w:firstLine="420"/>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6.2本项目不接受进口产品。</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C招标文件的说明</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7.招标文件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7.2招标文件及其补充文件为未按规定的方式获得的，采购代理机构对招标文件及其补遗的真实性、完整性不承担任何责任。</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8.招标文件的询问</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8.1供应商在收到招标文件后，若有问题需要询问，应于下载招标文件后，可通过公告中的联系方式及时提出，采购人或采购代理机构将予以解答，但答复内容不得涉及商业秘密。</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9.招标文件的澄清和修改</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9.2为保证供应商有足够时间修正投标文件，或出于其他合理原因，采购代理机构可依法顺延投标截止时间和开标时间。</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10.现场踏勘</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10.1根据自身投标需要，供应商对有关现场和周围环境进行踏勘，以获取编制投标文件和签署合同所需的信息。现场踏勘所发生的费用由供应商自己承担。</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10.2招标人或采购代理机构向供应商提供的有关现场的资料和数据，是招标人或采购代理机构现有的并认为能使供应商可利用的资料。招标人或采购代理机构对供应商由此而做出的推论、理解和结论概不负责。</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10.3经招标人允许，供应商可为踏勘目的进入采购人的项目现场，但供应商不得因此使招标人承担有关的责任和蒙受损失。供应商应承担现场踏勘的责任和风险。</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10.4供应商应在现场踏勘时，熟悉现场及周围交通道路等情况，以获得一切可能影响其投标的直接资料。供应商中标后，不得以不完全了解现场情况为理由而向招标人或采购代理机构提出任何索赔的要求，对此招标人或采购代理机构不承担任何责任并将不作任何答复与考虑。</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D投标文件说明</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11.提示与要求</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11.1投标人应仔细阅读招标文件的所有内容，按招标文件的要求提供投标文件，并保证所提供的全部资料的真实性，以使其投标对招标文件作出实质性响应，否则，其投标可能被拒绝。</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11.2无论是否递交投标文件，投标人都应将招标文件及以后的所有通知、文件等视为保密文件。</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12.投标文件计量单位和使用文字</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12.2投标文件应使用中文编制，投标文件中必须使用其他文字的，必须附有中文译本。对于未附有中文译本和中文译本不准确的投标文件可能引起的对投标人不利的后果，招标人或招标代理机构概不负责。</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13. 知识产权</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14.1投标文件的组成</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14.1.1封面</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14.1.2开标一览表</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14.1.3公开分项报价</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14.1.4资格审查文件</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14.1.4.1具有独立承担民事责任的能力证明：包括法人或者其他组织的营业执照等证明文件，自然人的身份证明；</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14.1.4.2</w:t>
      </w:r>
      <w:r>
        <w:rPr>
          <w:rFonts w:ascii="宋体" w:hAnsi="宋体" w:cs="宋体"/>
          <w:color w:val="000000"/>
          <w:sz w:val="21"/>
          <w:szCs w:val="21"/>
          <w:highlight w:val="none"/>
        </w:rPr>
        <w:t xml:space="preserve">具有良好的商业信誉和健全的财务会计制度证明</w:t>
      </w:r>
      <w:r>
        <w:rPr>
          <w:rFonts w:hint="eastAsia" w:ascii="宋体" w:hAnsi="宋体" w:cs="宋体"/>
          <w:color w:val="000000"/>
          <w:sz w:val="21"/>
          <w:szCs w:val="21"/>
          <w:highlight w:val="none"/>
        </w:rPr>
        <w:t xml:space="preserve">材料</w:t>
      </w:r>
      <w:r>
        <w:rPr>
          <w:rFonts w:ascii="宋体" w:hAnsi="宋体" w:cs="宋体"/>
          <w:color w:val="000000"/>
          <w:sz w:val="21"/>
          <w:szCs w:val="21"/>
          <w:highlight w:val="none"/>
        </w:rPr>
        <w:t xml:space="preserve">：提供</w:t>
      </w:r>
      <w:r>
        <w:rPr>
          <w:rFonts w:hint="eastAsia" w:ascii="宋体" w:hAnsi="宋体" w:cs="宋体"/>
          <w:color w:val="000000"/>
          <w:sz w:val="21"/>
          <w:szCs w:val="21"/>
          <w:highlight w:val="none"/>
        </w:rPr>
        <w:t xml:space="preserve">最新一期</w:t>
      </w:r>
      <w:r>
        <w:rPr>
          <w:rFonts w:ascii="宋体" w:hAnsi="宋体" w:cs="宋体"/>
          <w:color w:val="000000"/>
          <w:sz w:val="21"/>
          <w:szCs w:val="21"/>
          <w:highlight w:val="none"/>
        </w:rPr>
        <w:t xml:space="preserve">财务报表或审计报告，或银行出具的资信证明，或财政部门认可的政府采购专业担保机构出具的投标担保函</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14.1.4.3具备履行合同所必需的设备和专业技术能力的证明材料或承诺；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14.1.4.4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14.1.4.5参加政府采购活动前三年内在经营活动中没有重大违法记录的书面声明函；</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14.1.4.6《中小企业声明函》或《残疾人福利性单位声明函》或由省级以上监狱管理局、戒毒管理局（含新疆生产建设兵团）出具的属于监狱企业的证明文件。</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以上14.1.4.1—14.1.4.6为资格审查要求提供的材料，是作为对供应商资格审查、质疑身份认定的依据，投标人必须提供并加盖电子公章，否则投标无效。 </w:t>
      </w:r>
      <w:r>
        <w:rPr>
          <w:rFonts w:ascii="宋体" w:hAnsi="宋体" w:cs="宋体"/>
          <w:b/>
          <w:bCs/>
          <w:color w:val="000000"/>
          <w:sz w:val="21"/>
          <w:szCs w:val="21"/>
          <w:highlight w:val="none"/>
          <w:u w:val="singl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14.1.5符合性审查文件</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14.1.5.1投标函（格式见第六章）；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14.1.5.2投标人法定代表人身份证复印件；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14.1.5.3法人授权委托书、投标人授权代理人身份证复印件（如有授权）；</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14.1.5.4《资格文件的声明函》（格式见第六章）；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14.1.5.5《投标人基本情况表》（格式见第六章）；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14.1.5.6《技术要求偏离表》、《商务条款偏离表》（格式见第六章）；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14.1.5.7投标货物和服务数量、品牌规格、性能、交货期说明表（不得出现价格，格式见第六章）；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14.1.5.8采购需求中所涉及到的或供应商认为需加以说明或证明的其他有关符合性证明材料、证明（如有）；对属于《节能产品政府采购品目清单》政府强制采购产品的，需提供该产品有效期内的认证等相关证明材料（如有）；</w:t>
      </w:r>
      <w:r>
        <w:rPr>
          <w:rFonts w:ascii="宋体" w:hAnsi="宋体" w:cs="宋体"/>
          <w:color w:val="000000"/>
          <w:sz w:val="21"/>
          <w:szCs w:val="21"/>
          <w:highlight w:val="none"/>
        </w:rPr>
      </w:r>
      <w:r/>
    </w:p>
    <w:p>
      <w:pPr>
        <w:pStyle w:val="1053"/>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以上1</w:t>
      </w:r>
      <w:r>
        <w:rPr>
          <w:rFonts w:hint="eastAsia" w:ascii="宋体" w:hAnsi="宋体" w:cs="宋体"/>
          <w:b/>
          <w:bCs/>
          <w:color w:val="000000"/>
          <w:szCs w:val="21"/>
          <w:highlight w:val="none"/>
          <w:lang w:val="en-US"/>
        </w:rPr>
        <w:t xml:space="preserve">4</w:t>
      </w:r>
      <w:r>
        <w:rPr>
          <w:rFonts w:hint="eastAsia" w:ascii="宋体" w:hAnsi="宋体" w:cs="宋体"/>
          <w:b/>
          <w:bCs/>
          <w:color w:val="000000"/>
          <w:szCs w:val="21"/>
          <w:highlight w:val="none"/>
        </w:rPr>
        <w:t xml:space="preserve">.1.5.1—</w:t>
      </w:r>
      <w:r>
        <w:rPr>
          <w:rFonts w:hint="eastAsia" w:ascii="宋体" w:hAnsi="宋体" w:cs="宋体"/>
          <w:b/>
          <w:bCs/>
          <w:color w:val="000000"/>
          <w:szCs w:val="21"/>
          <w:highlight w:val="none"/>
          <w:lang w:val="en-US"/>
        </w:rPr>
        <w:t xml:space="preserve">14</w:t>
      </w:r>
      <w:r>
        <w:rPr>
          <w:rFonts w:hint="eastAsia" w:ascii="宋体" w:hAnsi="宋体" w:cs="宋体"/>
          <w:b/>
          <w:bCs/>
          <w:color w:val="000000"/>
          <w:szCs w:val="21"/>
          <w:highlight w:val="none"/>
        </w:rPr>
        <w:t xml:space="preserve">.1.5.</w:t>
      </w:r>
      <w:r>
        <w:rPr>
          <w:rFonts w:hint="eastAsia" w:ascii="宋体" w:hAnsi="宋体" w:cs="宋体"/>
          <w:b/>
          <w:bCs/>
          <w:color w:val="000000"/>
          <w:szCs w:val="21"/>
          <w:highlight w:val="none"/>
          <w:lang w:val="en-US"/>
        </w:rPr>
        <w:t xml:space="preserve">7</w:t>
      </w:r>
      <w:r>
        <w:rPr>
          <w:rFonts w:hint="eastAsia" w:ascii="宋体" w:hAnsi="宋体" w:cs="宋体"/>
          <w:b/>
          <w:bCs/>
          <w:color w:val="000000"/>
          <w:szCs w:val="21"/>
          <w:highlight w:val="none"/>
        </w:rPr>
        <w:t xml:space="preserve">为符合性审查必须提供的资料，投标人必须提供并加盖电子公章。否则，投标文件将被认定为未实质性响应。</w:t>
      </w:r>
      <w:r>
        <w:rPr>
          <w:rFonts w:ascii="宋体" w:hAnsi="宋体" w:cs="宋体"/>
          <w:b/>
          <w:bCs/>
          <w:color w:val="000000"/>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14.1.6综合评审文件</w:t>
      </w:r>
      <w:r>
        <w:rPr>
          <w:rFonts w:ascii="宋体" w:hAnsi="宋体" w:cs="宋体"/>
          <w:color w:val="000000"/>
          <w:sz w:val="21"/>
          <w:szCs w:val="21"/>
          <w:highlight w:val="none"/>
        </w:rPr>
      </w:r>
      <w:r/>
    </w:p>
    <w:p>
      <w:pPr>
        <w:pStyle w:val="892"/>
        <w:ind w:firstLine="420"/>
        <w:jc w:val="both"/>
        <w:rPr>
          <w:rFonts w:ascii="宋体" w:hAnsi="宋体" w:cs="宋体"/>
          <w:b/>
          <w:bCs/>
          <w:color w:val="000000"/>
          <w:sz w:val="21"/>
          <w:szCs w:val="21"/>
          <w:highlight w:val="none"/>
        </w:rPr>
      </w:pPr>
      <w:r>
        <w:rPr>
          <w:rFonts w:hint="eastAsia" w:ascii="宋体" w:hAnsi="宋体" w:cs="宋体"/>
          <w:color w:val="000000"/>
          <w:sz w:val="21"/>
          <w:szCs w:val="21"/>
          <w:highlight w:val="none"/>
        </w:rPr>
        <w:t xml:space="preserve">14.1.6.1针对本项目的技术、服务方案；</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14.1.6.2拟投入本项目人员情况表等（格式见第六章）；</w:t>
      </w:r>
      <w:r>
        <w:rPr>
          <w:rFonts w:ascii="宋体" w:hAnsi="宋体" w:cs="宋体"/>
          <w:color w:val="000000"/>
          <w:sz w:val="21"/>
          <w:szCs w:val="21"/>
          <w:highlight w:val="none"/>
        </w:rPr>
      </w:r>
      <w:r/>
    </w:p>
    <w:p>
      <w:pPr>
        <w:pStyle w:val="1053"/>
        <w:ind w:firstLine="420"/>
        <w:spacing w:line="360" w:lineRule="auto"/>
        <w:rPr>
          <w:rFonts w:ascii="宋体" w:hAnsi="宋体" w:cs="宋体"/>
          <w:color w:val="000000"/>
          <w:szCs w:val="21"/>
          <w:highlight w:val="none"/>
          <w:lang w:val="en-US"/>
        </w:rPr>
      </w:pPr>
      <w:r>
        <w:rPr>
          <w:rFonts w:hint="eastAsia" w:ascii="宋体" w:hAnsi="宋体"/>
          <w:color w:val="000000"/>
          <w:szCs w:val="21"/>
          <w:highlight w:val="none"/>
        </w:rPr>
        <w:t xml:space="preserve">1</w:t>
      </w:r>
      <w:r>
        <w:rPr>
          <w:rFonts w:ascii="宋体" w:hAnsi="宋体"/>
          <w:color w:val="000000"/>
          <w:szCs w:val="21"/>
          <w:highlight w:val="none"/>
        </w:rPr>
        <w:t xml:space="preserve">4.1.</w:t>
      </w:r>
      <w:r>
        <w:rPr>
          <w:rFonts w:hint="eastAsia" w:ascii="宋体" w:hAnsi="宋体"/>
          <w:color w:val="000000"/>
          <w:szCs w:val="21"/>
          <w:highlight w:val="none"/>
          <w:lang w:val="en-US"/>
        </w:rPr>
        <w:t xml:space="preserve">7</w:t>
      </w:r>
      <w:r>
        <w:rPr>
          <w:rFonts w:hint="eastAsia" w:ascii="宋体" w:hAnsi="宋体"/>
          <w:color w:val="000000"/>
          <w:szCs w:val="21"/>
          <w:highlight w:val="none"/>
        </w:rPr>
        <w:t xml:space="preserve">《关于符合本国产品标准的声明函》</w:t>
      </w:r>
      <w:r>
        <w:rPr>
          <w:rFonts w:ascii="宋体" w:hAnsi="宋体" w:cs="宋体"/>
          <w:color w:val="000000"/>
          <w:szCs w:val="21"/>
          <w:highlight w:val="none"/>
          <w:lang w:val="en-US"/>
        </w:rPr>
      </w:r>
      <w:r/>
    </w:p>
    <w:p>
      <w:pPr>
        <w:pStyle w:val="682"/>
        <w:ind w:firstLine="408"/>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4.1.</w:t>
      </w:r>
      <w:r>
        <w:rPr>
          <w:rFonts w:hint="eastAsia" w:ascii="宋体" w:hAnsi="宋体"/>
          <w:color w:val="000000"/>
          <w:szCs w:val="21"/>
          <w:highlight w:val="none"/>
        </w:rPr>
        <w:t xml:space="preserve">8其他评分标准中涉及的资料。</w:t>
      </w:r>
      <w:r>
        <w:rPr>
          <w:rFonts w:ascii="宋体" w:hAnsi="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14.2 </w:t>
      </w:r>
      <w:r>
        <w:rPr>
          <w:rFonts w:hint="eastAsia" w:ascii="宋体" w:hAnsi="宋体" w:cs="宋体"/>
          <w:b/>
          <w:color w:val="000000"/>
          <w:szCs w:val="21"/>
          <w:highlight w:val="none"/>
        </w:rPr>
        <w:t xml:space="preserve">“14.1.4-14.1.</w:t>
      </w:r>
      <w:r>
        <w:rPr>
          <w:rFonts w:hint="eastAsia" w:ascii="宋体" w:hAnsi="宋体" w:cs="宋体"/>
          <w:b/>
          <w:color w:val="000000"/>
          <w:szCs w:val="21"/>
          <w:highlight w:val="none"/>
          <w:lang w:val="en-US"/>
        </w:rPr>
        <w:t xml:space="preserve">6</w:t>
      </w:r>
      <w:r>
        <w:rPr>
          <w:rFonts w:hint="eastAsia" w:ascii="宋体" w:hAnsi="宋体" w:cs="宋体"/>
          <w:b/>
          <w:color w:val="000000"/>
          <w:szCs w:val="21"/>
          <w:highlight w:val="none"/>
        </w:rPr>
        <w:t xml:space="preserve">”中不得出现投标总报价。</w:t>
      </w:r>
      <w:r>
        <w:rPr>
          <w:rFonts w:hint="eastAsia" w:ascii="宋体" w:hAnsi="宋体" w:cs="宋体"/>
          <w:color w:val="000000"/>
          <w:szCs w:val="21"/>
          <w:highlight w:val="none"/>
        </w:rPr>
        <w:t xml:space="preserve">投标人所提交的资料的完整与否，将直接影响投标人的评分。</w:t>
      </w:r>
      <w:r>
        <w:rPr>
          <w:rFonts w:ascii="宋体" w:hAnsi="宋体" w:cs="宋体"/>
          <w:color w:val="000000"/>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14.3 制作电子投标文件时必须与投标文件制作软件目录一一对应，将相关资料上传至相应模块。</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14.4 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14.5投标文件由14.1款规定的内容组成。</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15.电子投标文件的编制与递交</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15.1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苏采云系统供应商操作手册》。</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15.2 制作电子投标文件时，应按照招标文件要求加盖投标人电子公章。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15.3 </w:t>
      </w:r>
      <w:r>
        <w:rPr>
          <w:rFonts w:hint="eastAsia" w:ascii="宋体" w:hAnsi="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15.4 投标文件的递交：投标人应当在在投标截止时间前制作并上传电子投标文件。投标人通过“苏采云”系统不见面开标大厅在线参与开标活动。（具体操作详见《苏采云系统供应商操作手册》，网址链接https://czju.suzhou.gov.cn/zfcg/html/content/20231220161910031.shtml）</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15.5联合体投标：如招标公告中允许联合体投标，联合体投标的投标文件制作上传操作如下：</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第一步：在投标文件中上传联合体投标协议书。（注:联合投标协议书须盖有联合体各方实体公章或电子章，否则投标无效。）</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第二步；在投标文件中，由联合体中的牵头人制作投标文件。</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15.6如投标文件制作机器码信息一致，视为不同投标供应商使用同一台电脑编制投标文件，投标无效。</w:t>
      </w:r>
      <w:r>
        <w:rPr>
          <w:rFonts w:ascii="宋体" w:hAnsi="宋体" w:cs="宋体"/>
          <w:b/>
          <w:bCs/>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16.投标报价（编制）要求的说明</w:t>
      </w:r>
      <w:r>
        <w:rPr>
          <w:rFonts w:ascii="宋体" w:hAnsi="宋体" w:cs="宋体"/>
          <w:b/>
          <w:bCs/>
          <w:color w:val="000000"/>
          <w:sz w:val="21"/>
          <w:szCs w:val="21"/>
          <w:highlight w:val="none"/>
        </w:rPr>
      </w:r>
      <w:r/>
    </w:p>
    <w:p>
      <w:pPr>
        <w:pStyle w:val="1011"/>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16.2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16.3一项投标内容只允许一个报价，采购人或采购代理机构不接受任何有选择性的投标报价。</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16.4投标文件报价中的单价和总价全部采用人民币表示，除非合同的特殊条款另有规定。</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16.5最低报价不能作为中标的保证。</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17.投标文件的有效期</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17.1自投标截止之日起90天内，投标书应保持有效。有效期短于这个规定期限的投标，将被拒绝。</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17.2在特殊情况下，采购人或采购代理机构可与投标人协商延长投标书的有效期。这种要求和答复都应以书面形式进行。同意延长有效期的投标人不能修改投标文件。拒绝接受延期要求的投标人的投标将被拒绝。</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18.投标文件的补充、修改和撤回</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18.1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18.2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19.投标截止时间</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19.1投标人应当在招标文件要求投标文件网上提交截止时间前，将投标文件完成提交（上传）。逾期提交（上传）的投标文件，采购人和采购代理机构拒绝接收。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19.2招标人和采购代理机构推迟投标截止时间时，将按本须知规定的更正公告的方式对外发布。在这种情况下，招标人、采购代理机构和投标人的权利和义务将受到新的截止期的约束。</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19.3在投标截止时间止成功解密的投标文件少于三份（每标段），采购代理机构有权宣布本标段招标失败。</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E开标和评标</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20.开标</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20.3资格审查</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20.3.1公开招标采购项目开标结束后，招标人应当依法对投标人的资格进行审查，未通过资格审查的视为无效投标。</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20.3.2.1查询时间：投标文件递交截止时间。</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20.3.2.2查询渠道：采购代理机构会在接收投标文件截止时间后，登录信用中国网站（www.creditchina.gov.cn）和中国政府采购网（www.ccgp.gov.cn/）查询供应商的信用记录，并将查询结果递交评标委员会。</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20.3.2.3查询证据留存方式：采购人、采购代理机构工作人员等应按照相关管理办法查询相关主体的信用记录，并保存好相关证据材料，信用查询记录及相关证据应当归入采购档案妥善保管。对存在失信信息的供应商，由失信供应商进行确认。同时，采购代理机构工作人员应根据评标委员会确认的失信信息，登陆到相关来源网站页面进行复核并打印，作为证据留存。</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21.评标委员会</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21.1评标委员会负责具体的评标事务，并独立履行以下职责：</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21.1.1审查、评价投标文件是否符合招标文件的商务、技术等实质性要求；</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21.1.2要求投标人对投标文件有关事项作出澄清或者说明；</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21.1.3对投标文件进行比较和评价；</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21.1.4确定中标候选人名单；</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21.1.5向采购人、采购代理机构或者有关部门报告评标中发现的违法行为。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 评标委员会成员应当履行下列义务：</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21.2.1遵纪守法，客观、公正、廉洁地履行职责；</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21.2.2按照招标文件规定的评标办法和评标标准进行评标，对评审意见承担个人责任；</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21.2.3对评标过程和结果，以及投标人的商业秘密保密；</w:t>
      </w:r>
      <w:r>
        <w:rPr>
          <w:rFonts w:ascii="宋体" w:hAnsi="宋体" w:cs="宋体"/>
          <w:color w:val="000000"/>
          <w:sz w:val="21"/>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rPr>
        <w:t xml:space="preserve">2</w:t>
      </w:r>
      <w:r>
        <w:rPr>
          <w:rFonts w:hint="eastAsia" w:ascii="宋体" w:hAnsi="宋体" w:cs="宋体"/>
          <w:color w:val="000000"/>
          <w:szCs w:val="21"/>
          <w:highlight w:val="none"/>
        </w:rPr>
        <w:t xml:space="preserve">.4评标委员会根据全体评标成员签字的原始评标记录和评标结果编写评标报告。评标报告应当包括以下内容： </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21.2.4.1</w:t>
      </w:r>
      <w:r>
        <w:rPr>
          <w:rFonts w:hint="eastAsia" w:ascii="宋体" w:hAnsi="宋体" w:cs="宋体"/>
          <w:color w:val="000000"/>
          <w:szCs w:val="21"/>
          <w:highlight w:val="none"/>
        </w:rPr>
        <w:t xml:space="preserve">招标公告刊登的媒体名称、开标日期和地点；</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21.2.4.2</w:t>
      </w:r>
      <w:r>
        <w:rPr>
          <w:rFonts w:hint="eastAsia" w:ascii="宋体" w:hAnsi="宋体" w:cs="宋体"/>
          <w:color w:val="000000"/>
          <w:szCs w:val="21"/>
          <w:highlight w:val="none"/>
        </w:rPr>
        <w:t xml:space="preserve">投标人名单和评标委员会成员名单；</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21.2.4.3</w:t>
      </w:r>
      <w:r>
        <w:rPr>
          <w:rFonts w:hint="eastAsia" w:ascii="宋体" w:hAnsi="宋体" w:cs="宋体"/>
          <w:color w:val="000000"/>
          <w:szCs w:val="21"/>
          <w:highlight w:val="none"/>
        </w:rPr>
        <w:t xml:space="preserve">评标方法和标准；</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21.2.4.4</w:t>
      </w:r>
      <w:r>
        <w:rPr>
          <w:rFonts w:hint="eastAsia" w:ascii="宋体" w:hAnsi="宋体" w:cs="宋体"/>
          <w:color w:val="000000"/>
          <w:szCs w:val="21"/>
          <w:highlight w:val="none"/>
        </w:rPr>
        <w:t xml:space="preserve">开标记录和评标情况及说明，包括无效投标人名单及原因；</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21.2.4.5</w:t>
      </w:r>
      <w:r>
        <w:rPr>
          <w:rFonts w:hint="eastAsia" w:ascii="宋体" w:hAnsi="宋体" w:cs="宋体"/>
          <w:color w:val="000000"/>
          <w:szCs w:val="21"/>
          <w:highlight w:val="none"/>
        </w:rPr>
        <w:t xml:space="preserve">评标结果，确定的中标候选人名单；</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21.2.4.6</w:t>
      </w:r>
      <w:r>
        <w:rPr>
          <w:rFonts w:hint="eastAsia" w:ascii="宋体" w:hAnsi="宋体" w:cs="宋体"/>
          <w:color w:val="000000"/>
          <w:szCs w:val="21"/>
          <w:highlight w:val="none"/>
        </w:rPr>
        <w:t xml:space="preserve">其他需要说明的情况，包括评标过程中投标人根据评标委员会要求进行的澄清、说明或者补正，评标委员会成员的更换等。</w:t>
      </w:r>
      <w:r>
        <w:rPr>
          <w:rFonts w:ascii="宋体" w:hAnsi="宋体" w:cs="宋体"/>
          <w:color w:val="000000"/>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21.2.5配合相关部门的投诉处理工作；</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21.2.6配合采购人或采购代理机构答复投标供应商提出的质疑。</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22.评标内容的保密</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22.1公开开标后，直到宣布授予中标单位合同为止，凡属于审查、澄清、评价和比较投标的所有资料，有关授予合同的信息都不应向投标人或与评标无关的其他人泄露。</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22.2在投标文件的审查、澄清、评价和比较以及授予合同的过程中，投标人对采购人或采购代理机构和评标委员会成员施加影响的任何行为，都将取消其中标资格。</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23.对投标文件初审</w:t>
      </w:r>
      <w:r>
        <w:rPr>
          <w:rFonts w:ascii="宋体" w:hAnsi="宋体" w:cs="宋体"/>
          <w:color w:val="000000"/>
          <w:sz w:val="21"/>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.1评标委员会应当对符合资格的投标人的投标文件进行符合性审查，以确定其是否满足招标文件的实质性要求。</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投标文件有下列情况之一者评标委员会有权将其拒绝：</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.1.1投标人的投标文件未按照本须知规定制作的；</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.1.2未按本须知规定提交资格文件；</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.1.3与招标文件有重大偏离；</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.1.4投标人拒绝修正错误；</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.1.5投标人的报价是选择性的；</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.1.6投标人的报价只投了部分内容；</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.1.7投标人的投标文件出现了评标委员会认为不应当雷同的情况；</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.1.8其他被评委会认定无效的情况。</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.3投标文件报价出现前后不一致的，除招标文件另有规定外，按照下列规定修正：</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23.3.1</w:t>
      </w: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23.3.2</w:t>
      </w:r>
      <w:r>
        <w:rPr>
          <w:rFonts w:hint="eastAsia" w:ascii="宋体" w:hAnsi="宋体" w:cs="宋体"/>
          <w:color w:val="000000"/>
          <w:szCs w:val="21"/>
          <w:highlight w:val="none"/>
        </w:rPr>
        <w:t xml:space="preserve">大写金额和小写金额不一致的，以大写金额为准；</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23.3.3</w:t>
      </w:r>
      <w:r>
        <w:rPr>
          <w:rFonts w:hint="eastAsia" w:ascii="宋体" w:hAnsi="宋体" w:cs="宋体"/>
          <w:color w:val="000000"/>
          <w:szCs w:val="21"/>
          <w:highlight w:val="none"/>
        </w:rPr>
        <w:t xml:space="preserve">单价金额小数点或者百分比有明显错位的，以开标一览表的总价为准，并修改单价；</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rPr>
        <w:t xml:space="preserve">23.3.4</w:t>
      </w:r>
      <w:r>
        <w:rPr>
          <w:rFonts w:hint="eastAsia" w:ascii="宋体" w:hAnsi="宋体" w:cs="宋体"/>
          <w:color w:val="000000"/>
          <w:szCs w:val="21"/>
          <w:highlight w:val="none"/>
        </w:rPr>
        <w:t xml:space="preserve">总价金额与按单价汇总金额不一致的，以单价金额计算结果为准。</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23.4</w:t>
      </w: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异常低价投标审查</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23</w:t>
      </w:r>
      <w:r>
        <w:rPr>
          <w:rFonts w:ascii="宋体" w:hAnsi="宋体" w:cs="宋体"/>
          <w:b/>
          <w:color w:val="000000"/>
          <w:szCs w:val="21"/>
          <w:highlight w:val="none"/>
          <w:lang w:val="en-US"/>
        </w:rPr>
        <w:t xml:space="preserve">.4.1</w:t>
      </w:r>
      <w:r>
        <w:rPr>
          <w:rFonts w:hint="eastAsia" w:ascii="宋体" w:hAnsi="宋体" w:cs="宋体"/>
          <w:b/>
          <w:color w:val="000000"/>
          <w:szCs w:val="21"/>
          <w:highlight w:val="none"/>
          <w:lang w:val="en-US"/>
        </w:rPr>
        <w:t xml:space="preserve">评标过程中出现下列情形之一的，</w:t>
      </w:r>
      <w:bookmarkStart w:id="0" w:name="OLE_LINK6"/>
      <w:r/>
      <w:bookmarkStart w:id="1" w:name="OLE_LINK5"/>
      <w:r>
        <w:rPr>
          <w:rFonts w:hint="eastAsia" w:ascii="宋体" w:hAnsi="宋体" w:cs="宋体"/>
          <w:b/>
          <w:color w:val="000000"/>
          <w:szCs w:val="21"/>
          <w:highlight w:val="none"/>
          <w:lang w:val="en-US"/>
        </w:rPr>
        <w:t xml:space="preserve">评标</w:t>
      </w:r>
      <w:bookmarkEnd w:id="0"/>
      <w:r/>
      <w:bookmarkEnd w:id="1"/>
      <w:r>
        <w:rPr>
          <w:rFonts w:hint="eastAsia" w:ascii="宋体" w:hAnsi="宋体" w:cs="宋体"/>
          <w:b/>
          <w:color w:val="000000"/>
          <w:szCs w:val="21"/>
          <w:highlight w:val="none"/>
          <w:lang w:val="en-US"/>
        </w:rPr>
        <w:t xml:space="preserve">委员会应当启动异常低价投标审查程序：</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（一）投标报价低于全部通过符合性审查供应商投标报价平均值50%的，即投标报价&lt;全部通过符合性审查供应商投标报价平均值×50%；</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（二）投标报价低于通过符合性审查的次低报价供应商投标报价50%的，即投标报价&lt;通过符合性审查的次低报价供应商投标报价×50%；</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（三）投标报价低于采购项目最高限价45%的，即投标报价&lt;采购项目最高限价×45%；</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（四）评标委员会基于专业判断，认为供应商报价过低，有可能影响产品质量或者不能诚信履约的其他情形。</w:t>
      </w:r>
      <w:r>
        <w:rPr>
          <w:rFonts w:ascii="宋体" w:hAnsi="宋体" w:cs="宋体"/>
          <w:b/>
          <w:color w:val="000000"/>
          <w:szCs w:val="21"/>
          <w:highlight w:val="none"/>
          <w:lang w:val="en-US"/>
        </w:rPr>
      </w:r>
      <w:r/>
    </w:p>
    <w:p>
      <w:pPr>
        <w:pStyle w:val="1053"/>
        <w:ind w:firstLine="422"/>
        <w:spacing w:line="360" w:lineRule="auto"/>
        <w:rPr>
          <w:color w:val="000000"/>
          <w:highlight w:val="none"/>
          <w:shd w:val="clear" w:color="auto" w:fill="ffffff"/>
        </w:rPr>
      </w:pPr>
      <w:r>
        <w:rPr>
          <w:rFonts w:ascii="宋体" w:hAnsi="宋体"/>
          <w:b/>
          <w:color w:val="000000"/>
          <w:szCs w:val="21"/>
          <w:highlight w:val="none"/>
        </w:rPr>
        <w:t xml:space="preserve">2</w:t>
      </w:r>
      <w:r>
        <w:rPr>
          <w:rFonts w:hint="eastAsia" w:ascii="宋体" w:hAnsi="宋体"/>
          <w:b/>
          <w:color w:val="000000"/>
          <w:szCs w:val="21"/>
          <w:highlight w:val="none"/>
          <w:lang w:val="en-US"/>
        </w:rPr>
        <w:t xml:space="preserve">3</w:t>
      </w:r>
      <w:r>
        <w:rPr>
          <w:rFonts w:ascii="宋体" w:hAnsi="宋体"/>
          <w:b/>
          <w:color w:val="000000"/>
          <w:szCs w:val="21"/>
          <w:highlight w:val="none"/>
        </w:rPr>
        <w:t xml:space="preserve">.4.2</w:t>
      </w:r>
      <w:r>
        <w:rPr>
          <w:rFonts w:hint="eastAsia" w:ascii="宋体" w:hAnsi="宋体"/>
          <w:b/>
          <w:color w:val="000000"/>
          <w:szCs w:val="21"/>
          <w:highlight w:val="none"/>
        </w:rPr>
        <w:t xml:space="preserve">启动异常低价投标审查后，评标委员会应当要求相关供应商在评标现场合理的时间内对投标价格作出解释，提供项目具体成本测算等与报价合理性相关的书面说明及相关证明材料</w:t>
      </w:r>
      <w:bookmarkStart w:id="2" w:name="OLE_LINK10"/>
      <w:r/>
      <w:bookmarkStart w:id="3" w:name="OLE_LINK9"/>
      <w:r>
        <w:rPr>
          <w:rFonts w:hint="eastAsia" w:ascii="宋体" w:hAnsi="宋体"/>
          <w:b/>
          <w:color w:val="000000"/>
          <w:szCs w:val="21"/>
          <w:highlight w:val="none"/>
        </w:rPr>
        <w:t xml:space="preserve">，</w:t>
      </w:r>
      <w:bookmarkEnd w:id="2"/>
      <w:r/>
      <w:bookmarkEnd w:id="3"/>
      <w:r>
        <w:rPr>
          <w:rFonts w:hint="eastAsia" w:ascii="宋体" w:hAnsi="宋体"/>
          <w:b/>
          <w:color w:val="000000"/>
          <w:szCs w:val="21"/>
          <w:highlight w:val="none"/>
        </w:rPr>
        <w:t xml:space="preserve">包括但不限于原材料成本、人工成本、制造费用等，给予相关供应商的合理时间一般不少于30分钟。其中，属于2</w:t>
      </w:r>
      <w:r>
        <w:rPr>
          <w:rFonts w:hint="eastAsia" w:ascii="宋体" w:hAnsi="宋体"/>
          <w:b/>
          <w:color w:val="000000"/>
          <w:szCs w:val="21"/>
          <w:highlight w:val="none"/>
          <w:lang w:val="en-US"/>
        </w:rPr>
        <w:t xml:space="preserve">3</w:t>
      </w:r>
      <w:r>
        <w:rPr>
          <w:rFonts w:ascii="宋体" w:hAnsi="宋体"/>
          <w:b/>
          <w:color w:val="000000"/>
          <w:szCs w:val="21"/>
          <w:highlight w:val="none"/>
        </w:rPr>
        <w:t xml:space="preserve">.4.1</w:t>
      </w:r>
      <w:r>
        <w:rPr>
          <w:rFonts w:hint="eastAsia" w:ascii="宋体" w:hAnsi="宋体"/>
          <w:b/>
          <w:color w:val="000000"/>
          <w:szCs w:val="21"/>
          <w:highlight w:val="none"/>
        </w:rPr>
        <w:t xml:space="preserve">第（三）项情形，供应商已随投标文件一并提交相关书面说明及必要的证明材料的，在评审现场可不再重复提交。</w:t>
      </w:r>
      <w:r>
        <w:rPr>
          <w:color w:val="000000"/>
          <w:highlight w:val="none"/>
          <w:shd w:val="clear" w:color="auto" w:fill="ffffff"/>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23</w:t>
      </w:r>
      <w:r>
        <w:rPr>
          <w:rFonts w:ascii="宋体" w:hAnsi="宋体" w:cs="宋体"/>
          <w:b/>
          <w:color w:val="000000"/>
          <w:szCs w:val="21"/>
          <w:highlight w:val="none"/>
          <w:lang w:val="en-US"/>
        </w:rPr>
        <w:t xml:space="preserve">.4.3</w:t>
      </w:r>
      <w:r>
        <w:rPr>
          <w:rFonts w:hint="eastAsia" w:ascii="宋体" w:hAnsi="宋体" w:cs="宋体"/>
          <w:b/>
          <w:color w:val="000000"/>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ascii="宋体" w:hAnsi="宋体" w:cs="宋体"/>
          <w:b/>
          <w:color w:val="000000"/>
          <w:szCs w:val="21"/>
          <w:highlight w:val="none"/>
          <w:lang w:val="en-US"/>
        </w:rPr>
        <w:t xml:space="preserve">2</w:t>
      </w:r>
      <w:r>
        <w:rPr>
          <w:rFonts w:hint="eastAsia" w:ascii="宋体" w:hAnsi="宋体" w:cs="宋体"/>
          <w:b/>
          <w:color w:val="000000"/>
          <w:szCs w:val="21"/>
          <w:highlight w:val="none"/>
          <w:lang w:val="en-US"/>
        </w:rPr>
        <w:t xml:space="preserve">3</w:t>
      </w:r>
      <w:r>
        <w:rPr>
          <w:rFonts w:ascii="宋体" w:hAnsi="宋体" w:cs="宋体"/>
          <w:b/>
          <w:color w:val="000000"/>
          <w:szCs w:val="21"/>
          <w:highlight w:val="none"/>
          <w:lang w:val="en-US"/>
        </w:rPr>
        <w:t xml:space="preserve">.4.4</w:t>
      </w:r>
      <w:r>
        <w:rPr>
          <w:rFonts w:hint="eastAsia" w:ascii="宋体" w:hAnsi="宋体"/>
          <w:b/>
          <w:color w:val="000000"/>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b/>
          <w:color w:val="000000"/>
          <w:szCs w:val="21"/>
          <w:highlight w:val="none"/>
          <w:lang w:val="en-US"/>
        </w:rPr>
      </w:r>
      <w:r/>
    </w:p>
    <w:p>
      <w:pPr>
        <w:pStyle w:val="1053"/>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b/>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rPr>
        <w:t xml:space="preserve">5</w:t>
      </w:r>
      <w:r>
        <w:rPr>
          <w:rFonts w:hint="eastAsia" w:ascii="宋体" w:hAnsi="宋体" w:cs="宋体"/>
          <w:color w:val="000000"/>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Cs w:val="21"/>
          <w:highlight w:val="none"/>
        </w:rPr>
      </w:r>
      <w:r/>
    </w:p>
    <w:p>
      <w:pPr>
        <w:pStyle w:val="1053"/>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rPr>
        <w:t xml:space="preserve">4</w:t>
      </w:r>
      <w:r>
        <w:rPr>
          <w:rFonts w:hint="eastAsia" w:ascii="宋体" w:hAnsi="宋体" w:cs="宋体"/>
          <w:b/>
          <w:bCs/>
          <w:color w:val="000000"/>
          <w:szCs w:val="21"/>
          <w:highlight w:val="none"/>
        </w:rPr>
        <w:t xml:space="preserve">.投标的澄清</w:t>
      </w:r>
      <w:r>
        <w:rPr>
          <w:rFonts w:ascii="宋体" w:hAnsi="宋体" w:cs="宋体"/>
          <w:b/>
          <w:bCs/>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4</w:t>
      </w: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color w:val="000000"/>
          <w:szCs w:val="21"/>
          <w:highlight w:val="none"/>
        </w:rPr>
      </w:r>
      <w:r/>
    </w:p>
    <w:p>
      <w:pPr>
        <w:pStyle w:val="105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4</w:t>
      </w:r>
      <w:r>
        <w:rPr>
          <w:rFonts w:hint="eastAsia" w:ascii="宋体" w:hAnsi="宋体" w:cs="宋体"/>
          <w:color w:val="000000"/>
          <w:szCs w:val="21"/>
          <w:highlight w:val="none"/>
        </w:rPr>
        <w:t xml:space="preserve">.2投标人的澄清、说明或者补正应当采用书面形式，并加盖其单位电子公章。投标人的澄清、说明或者补正不得超出投标文件的范围或者改变投标文件的实质性内容。</w:t>
      </w:r>
      <w:r>
        <w:rPr>
          <w:rFonts w:ascii="宋体" w:hAnsi="宋体" w:cs="宋体"/>
          <w:color w:val="000000"/>
          <w:szCs w:val="21"/>
          <w:highlight w:val="none"/>
        </w:rPr>
      </w:r>
      <w:r/>
    </w:p>
    <w:p>
      <w:pPr>
        <w:pStyle w:val="1053"/>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szCs w:val="21"/>
          <w:highlight w:val="none"/>
        </w:rPr>
        <w:t xml:space="preserve">供应商应随时保持系统在线，如因供应商自身原因未在规定时间内提交澄清确认资料的，导致的不利后果由供应商自行承担。</w:t>
      </w:r>
      <w:r>
        <w:rPr>
          <w:rFonts w:ascii="宋体" w:hAnsi="宋体" w:cs="宋体"/>
          <w:color w:val="000000"/>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25.投标无效</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25.1投标人存在下列情况之一的，投标无效:</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25.1.1投标文件未按招标文件要求签署、盖章的；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25.1.2不具备招标文件中规定的资格要求的；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25.1.3报价超过招标文件中规定的预算金额或者最高限价的；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25.1.4投标文件含有采购人不能接受的附加条件的；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25.1.5机器码检查中，出现不同投标人投标文件机器码一致情形的；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25.1.6法律、法规和招标文件规定的其他无效情形。</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25.2投标人应当遵循公平竞争的原则，不得恶意串通，不得妨碍其他投标人的竞争行为，不得损害采购人或者其他投标人的合法权益。</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在评标过程中发现投标人有上述情形的，评标委员会应当认定其投标无效，并书面报告本级财政部门。</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25.3有下列情形之一的，视为投标人串通投标，其投标无效：</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25.3.1不同投标人的投标文件由同一单位或者个人编制；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25.3.2不同投标人委托同一单位或者个人办理投标事宜；</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25.3.3不同投标人的投标文件载明的项目管理成员或者联系人员为同一人；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25.3.4不同投标人的投标文件异常一致或者投标报价呈规律性差异；</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25.3.5不同投标人的投标文件相互混装。</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26.废标</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26.1在招标过程中，出现下列情况之一的，应予废标：</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26.1.1符合专业条件的供应商或者对招标文件作实质投标的供应商不足三家的（各标段）；</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26.1.2出现影响采购公正的违法、违规行为的；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26.1.3投标人的报价均超过了采购预算，采购人不能支付的；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26.1.4因重大变故，采购任务取消的；</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26.2废标后，采购人和采购代理机构将把废标的理由通知所有投标人。</w:t>
      </w:r>
      <w:r>
        <w:rPr>
          <w:rFonts w:ascii="宋体" w:hAnsi="宋体" w:cs="宋体"/>
          <w:color w:val="000000"/>
          <w:sz w:val="21"/>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27.投标文件的评价和比较</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27.1采用综合评分法的，评标结果按各标段评审后得分由高到低顺序排列。得分相同的，按投标报价由低到高顺序排列。投标文件满足招标文件全部实质性要求，且按照评审因素的量化指标评审得分最高的投标人为排名第一的中标候选人。</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27.2最低的投标报价或最高的折扣比例是中标的重要条件，但不是唯一条件。</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F授予合同</w:t>
      </w:r>
      <w:r>
        <w:rPr>
          <w:rFonts w:ascii="宋体" w:hAnsi="宋体" w:cs="宋体"/>
          <w:b/>
          <w:bCs/>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28.中标单位的确认</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28.1评标委员会根据供应商资格审查及符合性审查情况，按照评标办法和标准对通过资格审查及符合性审查的投标文件进行综合评审。</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28.2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29.合同授予标准</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29.2中标通知书将成为合同的组成部分，对采购人和中标人具有同等法律效力。</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29.3中标通知书发出后，采购人不得违法改变中标结果，中标人无正当理由不得放弃中标。</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30.合同的签订</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30.1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30.2 采购人与中标人所签订的合同不得对招标文件确定的事项和中标人投标文件作实质性修改，采购人不得向中标人提出任何不合理的要求作为签订合同的条件。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30.3招标文件、中标人的投标文件及招标过程中有关澄清、承诺文件均应作为合同附件。</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30.4依据《政府采购促进中小企业发展管理办法》（财库〔2020〕46号）规定，依据本办法规定享受扶持政策获得政府采购合同的，小微企业不得将合同分包给大中型企业，中型企业不得将合同分包给大型企业。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30.5政府采购合同履行中，采购人需追加与合同标的相同货物、工程或者服务的，在不改变合同其他条款的前提下，可以与中标人协商签订补充合同，但所有补充合同的采购金额不得超过原合同采购金额的10%。</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G其他事项</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31.质疑</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31.1质疑及答复遵守《政府采购质疑和投诉办法》（中华人民共和国财政部令第94号）规定。</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①对可以质疑的招标文件提出质疑的，为收到招标文件之日或者招标文件公告期限届满之日；</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②对采购过程提出质疑的，为各采购程序环节结束之日；</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③对中标结果提出质疑的，为中标结果公告期限届满之日。</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31.3供应商应当在法定质疑期内一次性提出针对同一采购程序环节的质疑。供应商如在法定期限内对同一采购程序环节提出多次质疑的，采购代理机构或采购人将只对供应商第一次质疑作出答复。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31.4提出质疑的供应商应当是参与所质疑项目采购活动的供应商，未依照招标公告要求获取招标文件的供应商，视为未参与该项政府采购活动，不具备对该政府采购项目提出质疑的法定权利。</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31.5对招标文件内容质疑时，需提供在“苏采云”系统中下载本项目招标文件的《投标供应商确认函》，未提供的视为未依照招标公告要求获取招标文件的供应商，不具备对该政府采购项目提出质疑的法定权利。</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31.6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rFonts w:ascii="宋体" w:hAnsi="宋体" w:cs="宋体"/>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31.7质疑递交地点：</w:t>
      </w:r>
      <w:r>
        <w:rPr>
          <w:rFonts w:ascii="宋体" w:hAnsi="宋体" w:cs="宋体"/>
          <w:color w:val="000000"/>
          <w:sz w:val="21"/>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联系地址：苏州市南园北路118号天和商务大厦6-206</w:t>
      </w:r>
      <w:r>
        <w:rPr>
          <w:rFonts w:ascii="宋体" w:hAnsi="宋体" w:cs="宋体"/>
          <w:color w:val="000000"/>
          <w:szCs w:val="21"/>
          <w:highlight w:val="none"/>
        </w:rPr>
      </w:r>
      <w:r/>
    </w:p>
    <w:p>
      <w:pPr>
        <w:pStyle w:val="1026"/>
        <w:ind w:firstLine="420"/>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联系人：王慧</w:t>
      </w:r>
      <w:r>
        <w:rPr>
          <w:rFonts w:ascii="宋体" w:hAnsi="宋体" w:cs="宋体"/>
          <w:color w:val="000000"/>
          <w:sz w:val="21"/>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联系方式：0512-65200361</w:t>
      </w:r>
      <w:r>
        <w:rPr>
          <w:rFonts w:ascii="宋体" w:hAnsi="宋体" w:cs="宋体"/>
          <w:color w:val="000000"/>
          <w:szCs w:val="21"/>
          <w:highlight w:val="none"/>
        </w:rPr>
      </w:r>
      <w:r/>
    </w:p>
    <w:p>
      <w:pPr>
        <w:pStyle w:val="892"/>
        <w:ind w:firstLine="422"/>
        <w:jc w:val="both"/>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32.代理服务费</w:t>
      </w:r>
      <w:r>
        <w:rPr>
          <w:rFonts w:ascii="宋体" w:hAnsi="宋体" w:cs="宋体"/>
          <w:color w:val="000000"/>
          <w:sz w:val="21"/>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本项目代理服务费见前附表。</w:t>
      </w:r>
      <w:r>
        <w:rPr>
          <w:rFonts w:ascii="宋体" w:hAnsi="宋体" w:cs="宋体"/>
          <w:color w:val="000000"/>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中标服务费账户名：苏州捷信招投标咨询有限公司，账号：543058195260，开户银行：中国银行苏州南园支行。</w:t>
      </w:r>
      <w:r>
        <w:rPr>
          <w:rFonts w:ascii="宋体" w:hAnsi="宋体" w:cs="宋体"/>
          <w:color w:val="000000"/>
          <w:sz w:val="21"/>
          <w:szCs w:val="21"/>
          <w:highlight w:val="none"/>
        </w:rPr>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33.未尽事宜</w:t>
      </w:r>
      <w:r>
        <w:rPr>
          <w:rFonts w:ascii="宋体" w:hAnsi="宋体" w:cs="宋体"/>
          <w:b/>
          <w:bCs/>
          <w:color w:val="000000"/>
          <w:sz w:val="21"/>
          <w:szCs w:val="21"/>
          <w:highlight w:val="none"/>
        </w:rPr>
      </w:r>
      <w:r/>
    </w:p>
    <w:p>
      <w:pPr>
        <w:pStyle w:val="892"/>
        <w:ind w:firstLine="42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按《中华人民共和国政府采购法》及其他有关的法律法规的规定执行。</w:t>
      </w:r>
      <w:r>
        <w:rPr>
          <w:rFonts w:ascii="宋体" w:hAnsi="宋体" w:cs="宋体"/>
          <w:color w:val="000000"/>
          <w:sz w:val="21"/>
          <w:szCs w:val="21"/>
          <w:highlight w:val="none"/>
        </w:rPr>
      </w:r>
      <w:r/>
    </w:p>
    <w:p>
      <w:pPr>
        <w:pStyle w:val="682"/>
        <w:numPr>
          <w:ilvl w:val="0"/>
          <w:numId w:val="1"/>
        </w:numPr>
        <w:jc w:val="center"/>
        <w:pageBreakBefore/>
        <w:spacing w:line="480" w:lineRule="auto"/>
        <w:rPr>
          <w:rFonts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 合同文本</w:t>
      </w:r>
      <w:r>
        <w:rPr>
          <w:rFonts w:ascii="宋体" w:hAnsi="宋体" w:cs="宋体"/>
          <w:b/>
          <w:bCs/>
          <w:color w:val="000000"/>
          <w:sz w:val="44"/>
          <w:szCs w:val="44"/>
          <w:highlight w:val="none"/>
        </w:rPr>
      </w:r>
      <w:r/>
    </w:p>
    <w:p>
      <w:pPr>
        <w:pStyle w:val="892"/>
        <w:rPr>
          <w:color w:val="000000"/>
          <w:highlight w:val="none"/>
        </w:rPr>
      </w:pPr>
      <w:r>
        <w:rPr>
          <w:color w:val="000000"/>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180"/>
        <w:gridCol w:w="4342"/>
      </w:tblGrid>
      <w:tr>
        <w:trPr>
          <w:trHeight w:val="879"/>
        </w:trPr>
        <w:tc>
          <w:tcPr>
            <w:tcBorders>
              <w:top w:val="none" w:color="000000" w:sz="4" w:space="0"/>
              <w:left w:val="none" w:color="000000" w:sz="4" w:space="0"/>
              <w:bottom w:val="none" w:color="000000" w:sz="4" w:space="0"/>
              <w:right w:val="none" w:color="000000" w:sz="4" w:space="0"/>
            </w:tcBorders>
            <w:tcW w:w="2452" w:type="dxa"/>
            <w:vAlign w:val="center"/>
            <w:textDirection w:val="lrTb"/>
            <w:noWrap w:val="false"/>
          </w:tcPr>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甲方（采购人）：</w:t>
            </w:r>
            <w:r>
              <w:rPr>
                <w:rFonts w:ascii="宋体" w:hAnsi="宋体" w:cs="仿宋_GB2312"/>
                <w:bCs/>
                <w:color w:val="000000"/>
                <w:szCs w:val="21"/>
                <w:highlight w:val="none"/>
              </w:rPr>
            </w:r>
            <w:r/>
          </w:p>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联系人：</w:t>
            </w:r>
            <w:r>
              <w:rPr>
                <w:rFonts w:ascii="宋体" w:hAnsi="宋体" w:cs="仿宋_GB2312"/>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547" w:type="dxa"/>
            <w:vAlign w:val="center"/>
            <w:textDirection w:val="lrTb"/>
            <w:noWrap w:val="false"/>
          </w:tcPr>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单位地址：</w:t>
            </w:r>
            <w:r>
              <w:rPr>
                <w:rFonts w:ascii="宋体" w:hAnsi="宋体" w:cs="仿宋_GB2312"/>
                <w:bCs/>
                <w:color w:val="000000"/>
                <w:szCs w:val="21"/>
                <w:highlight w:val="none"/>
              </w:rPr>
            </w:r>
            <w:r/>
          </w:p>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联系电话：</w:t>
            </w:r>
            <w:r>
              <w:rPr>
                <w:rFonts w:ascii="宋体" w:hAnsi="宋体" w:cs="仿宋_GB2312"/>
                <w:bCs/>
                <w:color w:val="000000"/>
                <w:szCs w:val="21"/>
                <w:highlight w:val="none"/>
              </w:rPr>
            </w:r>
            <w:r/>
          </w:p>
        </w:tc>
      </w:tr>
      <w:tr>
        <w:trPr>
          <w:trHeight w:val="1096"/>
        </w:trPr>
        <w:tc>
          <w:tcPr>
            <w:tcBorders>
              <w:top w:val="none" w:color="000000" w:sz="4" w:space="0"/>
              <w:left w:val="none" w:color="000000" w:sz="4" w:space="0"/>
              <w:bottom w:val="none" w:color="000000" w:sz="4" w:space="0"/>
              <w:right w:val="none" w:color="000000" w:sz="4" w:space="0"/>
            </w:tcBorders>
            <w:tcW w:w="2452" w:type="dxa"/>
            <w:vAlign w:val="center"/>
            <w:textDirection w:val="lrTb"/>
            <w:noWrap w:val="false"/>
          </w:tcPr>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乙方（供应商）：</w:t>
            </w:r>
            <w:r>
              <w:rPr>
                <w:rFonts w:ascii="宋体" w:hAnsi="宋体" w:cs="仿宋_GB2312"/>
                <w:bCs/>
                <w:color w:val="000000"/>
                <w:szCs w:val="21"/>
                <w:highlight w:val="none"/>
              </w:rPr>
            </w:r>
            <w:r/>
          </w:p>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联系人：</w:t>
            </w:r>
            <w:r>
              <w:rPr>
                <w:rFonts w:ascii="宋体" w:hAnsi="宋体" w:cs="仿宋_GB2312"/>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547" w:type="dxa"/>
            <w:vAlign w:val="center"/>
            <w:textDirection w:val="lrTb"/>
            <w:noWrap w:val="false"/>
          </w:tcPr>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单位地址：</w:t>
            </w:r>
            <w:r>
              <w:rPr>
                <w:rFonts w:ascii="宋体" w:hAnsi="宋体" w:cs="仿宋_GB2312"/>
                <w:bCs/>
                <w:color w:val="000000"/>
                <w:szCs w:val="21"/>
                <w:highlight w:val="none"/>
              </w:rPr>
            </w:r>
            <w:r/>
          </w:p>
          <w:p>
            <w:pPr>
              <w:pStyle w:val="682"/>
              <w:spacing w:before="100" w:beforeAutospacing="1" w:after="100" w:afterAutospacing="1" w:line="360" w:lineRule="auto"/>
              <w:rPr>
                <w:rFonts w:ascii="宋体" w:hAnsi="宋体" w:cs="仿宋_GB2312"/>
                <w:bCs/>
                <w:color w:val="000000"/>
                <w:szCs w:val="21"/>
                <w:highlight w:val="none"/>
              </w:rPr>
            </w:pPr>
            <w:r>
              <w:rPr>
                <w:rFonts w:hint="eastAsia" w:ascii="宋体" w:hAnsi="宋体" w:cs="仿宋_GB2312"/>
                <w:bCs/>
                <w:color w:val="000000"/>
                <w:szCs w:val="21"/>
                <w:highlight w:val="none"/>
              </w:rPr>
              <w:t xml:space="preserve">联系电话：</w:t>
            </w:r>
            <w:r>
              <w:rPr>
                <w:rFonts w:ascii="宋体" w:hAnsi="宋体" w:cs="仿宋_GB2312"/>
                <w:bCs/>
                <w:color w:val="000000"/>
                <w:szCs w:val="21"/>
                <w:highlight w:val="none"/>
              </w:rPr>
            </w:r>
            <w:r/>
          </w:p>
        </w:tc>
      </w:tr>
    </w:tbl>
    <w:p>
      <w:pPr>
        <w:pStyle w:val="68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color w:val="000000"/>
          <w:szCs w:val="21"/>
          <w:highlight w:val="none"/>
          <w:u w:val="single"/>
        </w:rPr>
      </w:r>
      <w:r/>
    </w:p>
    <w:p>
      <w:pPr>
        <w:pStyle w:val="682"/>
        <w:ind w:firstLine="422"/>
        <w:spacing w:line="360" w:lineRule="auto"/>
        <w:rPr>
          <w:rFonts w:ascii="宋体" w:hAnsi="宋体"/>
          <w:color w:val="000000"/>
          <w:szCs w:val="21"/>
          <w:highlight w:val="none"/>
          <w:u w:val="single"/>
        </w:rPr>
      </w:pPr>
      <w:r>
        <w:rPr>
          <w:rFonts w:hint="eastAsia" w:ascii="宋体" w:hAnsi="宋体"/>
          <w:b/>
          <w:color w:val="000000"/>
          <w:highlight w:val="none"/>
        </w:rPr>
        <w:t xml:space="preserve">一、定义：以下术语有特定的含义：</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highlight w:val="none"/>
        </w:rPr>
        <w:t xml:space="preserve">服务是指根据合同规定乙方应承担的与供货有关的辅助义务，比如运输、保险以及其它伴随服务，比如送货上门提供技术援助、配合措施、维修响应和合同中规定乙方应承担的其它义务。</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highlight w:val="none"/>
        </w:rPr>
        <w:t xml:space="preserve">合同价是指根据中标的投标文件和合同规定，乙方在正确地履行合同义务后甲方应支付给乙方的价款。</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highlight w:val="none"/>
        </w:rPr>
        <w:t xml:space="preserve">甲方是指合同中明确规定的实际购买货物和接受服务的单位。</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highlight w:val="none"/>
        </w:rPr>
        <w:t xml:space="preserve">乙方是指合同中规定的提供货物和提供服务的单位。</w:t>
      </w:r>
      <w:r>
        <w:rPr>
          <w:rFonts w:ascii="宋体" w:hAnsi="宋体"/>
          <w:color w:val="000000"/>
          <w:szCs w:val="21"/>
          <w:highlight w:val="none"/>
          <w:u w:val="single"/>
        </w:rPr>
      </w:r>
      <w:r/>
    </w:p>
    <w:p>
      <w:pPr>
        <w:pStyle w:val="682"/>
        <w:ind w:firstLine="420"/>
        <w:spacing w:line="360" w:lineRule="auto"/>
        <w:rPr>
          <w:rFonts w:ascii="宋体" w:hAnsi="宋体"/>
          <w:b/>
          <w:color w:val="000000"/>
          <w:highlight w:val="none"/>
        </w:rPr>
      </w:pPr>
      <w:r>
        <w:rPr>
          <w:rFonts w:hint="eastAsia" w:ascii="宋体" w:hAnsi="宋体"/>
          <w:color w:val="000000"/>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b/>
          <w:color w:val="000000"/>
          <w:highlight w:val="none"/>
        </w:rPr>
      </w:r>
      <w:r/>
    </w:p>
    <w:p>
      <w:pPr>
        <w:pStyle w:val="682"/>
        <w:ind w:firstLine="422"/>
        <w:spacing w:line="360" w:lineRule="auto"/>
        <w:rPr>
          <w:rFonts w:ascii="宋体" w:hAnsi="宋体"/>
          <w:b/>
          <w:color w:val="000000"/>
          <w:szCs w:val="21"/>
          <w:highlight w:val="none"/>
          <w:u w:val="single"/>
        </w:rPr>
      </w:pPr>
      <w:r>
        <w:rPr>
          <w:rFonts w:hint="eastAsia" w:ascii="宋体" w:hAnsi="宋体"/>
          <w:b/>
          <w:color w:val="000000"/>
          <w:highlight w:val="none"/>
        </w:rPr>
        <w:t xml:space="preserve">二、合同标的：</w:t>
      </w:r>
      <w:r>
        <w:rPr>
          <w:rFonts w:ascii="宋体" w:hAnsi="宋体"/>
          <w:b/>
          <w:color w:val="000000"/>
          <w:szCs w:val="21"/>
          <w:highlight w:val="none"/>
          <w:u w:val="single"/>
        </w:rPr>
      </w:r>
      <w:r/>
    </w:p>
    <w:tbl>
      <w:tblPr>
        <w:tblW w:w="5837" w:type="pct"/>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3"/>
        <w:gridCol w:w="2275"/>
        <w:gridCol w:w="1290"/>
        <w:gridCol w:w="1387"/>
        <w:gridCol w:w="1387"/>
        <w:gridCol w:w="1388"/>
        <w:gridCol w:w="1388"/>
      </w:tblGrid>
      <w:tr>
        <w:trPr/>
        <w:tc>
          <w:tcPr>
            <w:tcW w:w="592"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W w:w="2270"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货物（服务）名称</w:t>
            </w:r>
            <w:r>
              <w:rPr>
                <w:rFonts w:ascii="宋体" w:hAnsi="宋体"/>
                <w:color w:val="000000"/>
                <w:highlight w:val="none"/>
              </w:rPr>
            </w:r>
            <w:r/>
          </w:p>
        </w:tc>
        <w:tc>
          <w:tcPr>
            <w:tcW w:w="1287"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品牌</w:t>
            </w:r>
            <w:r>
              <w:rPr>
                <w:rFonts w:ascii="宋体" w:hAnsi="宋体"/>
                <w:color w:val="000000"/>
                <w:highlight w:val="none"/>
              </w:rPr>
            </w:r>
            <w:r/>
          </w:p>
        </w:tc>
        <w:tc>
          <w:tcPr>
            <w:tcW w:w="1384"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W w:w="1384"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交货期限</w:t>
            </w:r>
            <w:r>
              <w:rPr>
                <w:rFonts w:ascii="宋体" w:hAnsi="宋体"/>
                <w:color w:val="000000"/>
                <w:highlight w:val="none"/>
              </w:rPr>
            </w:r>
            <w:r/>
          </w:p>
        </w:tc>
        <w:tc>
          <w:tcPr>
            <w:tcW w:w="1384"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综合单价(元)</w:t>
            </w:r>
            <w:r>
              <w:rPr>
                <w:rFonts w:ascii="宋体" w:hAnsi="宋体"/>
                <w:color w:val="000000"/>
                <w:highlight w:val="none"/>
              </w:rPr>
            </w:r>
            <w:r/>
          </w:p>
        </w:tc>
        <w:tc>
          <w:tcPr>
            <w:tcW w:w="1384"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小计金额（元）</w:t>
            </w:r>
            <w:r>
              <w:rPr>
                <w:rFonts w:ascii="宋体" w:hAnsi="宋体"/>
                <w:color w:val="000000"/>
                <w:highlight w:val="none"/>
              </w:rPr>
            </w:r>
            <w:r/>
          </w:p>
        </w:tc>
      </w:tr>
      <w:tr>
        <w:trPr/>
        <w:tc>
          <w:tcPr>
            <w:tcW w:w="592" w:type="dxa"/>
            <w:vAlign w:val="top"/>
            <w:textDirection w:val="lrTb"/>
            <w:noWrap w:val="false"/>
          </w:tcPr>
          <w:p>
            <w:pPr>
              <w:pStyle w:val="682"/>
              <w:jc w:val="center"/>
              <w:spacing w:line="360" w:lineRule="auto"/>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270"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287"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r>
      <w:tr>
        <w:trPr/>
        <w:tc>
          <w:tcPr>
            <w:tcW w:w="592" w:type="dxa"/>
            <w:vAlign w:val="top"/>
            <w:textDirection w:val="lrTb"/>
            <w:noWrap w:val="false"/>
          </w:tcPr>
          <w:p>
            <w:pPr>
              <w:pStyle w:val="682"/>
              <w:jc w:val="center"/>
              <w:spacing w:line="360" w:lineRule="auto"/>
              <w:rPr>
                <w:rFonts w:ascii="宋体" w:hAnsi="宋体"/>
                <w:color w:val="000000"/>
                <w:highlight w:val="none"/>
              </w:rPr>
            </w:pPr>
            <w:r>
              <w:rPr>
                <w:rFonts w:ascii="宋体" w:hAnsi="宋体"/>
                <w:color w:val="000000"/>
                <w:highlight w:val="none"/>
              </w:rPr>
              <w:t xml:space="preserve">…</w:t>
            </w:r>
            <w:r>
              <w:rPr>
                <w:rFonts w:ascii="宋体" w:hAnsi="宋体"/>
                <w:color w:val="000000"/>
                <w:highlight w:val="none"/>
              </w:rPr>
            </w:r>
            <w:r/>
          </w:p>
        </w:tc>
        <w:tc>
          <w:tcPr>
            <w:tcW w:w="2270"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287"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c>
          <w:tcPr>
            <w:tcW w:w="1384" w:type="dxa"/>
            <w:vAlign w:val="top"/>
            <w:textDirection w:val="lrTb"/>
            <w:noWrap w:val="false"/>
          </w:tcPr>
          <w:p>
            <w:pPr>
              <w:pStyle w:val="682"/>
              <w:jc w:val="left"/>
              <w:spacing w:line="360" w:lineRule="auto"/>
              <w:rPr>
                <w:rFonts w:ascii="宋体" w:hAnsi="宋体"/>
                <w:color w:val="000000"/>
                <w:highlight w:val="none"/>
              </w:rPr>
            </w:pPr>
            <w:r>
              <w:rPr>
                <w:rFonts w:ascii="宋体" w:hAnsi="宋体"/>
                <w:color w:val="000000"/>
                <w:highlight w:val="none"/>
              </w:rPr>
            </w:r>
            <w:r/>
          </w:p>
        </w:tc>
      </w:tr>
    </w:tbl>
    <w:p>
      <w:pPr>
        <w:pStyle w:val="682"/>
        <w:ind w:firstLine="422"/>
        <w:spacing w:line="360" w:lineRule="auto"/>
        <w:rPr>
          <w:rFonts w:ascii="宋体" w:hAnsi="宋体"/>
          <w:color w:val="000000"/>
          <w:highlight w:val="none"/>
        </w:rPr>
      </w:pPr>
      <w:r>
        <w:rPr>
          <w:rFonts w:hint="eastAsia" w:ascii="宋体" w:hAnsi="宋体"/>
          <w:b/>
          <w:color w:val="000000"/>
          <w:highlight w:val="none"/>
        </w:rPr>
        <w:t xml:space="preserve">三、合同价款：</w:t>
      </w:r>
      <w:r>
        <w:rPr>
          <w:rFonts w:hint="eastAsia" w:ascii="宋体" w:hAnsi="宋体"/>
          <w:color w:val="000000"/>
          <w:highlight w:val="none"/>
        </w:rPr>
        <w:t xml:space="preserve">大写人民币</w:t>
      </w:r>
      <w:r>
        <w:rPr>
          <w:rFonts w:hint="eastAsia" w:ascii="宋体" w:hAnsi="宋体"/>
          <w:color w:val="000000"/>
          <w:highlight w:val="none"/>
          <w:u w:val="single"/>
        </w:rPr>
        <w:t xml:space="preserve">     </w:t>
      </w:r>
      <w:r>
        <w:rPr>
          <w:rFonts w:hint="eastAsia" w:ascii="宋体" w:hAnsi="宋体"/>
          <w:color w:val="000000"/>
          <w:highlight w:val="none"/>
        </w:rPr>
        <w:t xml:space="preserve">元，小写￥</w:t>
      </w:r>
      <w:r>
        <w:rPr>
          <w:rFonts w:hint="eastAsia" w:ascii="宋体" w:hAnsi="宋体"/>
          <w:color w:val="000000"/>
          <w:highlight w:val="none"/>
          <w:u w:val="single"/>
        </w:rPr>
        <w:t xml:space="preserve">     </w:t>
      </w:r>
      <w:r>
        <w:rPr>
          <w:rFonts w:hint="eastAsia" w:ascii="宋体" w:hAnsi="宋体"/>
          <w:color w:val="000000"/>
          <w:highlight w:val="none"/>
        </w:rPr>
        <w:t xml:space="preserve">元。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合同价款范围：合同总价应包括</w:t>
      </w:r>
      <w:r>
        <w:rPr>
          <w:rFonts w:hint="eastAsia" w:ascii="宋体" w:hAnsi="宋体" w:cs="宋体"/>
          <w:color w:val="000000"/>
          <w:szCs w:val="21"/>
          <w:highlight w:val="none"/>
        </w:rPr>
        <w:t xml:space="preserve">所投设备及其备品、备件和专用工具费用、税费及包装、运至最终目的地的运输、保险、验收、专利技术、技术支持与培训、售后服务与维保及相关劳务支出等工作所发生的全部费用以及乙方企业利润、税金和政策性文件规定及合同包含的所有风险、责任等各项应有费用</w:t>
      </w:r>
      <w:r>
        <w:rPr>
          <w:rFonts w:hint="eastAsia" w:ascii="宋体" w:hAnsi="宋体"/>
          <w:color w:val="000000"/>
          <w:highlight w:val="none"/>
        </w:rPr>
        <w:t xml:space="preserve">。</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对于甲方在招标文件中所要求的及乙方在投标文件和合同中所承诺提供的功能，乙方应无条件提供，由于设计及其他原因所造成的额外费用由乙方自行承担。</w:t>
      </w:r>
      <w:r>
        <w:rPr>
          <w:rFonts w:ascii="宋体" w:hAnsi="宋体"/>
          <w:color w:val="000000"/>
          <w:highlight w:val="none"/>
        </w:rPr>
      </w:r>
      <w:r/>
    </w:p>
    <w:p>
      <w:pPr>
        <w:pStyle w:val="682"/>
        <w:ind w:firstLine="422"/>
        <w:spacing w:line="360" w:lineRule="auto"/>
        <w:rPr>
          <w:rFonts w:ascii="宋体" w:hAnsi="宋体"/>
          <w:color w:val="000000"/>
          <w:highlight w:val="none"/>
        </w:rPr>
      </w:pPr>
      <w:r>
        <w:rPr>
          <w:rFonts w:hint="eastAsia" w:ascii="宋体" w:hAnsi="宋体"/>
          <w:b/>
          <w:color w:val="000000"/>
          <w:highlight w:val="none"/>
        </w:rPr>
        <w:t xml:space="preserve">四、交货地点、时间、方式：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1.交货地点：乙方交货至甲方指定地点，所发生的运输等费用及货物的损坏造成的损失由乙方承担。</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2.交货时间：</w:t>
      </w:r>
      <w:r>
        <w:rPr>
          <w:rFonts w:hint="eastAsia" w:ascii="宋体" w:hAnsi="宋体" w:cs="宋体"/>
          <w:color w:val="000000"/>
          <w:szCs w:val="21"/>
          <w:highlight w:val="none"/>
        </w:rPr>
        <w:t xml:space="preserve">合同签订后30日内供货至采购单位指定地点</w:t>
      </w:r>
      <w:r>
        <w:rPr>
          <w:rFonts w:hint="eastAsia"/>
          <w:color w:val="000000"/>
          <w:szCs w:val="21"/>
          <w:highlight w:val="none"/>
        </w:rPr>
        <w:t xml:space="preserve">（实际以甲方通知为准）</w:t>
      </w:r>
      <w:r>
        <w:rPr>
          <w:rFonts w:ascii="宋体" w:hAnsi="宋体"/>
          <w:color w:val="000000"/>
          <w:highlight w:val="none"/>
        </w:rPr>
        <w:t xml:space="preserve">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.交货方式：乙方负责将货物安全完好运抵交货地点并保证验收合格。</w:t>
      </w:r>
      <w:r>
        <w:rPr>
          <w:rFonts w:ascii="宋体" w:hAnsi="宋体"/>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五、付款方式：</w:t>
      </w:r>
      <w:r>
        <w:rPr>
          <w:rFonts w:ascii="宋体" w:hAnsi="宋体"/>
          <w:b/>
          <w:color w:val="000000"/>
          <w:highlight w:val="none"/>
        </w:rPr>
      </w:r>
      <w:r/>
    </w:p>
    <w:p>
      <w:pPr>
        <w:pStyle w:val="682"/>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付款步骤：</w:t>
      </w:r>
      <w:r>
        <w:rPr>
          <w:rFonts w:ascii="宋体" w:hAnsi="宋体"/>
          <w:color w:val="000000"/>
          <w:szCs w:val="21"/>
          <w:highlight w:val="none"/>
        </w:rPr>
      </w:r>
      <w:r/>
    </w:p>
    <w:p>
      <w:pPr>
        <w:pStyle w:val="682"/>
        <w:ind w:firstLine="420"/>
        <w:spacing w:line="360" w:lineRule="auto"/>
        <w:tabs>
          <w:tab w:val="left" w:pos="630" w:leader="none"/>
        </w:tabs>
        <w:rPr>
          <w:rFonts w:ascii="宋体" w:hAnsi="宋体" w:cs="宋体"/>
          <w:color w:val="000000"/>
          <w:szCs w:val="21"/>
          <w:highlight w:val="none"/>
        </w:rPr>
      </w:pPr>
      <w:r>
        <w:rPr>
          <w:rFonts w:hint="eastAsia" w:ascii="宋体" w:hAnsi="宋体"/>
          <w:color w:val="000000"/>
          <w:szCs w:val="21"/>
          <w:highlight w:val="none"/>
        </w:rPr>
        <w:t xml:space="preserve">（1）</w:t>
      </w:r>
      <w:r>
        <w:rPr>
          <w:rFonts w:hint="eastAsia" w:ascii="宋体" w:hAnsi="宋体" w:cs="宋体"/>
          <w:color w:val="000000"/>
          <w:szCs w:val="21"/>
          <w:highlight w:val="none"/>
        </w:rPr>
        <w:t xml:space="preserve">合同签订生效后，</w:t>
      </w:r>
      <w:r>
        <w:rPr>
          <w:rFonts w:hint="eastAsia" w:ascii="宋体" w:hAnsi="宋体"/>
          <w:color w:val="000000"/>
          <w:szCs w:val="21"/>
          <w:highlight w:val="none"/>
        </w:rPr>
        <w:t xml:space="preserve">甲方向乙方支付30%预付款，</w:t>
      </w:r>
      <w:r>
        <w:rPr>
          <w:rFonts w:hint="eastAsia" w:ascii="宋体" w:hAnsi="宋体" w:cs="宋体"/>
          <w:color w:val="000000"/>
          <w:szCs w:val="21"/>
          <w:highlight w:val="none"/>
        </w:rPr>
        <w:t xml:space="preserve">所有耗材送至甲方指定地点，验收合格后，甲方一次性付清尾款。</w:t>
      </w:r>
      <w:r>
        <w:rPr>
          <w:rFonts w:ascii="宋体" w:hAnsi="宋体" w:cs="宋体"/>
          <w:color w:val="000000"/>
          <w:szCs w:val="21"/>
          <w:highlight w:val="none"/>
        </w:rPr>
      </w:r>
      <w:r/>
    </w:p>
    <w:p>
      <w:pPr>
        <w:pStyle w:val="682"/>
        <w:ind w:firstLine="420"/>
        <w:spacing w:line="360" w:lineRule="auto"/>
        <w:tabs>
          <w:tab w:val="left" w:pos="630" w:leader="none"/>
        </w:tabs>
        <w:rPr>
          <w:rFonts w:ascii="宋体" w:hAnsi="宋体" w:cs="宋体"/>
          <w:color w:val="000000"/>
          <w:szCs w:val="21"/>
          <w:highlight w:val="none"/>
        </w:rPr>
      </w:pPr>
      <w:r>
        <w:rPr>
          <w:rFonts w:hint="eastAsia" w:ascii="宋体" w:hAnsi="宋体" w:cs="宋体"/>
          <w:color w:val="000000"/>
          <w:szCs w:val="21"/>
          <w:highlight w:val="none"/>
        </w:rPr>
        <w:t xml:space="preserve">具体以甲方要求及财政资金到账情况为准。如因财政资金拨付流程原因导致付款延迟的，甲方不承担逾期付款责任，付款期限相应顺延；乙方应及时向甲方开具对应付款金额的合法有效发票，否则甲方有权顺延付款；乙方不得因财政资金延迟到账为由拒绝履行合同义务。</w:t>
      </w:r>
      <w:r>
        <w:rPr>
          <w:rFonts w:ascii="宋体" w:hAnsi="宋体" w:cs="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（2）在签订合同时，乙方明确表示无需预付款或者主动要求降低预付款比例的，甲方可不适用上述关于预付款的规定。</w:t>
      </w:r>
      <w:r>
        <w:rPr>
          <w:rFonts w:ascii="宋体" w:hAnsi="宋体"/>
          <w:color w:val="000000"/>
          <w:szCs w:val="21"/>
          <w:highlight w:val="none"/>
        </w:rPr>
      </w:r>
      <w:r/>
    </w:p>
    <w:p>
      <w:pPr>
        <w:pStyle w:val="856"/>
        <w:ind w:firstLine="420"/>
        <w:spacing w:line="360" w:lineRule="auto"/>
        <w:rPr>
          <w:rFonts w:hAnsi="宋体"/>
          <w:color w:val="000000"/>
          <w:highlight w:val="none"/>
        </w:rPr>
      </w:pPr>
      <w:r>
        <w:rPr>
          <w:rFonts w:hint="eastAsia" w:hAnsi="宋体"/>
          <w:color w:val="000000"/>
          <w:highlight w:val="none"/>
        </w:rPr>
        <w:t xml:space="preserve">付款需出具如下单据：</w:t>
      </w:r>
      <w:r>
        <w:rPr>
          <w:rFonts w:hAnsi="宋体"/>
          <w:color w:val="000000"/>
          <w:highlight w:val="none"/>
        </w:rPr>
      </w:r>
      <w:r/>
    </w:p>
    <w:p>
      <w:pPr>
        <w:pStyle w:val="682"/>
        <w:ind w:firstLine="420"/>
        <w:spacing w:line="360" w:lineRule="auto"/>
        <w:tabs>
          <w:tab w:val="left" w:pos="630" w:leader="none"/>
        </w:tabs>
        <w:rPr>
          <w:rFonts w:ascii="宋体" w:hAnsi="宋体" w:cs="宋体"/>
          <w:color w:val="000000"/>
          <w:szCs w:val="21"/>
          <w:highlight w:val="none"/>
        </w:rPr>
      </w:pPr>
      <w:r>
        <w:rPr>
          <w:rFonts w:hint="eastAsia" w:ascii="宋体" w:hAnsi="宋体" w:cs="宋体"/>
          <w:color w:val="000000"/>
          <w:szCs w:val="21"/>
          <w:highlight w:val="none"/>
        </w:rPr>
        <w:t xml:space="preserve">A、正式的发票</w:t>
      </w:r>
      <w:r>
        <w:rPr>
          <w:rFonts w:ascii="宋体" w:hAnsi="宋体" w:cs="宋体"/>
          <w:color w:val="000000"/>
          <w:szCs w:val="21"/>
          <w:highlight w:val="none"/>
        </w:rPr>
      </w:r>
      <w:r/>
    </w:p>
    <w:p>
      <w:pPr>
        <w:pStyle w:val="682"/>
        <w:ind w:firstLine="420"/>
        <w:spacing w:line="360" w:lineRule="auto"/>
        <w:tabs>
          <w:tab w:val="left" w:pos="630" w:leader="none"/>
        </w:tabs>
        <w:rPr>
          <w:rFonts w:ascii="宋体" w:hAnsi="宋体" w:cs="宋体"/>
          <w:color w:val="000000"/>
          <w:szCs w:val="21"/>
          <w:highlight w:val="none"/>
        </w:rPr>
      </w:pPr>
      <w:r>
        <w:rPr>
          <w:rFonts w:hint="eastAsia" w:ascii="宋体" w:hAnsi="宋体" w:cs="宋体"/>
          <w:color w:val="000000"/>
          <w:szCs w:val="21"/>
          <w:highlight w:val="none"/>
        </w:rPr>
        <w:t xml:space="preserve">B、甲方签收后的送货回单</w:t>
      </w:r>
      <w:r>
        <w:rPr>
          <w:rFonts w:ascii="宋体" w:hAnsi="宋体" w:cs="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C、由甲乙双方及招标代理机构签章的《政府采购履约验收书》</w:t>
      </w:r>
      <w:r>
        <w:rPr>
          <w:rFonts w:ascii="宋体" w:hAnsi="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 支付方式：银行汇票或转账支票。乙方账户信息如下：</w:t>
      </w:r>
      <w:r>
        <w:rPr>
          <w:rFonts w:ascii="宋体" w:hAnsi="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开户名称：</w:t>
      </w:r>
      <w:r>
        <w:rPr>
          <w:rFonts w:ascii="宋体" w:hAnsi="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开户银行：</w:t>
      </w:r>
      <w:r>
        <w:rPr>
          <w:rFonts w:ascii="宋体" w:hAnsi="宋体"/>
          <w:color w:val="000000"/>
          <w:szCs w:val="21"/>
          <w:highlight w:val="none"/>
        </w:rPr>
      </w:r>
      <w:r/>
    </w:p>
    <w:p>
      <w:pPr>
        <w:pStyle w:val="682"/>
        <w:ind w:firstLine="420"/>
        <w:spacing w:line="360" w:lineRule="auto"/>
        <w:rPr>
          <w:color w:val="000000"/>
          <w:highlight w:val="none"/>
        </w:rPr>
      </w:pPr>
      <w:r>
        <w:rPr>
          <w:rFonts w:hint="eastAsia" w:ascii="宋体" w:hAnsi="宋体"/>
          <w:color w:val="000000"/>
          <w:szCs w:val="21"/>
          <w:highlight w:val="none"/>
        </w:rPr>
        <w:t xml:space="preserve">银行账号：</w:t>
      </w:r>
      <w:r>
        <w:rPr>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六、验收 </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1.乙方提交的货物由甲方负责验收。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rPr>
          <w:rFonts w:ascii="宋体" w:hAnsi="宋体"/>
          <w:color w:val="000000"/>
          <w:highlight w:val="none"/>
        </w:rPr>
      </w:r>
      <w:r/>
    </w:p>
    <w:p>
      <w:pPr>
        <w:pStyle w:val="68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、货物质量出现问题，乙方负责包修、包退、包换，费用由乙方承担；</w:t>
      </w:r>
      <w:r>
        <w:rPr>
          <w:rFonts w:ascii="宋体" w:hAnsi="宋体" w:cs="宋体"/>
          <w:color w:val="000000"/>
          <w:szCs w:val="21"/>
          <w:highlight w:val="none"/>
          <w:lang w:val="zh-CN"/>
        </w:rPr>
      </w:r>
      <w:r/>
    </w:p>
    <w:p>
      <w:pPr>
        <w:pStyle w:val="68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4、验收标准：根据招标文件要求及有关规定由甲方到场，并按国家标准进行验收通过；</w:t>
      </w:r>
      <w:r>
        <w:rPr>
          <w:rFonts w:ascii="宋体" w:hAnsi="宋体" w:cs="宋体"/>
          <w:color w:val="000000"/>
          <w:szCs w:val="21"/>
          <w:highlight w:val="none"/>
          <w:lang w:val="zh-CN"/>
        </w:rPr>
      </w:r>
      <w:r/>
    </w:p>
    <w:p>
      <w:pPr>
        <w:pStyle w:val="682"/>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5、乙方交付验收时应先用书面、电传等方式通告甲方。</w:t>
      </w:r>
      <w:r>
        <w:rPr>
          <w:rFonts w:ascii="宋体" w:hAnsi="宋体" w:cs="宋体"/>
          <w:color w:val="000000"/>
          <w:szCs w:val="21"/>
          <w:highlight w:val="none"/>
          <w:lang w:val="zh-CN"/>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七、质保期：</w:t>
      </w:r>
      <w:r>
        <w:rPr>
          <w:rFonts w:ascii="宋体" w:hAnsi="宋体"/>
          <w:b/>
          <w:color w:val="000000"/>
          <w:highlight w:val="none"/>
        </w:rPr>
      </w:r>
      <w:r/>
    </w:p>
    <w:p>
      <w:pPr>
        <w:pStyle w:val="682"/>
        <w:ind w:firstLine="420"/>
        <w:jc w:val="left"/>
        <w:spacing w:line="360" w:lineRule="auto"/>
        <w:widowControl/>
        <w:rPr>
          <w:rFonts w:ascii="宋体" w:hAnsi="宋体" w:cs="宋体"/>
          <w:color w:val="000000"/>
          <w:szCs w:val="21"/>
          <w:highlight w:val="none"/>
        </w:rPr>
      </w:pPr>
      <w:r>
        <w:rPr>
          <w:rFonts w:ascii="宋体" w:hAnsi="宋体" w:cs="宋体"/>
          <w:color w:val="000000"/>
          <w:szCs w:val="21"/>
          <w:highlight w:val="none"/>
        </w:rPr>
        <w:t xml:space="preserve">1.乙方提供整体免费质量保证期不低于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年，免费质保期待所有产品交付经采购使用部门整体确认验收合格之日起算。质保期内乙方提供免费上门服务。</w:t>
      </w:r>
      <w:r>
        <w:rPr>
          <w:rFonts w:ascii="宋体" w:hAnsi="宋体" w:cs="宋体"/>
          <w:color w:val="000000"/>
          <w:szCs w:val="21"/>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八、伴随服务 </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货物的包装、储运按国家有关规定执行。</w:t>
      </w:r>
      <w:r>
        <w:rPr>
          <w:rFonts w:ascii="宋体" w:hAnsi="宋体"/>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九、质量保证</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1.乙方应保证所提供的货物是原制造厂商制造的、经过合法销售渠道取得的、全新的、未使用过的，并完全符合合同规定的品牌、规格型号、技术性能、配置、质量、数量等要求。</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rFonts w:ascii="宋体" w:hAnsi="宋体"/>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十、索赔</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1.甲方有权根据当地国家技术监督局、进出口商品检验局或其他具有法定资格的质检机构出具的检验证书向乙方提出索赔。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2.如果乙方对缺陷负有责任而甲方提出索赔，乙方应按照甲方同意的下列一种或多种方式解决索赔事宜：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（2）根据货物低劣、损坏程度以及甲方所遭受损失的金额，经双方商定降低货物的价格。</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或履约保证金中扣回索赔金额，并拥有对赔偿不足部分进一步索赔的权利。</w:t>
      </w:r>
      <w:r>
        <w:rPr>
          <w:rFonts w:ascii="宋体" w:hAnsi="宋体"/>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十一、履约延误 </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1.乙方应按照合同规定的时间、地点交货和提供服务；甲方应按照合同规定的时间、地点接收货物和接受服务。</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2.如果乙方无正当理由拖延交货，将受到以下制裁：加收误期赔偿费、终止合同；如果甲方无正当理由拖延接收货物和接受服务，应承担相应责任。 </w:t>
      </w:r>
      <w:r>
        <w:rPr>
          <w:rFonts w:ascii="宋体" w:hAnsi="宋体"/>
          <w:color w:val="000000"/>
          <w:highlight w:val="none"/>
        </w:rPr>
      </w:r>
      <w:r/>
    </w:p>
    <w:p>
      <w:pPr>
        <w:pStyle w:val="682"/>
        <w:ind w:firstLine="420"/>
        <w:spacing w:line="360" w:lineRule="auto"/>
        <w:rPr>
          <w:color w:val="000000"/>
          <w:highlight w:val="none"/>
        </w:rPr>
      </w:pPr>
      <w:r>
        <w:rPr>
          <w:rFonts w:hint="eastAsia" w:ascii="宋体" w:hAnsi="宋体"/>
          <w:color w:val="000000"/>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十二、误期赔偿 </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除合同规定外，如果乙方没有按照合同规定的时间交货和提供服务，或因运输中货物缺损需要更换而影响实际交付使用时，乙方应向甲方支付误期赔偿费。误期赔偿费具体标准按合同总价每日千分之四计算。同时承担甲方因此遭致的损失费用，包括但不限于律师费、诉讼费等。</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2.误期赔偿费可从应付货款中扣除。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3.收取误期赔偿费不影响甲方采取合同规定的其他补救措施的权利。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4.延期交货时间超过十五天或交货不符合合同约定满三次的，视为乙方严重违约，甲方有权立即解除合同，乙方仍需向甲方支付按本条第1款标准计算至合同解除之日的累计全部误期赔偿费，并赔偿甲方合同总额的10%，返还甲方已支付的合同款。</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5.若乙方拒不支付以上赔偿费用的，甲方有权直接从未支付的货款或者履约保证金中直接扣除后支付、退还。</w:t>
      </w:r>
      <w:r>
        <w:rPr>
          <w:rFonts w:ascii="宋体" w:hAnsi="宋体"/>
          <w:color w:val="000000"/>
          <w:highlight w:val="none"/>
        </w:rPr>
      </w:r>
      <w:r/>
    </w:p>
    <w:p>
      <w:pPr>
        <w:pStyle w:val="682"/>
        <w:ind w:firstLine="420"/>
        <w:spacing w:line="360" w:lineRule="auto"/>
        <w:rPr>
          <w:b/>
          <w:color w:val="000000"/>
          <w:szCs w:val="21"/>
          <w:highlight w:val="none"/>
        </w:rPr>
      </w:pPr>
      <w:r>
        <w:rPr>
          <w:rFonts w:hint="eastAsia" w:ascii="宋体" w:hAnsi="宋体"/>
          <w:b/>
          <w:color w:val="000000"/>
          <w:highlight w:val="none"/>
        </w:rPr>
        <w:t xml:space="preserve">十三、</w:t>
      </w:r>
      <w:r>
        <w:rPr>
          <w:rFonts w:hint="eastAsia" w:hAnsi="宋体"/>
          <w:b/>
          <w:color w:val="000000"/>
          <w:szCs w:val="21"/>
          <w:highlight w:val="none"/>
        </w:rPr>
        <w:t xml:space="preserve">甲乙双方的权利和义务</w:t>
      </w:r>
      <w:r>
        <w:rPr>
          <w:b/>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1.甲方的权利和义务：</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（1）签署合同后，甲方应确定项目负责人（或项目联系人），负责与本合同有关的事务。甲方有权利对乙方的履约行为进行检查，并及时确认乙方提交的事项。甲方应当配合乙方完成相关项目实施工作。</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（2）甲方有权要求乙方按时提交各阶段有关安排计划，并有权定期核对乙方提供货物数量、规格、质量等内容。甲方有权督促乙方工作并要求乙方提供符合要求的货物。</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（3）甲方有权要求乙方对缺陷部分予以修复，并按合同约定享有货物保修及其他合同约定的权利。</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（4）甲方应当按照合同约定及时对交付的货物进行验收，未在合同约定的期限内对乙方履约提出任何异议或者向乙方作出任何说明的，视为验收通过。</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（5）甲方应当根据合同约定及时向乙方支付合同价款，不得以内部人员变更，履行内部付款流程等为由拒绝或延迟支付。</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（6）国家法律法规规定应由甲方承担的其他义务和责任。</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2.乙方的权利和义务：</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（1）签署合同后，乙方应确定项目负责人或（或项目联系人）负责与本合同有关的事务。</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乙方负责完成本次采购要求的全部供货工作，乙方应按照招标文件和乙方在响应文件中承诺的服务以及合同约定的技术规范、标准进行实施，并保证按期、保质保量完成项目的实施工作，对提交的项目质量负责。</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乙方应按照合同要求履约充分合理安排，确保提供的货物及相关服务符合合同有关要求，接受项目行业管理部门及政府有关部门的指导。配合甲方的履约验收及检查，并负责项目实施过程中的所有协调工作。</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（4）乙方有权根据合同约定向甲方收取合同价款。</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（5）国家法律法规规定应由乙方承担的其他义务和责任。</w:t>
      </w:r>
      <w:r>
        <w:rPr>
          <w:rFonts w:ascii="宋体" w:hAnsi="宋体" w:cs="宋体"/>
          <w:color w:val="000000"/>
          <w:szCs w:val="21"/>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十四、不可抗力</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1.如果双方因不可抗力而导致合同实施延误或不能履行合同义务，不应该承担误期赔偿或不能履行合同义务的责任。因乙方或甲方先延误或不能履行合同而后遇不可抗力的情形除外。</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十五、争端的解决 </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2.如果调解不成，双方中的任何一方可向人民法院提起诉讼。诉讼由甲方所在地人民法院管辖。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3.诉讼费由败诉方负担。</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4.因合同部分履行引发诉讼的，在诉讼期间，除正在进行诉讼的部分外，本合同的其它部分应继续执行。 </w:t>
      </w:r>
      <w:r>
        <w:rPr>
          <w:rFonts w:ascii="宋体" w:hAnsi="宋体"/>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十六、违约终止合同 </w:t>
      </w:r>
      <w:r>
        <w:rPr>
          <w:rFonts w:ascii="宋体" w:hAnsi="宋体"/>
          <w:b/>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1.在甲方因乙方违约而按合同约定采取的任何补救措施不受影响的情况下，甲方可在下列情况下向乙方发出书面通知，提出终止部分或全部合同，通知到达乙方时合同即告解除。 </w:t>
      </w:r>
      <w:r>
        <w:rPr>
          <w:rFonts w:ascii="宋体" w:hAnsi="宋体"/>
          <w:color w:val="000000"/>
          <w:highlight w:val="none"/>
        </w:rPr>
      </w:r>
      <w:r/>
    </w:p>
    <w:p>
      <w:pPr>
        <w:pStyle w:val="682"/>
        <w:ind w:firstLine="200"/>
        <w:spacing w:line="360" w:lineRule="auto"/>
        <w:rPr>
          <w:rFonts w:ascii="宋体" w:hAnsi="宋体"/>
          <w:color w:val="000000"/>
          <w:highlight w:val="none"/>
        </w:rPr>
      </w:pPr>
      <w:r>
        <w:rPr>
          <w:rFonts w:hint="eastAsia" w:ascii="宋体" w:hAnsi="宋体"/>
          <w:color w:val="000000"/>
          <w:highlight w:val="none"/>
        </w:rPr>
        <w:t xml:space="preserve">（1）如果乙方未能在合同规定的限期或甲方同意延长的限期内提供部分或全部货物和服务。</w:t>
      </w:r>
      <w:r>
        <w:rPr>
          <w:rFonts w:ascii="宋体" w:hAnsi="宋体"/>
          <w:color w:val="000000"/>
          <w:highlight w:val="none"/>
        </w:rPr>
      </w:r>
      <w:r/>
    </w:p>
    <w:p>
      <w:pPr>
        <w:pStyle w:val="682"/>
        <w:ind w:firstLine="200"/>
        <w:spacing w:line="360" w:lineRule="auto"/>
        <w:rPr>
          <w:rFonts w:ascii="宋体" w:hAnsi="宋体"/>
          <w:color w:val="000000"/>
          <w:highlight w:val="none"/>
        </w:rPr>
      </w:pPr>
      <w:r>
        <w:rPr>
          <w:rFonts w:hint="eastAsia" w:ascii="宋体" w:hAnsi="宋体"/>
          <w:color w:val="000000"/>
          <w:highlight w:val="none"/>
        </w:rPr>
        <w:t xml:space="preserve">（2）如果乙方未能履行合同规定的其它任何义务。 </w:t>
      </w:r>
      <w:r>
        <w:rPr>
          <w:rFonts w:ascii="宋体" w:hAnsi="宋体"/>
          <w:color w:val="000000"/>
          <w:highlight w:val="none"/>
        </w:rPr>
      </w:r>
      <w:r/>
    </w:p>
    <w:p>
      <w:pPr>
        <w:pStyle w:val="682"/>
        <w:ind w:firstLine="200"/>
        <w:spacing w:line="360" w:lineRule="auto"/>
        <w:rPr>
          <w:rFonts w:ascii="宋体" w:hAnsi="宋体"/>
          <w:color w:val="000000"/>
          <w:highlight w:val="none"/>
        </w:rPr>
      </w:pPr>
      <w:r>
        <w:rPr>
          <w:rFonts w:hint="eastAsia" w:ascii="宋体" w:hAnsi="宋体"/>
          <w:color w:val="000000"/>
          <w:highlight w:val="none"/>
        </w:rPr>
        <w:t xml:space="preserve">（3）如果乙方在本合同的竞争或实施中有腐败和欺诈行为。为此，定义如下：“腐败行为”是指提供、给予、接受或索取任何有价值的东西来影响采购单位、采购代理机构及相关人员在采购过程或合同实施过程中的行为；“欺诈行为”是指为了影响采购过程或合同实施过程而谎报事实，损害甲方的利益，包括供货单位之间串通，人为地使供货活动丧失竞争性，损害甲方所能获得的权益。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3.如果甲方违约，应承担相应的违约责任。 </w:t>
      </w:r>
      <w:r>
        <w:rPr>
          <w:rFonts w:ascii="宋体" w:hAnsi="宋体"/>
          <w:color w:val="000000"/>
          <w:highlight w:val="none"/>
        </w:rPr>
      </w:r>
      <w:r/>
    </w:p>
    <w:p>
      <w:pPr>
        <w:pStyle w:val="682"/>
        <w:ind w:firstLine="422"/>
        <w:spacing w:line="360" w:lineRule="auto"/>
        <w:rPr>
          <w:rFonts w:ascii="宋体" w:hAnsi="宋体"/>
          <w:color w:val="000000"/>
          <w:highlight w:val="none"/>
        </w:rPr>
      </w:pPr>
      <w:r>
        <w:rPr>
          <w:rFonts w:hint="eastAsia" w:ascii="宋体" w:hAnsi="宋体"/>
          <w:b/>
          <w:color w:val="000000"/>
          <w:highlight w:val="none"/>
        </w:rPr>
        <w:t xml:space="preserve">十七、破产终止合同：</w:t>
      </w:r>
      <w:r>
        <w:rPr>
          <w:rFonts w:hint="eastAsia" w:ascii="宋体" w:hAnsi="宋体"/>
          <w:color w:val="000000"/>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highlight w:val="none"/>
        </w:rPr>
      </w:r>
      <w:r/>
    </w:p>
    <w:p>
      <w:pPr>
        <w:pStyle w:val="682"/>
        <w:ind w:firstLine="420"/>
        <w:spacing w:line="360" w:lineRule="auto"/>
        <w:rPr>
          <w:rFonts w:ascii="宋体" w:hAnsi="宋体"/>
          <w:b/>
          <w:color w:val="000000"/>
          <w:highlight w:val="none"/>
        </w:rPr>
      </w:pPr>
      <w:r>
        <w:rPr>
          <w:rFonts w:hint="eastAsia" w:ascii="宋体" w:hAnsi="宋体"/>
          <w:b/>
          <w:bCs/>
          <w:color w:val="000000"/>
          <w:highlight w:val="none"/>
        </w:rPr>
        <w:t xml:space="preserve">十八、</w:t>
      </w:r>
      <w:r>
        <w:rPr>
          <w:rFonts w:hint="eastAsia" w:ascii="宋体" w:hAnsi="宋体"/>
          <w:color w:val="000000"/>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b/>
          <w:color w:val="000000"/>
          <w:highlight w:val="none"/>
        </w:rPr>
      </w:r>
      <w:r/>
    </w:p>
    <w:p>
      <w:pPr>
        <w:pStyle w:val="682"/>
        <w:ind w:firstLine="422"/>
        <w:spacing w:line="360" w:lineRule="auto"/>
        <w:rPr>
          <w:rFonts w:ascii="宋体" w:hAnsi="宋体"/>
          <w:b/>
          <w:color w:val="000000"/>
          <w:highlight w:val="none"/>
        </w:rPr>
      </w:pPr>
      <w:r>
        <w:rPr>
          <w:rFonts w:hint="eastAsia" w:ascii="宋体" w:hAnsi="宋体"/>
          <w:b/>
          <w:color w:val="000000"/>
          <w:highlight w:val="none"/>
        </w:rPr>
        <w:t xml:space="preserve">十九、合同转让和分包：</w:t>
      </w:r>
      <w:r>
        <w:rPr>
          <w:rFonts w:hint="eastAsia" w:ascii="宋体" w:hAnsi="宋体"/>
          <w:color w:val="000000"/>
          <w:highlight w:val="none"/>
        </w:rPr>
        <w:t xml:space="preserve">本项目不得转包、分包；若乙方转包、分包的，</w:t>
      </w:r>
      <w:r>
        <w:rPr>
          <w:rFonts w:ascii="宋体" w:hAnsi="宋体"/>
          <w:color w:val="000000"/>
          <w:highlight w:val="none"/>
        </w:rPr>
        <w:t xml:space="preserve">甲方有权解除合同，同时</w:t>
      </w:r>
      <w:r>
        <w:rPr>
          <w:rFonts w:hint="eastAsia" w:ascii="宋体" w:hAnsi="宋体"/>
          <w:color w:val="000000"/>
          <w:highlight w:val="none"/>
        </w:rPr>
        <w:t xml:space="preserve">乙方应当赔偿甲方合同总金额的10%作为违约金。</w:t>
      </w:r>
      <w:r>
        <w:rPr>
          <w:rFonts w:ascii="宋体" w:hAnsi="宋体"/>
          <w:b/>
          <w:color w:val="000000"/>
          <w:highlight w:val="none"/>
        </w:rPr>
      </w:r>
      <w:r/>
    </w:p>
    <w:p>
      <w:pPr>
        <w:pStyle w:val="682"/>
        <w:ind w:firstLine="422"/>
        <w:spacing w:line="360" w:lineRule="auto"/>
        <w:rPr>
          <w:rFonts w:ascii="宋体" w:hAnsi="宋体"/>
          <w:color w:val="000000"/>
          <w:highlight w:val="none"/>
        </w:rPr>
      </w:pPr>
      <w:r>
        <w:rPr>
          <w:rFonts w:hint="eastAsia" w:ascii="宋体" w:hAnsi="宋体"/>
          <w:b/>
          <w:color w:val="000000"/>
          <w:highlight w:val="none"/>
        </w:rPr>
        <w:t xml:space="preserve">二十、需要补充的合同条款：</w:t>
      </w:r>
      <w:r>
        <w:rPr>
          <w:rFonts w:hint="eastAsia" w:ascii="宋体" w:hAnsi="宋体"/>
          <w:color w:val="000000"/>
          <w:highlight w:val="none"/>
        </w:rPr>
        <w:t xml:space="preserve">（根据评标过程中或者商务谈判时商定的条款和条件在订立合同时标明）。</w:t>
      </w:r>
      <w:r>
        <w:rPr>
          <w:rFonts w:ascii="宋体" w:hAnsi="宋体"/>
          <w:color w:val="000000"/>
          <w:highlight w:val="none"/>
        </w:rPr>
      </w:r>
      <w:r/>
    </w:p>
    <w:p>
      <w:pPr>
        <w:pStyle w:val="682"/>
        <w:ind w:firstLine="422"/>
        <w:spacing w:line="360" w:lineRule="auto"/>
        <w:rPr>
          <w:rFonts w:ascii="宋体" w:hAnsi="宋体"/>
          <w:color w:val="000000"/>
          <w:highlight w:val="none"/>
        </w:rPr>
      </w:pPr>
      <w:r>
        <w:rPr>
          <w:rFonts w:hint="eastAsia" w:ascii="宋体" w:hAnsi="宋体"/>
          <w:b/>
          <w:color w:val="000000"/>
          <w:highlight w:val="none"/>
        </w:rPr>
        <w:t xml:space="preserve">二十一、合同生效 </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1.双方签约人为各自法定代表人或被授权代表。</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2.本合同系指本文件及其附件中的所有部分，招标文件、中标的投标文件、中标通知书、中标人在招标过程中的澄清和承诺等为本合同不可缺少的组成部分。</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w:t>
      </w:r>
      <w:r>
        <w:rPr>
          <w:rFonts w:hint="eastAsia" w:ascii="宋体" w:hAnsi="宋体"/>
          <w:color w:val="000000"/>
          <w:highlight w:val="none"/>
        </w:rPr>
        <w:t xml:space="preserve">本合同自甲乙双方签字盖章之日起生效。</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4.本合同壹式陆份，甲乙双方各执贰份，招标代理壹份，监管部门壹份。各份具有同等法律效力。</w:t>
      </w:r>
      <w:r>
        <w:rPr>
          <w:rFonts w:ascii="宋体" w:hAnsi="宋体"/>
          <w:color w:val="000000"/>
          <w:highlight w:val="none"/>
        </w:rPr>
      </w:r>
      <w:r/>
    </w:p>
    <w:p>
      <w:pPr>
        <w:pStyle w:val="682"/>
        <w:ind w:firstLine="420"/>
        <w:spacing w:line="360" w:lineRule="auto"/>
        <w:rPr>
          <w:rFonts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.本合同应按照中华人民共和国的现行法律进行解释。</w:t>
      </w:r>
      <w:r>
        <w:rPr>
          <w:rFonts w:ascii="宋体" w:hAnsi="宋体"/>
          <w:color w:val="000000"/>
          <w:highlight w:val="none"/>
        </w:rPr>
      </w:r>
      <w:r/>
    </w:p>
    <w:p>
      <w:pPr>
        <w:pStyle w:val="682"/>
        <w:ind w:firstLine="420"/>
        <w:spacing w:line="360" w:lineRule="auto"/>
        <w:rPr>
          <w:rFonts w:ascii="宋体" w:hAnsi="宋体"/>
          <w:color w:val="000000"/>
          <w:highlight w:val="none"/>
        </w:rPr>
      </w:pPr>
      <w:r>
        <w:rPr>
          <w:rFonts w:ascii="宋体" w:hAnsi="宋体"/>
          <w:color w:val="000000"/>
          <w:highlight w:val="none"/>
        </w:rPr>
        <w:t xml:space="preserve">6</w:t>
      </w:r>
      <w:r>
        <w:rPr>
          <w:rFonts w:hint="eastAsia" w:ascii="宋体" w:hAnsi="宋体"/>
          <w:color w:val="000000"/>
          <w:highlight w:val="none"/>
        </w:rPr>
        <w:t xml:space="preserve">.合同修改：除甲乙双方签署书面修改、补充协议，并成为本合同不可分割的一部分之外，本合同条件不得有任何变化或修改。</w:t>
      </w:r>
      <w:r>
        <w:rPr>
          <w:rFonts w:ascii="宋体" w:hAnsi="宋体"/>
          <w:color w:val="000000"/>
          <w:highlight w:val="none"/>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7.甲乙双方确认本合同首部载明的地址、联系电话为双方的有效送达地址，任何书面通知按该地址寄送即视为有效送达。一方变更送达地址的，应当及时书面通知对方，未通知的，原地址仍为有效送达地址。</w:t>
      </w:r>
      <w:r>
        <w:rPr>
          <w:rFonts w:ascii="宋体" w:hAnsi="宋体"/>
          <w:color w:val="000000"/>
          <w:highlight w:val="none"/>
        </w:rPr>
      </w:r>
      <w:r/>
    </w:p>
    <w:p>
      <w:pPr>
        <w:pStyle w:val="682"/>
        <w:ind w:firstLine="420"/>
        <w:spacing w:line="360" w:lineRule="auto"/>
        <w:rPr>
          <w:rFonts w:ascii="宋体" w:hAnsi="宋体"/>
          <w:color w:val="000000"/>
          <w:highlight w:val="none"/>
        </w:rPr>
      </w:pPr>
      <w:r>
        <w:rPr>
          <w:rFonts w:ascii="宋体" w:hAnsi="宋体"/>
          <w:color w:val="000000"/>
          <w:highlight w:val="none"/>
        </w:rPr>
      </w:r>
      <w:r/>
    </w:p>
    <w:p>
      <w:pPr>
        <w:pStyle w:val="682"/>
        <w:rPr>
          <w:color w:val="000000"/>
          <w:highlight w:val="none"/>
        </w:rPr>
      </w:pPr>
      <w:r>
        <w:rPr>
          <w:color w:val="000000"/>
          <w:highlight w:val="none"/>
        </w:rPr>
      </w:r>
      <w:r/>
    </w:p>
    <w:tbl>
      <w:tblPr>
        <w:tblW w:w="4999" w:type="pct"/>
        <w:tblInd w:w="-648" w:type="dxa"/>
        <w:tblLayout w:type="autofit"/>
        <w:tblCellMar>
          <w:left w:w="108" w:type="dxa"/>
          <w:top w:w="0" w:type="dxa"/>
          <w:right w:w="108" w:type="dxa"/>
          <w:bottom w:w="0" w:type="dxa"/>
        </w:tblCellMar>
        <w:tblLook w:val="04A0" w:firstRow="1" w:lastRow="0" w:firstColumn="1" w:lastColumn="0" w:noHBand="0" w:noVBand="1"/>
      </w:tblPr>
      <w:tblGrid>
        <w:gridCol w:w="4319"/>
        <w:gridCol w:w="4201"/>
      </w:tblGrid>
      <w:tr>
        <w:trPr>
          <w:trHeight w:val="370"/>
        </w:trPr>
        <w:tc>
          <w:tcPr>
            <w:tcBorders>
              <w:top w:val="none" w:color="000000" w:sz="4" w:space="0"/>
              <w:left w:val="none" w:color="000000" w:sz="4" w:space="0"/>
              <w:bottom w:val="none" w:color="000000" w:sz="4" w:space="0"/>
              <w:right w:val="none" w:color="000000" w:sz="4" w:space="0"/>
            </w:tcBorders>
            <w:tcW w:w="2534" w:type="dxa"/>
            <w:vAlign w:val="center"/>
            <w:textDirection w:val="lrTb"/>
            <w:noWrap w:val="false"/>
          </w:tcPr>
          <w:p>
            <w:pPr>
              <w:pStyle w:val="682"/>
              <w:spacing w:line="480" w:lineRule="auto"/>
              <w:tabs>
                <w:tab w:val="left" w:pos="0" w:leader="none"/>
              </w:tabs>
              <w:rPr>
                <w:rFonts w:ascii="宋体" w:hAnsi="宋体" w:cs="仿宋_GB2312"/>
                <w:bCs/>
                <w:color w:val="000000"/>
                <w:szCs w:val="21"/>
                <w:highlight w:val="none"/>
              </w:rPr>
            </w:pPr>
            <w:r>
              <w:rPr>
                <w:rFonts w:hint="eastAsia" w:ascii="宋体" w:hAnsi="宋体" w:cs="仿宋_GB2312"/>
                <w:bCs/>
                <w:color w:val="000000"/>
                <w:szCs w:val="21"/>
                <w:highlight w:val="none"/>
              </w:rPr>
              <w:t xml:space="preserve">甲方（盖章）：</w:t>
            </w:r>
            <w:r>
              <w:rPr>
                <w:rFonts w:ascii="宋体" w:hAnsi="宋体" w:cs="仿宋_GB2312"/>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465" w:type="dxa"/>
            <w:vAlign w:val="center"/>
            <w:textDirection w:val="lrTb"/>
            <w:noWrap w:val="false"/>
          </w:tcPr>
          <w:p>
            <w:pPr>
              <w:pStyle w:val="682"/>
              <w:spacing w:line="480" w:lineRule="auto"/>
              <w:tabs>
                <w:tab w:val="left" w:pos="0" w:leader="none"/>
              </w:tabs>
              <w:rPr>
                <w:rFonts w:ascii="宋体" w:hAnsi="宋体" w:cs="仿宋_GB2312"/>
                <w:bCs/>
                <w:color w:val="000000"/>
                <w:szCs w:val="21"/>
                <w:highlight w:val="none"/>
              </w:rPr>
            </w:pPr>
            <w:r>
              <w:rPr>
                <w:rFonts w:hint="eastAsia" w:ascii="宋体" w:hAnsi="宋体" w:cs="仿宋_GB2312"/>
                <w:bCs/>
                <w:color w:val="000000"/>
                <w:szCs w:val="21"/>
                <w:highlight w:val="none"/>
              </w:rPr>
              <w:t xml:space="preserve">乙方（盖章）：</w:t>
            </w:r>
            <w:r>
              <w:rPr>
                <w:rFonts w:ascii="宋体" w:hAnsi="宋体" w:cs="仿宋_GB2312"/>
                <w:bCs/>
                <w:color w:val="000000"/>
                <w:szCs w:val="21"/>
                <w:highlight w:val="none"/>
              </w:rPr>
            </w:r>
            <w:r/>
          </w:p>
        </w:tc>
      </w:tr>
      <w:tr>
        <w:trPr>
          <w:trHeight w:val="371"/>
        </w:trPr>
        <w:tc>
          <w:tcPr>
            <w:tcBorders>
              <w:top w:val="none" w:color="000000" w:sz="4" w:space="0"/>
              <w:left w:val="none" w:color="000000" w:sz="4" w:space="0"/>
              <w:bottom w:val="none" w:color="000000" w:sz="4" w:space="0"/>
              <w:right w:val="none" w:color="000000" w:sz="4" w:space="0"/>
            </w:tcBorders>
            <w:tcW w:w="2534" w:type="dxa"/>
            <w:vAlign w:val="center"/>
            <w:textDirection w:val="lrTb"/>
            <w:noWrap w:val="false"/>
          </w:tcPr>
          <w:p>
            <w:pPr>
              <w:pStyle w:val="682"/>
              <w:spacing w:line="480" w:lineRule="auto"/>
              <w:tabs>
                <w:tab w:val="left" w:pos="0" w:leader="none"/>
              </w:tabs>
              <w:rPr>
                <w:rFonts w:ascii="宋体" w:hAnsi="宋体" w:cs="仿宋_GB2312"/>
                <w:bCs/>
                <w:color w:val="000000"/>
                <w:szCs w:val="21"/>
                <w:highlight w:val="none"/>
              </w:rPr>
            </w:pPr>
            <w:r>
              <w:rPr>
                <w:rFonts w:hint="eastAsia" w:ascii="宋体" w:hAnsi="宋体" w:cs="仿宋_GB2312"/>
                <w:bCs/>
                <w:color w:val="000000"/>
                <w:szCs w:val="21"/>
                <w:highlight w:val="none"/>
              </w:rPr>
              <w:t xml:space="preserve">法定（授权）代表人（签字）：</w:t>
            </w:r>
            <w:r>
              <w:rPr>
                <w:rFonts w:ascii="宋体" w:hAnsi="宋体" w:cs="仿宋_GB2312"/>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465" w:type="dxa"/>
            <w:vAlign w:val="center"/>
            <w:textDirection w:val="lrTb"/>
            <w:noWrap w:val="false"/>
          </w:tcPr>
          <w:p>
            <w:pPr>
              <w:pStyle w:val="682"/>
              <w:spacing w:line="480" w:lineRule="auto"/>
              <w:tabs>
                <w:tab w:val="left" w:pos="0" w:leader="none"/>
              </w:tabs>
              <w:rPr>
                <w:rFonts w:ascii="宋体" w:hAnsi="宋体" w:cs="仿宋_GB2312"/>
                <w:bCs/>
                <w:color w:val="000000"/>
                <w:szCs w:val="21"/>
                <w:highlight w:val="none"/>
              </w:rPr>
            </w:pPr>
            <w:r>
              <w:rPr>
                <w:rFonts w:hint="eastAsia" w:ascii="宋体" w:hAnsi="宋体" w:cs="仿宋_GB2312"/>
                <w:bCs/>
                <w:color w:val="000000"/>
                <w:szCs w:val="21"/>
                <w:highlight w:val="none"/>
              </w:rPr>
              <w:t xml:space="preserve">法定（授权）代表人（签字）：     </w:t>
            </w:r>
            <w:r>
              <w:rPr>
                <w:rFonts w:ascii="宋体" w:hAnsi="宋体" w:cs="仿宋_GB2312"/>
                <w:bCs/>
                <w:color w:val="000000"/>
                <w:szCs w:val="21"/>
                <w:highlight w:val="none"/>
              </w:rPr>
            </w:r>
            <w:r/>
          </w:p>
        </w:tc>
      </w:tr>
      <w:tr>
        <w:trPr>
          <w:trHeight w:val="373"/>
        </w:trPr>
        <w:tc>
          <w:tcPr>
            <w:tcBorders>
              <w:top w:val="none" w:color="000000" w:sz="4" w:space="0"/>
              <w:left w:val="none" w:color="000000" w:sz="4" w:space="0"/>
              <w:bottom w:val="none" w:color="000000" w:sz="4" w:space="0"/>
              <w:right w:val="none" w:color="000000" w:sz="4" w:space="0"/>
            </w:tcBorders>
            <w:tcW w:w="2534" w:type="dxa"/>
            <w:vAlign w:val="center"/>
            <w:textDirection w:val="lrTb"/>
            <w:noWrap w:val="false"/>
          </w:tcPr>
          <w:p>
            <w:pPr>
              <w:pStyle w:val="682"/>
              <w:spacing w:line="480" w:lineRule="auto"/>
              <w:tabs>
                <w:tab w:val="left" w:pos="0" w:leader="none"/>
              </w:tabs>
              <w:rPr>
                <w:rFonts w:ascii="宋体" w:hAnsi="宋体" w:cs="仿宋_GB2312"/>
                <w:bCs/>
                <w:color w:val="000000"/>
                <w:szCs w:val="21"/>
                <w:highlight w:val="none"/>
              </w:rPr>
            </w:pPr>
            <w:r>
              <w:rPr>
                <w:rFonts w:hint="eastAsia" w:ascii="宋体" w:hAnsi="宋体" w:cs="仿宋_GB2312"/>
                <w:bCs/>
                <w:color w:val="000000"/>
                <w:szCs w:val="21"/>
                <w:highlight w:val="none"/>
              </w:rPr>
              <w:t xml:space="preserve">日期：</w:t>
            </w:r>
            <w:r>
              <w:rPr>
                <w:rFonts w:ascii="宋体" w:hAnsi="宋体" w:cs="仿宋_GB2312"/>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2465" w:type="dxa"/>
            <w:vAlign w:val="center"/>
            <w:textDirection w:val="lrTb"/>
            <w:noWrap w:val="false"/>
          </w:tcPr>
          <w:p>
            <w:pPr>
              <w:pStyle w:val="682"/>
              <w:spacing w:line="480" w:lineRule="auto"/>
              <w:tabs>
                <w:tab w:val="left" w:pos="0" w:leader="none"/>
              </w:tabs>
              <w:rPr>
                <w:rFonts w:ascii="宋体" w:hAnsi="宋体" w:cs="仿宋_GB2312"/>
                <w:bCs/>
                <w:color w:val="000000"/>
                <w:szCs w:val="21"/>
                <w:highlight w:val="none"/>
              </w:rPr>
            </w:pPr>
            <w:r>
              <w:rPr>
                <w:rFonts w:hint="eastAsia" w:ascii="宋体" w:hAnsi="宋体" w:cs="仿宋_GB2312"/>
                <w:bCs/>
                <w:color w:val="000000"/>
                <w:szCs w:val="21"/>
                <w:highlight w:val="none"/>
              </w:rPr>
              <w:t xml:space="preserve">日期：</w:t>
            </w:r>
            <w:r>
              <w:rPr>
                <w:rFonts w:ascii="宋体" w:hAnsi="宋体" w:cs="仿宋_GB2312"/>
                <w:bCs/>
                <w:color w:val="000000"/>
                <w:szCs w:val="21"/>
                <w:highlight w:val="none"/>
              </w:rPr>
            </w:r>
            <w:r/>
          </w:p>
        </w:tc>
      </w:tr>
    </w:tbl>
    <w:p>
      <w:pPr>
        <w:pStyle w:val="682"/>
        <w:jc w:val="center"/>
        <w:rPr>
          <w:rFonts w:ascii="宋体" w:hAnsi="宋体"/>
          <w:color w:val="000000"/>
          <w:szCs w:val="21"/>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t xml:space="preserve">第四章 采购需求</w:t>
      </w:r>
      <w:r>
        <w:rPr>
          <w:rFonts w:ascii="宋体" w:hAnsi="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苏州捷信招投标咨询有限公司受江苏省苏州环境监测中心的委托，就2026年环境监测能力建设项目和大气超级站运维耗材采购项目(JSZC-320500-SZJX-G2026-0043)在国内组织公开招标。</w:t>
      </w:r>
      <w:r>
        <w:rPr>
          <w:rFonts w:ascii="宋体" w:hAnsi="宋体" w:cs="宋体"/>
          <w:color w:val="000000"/>
          <w:szCs w:val="21"/>
          <w:highlight w:val="none"/>
        </w:rPr>
      </w:r>
      <w:r/>
    </w:p>
    <w:p>
      <w:pPr>
        <w:pStyle w:val="682"/>
        <w:ind w:firstLine="422"/>
        <w:spacing w:line="360" w:lineRule="auto"/>
        <w:rPr>
          <w:rFonts w:ascii="宋体" w:hAnsi="宋体" w:cs="宋体"/>
          <w:bCs/>
          <w:color w:val="000000"/>
          <w:szCs w:val="21"/>
          <w:highlight w:val="none"/>
        </w:rPr>
      </w:pPr>
      <w:r>
        <w:rPr>
          <w:rFonts w:hint="eastAsia" w:ascii="宋体" w:hAnsi="宋体" w:cs="宋体"/>
          <w:b/>
          <w:bCs/>
          <w:color w:val="000000"/>
          <w:szCs w:val="21"/>
          <w:highlight w:val="none"/>
        </w:rPr>
        <w:t xml:space="preserve">一、项目编号</w:t>
      </w:r>
      <w:r>
        <w:rPr>
          <w:rFonts w:hint="eastAsia" w:ascii="宋体" w:hAnsi="宋体" w:cs="宋体"/>
          <w:color w:val="000000"/>
          <w:szCs w:val="21"/>
          <w:highlight w:val="none"/>
        </w:rPr>
        <w:t xml:space="preserve">：JSZC-320500-SZJX-G2026-0043号</w:t>
      </w:r>
      <w:r>
        <w:rPr>
          <w:rFonts w:ascii="宋体" w:hAnsi="宋体" w:cs="宋体"/>
          <w:bCs/>
          <w:color w:val="000000"/>
          <w:szCs w:val="21"/>
          <w:highlight w:val="none"/>
        </w:rPr>
      </w:r>
      <w:r/>
    </w:p>
    <w:p>
      <w:pPr>
        <w:pStyle w:val="682"/>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二、项目名称</w:t>
      </w:r>
      <w:r>
        <w:rPr>
          <w:rFonts w:hint="eastAsia" w:ascii="宋体" w:hAnsi="宋体" w:cs="宋体"/>
          <w:color w:val="000000"/>
          <w:szCs w:val="21"/>
          <w:highlight w:val="none"/>
        </w:rPr>
        <w:t xml:space="preserve">：2026年环境监测能力建设项目和大气超级站运维耗材采购项目</w:t>
      </w:r>
      <w:r>
        <w:rPr>
          <w:rFonts w:ascii="宋体" w:hAnsi="宋体" w:cs="宋体"/>
          <w:color w:val="000000"/>
          <w:szCs w:val="21"/>
          <w:highlight w:val="none"/>
        </w:rPr>
      </w:r>
      <w:r/>
    </w:p>
    <w:p>
      <w:pPr>
        <w:pStyle w:val="891"/>
        <w:ind w:firstLine="630"/>
        <w:rPr>
          <w:rFonts w:ascii="宋体" w:hAnsi="宋体" w:cs="宋体"/>
          <w:color w:val="000000"/>
          <w:sz w:val="21"/>
          <w:szCs w:val="21"/>
          <w:highlight w:val="none"/>
        </w:rPr>
      </w:pPr>
      <w:r>
        <w:rPr>
          <w:rFonts w:hint="eastAsia" w:ascii="宋体" w:hAnsi="宋体" w:cs="宋体"/>
          <w:color w:val="000000"/>
          <w:sz w:val="21"/>
          <w:szCs w:val="21"/>
          <w:highlight w:val="none"/>
        </w:rPr>
        <w:t xml:space="preserve">第二标段：在线无机元素分析仪等设备耗材采购</w:t>
      </w:r>
      <w:r>
        <w:rPr>
          <w:rFonts w:ascii="宋体" w:hAnsi="宋体" w:cs="宋体"/>
          <w:color w:val="000000"/>
          <w:sz w:val="21"/>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三、预算金额</w:t>
      </w:r>
      <w:r>
        <w:rPr>
          <w:rFonts w:hint="eastAsia" w:ascii="宋体" w:hAnsi="宋体" w:cs="宋体"/>
          <w:color w:val="000000"/>
          <w:szCs w:val="21"/>
          <w:highlight w:val="none"/>
        </w:rPr>
        <w:t xml:space="preserve">：人民币叁拾柒万元整（¥370000.00）；</w:t>
      </w:r>
      <w:r>
        <w:rPr>
          <w:rFonts w:ascii="宋体" w:hAnsi="宋体" w:cs="宋体"/>
          <w:color w:val="000000"/>
          <w:szCs w:val="21"/>
          <w:highlight w:val="none"/>
        </w:rPr>
      </w:r>
      <w:r/>
    </w:p>
    <w:p>
      <w:pPr>
        <w:pStyle w:val="1053"/>
        <w:ind w:firstLine="422"/>
        <w:spacing w:line="360" w:lineRule="auto"/>
        <w:rPr>
          <w:rFonts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四、招标内容：</w:t>
      </w:r>
      <w:r>
        <w:rPr>
          <w:rFonts w:ascii="宋体" w:hAnsi="宋体" w:cs="宋体"/>
          <w:b/>
          <w:bCs/>
          <w:color w:val="000000"/>
          <w:szCs w:val="21"/>
          <w:highlight w:val="none"/>
          <w:lang w:val="en-US"/>
        </w:rPr>
      </w:r>
      <w:r/>
    </w:p>
    <w:p>
      <w:pPr>
        <w:pStyle w:val="1053"/>
        <w:ind w:firstLine="421"/>
        <w:spacing w:line="360" w:lineRule="auto"/>
        <w:rPr>
          <w:rFonts w:ascii="宋体" w:hAnsi="宋体" w:cs="宋体"/>
          <w:b/>
          <w:bCs/>
          <w:color w:val="000000"/>
          <w:szCs w:val="21"/>
          <w:highlight w:val="none"/>
          <w:lang w:val="en-US"/>
        </w:rPr>
      </w:pPr>
      <w:r>
        <w:rPr>
          <w:rFonts w:hint="eastAsia" w:ascii="Times New Roman" w:hAnsi="Times New Roman"/>
          <w:color w:val="000000"/>
          <w:szCs w:val="21"/>
          <w:highlight w:val="none"/>
          <w:lang w:val="en-US"/>
        </w:rPr>
        <w:t xml:space="preserve">1、</w:t>
      </w:r>
      <w:r>
        <w:rPr>
          <w:rFonts w:hint="eastAsia" w:ascii="Times New Roman" w:hAnsi="Times New Roman"/>
          <w:color w:val="000000"/>
          <w:szCs w:val="21"/>
          <w:highlight w:val="none"/>
        </w:rPr>
        <w:t xml:space="preserve">具体采购清单详见附件，</w:t>
      </w:r>
      <w:r>
        <w:rPr>
          <w:rFonts w:hint="eastAsia" w:ascii="宋体" w:hAnsi="宋体" w:cs="宋体"/>
          <w:b/>
          <w:bCs/>
          <w:color w:val="000000"/>
          <w:szCs w:val="21"/>
          <w:highlight w:val="none"/>
        </w:rPr>
        <w:t xml:space="preserve">清单内容中标★的为本项目核心产品。</w:t>
      </w:r>
      <w:r>
        <w:rPr>
          <w:rFonts w:ascii="宋体" w:hAnsi="宋体" w:cs="宋体"/>
          <w:b/>
          <w:bCs/>
          <w:color w:val="000000"/>
          <w:szCs w:val="21"/>
          <w:highlight w:val="none"/>
          <w:lang w:val="en-US"/>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2、使用地点：江苏省苏州环境监测中心</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3、质量技术要求：</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1）供应商提供的货物及配件须均为按国家规定生产的合格正规产品、符合设计规范要求。所有响应产品的生产、制造等各项技术标准应当符合国家（强制性）标准、各项规范要求；国家没有相应标准、规范的，可使用行业标准、规定；非标产品按采购文件约定的技术要求和规范。</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（2）供应商应严格按照采购文件的有关规定提供合格商品，均应是原装商品，保证货物为全新、未使用的原装正品；除有特殊要求的外，其余均为标准配置；货物上均有合格证，包括品牌的有关标志。</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（3）供应商应</w:t>
      </w:r>
      <w:r>
        <w:rPr>
          <w:rFonts w:hint="eastAsia" w:ascii="Times New Roman" w:hAnsi="Times New Roman"/>
          <w:color w:val="000000"/>
          <w:highlight w:val="none"/>
        </w:rPr>
        <w:t xml:space="preserve">能</w:t>
      </w:r>
      <w:r>
        <w:rPr>
          <w:rFonts w:ascii="Times New Roman" w:hAnsi="Times New Roman"/>
          <w:color w:val="000000"/>
          <w:highlight w:val="none"/>
        </w:rPr>
        <w:t xml:space="preserve">保证所提供货物涉及到的知识产权是合法取得，并享有完整的知识产权，不会因为采购人的使用而被责令停止使用、追偿或要求赔偿损失，如出现此情况，一切经济和法律责任均由供应商承担。如出现质量问题或系假冒伪劣产品，供应商负责包退、包换，发生的费用由供应商负责。</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（4）供应商提供的产品若存在质量问题，导致在今后使用过程中造成供需双方、使用人或第三方人身伤亡或财产损失的，供应商承担由此产生的全部责任。</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4、</w:t>
      </w:r>
      <w:r>
        <w:rPr>
          <w:rFonts w:ascii="Times New Roman" w:hAnsi="Times New Roman"/>
          <w:color w:val="000000"/>
          <w:highlight w:val="none"/>
        </w:rPr>
        <w:t xml:space="preserve">售后服务要求：</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1）质保期：项目整体免费质量保证期要求不低于壹年。免费质量保证期待产品交付经采购使用部门整体确认验收合格之日起算。一旦发生质量问题，供应商保证在接到通知工作日的2小时内到现场进行更换或退货，费用由供应商负责，如供应商在接到通知工作日的8小时内没有答复或处理问题，则视为供应商承认质量问题并承担由此而发生的一切费用。质保期内产品的一切质量问题，更换及产品本身质量原因造成的所有经济损失应全部由供应商自行负责。质保期内供应商应提供免费上门服务。</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5</w:t>
      </w:r>
      <w:r>
        <w:rPr>
          <w:rFonts w:ascii="Times New Roman" w:hAnsi="Times New Roman"/>
          <w:color w:val="000000"/>
          <w:highlight w:val="none"/>
        </w:rPr>
        <w:t xml:space="preserve">、包装和运输要求：</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（1）包装要求：包装材料应具有防水、防压、防撞等特性，应符合国家相关标准。外包装应体现货物名称、规格型号、生产日期、保质期等相关信息。</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（2）运输要求：运输过程中需进行分类运输，不同性质的货物应该分别运输。同时，运输过程中需要注意防潮、防晒、防高温等问题，避免货物受到损坏。</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6</w:t>
      </w:r>
      <w:r>
        <w:rPr>
          <w:rFonts w:ascii="Times New Roman" w:hAnsi="Times New Roman"/>
          <w:color w:val="000000"/>
          <w:highlight w:val="none"/>
        </w:rPr>
        <w:t xml:space="preserve">、交货要求：</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（1）交货期：</w:t>
      </w:r>
      <w:r>
        <w:rPr>
          <w:rFonts w:hint="eastAsia" w:ascii="宋体" w:hAnsi="宋体" w:cs="宋体"/>
          <w:color w:val="000000"/>
          <w:szCs w:val="21"/>
          <w:highlight w:val="none"/>
        </w:rPr>
        <w:t xml:space="preserve">合同签订后30日内供货至采购单位指定地点</w:t>
      </w:r>
      <w:r>
        <w:rPr>
          <w:rFonts w:hint="eastAsia"/>
          <w:color w:val="000000"/>
          <w:szCs w:val="21"/>
          <w:highlight w:val="none"/>
        </w:rPr>
        <w:t xml:space="preserve">（实际以采购单位通知为准）</w:t>
      </w:r>
      <w:r>
        <w:rPr>
          <w:rFonts w:hint="eastAsia" w:ascii="Times New Roman" w:hAnsi="Times New Roman"/>
          <w:color w:val="000000"/>
          <w:szCs w:val="21"/>
          <w:highlight w:val="none"/>
        </w:rPr>
        <w:t xml:space="preserve">。</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ascii="Times New Roman" w:hAnsi="Times New Roman"/>
          <w:color w:val="000000"/>
          <w:highlight w:val="none"/>
        </w:rPr>
        <w:t xml:space="preserve">（2）交货地点：江苏省苏州环境监测中心指定地点，产品需送达并搬至指定地点摆放整齐，待采购方清点数量，确认无误方可离开。</w:t>
      </w:r>
      <w:r>
        <w:rPr>
          <w:rFonts w:ascii="Times New Roman" w:hAnsi="Times New Roman"/>
          <w:color w:val="000000"/>
          <w:highlight w:val="none"/>
        </w:rPr>
      </w:r>
      <w:r/>
    </w:p>
    <w:p>
      <w:pPr>
        <w:pStyle w:val="682"/>
        <w:ind w:firstLine="422"/>
        <w:spacing w:line="360" w:lineRule="auto"/>
        <w:rPr>
          <w:rFonts w:ascii="宋体" w:hAnsi="宋体"/>
          <w:color w:val="000000"/>
          <w:szCs w:val="21"/>
          <w:highlight w:val="none"/>
        </w:rPr>
      </w:pPr>
      <w:r>
        <w:rPr>
          <w:rFonts w:hint="eastAsia" w:ascii="Times New Roman" w:hAnsi="Times New Roman"/>
          <w:color w:val="000000"/>
          <w:highlight w:val="none"/>
        </w:rPr>
        <w:t xml:space="preserve">7、</w:t>
      </w:r>
      <w:r>
        <w:rPr>
          <w:rFonts w:hint="eastAsia" w:ascii="宋体" w:hAnsi="宋体"/>
          <w:color w:val="000000"/>
          <w:szCs w:val="21"/>
          <w:highlight w:val="none"/>
        </w:rPr>
        <w:t xml:space="preserve">履约验收基本要求</w:t>
      </w:r>
      <w:r>
        <w:rPr>
          <w:rFonts w:ascii="宋体" w:hAnsi="宋体"/>
          <w:color w:val="000000"/>
          <w:szCs w:val="21"/>
          <w:highlight w:val="none"/>
        </w:rPr>
      </w:r>
      <w:r/>
    </w:p>
    <w:p>
      <w:pPr>
        <w:pStyle w:val="68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（1）采购单位将根据《江苏省财政厅关于印发&lt;江苏省政府采购履约验收管理办法&gt;的通知》（苏财规〔2024〕7号）相关要求，组织项目履约验收基本工作。</w:t>
      </w:r>
      <w:r>
        <w:rPr>
          <w:rFonts w:ascii="宋体" w:hAnsi="宋体"/>
          <w:bCs/>
          <w:color w:val="000000"/>
          <w:szCs w:val="21"/>
          <w:highlight w:val="none"/>
        </w:rPr>
      </w:r>
      <w:r/>
    </w:p>
    <w:p>
      <w:pPr>
        <w:pStyle w:val="68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（2）招标文件、投标文件、政府采购合同等是履约验收工作的重要依据。在政府采购合同约定的履行验收条件达到时，中标供应商可以主动联系采购单位启动履约验收工作。</w:t>
      </w:r>
      <w:r>
        <w:rPr>
          <w:rFonts w:ascii="宋体" w:hAnsi="宋体"/>
          <w:bCs/>
          <w:color w:val="000000"/>
          <w:szCs w:val="21"/>
          <w:highlight w:val="none"/>
        </w:rPr>
      </w:r>
      <w:r/>
    </w:p>
    <w:p>
      <w:pPr>
        <w:pStyle w:val="68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（3）采购单位将按照验收标准要求组织验收，供应商所供产品的规格、数量符合招标文件供应商投标承诺及采购合同约定的要求。</w:t>
      </w:r>
      <w:r>
        <w:rPr>
          <w:rFonts w:ascii="宋体" w:hAnsi="宋体"/>
          <w:bCs/>
          <w:color w:val="000000"/>
          <w:szCs w:val="21"/>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（4</w:t>
      </w:r>
      <w:r>
        <w:rPr>
          <w:rFonts w:ascii="Times New Roman" w:hAnsi="Times New Roman"/>
          <w:color w:val="000000"/>
          <w:highlight w:val="none"/>
        </w:rPr>
        <w:t xml:space="preserve">）</w:t>
      </w:r>
      <w:r>
        <w:rPr>
          <w:rFonts w:hint="eastAsia" w:ascii="宋体" w:hAnsi="宋体"/>
          <w:color w:val="000000"/>
          <w:highlight w:val="none"/>
        </w:rPr>
        <w:t xml:space="preserve">甲方根据合同的规定接收货物，在接收时对货物的品种、规格、性能、质量、数量、外观等进行验收。</w:t>
      </w:r>
      <w:r>
        <w:rPr>
          <w:rFonts w:ascii="Times New Roman" w:hAnsi="Times New Roman"/>
          <w:color w:val="000000"/>
          <w:highlight w:val="none"/>
        </w:rPr>
        <w:t xml:space="preserve">甲方对货物的规格技术指标如有异议，应从验收结束之日起十五日内以书面形式提出。 </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（5</w:t>
      </w:r>
      <w:r>
        <w:rPr>
          <w:rFonts w:ascii="Times New Roman" w:hAnsi="Times New Roman"/>
          <w:color w:val="000000"/>
          <w:highlight w:val="none"/>
        </w:rPr>
        <w:t xml:space="preserve">）乙方应在收到甲方书面异议后七天内负责处理问题，否则将视为默认甲方提出的异议和处理意见。</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（6</w:t>
      </w:r>
      <w:r>
        <w:rPr>
          <w:rFonts w:ascii="Times New Roman" w:hAnsi="Times New Roman"/>
          <w:color w:val="000000"/>
          <w:highlight w:val="none"/>
        </w:rPr>
        <w:t xml:space="preserve">）验收不合格的，甲方有权要求乙方无条件退货更换，相关费用均由乙方承担，同时甲方有权拒绝支付货款，并要求乙方承担相应违约责任，由此造成的相关损失由乙方全部承担。</w:t>
      </w:r>
      <w:r>
        <w:rPr>
          <w:rFonts w:ascii="Times New Roman" w:hAnsi="Times New Roman"/>
          <w:color w:val="000000"/>
          <w:highlight w:val="none"/>
        </w:rPr>
      </w:r>
      <w:r/>
    </w:p>
    <w:p>
      <w:pPr>
        <w:pStyle w:val="1053"/>
        <w:ind w:firstLine="420"/>
        <w:spacing w:line="360" w:lineRule="auto"/>
        <w:rPr>
          <w:rFonts w:ascii="宋体" w:hAnsi="宋体" w:cs="宋体"/>
          <w:b/>
          <w:bCs/>
          <w:color w:val="000000"/>
          <w:szCs w:val="21"/>
          <w:highlight w:val="none"/>
        </w:rPr>
      </w:pPr>
      <w:r>
        <w:rPr>
          <w:rFonts w:hint="eastAsia" w:ascii="Times New Roman" w:hAnsi="Times New Roman"/>
          <w:color w:val="000000"/>
          <w:highlight w:val="none"/>
          <w:lang w:val="en-US"/>
        </w:rPr>
        <w:t xml:space="preserve">（7</w:t>
      </w:r>
      <w:r>
        <w:rPr>
          <w:rFonts w:ascii="Times New Roman" w:hAnsi="Times New Roman"/>
          <w:color w:val="000000"/>
          <w:highlight w:val="none"/>
        </w:rPr>
        <w:t xml:space="preserve">）验收标准：采购单位按国际和国家标准、生态环境部分析方法标准以及分析仪器的使用标准进行质量验收。当双方对验收标准有争议时，可委托双方一致认可的国家相关权威检测中心进行检测，费用由责任方承担。</w:t>
      </w:r>
      <w:r>
        <w:rPr>
          <w:rFonts w:ascii="宋体" w:hAnsi="宋体" w:cs="宋体"/>
          <w:b/>
          <w:bCs/>
          <w:color w:val="000000"/>
          <w:szCs w:val="21"/>
          <w:highlight w:val="none"/>
        </w:rPr>
      </w:r>
      <w:r/>
    </w:p>
    <w:p>
      <w:pPr>
        <w:pStyle w:val="682"/>
        <w:ind w:firstLine="422"/>
        <w:spacing w:line="360" w:lineRule="auto"/>
        <w:tabs>
          <w:tab w:val="left" w:pos="420" w:leader="none"/>
        </w:tabs>
        <w:rPr>
          <w:rFonts w:ascii="宋体" w:hAnsi="宋体" w:cs="宋体"/>
          <w:color w:val="000000"/>
          <w:szCs w:val="21"/>
          <w:highlight w:val="none"/>
        </w:rPr>
      </w:pPr>
      <w:r>
        <w:rPr>
          <w:rFonts w:hint="eastAsia" w:ascii="宋体" w:hAnsi="宋体" w:cs="宋体"/>
          <w:b/>
          <w:bCs/>
          <w:color w:val="000000"/>
          <w:szCs w:val="21"/>
          <w:highlight w:val="none"/>
        </w:rPr>
        <w:t xml:space="preserve">五、综合说明及其他</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1、投标单位需针对本项目组建技术服务团队，至少包含项目负责人1人及专业技术人员。</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2、投标单位须在招标文件中提出的全部技术规格与要求做出相应的承诺，</w:t>
      </w:r>
      <w:r>
        <w:rPr>
          <w:rFonts w:hint="eastAsia" w:ascii="宋体" w:hAnsi="宋体" w:cs="宋体"/>
          <w:b/>
          <w:bCs/>
          <w:color w:val="000000"/>
          <w:szCs w:val="21"/>
          <w:highlight w:val="none"/>
        </w:rPr>
        <w:t xml:space="preserve">所投产品的技术参数须达到以上最低参数要求，投标文件中提供</w:t>
      </w:r>
      <w:r>
        <w:rPr>
          <w:rFonts w:hint="eastAsia" w:ascii="宋体" w:hAnsi="宋体" w:cs="宋体"/>
          <w:b/>
          <w:bCs/>
          <w:color w:val="000000"/>
          <w:szCs w:val="21"/>
          <w:highlight w:val="none"/>
          <w:lang w:val="zh-CN"/>
        </w:rPr>
        <w:t xml:space="preserve">投标产品技术对照表</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rPr>
        <w:t xml:space="preserve">否则视为无效标。</w:t>
      </w:r>
      <w:r>
        <w:rPr>
          <w:rFonts w:ascii="宋体" w:hAnsi="宋体" w:cs="宋体"/>
          <w:b/>
          <w:bCs/>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3、所有设备、附（配）件应具备该类产品的功能要求，无瑕疵和缺陷，质量为合格产品，同时有明确的生产厂商或制造厂商。</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4、投标单位必须明确提供设备的品牌、型号、规格及一些必须说明的技术参数，以及使用的材料的清单，同时明确生产厂家、型号规格等，并提供详细的技术参数。</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5、投标单位根据按照招标要求提供的技术响应表格式对技术指标逐条进行应答，性能要求达到具体数值的条款中必须明确列出具体数值。所提供的产品资料说明可以证明应答</w:t>
      </w:r>
      <w:r>
        <w:rPr>
          <w:rFonts w:hint="eastAsia"/>
          <w:color w:val="000000"/>
          <w:szCs w:val="21"/>
          <w:highlight w:val="none"/>
        </w:rPr>
        <w:t xml:space="preserve">参数的真实性。投标单位对所有技术应答负责，一经查实有虚假响应招标要求的情况，视为不实质性响应招标文件，并根据《中华人民共和国政府采购法》第七十七条之规定进行处</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6、投标单位应对所投项目的全部内容进行报价，只投其中部分内容者，其标书将被拒绝。</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投标报价：包括所投设备及其备品、备件和专用工具费用、税费及包装、运至最终目的地的运输、保险、验收、专利技术、技术支持与培训、售后服务与维保及相关劳务支出等工作所发生的全部费用以及投标人企业利润、税金和政策性文件规定及合同包含的所有风险、责任等各项应有费用。</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8、知识产权：</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中标单位保证需方免除且供方承担由于采购单位在使用其投标的产品或其任何一部分时而引起第三方提出的侵犯专利权、商标权或工业设计权的起诉、行动、行政程序索赔、请求等以及需方为此而产生的损失和损害、费用和支出（包括律师费）。</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货物保管：货物到达采购单位地址至验收合格期间，由中标单位负责保管，运输费、保险费、包装费、保管费等由中标单位承担。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ascii="宋体" w:hAnsi="宋体" w:cs="宋体"/>
          <w:color w:val="000000"/>
          <w:szCs w:val="21"/>
          <w:highlight w:val="none"/>
        </w:rPr>
      </w:r>
      <w:r/>
    </w:p>
    <w:p>
      <w:pPr>
        <w:pStyle w:val="1080"/>
        <w:ind w:firstLine="420"/>
        <w:spacing w:line="360" w:lineRule="auto"/>
        <w:rPr>
          <w:rFonts w:hAnsi="宋体" w:cs="宋体"/>
          <w:color w:val="000000"/>
          <w:szCs w:val="21"/>
          <w:highlight w:val="none"/>
        </w:rPr>
      </w:pPr>
      <w:r>
        <w:rPr>
          <w:rFonts w:hint="eastAsia" w:hAnsi="宋体" w:cs="宋体"/>
          <w:color w:val="000000"/>
          <w:szCs w:val="21"/>
          <w:highlight w:val="none"/>
        </w:rPr>
        <w:t xml:space="preserve">12、凡涉及招标文件的补充说明和修改，均以最后在苏州市政府采购网发布的更正公告为准。</w:t>
      </w:r>
      <w:r>
        <w:rPr>
          <w:rFonts w:hAnsi="宋体" w:cs="宋体"/>
          <w:color w:val="000000"/>
          <w:szCs w:val="21"/>
          <w:highlight w:val="none"/>
        </w:rPr>
      </w:r>
      <w:r/>
    </w:p>
    <w:p>
      <w:pPr>
        <w:pStyle w:val="682"/>
        <w:ind w:firstLine="422"/>
        <w:spacing w:line="360" w:lineRule="auto"/>
        <w:tabs>
          <w:tab w:val="left" w:pos="42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六、政府采购政策</w:t>
      </w:r>
      <w:r>
        <w:rPr>
          <w:rFonts w:ascii="宋体" w:hAnsi="宋体" w:cs="宋体"/>
          <w:b/>
          <w:bCs/>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1、小、微企业</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ascii="宋体" w:hAnsi="宋体" w:cs="宋体"/>
          <w:color w:val="000000"/>
          <w:szCs w:val="21"/>
          <w:highlight w:val="none"/>
        </w:rPr>
      </w:r>
      <w:r/>
    </w:p>
    <w:p>
      <w:pPr>
        <w:pStyle w:val="682"/>
        <w:ind w:firstLine="422"/>
        <w:spacing w:line="360" w:lineRule="auto"/>
        <w:tabs>
          <w:tab w:val="left" w:pos="567" w:leader="none"/>
        </w:tabs>
        <w:rPr>
          <w:rFonts w:ascii="宋体" w:hAnsi="宋体" w:cs="宋体"/>
          <w:b/>
          <w:color w:val="000000"/>
          <w:szCs w:val="21"/>
          <w:highlight w:val="none"/>
        </w:rPr>
      </w:pPr>
      <w:r>
        <w:rPr>
          <w:rFonts w:hint="eastAsia" w:ascii="宋体" w:hAnsi="宋体" w:cs="宋体"/>
          <w:b/>
          <w:color w:val="000000"/>
          <w:szCs w:val="21"/>
          <w:highlight w:val="none"/>
        </w:rPr>
        <w:t xml:space="preserve">其中，供应商提供的货物既有中小企业制造货物，也有大型企业制造货物的，不享受中小企业扶持政策。</w:t>
      </w:r>
      <w:r>
        <w:rPr>
          <w:rFonts w:ascii="宋体" w:hAnsi="宋体" w:cs="宋体"/>
          <w:b/>
          <w:color w:val="000000"/>
          <w:szCs w:val="21"/>
          <w:highlight w:val="none"/>
        </w:rPr>
      </w:r>
      <w:r/>
    </w:p>
    <w:p>
      <w:pPr>
        <w:pStyle w:val="682"/>
        <w:ind w:firstLine="420"/>
        <w:spacing w:line="360" w:lineRule="auto"/>
        <w:tabs>
          <w:tab w:val="left" w:pos="420" w:leader="none"/>
          <w:tab w:val="left" w:pos="1260" w:leader="none"/>
          <w:tab w:val="left" w:pos="1440" w:leader="none"/>
        </w:tabs>
        <w:rPr>
          <w:rFonts w:ascii="宋体" w:hAnsi="宋体" w:cs="宋体"/>
          <w:b/>
          <w:color w:val="000000"/>
          <w:szCs w:val="21"/>
          <w:highlight w:val="none"/>
        </w:rPr>
      </w:pPr>
      <w:r>
        <w:rPr>
          <w:rFonts w:hint="eastAsia" w:ascii="宋体" w:hAnsi="宋体" w:cs="宋体"/>
          <w:color w:val="000000"/>
          <w:szCs w:val="21"/>
          <w:highlight w:val="none"/>
        </w:rPr>
        <w:t xml:space="preserve">根据《政府采购促进中小企业发展管理办法》（财库〔2020〕46号）及《中小企业划型标准规定》（工信部联企业〔2011〕300号），</w:t>
      </w:r>
      <w:r>
        <w:rPr>
          <w:rFonts w:hint="eastAsia" w:ascii="宋体" w:hAnsi="宋体" w:cs="宋体"/>
          <w:b/>
          <w:color w:val="000000"/>
          <w:szCs w:val="21"/>
          <w:highlight w:val="none"/>
        </w:rPr>
        <w:t xml:space="preserve">本采购标的对应的中小企业划分标准所属行业为：工业。</w:t>
      </w:r>
      <w:r>
        <w:rPr>
          <w:rFonts w:ascii="宋体" w:hAnsi="宋体" w:cs="宋体"/>
          <w:b/>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2、残疾人福利性单位</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3、监狱企业</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olor w:val="000000"/>
          <w:szCs w:val="21"/>
          <w:highlight w:val="none"/>
        </w:rPr>
      </w:pPr>
      <w:r/>
      <w:bookmarkStart w:id="4" w:name="OLE_LINK31"/>
      <w:r/>
      <w:bookmarkStart w:id="5" w:name="OLE_LINK34"/>
      <w:r>
        <w:rPr>
          <w:rFonts w:hint="eastAsia" w:ascii="宋体" w:hAnsi="宋体"/>
          <w:color w:val="000000"/>
          <w:szCs w:val="21"/>
          <w:highlight w:val="none"/>
        </w:rPr>
        <w:t xml:space="preserve">4、对本国产品的支持政策</w:t>
      </w:r>
      <w:r>
        <w:rPr>
          <w:rFonts w:ascii="宋体" w:hAnsi="宋体"/>
          <w:color w:val="000000"/>
          <w:szCs w:val="21"/>
          <w:highlight w:val="none"/>
        </w:rPr>
      </w:r>
      <w:r/>
    </w:p>
    <w:p>
      <w:pPr>
        <w:pStyle w:val="682"/>
        <w:ind w:firstLine="420"/>
        <w:spacing w:line="360" w:lineRule="auto"/>
        <w:tabs>
          <w:tab w:val="left" w:pos="567" w:leader="none"/>
        </w:tabs>
        <w:rPr>
          <w:rFonts w:ascii="宋体" w:hAnsi="宋体"/>
          <w:color w:val="000000"/>
          <w:szCs w:val="21"/>
          <w:highlight w:val="none"/>
        </w:rPr>
      </w:pPr>
      <w:r>
        <w:rPr>
          <w:rFonts w:hint="eastAsia" w:ascii="宋体" w:hAnsi="宋体"/>
          <w:color w:val="000000"/>
          <w:szCs w:val="21"/>
          <w:highlight w:val="none"/>
        </w:rPr>
        <w:t xml:space="preserve">根据《国务院办公厅关于在</w:t>
      </w:r>
      <w:r>
        <w:rPr>
          <w:rFonts w:hint="eastAsia" w:ascii="宋体" w:hAnsi="宋体"/>
          <w:color w:val="000000"/>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olor w:val="000000"/>
          <w:szCs w:val="21"/>
          <w:highlight w:val="none"/>
        </w:rPr>
      </w:r>
      <w:r/>
    </w:p>
    <w:p>
      <w:pPr>
        <w:pStyle w:val="682"/>
        <w:ind w:firstLine="422"/>
        <w:spacing w:line="360" w:lineRule="auto"/>
        <w:tabs>
          <w:tab w:val="left" w:pos="567" w:leader="none"/>
        </w:tabs>
        <w:rPr>
          <w:rFonts w:ascii="宋体" w:hAnsi="宋体"/>
          <w:color w:val="000000"/>
          <w:szCs w:val="21"/>
          <w:highlight w:val="none"/>
        </w:rPr>
      </w:pPr>
      <w:r>
        <w:rPr>
          <w:rFonts w:hint="eastAsia"/>
          <w:b/>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olor w:val="000000"/>
          <w:szCs w:val="21"/>
          <w:highlight w:val="none"/>
        </w:rPr>
      </w:r>
      <w:r/>
    </w:p>
    <w:p>
      <w:pPr>
        <w:pStyle w:val="682"/>
        <w:ind w:firstLine="420"/>
        <w:spacing w:line="360" w:lineRule="auto"/>
        <w:tabs>
          <w:tab w:val="left" w:pos="567" w:leader="none"/>
        </w:tabs>
        <w:rPr>
          <w:rFonts w:ascii="宋体" w:hAnsi="宋体"/>
          <w:color w:val="000000"/>
          <w:szCs w:val="21"/>
          <w:highlight w:val="none"/>
        </w:rPr>
      </w:pPr>
      <w:r>
        <w:rPr>
          <w:rFonts w:hint="eastAsia" w:ascii="宋体" w:hAnsi="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olor w:val="000000"/>
          <w:szCs w:val="21"/>
          <w:highlight w:val="none"/>
        </w:rPr>
        <w:t xml:space="preserve">供应商对其提供的产品出具《关于符合本国产品标准的声明函》（样式见第六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4"/>
      <w:r/>
      <w:bookmarkEnd w:id="5"/>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5、绿色采购</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5.1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color w:val="000000"/>
          <w:szCs w:val="21"/>
          <w:highlight w:val="none"/>
        </w:rPr>
      </w:r>
      <w:r/>
    </w:p>
    <w:p>
      <w:pPr>
        <w:pStyle w:val="682"/>
        <w:ind w:firstLine="422"/>
        <w:spacing w:line="360" w:lineRule="auto"/>
        <w:tabs>
          <w:tab w:val="left" w:pos="567"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七、关于对参与供应商信用记录的政府采购要求</w:t>
      </w:r>
      <w:r>
        <w:rPr>
          <w:rFonts w:ascii="宋体" w:hAnsi="宋体" w:cs="宋体"/>
          <w:b/>
          <w:bCs/>
          <w:color w:val="000000"/>
          <w:szCs w:val="21"/>
          <w:highlight w:val="none"/>
        </w:rPr>
      </w:r>
      <w:r/>
    </w:p>
    <w:p>
      <w:pPr>
        <w:pStyle w:val="682"/>
        <w:ind w:firstLine="420"/>
        <w:spacing w:line="360" w:lineRule="auto"/>
        <w:tabs>
          <w:tab w:val="left" w:pos="567" w:leader="none"/>
        </w:tabs>
        <w:rPr>
          <w:rFonts w:ascii="宋体" w:hAnsi="宋体" w:cs="宋体"/>
          <w:b/>
          <w:color w:val="000000"/>
          <w:szCs w:val="21"/>
          <w:highlight w:val="none"/>
        </w:rPr>
      </w:pPr>
      <w:r>
        <w:rPr>
          <w:rFonts w:hint="eastAsia" w:ascii="宋体" w:hAnsi="宋体" w:cs="宋体"/>
          <w:color w:val="000000"/>
          <w:szCs w:val="21"/>
          <w:highlight w:val="none"/>
        </w:rPr>
        <w:t xml:space="preserve">1、采购代理机构会在接收投标文件截止时间后，登录信用中国网站（www.creditchina.gov.cn/）和中国政府采购网（www.ccgp.gov.cn/）查询供应商的信用记录，并将查询结果递交评标委员会。</w:t>
      </w:r>
      <w:r>
        <w:rPr>
          <w:rFonts w:ascii="宋体" w:hAnsi="宋体" w:cs="宋体"/>
          <w:b/>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s="宋体"/>
          <w:color w:val="000000"/>
          <w:szCs w:val="21"/>
          <w:highlight w:val="none"/>
        </w:rPr>
      </w:r>
      <w:r/>
    </w:p>
    <w:p>
      <w:pPr>
        <w:pStyle w:val="682"/>
        <w:ind w:firstLine="420"/>
        <w:spacing w:line="360" w:lineRule="auto"/>
        <w:tabs>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4、对存在失信信息的供应商，由失信供应商进行确认。同时，采购代理机构工作人员应根据评标委员会确认的失信信息，登陆到相关来源网站页面进行复核并打印，作为证据留存。</w:t>
      </w:r>
      <w:r>
        <w:rPr>
          <w:rFonts w:ascii="宋体" w:hAnsi="宋体" w:cs="宋体"/>
          <w:color w:val="000000"/>
          <w:szCs w:val="21"/>
          <w:highlight w:val="none"/>
        </w:rPr>
      </w:r>
      <w:r/>
    </w:p>
    <w:p>
      <w:pPr>
        <w:pStyle w:val="682"/>
        <w:ind w:firstLine="422"/>
        <w:spacing w:line="360" w:lineRule="auto"/>
        <w:rPr>
          <w:b/>
          <w:bCs/>
          <w:color w:val="000000"/>
          <w:szCs w:val="21"/>
          <w:highlight w:val="none"/>
        </w:rPr>
      </w:pPr>
      <w:r>
        <w:rPr>
          <w:rFonts w:hint="eastAsia"/>
          <w:b/>
          <w:bCs/>
          <w:color w:val="000000"/>
          <w:szCs w:val="21"/>
          <w:highlight w:val="none"/>
        </w:rPr>
        <w:t xml:space="preserve">八、有关该采购活动的澄清、修正及成交信息亦在苏州市政府采购网、江苏政府采购网上发布，请定期关注。</w:t>
      </w:r>
      <w:r>
        <w:rPr>
          <w:b/>
          <w:bCs/>
          <w:color w:val="000000"/>
          <w:szCs w:val="21"/>
          <w:highlight w:val="none"/>
        </w:rPr>
      </w:r>
      <w:r/>
    </w:p>
    <w:p>
      <w:pPr>
        <w:pStyle w:val="682"/>
        <w:jc w:val="center"/>
        <w:pageBreakBefore/>
        <w:spacing w:line="480" w:lineRule="auto"/>
        <w:rPr>
          <w:rFonts w:ascii="宋体" w:hAnsi="宋体" w:cs="宋体"/>
          <w:b/>
          <w:bCs/>
          <w:color w:val="000000"/>
          <w:sz w:val="36"/>
          <w:highlight w:val="none"/>
        </w:rPr>
        <w:outlineLvl w:val="0"/>
      </w:pPr>
      <w:r>
        <w:rPr>
          <w:rFonts w:hint="eastAsia" w:ascii="宋体" w:hAnsi="宋体" w:cs="宋体"/>
          <w:b/>
          <w:bCs/>
          <w:color w:val="000000"/>
          <w:sz w:val="36"/>
          <w:szCs w:val="36"/>
          <w:highlight w:val="none"/>
        </w:rPr>
        <w:t xml:space="preserve">第五章  评标方法与评标标准</w:t>
      </w:r>
      <w:r>
        <w:rPr>
          <w:rFonts w:ascii="宋体" w:hAnsi="宋体" w:cs="宋体"/>
          <w:b/>
          <w:bCs/>
          <w:color w:val="000000"/>
          <w:sz w:val="36"/>
          <w:highlight w:val="none"/>
        </w:rPr>
      </w:r>
      <w:r/>
    </w:p>
    <w:p>
      <w:pPr>
        <w:pStyle w:val="682"/>
        <w:ind w:firstLine="422"/>
        <w:spacing w:line="360" w:lineRule="auto"/>
        <w:rPr>
          <w:rFonts w:ascii="宋体" w:hAnsi="宋体" w:cs="宋体"/>
          <w:b/>
          <w:color w:val="000000"/>
          <w:szCs w:val="21"/>
          <w:highlight w:val="none"/>
        </w:rPr>
        <w:outlineLvl w:val="0"/>
      </w:pPr>
      <w:r>
        <w:rPr>
          <w:rFonts w:hint="eastAsia" w:ascii="宋体" w:hAnsi="宋体" w:cs="宋体"/>
          <w:b/>
          <w:color w:val="000000"/>
          <w:szCs w:val="21"/>
          <w:highlight w:val="none"/>
        </w:rPr>
        <w:t xml:space="preserve">一、评分办法</w:t>
      </w:r>
      <w:r>
        <w:rPr>
          <w:rFonts w:ascii="宋体" w:hAnsi="宋体" w:cs="宋体"/>
          <w:b/>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1.评标办法采用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。投标文件满足招标文件全部实质性要求，各标段按照评审得分由高到低顺序推荐3名中标候选供应商。</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s="宋体"/>
          <w:color w:val="000000"/>
          <w:szCs w:val="21"/>
          <w:highlight w:val="none"/>
        </w:rPr>
      </w:r>
      <w:r/>
    </w:p>
    <w:p>
      <w:pPr>
        <w:pStyle w:val="682"/>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cs="宋体"/>
          <w:b/>
          <w:color w:val="000000"/>
          <w:szCs w:val="21"/>
          <w:highlight w:val="none"/>
        </w:rPr>
        <w:t xml:space="preserve">非单一产品采购项目，多家投标人提供的核心产品品牌相同的，按照此规定处理。</w:t>
      </w:r>
      <w:r>
        <w:rPr>
          <w:rFonts w:ascii="宋体" w:hAnsi="宋体" w:cs="宋体"/>
          <w:b/>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5.针对中小型企业、残疾人福利企业和监狱企业的评审：</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本项目</w:t>
      </w:r>
      <w:r>
        <w:rPr>
          <w:rFonts w:hint="eastAsia" w:ascii="宋体" w:hAnsi="宋体" w:cs="宋体"/>
          <w:b/>
          <w:bCs/>
          <w:color w:val="000000"/>
          <w:szCs w:val="21"/>
          <w:highlight w:val="none"/>
          <w:u w:val="single"/>
        </w:rPr>
        <w:t xml:space="preserve">专门面向中小企业采购</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color w:val="000000"/>
          <w:szCs w:val="21"/>
          <w:highlight w:val="none"/>
        </w:rPr>
        <w:t xml:space="preserve">不再执行价格评审优惠的扶持政策。</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①填报“中小企业声明函”需严格按“工信部联企业〔2011〕300号通知中的《中小企业划型标准规定》进行。</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②若供应商提供的声明函或认定证明为虚假材料，按“政府采购法”相关规定处理并报请政府监管部门给予行政处罚。</w:t>
      </w:r>
      <w:r>
        <w:rPr>
          <w:rFonts w:ascii="宋体" w:hAnsi="宋体" w:cs="宋体"/>
          <w:color w:val="000000"/>
          <w:szCs w:val="21"/>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color w:val="000000"/>
          <w:highlight w:val="none"/>
        </w:rPr>
        <w:t xml:space="preserve">6</w:t>
      </w:r>
      <w:r>
        <w:rPr>
          <w:rFonts w:hint="eastAsia" w:ascii="Times New Roman" w:hAnsi="Times New Roman"/>
          <w:color w:val="000000"/>
          <w:highlight w:val="none"/>
        </w:rPr>
        <w:t xml:space="preserve">.根据苏财购〔2025〕62号文件要求，关于推动解决政府采购异常低价问题相关工作的通知，对异常低价响应进行审查：</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①评审过程中出现下列情形之一的，评审委员会应当启动异常低价响应审查程序：</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A.</w:t>
      </w:r>
      <w:r>
        <w:rPr>
          <w:rFonts w:hint="eastAsia" w:ascii="宋体" w:hAnsi="宋体" w:cs="宋体"/>
          <w:b/>
          <w:color w:val="000000"/>
          <w:szCs w:val="21"/>
          <w:highlight w:val="none"/>
        </w:rPr>
        <w:t xml:space="preserve">投标报价低于全部通过符合性审查供应商投标报价平均值50%的，即投标报价&lt;全部通过符合性审查供应商投标报价平均值×50%</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B.</w:t>
      </w:r>
      <w:r>
        <w:rPr>
          <w:rFonts w:hint="eastAsia" w:ascii="宋体" w:hAnsi="宋体" w:cs="宋体"/>
          <w:b/>
          <w:color w:val="000000"/>
          <w:szCs w:val="21"/>
          <w:highlight w:val="none"/>
        </w:rPr>
        <w:t xml:space="preserve">投标报价低于通过符合性审查的次低报价供应商投标报价50%的，即投标报价&lt;通过符合性审查的次低报价供应商投标报价×50%</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682"/>
        <w:ind w:firstLine="420"/>
        <w:spacing w:line="360" w:lineRule="auto"/>
        <w:tabs>
          <w:tab w:val="left" w:pos="420" w:leader="none"/>
          <w:tab w:val="left" w:pos="540" w:leader="none"/>
        </w:tabs>
        <w:rPr>
          <w:rFonts w:ascii="Times New Roman" w:hAnsi="Times New Roman"/>
          <w:color w:val="000000"/>
          <w:highlight w:val="none"/>
        </w:rPr>
      </w:pPr>
      <w:r>
        <w:rPr>
          <w:rFonts w:hint="eastAsia" w:ascii="Times New Roman" w:hAnsi="Times New Roman"/>
          <w:color w:val="000000"/>
          <w:highlight w:val="none"/>
        </w:rPr>
        <w:t xml:space="preserve">C.</w:t>
      </w:r>
      <w:r>
        <w:rPr>
          <w:rFonts w:hint="eastAsia" w:ascii="宋体" w:hAnsi="宋体" w:cs="宋体"/>
          <w:b/>
          <w:color w:val="000000"/>
          <w:szCs w:val="21"/>
          <w:highlight w:val="none"/>
        </w:rPr>
        <w:t xml:space="preserve">投标报价低于采购项目最高限价45%的，即投标报价&lt;采购项目最高限价×45%</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682"/>
        <w:ind w:firstLine="420"/>
        <w:spacing w:line="360" w:lineRule="auto"/>
        <w:rPr>
          <w:rFonts w:ascii="Times New Roman" w:hAnsi="Times New Roman"/>
          <w:color w:val="000000"/>
          <w:highlight w:val="none"/>
        </w:rPr>
      </w:pPr>
      <w:r>
        <w:rPr>
          <w:rFonts w:hint="eastAsia" w:ascii="Times New Roman" w:hAnsi="Times New Roman"/>
          <w:color w:val="000000"/>
          <w:highlight w:val="none"/>
        </w:rPr>
        <w:t xml:space="preserve">D.</w:t>
      </w:r>
      <w:r>
        <w:rPr>
          <w:rFonts w:hint="eastAsia" w:ascii="宋体" w:hAnsi="宋体" w:cs="宋体"/>
          <w:b/>
          <w:color w:val="000000"/>
          <w:szCs w:val="21"/>
          <w:highlight w:val="none"/>
        </w:rPr>
        <w:t xml:space="preserve">评标委员会基于专业判断，认为供应商报价过低，有可能影响产品质量或者不能诚信履约的其他情形。</w:t>
      </w:r>
      <w:r>
        <w:rPr>
          <w:rFonts w:ascii="Times New Roman" w:hAnsi="Times New Roman"/>
          <w:color w:val="000000"/>
          <w:highlight w:val="none"/>
        </w:rPr>
      </w:r>
      <w:r/>
    </w:p>
    <w:p>
      <w:pPr>
        <w:pStyle w:val="682"/>
        <w:ind w:firstLine="420"/>
        <w:spacing w:line="360" w:lineRule="auto"/>
        <w:rPr>
          <w:color w:val="000000"/>
          <w:highlight w:val="none"/>
          <w:shd w:val="clear" w:color="auto" w:fill="ffffff"/>
        </w:rPr>
      </w:pPr>
      <w:r>
        <w:rPr>
          <w:rFonts w:hint="eastAsia" w:ascii="Times New Roman" w:hAnsi="Times New Roman"/>
          <w:color w:val="000000"/>
          <w:highlight w:val="none"/>
        </w:rPr>
        <w:t xml:space="preserve">②</w:t>
      </w:r>
      <w:r>
        <w:rPr>
          <w:rFonts w:hint="eastAsia" w:ascii="宋体" w:hAnsi="宋体"/>
          <w:b/>
          <w:color w:val="000000"/>
          <w:szCs w:val="21"/>
          <w:highlight w:val="none"/>
        </w:rPr>
        <w:t xml:space="preserve">启动异常低价投标审查后，</w:t>
      </w:r>
      <w:bookmarkStart w:id="6" w:name="OLE_LINK1"/>
      <w:r>
        <w:rPr>
          <w:rFonts w:hint="eastAsia" w:ascii="宋体" w:hAnsi="宋体"/>
          <w:b/>
          <w:color w:val="000000"/>
          <w:szCs w:val="21"/>
          <w:highlight w:val="none"/>
        </w:rPr>
        <w:t xml:space="preserve">评标委员会</w:t>
      </w:r>
      <w:bookmarkEnd w:id="6"/>
      <w:r>
        <w:rPr>
          <w:rFonts w:hint="eastAsia" w:ascii="宋体" w:hAnsi="宋体"/>
          <w:b/>
          <w:color w:val="000000"/>
          <w:szCs w:val="21"/>
          <w:highlight w:val="none"/>
        </w:rPr>
        <w:t xml:space="preserve">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第</w:t>
      </w:r>
      <w:r>
        <w:rPr>
          <w:rFonts w:hint="eastAsia" w:ascii="Times New Roman" w:hAnsi="Times New Roman"/>
          <w:color w:val="000000"/>
          <w:highlight w:val="none"/>
        </w:rPr>
        <w:t xml:space="preserve">C</w:t>
      </w:r>
      <w:r>
        <w:rPr>
          <w:rFonts w:hint="eastAsia" w:ascii="宋体" w:hAnsi="宋体"/>
          <w:b/>
          <w:color w:val="000000"/>
          <w:szCs w:val="21"/>
          <w:highlight w:val="none"/>
        </w:rPr>
        <w:t xml:space="preserve">项情形，供应商已随投标文件一并提交相关书面说明及必要的证明材料的，在评审现场可不再重复提交。</w:t>
      </w:r>
      <w:r>
        <w:rPr>
          <w:color w:val="000000"/>
          <w:highlight w:val="none"/>
          <w:shd w:val="clear" w:color="auto" w:fill="ffffff"/>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③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hint="eastAsia" w:ascii="宋体" w:hAnsi="宋体" w:cs="宋体"/>
          <w:b/>
          <w:color w:val="000000"/>
          <w:szCs w:val="21"/>
          <w:highlight w:val="none"/>
          <w:lang w:val="en-US"/>
        </w:rPr>
        <w:t xml:space="preserve">④</w:t>
      </w:r>
      <w:r>
        <w:rPr>
          <w:rFonts w:hint="eastAsia" w:ascii="宋体" w:hAnsi="宋体"/>
          <w:b/>
          <w:color w:val="000000"/>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b/>
          <w:color w:val="000000"/>
          <w:szCs w:val="21"/>
          <w:highlight w:val="none"/>
          <w:lang w:val="en-US"/>
        </w:rPr>
      </w:r>
      <w:r/>
    </w:p>
    <w:p>
      <w:pPr>
        <w:pStyle w:val="1053"/>
        <w:ind w:firstLine="422"/>
        <w:spacing w:line="360" w:lineRule="auto"/>
        <w:rPr>
          <w:rFonts w:ascii="宋体" w:hAnsi="宋体" w:cs="宋体"/>
          <w:b/>
          <w:color w:val="000000"/>
          <w:szCs w:val="21"/>
          <w:highlight w:val="none"/>
          <w:lang w:val="en-US"/>
        </w:rPr>
      </w:pPr>
      <w:r>
        <w:rPr>
          <w:rFonts w:hint="eastAsia" w:ascii="宋体" w:hAnsi="宋体"/>
          <w:b/>
          <w:color w:val="000000"/>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b/>
          <w:color w:val="000000"/>
          <w:szCs w:val="21"/>
          <w:highlight w:val="none"/>
          <w:lang w:val="en-US"/>
        </w:rPr>
      </w:r>
      <w:r/>
    </w:p>
    <w:p>
      <w:pPr>
        <w:pStyle w:val="682"/>
        <w:ind w:firstLine="42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w:t>
      </w:r>
      <w:r>
        <w:rPr>
          <w:rFonts w:hint="eastAsia" w:ascii="宋体" w:hAnsi="宋体"/>
          <w:color w:val="000000"/>
          <w:highlight w:val="none"/>
        </w:rPr>
        <w:t xml:space="preserve">采购本国产品的支持政策</w:t>
      </w:r>
      <w:r>
        <w:rPr>
          <w:rFonts w:ascii="宋体" w:hAnsi="宋体"/>
          <w:color w:val="000000"/>
          <w:highlight w:val="none"/>
        </w:rPr>
      </w:r>
      <w:r/>
    </w:p>
    <w:p>
      <w:pPr>
        <w:pStyle w:val="682"/>
        <w:ind w:firstLine="420"/>
        <w:spacing w:line="360" w:lineRule="auto"/>
        <w:rPr>
          <w:rFonts w:ascii="宋体" w:hAnsi="宋体"/>
          <w:color w:val="000000"/>
          <w:szCs w:val="21"/>
          <w:highlight w:val="none"/>
        </w:rPr>
      </w:pPr>
      <w:r/>
      <w:bookmarkStart w:id="7" w:name="OLE_LINK17"/>
      <w:r/>
      <w:bookmarkStart w:id="8" w:name="OLE_LINK25"/>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000000"/>
          <w:szCs w:val="21"/>
          <w:highlight w:val="none"/>
          <w:u w:val="single"/>
        </w:rPr>
        <w:t xml:space="preserve">20%</w:t>
      </w:r>
      <w:r>
        <w:rPr>
          <w:rFonts w:hint="eastAsia" w:ascii="宋体" w:hAnsi="宋体"/>
          <w:color w:val="000000"/>
          <w:szCs w:val="21"/>
          <w:highlight w:val="none"/>
        </w:rPr>
        <w:t xml:space="preserve">的价格扣除，用扣除后的价格参与评审。</w:t>
      </w:r>
      <w:r>
        <w:rPr>
          <w:rFonts w:ascii="宋体" w:hAnsi="宋体"/>
          <w:color w:val="000000"/>
          <w:szCs w:val="21"/>
          <w:highlight w:val="none"/>
        </w:rPr>
      </w:r>
      <w:r/>
    </w:p>
    <w:p>
      <w:pPr>
        <w:pStyle w:val="682"/>
        <w:ind w:firstLine="420"/>
        <w:spacing w:line="360" w:lineRule="auto"/>
        <w:rPr>
          <w:rFonts w:ascii="宋体" w:hAnsi="宋体"/>
          <w:b/>
          <w:color w:val="000000"/>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.2</w:t>
      </w:r>
      <w:r>
        <w:rPr>
          <w:rFonts w:hint="eastAsia" w:ascii="宋体" w:hAnsi="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000000"/>
          <w:szCs w:val="21"/>
          <w:highlight w:val="none"/>
        </w:rPr>
        <w:t xml:space="preserve">3</w:t>
      </w:r>
      <w:r>
        <w:rPr>
          <w:rFonts w:hint="eastAsia" w:ascii="宋体" w:hAnsi="宋体"/>
          <w:color w:val="000000"/>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000000"/>
          <w:szCs w:val="21"/>
          <w:highlight w:val="none"/>
          <w:u w:val="single"/>
        </w:rPr>
        <w:t xml:space="preserve">20%</w:t>
      </w:r>
      <w:r>
        <w:rPr>
          <w:rFonts w:hint="eastAsia" w:ascii="宋体" w:hAnsi="宋体"/>
          <w:color w:val="000000"/>
          <w:szCs w:val="21"/>
          <w:highlight w:val="none"/>
        </w:rPr>
        <w:t xml:space="preserve">的价格扣除，用扣除后的价格参与评审。</w:t>
      </w:r>
      <w:bookmarkStart w:id="9" w:name="OLE_LINK26"/>
      <w:r>
        <w:rPr>
          <w:rFonts w:hint="eastAsia" w:ascii="宋体" w:hAnsi="宋体"/>
          <w:b/>
          <w:color w:val="000000"/>
          <w:szCs w:val="21"/>
          <w:highlight w:val="none"/>
        </w:rPr>
        <w:t xml:space="preserve">供应商未填写比例数值，或比例数值未达到</w:t>
      </w:r>
      <w:r>
        <w:rPr>
          <w:rFonts w:hint="eastAsia" w:ascii="宋体" w:hAnsi="宋体"/>
          <w:b/>
          <w:color w:val="000000"/>
          <w:szCs w:val="21"/>
          <w:highlight w:val="none"/>
          <w:u w:val="single"/>
        </w:rPr>
        <w:t xml:space="preserve">80%</w:t>
      </w:r>
      <w:r>
        <w:rPr>
          <w:rFonts w:hint="eastAsia" w:ascii="宋体" w:hAnsi="宋体"/>
          <w:b/>
          <w:color w:val="000000"/>
          <w:szCs w:val="21"/>
          <w:highlight w:val="none"/>
        </w:rPr>
        <w:t xml:space="preserve">的，将不享受本国产品价格评审优惠。</w:t>
      </w:r>
      <w:bookmarkEnd w:id="7"/>
      <w:r/>
      <w:bookmarkEnd w:id="8"/>
      <w:r/>
      <w:bookmarkEnd w:id="9"/>
      <w:r>
        <w:rPr>
          <w:rFonts w:hint="eastAsia" w:ascii="宋体" w:hAnsi="宋体"/>
          <w:b/>
          <w:color w:val="000000"/>
          <w:szCs w:val="21"/>
          <w:highlight w:val="none"/>
        </w:rPr>
        <w:t xml:space="preserve">本项目不接受进口产品。</w:t>
      </w:r>
      <w:r>
        <w:rPr>
          <w:rFonts w:ascii="宋体" w:hAnsi="宋体"/>
          <w:b/>
          <w:color w:val="000000"/>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w:t>
      </w:r>
      <w:r>
        <w:rPr>
          <w:rFonts w:hint="eastAsia" w:ascii="宋体" w:hAnsi="宋体"/>
          <w:color w:val="000000"/>
          <w:szCs w:val="21"/>
          <w:highlight w:val="none"/>
        </w:rPr>
        <w:t xml:space="preserve">3供应商需按照招标文件的要求对其提供的产品出具《关于符合本国产品标准的声明函》（以下简称《声明函》），如不提供将不享受本国产品价格评审优惠。</w:t>
      </w:r>
      <w:r>
        <w:rPr>
          <w:rFonts w:ascii="宋体" w:hAnsi="宋体"/>
          <w:color w:val="000000"/>
          <w:szCs w:val="21"/>
          <w:highlight w:val="none"/>
        </w:rPr>
      </w:r>
      <w:r/>
    </w:p>
    <w:p>
      <w:pPr>
        <w:pStyle w:val="68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7.4 供应商需在《声明函》中逐一、准确填写产品名称、厂名、生产厂址三项信息，三项信息中任意一项未填写的视为该项产品不符合本国产品标准，不享受本国产品价格评审优惠。 </w:t>
      </w:r>
      <w:r>
        <w:rPr>
          <w:rFonts w:ascii="宋体" w:hAnsi="宋体"/>
          <w:b/>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olor w:val="000000"/>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color w:val="000000"/>
          <w:szCs w:val="21"/>
          <w:highlight w:val="none"/>
        </w:rPr>
      </w:r>
      <w:r/>
    </w:p>
    <w:p>
      <w:pPr>
        <w:pStyle w:val="682"/>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二、评分标准：</w:t>
      </w:r>
      <w:r>
        <w:rPr>
          <w:rFonts w:ascii="宋体" w:hAnsi="宋体" w:cs="宋体"/>
          <w:b/>
          <w:bCs/>
          <w:color w:val="000000"/>
          <w:szCs w:val="21"/>
          <w:highlight w:val="none"/>
        </w:rPr>
      </w:r>
      <w:r/>
    </w:p>
    <w:p>
      <w:pPr>
        <w:pStyle w:val="682"/>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（一）价格分（最高</w:t>
      </w:r>
      <w:r>
        <w:rPr>
          <w:rFonts w:hint="eastAsia" w:ascii="宋体" w:hAnsi="宋体" w:cs="宋体"/>
          <w:b/>
          <w:bCs/>
          <w:color w:val="000000"/>
          <w:szCs w:val="21"/>
          <w:highlight w:val="none"/>
        </w:rPr>
        <w:t xml:space="preserve">为50</w:t>
      </w:r>
      <w:r>
        <w:rPr>
          <w:rFonts w:hint="eastAsia" w:ascii="宋体" w:hAnsi="宋体" w:cs="宋体"/>
          <w:b/>
          <w:bCs/>
          <w:color w:val="000000"/>
          <w:szCs w:val="21"/>
          <w:highlight w:val="none"/>
          <w:lang w:val="zh-CN"/>
        </w:rPr>
        <w:t xml:space="preserve">分）</w:t>
      </w:r>
      <w:r>
        <w:rPr>
          <w:rFonts w:ascii="宋体" w:hAnsi="宋体" w:cs="宋体"/>
          <w:b/>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第一步：</w:t>
      </w:r>
      <w:r>
        <w:rPr>
          <w:rFonts w:hint="eastAsia" w:ascii="宋体" w:hAnsi="宋体" w:cs="宋体"/>
          <w:color w:val="000000"/>
          <w:szCs w:val="21"/>
          <w:highlight w:val="none"/>
          <w:lang w:bidi="ar"/>
        </w:rPr>
        <w:t xml:space="preserve">投标报价低于或等于最高限价的，为有效投标报价。超最高限价的投标报价为无效投标报价。无效投标报价的响应文件不进行评审，也不得标。</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第二步：</w:t>
      </w:r>
      <w:r>
        <w:rPr>
          <w:rFonts w:hint="eastAsia" w:ascii="宋体" w:hAnsi="宋体" w:cs="宋体"/>
          <w:color w:val="000000"/>
          <w:szCs w:val="21"/>
          <w:highlight w:val="none"/>
          <w:lang w:bidi="ar"/>
        </w:rPr>
        <w:t xml:space="preserve">在所有有效投标报价中满足采购文件要求，且投标价格最低的投标报价为评标基准价，其价格分为满分。其他响应单位的价格分按照下列公式计算（计算结果四舍五入保留两位小数）。</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投标报价得分＝（评标基准价/投标报价）×</w:t>
      </w:r>
      <w:r>
        <w:rPr>
          <w:rFonts w:hint="eastAsia" w:ascii="宋体" w:hAnsi="宋体" w:cs="宋体"/>
          <w:bCs/>
          <w:color w:val="000000"/>
          <w:szCs w:val="21"/>
          <w:highlight w:val="none"/>
        </w:rPr>
        <w:t xml:space="preserve">5</w:t>
      </w:r>
      <w:r>
        <w:rPr>
          <w:rFonts w:hint="eastAsia" w:ascii="宋体" w:hAnsi="宋体" w:cs="宋体"/>
          <w:bCs/>
          <w:color w:val="000000"/>
          <w:szCs w:val="21"/>
          <w:highlight w:val="none"/>
          <w:lang w:val="zh-CN"/>
        </w:rPr>
        <w:t xml:space="preserve">0％×100</w:t>
      </w:r>
      <w:r>
        <w:rPr>
          <w:rFonts w:ascii="宋体" w:hAnsi="宋体" w:cs="宋体"/>
          <w:bCs/>
          <w:color w:val="000000"/>
          <w:szCs w:val="21"/>
          <w:highlight w:val="none"/>
          <w:lang w:val="zh-CN"/>
        </w:rPr>
      </w:r>
      <w:r/>
    </w:p>
    <w:p>
      <w:pPr>
        <w:pStyle w:val="682"/>
        <w:spacing w:line="360" w:lineRule="auto"/>
        <w:tabs>
          <w:tab w:val="left" w:pos="567" w:leader="none"/>
        </w:tabs>
        <w:rPr>
          <w:rFonts w:ascii="宋体" w:hAnsi="宋体" w:cs="宋体"/>
          <w:b/>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color w:val="000000"/>
          <w:szCs w:val="21"/>
          <w:highlight w:val="none"/>
        </w:rPr>
        <w:t xml:space="preserve">服务实施方案（35分）</w:t>
      </w:r>
      <w:r>
        <w:rPr>
          <w:rFonts w:ascii="宋体" w:hAnsi="宋体" w:cs="宋体"/>
          <w:b/>
          <w:color w:val="000000"/>
          <w:szCs w:val="21"/>
          <w:highlight w:val="none"/>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1、采购需求响应时间（</w:t>
      </w:r>
      <w:r>
        <w:rPr>
          <w:rFonts w:ascii="宋体" w:hAnsi="宋体" w:cs="宋体"/>
          <w:bCs/>
          <w:color w:val="000000"/>
          <w:szCs w:val="21"/>
          <w:highlight w:val="none"/>
          <w:lang w:val="zh-CN"/>
        </w:rPr>
        <w:t xml:space="preserve">5</w:t>
      </w:r>
      <w:r>
        <w:rPr>
          <w:rFonts w:hint="eastAsia" w:ascii="宋体" w:hAnsi="宋体" w:cs="宋体"/>
          <w:bCs/>
          <w:color w:val="000000"/>
          <w:szCs w:val="21"/>
          <w:highlight w:val="none"/>
          <w:lang w:val="zh-CN"/>
        </w:rPr>
        <w:t xml:space="preserve">分）：</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对响应即时性、准确性进行比较。承诺响应时间最及时、反馈准确的得</w:t>
      </w:r>
      <w:r>
        <w:rPr>
          <w:rFonts w:ascii="宋体" w:hAnsi="宋体" w:cs="宋体"/>
          <w:bCs/>
          <w:color w:val="000000"/>
          <w:szCs w:val="21"/>
          <w:highlight w:val="none"/>
          <w:lang w:val="zh-CN"/>
        </w:rPr>
        <w:t xml:space="preserve">5</w:t>
      </w:r>
      <w:r>
        <w:rPr>
          <w:rFonts w:hint="eastAsia" w:ascii="宋体" w:hAnsi="宋体" w:cs="宋体"/>
          <w:bCs/>
          <w:color w:val="000000"/>
          <w:szCs w:val="21"/>
          <w:highlight w:val="none"/>
          <w:lang w:val="zh-CN"/>
        </w:rPr>
        <w:t xml:space="preserve">分，承诺响应时间比较及时合理得</w:t>
      </w:r>
      <w:r>
        <w:rPr>
          <w:rFonts w:ascii="宋体" w:hAnsi="宋体" w:cs="宋体"/>
          <w:bCs/>
          <w:color w:val="000000"/>
          <w:szCs w:val="21"/>
          <w:highlight w:val="none"/>
          <w:lang w:val="zh-CN"/>
        </w:rPr>
        <w:t xml:space="preserve">3</w:t>
      </w:r>
      <w:r>
        <w:rPr>
          <w:rFonts w:hint="eastAsia" w:ascii="宋体" w:hAnsi="宋体" w:cs="宋体"/>
          <w:bCs/>
          <w:color w:val="000000"/>
          <w:szCs w:val="21"/>
          <w:highlight w:val="none"/>
          <w:lang w:val="zh-CN"/>
        </w:rPr>
        <w:t xml:space="preserve">分，承诺响应时间较长、反馈含糊的得</w:t>
      </w:r>
      <w:r>
        <w:rPr>
          <w:rFonts w:ascii="宋体" w:hAnsi="宋体" w:cs="宋体"/>
          <w:bCs/>
          <w:color w:val="000000"/>
          <w:szCs w:val="21"/>
          <w:highlight w:val="none"/>
          <w:lang w:val="zh-CN"/>
        </w:rPr>
        <w:t xml:space="preserve">1</w:t>
      </w:r>
      <w:r>
        <w:rPr>
          <w:rFonts w:hint="eastAsia" w:ascii="宋体" w:hAnsi="宋体" w:cs="宋体"/>
          <w:bCs/>
          <w:color w:val="000000"/>
          <w:szCs w:val="21"/>
          <w:highlight w:val="none"/>
          <w:lang w:val="zh-CN"/>
        </w:rPr>
        <w:t xml:space="preserve">分，无承诺的不得分；</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2、服务保障体系（10分）</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根据方案详细性、合理性、可行性进行评定，方案详细具体、合理可行的得10分；</w:t>
      </w:r>
      <w:r>
        <w:rPr>
          <w:rFonts w:hint="eastAsia" w:ascii="宋体" w:hAnsi="宋体" w:cs="宋体"/>
          <w:bCs/>
          <w:color w:val="000000"/>
          <w:szCs w:val="21"/>
          <w:highlight w:val="none"/>
        </w:rPr>
        <w:t xml:space="preserve">方案较为全面、合理性及可行性良好得7分；</w:t>
      </w:r>
      <w:r>
        <w:rPr>
          <w:rFonts w:hint="eastAsia" w:ascii="宋体" w:hAnsi="宋体" w:cs="宋体"/>
          <w:bCs/>
          <w:color w:val="000000"/>
          <w:szCs w:val="21"/>
          <w:highlight w:val="none"/>
          <w:lang w:val="zh-CN"/>
        </w:rPr>
        <w:t xml:space="preserve">方案简略、基本合理可行的得</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CN"/>
        </w:rPr>
        <w:t xml:space="preserve">分；方案模糊、合理性及可行性有所欠缺的得</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分、未提供相关内容的不得分。</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3、应急预案（10分）</w:t>
      </w:r>
      <w:r>
        <w:rPr>
          <w:rFonts w:ascii="宋体" w:hAnsi="宋体" w:cs="宋体"/>
          <w:bCs/>
          <w:color w:val="000000"/>
          <w:szCs w:val="21"/>
          <w:highlight w:val="none"/>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针对可能影响项目履约的常见突发情况，提供详细应急预案。制定了全面且系统的应急预案，涵盖快速响应机制、可靠的解决途径、执行可行性高，得10分；</w:t>
      </w:r>
      <w:r>
        <w:rPr>
          <w:rFonts w:hint="eastAsia" w:ascii="宋体" w:hAnsi="宋体" w:cs="宋体"/>
          <w:bCs/>
          <w:color w:val="000000"/>
          <w:szCs w:val="21"/>
          <w:highlight w:val="none"/>
        </w:rPr>
        <w:t xml:space="preserve">有较为完整的应急预案，可操作性良好，响应及执行较快，得7分；</w:t>
      </w:r>
      <w:r>
        <w:rPr>
          <w:rFonts w:hint="eastAsia" w:ascii="宋体" w:hAnsi="宋体" w:cs="宋体"/>
          <w:bCs/>
          <w:color w:val="000000"/>
          <w:szCs w:val="21"/>
          <w:highlight w:val="none"/>
          <w:lang w:val="zh-CN"/>
        </w:rPr>
        <w:t xml:space="preserve">有基本的应对方案，能对突发情况做出反应并提出解决办法，关键环节存在不足，执行可行性一般，得</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CN"/>
        </w:rPr>
        <w:t xml:space="preserve">分；仅有简单的应对思路，没有形成具体、可操作的计划，在关键环节缺乏有效措施，得</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分；</w:t>
      </w:r>
      <w:r>
        <w:rPr>
          <w:rFonts w:hint="eastAsia" w:ascii="宋体" w:hAnsi="宋体" w:cs="宋体"/>
          <w:bCs/>
          <w:color w:val="000000"/>
          <w:szCs w:val="21"/>
          <w:highlight w:val="none"/>
        </w:rPr>
        <w:t xml:space="preserve">未</w:t>
      </w:r>
      <w:r>
        <w:rPr>
          <w:rFonts w:hint="eastAsia" w:ascii="宋体" w:hAnsi="宋体" w:cs="宋体"/>
          <w:bCs/>
          <w:color w:val="000000"/>
          <w:szCs w:val="21"/>
          <w:highlight w:val="none"/>
          <w:lang w:val="zh-CN"/>
        </w:rPr>
        <w:t xml:space="preserve">提供</w:t>
      </w:r>
      <w:r>
        <w:rPr>
          <w:rFonts w:hint="eastAsia" w:ascii="宋体" w:hAnsi="宋体" w:cs="宋体"/>
          <w:bCs/>
          <w:color w:val="000000"/>
          <w:szCs w:val="21"/>
          <w:highlight w:val="none"/>
        </w:rPr>
        <w:t xml:space="preserve">相关内容</w:t>
      </w:r>
      <w:r>
        <w:rPr>
          <w:rFonts w:hint="eastAsia" w:ascii="宋体" w:hAnsi="宋体" w:cs="宋体"/>
          <w:bCs/>
          <w:color w:val="000000"/>
          <w:szCs w:val="21"/>
          <w:highlight w:val="none"/>
          <w:lang w:val="zh-CN"/>
        </w:rPr>
        <w:t xml:space="preserve">不得分。</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CN"/>
        </w:rPr>
        <w:t xml:space="preserve">、产品质量保障措施</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10</w:t>
      </w:r>
      <w:r>
        <w:rPr>
          <w:rFonts w:ascii="宋体" w:hAnsi="宋体" w:cs="宋体"/>
          <w:bCs/>
          <w:color w:val="000000"/>
          <w:szCs w:val="21"/>
          <w:highlight w:val="none"/>
          <w:lang w:val="zh-CN"/>
        </w:rPr>
        <w:t xml:space="preserve">分）</w:t>
      </w:r>
      <w:r>
        <w:rPr>
          <w:rFonts w:ascii="宋体" w:hAnsi="宋体" w:cs="宋体"/>
          <w:bCs/>
          <w:color w:val="000000"/>
          <w:szCs w:val="21"/>
          <w:highlight w:val="none"/>
          <w:lang w:val="zh-CN"/>
        </w:rPr>
      </w:r>
      <w:r/>
    </w:p>
    <w:p>
      <w:pPr>
        <w:pStyle w:val="68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rPr>
        <w:t xml:space="preserve">针对投标单位对所供耗材的质量保障控制措施方案</w:t>
      </w:r>
      <w:r>
        <w:rPr>
          <w:rFonts w:ascii="宋体" w:hAnsi="宋体" w:cs="宋体"/>
          <w:bCs/>
          <w:color w:val="000000"/>
          <w:szCs w:val="21"/>
          <w:highlight w:val="none"/>
          <w:lang w:val="zh-CN"/>
        </w:rPr>
        <w:t xml:space="preserve">：</w:t>
      </w:r>
      <w:r>
        <w:rPr>
          <w:rFonts w:hint="eastAsia" w:ascii="宋体" w:hAnsi="宋体" w:cs="宋体"/>
          <w:bCs/>
          <w:color w:val="000000"/>
          <w:szCs w:val="21"/>
          <w:highlight w:val="none"/>
        </w:rPr>
        <w:t xml:space="preserve">包括但不限于产品来源渠道证明、批次质量检验流程等；方案全面科学、针对性可操作性强</w:t>
      </w:r>
      <w:r>
        <w:rPr>
          <w:rFonts w:hint="eastAsia" w:ascii="宋体" w:hAnsi="宋体" w:cs="宋体"/>
          <w:bCs/>
          <w:color w:val="000000"/>
          <w:szCs w:val="21"/>
          <w:highlight w:val="none"/>
          <w:lang w:val="zh-CN"/>
        </w:rPr>
        <w:t xml:space="preserve">，得</w:t>
      </w:r>
      <w:r>
        <w:rPr>
          <w:rFonts w:hint="eastAsia" w:ascii="宋体" w:hAnsi="宋体" w:cs="宋体"/>
          <w:bCs/>
          <w:color w:val="000000"/>
          <w:szCs w:val="21"/>
          <w:highlight w:val="none"/>
        </w:rPr>
        <w:t xml:space="preserve">10</w:t>
      </w:r>
      <w:r>
        <w:rPr>
          <w:rFonts w:hint="eastAsia" w:ascii="宋体" w:hAnsi="宋体" w:cs="宋体"/>
          <w:bCs/>
          <w:color w:val="000000"/>
          <w:szCs w:val="21"/>
          <w:highlight w:val="none"/>
          <w:lang w:val="zh-CN"/>
        </w:rPr>
        <w:t xml:space="preserve">分；</w:t>
      </w:r>
      <w:r>
        <w:rPr>
          <w:rFonts w:hint="eastAsia" w:ascii="宋体" w:hAnsi="宋体" w:cs="宋体"/>
          <w:bCs/>
          <w:color w:val="000000"/>
          <w:szCs w:val="21"/>
          <w:highlight w:val="none"/>
        </w:rPr>
        <w:t xml:space="preserve">方案较全，针对性及可操作性良好得7分；</w:t>
      </w:r>
      <w:r>
        <w:rPr>
          <w:rFonts w:hint="eastAsia" w:ascii="宋体" w:hAnsi="宋体" w:cs="宋体"/>
          <w:bCs/>
          <w:color w:val="000000"/>
          <w:szCs w:val="21"/>
          <w:highlight w:val="none"/>
          <w:lang w:val="zh-CN"/>
        </w:rPr>
        <w:t xml:space="preserve">方案基本合理，</w:t>
      </w:r>
      <w:r>
        <w:rPr>
          <w:rFonts w:hint="eastAsia" w:ascii="宋体" w:hAnsi="宋体" w:cs="宋体"/>
          <w:bCs/>
          <w:color w:val="000000"/>
          <w:szCs w:val="21"/>
          <w:highlight w:val="none"/>
        </w:rPr>
        <w:t xml:space="preserve">针对性可操作性一般</w:t>
      </w:r>
      <w:r>
        <w:rPr>
          <w:rFonts w:hint="eastAsia" w:ascii="宋体" w:hAnsi="宋体" w:cs="宋体"/>
          <w:bCs/>
          <w:color w:val="000000"/>
          <w:szCs w:val="21"/>
          <w:highlight w:val="none"/>
          <w:lang w:val="zh-CN"/>
        </w:rPr>
        <w:t xml:space="preserve">得</w:t>
      </w:r>
      <w:r>
        <w:rPr>
          <w:rFonts w:hint="eastAsia" w:ascii="宋体" w:hAnsi="宋体" w:cs="宋体"/>
          <w:bCs/>
          <w:color w:val="000000"/>
          <w:szCs w:val="21"/>
          <w:highlight w:val="none"/>
        </w:rPr>
        <w:t xml:space="preserve">4</w:t>
      </w:r>
      <w:r>
        <w:rPr>
          <w:rFonts w:hint="eastAsia" w:ascii="宋体" w:hAnsi="宋体" w:cs="宋体"/>
          <w:bCs/>
          <w:color w:val="000000"/>
          <w:szCs w:val="21"/>
          <w:highlight w:val="none"/>
          <w:lang w:val="zh-CN"/>
        </w:rPr>
        <w:t xml:space="preserve">分；方案模糊或仅口头承诺无具体措施，得</w:t>
      </w: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zh-CN"/>
        </w:rPr>
        <w:t xml:space="preserve">分；未提供</w:t>
      </w:r>
      <w:r>
        <w:rPr>
          <w:rFonts w:hint="eastAsia" w:ascii="宋体" w:hAnsi="宋体" w:cs="宋体"/>
          <w:bCs/>
          <w:color w:val="000000"/>
          <w:szCs w:val="21"/>
          <w:highlight w:val="none"/>
        </w:rPr>
        <w:t xml:space="preserve">相关内容</w:t>
      </w:r>
      <w:r>
        <w:rPr>
          <w:rFonts w:hint="eastAsia" w:ascii="宋体" w:hAnsi="宋体" w:cs="宋体"/>
          <w:bCs/>
          <w:color w:val="000000"/>
          <w:szCs w:val="21"/>
          <w:highlight w:val="none"/>
          <w:lang w:val="zh-CN"/>
        </w:rPr>
        <w:t xml:space="preserve">不得分。</w:t>
      </w:r>
      <w:r>
        <w:rPr>
          <w:rFonts w:ascii="宋体" w:hAnsi="宋体" w:cs="宋体"/>
          <w:bCs/>
          <w:color w:val="000000"/>
          <w:szCs w:val="21"/>
          <w:highlight w:val="none"/>
          <w:lang w:val="zh-CN"/>
        </w:rPr>
      </w:r>
      <w:r/>
    </w:p>
    <w:p>
      <w:pPr>
        <w:pStyle w:val="682"/>
        <w:ind w:firstLine="211"/>
        <w:spacing w:line="360" w:lineRule="auto"/>
        <w:tabs>
          <w:tab w:val="left" w:pos="567" w:leader="none"/>
        </w:tabs>
        <w:rPr>
          <w:rFonts w:ascii="宋体" w:hAnsi="宋体" w:cs="宋体"/>
          <w:b/>
          <w:color w:val="000000"/>
          <w:szCs w:val="21"/>
          <w:highlight w:val="none"/>
        </w:rPr>
      </w:pPr>
      <w:r>
        <w:rPr>
          <w:rFonts w:hint="eastAsia" w:ascii="宋体" w:hAnsi="宋体" w:cs="宋体"/>
          <w:b/>
          <w:color w:val="000000"/>
          <w:szCs w:val="21"/>
          <w:highlight w:val="none"/>
        </w:rPr>
        <w:t xml:space="preserve">（三）类似业绩（15分）</w:t>
      </w:r>
      <w:r>
        <w:rPr>
          <w:rFonts w:ascii="宋体" w:hAnsi="宋体" w:cs="宋体"/>
          <w:b/>
          <w:color w:val="000000"/>
          <w:szCs w:val="21"/>
          <w:highlight w:val="none"/>
        </w:rPr>
      </w:r>
      <w:r/>
    </w:p>
    <w:p>
      <w:pPr>
        <w:pStyle w:val="682"/>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投标单位202</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年1月1日（以合同签订日期为准）以来类似项目业绩，每提供一份得5分，共15分。（投标文件中提供完整业绩合同扫描件）</w:t>
      </w:r>
      <w:r>
        <w:rPr>
          <w:rFonts w:ascii="宋体" w:hAnsi="宋体" w:cs="宋体"/>
          <w:bCs/>
          <w:color w:val="000000"/>
          <w:szCs w:val="21"/>
          <w:highlight w:val="none"/>
        </w:rPr>
      </w:r>
      <w:r/>
    </w:p>
    <w:p>
      <w:pPr>
        <w:pStyle w:val="682"/>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ascii="宋体" w:hAnsi="宋体" w:cs="宋体"/>
          <w:b/>
          <w:bCs/>
          <w:color w:val="000000"/>
          <w:szCs w:val="21"/>
          <w:highlight w:val="none"/>
        </w:rPr>
      </w:r>
      <w:r/>
    </w:p>
    <w:p>
      <w:pPr>
        <w:pStyle w:val="68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892"/>
        <w:numPr>
          <w:ilvl w:val="0"/>
          <w:numId w:val="2"/>
        </w:num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 投标文件格式</w:t>
      </w:r>
      <w:r>
        <w:rPr>
          <w:rFonts w:ascii="宋体" w:hAnsi="宋体" w:cs="宋体"/>
          <w:b/>
          <w:bCs/>
          <w:color w:val="000000"/>
          <w:sz w:val="36"/>
          <w:highlight w:val="none"/>
        </w:rPr>
      </w:r>
      <w:r/>
    </w:p>
    <w:p>
      <w:pPr>
        <w:pStyle w:val="1011"/>
        <w:ind w:firstLine="0"/>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1011"/>
        <w:ind w:firstLine="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（说明：对本章所有的投标书格式，投标方可根据自身情况进行补充和修改，但补充和修改不得造成与本格式内容有实质性的违背。）</w:t>
      </w:r>
      <w:r>
        <w:rPr>
          <w:rFonts w:ascii="宋体" w:hAnsi="宋体"/>
          <w:b/>
          <w:color w:val="000000"/>
          <w:sz w:val="21"/>
          <w:szCs w:val="21"/>
          <w:highlight w:val="none"/>
        </w:rPr>
      </w:r>
      <w:r/>
    </w:p>
    <w:p>
      <w:pPr>
        <w:pStyle w:val="1011"/>
        <w:ind w:firstLine="421"/>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1011"/>
        <w:ind w:firstLine="421"/>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1011"/>
        <w:ind w:firstLine="0"/>
        <w:jc w:val="both"/>
        <w:rPr>
          <w:rFonts w:ascii="宋体" w:hAnsi="宋体"/>
          <w:b/>
          <w:color w:val="000000"/>
          <w:sz w:val="21"/>
          <w:szCs w:val="21"/>
          <w:highlight w:val="none"/>
        </w:rPr>
        <w:outlineLvl w:val="1"/>
      </w:pPr>
      <w:r>
        <w:rPr>
          <w:rFonts w:hint="eastAsia" w:ascii="宋体" w:hAnsi="宋体"/>
          <w:b/>
          <w:color w:val="000000"/>
          <w:sz w:val="21"/>
          <w:szCs w:val="21"/>
          <w:highlight w:val="none"/>
        </w:rPr>
        <w:t xml:space="preserve">1、法定代表人授权委托书</w:t>
      </w:r>
      <w:r>
        <w:rPr>
          <w:rFonts w:ascii="宋体" w:hAnsi="宋体"/>
          <w:b/>
          <w:color w:val="000000"/>
          <w:sz w:val="21"/>
          <w:szCs w:val="21"/>
          <w:highlight w:val="none"/>
        </w:rPr>
      </w:r>
      <w:r/>
    </w:p>
    <w:p>
      <w:pPr>
        <w:pStyle w:val="1011"/>
        <w:ind w:firstLine="0"/>
        <w:jc w:val="center"/>
        <w:rPr>
          <w:rFonts w:ascii="宋体" w:hAnsi="宋体"/>
          <w:color w:val="000000"/>
          <w:sz w:val="21"/>
          <w:szCs w:val="21"/>
          <w:highlight w:val="none"/>
        </w:rPr>
      </w:pPr>
      <w:r>
        <w:rPr>
          <w:rFonts w:ascii="宋体" w:hAnsi="宋体"/>
          <w:color w:val="000000"/>
          <w:sz w:val="21"/>
          <w:szCs w:val="21"/>
          <w:highlight w:val="none"/>
        </w:rPr>
      </w:r>
      <w:r/>
    </w:p>
    <w:p>
      <w:pPr>
        <w:pStyle w:val="1011"/>
        <w:ind w:firstLine="0"/>
        <w:jc w:val="center"/>
        <w:rPr>
          <w:rFonts w:ascii="宋体" w:hAnsi="宋体"/>
          <w:b/>
          <w:color w:val="000000"/>
          <w:sz w:val="21"/>
          <w:szCs w:val="21"/>
          <w:highlight w:val="none"/>
        </w:rPr>
      </w:pPr>
      <w:r>
        <w:rPr>
          <w:rFonts w:hint="eastAsia" w:ascii="宋体" w:hAnsi="宋体"/>
          <w:b/>
          <w:color w:val="000000"/>
          <w:sz w:val="21"/>
          <w:szCs w:val="21"/>
          <w:highlight w:val="none"/>
        </w:rPr>
        <w:t xml:space="preserve">法定代表人授权委托书</w:t>
      </w:r>
      <w:r>
        <w:rPr>
          <w:rFonts w:ascii="宋体" w:hAnsi="宋体"/>
          <w:b/>
          <w:color w:val="000000"/>
          <w:sz w:val="21"/>
          <w:szCs w:val="21"/>
          <w:highlight w:val="none"/>
        </w:rPr>
      </w:r>
      <w:r/>
    </w:p>
    <w:p>
      <w:pPr>
        <w:pStyle w:val="1011"/>
        <w:ind w:firstLine="0"/>
        <w:jc w:val="center"/>
        <w:rPr>
          <w:rFonts w:ascii="宋体" w:hAnsi="宋体"/>
          <w:b/>
          <w:color w:val="000000"/>
          <w:sz w:val="21"/>
          <w:szCs w:val="21"/>
          <w:highlight w:val="none"/>
        </w:rPr>
      </w:pPr>
      <w:r>
        <w:rPr>
          <w:rFonts w:ascii="宋体" w:hAnsi="宋体"/>
          <w:b/>
          <w:color w:val="000000"/>
          <w:sz w:val="21"/>
          <w:szCs w:val="21"/>
          <w:highlight w:val="none"/>
        </w:rPr>
      </w:r>
      <w:r/>
    </w:p>
    <w:p>
      <w:pPr>
        <w:pStyle w:val="1011"/>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本授权委托书声明：我</w:t>
      </w:r>
      <w:r>
        <w:rPr>
          <w:rFonts w:hint="eastAsia" w:ascii="宋体" w:hAnsi="宋体"/>
          <w:color w:val="000000"/>
          <w:sz w:val="21"/>
          <w:szCs w:val="21"/>
          <w:highlight w:val="none"/>
          <w:u w:val="single"/>
        </w:rPr>
        <w:t xml:space="preserve">（姓名）</w:t>
      </w:r>
      <w:r>
        <w:rPr>
          <w:rFonts w:hint="eastAsia" w:ascii="宋体" w:hAnsi="宋体"/>
          <w:color w:val="000000"/>
          <w:sz w:val="21"/>
          <w:szCs w:val="21"/>
          <w:highlight w:val="none"/>
        </w:rPr>
        <w:t xml:space="preserve">系</w:t>
      </w:r>
      <w:r>
        <w:rPr>
          <w:rFonts w:hint="eastAsia" w:ascii="宋体" w:hAnsi="宋体"/>
          <w:color w:val="000000"/>
          <w:sz w:val="21"/>
          <w:szCs w:val="21"/>
          <w:highlight w:val="none"/>
          <w:u w:val="single"/>
        </w:rPr>
        <w:t xml:space="preserve">（投标人名称）</w:t>
      </w:r>
      <w:r>
        <w:rPr>
          <w:rFonts w:hint="eastAsia" w:ascii="宋体" w:hAnsi="宋体"/>
          <w:color w:val="000000"/>
          <w:sz w:val="21"/>
          <w:szCs w:val="21"/>
          <w:highlight w:val="none"/>
        </w:rPr>
        <w:t xml:space="preserve">的法定代表人，现授权委托</w:t>
      </w:r>
      <w:r>
        <w:rPr>
          <w:rFonts w:hint="eastAsia" w:ascii="宋体" w:hAnsi="宋体"/>
          <w:color w:val="000000"/>
          <w:sz w:val="21"/>
          <w:szCs w:val="21"/>
          <w:highlight w:val="none"/>
          <w:u w:val="single"/>
        </w:rPr>
        <w:t xml:space="preserve">（投标人名称）</w:t>
      </w:r>
      <w:r>
        <w:rPr>
          <w:rFonts w:hint="eastAsia" w:ascii="宋体" w:hAnsi="宋体"/>
          <w:color w:val="000000"/>
          <w:sz w:val="21"/>
          <w:szCs w:val="21"/>
          <w:highlight w:val="none"/>
        </w:rPr>
        <w:t xml:space="preserve">的</w:t>
      </w:r>
      <w:r>
        <w:rPr>
          <w:rFonts w:hint="eastAsia" w:ascii="宋体" w:hAnsi="宋体"/>
          <w:color w:val="000000"/>
          <w:sz w:val="21"/>
          <w:szCs w:val="21"/>
          <w:highlight w:val="none"/>
          <w:u w:val="single"/>
        </w:rPr>
        <w:t xml:space="preserve">（姓名）</w:t>
      </w:r>
      <w:r>
        <w:rPr>
          <w:rFonts w:hint="eastAsia" w:ascii="宋体" w:hAnsi="宋体"/>
          <w:color w:val="000000"/>
          <w:sz w:val="21"/>
          <w:szCs w:val="21"/>
          <w:highlight w:val="none"/>
        </w:rPr>
        <w:t xml:space="preserve">为我公司代理人，以本公司的名义参加苏州捷信招投标咨询有限公司组织实施的编号为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号的招标活动。代理人在开标、评标、合同招标过程中所签署的一切文件和处理与这有关的一切事务，我均予以承认。</w:t>
      </w:r>
      <w:r>
        <w:rPr>
          <w:rFonts w:ascii="宋体" w:hAnsi="宋体"/>
          <w:color w:val="000000"/>
          <w:sz w:val="21"/>
          <w:szCs w:val="21"/>
          <w:highlight w:val="none"/>
        </w:rPr>
      </w:r>
      <w:r/>
    </w:p>
    <w:p>
      <w:pPr>
        <w:pStyle w:val="1011"/>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 w:val="21"/>
          <w:szCs w:val="21"/>
          <w:highlight w:val="none"/>
        </w:rPr>
      </w:r>
      <w:r/>
    </w:p>
    <w:p>
      <w:pPr>
        <w:pStyle w:val="1011"/>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代理人无转委托权。特此委托。</w:t>
      </w:r>
      <w:r>
        <w:rPr>
          <w:rFonts w:ascii="宋体" w:hAnsi="宋体"/>
          <w:color w:val="000000"/>
          <w:sz w:val="21"/>
          <w:szCs w:val="21"/>
          <w:highlight w:val="none"/>
        </w:rPr>
      </w:r>
      <w:r/>
    </w:p>
    <w:p>
      <w:pPr>
        <w:pStyle w:val="1011"/>
        <w:jc w:val="both"/>
        <w:rPr>
          <w:rFonts w:ascii="宋体" w:hAnsi="宋体"/>
          <w:color w:val="000000"/>
          <w:sz w:val="21"/>
          <w:szCs w:val="21"/>
          <w:highlight w:val="none"/>
        </w:rPr>
      </w:pPr>
      <w:r>
        <w:rPr>
          <w:rFonts w:ascii="宋体" w:hAnsi="宋体"/>
          <w:color w:val="000000"/>
          <w:sz w:val="21"/>
          <w:szCs w:val="21"/>
          <w:highlight w:val="none"/>
        </w:rPr>
      </w:r>
      <w:r/>
    </w:p>
    <w:p>
      <w:pPr>
        <w:pStyle w:val="682"/>
        <w:spacing w:line="360" w:lineRule="auto"/>
        <w:rPr>
          <w:rFonts w:ascii="宋体" w:hAnsi="宋体"/>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olor w:val="000000"/>
          <w:szCs w:val="21"/>
          <w:highlight w:val="none"/>
        </w:rPr>
      </w:r>
      <w:r/>
    </w:p>
    <w:p>
      <w:pPr>
        <w:pStyle w:val="682"/>
        <w:spacing w:line="360" w:lineRule="auto"/>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olor w:val="000000"/>
          <w:highlight w:val="none"/>
        </w:rPr>
        <w:br w:type="page" w:clear="all"/>
      </w:r>
      <w:r>
        <w:rPr>
          <w:rFonts w:hint="eastAsia" w:ascii="宋体" w:hAnsi="宋体" w:cs="宋体"/>
          <w:b/>
          <w:color w:val="000000"/>
          <w:sz w:val="21"/>
          <w:szCs w:val="21"/>
          <w:highlight w:val="none"/>
        </w:rPr>
        <w:t xml:space="preserve">2、投标函</w:t>
      </w: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pPr>
      <w:r>
        <w:rPr>
          <w:rFonts w:ascii="宋体" w:hAnsi="宋体" w:cs="宋体"/>
          <w:b/>
          <w:color w:val="000000"/>
          <w:sz w:val="21"/>
          <w:szCs w:val="21"/>
          <w:highlight w:val="none"/>
        </w:rPr>
      </w:r>
      <w:r/>
    </w:p>
    <w:p>
      <w:pPr>
        <w:pStyle w:val="1062"/>
        <w:jc w:val="center"/>
        <w:spacing w:line="360" w:lineRule="auto"/>
        <w:rPr>
          <w:rFonts w:hAnsi="宋体" w:cs="宋体"/>
          <w:b/>
          <w:color w:val="000000"/>
          <w:szCs w:val="21"/>
          <w:highlight w:val="none"/>
        </w:rPr>
      </w:pPr>
      <w:r>
        <w:rPr>
          <w:rFonts w:hint="eastAsia" w:hAnsi="宋体" w:cs="宋体"/>
          <w:b/>
          <w:color w:val="000000"/>
          <w:szCs w:val="21"/>
          <w:highlight w:val="none"/>
        </w:rPr>
        <w:t xml:space="preserve">投标函</w:t>
      </w:r>
      <w:r>
        <w:rPr>
          <w:rFonts w:hAnsi="宋体" w:cs="宋体"/>
          <w:b/>
          <w:color w:val="000000"/>
          <w:szCs w:val="21"/>
          <w:highlight w:val="none"/>
        </w:rPr>
      </w:r>
      <w:r/>
    </w:p>
    <w:p>
      <w:pPr>
        <w:pStyle w:val="1062"/>
        <w:spacing w:line="320" w:lineRule="exact"/>
        <w:rPr>
          <w:rFonts w:hAnsi="宋体" w:cs="宋体"/>
          <w:color w:val="000000"/>
          <w:szCs w:val="21"/>
          <w:highlight w:val="none"/>
        </w:rPr>
      </w:pPr>
      <w:r>
        <w:rPr>
          <w:rFonts w:hint="eastAsia" w:hAnsi="宋体" w:cs="宋体"/>
          <w:color w:val="000000"/>
          <w:szCs w:val="21"/>
          <w:highlight w:val="none"/>
          <w:u w:val="single"/>
        </w:rPr>
        <w:t xml:space="preserve">苏州捷信招投标咨询有限公司 </w:t>
      </w:r>
      <w:r>
        <w:rPr>
          <w:rFonts w:hint="eastAsia" w:hAnsi="宋体" w:cs="宋体"/>
          <w:color w:val="000000"/>
          <w:szCs w:val="21"/>
          <w:highlight w:val="none"/>
        </w:rPr>
        <w:t xml:space="preserve">：</w:t>
      </w:r>
      <w:r>
        <w:rPr>
          <w:rFonts w:hAnsi="宋体" w:cs="宋体"/>
          <w:color w:val="000000"/>
          <w:szCs w:val="21"/>
          <w:highlight w:val="none"/>
        </w:rPr>
      </w:r>
      <w:r/>
    </w:p>
    <w:p>
      <w:pPr>
        <w:pStyle w:val="1062"/>
        <w:ind w:firstLine="420"/>
        <w:spacing w:line="360" w:lineRule="auto"/>
        <w:rPr>
          <w:rFonts w:hAnsi="宋体" w:cs="宋体"/>
          <w:color w:val="000000"/>
          <w:szCs w:val="21"/>
          <w:highlight w:val="none"/>
        </w:rPr>
      </w:pPr>
      <w:r>
        <w:rPr>
          <w:rFonts w:hAnsi="宋体" w:cs="宋体"/>
          <w:color w:val="000000"/>
          <w:szCs w:val="21"/>
          <w:highlight w:val="none"/>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我方收到贵单位</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lang w:val="zh-CN"/>
        </w:rPr>
        <w:t xml:space="preserve">（项目编号）招标文件，经仔细阅读和研究，我方决定参加投标，并作出如下承诺：</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1、我方愿意按照招标文件的一切要求，提供本项目的所有内容，我方投标的报价包括完成本项工作所需的一切应有费用。</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2、如果我方的投标书被接受，我方将严格履行招标文件中规定的每一项要求，严格履行合同的责任和义务，保证按期、按质履行合同，完成合同所规定的全部内容。</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3、我方已详细审查并同意招标文件及更正文件（若有）中的规定。我方完全理解并同意放弃对这方面有不明及误解的权利。</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4、本投标书的有效期限为投标截止时间之日起90天。</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5、我方保证所提交的投标文件中所有资料均是真实的、准确的。若与真实情况不符，我方愿意承担由此而产生的一切后果。</w:t>
      </w:r>
      <w:r>
        <w:rPr>
          <w:rFonts w:ascii="宋体" w:hAnsi="宋体"/>
          <w:color w:val="000000"/>
          <w:szCs w:val="21"/>
          <w:highlight w:val="none"/>
          <w:lang w:val="zh-CN"/>
        </w:rPr>
      </w:r>
      <w:r/>
    </w:p>
    <w:p>
      <w:pPr>
        <w:pStyle w:val="682"/>
        <w:ind w:firstLine="420"/>
        <w:jc w:val="left"/>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7、我方承诺该项投标在开标后的全过程中保持有效，不作任何更改和变动。</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8、我方承诺满足《中华人民共和国政府采购法》第二十二条规定的所有条件。</w:t>
      </w:r>
      <w:r>
        <w:rPr>
          <w:rFonts w:ascii="宋体" w:hAnsi="宋体"/>
          <w:color w:val="000000"/>
          <w:szCs w:val="21"/>
          <w:highlight w:val="none"/>
          <w:lang w:val="zh-CN"/>
        </w:rPr>
      </w:r>
      <w:r/>
    </w:p>
    <w:p>
      <w:pPr>
        <w:pStyle w:val="682"/>
        <w:ind w:firstLine="420"/>
        <w:spacing w:line="440" w:lineRule="exact"/>
        <w:rPr>
          <w:rFonts w:ascii="宋体" w:hAnsi="宋体"/>
          <w:color w:val="000000"/>
          <w:szCs w:val="21"/>
          <w:highlight w:val="none"/>
          <w:lang w:val="zh-CN"/>
        </w:rPr>
      </w:pPr>
      <w:r>
        <w:rPr>
          <w:rFonts w:hint="eastAsia" w:ascii="宋体" w:hAnsi="宋体"/>
          <w:color w:val="000000"/>
          <w:szCs w:val="21"/>
          <w:highlight w:val="none"/>
          <w:lang w:val="zh-CN"/>
        </w:rPr>
        <w:t xml:space="preserve">9、与本投标有关的通讯地址:</w:t>
      </w:r>
      <w:r>
        <w:rPr>
          <w:rFonts w:ascii="宋体" w:hAnsi="宋体"/>
          <w:color w:val="000000"/>
          <w:szCs w:val="21"/>
          <w:highlight w:val="none"/>
          <w:lang w:val="zh-CN"/>
        </w:rPr>
      </w:r>
      <w:r/>
    </w:p>
    <w:p>
      <w:pPr>
        <w:pStyle w:val="1062"/>
        <w:ind w:firstLine="480"/>
        <w:spacing w:line="320" w:lineRule="exact"/>
        <w:rPr>
          <w:rFonts w:hAnsi="宋体"/>
          <w:color w:val="000000"/>
          <w:sz w:val="24"/>
          <w:highlight w:val="none"/>
        </w:rPr>
      </w:pPr>
      <w:r>
        <w:rPr>
          <w:rFonts w:hAnsi="宋体"/>
          <w:color w:val="000000"/>
          <w:sz w:val="24"/>
          <w:highlight w:val="none"/>
        </w:rPr>
      </w:r>
      <w:r/>
    </w:p>
    <w:p>
      <w:pPr>
        <w:pStyle w:val="1011"/>
        <w:ind w:firstLine="0"/>
        <w:jc w:val="both"/>
        <w:spacing w:line="360" w:lineRule="auto"/>
        <w:rPr>
          <w:rFonts w:ascii="宋体" w:hAnsi="宋体"/>
          <w:color w:val="000000"/>
          <w:sz w:val="21"/>
          <w:szCs w:val="21"/>
          <w:highlight w:val="none"/>
        </w:rPr>
        <w:outlineLvl w:val="1"/>
      </w:pPr>
      <w:r>
        <w:rPr>
          <w:rFonts w:hint="eastAsia" w:ascii="宋体" w:hAnsi="宋体"/>
          <w:color w:val="000000"/>
          <w:sz w:val="21"/>
          <w:szCs w:val="21"/>
          <w:highlight w:val="none"/>
        </w:rPr>
        <w:t xml:space="preserve">响应单位名称（加盖CA电子公章）    联系人：</w:t>
      </w:r>
      <w:r>
        <w:rPr>
          <w:rFonts w:ascii="宋体" w:hAnsi="宋体"/>
          <w:color w:val="000000"/>
          <w:sz w:val="21"/>
          <w:szCs w:val="21"/>
          <w:highlight w:val="none"/>
        </w:rPr>
      </w:r>
      <w:r/>
    </w:p>
    <w:p>
      <w:pPr>
        <w:pStyle w:val="1057"/>
        <w:spacing w:line="360" w:lineRule="auto"/>
        <w:rPr>
          <w:rFonts w:hAnsi="宋体"/>
          <w:color w:val="000000"/>
          <w:szCs w:val="21"/>
          <w:highlight w:val="none"/>
        </w:rPr>
      </w:pPr>
      <w:r>
        <w:rPr>
          <w:rFonts w:hint="eastAsia" w:hAnsi="宋体"/>
          <w:color w:val="000000"/>
          <w:szCs w:val="21"/>
          <w:highlight w:val="none"/>
        </w:rPr>
        <w:t xml:space="preserve">地址：                             邮政编码：</w:t>
      </w:r>
      <w:r>
        <w:rPr>
          <w:rFonts w:hAnsi="宋体"/>
          <w:color w:val="000000"/>
          <w:szCs w:val="21"/>
          <w:highlight w:val="none"/>
        </w:rPr>
      </w:r>
      <w:r/>
    </w:p>
    <w:p>
      <w:pPr>
        <w:pStyle w:val="1057"/>
        <w:spacing w:line="360" w:lineRule="auto"/>
        <w:rPr>
          <w:rFonts w:hAnsi="宋体"/>
          <w:color w:val="000000"/>
          <w:szCs w:val="21"/>
          <w:highlight w:val="none"/>
        </w:rPr>
      </w:pPr>
      <w:r>
        <w:rPr>
          <w:rFonts w:hint="eastAsia" w:hAnsi="宋体"/>
          <w:color w:val="000000"/>
          <w:szCs w:val="21"/>
          <w:highlight w:val="none"/>
        </w:rPr>
        <w:t xml:space="preserve">联系电话：                         传真：</w:t>
      </w:r>
      <w:r>
        <w:rPr>
          <w:rFonts w:hAnsi="宋体"/>
          <w:color w:val="000000"/>
          <w:szCs w:val="21"/>
          <w:highlight w:val="none"/>
        </w:rPr>
      </w:r>
      <w:r/>
    </w:p>
    <w:p>
      <w:pPr>
        <w:pStyle w:val="1057"/>
        <w:spacing w:line="360" w:lineRule="auto"/>
        <w:rPr>
          <w:rFonts w:hAnsi="宋体"/>
          <w:color w:val="000000"/>
          <w:szCs w:val="21"/>
          <w:highlight w:val="none"/>
        </w:rPr>
      </w:pPr>
      <w:r>
        <w:rPr>
          <w:rFonts w:hint="eastAsia" w:hAnsi="宋体"/>
          <w:color w:val="000000"/>
          <w:szCs w:val="21"/>
          <w:highlight w:val="none"/>
        </w:rPr>
        <w:t xml:space="preserve">邮箱：</w:t>
      </w:r>
      <w:r>
        <w:rPr>
          <w:rFonts w:hAnsi="宋体"/>
          <w:color w:val="000000"/>
          <w:szCs w:val="21"/>
          <w:highlight w:val="none"/>
        </w:rPr>
      </w:r>
      <w:r/>
    </w:p>
    <w:p>
      <w:pPr>
        <w:pStyle w:val="1057"/>
        <w:ind w:left="3400" w:firstLine="425"/>
        <w:spacing w:line="360" w:lineRule="auto"/>
        <w:rPr>
          <w:rFonts w:hAnsi="宋体"/>
          <w:color w:val="000000"/>
          <w:szCs w:val="21"/>
          <w:highlight w:val="none"/>
        </w:rPr>
      </w:pPr>
      <w:r>
        <w:rPr>
          <w:rFonts w:hint="eastAsia" w:hAnsi="宋体"/>
          <w:color w:val="000000"/>
          <w:szCs w:val="21"/>
          <w:highlight w:val="none"/>
        </w:rPr>
        <w:t xml:space="preserve">日期：         年     月     日</w:t>
      </w:r>
      <w:r>
        <w:rPr>
          <w:rFonts w:hAnsi="宋体"/>
          <w:color w:val="000000"/>
          <w:szCs w:val="21"/>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682"/>
        <w:rPr>
          <w:rFonts w:ascii="宋体" w:hAnsi="宋体"/>
          <w:b/>
          <w:bCs/>
          <w:color w:val="000000"/>
          <w:szCs w:val="21"/>
          <w:highlight w:val="none"/>
        </w:rPr>
        <w:outlineLvl w:val="1"/>
      </w:pPr>
      <w:r>
        <w:rPr>
          <w:rFonts w:hint="eastAsia" w:ascii="宋体" w:hAnsi="宋体"/>
          <w:b/>
          <w:color w:val="000000"/>
          <w:szCs w:val="21"/>
          <w:highlight w:val="none"/>
        </w:rPr>
        <w:br w:type="page" w:clear="all"/>
      </w:r>
      <w:r>
        <w:rPr>
          <w:rFonts w:ascii="宋体" w:hAnsi="宋体"/>
          <w:b/>
          <w:bCs/>
          <w:color w:val="000000"/>
          <w:szCs w:val="21"/>
          <w:highlight w:val="none"/>
        </w:rPr>
      </w:r>
      <w:r/>
    </w:p>
    <w:p>
      <w:pPr>
        <w:pStyle w:val="1011"/>
        <w:ind w:firstLine="0"/>
        <w:jc w:val="both"/>
        <w:rPr>
          <w:rFonts w:ascii="宋体" w:hAnsi="宋体"/>
          <w:b/>
          <w:bCs/>
          <w:color w:val="000000"/>
          <w:sz w:val="21"/>
          <w:szCs w:val="21"/>
          <w:highlight w:val="none"/>
        </w:rPr>
        <w:outlineLvl w:val="1"/>
      </w:pPr>
      <w:r>
        <w:rPr>
          <w:rFonts w:hint="eastAsia" w:ascii="宋体" w:hAnsi="宋体"/>
          <w:b/>
          <w:color w:val="000000"/>
          <w:sz w:val="21"/>
          <w:szCs w:val="21"/>
          <w:highlight w:val="none"/>
        </w:rPr>
        <w:t xml:space="preserve">3、开标一览表</w:t>
      </w:r>
      <w:r>
        <w:rPr>
          <w:rFonts w:ascii="宋体" w:hAnsi="宋体"/>
          <w:b/>
          <w:bCs/>
          <w:color w:val="000000"/>
          <w:sz w:val="21"/>
          <w:szCs w:val="21"/>
          <w:highlight w:val="none"/>
        </w:rPr>
      </w:r>
      <w:r/>
    </w:p>
    <w:p>
      <w:pPr>
        <w:pStyle w:val="682"/>
        <w:jc w:val="center"/>
        <w:rPr>
          <w:rFonts w:ascii="宋体" w:hAnsi="宋体"/>
          <w:b/>
          <w:color w:val="000000"/>
          <w:szCs w:val="21"/>
          <w:highlight w:val="none"/>
        </w:rPr>
      </w:pPr>
      <w:r>
        <w:rPr>
          <w:rFonts w:hint="eastAsia" w:ascii="宋体" w:hAnsi="宋体"/>
          <w:b/>
          <w:color w:val="000000"/>
          <w:szCs w:val="21"/>
          <w:highlight w:val="none"/>
        </w:rPr>
        <w:t xml:space="preserve">开标一览表（总报价）</w:t>
      </w:r>
      <w:r>
        <w:rPr>
          <w:rFonts w:ascii="宋体" w:hAnsi="宋体"/>
          <w:b/>
          <w:color w:val="000000"/>
          <w:szCs w:val="21"/>
          <w:highlight w:val="none"/>
        </w:rPr>
      </w:r>
      <w:r/>
    </w:p>
    <w:p>
      <w:pPr>
        <w:pStyle w:val="682"/>
        <w:contextualSpacing/>
        <w:ind w:firstLine="480"/>
        <w:spacing w:line="600" w:lineRule="exact"/>
        <w:rPr>
          <w:rFonts w:ascii="宋体" w:hAnsi="宋体"/>
          <w:color w:val="000000"/>
          <w:szCs w:val="21"/>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099945" cy="6718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99945" cy="671830"/>
                        </a:xfrm>
                        <a:prstGeom prst="rect">
                          <a:avLst/>
                        </a:prstGeom>
                        <a:solidFill>
                          <a:srgbClr val="FFFFFF"/>
                        </a:solidFill>
                        <a:ln>
                          <a:solidFill>
                            <a:srgbClr val="FFFFFF"/>
                          </a:solidFill>
                        </a:ln>
                      </wps:spPr>
                      <wps:txbx>
                        <w:txbxContent>
                          <w:p>
                            <w:pPr>
                              <w:pStyle w:val="682"/>
                              <w:rPr>
                                <w:color w:val="ffffff"/>
                                <w:sz w:val="10"/>
                              </w:rPr>
                            </w:pPr>
                            <w:r>
                              <w:rPr>
                                <w:rFonts w:hint="eastAsia" w:ascii="宋体" w:hAnsi="宋体"/>
                                <w:color w:val="ffffff"/>
                                <w:sz w:val="10"/>
                              </w:rPr>
                              <w:t xml:space="preserve">11111111-1111-1111-111111111111</w:t>
                            </w:r>
                            <w:r>
                              <w:rPr>
                                <w:color w:val="ffffff"/>
                                <w:sz w:val="10"/>
                              </w:rPr>
                            </w:r>
                            <w:r/>
                          </w:p>
                          <w:p>
                            <w:pPr>
                              <w:pStyle w:val="682"/>
                            </w:pPr>
                            <w:r/>
                            <w:r/>
                          </w:p>
                          <w:p>
                            <w:pPr>
                              <w:pStyle w:val="682"/>
                            </w:pPr>
                            <w:r/>
                            <w:r/>
                          </w:p>
                          <w:p>
                            <w:pPr>
                              <w:pStyle w:val="682"/>
                            </w:pPr>
                            <w:r/>
                            <w:r/>
                          </w:p>
                          <w:p>
                            <w:pPr>
                              <w:pStyle w:val="68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155.2pt;mso-position-horizontal:absolute;mso-position-vertical-relative:text;margin-top:7.2pt;mso-position-vertical:absolute;width:165.3pt;height:52.9pt;mso-wrap-distance-left:9.0pt;mso-wrap-distance-top:0.0pt;mso-wrap-distance-right:9.0pt;mso-wrap-distance-bottom:0.0pt;visibility:visible;" fillcolor="#FFFFFF" strokecolor="#FFFFFF">
                <v:textbox inset="0,0,0,0">
                  <w:txbxContent>
                    <w:p>
                      <w:pPr>
                        <w:pStyle w:val="682"/>
                        <w:rPr>
                          <w:color w:val="ffffff"/>
                          <w:sz w:val="10"/>
                        </w:rPr>
                      </w:pPr>
                      <w:r>
                        <w:rPr>
                          <w:rFonts w:hint="eastAsia" w:ascii="宋体" w:hAnsi="宋体"/>
                          <w:color w:val="ffffff"/>
                          <w:sz w:val="10"/>
                        </w:rPr>
                        <w:t xml:space="preserve">11111111-1111-1111-111111111111</w:t>
                      </w:r>
                      <w:r>
                        <w:rPr>
                          <w:color w:val="ffffff"/>
                          <w:sz w:val="10"/>
                        </w:rPr>
                      </w:r>
                      <w:r/>
                    </w:p>
                    <w:p>
                      <w:pPr>
                        <w:pStyle w:val="682"/>
                      </w:pPr>
                      <w:r/>
                      <w:r/>
                    </w:p>
                    <w:p>
                      <w:pPr>
                        <w:pStyle w:val="682"/>
                      </w:pPr>
                      <w:r/>
                      <w:r/>
                    </w:p>
                    <w:p>
                      <w:pPr>
                        <w:pStyle w:val="682"/>
                      </w:pPr>
                      <w:r/>
                      <w:r/>
                    </w:p>
                    <w:p>
                      <w:pPr>
                        <w:pStyle w:val="682"/>
                      </w:pPr>
                      <w:r/>
                      <w:r/>
                    </w:p>
                  </w:txbxContent>
                </v:textbox>
              </v:shape>
            </w:pict>
          </mc:Fallback>
        </mc:AlternateContent>
      </w:r>
      <w:r>
        <w:rPr>
          <w:rFonts w:hint="eastAsia"/>
          <w:color w:val="000000"/>
          <w:highlight w:val="none"/>
        </w:rPr>
        <w:t xml:space="preserve"> </w:t>
      </w:r>
      <w:r>
        <w:rPr>
          <w:rFonts w:ascii="宋体" w:hAnsi="宋体"/>
          <w:color w:val="000000"/>
          <w:szCs w:val="21"/>
          <w:highlight w:val="none"/>
        </w:rPr>
      </w:r>
      <w:r/>
    </w:p>
    <w:p>
      <w:pPr>
        <w:pStyle w:val="682"/>
        <w:contextualSpacing/>
        <w:ind w:firstLine="480"/>
        <w:spacing w:line="600" w:lineRule="exact"/>
        <w:rPr>
          <w:color w:val="000000"/>
          <w:highlight w:val="none"/>
        </w:rPr>
      </w:pPr>
      <w:r>
        <w:rPr>
          <w:rFonts w:hint="eastAsia" w:ascii="宋体" w:hAnsi="宋体"/>
          <w:color w:val="000000"/>
          <w:szCs w:val="21"/>
          <w:highlight w:val="none"/>
        </w:rPr>
        <w:t xml:space="preserve">项目编号：</w:t>
      </w:r>
      <w:r>
        <w:rPr>
          <w:color w:val="000000"/>
          <w:highlight w:val="none"/>
        </w:rPr>
      </w:r>
      <w:r/>
    </w:p>
    <w:tbl>
      <w:tblPr>
        <w:tblW w:w="4998" w:type="pct"/>
        <w:tblInd w:w="-6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1972"/>
        <w:gridCol w:w="1473"/>
        <w:gridCol w:w="4561"/>
      </w:tblGrid>
      <w:tr>
        <w:trPr>
          <w:cantSplit/>
          <w:trHeight w:val="609"/>
        </w:trPr>
        <w:tc>
          <w:tcPr>
            <w:tcW w:w="513" w:type="dxa"/>
            <w:vAlign w:val="center"/>
            <w:textDirection w:val="lrTb"/>
            <w:noWrap w:val="false"/>
          </w:tcPr>
          <w:p>
            <w:pPr>
              <w:pStyle w:val="682"/>
              <w:jc w:val="center"/>
              <w:rPr>
                <w:rFonts w:ascii="宋体" w:hAnsi="宋体"/>
                <w:b/>
                <w:bCs/>
                <w:color w:val="000000"/>
                <w:spacing w:val="20"/>
                <w:szCs w:val="21"/>
                <w:highlight w:val="none"/>
              </w:rPr>
            </w:pPr>
            <w:r>
              <w:rPr>
                <w:rFonts w:ascii="宋体" w:hAnsi="宋体"/>
                <w:b/>
                <w:bCs/>
                <w:color w:val="000000"/>
                <w:spacing w:val="20"/>
                <w:szCs w:val="21"/>
                <w:highlight w:val="none"/>
              </w:rPr>
              <w:t xml:space="preserve">序号</w:t>
            </w:r>
            <w:r>
              <w:rPr>
                <w:rFonts w:ascii="宋体" w:hAnsi="宋体"/>
                <w:b/>
                <w:bCs/>
                <w:color w:val="000000"/>
                <w:spacing w:val="20"/>
                <w:szCs w:val="21"/>
                <w:highlight w:val="none"/>
              </w:rPr>
            </w:r>
            <w:r/>
          </w:p>
        </w:tc>
        <w:tc>
          <w:tcPr>
            <w:tcW w:w="1972" w:type="dxa"/>
            <w:vAlign w:val="center"/>
            <w:textDirection w:val="lrTb"/>
            <w:noWrap w:val="false"/>
          </w:tcPr>
          <w:p>
            <w:pPr>
              <w:pStyle w:val="682"/>
              <w:jc w:val="center"/>
              <w:rPr>
                <w:rFonts w:ascii="宋体" w:hAnsi="宋体"/>
                <w:b/>
                <w:bCs/>
                <w:color w:val="000000"/>
                <w:spacing w:val="20"/>
                <w:szCs w:val="21"/>
                <w:highlight w:val="none"/>
              </w:rPr>
            </w:pPr>
            <w:r>
              <w:rPr>
                <w:rFonts w:ascii="宋体" w:hAnsi="宋体"/>
                <w:b/>
                <w:bCs/>
                <w:color w:val="000000"/>
                <w:spacing w:val="20"/>
                <w:szCs w:val="21"/>
                <w:highlight w:val="none"/>
              </w:rPr>
              <w:t xml:space="preserve">项目</w:t>
            </w:r>
            <w:r>
              <w:rPr>
                <w:rFonts w:hint="eastAsia" w:ascii="宋体" w:hAnsi="宋体"/>
                <w:b/>
                <w:bCs/>
                <w:color w:val="000000"/>
                <w:spacing w:val="20"/>
                <w:szCs w:val="21"/>
                <w:highlight w:val="none"/>
              </w:rPr>
              <w:t xml:space="preserve">内容</w:t>
            </w:r>
            <w:r>
              <w:rPr>
                <w:rFonts w:ascii="宋体" w:hAnsi="宋体"/>
                <w:b/>
                <w:bCs/>
                <w:color w:val="000000"/>
                <w:spacing w:val="20"/>
                <w:szCs w:val="21"/>
                <w:highlight w:val="none"/>
              </w:rPr>
            </w:r>
            <w:r/>
          </w:p>
        </w:tc>
        <w:tc>
          <w:tcPr>
            <w:tcW w:w="1473" w:type="dxa"/>
            <w:vAlign w:val="center"/>
            <w:textDirection w:val="lrTb"/>
            <w:noWrap w:val="false"/>
          </w:tcPr>
          <w:p>
            <w:pPr>
              <w:pStyle w:val="682"/>
              <w:jc w:val="center"/>
              <w:rPr>
                <w:rFonts w:ascii="宋体" w:hAnsi="宋体"/>
                <w:b/>
                <w:bCs/>
                <w:color w:val="000000"/>
                <w:spacing w:val="20"/>
                <w:szCs w:val="21"/>
                <w:highlight w:val="none"/>
              </w:rPr>
            </w:pPr>
            <w:r>
              <w:rPr>
                <w:rFonts w:ascii="宋体" w:hAnsi="宋体"/>
                <w:b/>
                <w:bCs/>
                <w:color w:val="000000"/>
                <w:spacing w:val="20"/>
                <w:szCs w:val="21"/>
                <w:highlight w:val="none"/>
              </w:rPr>
              <w:t xml:space="preserve">投标</w:t>
            </w:r>
            <w:r>
              <w:rPr>
                <w:rFonts w:hint="eastAsia" w:ascii="宋体" w:hAnsi="宋体"/>
                <w:b/>
                <w:bCs/>
                <w:color w:val="000000"/>
                <w:spacing w:val="20"/>
                <w:szCs w:val="21"/>
                <w:highlight w:val="none"/>
              </w:rPr>
              <w:t xml:space="preserve">报</w:t>
            </w:r>
            <w:r>
              <w:rPr>
                <w:rFonts w:ascii="宋体" w:hAnsi="宋体"/>
                <w:b/>
                <w:bCs/>
                <w:color w:val="000000"/>
                <w:spacing w:val="20"/>
                <w:szCs w:val="21"/>
                <w:highlight w:val="none"/>
              </w:rPr>
              <w:t xml:space="preserve">价</w:t>
            </w:r>
            <w:r>
              <w:rPr>
                <w:rFonts w:ascii="宋体" w:hAnsi="宋体"/>
                <w:b/>
                <w:bCs/>
                <w:color w:val="000000"/>
                <w:spacing w:val="20"/>
                <w:szCs w:val="21"/>
                <w:highlight w:val="none"/>
              </w:rPr>
            </w:r>
            <w:r/>
          </w:p>
          <w:p>
            <w:pPr>
              <w:pStyle w:val="682"/>
              <w:jc w:val="center"/>
              <w:rPr>
                <w:rFonts w:ascii="宋体" w:hAnsi="宋体"/>
                <w:b/>
                <w:bCs/>
                <w:color w:val="000000"/>
                <w:spacing w:val="20"/>
                <w:szCs w:val="21"/>
                <w:highlight w:val="none"/>
              </w:rPr>
            </w:pPr>
            <w:r>
              <w:rPr>
                <w:rFonts w:ascii="宋体" w:hAnsi="宋体"/>
                <w:b/>
                <w:bCs/>
                <w:color w:val="000000"/>
                <w:spacing w:val="20"/>
                <w:szCs w:val="21"/>
                <w:highlight w:val="none"/>
              </w:rPr>
              <w:t xml:space="preserve">(元)</w:t>
            </w:r>
            <w:r>
              <w:rPr>
                <w:rFonts w:ascii="宋体" w:hAnsi="宋体"/>
                <w:b/>
                <w:bCs/>
                <w:color w:val="000000"/>
                <w:spacing w:val="20"/>
                <w:szCs w:val="21"/>
                <w:highlight w:val="none"/>
              </w:rPr>
            </w:r>
            <w:r/>
          </w:p>
        </w:tc>
        <w:tc>
          <w:tcPr>
            <w:tcW w:w="1041" w:type="dxa"/>
            <w:vAlign w:val="center"/>
            <w:textDirection w:val="lrTb"/>
            <w:noWrap w:val="false"/>
          </w:tcPr>
          <w:p>
            <w:pPr>
              <w:pStyle w:val="682"/>
              <w:jc w:val="center"/>
              <w:rPr>
                <w:rFonts w:ascii="宋体" w:hAnsi="宋体"/>
                <w:b/>
                <w:bCs/>
                <w:color w:val="000000"/>
                <w:spacing w:val="20"/>
                <w:szCs w:val="21"/>
                <w:highlight w:val="none"/>
              </w:rPr>
            </w:pPr>
            <w:r>
              <w:rPr>
                <w:rFonts w:hint="eastAsia" w:ascii="宋体" w:hAnsi="宋体"/>
                <w:b/>
                <w:bCs/>
                <w:color w:val="000000"/>
                <w:spacing w:val="20"/>
                <w:szCs w:val="21"/>
                <w:highlight w:val="none"/>
              </w:rPr>
              <w:t xml:space="preserve">备注</w:t>
            </w:r>
            <w:r>
              <w:rPr>
                <w:rFonts w:ascii="宋体" w:hAnsi="宋体"/>
                <w:b/>
                <w:bCs/>
                <w:color w:val="000000"/>
                <w:spacing w:val="20"/>
                <w:szCs w:val="21"/>
                <w:highlight w:val="none"/>
              </w:rPr>
            </w:r>
            <w:r/>
          </w:p>
        </w:tc>
      </w:tr>
      <w:tr>
        <w:trPr>
          <w:cantSplit/>
          <w:trHeight w:val="1041"/>
        </w:trPr>
        <w:tc>
          <w:tcPr>
            <w:tcW w:w="513" w:type="dxa"/>
            <w:vAlign w:val="center"/>
            <w:textDirection w:val="lrTb"/>
            <w:noWrap w:val="false"/>
          </w:tcPr>
          <w:p>
            <w:pPr>
              <w:pStyle w:val="682"/>
              <w:jc w:val="center"/>
              <w:spacing w:line="320" w:lineRule="exact"/>
              <w:rPr>
                <w:rFonts w:ascii="宋体" w:hAnsi="宋体"/>
                <w:b/>
                <w:bCs/>
                <w:color w:val="000000"/>
                <w:spacing w:val="20"/>
                <w:szCs w:val="21"/>
                <w:highlight w:val="none"/>
              </w:rPr>
            </w:pPr>
            <w:r>
              <w:rPr>
                <w:rFonts w:ascii="宋体" w:hAnsi="宋体"/>
                <w:b/>
                <w:bCs/>
                <w:color w:val="000000"/>
                <w:spacing w:val="20"/>
                <w:szCs w:val="21"/>
                <w:highlight w:val="none"/>
              </w:rPr>
              <w:t xml:space="preserve">1</w:t>
            </w:r>
            <w:r>
              <w:rPr>
                <w:rFonts w:ascii="宋体" w:hAnsi="宋体"/>
                <w:b/>
                <w:bCs/>
                <w:color w:val="000000"/>
                <w:spacing w:val="20"/>
                <w:szCs w:val="21"/>
                <w:highlight w:val="none"/>
              </w:rPr>
            </w:r>
            <w:r/>
          </w:p>
        </w:tc>
        <w:tc>
          <w:tcPr>
            <w:tcW w:w="1972" w:type="dxa"/>
            <w:vAlign w:val="center"/>
            <w:textDirection w:val="lrTb"/>
            <w:noWrap w:val="false"/>
          </w:tcPr>
          <w:p>
            <w:pPr>
              <w:pStyle w:val="682"/>
              <w:jc w:val="center"/>
              <w:spacing w:line="320" w:lineRule="exact"/>
              <w:rPr>
                <w:rFonts w:ascii="宋体" w:hAnsi="宋体"/>
                <w:b/>
                <w:bCs/>
                <w:color w:val="000000"/>
                <w:spacing w:val="20"/>
                <w:szCs w:val="21"/>
                <w:highlight w:val="none"/>
              </w:rPr>
            </w:pPr>
            <w:r>
              <w:rPr>
                <w:rFonts w:ascii="宋体" w:hAnsi="宋体"/>
                <w:b/>
                <w:bCs/>
                <w:color w:val="000000"/>
                <w:spacing w:val="20"/>
                <w:szCs w:val="21"/>
                <w:highlight w:val="none"/>
              </w:rPr>
            </w:r>
            <w:r/>
          </w:p>
        </w:tc>
        <w:tc>
          <w:tcPr>
            <w:tcW w:w="1473" w:type="dxa"/>
            <w:vAlign w:val="center"/>
            <w:textDirection w:val="lrTb"/>
            <w:noWrap w:val="false"/>
          </w:tcPr>
          <w:p>
            <w:pPr>
              <w:pStyle w:val="682"/>
              <w:spacing w:line="320" w:lineRule="exact"/>
              <w:rPr>
                <w:rFonts w:ascii="宋体" w:hAnsi="宋体"/>
                <w:color w:val="000000"/>
                <w:spacing w:val="20"/>
                <w:szCs w:val="21"/>
                <w:highlight w:val="none"/>
              </w:rPr>
            </w:pPr>
            <w:r>
              <w:rPr>
                <w:rFonts w:ascii="宋体" w:hAnsi="宋体"/>
                <w:color w:val="000000"/>
                <w:spacing w:val="20"/>
                <w:szCs w:val="21"/>
                <w:highlight w:val="none"/>
              </w:rPr>
            </w:r>
            <w:r/>
          </w:p>
        </w:tc>
        <w:tc>
          <w:tcPr>
            <w:tcW w:w="1041" w:type="dxa"/>
            <w:vAlign w:val="center"/>
            <w:textDirection w:val="lrTb"/>
            <w:noWrap w:val="false"/>
          </w:tcPr>
          <w:p>
            <w:pPr>
              <w:pStyle w:val="682"/>
              <w:spacing w:line="320" w:lineRule="exact"/>
              <w:rPr>
                <w:rFonts w:ascii="宋体" w:hAnsi="宋体"/>
                <w:color w:val="000000"/>
                <w:spacing w:val="20"/>
                <w:szCs w:val="21"/>
                <w:highlight w:val="none"/>
              </w:rPr>
            </w:pPr>
            <w:r>
              <w:rPr>
                <w:rFonts w:ascii="宋体" w:hAnsi="宋体"/>
                <w:color w:val="000000"/>
                <w:spacing w:val="20"/>
                <w:szCs w:val="21"/>
                <w:highlight w:val="none"/>
              </w:rPr>
            </w:r>
            <w:r/>
          </w:p>
        </w:tc>
      </w:tr>
      <w:tr>
        <w:trPr>
          <w:cantSplit/>
          <w:trHeight w:val="491"/>
        </w:trPr>
        <w:tc>
          <w:tcPr>
            <w:gridSpan w:val="4"/>
            <w:tcW w:w="8519" w:type="dxa"/>
            <w:vAlign w:val="top"/>
            <w:textDirection w:val="lrTb"/>
            <w:noWrap w:val="false"/>
          </w:tcPr>
          <w:p>
            <w:pPr>
              <w:pStyle w:val="682"/>
              <w:spacing w:line="320" w:lineRule="exact"/>
              <w:rPr>
                <w:rFonts w:ascii="宋体" w:hAnsi="宋体"/>
                <w:b/>
                <w:color w:val="000000"/>
                <w:spacing w:val="20"/>
                <w:szCs w:val="21"/>
                <w:highlight w:val="none"/>
              </w:rPr>
            </w:pPr>
            <w:r>
              <w:rPr>
                <w:rFonts w:ascii="宋体" w:hAnsi="宋体"/>
                <w:bCs/>
                <w:color w:val="000000"/>
                <w:spacing w:val="20"/>
                <w:szCs w:val="21"/>
                <w:highlight w:val="none"/>
              </w:rPr>
              <w:t xml:space="preserve">投标</w:t>
            </w:r>
            <w:r>
              <w:rPr>
                <w:rFonts w:hint="eastAsia" w:ascii="宋体" w:hAnsi="宋体"/>
                <w:bCs/>
                <w:color w:val="000000"/>
                <w:spacing w:val="20"/>
                <w:szCs w:val="21"/>
                <w:highlight w:val="none"/>
              </w:rPr>
              <w:t xml:space="preserve">总</w:t>
            </w:r>
            <w:r>
              <w:rPr>
                <w:rFonts w:ascii="宋体" w:hAnsi="宋体"/>
                <w:bCs/>
                <w:color w:val="000000"/>
                <w:spacing w:val="20"/>
                <w:szCs w:val="21"/>
                <w:highlight w:val="none"/>
              </w:rPr>
              <w:t xml:space="preserve">报价（人民币大写）：</w:t>
            </w:r>
            <w:r>
              <w:rPr>
                <w:rFonts w:hint="eastAsia" w:ascii="宋体" w:hAnsi="宋体"/>
                <w:bCs/>
                <w:color w:val="000000"/>
                <w:spacing w:val="20"/>
                <w:szCs w:val="21"/>
                <w:highlight w:val="none"/>
              </w:rPr>
              <w:t xml:space="preserve">                小写金额：</w:t>
            </w:r>
            <w:r>
              <w:rPr>
                <w:rFonts w:ascii="宋体" w:hAnsi="宋体"/>
                <w:b/>
                <w:color w:val="000000"/>
                <w:spacing w:val="20"/>
                <w:szCs w:val="21"/>
                <w:highlight w:val="none"/>
              </w:rPr>
            </w:r>
            <w:r/>
          </w:p>
        </w:tc>
      </w:tr>
    </w:tbl>
    <w:p>
      <w:pPr>
        <w:pStyle w:val="1011"/>
        <w:ind w:firstLine="0"/>
        <w:jc w:val="both"/>
        <w:spacing w:line="360" w:lineRule="auto"/>
        <w:rPr>
          <w:rFonts w:ascii="宋体" w:hAnsi="宋体"/>
          <w:color w:val="000000"/>
          <w:sz w:val="21"/>
          <w:szCs w:val="21"/>
          <w:highlight w:val="none"/>
        </w:rPr>
        <w:outlineLvl w:val="1"/>
      </w:pPr>
      <w:r>
        <w:rPr>
          <w:rFonts w:ascii="宋体" w:hAnsi="宋体"/>
          <w:color w:val="000000"/>
          <w:sz w:val="21"/>
          <w:szCs w:val="21"/>
          <w:highlight w:val="none"/>
        </w:rPr>
      </w:r>
      <w:r/>
    </w:p>
    <w:p>
      <w:pPr>
        <w:pStyle w:val="682"/>
        <w:ind w:firstLine="500"/>
        <w:spacing w:line="360" w:lineRule="auto"/>
        <w:tabs>
          <w:tab w:val="left" w:pos="1320" w:leader="none"/>
        </w:tabs>
        <w:rPr>
          <w:rFonts w:ascii="宋体" w:hAnsi="宋体" w:cs="宋体"/>
          <w:color w:val="000000"/>
          <w:szCs w:val="21"/>
          <w:highlight w:val="none"/>
        </w:rPr>
      </w:pPr>
      <w:r>
        <w:rPr>
          <w:rFonts w:hint="eastAsia" w:ascii="宋体" w:hAnsi="宋体" w:cs="宋体"/>
          <w:color w:val="000000"/>
          <w:spacing w:val="20"/>
          <w:szCs w:val="21"/>
          <w:highlight w:val="none"/>
        </w:rPr>
        <w:t xml:space="preserve">注：</w:t>
      </w:r>
      <w:r>
        <w:rPr>
          <w:rFonts w:hint="eastAsia" w:ascii="宋体" w:hAnsi="宋体" w:cs="宋体"/>
          <w:color w:val="000000"/>
          <w:szCs w:val="21"/>
          <w:highlight w:val="none"/>
        </w:rPr>
        <w:t xml:space="preserve">1.报价金额全部采取人民币表示，否则为无效标。</w:t>
      </w:r>
      <w:r>
        <w:rPr>
          <w:rFonts w:ascii="宋体" w:hAnsi="宋体" w:cs="宋体"/>
          <w:color w:val="000000"/>
          <w:szCs w:val="21"/>
          <w:highlight w:val="none"/>
        </w:rPr>
      </w:r>
      <w:r/>
    </w:p>
    <w:p>
      <w:pPr>
        <w:pStyle w:val="682"/>
        <w:ind w:firstLine="420"/>
        <w:spacing w:line="360" w:lineRule="auto"/>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2.投标总报价大写金额须与小写金额一致，如不一致，以大写金额为准。</w:t>
      </w:r>
      <w:r>
        <w:rPr>
          <w:rFonts w:ascii="宋体" w:hAnsi="宋体" w:cs="宋体"/>
          <w:color w:val="000000"/>
          <w:szCs w:val="21"/>
          <w:highlight w:val="none"/>
        </w:rPr>
      </w:r>
      <w:r/>
    </w:p>
    <w:p>
      <w:pPr>
        <w:pStyle w:val="1011"/>
        <w:ind w:firstLine="0"/>
        <w:jc w:val="both"/>
        <w:spacing w:line="360" w:lineRule="auto"/>
        <w:rPr>
          <w:rFonts w:ascii="宋体" w:hAnsi="宋体"/>
          <w:color w:val="000000"/>
          <w:sz w:val="21"/>
          <w:szCs w:val="21"/>
          <w:highlight w:val="none"/>
        </w:rPr>
        <w:outlineLvl w:val="1"/>
      </w:pPr>
      <w:r>
        <w:rPr>
          <w:rFonts w:ascii="宋体" w:hAnsi="宋体"/>
          <w:color w:val="000000"/>
          <w:sz w:val="21"/>
          <w:szCs w:val="21"/>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682"/>
        <w:jc w:val="left"/>
        <w:rPr>
          <w:rFonts w:ascii="宋体" w:hAnsi="宋体"/>
          <w:b/>
          <w:color w:val="000000"/>
          <w:szCs w:val="21"/>
          <w:highlight w:val="none"/>
        </w:rPr>
      </w:pPr>
      <w:r>
        <w:rPr>
          <w:rFonts w:ascii="宋体" w:hAnsi="宋体"/>
          <w:b/>
          <w:color w:val="000000"/>
          <w:szCs w:val="21"/>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r>
      <w:r/>
    </w:p>
    <w:p>
      <w:pPr>
        <w:pStyle w:val="682"/>
        <w:rPr>
          <w:rFonts w:ascii="宋体" w:hAnsi="宋体" w:cs="宋体"/>
          <w:b/>
          <w:color w:val="000000"/>
          <w:szCs w:val="21"/>
          <w:highlight w:val="none"/>
        </w:rPr>
      </w:pPr>
      <w:r>
        <w:rPr>
          <w:rFonts w:ascii="宋体" w:hAnsi="宋体" w:cs="宋体"/>
          <w:b/>
          <w:color w:val="000000"/>
          <w:szCs w:val="21"/>
          <w:highlight w:val="none"/>
        </w:rPr>
      </w:r>
      <w:r/>
    </w:p>
    <w:p>
      <w:pPr>
        <w:pStyle w:val="1011"/>
        <w:ind w:firstLine="0"/>
        <w:jc w:val="both"/>
        <w:rPr>
          <w:rFonts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4、</w:t>
      </w:r>
      <w:r>
        <w:rPr>
          <w:rFonts w:hint="eastAsia" w:ascii="宋体" w:hAnsi="宋体"/>
          <w:b/>
          <w:color w:val="000000"/>
          <w:sz w:val="21"/>
          <w:szCs w:val="21"/>
          <w:highlight w:val="none"/>
        </w:rPr>
        <w:t xml:space="preserve">公开分项报价</w:t>
      </w:r>
      <w:r>
        <w:rPr>
          <w:rFonts w:ascii="宋体" w:hAnsi="宋体" w:cs="宋体"/>
          <w:b/>
          <w:color w:val="000000"/>
          <w:sz w:val="21"/>
          <w:szCs w:val="21"/>
          <w:highlight w:val="none"/>
        </w:rPr>
      </w:r>
      <w:r/>
    </w:p>
    <w:p>
      <w:pPr>
        <w:pStyle w:val="682"/>
        <w:jc w:val="center"/>
        <w:spacing w:before="100" w:beforeAutospacing="1" w:after="100" w:afterAutospacing="1"/>
        <w:rPr>
          <w:rFonts w:ascii="宋体" w:hAnsi="宋体"/>
          <w:b/>
          <w:color w:val="000000"/>
          <w:szCs w:val="21"/>
          <w:highlight w:val="none"/>
        </w:rPr>
      </w:pPr>
      <w:r>
        <w:rPr>
          <w:rFonts w:hint="eastAsia" w:ascii="宋体" w:hAnsi="宋体"/>
          <w:b/>
          <w:color w:val="000000"/>
          <w:szCs w:val="21"/>
          <w:highlight w:val="none"/>
        </w:rPr>
        <w:t xml:space="preserve">公开分项报价</w:t>
      </w:r>
      <w:r>
        <w:rPr>
          <w:rFonts w:ascii="宋体" w:hAnsi="宋体"/>
          <w:b/>
          <w:color w:val="000000"/>
          <w:szCs w:val="21"/>
          <w:highlight w:val="none"/>
        </w:rPr>
      </w:r>
      <w:r/>
    </w:p>
    <w:p>
      <w:pPr>
        <w:pStyle w:val="892"/>
        <w:jc w:val="both"/>
        <w:rPr>
          <w:rFonts w:ascii="宋体" w:hAnsi="宋体"/>
          <w:color w:val="000000"/>
          <w:sz w:val="21"/>
          <w:szCs w:val="21"/>
          <w:highlight w:val="none"/>
        </w:rPr>
      </w:pPr>
      <w:r>
        <w:rPr>
          <w:rFonts w:hint="eastAsia" w:ascii="宋体" w:hAnsi="宋体"/>
          <w:color w:val="000000"/>
          <w:sz w:val="21"/>
          <w:szCs w:val="21"/>
          <w:highlight w:val="none"/>
        </w:rPr>
        <w:t xml:space="preserve">                                                  单位：元（人民币）</w:t>
      </w:r>
      <w:r>
        <w:rPr>
          <w:rFonts w:ascii="宋体" w:hAnsi="宋体"/>
          <w:color w:val="000000"/>
          <w:sz w:val="21"/>
          <w:szCs w:val="21"/>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885"/>
        <w:gridCol w:w="936"/>
        <w:gridCol w:w="641"/>
        <w:gridCol w:w="491"/>
        <w:gridCol w:w="427"/>
        <w:gridCol w:w="846"/>
        <w:gridCol w:w="3846"/>
      </w:tblGrid>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885"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标的物名称</w:t>
            </w: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品牌、规格型号</w:t>
            </w:r>
            <w:r>
              <w:rPr>
                <w:rFonts w:ascii="宋体" w:hAnsi="宋体"/>
                <w:color w:val="000000"/>
                <w:szCs w:val="21"/>
                <w:highlight w:val="none"/>
              </w:rPr>
            </w:r>
            <w:r/>
          </w:p>
        </w:tc>
        <w:tc>
          <w:tcPr>
            <w:tcW w:w="641"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生产厂家</w:t>
            </w: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单位</w:t>
            </w: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数量</w:t>
            </w:r>
            <w:r>
              <w:rPr>
                <w:rFonts w:ascii="宋体" w:hAnsi="宋体"/>
                <w:color w:val="000000"/>
                <w:szCs w:val="21"/>
                <w:highlight w:val="none"/>
              </w:rPr>
            </w:r>
            <w:r/>
          </w:p>
        </w:tc>
        <w:tc>
          <w:tcPr>
            <w:tcW w:w="846"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综合单价（元）</w:t>
            </w:r>
            <w:r>
              <w:rPr>
                <w:rFonts w:ascii="宋体" w:hAnsi="宋体"/>
                <w:color w:val="000000"/>
                <w:szCs w:val="21"/>
                <w:highlight w:val="none"/>
              </w:rPr>
            </w:r>
            <w:r/>
          </w:p>
        </w:tc>
        <w:tc>
          <w:tcPr>
            <w:tcW w:w="3847"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小计金额（元）</w:t>
            </w: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W w:w="885" w:type="dxa"/>
            <w:vAlign w:val="center"/>
            <w:textDirection w:val="lrTb"/>
            <w:noWrap w:val="false"/>
          </w:tcPr>
          <w:p>
            <w:pPr>
              <w:pStyle w:val="682"/>
              <w:widowControl/>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tc>
        <w:tc>
          <w:tcPr>
            <w:tcW w:w="885"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936"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641"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91"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427"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846"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W w:w="3847"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23"/>
        </w:trPr>
        <w:tc>
          <w:tcPr>
            <w:tcW w:w="440" w:type="dxa"/>
            <w:vAlign w:val="center"/>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7"/>
            <w:tcW w:w="8073" w:type="dxa"/>
            <w:vAlign w:val="center"/>
            <w:textDirection w:val="lrTb"/>
            <w:noWrap w:val="false"/>
          </w:tcPr>
          <w:p>
            <w:pPr>
              <w:pStyle w:val="682"/>
              <w:jc w:val="left"/>
              <w:spacing w:line="360" w:lineRule="auto"/>
              <w:rPr>
                <w:rFonts w:ascii="宋体" w:hAnsi="宋体"/>
                <w:color w:val="000000"/>
                <w:szCs w:val="21"/>
                <w:highlight w:val="none"/>
              </w:rPr>
            </w:pPr>
            <w:r>
              <w:rPr>
                <w:rFonts w:hint="eastAsia" w:ascii="宋体" w:hAnsi="宋体"/>
                <w:b/>
                <w:color w:val="000000"/>
                <w:szCs w:val="21"/>
                <w:highlight w:val="none"/>
              </w:rPr>
              <w:t xml:space="preserve">合计</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元（大写： </w:t>
            </w:r>
            <w:r>
              <w:rPr>
                <w:rFonts w:ascii="宋体" w:hAnsi="宋体"/>
                <w:color w:val="000000"/>
                <w:szCs w:val="21"/>
                <w:highlight w:val="none"/>
              </w:rPr>
              <w:t xml:space="preserve">                </w:t>
            </w:r>
            <w:r>
              <w:rPr>
                <w:rFonts w:hint="eastAsia" w:ascii="宋体" w:hAnsi="宋体"/>
                <w:color w:val="000000"/>
                <w:szCs w:val="21"/>
                <w:highlight w:val="none"/>
              </w:rPr>
              <w:t xml:space="preserve">）</w:t>
            </w:r>
            <w:r>
              <w:rPr>
                <w:rFonts w:ascii="宋体" w:hAnsi="宋体"/>
                <w:color w:val="000000"/>
                <w:szCs w:val="21"/>
                <w:highlight w:val="none"/>
              </w:rPr>
            </w:r>
            <w:r/>
          </w:p>
        </w:tc>
      </w:tr>
    </w:tbl>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注：1.报价表包含投标单位各项成本核算和投入的成本明细，合计金额应与《开标一览表》合计金额一致；否则，以《开标一览表》为准。</w:t>
      </w:r>
      <w:r>
        <w:rPr>
          <w:rFonts w:ascii="宋体" w:hAnsi="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2.税金(含增值税、城市维护建设税、教育税附加、地方教育税附加、企业所得税。)按照投标单位实际应缴税率计算（中标后，中标单位须按照增值税所投报税率开具发票方可结算费用）。</w:t>
      </w:r>
      <w:r>
        <w:rPr>
          <w:rFonts w:ascii="宋体" w:hAnsi="宋体" w:cs="宋体"/>
          <w:color w:val="000000"/>
          <w:szCs w:val="21"/>
          <w:highlight w:val="none"/>
        </w:rPr>
      </w:r>
      <w:r/>
    </w:p>
    <w:p>
      <w:pPr>
        <w:pStyle w:val="68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3.应结算金额=成交综合单价*实际数量。</w:t>
      </w:r>
      <w:r>
        <w:rPr>
          <w:rFonts w:ascii="宋体" w:hAnsi="宋体" w:cs="宋体"/>
          <w:color w:val="000000"/>
          <w:szCs w:val="21"/>
          <w:highlight w:val="none"/>
        </w:rPr>
      </w:r>
      <w:r/>
    </w:p>
    <w:p>
      <w:pPr>
        <w:pStyle w:val="682"/>
        <w:ind w:firstLine="420"/>
        <w:spacing w:line="360" w:lineRule="auto"/>
        <w:rPr>
          <w:rFonts w:ascii="宋体" w:hAnsi="宋体"/>
          <w:color w:val="000000"/>
          <w:sz w:val="24"/>
          <w:highlight w:val="none"/>
        </w:rPr>
      </w:pPr>
      <w:r>
        <w:rPr>
          <w:rFonts w:hint="eastAsia" w:ascii="宋体" w:hAnsi="宋体"/>
          <w:color w:val="000000"/>
          <w:szCs w:val="21"/>
          <w:highlight w:val="none"/>
        </w:rPr>
        <w:t xml:space="preserve">4.各投标人应根据此表格式按项目分别填写报价详细清单，栏数不够可自加。</w:t>
      </w:r>
      <w:r>
        <w:rPr>
          <w:rFonts w:ascii="宋体" w:hAnsi="宋体"/>
          <w:color w:val="000000"/>
          <w:sz w:val="24"/>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682"/>
        <w:rPr>
          <w:rFonts w:ascii="宋体" w:hAnsi="宋体" w:cs="宋体"/>
          <w:b/>
          <w:bCs/>
          <w:color w:val="000000"/>
          <w:szCs w:val="21"/>
          <w:highlight w:val="none"/>
        </w:rPr>
        <w:outlineLvl w:val="1"/>
      </w:pPr>
      <w:r>
        <w:rPr>
          <w:rFonts w:ascii="宋体" w:hAnsi="宋体" w:cs="宋体"/>
          <w:b/>
          <w:bCs/>
          <w:color w:val="000000"/>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682"/>
        <w:rPr>
          <w:rFonts w:ascii="宋体" w:hAnsi="宋体" w:cs="宋体"/>
          <w:b/>
          <w:color w:val="000000"/>
          <w:szCs w:val="21"/>
          <w:highlight w:val="none"/>
        </w:rPr>
      </w:pPr>
      <w:r>
        <w:rPr>
          <w:rFonts w:hint="eastAsia" w:ascii="宋体" w:hAnsi="宋体" w:cs="宋体"/>
          <w:b/>
          <w:color w:val="000000"/>
          <w:szCs w:val="21"/>
          <w:highlight w:val="none"/>
        </w:rPr>
        <w:br w:type="page" w:clear="all"/>
      </w:r>
      <w:r>
        <w:rPr>
          <w:rFonts w:ascii="宋体" w:hAnsi="宋体" w:cs="宋体"/>
          <w:b/>
          <w:color w:val="000000"/>
          <w:szCs w:val="21"/>
          <w:highlight w:val="none"/>
        </w:rPr>
      </w:r>
      <w:r/>
    </w:p>
    <w:p>
      <w:pPr>
        <w:pStyle w:val="1011"/>
        <w:ind w:firstLine="0"/>
        <w:jc w:val="both"/>
        <w:rPr>
          <w:rFonts w:ascii="宋体" w:hAnsi="宋体" w:cs="宋体"/>
          <w:b/>
          <w:bCs/>
          <w:color w:val="000000"/>
          <w:sz w:val="21"/>
          <w:szCs w:val="21"/>
          <w:highlight w:val="none"/>
        </w:rPr>
        <w:outlineLvl w:val="1"/>
      </w:pPr>
      <w:r>
        <w:rPr>
          <w:rFonts w:hint="eastAsia" w:ascii="宋体" w:hAnsi="宋体" w:cs="宋体"/>
          <w:b/>
          <w:color w:val="000000"/>
          <w:sz w:val="21"/>
          <w:szCs w:val="21"/>
          <w:highlight w:val="none"/>
        </w:rPr>
        <w:t xml:space="preserve">5、技术要求偏离表</w:t>
      </w:r>
      <w:r>
        <w:rPr>
          <w:rFonts w:ascii="宋体" w:hAnsi="宋体" w:cs="宋体"/>
          <w:b/>
          <w:bCs/>
          <w:color w:val="000000"/>
          <w:sz w:val="21"/>
          <w:szCs w:val="21"/>
          <w:highlight w:val="none"/>
        </w:rPr>
      </w:r>
      <w:r/>
    </w:p>
    <w:p>
      <w:pPr>
        <w:pStyle w:val="682"/>
        <w:ind w:firstLine="42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技术要求偏离表</w:t>
      </w:r>
      <w:r>
        <w:rPr>
          <w:rFonts w:ascii="宋体" w:hAnsi="宋体" w:cs="宋体"/>
          <w:b/>
          <w:bCs/>
          <w:color w:val="000000"/>
          <w:szCs w:val="21"/>
          <w:highlight w:val="none"/>
        </w:rPr>
      </w:r>
      <w:r/>
    </w:p>
    <w:p>
      <w:pPr>
        <w:pStyle w:val="800"/>
        <w:rPr>
          <w:rFonts w:cs="宋体"/>
          <w:color w:val="000000"/>
          <w:szCs w:val="21"/>
          <w:highlight w:val="none"/>
        </w:rPr>
      </w:pPr>
      <w:r>
        <w:rPr>
          <w:rFonts w:cs="宋体"/>
          <w:color w:val="000000"/>
          <w:szCs w:val="21"/>
          <w:highlight w:val="none"/>
        </w:rPr>
      </w:r>
      <w:r/>
    </w:p>
    <w:tbl>
      <w:tblPr>
        <w:tblW w:w="4998" w:type="pct"/>
        <w:tblInd w:w="-6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48"/>
        <w:gridCol w:w="1684"/>
        <w:gridCol w:w="1805"/>
        <w:gridCol w:w="1563"/>
        <w:gridCol w:w="1202"/>
      </w:tblGrid>
      <w:tr>
        <w:trPr>
          <w:trHeight w:val="760"/>
        </w:trPr>
        <w:tc>
          <w:tcPr>
            <w:tcW w:w="365"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项目</w:t>
            </w: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投标内容</w:t>
            </w: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偏离说明</w:t>
            </w:r>
            <w:r>
              <w:rPr>
                <w:rFonts w:ascii="宋体" w:hAnsi="宋体"/>
                <w:color w:val="000000"/>
                <w:szCs w:val="21"/>
                <w:highlight w:val="none"/>
              </w:rPr>
            </w:r>
            <w:r/>
          </w:p>
        </w:tc>
        <w:tc>
          <w:tcPr>
            <w:tcW w:w="714" w:type="dxa"/>
            <w:vAlign w:val="top"/>
            <w:textDirection w:val="lrTb"/>
            <w:noWrap w:val="false"/>
          </w:tcPr>
          <w:p>
            <w:pPr>
              <w:pStyle w:val="682"/>
              <w:jc w:val="center"/>
              <w:spacing w:line="600" w:lineRule="auto"/>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495"/>
        </w:trPr>
        <w:tc>
          <w:tcPr>
            <w:tcW w:w="3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365"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19"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00"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072"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92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714"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bl>
    <w:p>
      <w:pPr>
        <w:pStyle w:val="682"/>
        <w:ind w:firstLine="420"/>
        <w:rPr>
          <w:rFonts w:ascii="宋体" w:hAnsi="宋体" w:cs="宋体"/>
          <w:color w:val="000000"/>
          <w:szCs w:val="21"/>
          <w:highlight w:val="none"/>
        </w:rPr>
      </w:pPr>
      <w:r>
        <w:rPr>
          <w:rFonts w:ascii="宋体" w:hAnsi="宋体" w:cs="宋体"/>
          <w:color w:val="000000"/>
          <w:szCs w:val="21"/>
          <w:highlight w:val="none"/>
        </w:rPr>
      </w:r>
      <w:r/>
    </w:p>
    <w:p>
      <w:pPr>
        <w:pStyle w:val="682"/>
        <w:ind w:firstLine="420"/>
        <w:rPr>
          <w:rFonts w:ascii="宋体" w:hAnsi="宋体" w:cs="宋体"/>
          <w:color w:val="000000"/>
          <w:szCs w:val="21"/>
          <w:highlight w:val="none"/>
        </w:rPr>
      </w:pPr>
      <w:r>
        <w:rPr>
          <w:rFonts w:ascii="宋体" w:hAnsi="宋体" w:cs="宋体"/>
          <w:color w:val="000000"/>
          <w:szCs w:val="21"/>
          <w:highlight w:val="none"/>
        </w:rPr>
      </w:r>
      <w:r/>
    </w:p>
    <w:p>
      <w:pPr>
        <w:pStyle w:val="682"/>
        <w:ind w:firstLine="420"/>
        <w:rPr>
          <w:rFonts w:ascii="宋体" w:hAnsi="宋体" w:cs="宋体"/>
          <w:color w:val="000000"/>
          <w:szCs w:val="21"/>
          <w:highlight w:val="none"/>
        </w:rPr>
      </w:pPr>
      <w:r>
        <w:rPr>
          <w:rFonts w:ascii="宋体" w:hAnsi="宋体" w:cs="宋体"/>
          <w:color w:val="000000"/>
          <w:szCs w:val="21"/>
          <w:highlight w:val="none"/>
        </w:rPr>
      </w:r>
      <w:r/>
    </w:p>
    <w:p>
      <w:pPr>
        <w:pStyle w:val="682"/>
        <w:ind w:firstLine="420"/>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注：投标人应在本表中对照招标文件技术要求逐项对应列出响应内容，并在“偏离说明”项下填写以下内容：优于的，填写“正偏离”；符合的，填写“无偏离”；低于的，填写“负偏离”。</w:t>
      </w:r>
      <w:r>
        <w:rPr>
          <w:rFonts w:ascii="宋体" w:hAnsi="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以上表格内容不够的请自行添加。</w:t>
      </w:r>
      <w:r>
        <w:rPr>
          <w:rFonts w:ascii="宋体" w:hAnsi="宋体"/>
          <w:color w:val="000000"/>
          <w:szCs w:val="21"/>
          <w:highlight w:val="none"/>
        </w:rPr>
      </w:r>
      <w:r/>
    </w:p>
    <w:p>
      <w:pPr>
        <w:pStyle w:val="682"/>
        <w:rPr>
          <w:rFonts w:ascii="宋体" w:hAnsi="宋体"/>
          <w:color w:val="000000"/>
          <w:szCs w:val="21"/>
          <w:highlight w:val="none"/>
        </w:rPr>
      </w:pPr>
      <w:r>
        <w:rPr>
          <w:rFonts w:ascii="宋体" w:hAnsi="宋体"/>
          <w:color w:val="000000"/>
          <w:szCs w:val="21"/>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1062"/>
        <w:spacing w:line="360" w:lineRule="auto"/>
        <w:rPr>
          <w:rFonts w:hAnsi="宋体"/>
          <w:b/>
          <w:color w:val="000000"/>
          <w:highlight w:val="none"/>
        </w:rPr>
      </w:pPr>
      <w:r>
        <w:rPr>
          <w:rFonts w:hAnsi="宋体"/>
          <w:b/>
          <w:color w:val="000000"/>
          <w:highlight w:val="none"/>
        </w:rPr>
      </w:r>
      <w:r/>
    </w:p>
    <w:p>
      <w:pPr>
        <w:pStyle w:val="682"/>
        <w:rPr>
          <w:rFonts w:hAnsi="宋体" w:cs="宋体"/>
          <w:b/>
          <w:bCs/>
          <w:color w:val="000000"/>
          <w:highlight w:val="none"/>
        </w:rPr>
        <w:outlineLvl w:val="1"/>
      </w:pPr>
      <w:r>
        <w:rPr>
          <w:rFonts w:hint="eastAsia" w:hAnsi="宋体" w:cs="宋体"/>
          <w:b/>
          <w:color w:val="000000"/>
          <w:szCs w:val="21"/>
          <w:highlight w:val="none"/>
        </w:rPr>
        <w:br w:type="page" w:clear="all"/>
      </w:r>
      <w:r>
        <w:rPr>
          <w:rFonts w:hAnsi="宋体" w:cs="宋体"/>
          <w:b/>
          <w:bCs/>
          <w:color w:val="000000"/>
          <w:highlight w:val="none"/>
        </w:rPr>
      </w:r>
      <w:r/>
    </w:p>
    <w:p>
      <w:pPr>
        <w:pStyle w:val="1062"/>
        <w:spacing w:line="360" w:lineRule="auto"/>
        <w:rPr>
          <w:rFonts w:hAnsi="宋体" w:cs="宋体"/>
          <w:b/>
          <w:bCs/>
          <w:color w:val="000000"/>
          <w:highlight w:val="none"/>
        </w:rPr>
        <w:outlineLvl w:val="1"/>
      </w:pPr>
      <w:r>
        <w:rPr>
          <w:rFonts w:hint="eastAsia" w:hAnsi="宋体" w:cs="宋体"/>
          <w:b/>
          <w:color w:val="000000"/>
          <w:szCs w:val="21"/>
          <w:highlight w:val="none"/>
        </w:rPr>
        <w:t xml:space="preserve">6、商务条款偏离表</w:t>
      </w:r>
      <w:r>
        <w:rPr>
          <w:rFonts w:hAnsi="宋体" w:cs="宋体"/>
          <w:b/>
          <w:bCs/>
          <w:color w:val="000000"/>
          <w:highlight w:val="none"/>
        </w:rPr>
      </w:r>
      <w:r/>
    </w:p>
    <w:p>
      <w:pPr>
        <w:pStyle w:val="1011"/>
        <w:ind w:firstLine="0"/>
        <w:jc w:val="center"/>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商务条款偏离表</w:t>
      </w:r>
      <w:r>
        <w:rPr>
          <w:rFonts w:ascii="宋体" w:hAnsi="宋体" w:cs="宋体"/>
          <w:b/>
          <w:color w:val="000000"/>
          <w:sz w:val="21"/>
          <w:szCs w:val="21"/>
          <w:highlight w:val="none"/>
        </w:rPr>
      </w:r>
      <w:r/>
    </w:p>
    <w:p>
      <w:pPr>
        <w:pStyle w:val="682"/>
        <w:ind w:firstLine="420"/>
        <w:rPr>
          <w:rFonts w:ascii="宋体" w:hAnsi="宋体" w:cs="宋体"/>
          <w:color w:val="000000"/>
          <w:szCs w:val="21"/>
          <w:highlight w:val="none"/>
        </w:rPr>
      </w:pPr>
      <w:r>
        <w:rPr>
          <w:rFonts w:ascii="宋体" w:hAnsi="宋体" w:cs="宋体"/>
          <w:color w:val="000000"/>
          <w:szCs w:val="21"/>
          <w:highlight w:val="none"/>
        </w:rPr>
      </w:r>
      <w:r/>
    </w:p>
    <w:tbl>
      <w:tblPr>
        <w:tblW w:w="4998" w:type="pct"/>
        <w:tblInd w:w="-6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48"/>
        <w:gridCol w:w="1684"/>
        <w:gridCol w:w="1805"/>
        <w:gridCol w:w="1563"/>
        <w:gridCol w:w="1202"/>
      </w:tblGrid>
      <w:tr>
        <w:trPr>
          <w:trHeight w:val="760"/>
        </w:trPr>
        <w:tc>
          <w:tcPr>
            <w:tcW w:w="717"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项目</w:t>
            </w: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投标内容</w:t>
            </w: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偏离说明</w:t>
            </w:r>
            <w:r>
              <w:rPr>
                <w:rFonts w:ascii="宋体" w:hAnsi="宋体"/>
                <w:color w:val="000000"/>
                <w:szCs w:val="21"/>
                <w:highlight w:val="none"/>
              </w:rPr>
            </w:r>
            <w:r/>
          </w:p>
        </w:tc>
        <w:tc>
          <w:tcPr>
            <w:tcW w:w="1202" w:type="dxa"/>
            <w:vAlign w:val="center"/>
            <w:textDirection w:val="lrTb"/>
            <w:noWrap w:val="false"/>
          </w:tcPr>
          <w:p>
            <w:pPr>
              <w:pStyle w:val="682"/>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495"/>
        </w:trPr>
        <w:tc>
          <w:tcPr>
            <w:tcW w:w="717"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r>
        <w:trPr>
          <w:cantSplit/>
          <w:trHeight w:val="495"/>
        </w:trPr>
        <w:tc>
          <w:tcPr>
            <w:tcW w:w="717"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48"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684"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80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563"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W w:w="1202" w:type="dxa"/>
            <w:vAlign w:val="top"/>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r>
    </w:tbl>
    <w:p>
      <w:pPr>
        <w:pStyle w:val="682"/>
        <w:ind w:firstLine="420"/>
        <w:rPr>
          <w:rFonts w:ascii="宋体" w:hAnsi="宋体" w:cs="宋体"/>
          <w:color w:val="000000"/>
          <w:szCs w:val="21"/>
          <w:highlight w:val="none"/>
        </w:rPr>
      </w:pPr>
      <w:r>
        <w:rPr>
          <w:rFonts w:ascii="宋体" w:hAnsi="宋体" w:cs="宋体"/>
          <w:color w:val="000000"/>
          <w:szCs w:val="21"/>
          <w:highlight w:val="none"/>
        </w:rPr>
      </w:r>
      <w:r/>
    </w:p>
    <w:p>
      <w:pPr>
        <w:pStyle w:val="682"/>
        <w:rPr>
          <w:rFonts w:ascii="宋体" w:hAnsi="宋体" w:cs="宋体"/>
          <w:color w:val="000000"/>
          <w:szCs w:val="21"/>
          <w:highlight w:val="none"/>
        </w:rPr>
      </w:pPr>
      <w:r>
        <w:rPr>
          <w:rFonts w:ascii="宋体" w:hAnsi="宋体" w:cs="宋体"/>
          <w:color w:val="000000"/>
          <w:szCs w:val="21"/>
          <w:highlight w:val="none"/>
        </w:rPr>
      </w:r>
      <w:r/>
    </w:p>
    <w:p>
      <w:pPr>
        <w:pStyle w:val="682"/>
        <w:ind w:firstLine="420"/>
        <w:rPr>
          <w:rFonts w:ascii="宋体" w:hAnsi="宋体" w:cs="宋体"/>
          <w:color w:val="000000"/>
          <w:szCs w:val="21"/>
          <w:highlight w:val="none"/>
        </w:rPr>
      </w:pPr>
      <w:r>
        <w:rPr>
          <w:rFonts w:ascii="宋体" w:hAnsi="宋体" w:cs="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w:t>
      </w:r>
      <w:r>
        <w:rPr>
          <w:rFonts w:hint="eastAsia" w:ascii="宋体" w:hAnsi="宋体"/>
          <w:color w:val="000000"/>
          <w:highlight w:val="none"/>
        </w:rPr>
        <w:t xml:space="preserve">投标人应在本表中对照招标文件商务条款要求逐项对应列出响应内容，并在“偏离说明”项下填写以下内容：优于的，填写“正偏离”；符合的，填写“无偏离”；低于的，填写“负偏离”。</w:t>
      </w:r>
      <w:r>
        <w:rPr>
          <w:rFonts w:ascii="宋体" w:hAnsi="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以上表格内容不够的请自行添加。</w:t>
      </w:r>
      <w:r>
        <w:rPr>
          <w:rFonts w:ascii="宋体" w:hAnsi="宋体"/>
          <w:color w:val="000000"/>
          <w:szCs w:val="21"/>
          <w:highlight w:val="none"/>
        </w:rPr>
      </w:r>
      <w:r/>
    </w:p>
    <w:p>
      <w:pPr>
        <w:pStyle w:val="1062"/>
        <w:rPr>
          <w:rFonts w:hAnsi="宋体"/>
          <w:color w:val="000000"/>
          <w:sz w:val="24"/>
          <w:highlight w:val="none"/>
        </w:rPr>
      </w:pPr>
      <w:r>
        <w:rPr>
          <w:rFonts w:hAnsi="宋体"/>
          <w:color w:val="000000"/>
          <w:sz w:val="24"/>
          <w:highlight w:val="none"/>
        </w:rPr>
      </w:r>
      <w:r/>
    </w:p>
    <w:p>
      <w:pPr>
        <w:pStyle w:val="1062"/>
        <w:rPr>
          <w:rFonts w:hAnsi="宋体"/>
          <w:color w:val="000000"/>
          <w:sz w:val="24"/>
          <w:highlight w:val="none"/>
        </w:rPr>
      </w:pPr>
      <w:r>
        <w:rPr>
          <w:rFonts w:hAnsi="宋体"/>
          <w:color w:val="000000"/>
          <w:sz w:val="24"/>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1011"/>
        <w:ind w:firstLine="0"/>
        <w:jc w:val="both"/>
        <w:rPr>
          <w:rFonts w:ascii="宋体" w:hAnsi="宋体"/>
          <w:b/>
          <w:color w:val="000000"/>
          <w:highlight w:val="none"/>
        </w:rPr>
        <w:outlineLvl w:val="1"/>
      </w:pPr>
      <w:r>
        <w:rPr>
          <w:rFonts w:ascii="宋体" w:hAnsi="宋体"/>
          <w:b/>
          <w:color w:val="000000"/>
          <w:highlight w:val="none"/>
        </w:rPr>
        <w:br w:type="page" w:clear="all"/>
      </w:r>
      <w:r>
        <w:rPr>
          <w:rFonts w:ascii="宋体" w:hAnsi="宋体"/>
          <w:b/>
          <w:color w:val="000000"/>
          <w:highlight w:val="none"/>
        </w:rPr>
      </w:r>
      <w:r/>
    </w:p>
    <w:p>
      <w:pPr>
        <w:pStyle w:val="1067"/>
        <w:rPr>
          <w:rFonts w:ascii="宋体" w:hAnsi="宋体" w:eastAsia="宋体" w:cs="宋体"/>
          <w:highlight w:val="none"/>
        </w:rPr>
      </w:pPr>
      <w:r>
        <w:rPr>
          <w:rFonts w:hint="eastAsia" w:ascii="宋体" w:hAnsi="宋体" w:eastAsia="宋体" w:cs="宋体"/>
          <w:b/>
          <w:highlight w:val="none"/>
        </w:rPr>
        <w:t xml:space="preserve">7、</w:t>
      </w:r>
      <w:r>
        <w:rPr>
          <w:rFonts w:hint="eastAsia" w:ascii="宋体" w:hAnsi="宋体" w:eastAsia="宋体" w:cs="宋体"/>
          <w:b/>
          <w:bCs/>
          <w:highlight w:val="none"/>
          <w:lang w:val="zh-TW" w:eastAsia="zh-TW"/>
        </w:rPr>
        <w:t xml:space="preserve">人员情况表</w:t>
      </w:r>
      <w:r>
        <w:rPr>
          <w:rFonts w:ascii="宋体" w:hAnsi="宋体" w:eastAsia="宋体" w:cs="宋体"/>
          <w:highlight w:val="none"/>
        </w:rPr>
      </w:r>
      <w:r/>
    </w:p>
    <w:p>
      <w:pPr>
        <w:pStyle w:val="1011"/>
        <w:ind w:firstLine="0"/>
        <w:jc w:val="center"/>
        <w:rPr>
          <w:rFonts w:ascii="宋体" w:hAnsi="宋体" w:cs="宋体"/>
          <w:b/>
          <w:bCs/>
          <w:color w:val="000000"/>
          <w:highlight w:val="none"/>
        </w:rPr>
      </w:pPr>
      <w:r>
        <w:rPr>
          <w:rFonts w:ascii="宋体" w:hAnsi="宋体" w:cs="宋体"/>
          <w:b/>
          <w:bCs/>
          <w:color w:val="000000"/>
          <w:highlight w:val="none"/>
        </w:rPr>
      </w:r>
      <w:r/>
    </w:p>
    <w:p>
      <w:pPr>
        <w:pStyle w:val="1016"/>
        <w:jc w:val="center"/>
        <w:rPr>
          <w:rFonts w:hAnsi="宋体" w:cs="宋体"/>
          <w:b/>
          <w:bCs/>
          <w:color w:val="000000"/>
          <w:szCs w:val="21"/>
          <w:highlight w:val="none"/>
          <w:lang w:val="zh-TW" w:eastAsia="zh-TW"/>
        </w:rPr>
      </w:pPr>
      <w:r>
        <w:rPr>
          <w:rFonts w:hint="eastAsia" w:hAnsi="宋体" w:cs="宋体"/>
          <w:b/>
          <w:bCs/>
          <w:color w:val="000000"/>
          <w:szCs w:val="21"/>
          <w:highlight w:val="none"/>
          <w:lang w:val="zh-TW" w:eastAsia="zh-TW"/>
        </w:rPr>
        <w:t xml:space="preserve">人员情况表</w:t>
      </w:r>
      <w:r>
        <w:rPr>
          <w:rFonts w:hAnsi="宋体" w:cs="宋体"/>
          <w:b/>
          <w:bCs/>
          <w:color w:val="000000"/>
          <w:szCs w:val="21"/>
          <w:highlight w:val="none"/>
          <w:lang w:val="zh-TW" w:eastAsia="zh-TW"/>
        </w:rPr>
      </w:r>
      <w:r/>
    </w:p>
    <w:p>
      <w:pPr>
        <w:pStyle w:val="1016"/>
        <w:jc w:val="left"/>
        <w:rPr>
          <w:rFonts w:hAnsi="宋体" w:cs="宋体"/>
          <w:b/>
          <w:bCs/>
          <w:color w:val="000000"/>
          <w:szCs w:val="21"/>
          <w:highlight w:val="none"/>
          <w:lang w:val="zh-TW" w:eastAsia="zh-TW"/>
        </w:rPr>
      </w:pPr>
      <w:r>
        <w:rPr>
          <w:rFonts w:hAnsi="宋体" w:cs="宋体"/>
          <w:b/>
          <w:bCs/>
          <w:color w:val="000000"/>
          <w:szCs w:val="21"/>
          <w:highlight w:val="none"/>
          <w:lang w:val="zh-TW" w:eastAsia="zh-TW"/>
        </w:rPr>
      </w:r>
      <w:r/>
    </w:p>
    <w:tbl>
      <w:tblPr>
        <w:tblW w:w="4998" w:type="pct"/>
        <w:tblInd w:w="-66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132"/>
        <w:gridCol w:w="723"/>
        <w:gridCol w:w="1218"/>
        <w:gridCol w:w="1273"/>
        <w:gridCol w:w="2039"/>
        <w:gridCol w:w="1359"/>
      </w:tblGrid>
      <w:tr>
        <w:trPr>
          <w:trHeight w:val="851"/>
        </w:trPr>
        <w:tc>
          <w:tcPr>
            <w:tcW w:w="457"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667"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岗位</w:t>
            </w:r>
            <w:r>
              <w:rPr>
                <w:rFonts w:ascii="宋体" w:hAnsi="宋体" w:cs="宋体"/>
                <w:bCs/>
                <w:color w:val="000000"/>
                <w:szCs w:val="21"/>
                <w:highlight w:val="none"/>
              </w:rPr>
            </w:r>
            <w:r/>
          </w:p>
        </w:tc>
        <w:tc>
          <w:tcPr>
            <w:tcW w:w="400"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数量</w:t>
            </w:r>
            <w:r>
              <w:rPr>
                <w:rFonts w:ascii="宋体" w:hAnsi="宋体" w:cs="宋体"/>
                <w:bCs/>
                <w:color w:val="000000"/>
                <w:szCs w:val="21"/>
                <w:highlight w:val="none"/>
              </w:rPr>
            </w:r>
            <w:r/>
          </w:p>
        </w:tc>
        <w:tc>
          <w:tcPr>
            <w:tcW w:w="718"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年龄</w:t>
            </w:r>
            <w:r>
              <w:rPr>
                <w:rFonts w:ascii="宋体" w:hAnsi="宋体" w:cs="宋体"/>
                <w:bCs/>
                <w:color w:val="000000"/>
                <w:szCs w:val="21"/>
                <w:highlight w:val="none"/>
              </w:rPr>
            </w:r>
            <w:r/>
          </w:p>
        </w:tc>
        <w:tc>
          <w:tcPr>
            <w:tcW w:w="750"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性别</w:t>
            </w:r>
            <w:r>
              <w:rPr>
                <w:rFonts w:ascii="宋体" w:hAnsi="宋体" w:cs="宋体"/>
                <w:bCs/>
                <w:color w:val="000000"/>
                <w:szCs w:val="21"/>
                <w:highlight w:val="none"/>
              </w:rPr>
            </w:r>
            <w:r/>
          </w:p>
        </w:tc>
        <w:tc>
          <w:tcPr>
            <w:tcW w:w="1202"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基本要求</w:t>
            </w:r>
            <w:r>
              <w:rPr>
                <w:rFonts w:ascii="宋体" w:hAnsi="宋体" w:cs="宋体"/>
                <w:bCs/>
                <w:color w:val="000000"/>
                <w:szCs w:val="21"/>
                <w:highlight w:val="none"/>
              </w:rPr>
            </w:r>
            <w:r/>
          </w:p>
        </w:tc>
        <w:tc>
          <w:tcPr>
            <w:tcW w:w="801"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trHeight w:val="567"/>
        </w:trPr>
        <w:tc>
          <w:tcPr>
            <w:tcW w:w="457"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667"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400"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18"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50"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1202"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801"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r>
      <w:tr>
        <w:trPr>
          <w:trHeight w:val="567"/>
        </w:trPr>
        <w:tc>
          <w:tcPr>
            <w:tcW w:w="457" w:type="dxa"/>
            <w:vAlign w:val="center"/>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667"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400"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18"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50"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1202"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801" w:type="dxa"/>
            <w:vAlign w:val="center"/>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r>
      <w:tr>
        <w:trPr>
          <w:trHeight w:val="567"/>
        </w:trPr>
        <w:tc>
          <w:tcPr>
            <w:tcW w:w="457" w:type="dxa"/>
            <w:vAlign w:val="top"/>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667"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400"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18"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50"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1202"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801"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r>
      <w:tr>
        <w:trPr>
          <w:trHeight w:val="567"/>
        </w:trPr>
        <w:tc>
          <w:tcPr>
            <w:tcW w:w="457" w:type="dxa"/>
            <w:vAlign w:val="top"/>
            <w:textDirection w:val="lrTb"/>
            <w:noWrap w:val="false"/>
          </w:tcPr>
          <w:p>
            <w:pPr>
              <w:pStyle w:val="682"/>
              <w:jc w:val="center"/>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667"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400"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18"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750"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1202"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c>
          <w:tcPr>
            <w:tcW w:w="801" w:type="dxa"/>
            <w:vAlign w:val="top"/>
            <w:textDirection w:val="lrTb"/>
            <w:noWrap w:val="false"/>
          </w:tcPr>
          <w:p>
            <w:pPr>
              <w:pStyle w:val="682"/>
              <w:jc w:val="center"/>
              <w:rPr>
                <w:rFonts w:ascii="宋体" w:hAnsi="宋体" w:cs="宋体"/>
                <w:bCs/>
                <w:color w:val="000000"/>
                <w:szCs w:val="21"/>
                <w:highlight w:val="none"/>
              </w:rPr>
            </w:pPr>
            <w:r>
              <w:rPr>
                <w:rFonts w:ascii="宋体" w:hAnsi="宋体" w:cs="宋体"/>
                <w:bCs/>
                <w:color w:val="000000"/>
                <w:szCs w:val="21"/>
                <w:highlight w:val="none"/>
              </w:rPr>
            </w:r>
            <w:r/>
          </w:p>
        </w:tc>
      </w:tr>
    </w:tbl>
    <w:p>
      <w:pPr>
        <w:pStyle w:val="682"/>
        <w:spacing w:before="156"/>
        <w:rPr>
          <w:rFonts w:ascii="宋体" w:hAnsi="宋体" w:cs="宋体"/>
          <w:b/>
          <w:color w:val="000000"/>
          <w:spacing w:val="4"/>
          <w:szCs w:val="21"/>
          <w:highlight w:val="none"/>
        </w:rPr>
      </w:pPr>
      <w:r>
        <w:rPr>
          <w:rFonts w:ascii="宋体" w:hAnsi="宋体" w:cs="宋体"/>
          <w:b/>
          <w:color w:val="000000"/>
          <w:spacing w:val="4"/>
          <w:szCs w:val="21"/>
          <w:highlight w:val="none"/>
        </w:rPr>
      </w:r>
      <w:r/>
    </w:p>
    <w:p>
      <w:pPr>
        <w:pStyle w:val="682"/>
        <w:spacing w:before="156"/>
        <w:rPr>
          <w:rFonts w:ascii="宋体" w:hAnsi="宋体" w:cs="宋体"/>
          <w:b/>
          <w:color w:val="000000"/>
          <w:spacing w:val="4"/>
          <w:szCs w:val="21"/>
          <w:highlight w:val="none"/>
        </w:rPr>
      </w:pPr>
      <w:r>
        <w:rPr>
          <w:rFonts w:hint="eastAsia" w:ascii="宋体" w:hAnsi="宋体" w:cs="宋体"/>
          <w:b/>
          <w:color w:val="000000"/>
          <w:spacing w:val="4"/>
          <w:szCs w:val="21"/>
          <w:highlight w:val="none"/>
        </w:rPr>
        <w:t xml:space="preserve">注：</w:t>
      </w:r>
      <w:r>
        <w:rPr>
          <w:rFonts w:hint="eastAsia" w:ascii="宋体" w:hAnsi="宋体" w:cs="宋体"/>
          <w:b/>
          <w:bCs/>
          <w:color w:val="000000"/>
          <w:szCs w:val="21"/>
          <w:highlight w:val="none"/>
        </w:rPr>
        <w:t xml:space="preserve">本表仅为示例，投标单位可根据招标内容自行补充和修改。</w:t>
      </w:r>
      <w:r>
        <w:rPr>
          <w:rFonts w:ascii="宋体" w:hAnsi="宋体" w:cs="宋体"/>
          <w:b/>
          <w:color w:val="000000"/>
          <w:spacing w:val="4"/>
          <w:szCs w:val="21"/>
          <w:highlight w:val="none"/>
        </w:rPr>
      </w:r>
      <w:r/>
    </w:p>
    <w:p>
      <w:pPr>
        <w:pStyle w:val="682"/>
        <w:rPr>
          <w:rFonts w:ascii="宋体" w:hAnsi="宋体" w:cs="宋体"/>
          <w:b/>
          <w:color w:val="000000"/>
          <w:szCs w:val="21"/>
          <w:highlight w:val="none"/>
        </w:rPr>
      </w:pPr>
      <w:r>
        <w:rPr>
          <w:rFonts w:ascii="宋体" w:hAnsi="宋体" w:cs="宋体"/>
          <w:b/>
          <w:color w:val="000000"/>
          <w:szCs w:val="21"/>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1008"/>
        <w:pageBreakBefore/>
        <w:spacing w:before="156" w:after="156"/>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olor w:val="000000"/>
          <w:szCs w:val="21"/>
          <w:highlight w:val="none"/>
        </w:rPr>
        <w:t xml:space="preserve">投标货物和服务数量、品牌规格、性能、交货期说明表</w:t>
      </w:r>
      <w:r>
        <w:rPr>
          <w:rFonts w:ascii="宋体" w:hAnsi="宋体" w:cs="宋体"/>
          <w:color w:val="000000"/>
          <w:szCs w:val="21"/>
          <w:highlight w:val="none"/>
        </w:rPr>
      </w:r>
      <w:r/>
    </w:p>
    <w:p>
      <w:pPr>
        <w:pStyle w:val="682"/>
        <w:jc w:val="center"/>
        <w:rPr>
          <w:rFonts w:ascii="宋体" w:hAnsi="宋体"/>
          <w:b/>
          <w:color w:val="000000"/>
          <w:szCs w:val="21"/>
          <w:highlight w:val="none"/>
        </w:rPr>
      </w:pPr>
      <w:r>
        <w:rPr>
          <w:rFonts w:hint="eastAsia" w:ascii="宋体" w:hAnsi="宋体"/>
          <w:b/>
          <w:color w:val="000000"/>
          <w:szCs w:val="21"/>
          <w:highlight w:val="none"/>
        </w:rPr>
        <w:t xml:space="preserve">投标货物和服务数量、品牌规格、性能、交货期说明表</w:t>
      </w:r>
      <w:r>
        <w:rPr>
          <w:rFonts w:ascii="宋体" w:hAnsi="宋体"/>
          <w:b/>
          <w:color w:val="000000"/>
          <w:szCs w:val="21"/>
          <w:highlight w:val="none"/>
        </w:rPr>
      </w:r>
      <w:r/>
    </w:p>
    <w:p>
      <w:pPr>
        <w:pStyle w:val="800"/>
        <w:rPr>
          <w:color w:val="000000"/>
          <w:highlight w:val="none"/>
        </w:rPr>
      </w:pPr>
      <w:r>
        <w:rPr>
          <w:color w:val="000000"/>
          <w:highlight w:val="none"/>
        </w:rPr>
      </w:r>
      <w:r/>
    </w:p>
    <w:tbl>
      <w:tblPr>
        <w:tblW w:w="493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35"/>
        <w:gridCol w:w="1334"/>
        <w:gridCol w:w="1863"/>
        <w:gridCol w:w="1389"/>
        <w:gridCol w:w="1625"/>
        <w:gridCol w:w="1169"/>
      </w:tblGrid>
      <w:tr>
        <w:trP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center"/>
            <w:textDirection w:val="lrTb"/>
            <w:noWrap w:val="false"/>
          </w:tcPr>
          <w:p>
            <w:pPr>
              <w:pStyle w:val="682"/>
              <w:ind w:left="54"/>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标的物名称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品牌、规格/型号、生产厂家</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单位</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center"/>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数量</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交货期</w:t>
            </w: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7</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5" w:type="dxa"/>
            <w:vAlign w:val="center"/>
            <w:textDirection w:val="lrTb"/>
            <w:noWrap w:val="false"/>
          </w:tcPr>
          <w:p>
            <w:pPr>
              <w:pStyle w:val="682"/>
              <w:jc w:val="center"/>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9"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4"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3"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8" w:type="dxa"/>
            <w:vAlign w:val="top"/>
            <w:textDirection w:val="lrTb"/>
            <w:noWrap w:val="false"/>
          </w:tcPr>
          <w:p>
            <w:pPr>
              <w:pStyle w:val="682"/>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68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注：投标单位在投标文件中必须列明所有投标产品的品牌、规格/型号和生产厂家，否则视为无效投标。</w:t>
      </w:r>
      <w:r>
        <w:rPr>
          <w:rFonts w:ascii="宋体" w:hAnsi="宋体"/>
          <w:b/>
          <w:color w:val="000000"/>
          <w:szCs w:val="21"/>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682"/>
        <w:ind w:firstLine="420"/>
        <w:jc w:val="center"/>
        <w:rPr>
          <w:rFonts w:ascii="宋体" w:hAnsi="宋体"/>
          <w:color w:val="000000"/>
          <w:szCs w:val="21"/>
          <w:highlight w:val="none"/>
        </w:rPr>
      </w:pPr>
      <w:r>
        <w:rPr>
          <w:rFonts w:ascii="宋体" w:hAnsi="宋体"/>
          <w:color w:val="000000"/>
          <w:szCs w:val="21"/>
          <w:highlight w:val="none"/>
        </w:rPr>
        <w:br w:type="page" w:clear="all"/>
      </w:r>
      <w:r>
        <w:rPr>
          <w:rFonts w:ascii="宋体" w:hAnsi="宋体"/>
          <w:color w:val="000000"/>
          <w:szCs w:val="21"/>
          <w:highlight w:val="none"/>
        </w:rPr>
      </w:r>
      <w:r/>
    </w:p>
    <w:p>
      <w:pPr>
        <w:pStyle w:val="682"/>
        <w:rPr>
          <w:rFonts w:ascii="宋体" w:hAnsi="宋体"/>
          <w:b/>
          <w:color w:val="000000"/>
          <w:sz w:val="24"/>
          <w:highlight w:val="none"/>
        </w:rPr>
      </w:pPr>
      <w:r>
        <w:rPr>
          <w:rFonts w:hint="eastAsia" w:ascii="宋体" w:hAnsi="宋体"/>
          <w:b/>
          <w:bCs/>
          <w:color w:val="000000"/>
          <w:szCs w:val="21"/>
          <w:highlight w:val="none"/>
        </w:rPr>
        <w:t xml:space="preserve">9、相关业绩一览表</w:t>
      </w:r>
      <w:r>
        <w:rPr>
          <w:rFonts w:ascii="宋体" w:hAnsi="宋体"/>
          <w:b/>
          <w:color w:val="000000"/>
          <w:sz w:val="24"/>
          <w:highlight w:val="none"/>
        </w:rPr>
      </w:r>
      <w:r/>
    </w:p>
    <w:p>
      <w:pPr>
        <w:pStyle w:val="682"/>
        <w:ind w:firstLine="3584"/>
        <w:spacing w:before="100" w:beforeAutospacing="1" w:after="100" w:afterAutospacing="1" w:line="480" w:lineRule="auto"/>
        <w:rPr>
          <w:rFonts w:ascii="宋体" w:hAnsi="宋体"/>
          <w:b/>
          <w:color w:val="000000"/>
          <w:szCs w:val="21"/>
          <w:highlight w:val="none"/>
        </w:rPr>
      </w:pPr>
      <w:r>
        <w:rPr>
          <w:rFonts w:ascii="宋体" w:hAnsi="宋体"/>
          <w:b/>
          <w:color w:val="000000"/>
          <w:szCs w:val="21"/>
          <w:highlight w:val="none"/>
        </w:rPr>
        <w:t xml:space="preserve">相关业绩一览表</w:t>
      </w:r>
      <w:r>
        <w:rPr>
          <w:rFonts w:ascii="宋体" w:hAnsi="宋体"/>
          <w:b/>
          <w:color w:val="000000"/>
          <w:szCs w:val="21"/>
          <w:highlight w:val="none"/>
        </w:rPr>
      </w:r>
      <w:r/>
    </w:p>
    <w:p>
      <w:pPr>
        <w:pStyle w:val="800"/>
        <w:ind w:firstLine="420"/>
        <w:rPr>
          <w:color w:val="000000"/>
          <w:highlight w:val="none"/>
        </w:rPr>
      </w:pPr>
      <w:r>
        <w:rPr>
          <w:color w:val="000000"/>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合同期</w:t>
            </w: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合同金额</w:t>
            </w: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4</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t xml:space="preserve">5</w:t>
            </w: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r>
        <w:trPr>
          <w:cantSplit/>
          <w:trHeight w:val="510" w:hRule="exact"/>
        </w:trPr>
        <w:tc>
          <w:tcPr>
            <w:tcW w:w="1003"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622"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930"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c>
          <w:tcPr>
            <w:tcW w:w="1467" w:type="dxa"/>
            <w:vAlign w:val="center"/>
            <w:textDirection w:val="lrTb"/>
            <w:noWrap w:val="false"/>
          </w:tcPr>
          <w:p>
            <w:pPr>
              <w:pStyle w:val="682"/>
              <w:jc w:val="center"/>
              <w:spacing w:line="400" w:lineRule="exact"/>
              <w:rPr>
                <w:rFonts w:ascii="宋体" w:hAnsi="宋体"/>
                <w:color w:val="000000"/>
                <w:szCs w:val="21"/>
                <w:highlight w:val="none"/>
              </w:rPr>
            </w:pPr>
            <w:r>
              <w:rPr>
                <w:rFonts w:ascii="宋体" w:hAnsi="宋体"/>
                <w:color w:val="000000"/>
                <w:szCs w:val="21"/>
                <w:highlight w:val="none"/>
              </w:rPr>
            </w:r>
            <w:r/>
          </w:p>
        </w:tc>
      </w:tr>
    </w:tbl>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682"/>
        <w:jc w:val="center"/>
        <w:rPr>
          <w:rFonts w:ascii="宋体" w:hAnsi="宋体"/>
          <w:b/>
          <w:color w:val="000000"/>
          <w:sz w:val="24"/>
          <w:highlight w:val="none"/>
        </w:rPr>
      </w:pPr>
      <w:r>
        <w:rPr>
          <w:rFonts w:ascii="宋体" w:hAnsi="宋体"/>
          <w:b/>
          <w:color w:val="000000"/>
          <w:sz w:val="24"/>
          <w:highlight w:val="none"/>
        </w:rPr>
      </w:r>
      <w:r/>
    </w:p>
    <w:p>
      <w:pPr>
        <w:pStyle w:val="1062"/>
        <w:spacing w:line="360" w:lineRule="auto"/>
        <w:rPr>
          <w:b/>
          <w:color w:val="000000"/>
          <w:sz w:val="24"/>
          <w:highlight w:val="none"/>
        </w:rPr>
        <w:outlineLvl w:val="1"/>
      </w:pPr>
      <w:r>
        <w:rPr>
          <w:b/>
          <w:color w:val="000000"/>
          <w:sz w:val="24"/>
          <w:highlight w:val="none"/>
        </w:rPr>
      </w:r>
      <w:r/>
    </w:p>
    <w:p>
      <w:pPr>
        <w:pStyle w:val="1062"/>
        <w:spacing w:line="360" w:lineRule="auto"/>
        <w:rPr>
          <w:b/>
          <w:color w:val="000000"/>
          <w:sz w:val="24"/>
          <w:highlight w:val="none"/>
        </w:rPr>
        <w:outlineLvl w:val="1"/>
      </w:pPr>
      <w:r>
        <w:rPr>
          <w:b/>
          <w:color w:val="000000"/>
          <w:sz w:val="24"/>
          <w:highlight w:val="none"/>
        </w:rPr>
      </w:r>
      <w:r/>
    </w:p>
    <w:p>
      <w:pPr>
        <w:pStyle w:val="1062"/>
        <w:spacing w:line="360" w:lineRule="auto"/>
        <w:rPr>
          <w:b/>
          <w:color w:val="000000"/>
          <w:sz w:val="24"/>
          <w:highlight w:val="none"/>
        </w:rPr>
        <w:outlineLvl w:val="1"/>
      </w:pPr>
      <w:r>
        <w:rPr>
          <w:b/>
          <w:color w:val="000000"/>
          <w:sz w:val="24"/>
          <w:highlight w:val="none"/>
        </w:rPr>
      </w:r>
      <w:r/>
    </w:p>
    <w:p>
      <w:pPr>
        <w:pStyle w:val="682"/>
        <w:spacing w:line="360" w:lineRule="auto"/>
        <w:rPr>
          <w:rFonts w:ascii="宋体" w:hAnsi="宋体"/>
          <w:color w:val="000000"/>
          <w:sz w:val="24"/>
          <w:highlight w:val="none"/>
        </w:rPr>
      </w:pPr>
      <w:r>
        <w:rPr>
          <w:rFonts w:ascii="宋体" w:hAnsi="宋体" w:cs="宋体"/>
          <w:b/>
          <w:bCs/>
          <w:color w:val="000000"/>
          <w:szCs w:val="21"/>
          <w:highlight w:val="none"/>
        </w:rPr>
        <w:br w:type="page" w:clear="all"/>
      </w:r>
      <w:r>
        <w:rPr>
          <w:rFonts w:ascii="宋体" w:hAnsi="宋体"/>
          <w:color w:val="000000"/>
          <w:sz w:val="24"/>
          <w:highlight w:val="none"/>
        </w:rPr>
      </w:r>
      <w:r/>
    </w:p>
    <w:p>
      <w:pPr>
        <w:pStyle w:val="1011"/>
        <w:ind w:firstLine="0"/>
        <w:jc w:val="both"/>
        <w:rPr>
          <w:rFonts w:ascii="宋体" w:hAnsi="宋体"/>
          <w:b/>
          <w:color w:val="000000"/>
          <w:sz w:val="21"/>
          <w:szCs w:val="21"/>
          <w:highlight w:val="none"/>
        </w:rPr>
        <w:outlineLvl w:val="1"/>
      </w:pPr>
      <w:r>
        <w:rPr>
          <w:rFonts w:hint="eastAsia" w:ascii="宋体" w:hAnsi="宋体"/>
          <w:b/>
          <w:color w:val="000000"/>
          <w:sz w:val="21"/>
          <w:szCs w:val="21"/>
          <w:highlight w:val="none"/>
        </w:rPr>
        <w:t xml:space="preserve">10、资格证明文件</w:t>
      </w:r>
      <w:r>
        <w:rPr>
          <w:rFonts w:ascii="宋体" w:hAnsi="宋体"/>
          <w:b/>
          <w:color w:val="000000"/>
          <w:sz w:val="21"/>
          <w:szCs w:val="21"/>
          <w:highlight w:val="none"/>
        </w:rPr>
      </w:r>
      <w:r/>
    </w:p>
    <w:p>
      <w:pPr>
        <w:pStyle w:val="1011"/>
        <w:ind w:firstLine="0"/>
        <w:jc w:val="both"/>
        <w:rPr>
          <w:rFonts w:ascii="宋体" w:hAnsi="宋体"/>
          <w:b/>
          <w:color w:val="000000"/>
          <w:sz w:val="21"/>
          <w:szCs w:val="21"/>
          <w:highlight w:val="none"/>
        </w:rPr>
      </w:pPr>
      <w:r>
        <w:rPr>
          <w:rFonts w:ascii="宋体" w:hAnsi="宋体"/>
          <w:b/>
          <w:color w:val="000000"/>
          <w:sz w:val="21"/>
          <w:szCs w:val="21"/>
          <w:highlight w:val="none"/>
        </w:rPr>
      </w:r>
      <w:r/>
    </w:p>
    <w:p>
      <w:pPr>
        <w:pStyle w:val="1011"/>
        <w:ind w:firstLine="0"/>
        <w:jc w:val="both"/>
        <w:spacing w:before="240"/>
        <w:rPr>
          <w:rFonts w:ascii="宋体" w:hAnsi="宋体"/>
          <w:b/>
          <w:color w:val="000000"/>
          <w:sz w:val="21"/>
          <w:szCs w:val="21"/>
          <w:highlight w:val="none"/>
        </w:rPr>
        <w:outlineLvl w:val="2"/>
      </w:pPr>
      <w:r>
        <w:rPr>
          <w:rFonts w:hint="eastAsia" w:ascii="宋体" w:hAnsi="宋体"/>
          <w:b/>
          <w:color w:val="000000"/>
          <w:sz w:val="21"/>
          <w:szCs w:val="21"/>
          <w:highlight w:val="none"/>
        </w:rPr>
        <w:t xml:space="preserve">（1）资格文件的声明函</w:t>
      </w:r>
      <w:r>
        <w:rPr>
          <w:rFonts w:ascii="宋体" w:hAnsi="宋体"/>
          <w:b/>
          <w:color w:val="000000"/>
          <w:sz w:val="21"/>
          <w:szCs w:val="21"/>
          <w:highlight w:val="none"/>
        </w:rPr>
      </w:r>
      <w:r/>
    </w:p>
    <w:p>
      <w:pPr>
        <w:pStyle w:val="1011"/>
        <w:ind w:firstLine="0"/>
        <w:jc w:val="center"/>
        <w:rPr>
          <w:rFonts w:ascii="宋体" w:hAnsi="宋体"/>
          <w:color w:val="000000"/>
          <w:sz w:val="21"/>
          <w:szCs w:val="21"/>
          <w:highlight w:val="none"/>
        </w:rPr>
      </w:pPr>
      <w:r>
        <w:rPr>
          <w:rFonts w:ascii="宋体" w:hAnsi="宋体"/>
          <w:color w:val="000000"/>
          <w:sz w:val="21"/>
          <w:szCs w:val="21"/>
          <w:highlight w:val="none"/>
        </w:rPr>
      </w:r>
      <w:r/>
    </w:p>
    <w:p>
      <w:pPr>
        <w:pStyle w:val="1011"/>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资格文件的声明函</w:t>
      </w:r>
      <w:r>
        <w:rPr>
          <w:rFonts w:ascii="宋体" w:hAnsi="宋体"/>
          <w:color w:val="000000"/>
          <w:sz w:val="21"/>
          <w:szCs w:val="21"/>
          <w:highlight w:val="none"/>
        </w:rPr>
      </w:r>
      <w:r/>
    </w:p>
    <w:p>
      <w:pPr>
        <w:pStyle w:val="1011"/>
        <w:ind w:firstLine="0"/>
        <w:jc w:val="center"/>
        <w:rPr>
          <w:rFonts w:ascii="宋体" w:hAnsi="宋体"/>
          <w:color w:val="000000"/>
          <w:sz w:val="21"/>
          <w:szCs w:val="21"/>
          <w:highlight w:val="none"/>
        </w:rPr>
      </w:pPr>
      <w:r>
        <w:rPr>
          <w:rFonts w:ascii="宋体" w:hAnsi="宋体"/>
          <w:color w:val="000000"/>
          <w:sz w:val="21"/>
          <w:szCs w:val="21"/>
          <w:highlight w:val="none"/>
        </w:rPr>
      </w:r>
      <w:r/>
    </w:p>
    <w:p>
      <w:pPr>
        <w:pStyle w:val="1011"/>
        <w:ind w:firstLine="0"/>
        <w:jc w:val="both"/>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11"/>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011"/>
        <w:jc w:val="both"/>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1"/>
          <w:szCs w:val="21"/>
          <w:highlight w:val="none"/>
        </w:rPr>
      </w:r>
      <w:r/>
    </w:p>
    <w:p>
      <w:pPr>
        <w:pStyle w:val="1011"/>
        <w:ind w:firstLine="480"/>
        <w:jc w:val="both"/>
        <w:spacing w:line="360" w:lineRule="auto"/>
        <w:rPr>
          <w:rFonts w:ascii="宋体" w:hAnsi="宋体"/>
          <w:color w:val="000000"/>
          <w:highlight w:val="none"/>
        </w:rPr>
      </w:pPr>
      <w:r>
        <w:rPr>
          <w:rFonts w:ascii="宋体" w:hAnsi="宋体"/>
          <w:color w:val="000000"/>
          <w:highlight w:val="none"/>
        </w:rPr>
      </w:r>
      <w:r/>
    </w:p>
    <w:p>
      <w:pPr>
        <w:pStyle w:val="1011"/>
        <w:ind w:firstLine="480"/>
        <w:jc w:val="both"/>
        <w:rPr>
          <w:rFonts w:ascii="宋体" w:hAnsi="宋体"/>
          <w:color w:val="000000"/>
          <w:highlight w:val="none"/>
        </w:rPr>
      </w:pPr>
      <w:r>
        <w:rPr>
          <w:rFonts w:ascii="宋体" w:hAnsi="宋体"/>
          <w:color w:val="000000"/>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投标单位名称（加盖CA电子公章）</w:t>
      </w:r>
      <w:r>
        <w:rPr>
          <w:rFonts w:ascii="宋体" w:hAnsi="宋体" w:cs="宋体"/>
          <w:b/>
          <w:color w:val="000000"/>
          <w:sz w:val="21"/>
          <w:szCs w:val="21"/>
          <w:highlight w:val="none"/>
        </w:rPr>
      </w:r>
      <w:r/>
    </w:p>
    <w:p>
      <w:pPr>
        <w:pStyle w:val="682"/>
        <w:spacing w:line="360" w:lineRule="auto"/>
        <w:rPr>
          <w:rFonts w:ascii="宋体" w:hAnsi="宋体"/>
          <w:color w:val="000000"/>
          <w:szCs w:val="21"/>
          <w:highlight w:val="none"/>
        </w:rPr>
      </w:pPr>
      <w:r>
        <w:rPr>
          <w:rFonts w:ascii="宋体" w:hAnsi="宋体"/>
          <w:color w:val="000000"/>
          <w:szCs w:val="21"/>
          <w:highlight w:val="none"/>
        </w:rPr>
      </w:r>
      <w:r/>
    </w:p>
    <w:p>
      <w:pPr>
        <w:pStyle w:val="682"/>
        <w:spacing w:line="360" w:lineRule="auto"/>
        <w:rPr>
          <w:rFonts w:ascii="宋体" w:hAnsi="宋体" w:cs="宋体"/>
          <w:b/>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ascii="宋体" w:hAnsi="宋体" w:cs="宋体"/>
          <w:b/>
          <w:color w:val="000000"/>
          <w:szCs w:val="21"/>
          <w:highlight w:val="none"/>
        </w:rPr>
      </w:r>
      <w:r/>
    </w:p>
    <w:p>
      <w:pPr>
        <w:pStyle w:val="1011"/>
        <w:ind w:firstLine="0"/>
        <w:jc w:val="both"/>
        <w:rPr>
          <w:rFonts w:ascii="宋体" w:hAnsi="宋体" w:cs="宋体"/>
          <w:b/>
          <w:color w:val="000000"/>
          <w:sz w:val="21"/>
          <w:szCs w:val="21"/>
          <w:highlight w:val="none"/>
        </w:rPr>
        <w:outlineLvl w:val="2"/>
      </w:pPr>
      <w:r>
        <w:rPr>
          <w:rFonts w:ascii="宋体" w:hAnsi="宋体"/>
          <w:color w:val="000000"/>
          <w:highlight w:val="none"/>
        </w:rPr>
        <w:br w:type="page" w:clear="all"/>
      </w:r>
      <w:r>
        <w:rPr>
          <w:rFonts w:hint="eastAsia" w:ascii="宋体" w:hAnsi="宋体" w:cs="宋体"/>
          <w:b/>
          <w:color w:val="000000"/>
          <w:sz w:val="21"/>
          <w:szCs w:val="21"/>
          <w:highlight w:val="none"/>
        </w:rPr>
        <w:t xml:space="preserve">（2）投标人基本情况表</w:t>
      </w:r>
      <w:r>
        <w:rPr>
          <w:rFonts w:ascii="宋体" w:hAnsi="宋体" w:cs="宋体"/>
          <w:b/>
          <w:color w:val="000000"/>
          <w:sz w:val="21"/>
          <w:szCs w:val="21"/>
          <w:highlight w:val="none"/>
        </w:rPr>
      </w:r>
      <w:r/>
    </w:p>
    <w:p>
      <w:pPr>
        <w:pStyle w:val="1011"/>
        <w:ind w:firstLine="0"/>
        <w:jc w:val="both"/>
        <w:rPr>
          <w:rFonts w:ascii="宋体" w:hAnsi="宋体" w:cs="宋体"/>
          <w:b/>
          <w:color w:val="000000"/>
          <w:sz w:val="21"/>
          <w:szCs w:val="21"/>
          <w:highlight w:val="none"/>
        </w:rPr>
      </w:pPr>
      <w:r>
        <w:rPr>
          <w:rFonts w:ascii="宋体" w:hAnsi="宋体" w:cs="宋体"/>
          <w:b/>
          <w:color w:val="000000"/>
          <w:sz w:val="21"/>
          <w:szCs w:val="21"/>
          <w:highlight w:val="none"/>
        </w:rPr>
      </w:r>
      <w:r/>
    </w:p>
    <w:p>
      <w:pPr>
        <w:pStyle w:val="1011"/>
        <w:ind w:firstLine="0"/>
        <w:jc w:val="center"/>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投标人基本情况表</w:t>
      </w:r>
      <w:r>
        <w:rPr>
          <w:rFonts w:ascii="宋体" w:hAnsi="宋体" w:cs="宋体"/>
          <w:b/>
          <w:color w:val="000000"/>
          <w:sz w:val="21"/>
          <w:szCs w:val="21"/>
          <w:highlight w:val="none"/>
        </w:rPr>
      </w:r>
      <w:r/>
    </w:p>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单位名称（盖章）                                     </w:t>
      </w:r>
      <w:r>
        <w:rPr>
          <w:rFonts w:ascii="宋体" w:hAnsi="宋体" w:cs="宋体"/>
          <w:color w:val="000000"/>
          <w:sz w:val="21"/>
          <w:szCs w:val="21"/>
          <w:highlight w:val="none"/>
        </w:rPr>
      </w:r>
      <w:r/>
    </w:p>
    <w:tbl>
      <w:tblPr>
        <w:tblW w:w="985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Height w:val="190"/>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法定代表人（负责人）</w:t>
            </w:r>
            <w:r>
              <w:rPr>
                <w:rFonts w:ascii="宋体" w:hAnsi="宋体" w:cs="宋体"/>
                <w:color w:val="000000"/>
                <w:sz w:val="21"/>
                <w:szCs w:val="21"/>
                <w:highlight w:val="none"/>
              </w:rPr>
            </w:r>
            <w:r/>
          </w:p>
        </w:tc>
        <w:tc>
          <w:tcPr>
            <w:tcW w:w="2132"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c>
          <w:tcPr>
            <w:tcW w:w="1553"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成立日期</w:t>
            </w:r>
            <w:r>
              <w:rPr>
                <w:rFonts w:ascii="宋体" w:hAnsi="宋体" w:cs="宋体"/>
                <w:color w:val="000000"/>
                <w:sz w:val="21"/>
                <w:szCs w:val="21"/>
                <w:highlight w:val="none"/>
              </w:rPr>
            </w:r>
            <w:r/>
          </w:p>
        </w:tc>
        <w:tc>
          <w:tcPr>
            <w:gridSpan w:val="2"/>
            <w:tcW w:w="3501"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企业地址</w:t>
            </w:r>
            <w:r>
              <w:rPr>
                <w:rFonts w:ascii="宋体" w:hAnsi="宋体" w:cs="宋体"/>
                <w:color w:val="000000"/>
                <w:sz w:val="21"/>
                <w:szCs w:val="21"/>
                <w:highlight w:val="none"/>
              </w:rPr>
            </w:r>
            <w:r/>
          </w:p>
        </w:tc>
        <w:tc>
          <w:tcPr>
            <w:tcW w:w="2132"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c>
          <w:tcPr>
            <w:tcW w:w="1553"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注册资本</w:t>
            </w:r>
            <w:r>
              <w:rPr>
                <w:rFonts w:ascii="宋体" w:hAnsi="宋体" w:cs="宋体"/>
                <w:color w:val="000000"/>
                <w:sz w:val="21"/>
                <w:szCs w:val="21"/>
                <w:highlight w:val="none"/>
              </w:rPr>
            </w:r>
            <w:r/>
          </w:p>
        </w:tc>
        <w:tc>
          <w:tcPr>
            <w:gridSpan w:val="2"/>
            <w:tcW w:w="3501" w:type="dxa"/>
            <w:vAlign w:val="top"/>
            <w:textDirection w:val="lrTb"/>
            <w:noWrap w:val="false"/>
          </w:tcPr>
          <w:p>
            <w:pPr>
              <w:pStyle w:val="1011"/>
              <w:ind w:firstLine="525"/>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经营范围</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职工人数</w:t>
            </w:r>
            <w:r>
              <w:rPr>
                <w:rFonts w:ascii="宋体" w:hAnsi="宋体" w:cs="宋体"/>
                <w:color w:val="000000"/>
                <w:sz w:val="21"/>
                <w:szCs w:val="21"/>
                <w:highlight w:val="none"/>
              </w:rPr>
            </w:r>
            <w:r/>
          </w:p>
        </w:tc>
        <w:tc>
          <w:tcPr>
            <w:tcW w:w="2132"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3739"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其中：有中高级以上职称的人数</w:t>
            </w:r>
            <w:r>
              <w:rPr>
                <w:rFonts w:ascii="宋体" w:hAnsi="宋体" w:cs="宋体"/>
                <w:color w:val="000000"/>
                <w:sz w:val="21"/>
                <w:szCs w:val="21"/>
                <w:highlight w:val="none"/>
              </w:rPr>
            </w:r>
            <w:r/>
          </w:p>
        </w:tc>
        <w:tc>
          <w:tcPr>
            <w:tcW w:w="1315"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资产总计</w:t>
            </w:r>
            <w:r>
              <w:rPr>
                <w:rFonts w:ascii="宋体" w:hAnsi="宋体" w:cs="宋体"/>
                <w:color w:val="000000"/>
                <w:sz w:val="21"/>
                <w:szCs w:val="21"/>
                <w:highlight w:val="none"/>
              </w:rPr>
            </w:r>
            <w:r/>
          </w:p>
        </w:tc>
        <w:tc>
          <w:tcPr>
            <w:tcW w:w="2132"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          万元</w:t>
            </w:r>
            <w:r>
              <w:rPr>
                <w:rFonts w:ascii="宋体" w:hAnsi="宋体" w:cs="宋体"/>
                <w:color w:val="000000"/>
                <w:sz w:val="21"/>
                <w:szCs w:val="21"/>
                <w:highlight w:val="none"/>
              </w:rPr>
            </w:r>
            <w:r/>
          </w:p>
        </w:tc>
        <w:tc>
          <w:tcPr>
            <w:tcW w:w="1553"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净资产</w:t>
            </w:r>
            <w:r>
              <w:rPr>
                <w:rFonts w:ascii="宋体" w:hAnsi="宋体" w:cs="宋体"/>
                <w:color w:val="000000"/>
                <w:sz w:val="21"/>
                <w:szCs w:val="21"/>
                <w:highlight w:val="none"/>
              </w:rPr>
            </w:r>
            <w:r/>
          </w:p>
        </w:tc>
        <w:tc>
          <w:tcPr>
            <w:gridSpan w:val="2"/>
            <w:tcW w:w="3501"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                 万元</w:t>
            </w:r>
            <w:r>
              <w:rPr>
                <w:rFonts w:ascii="宋体" w:hAnsi="宋体" w:cs="宋体"/>
                <w:color w:val="000000"/>
                <w:sz w:val="21"/>
                <w:szCs w:val="21"/>
                <w:highlight w:val="none"/>
              </w:rPr>
            </w:r>
            <w:r/>
          </w:p>
        </w:tc>
      </w:tr>
      <w:tr>
        <w:trPr>
          <w:cantSplit/>
        </w:trPr>
        <w:tc>
          <w:tcPr>
            <w:tcW w:w="2668"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股东权益</w:t>
            </w:r>
            <w:r>
              <w:rPr>
                <w:rFonts w:ascii="宋体" w:hAnsi="宋体" w:cs="宋体"/>
                <w:color w:val="000000"/>
                <w:sz w:val="21"/>
                <w:szCs w:val="21"/>
                <w:highlight w:val="none"/>
              </w:rPr>
            </w:r>
            <w:r/>
          </w:p>
        </w:tc>
        <w:tc>
          <w:tcPr>
            <w:tcW w:w="2132"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          万元</w:t>
            </w:r>
            <w:r>
              <w:rPr>
                <w:rFonts w:ascii="宋体" w:hAnsi="宋体" w:cs="宋体"/>
                <w:color w:val="000000"/>
                <w:sz w:val="21"/>
                <w:szCs w:val="21"/>
                <w:highlight w:val="none"/>
              </w:rPr>
            </w:r>
            <w:r/>
          </w:p>
        </w:tc>
        <w:tc>
          <w:tcPr>
            <w:tcW w:w="1553"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销售收入</w:t>
            </w:r>
            <w:r>
              <w:rPr>
                <w:rFonts w:ascii="宋体" w:hAnsi="宋体" w:cs="宋体"/>
                <w:color w:val="000000"/>
                <w:sz w:val="21"/>
                <w:szCs w:val="21"/>
                <w:highlight w:val="none"/>
              </w:rPr>
            </w:r>
            <w:r/>
          </w:p>
        </w:tc>
        <w:tc>
          <w:tcPr>
            <w:gridSpan w:val="2"/>
            <w:tcW w:w="3501"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  年          万元</w:t>
            </w: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实现利润</w:t>
            </w:r>
            <w:r>
              <w:rPr>
                <w:rFonts w:ascii="宋体" w:hAnsi="宋体" w:cs="宋体"/>
                <w:color w:val="000000"/>
                <w:sz w:val="21"/>
                <w:szCs w:val="21"/>
                <w:highlight w:val="none"/>
              </w:rPr>
            </w:r>
            <w:r/>
          </w:p>
        </w:tc>
        <w:tc>
          <w:tcPr>
            <w:tcW w:w="2132"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20  年    万元</w:t>
            </w:r>
            <w:r>
              <w:rPr>
                <w:rFonts w:ascii="宋体" w:hAnsi="宋体" w:cs="宋体"/>
                <w:color w:val="000000"/>
                <w:sz w:val="21"/>
                <w:szCs w:val="21"/>
                <w:highlight w:val="none"/>
              </w:rPr>
            </w:r>
            <w:r/>
          </w:p>
        </w:tc>
        <w:tc>
          <w:tcPr>
            <w:tcW w:w="1553"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3501"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营业面积（含厂房面积）</w:t>
            </w:r>
            <w:r>
              <w:rPr>
                <w:rFonts w:ascii="宋体" w:hAnsi="宋体" w:cs="宋体"/>
                <w:color w:val="000000"/>
                <w:sz w:val="21"/>
                <w:szCs w:val="21"/>
                <w:highlight w:val="none"/>
              </w:rPr>
            </w:r>
            <w:r/>
          </w:p>
        </w:tc>
        <w:tc>
          <w:tcPr>
            <w:tcW w:w="2132" w:type="dxa"/>
            <w:vAlign w:val="center"/>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        平方米</w:t>
            </w:r>
            <w:r>
              <w:rPr>
                <w:rFonts w:ascii="宋体" w:hAnsi="宋体" w:cs="宋体"/>
                <w:color w:val="000000"/>
                <w:sz w:val="21"/>
                <w:szCs w:val="21"/>
                <w:highlight w:val="none"/>
              </w:rPr>
            </w:r>
            <w:r/>
          </w:p>
        </w:tc>
        <w:tc>
          <w:tcPr>
            <w:tcW w:w="1553"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其中：</w:t>
            </w:r>
            <w:r>
              <w:rPr>
                <w:rFonts w:ascii="宋体" w:hAnsi="宋体" w:cs="宋体"/>
                <w:color w:val="000000"/>
                <w:sz w:val="21"/>
                <w:szCs w:val="21"/>
                <w:highlight w:val="none"/>
              </w:rPr>
            </w:r>
            <w:r/>
          </w:p>
        </w:tc>
        <w:tc>
          <w:tcPr>
            <w:gridSpan w:val="2"/>
            <w:tcW w:w="3501"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自有面积         平方米</w:t>
            </w:r>
            <w:r>
              <w:rPr>
                <w:rFonts w:ascii="宋体" w:hAnsi="宋体" w:cs="宋体"/>
                <w:color w:val="000000"/>
                <w:sz w:val="21"/>
                <w:szCs w:val="21"/>
                <w:highlight w:val="none"/>
              </w:rPr>
            </w:r>
            <w:r/>
          </w:p>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承租面积         平方米</w:t>
            </w: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单位简历及内设机构情况</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单位优势及特长</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近三年来完成或正在履行的重大合同情况</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最近3年内在经营过程中受到何种奖励或处分（情况和结果）</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最近3年内有无因售假、售劣或是其他原因被消费者投诉或起诉的情况及说明（包括解决方式和结果）</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最近3年内主要负责人有无因经济犯罪被司法机关追究的情况及说明</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获得技术认证的工程师及简介</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r>
        <w:trPr>
          <w:cantSplit/>
          <w:trHeight w:val="560"/>
        </w:trPr>
        <w:tc>
          <w:tcPr>
            <w:tcW w:w="2668" w:type="dxa"/>
            <w:vAlign w:val="top"/>
            <w:textDirection w:val="lrTb"/>
            <w:noWrap w:val="false"/>
          </w:tcPr>
          <w:p>
            <w:pPr>
              <w:pStyle w:val="1011"/>
              <w:ind w:firstLine="0"/>
              <w:jc w:val="both"/>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其他需要说明的情况</w:t>
            </w:r>
            <w:r>
              <w:rPr>
                <w:rFonts w:ascii="宋体" w:hAnsi="宋体" w:cs="宋体"/>
                <w:color w:val="000000"/>
                <w:sz w:val="21"/>
                <w:szCs w:val="21"/>
                <w:highlight w:val="none"/>
              </w:rPr>
            </w:r>
            <w:r/>
          </w:p>
        </w:tc>
        <w:tc>
          <w:tcPr>
            <w:gridSpan w:val="4"/>
            <w:tcW w:w="7186" w:type="dxa"/>
            <w:vAlign w:val="top"/>
            <w:textDirection w:val="lrTb"/>
            <w:noWrap w:val="false"/>
          </w:tcPr>
          <w:p>
            <w:pPr>
              <w:pStyle w:val="1011"/>
              <w:ind w:firstLine="0"/>
              <w:jc w:val="both"/>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011"/>
        <w:ind w:firstLine="0"/>
        <w:jc w:val="both"/>
        <w:rPr>
          <w:rFonts w:ascii="宋体" w:hAnsi="宋体"/>
          <w:color w:val="000000"/>
          <w:highlight w:val="none"/>
        </w:rPr>
      </w:pPr>
      <w:r>
        <w:rPr>
          <w:rFonts w:ascii="宋体" w:hAnsi="宋体"/>
          <w:color w:val="000000"/>
          <w:highlight w:val="none"/>
        </w:rPr>
      </w:r>
      <w:r/>
    </w:p>
    <w:p>
      <w:pPr>
        <w:pStyle w:val="682"/>
        <w:jc w:val="left"/>
        <w:rPr>
          <w:rFonts w:ascii="宋体" w:hAnsi="宋体"/>
          <w:b/>
          <w:color w:val="000000"/>
          <w:szCs w:val="21"/>
          <w:highlight w:val="none"/>
        </w:rPr>
      </w:pPr>
      <w:r>
        <w:rPr>
          <w:rFonts w:ascii="宋体" w:hAnsi="宋体"/>
          <w:color w:val="000000"/>
          <w:highlight w:val="none"/>
        </w:rPr>
        <w:br w:type="page" w:clear="all"/>
      </w:r>
      <w:r>
        <w:rPr>
          <w:rFonts w:ascii="宋体" w:hAnsi="宋体"/>
          <w:b/>
          <w:bCs/>
          <w:color w:val="000000"/>
          <w:highlight w:val="none"/>
        </w:rPr>
        <w:t xml:space="preserve">1</w:t>
      </w:r>
      <w:r>
        <w:rPr>
          <w:rFonts w:hint="eastAsia" w:ascii="宋体" w:hAnsi="宋体"/>
          <w:b/>
          <w:bCs/>
          <w:color w:val="000000"/>
          <w:highlight w:val="none"/>
        </w:rPr>
        <w:t xml:space="preserve">1、</w:t>
      </w:r>
      <w:r>
        <w:rPr>
          <w:rFonts w:hint="eastAsia" w:ascii="宋体" w:hAnsi="宋体"/>
          <w:b/>
          <w:color w:val="000000"/>
          <w:szCs w:val="21"/>
          <w:highlight w:val="none"/>
        </w:rPr>
        <w:t xml:space="preserve">（1）中小企业声明函 </w:t>
      </w:r>
      <w:r>
        <w:rPr>
          <w:rFonts w:ascii="宋体" w:hAnsi="宋体"/>
          <w:b/>
          <w:color w:val="000000"/>
          <w:szCs w:val="21"/>
          <w:highlight w:val="none"/>
        </w:rPr>
      </w:r>
      <w:r/>
    </w:p>
    <w:p>
      <w:pPr>
        <w:pStyle w:val="1011"/>
        <w:ind w:firstLine="0"/>
        <w:rPr>
          <w:rFonts w:ascii="宋体" w:hAnsi="宋体"/>
          <w:b/>
          <w:color w:val="000000"/>
          <w:sz w:val="21"/>
          <w:szCs w:val="21"/>
          <w:highlight w:val="none"/>
        </w:rPr>
      </w:pPr>
      <w:r>
        <w:rPr>
          <w:rFonts w:ascii="宋体" w:hAnsi="宋体"/>
          <w:b/>
          <w:color w:val="000000"/>
          <w:sz w:val="21"/>
          <w:szCs w:val="21"/>
          <w:highlight w:val="none"/>
        </w:rPr>
      </w:r>
      <w:r/>
    </w:p>
    <w:p>
      <w:pPr>
        <w:pStyle w:val="682"/>
        <w:jc w:val="center"/>
        <w:spacing w:before="100" w:beforeAutospacing="1" w:after="100" w:afterAutospacing="1" w:line="480" w:lineRule="auto"/>
        <w:rPr>
          <w:rFonts w:ascii="宋体" w:hAnsi="宋体"/>
          <w:b/>
          <w:color w:val="000000"/>
          <w:szCs w:val="21"/>
          <w:highlight w:val="none"/>
        </w:rPr>
      </w:pPr>
      <w:r>
        <w:rPr>
          <w:rFonts w:hint="eastAsia" w:ascii="宋体" w:hAnsi="宋体"/>
          <w:b/>
          <w:color w:val="000000"/>
          <w:szCs w:val="21"/>
          <w:highlight w:val="none"/>
        </w:rPr>
        <w:t xml:space="preserve">中小企业声明函（货物）</w:t>
      </w:r>
      <w:r>
        <w:rPr>
          <w:rFonts w:ascii="宋体" w:hAnsi="宋体"/>
          <w:b/>
          <w:color w:val="000000"/>
          <w:szCs w:val="21"/>
          <w:highlight w:val="none"/>
        </w:rPr>
      </w:r>
      <w:r/>
    </w:p>
    <w:p>
      <w:pPr>
        <w:pStyle w:val="682"/>
        <w:spacing w:line="360" w:lineRule="auto"/>
        <w:rPr>
          <w:rFonts w:ascii="宋体" w:hAnsi="宋体"/>
          <w:color w:val="000000"/>
          <w:szCs w:val="21"/>
          <w:highlight w:val="none"/>
        </w:rPr>
      </w:pPr>
      <w:r>
        <w:rPr>
          <w:rFonts w:hint="eastAsia" w:ascii="宋体" w:hAnsi="宋体"/>
          <w:color w:val="000000"/>
          <w:szCs w:val="21"/>
          <w:highlight w:val="none"/>
          <w:u w:val="single"/>
        </w:rPr>
        <w:t xml:space="preserve">苏州捷信招投标咨询有限公司：</w:t>
      </w:r>
      <w:r>
        <w:rPr>
          <w:rFonts w:ascii="宋体" w:hAnsi="宋体"/>
          <w:color w:val="000000"/>
          <w:szCs w:val="21"/>
          <w:highlight w:val="non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本公司（联合体）郑重声明，根据《政府采购促进中小企业发展管理办法》（财库[20</w:t>
      </w:r>
      <w:r>
        <w:rPr>
          <w:rFonts w:ascii="宋体" w:hAnsi="宋体"/>
          <w:color w:val="000000"/>
          <w:szCs w:val="21"/>
          <w:highlight w:val="none"/>
        </w:rPr>
        <w:t xml:space="preserve">20</w:t>
      </w:r>
      <w:r>
        <w:rPr>
          <w:rFonts w:hint="eastAsia" w:ascii="宋体" w:hAnsi="宋体"/>
          <w:color w:val="000000"/>
          <w:szCs w:val="21"/>
          <w:highlight w:val="none"/>
        </w:rPr>
        <w:t xml:space="preserve">]</w:t>
      </w:r>
      <w:r>
        <w:rPr>
          <w:rFonts w:ascii="宋体" w:hAnsi="宋体"/>
          <w:color w:val="000000"/>
          <w:szCs w:val="21"/>
          <w:highlight w:val="none"/>
        </w:rPr>
        <w:t xml:space="preserve">46</w:t>
      </w:r>
      <w:r>
        <w:rPr>
          <w:rFonts w:hint="eastAsia" w:ascii="宋体" w:hAnsi="宋体"/>
          <w:color w:val="000000"/>
          <w:szCs w:val="21"/>
          <w:highlight w:val="none"/>
        </w:rPr>
        <w:t xml:space="preserve">号）的规定，本公司（联合体）参加</w:t>
      </w:r>
      <w:r>
        <w:rPr>
          <w:rFonts w:hint="eastAsia" w:ascii="宋体" w:hAnsi="宋体"/>
          <w:color w:val="000000"/>
          <w:szCs w:val="21"/>
          <w:highlight w:val="none"/>
          <w:u w:val="single"/>
        </w:rPr>
        <w:t xml:space="preserve">（单位名称） </w:t>
      </w:r>
      <w:r>
        <w:rPr>
          <w:rFonts w:hint="eastAsia" w:ascii="宋体" w:hAnsi="宋体"/>
          <w:color w:val="000000"/>
          <w:szCs w:val="21"/>
          <w:highlight w:val="none"/>
        </w:rPr>
        <w:t xml:space="preserve">的 </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（标的名称）</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工业 行业</w:t>
      </w:r>
      <w:r>
        <w:rPr>
          <w:rFonts w:hint="eastAsia" w:ascii="宋体" w:hAnsi="宋体"/>
          <w:color w:val="000000"/>
          <w:szCs w:val="21"/>
          <w:highlight w:val="none"/>
        </w:rPr>
        <w:t xml:space="preserve">；制造商为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w:t>
      </w:r>
      <w:r>
        <w:rPr>
          <w:rStyle w:val="1045"/>
          <w:rFonts w:ascii="宋体" w:hAnsi="宋体"/>
          <w:color w:val="000000"/>
          <w:szCs w:val="21"/>
          <w:highlight w:val="none"/>
        </w:rPr>
        <w:footnoteReference w:id="2"/>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2、</w:t>
      </w:r>
      <w:r>
        <w:rPr>
          <w:rFonts w:hint="eastAsia" w:ascii="宋体" w:hAnsi="宋体"/>
          <w:color w:val="000000"/>
          <w:szCs w:val="21"/>
          <w:highlight w:val="none"/>
          <w:u w:val="single"/>
          <w:lang w:val="zh-CN"/>
        </w:rPr>
        <w:t xml:space="preserve">（标的名称）</w:t>
      </w:r>
      <w:r>
        <w:rPr>
          <w:rFonts w:hint="eastAsia" w:ascii="宋体" w:hAnsi="宋体"/>
          <w:color w:val="000000"/>
          <w:szCs w:val="21"/>
          <w:highlight w:val="none"/>
          <w:lang w:val="zh-CN"/>
        </w:rPr>
        <w:t xml:space="preserve">，属于</w:t>
      </w:r>
      <w:r>
        <w:rPr>
          <w:rFonts w:hint="eastAsia" w:ascii="宋体" w:hAnsi="宋体"/>
          <w:color w:val="000000"/>
          <w:szCs w:val="21"/>
          <w:highlight w:val="none"/>
          <w:u w:val="single"/>
          <w:lang w:val="zh-CN"/>
        </w:rPr>
        <w:t xml:space="preserve">工业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zh-CN"/>
        </w:rPr>
        <w:t xml:space="preserve">行业</w:t>
      </w:r>
      <w:r>
        <w:rPr>
          <w:rFonts w:hint="eastAsia" w:ascii="宋体" w:hAnsi="宋体"/>
          <w:color w:val="000000"/>
          <w:szCs w:val="21"/>
          <w:highlight w:val="none"/>
          <w:lang w:val="zh-CN"/>
        </w:rPr>
        <w:t xml:space="preserve">；制造商为</w:t>
      </w:r>
      <w:r>
        <w:rPr>
          <w:rFonts w:hint="eastAsia" w:ascii="宋体" w:hAnsi="宋体"/>
          <w:color w:val="000000"/>
          <w:szCs w:val="21"/>
          <w:highlight w:val="none"/>
          <w:u w:val="single"/>
          <w:lang w:val="zh-CN"/>
        </w:rPr>
        <w:t xml:space="preserve">（企业名称）</w:t>
      </w:r>
      <w:r>
        <w:rPr>
          <w:rFonts w:hint="eastAsia" w:ascii="宋体" w:hAnsi="宋体"/>
          <w:color w:val="000000"/>
          <w:szCs w:val="21"/>
          <w:highlight w:val="none"/>
          <w:lang w:val="zh-CN"/>
        </w:rPr>
        <w:t xml:space="preserve">，</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68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682"/>
        <w:ind w:firstLine="420"/>
        <w:spacing w:line="480" w:lineRule="exact"/>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892"/>
        <w:rPr>
          <w:color w:val="000000"/>
          <w:highlight w:val="none"/>
        </w:rPr>
      </w:pPr>
      <w:r>
        <w:rPr>
          <w:color w:val="000000"/>
          <w:highlight w:val="none"/>
        </w:rPr>
      </w:r>
      <w:r/>
    </w:p>
    <w:p>
      <w:pPr>
        <w:pStyle w:val="1011"/>
        <w:ind w:firstLine="0"/>
        <w:jc w:val="both"/>
        <w:spacing w:line="360" w:lineRule="auto"/>
        <w:rPr>
          <w:rFonts w:ascii="宋体" w:hAnsi="宋体" w:cs="宋体"/>
          <w:b/>
          <w:color w:val="000000"/>
          <w:sz w:val="21"/>
          <w:szCs w:val="21"/>
          <w:highlight w:val="none"/>
        </w:rPr>
        <w:outlineLvl w:val="1"/>
      </w:pPr>
      <w:r>
        <w:rPr>
          <w:rFonts w:hint="eastAsia" w:ascii="宋体" w:hAnsi="宋体"/>
          <w:color w:val="000000"/>
          <w:sz w:val="21"/>
          <w:szCs w:val="21"/>
          <w:highlight w:val="none"/>
        </w:rPr>
        <w:t xml:space="preserve">响应单位名称（加盖CA电子公章）</w:t>
      </w:r>
      <w:r>
        <w:rPr>
          <w:rFonts w:ascii="宋体" w:hAnsi="宋体" w:cs="宋体"/>
          <w:b/>
          <w:color w:val="000000"/>
          <w:sz w:val="21"/>
          <w:szCs w:val="21"/>
          <w:highlight w:val="none"/>
        </w:rPr>
      </w:r>
      <w:r/>
    </w:p>
    <w:p>
      <w:pPr>
        <w:pStyle w:val="682"/>
        <w:ind w:right="2500" w:firstLine="44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682"/>
        <w:ind w:right="2500"/>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日 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 </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lang w:val="zh-CN"/>
        </w:rPr>
      </w:r>
      <w:r/>
    </w:p>
    <w:p>
      <w:pPr>
        <w:pStyle w:val="682"/>
        <w:spacing w:line="280" w:lineRule="exact"/>
        <w:rPr>
          <w:rFonts w:ascii="宋体" w:hAnsi="宋体"/>
          <w:b/>
          <w:color w:val="000000"/>
          <w:highlight w:val="none"/>
        </w:rPr>
      </w:pPr>
      <w:r>
        <w:rPr>
          <w:rFonts w:ascii="宋体" w:hAnsi="宋体"/>
          <w:color w:val="000000"/>
          <w:szCs w:val="21"/>
          <w:highlight w:val="none"/>
          <w:lang w:val="zh-CN"/>
        </w:rPr>
        <w:br w:type="page" w:clear="all"/>
      </w:r>
      <w:r>
        <w:rPr>
          <w:rFonts w:hint="eastAsia" w:ascii="宋体" w:hAnsi="宋体"/>
          <w:b/>
          <w:color w:val="000000"/>
          <w:highlight w:val="none"/>
        </w:rPr>
        <w:t xml:space="preserve">附：中小企业划型标准规定</w:t>
      </w:r>
      <w:r>
        <w:rPr>
          <w:rFonts w:ascii="宋体" w:hAnsi="宋体"/>
          <w:b/>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（一）农、林、牧、渔业。</w:t>
      </w:r>
      <w:r>
        <w:rPr>
          <w:rFonts w:hint="eastAsia" w:ascii="宋体" w:hAnsi="宋体"/>
          <w:color w:val="00000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（二）工业。</w:t>
      </w:r>
      <w:r>
        <w:rPr>
          <w:rFonts w:hint="eastAsia" w:ascii="宋体" w:hAnsi="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（三）建筑业。</w:t>
      </w:r>
      <w:r>
        <w:rPr>
          <w:rFonts w:hint="eastAsia" w:ascii="宋体" w:hAnsi="宋体"/>
          <w:color w:val="00000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（四）批发业。</w:t>
      </w:r>
      <w:r>
        <w:rPr>
          <w:rFonts w:hint="eastAsia" w:ascii="宋体" w:hAnsi="宋体"/>
          <w:color w:val="00000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（五）零售业。</w:t>
      </w:r>
      <w:r>
        <w:rPr>
          <w:rFonts w:hint="eastAsia" w:ascii="宋体" w:hAnsi="宋体"/>
          <w:color w:val="00000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（六）交通运输业。</w:t>
      </w:r>
      <w:r>
        <w:rPr>
          <w:rFonts w:hint="eastAsia" w:ascii="宋体" w:hAnsi="宋体"/>
          <w:color w:val="00000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（七）仓储业。</w:t>
      </w:r>
      <w:r>
        <w:rPr>
          <w:rFonts w:hint="eastAsia" w:ascii="宋体" w:hAnsi="宋体"/>
          <w:color w:val="00000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（八）邮政业。</w:t>
      </w:r>
      <w:r>
        <w:rPr>
          <w:rFonts w:hint="eastAsia" w:ascii="宋体" w:hAnsi="宋体"/>
          <w:color w:val="00000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（九）住宿业。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（十）餐饮业。</w:t>
      </w:r>
      <w:r>
        <w:rPr>
          <w:rFonts w:hint="eastAsia" w:ascii="宋体" w:hAnsi="宋体"/>
          <w:color w:val="00000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（十一）信息传输业。</w:t>
      </w:r>
      <w:r>
        <w:rPr>
          <w:rFonts w:hint="eastAsia" w:ascii="宋体" w:hAnsi="宋体"/>
          <w:color w:val="00000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（十二）软件和信息技术服务业。</w:t>
      </w:r>
      <w:r>
        <w:rPr>
          <w:rFonts w:hint="eastAsia" w:ascii="宋体" w:hAnsi="宋体"/>
          <w:color w:val="00000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（十三）房地产开发经营。</w:t>
      </w:r>
      <w:r>
        <w:rPr>
          <w:rFonts w:hint="eastAsia" w:ascii="宋体" w:hAnsi="宋体"/>
          <w:color w:val="00000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（十四）物业管理。</w:t>
      </w:r>
      <w:r>
        <w:rPr>
          <w:rFonts w:hint="eastAsia" w:ascii="宋体" w:hAnsi="宋体"/>
          <w:color w:val="000000"/>
          <w:highlight w:val="none"/>
        </w:rPr>
        <w:t xml:space="preserve">从业人员1000人以下或营业收入5000万元以下的为中小微型企业。其中，从业人员</w:t>
      </w:r>
      <w:r>
        <w:rPr>
          <w:rFonts w:ascii="宋体" w:hAnsi="宋体"/>
          <w:color w:val="000000"/>
          <w:highlight w:val="none"/>
        </w:rPr>
      </w:r>
      <w:r/>
    </w:p>
    <w:p>
      <w:pPr>
        <w:pStyle w:val="682"/>
        <w:spacing w:line="280" w:lineRule="exact"/>
        <w:rPr>
          <w:rFonts w:ascii="宋体" w:hAnsi="宋体"/>
          <w:color w:val="000000"/>
          <w:highlight w:val="none"/>
        </w:rPr>
      </w:pPr>
      <w:r>
        <w:rPr>
          <w:rFonts w:hint="eastAsia" w:ascii="宋体" w:hAnsi="宋体"/>
          <w:color w:val="00000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（十五）租赁和商务服务业。</w:t>
      </w:r>
      <w:r>
        <w:rPr>
          <w:rFonts w:hint="eastAsia" w:ascii="宋体" w:hAnsi="宋体"/>
          <w:color w:val="00000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highlight w:val="none"/>
        </w:rPr>
      </w:r>
      <w:r/>
    </w:p>
    <w:p>
      <w:pPr>
        <w:pStyle w:val="682"/>
        <w:ind w:firstLine="402"/>
        <w:spacing w:line="280" w:lineRule="exact"/>
        <w:rPr>
          <w:rFonts w:ascii="宋体" w:hAnsi="宋体"/>
          <w:color w:val="000000"/>
          <w:highlight w:val="none"/>
        </w:rPr>
      </w:pPr>
      <w:r>
        <w:rPr>
          <w:rFonts w:hint="eastAsia" w:ascii="宋体" w:hAnsi="宋体"/>
          <w:b/>
          <w:color w:val="000000"/>
          <w:highlight w:val="none"/>
        </w:rPr>
        <w:t xml:space="preserve">（十六）其他未列明行业。</w:t>
      </w:r>
      <w:r>
        <w:rPr>
          <w:rFonts w:hint="eastAsia" w:ascii="宋体" w:hAnsi="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420"/>
        <w:rPr>
          <w:rFonts w:ascii="宋体" w:hAnsi="宋体"/>
          <w:color w:val="000000"/>
          <w:highlight w:val="none"/>
        </w:rPr>
      </w:pPr>
      <w:r>
        <w:rPr>
          <w:rFonts w:ascii="宋体" w:hAnsi="宋体"/>
          <w:color w:val="000000"/>
          <w:highlight w:val="none"/>
        </w:rPr>
      </w:r>
      <w:r/>
    </w:p>
    <w:p>
      <w:pPr>
        <w:pStyle w:val="1053"/>
        <w:ind w:firstLine="0"/>
        <w:rPr>
          <w:rFonts w:ascii="宋体" w:hAnsi="宋体"/>
          <w:color w:val="000000"/>
          <w:highlight w:val="none"/>
        </w:rPr>
      </w:pPr>
      <w:r>
        <w:rPr>
          <w:rFonts w:ascii="宋体" w:hAnsi="宋体"/>
          <w:color w:val="000000"/>
          <w:highlight w:val="none"/>
        </w:rPr>
      </w:r>
      <w:r/>
    </w:p>
    <w:p>
      <w:pPr>
        <w:pStyle w:val="682"/>
        <w:rPr>
          <w:b/>
          <w:bCs/>
          <w:color w:val="000000"/>
          <w:szCs w:val="21"/>
          <w:highlight w:val="none"/>
        </w:rPr>
      </w:pPr>
      <w:r>
        <w:rPr>
          <w:rFonts w:hint="eastAsia"/>
          <w:b/>
          <w:bCs/>
          <w:color w:val="000000"/>
          <w:szCs w:val="21"/>
          <w:highlight w:val="none"/>
        </w:rPr>
        <w:br w:type="page" w:clear="all"/>
      </w:r>
      <w:r>
        <w:rPr>
          <w:b/>
          <w:bCs/>
          <w:color w:val="000000"/>
          <w:szCs w:val="21"/>
          <w:highlight w:val="none"/>
        </w:rPr>
      </w:r>
      <w:r/>
    </w:p>
    <w:p>
      <w:pPr>
        <w:pStyle w:val="682"/>
        <w:rPr>
          <w:b/>
          <w:bCs/>
          <w:color w:val="000000"/>
          <w:szCs w:val="21"/>
          <w:highlight w:val="none"/>
        </w:rPr>
      </w:pPr>
      <w:r>
        <w:rPr>
          <w:rFonts w:hint="eastAsia"/>
          <w:b/>
          <w:bCs/>
          <w:color w:val="000000"/>
          <w:szCs w:val="21"/>
          <w:highlight w:val="none"/>
        </w:rPr>
        <w:t xml:space="preserve">（2）残疾人福利性单位声明函</w:t>
      </w:r>
      <w:r>
        <w:rPr>
          <w:b/>
          <w:bCs/>
          <w:color w:val="000000"/>
          <w:szCs w:val="21"/>
          <w:highlight w:val="none"/>
        </w:rPr>
      </w:r>
      <w:r/>
    </w:p>
    <w:p>
      <w:pPr>
        <w:pStyle w:val="1028"/>
        <w:spacing w:before="0" w:beforeAutospacing="0" w:after="0" w:afterAutospacing="0" w:line="480" w:lineRule="atLeast"/>
        <w:rPr>
          <w:color w:val="000000"/>
          <w:sz w:val="21"/>
          <w:szCs w:val="21"/>
          <w:highlight w:val="none"/>
        </w:rPr>
      </w:pPr>
      <w:r>
        <w:rPr>
          <w:color w:val="000000"/>
          <w:sz w:val="21"/>
          <w:szCs w:val="21"/>
          <w:highlight w:val="none"/>
        </w:rPr>
      </w:r>
      <w:r/>
    </w:p>
    <w:p>
      <w:pPr>
        <w:pStyle w:val="1028"/>
        <w:jc w:val="center"/>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残疾人福利性单位声明函</w:t>
      </w:r>
      <w:r>
        <w:rPr>
          <w:color w:val="000000"/>
          <w:sz w:val="21"/>
          <w:szCs w:val="21"/>
          <w:highlight w:val="none"/>
        </w:rPr>
      </w:r>
      <w:r/>
    </w:p>
    <w:p>
      <w:pPr>
        <w:pStyle w:val="1028"/>
        <w:jc w:val="center"/>
        <w:spacing w:before="0" w:beforeAutospacing="0" w:after="0" w:afterAutospacing="0" w:line="360" w:lineRule="auto"/>
        <w:rPr>
          <w:color w:val="000000"/>
          <w:sz w:val="21"/>
          <w:szCs w:val="21"/>
          <w:highlight w:val="none"/>
        </w:rPr>
      </w:pPr>
      <w:r>
        <w:rPr>
          <w:color w:val="000000"/>
          <w:sz w:val="21"/>
          <w:szCs w:val="21"/>
          <w:highlight w:val="none"/>
        </w:rPr>
      </w:r>
      <w:r/>
    </w:p>
    <w:p>
      <w:pPr>
        <w:pStyle w:val="1028"/>
        <w:ind w:firstLine="420"/>
        <w:spacing w:before="0" w:beforeAutospacing="0" w:after="0" w:afterAutospacing="0" w:line="480" w:lineRule="auto"/>
        <w:rPr>
          <w:color w:val="000000"/>
          <w:sz w:val="21"/>
          <w:szCs w:val="21"/>
          <w:highlight w:val="none"/>
        </w:rPr>
      </w:pPr>
      <w:r>
        <w:rPr>
          <w:rFonts w:hint="eastAsia"/>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 w:val="21"/>
          <w:szCs w:val="21"/>
          <w:highlight w:val="none"/>
        </w:rPr>
      </w:r>
      <w:r/>
    </w:p>
    <w:p>
      <w:pPr>
        <w:pStyle w:val="1028"/>
        <w:ind w:firstLine="420"/>
        <w:spacing w:before="0" w:beforeAutospacing="0" w:after="0" w:afterAutospacing="0" w:line="480" w:lineRule="auto"/>
        <w:rPr>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rPr>
          <w:color w:val="000000"/>
          <w:sz w:val="21"/>
          <w:szCs w:val="21"/>
          <w:highlight w:val="none"/>
        </w:rPr>
      </w:r>
      <w:r/>
    </w:p>
    <w:p>
      <w:pPr>
        <w:pStyle w:val="1028"/>
        <w:jc w:val="right"/>
        <w:spacing w:before="0" w:beforeAutospacing="0" w:after="0" w:afterAutospacing="0" w:line="480" w:lineRule="atLeast"/>
        <w:rPr>
          <w:color w:val="000000"/>
          <w:sz w:val="21"/>
          <w:szCs w:val="21"/>
          <w:highlight w:val="none"/>
        </w:rPr>
      </w:pPr>
      <w:r>
        <w:rPr>
          <w:rFonts w:hint="eastAsia" w:cs="Times New Roman"/>
          <w:color w:val="000000"/>
          <w:sz w:val="21"/>
          <w:szCs w:val="21"/>
          <w:highlight w:val="none"/>
        </w:rPr>
        <w:t xml:space="preserve">投标单位名称（加盖CA电子公章）</w:t>
      </w:r>
      <w:r>
        <w:rPr>
          <w:rFonts w:hint="eastAsia"/>
          <w:color w:val="000000"/>
          <w:sz w:val="21"/>
          <w:szCs w:val="21"/>
          <w:highlight w:val="none"/>
        </w:rPr>
        <w:t xml:space="preserve">                    </w:t>
      </w:r>
      <w:r>
        <w:rPr>
          <w:color w:val="000000"/>
          <w:sz w:val="21"/>
          <w:szCs w:val="21"/>
          <w:highlight w:val="none"/>
        </w:rPr>
      </w:r>
      <w:r/>
    </w:p>
    <w:p>
      <w:pPr>
        <w:pStyle w:val="1028"/>
        <w:ind w:firstLine="2100"/>
        <w:jc w:val="both"/>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682"/>
        <w:spacing w:line="360" w:lineRule="auto"/>
        <w:rPr>
          <w:rFonts w:ascii="宋体" w:hAnsi="宋体"/>
          <w:color w:val="000000"/>
          <w:highlight w:val="none"/>
        </w:rPr>
      </w:pPr>
      <w:r>
        <w:rPr>
          <w:rFonts w:ascii="宋体" w:hAnsi="宋体"/>
          <w:color w:val="000000"/>
          <w:highlight w:val="none"/>
        </w:rPr>
      </w:r>
      <w:r/>
    </w:p>
    <w:p>
      <w:pPr>
        <w:pStyle w:val="682"/>
        <w:spacing w:line="360" w:lineRule="auto"/>
        <w:rPr>
          <w:rFonts w:ascii="宋体" w:hAnsi="宋体"/>
          <w:color w:val="000000"/>
          <w:highlight w:val="none"/>
        </w:rPr>
      </w:pPr>
      <w:r>
        <w:rPr>
          <w:rFonts w:hint="eastAsia" w:ascii="宋体" w:hAnsi="宋体"/>
          <w:color w:val="000000"/>
          <w:highlight w:val="none"/>
          <w:lang w:val="zh-CN"/>
        </w:rPr>
        <w:t xml:space="preserve">备注：1.</w:t>
      </w:r>
      <w:r>
        <w:rPr>
          <w:rFonts w:hint="eastAsia" w:ascii="宋体" w:hAnsi="宋体"/>
          <w:color w:val="000000"/>
          <w:highlight w:val="none"/>
        </w:rPr>
        <w:t xml:space="preserve">享受政府采购支持政策的残疾人福利性单位应当同时满足以下条件：</w:t>
      </w:r>
      <w:r>
        <w:rPr>
          <w:rFonts w:ascii="宋体" w:hAnsi="宋体"/>
          <w:color w:val="000000"/>
          <w:highlight w:val="none"/>
        </w:rPr>
      </w:r>
      <w:r/>
    </w:p>
    <w:p>
      <w:pPr>
        <w:pStyle w:val="682"/>
        <w:spacing w:line="360" w:lineRule="auto"/>
        <w:rPr>
          <w:rFonts w:ascii="宋体" w:hAnsi="宋体"/>
          <w:color w:val="000000"/>
          <w:highlight w:val="none"/>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1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①</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安置的残疾人占本单位在职职工人数的比例不低于25%（含25%），并且安置的残疾人人数不少于10人（含10人）；</w:t>
      </w:r>
      <w:r>
        <w:rPr>
          <w:rFonts w:ascii="宋体" w:hAnsi="宋体"/>
          <w:color w:val="000000"/>
          <w:highlight w:val="none"/>
        </w:rPr>
      </w:r>
      <w:r/>
    </w:p>
    <w:p>
      <w:pPr>
        <w:pStyle w:val="682"/>
        <w:spacing w:line="360" w:lineRule="auto"/>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2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②</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依法与安置的每位残疾人签订了一年以上（含一年）的劳动合同或服务协议；</w:t>
      </w:r>
      <w:r>
        <w:rPr>
          <w:rFonts w:ascii="宋体" w:hAnsi="宋体"/>
          <w:color w:val="000000"/>
          <w:highlight w:val="none"/>
          <w:lang w:val="zh-CN"/>
        </w:rPr>
      </w:r>
      <w:r/>
    </w:p>
    <w:p>
      <w:pPr>
        <w:pStyle w:val="682"/>
        <w:spacing w:line="360" w:lineRule="auto"/>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3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③</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为安置的每位残疾人按月足额缴纳了基本养老保险、基本医疗保险、失业保险、工伤保险和生育保险等社会保险费；</w:t>
      </w:r>
      <w:r>
        <w:rPr>
          <w:rFonts w:ascii="宋体" w:hAnsi="宋体"/>
          <w:color w:val="000000"/>
          <w:highlight w:val="none"/>
          <w:lang w:val="zh-CN"/>
        </w:rPr>
      </w:r>
      <w:r/>
    </w:p>
    <w:p>
      <w:pPr>
        <w:pStyle w:val="682"/>
        <w:spacing w:line="360" w:lineRule="auto"/>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4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④</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通过银行等金融机构向安置的每位残疾人，按月支付了不低于单位所在区县适用的经省级人民政府批准的月最低工资标准的工资；</w:t>
      </w:r>
      <w:r>
        <w:rPr>
          <w:rFonts w:ascii="宋体" w:hAnsi="宋体"/>
          <w:color w:val="000000"/>
          <w:highlight w:val="none"/>
          <w:lang w:val="zh-CN"/>
        </w:rPr>
      </w:r>
      <w:r/>
    </w:p>
    <w:p>
      <w:pPr>
        <w:pStyle w:val="682"/>
        <w:spacing w:line="360" w:lineRule="auto"/>
        <w:rPr>
          <w:rFonts w:ascii="宋体" w:hAnsi="宋体"/>
          <w:color w:val="000000"/>
          <w:highlight w:val="none"/>
          <w:lang w:val="zh-CN"/>
        </w:rPr>
      </w:pPr>
      <w:r>
        <w:rPr>
          <w:rFonts w:hint="eastAsia" w:ascii="宋体" w:hAnsi="宋体"/>
          <w:color w:val="000000"/>
          <w:highlight w:val="none"/>
          <w:lang w:val="zh-CN"/>
        </w:rPr>
        <w:fldChar w:fldCharType="begin"/>
      </w:r>
      <w:r>
        <w:rPr>
          <w:rFonts w:hint="eastAsia" w:ascii="宋体" w:hAnsi="宋体"/>
          <w:color w:val="000000"/>
          <w:highlight w:val="none"/>
          <w:lang w:val="zh-CN"/>
        </w:rPr>
        <w:instrText xml:space="preserve"> = 5 \* GB3 </w:instrText>
      </w:r>
      <w:r>
        <w:rPr>
          <w:rFonts w:hint="eastAsia" w:ascii="宋体" w:hAnsi="宋体"/>
          <w:color w:val="000000"/>
          <w:highlight w:val="none"/>
          <w:lang w:val="zh-CN"/>
        </w:rPr>
        <w:fldChar w:fldCharType="separate"/>
      </w:r>
      <w:r>
        <w:rPr>
          <w:rFonts w:hint="eastAsia" w:ascii="宋体" w:hAnsi="宋体"/>
          <w:color w:val="000000"/>
          <w:highlight w:val="none"/>
          <w:lang w:val="zh-CN"/>
        </w:rPr>
        <w:t xml:space="preserve">⑤</w:t>
      </w:r>
      <w:r>
        <w:rPr>
          <w:rFonts w:hint="eastAsia" w:ascii="宋体" w:hAnsi="宋体"/>
          <w:color w:val="000000"/>
          <w:highlight w:val="none"/>
          <w:lang w:val="zh-CN"/>
        </w:rPr>
        <w:fldChar w:fldCharType="end"/>
      </w:r>
      <w:r>
        <w:rPr>
          <w:rFonts w:hint="eastAsia" w:ascii="宋体" w:hAnsi="宋体"/>
          <w:color w:val="000000"/>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highlight w:val="none"/>
          <w:lang w:val="zh-CN"/>
        </w:rPr>
      </w:r>
      <w:r/>
    </w:p>
    <w:p>
      <w:pPr>
        <w:pStyle w:val="1031"/>
        <w:ind w:left="0" w:firstLine="0"/>
        <w:spacing w:line="360" w:lineRule="auto"/>
        <w:rPr>
          <w:rFonts w:ascii="宋体" w:hAnsi="宋体" w:eastAsia="宋体"/>
          <w:color w:val="000000"/>
          <w:sz w:val="21"/>
          <w:highlight w:val="none"/>
          <w:lang w:val="zh-CN"/>
        </w:rPr>
      </w:pPr>
      <w:r>
        <w:rPr>
          <w:rFonts w:hint="eastAsia" w:ascii="宋体" w:hAnsi="宋体" w:eastAsia="宋体"/>
          <w:color w:val="000000"/>
          <w:sz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eastAsia="宋体"/>
          <w:color w:val="000000"/>
          <w:sz w:val="21"/>
          <w:highlight w:val="none"/>
          <w:lang w:val="zh-CN"/>
        </w:rPr>
      </w:r>
      <w:r/>
    </w:p>
    <w:p>
      <w:pPr>
        <w:pStyle w:val="1031"/>
        <w:ind w:left="0" w:firstLine="0"/>
        <w:spacing w:line="360" w:lineRule="auto"/>
        <w:rPr>
          <w:rFonts w:ascii="宋体" w:hAnsi="宋体" w:eastAsia="宋体"/>
          <w:color w:val="000000"/>
          <w:sz w:val="21"/>
          <w:highlight w:val="none"/>
          <w:lang w:val="zh-CN"/>
        </w:rPr>
      </w:pPr>
      <w:r>
        <w:rPr>
          <w:rFonts w:hint="eastAsia" w:ascii="宋体" w:hAnsi="宋体" w:eastAsia="宋体"/>
          <w:color w:val="000000"/>
          <w:sz w:val="21"/>
          <w:highlight w:val="none"/>
          <w:lang w:val="zh-CN"/>
        </w:rPr>
        <w:t xml:space="preserve">2.中标单位为残疾人福利性单位的，《残疾人福利性单位声明函》将随中标结果同时公告。</w:t>
      </w:r>
      <w:r>
        <w:rPr>
          <w:rFonts w:ascii="宋体" w:hAnsi="宋体" w:eastAsia="宋体"/>
          <w:color w:val="000000"/>
          <w:sz w:val="21"/>
          <w:highlight w:val="none"/>
          <w:lang w:val="zh-CN"/>
        </w:rPr>
      </w:r>
      <w:r/>
    </w:p>
    <w:p>
      <w:pPr>
        <w:pStyle w:val="1031"/>
        <w:ind w:left="0" w:firstLine="0"/>
        <w:spacing w:line="360" w:lineRule="auto"/>
        <w:rPr>
          <w:rFonts w:ascii="宋体" w:hAnsi="宋体"/>
          <w:b/>
          <w:color w:val="000000"/>
          <w:highlight w:val="none"/>
        </w:rPr>
      </w:pPr>
      <w:r>
        <w:rPr>
          <w:rFonts w:hint="eastAsia" w:ascii="宋体" w:hAnsi="宋体" w:eastAsia="宋体"/>
          <w:color w:val="000000"/>
          <w:sz w:val="21"/>
          <w:highlight w:val="none"/>
          <w:lang w:val="zh-CN"/>
        </w:rPr>
        <w:t xml:space="preserve">3.供应商提供的《残疾人福利性单位声明函》与事实不符的，依照《政府采购法》第七十七条第一款的规定追究法律责任。</w:t>
      </w:r>
      <w:r>
        <w:rPr>
          <w:rFonts w:ascii="宋体" w:hAnsi="宋体"/>
          <w:b/>
          <w:color w:val="000000"/>
          <w:highlight w:val="none"/>
        </w:rPr>
      </w:r>
      <w:r/>
    </w:p>
    <w:p>
      <w:pPr>
        <w:pStyle w:val="682"/>
        <w:rPr>
          <w:b/>
          <w:bCs/>
          <w:color w:val="000000"/>
          <w:highlight w:val="none"/>
        </w:rPr>
      </w:pPr>
      <w:r>
        <w:rPr>
          <w:rFonts w:hint="eastAsia" w:ascii="宋体" w:hAnsi="宋体" w:cs="宋体"/>
          <w:b/>
          <w:color w:val="000000"/>
          <w:szCs w:val="21"/>
          <w:highlight w:val="none"/>
        </w:rPr>
        <w:br w:type="page" w:clear="all"/>
      </w:r>
      <w:r>
        <w:rPr>
          <w:b/>
          <w:bCs/>
          <w:color w:val="000000"/>
          <w:highlight w:val="none"/>
        </w:rPr>
      </w:r>
      <w:r/>
    </w:p>
    <w:p>
      <w:pPr>
        <w:pStyle w:val="682"/>
        <w:numPr>
          <w:ilvl w:val="0"/>
          <w:numId w:val="3"/>
        </w:numPr>
        <w:rPr>
          <w:rFonts w:ascii="宋体" w:hAnsi="宋体" w:cs="宋体"/>
          <w:b/>
          <w:color w:val="000000"/>
          <w:szCs w:val="21"/>
          <w:highlight w:val="none"/>
        </w:rPr>
      </w:pPr>
      <w:r>
        <w:rPr>
          <w:rFonts w:hint="eastAsia" w:ascii="宋体" w:hAnsi="宋体" w:cs="宋体"/>
          <w:b/>
          <w:color w:val="000000"/>
          <w:szCs w:val="21"/>
          <w:highlight w:val="none"/>
        </w:rPr>
        <w:t xml:space="preserve">关于符合本国产品标准的声明函 </w:t>
      </w:r>
      <w:r>
        <w:rPr>
          <w:rFonts w:ascii="宋体" w:hAnsi="宋体" w:cs="宋体"/>
          <w:b/>
          <w:color w:val="000000"/>
          <w:szCs w:val="21"/>
          <w:highlight w:val="none"/>
        </w:rPr>
      </w:r>
      <w:r/>
    </w:p>
    <w:p>
      <w:pPr>
        <w:pStyle w:val="682"/>
        <w:rPr>
          <w:rFonts w:ascii="微软雅黑" w:hAnsi="微软雅黑" w:eastAsia="微软雅黑" w:cs="微软雅黑"/>
          <w:color w:val="000000"/>
          <w:szCs w:val="21"/>
          <w:highlight w:val="none"/>
        </w:rPr>
      </w:pPr>
      <w:r>
        <w:rPr>
          <w:rFonts w:ascii="微软雅黑" w:hAnsi="微软雅黑" w:eastAsia="微软雅黑" w:cs="微软雅黑"/>
          <w:color w:val="000000"/>
          <w:szCs w:val="21"/>
          <w:highlight w:val="none"/>
        </w:rPr>
      </w:r>
      <w:r/>
    </w:p>
    <w:p>
      <w:pPr>
        <w:pStyle w:val="682"/>
        <w:jc w:val="center"/>
        <w:spacing w:after="120" w:line="360" w:lineRule="auto"/>
        <w:rPr>
          <w:rFonts w:ascii="微软雅黑" w:hAnsi="微软雅黑" w:eastAsia="微软雅黑" w:cs="微软雅黑"/>
          <w:color w:val="000000"/>
          <w:szCs w:val="21"/>
          <w:highlight w:val="none"/>
        </w:rPr>
      </w:pPr>
      <w:r>
        <w:rPr>
          <w:rFonts w:hint="eastAsia" w:ascii="宋体" w:hAnsi="宋体" w:cs="宋体"/>
          <w:b/>
          <w:color w:val="000000"/>
          <w:szCs w:val="21"/>
          <w:highlight w:val="none"/>
        </w:rPr>
        <w:t xml:space="preserve">关于符合本国产品标准的声明函</w:t>
      </w:r>
      <w:r>
        <w:rPr>
          <w:rFonts w:ascii="微软雅黑" w:hAnsi="微软雅黑" w:eastAsia="微软雅黑" w:cs="微软雅黑"/>
          <w:color w:val="000000"/>
          <w:szCs w:val="21"/>
          <w:highlight w:val="none"/>
        </w:rPr>
      </w:r>
      <w:r/>
    </w:p>
    <w:p>
      <w:pPr>
        <w:pStyle w:val="1028"/>
        <w:ind w:firstLine="420"/>
        <w:spacing w:before="0" w:beforeAutospacing="0" w:after="0" w:afterAutospacing="0" w:line="360" w:lineRule="auto"/>
        <w:rPr>
          <w:color w:val="000000"/>
          <w:sz w:val="21"/>
          <w:szCs w:val="21"/>
          <w:highlight w:val="none"/>
        </w:rPr>
      </w:pPr>
      <w:r>
        <w:rPr>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highlight w:val="none"/>
        </w:rPr>
      </w:r>
      <w:r/>
    </w:p>
    <w:p>
      <w:pPr>
        <w:pStyle w:val="1028"/>
        <w:numPr>
          <w:ilvl w:val="0"/>
          <w:numId w:val="4"/>
        </w:numPr>
        <w:ind w:firstLine="420"/>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u w:val="single"/>
        </w:rPr>
        <w:t xml:space="preserve">（产品名称1）</w:t>
      </w:r>
      <w:r>
        <w:rPr>
          <w:color w:val="000000"/>
          <w:sz w:val="22"/>
          <w:szCs w:val="22"/>
          <w:highlight w:val="none"/>
          <w:u w:val="single"/>
          <w:vertAlign w:val="superscript"/>
        </w:rPr>
        <w:t xml:space="preserve">1</w:t>
      </w:r>
      <w:r>
        <w:rPr>
          <w:color w:val="000000"/>
          <w:sz w:val="21"/>
          <w:szCs w:val="21"/>
          <w:highlight w:val="none"/>
        </w:rPr>
        <w:t xml:space="preserve">，生产厂为</w:t>
      </w:r>
      <w:r>
        <w:rPr>
          <w:color w:val="000000"/>
          <w:sz w:val="21"/>
          <w:szCs w:val="21"/>
          <w:highlight w:val="none"/>
          <w:u w:val="single"/>
        </w:rPr>
        <w:t xml:space="preserve">（厂名）</w:t>
      </w:r>
      <w:r>
        <w:rPr>
          <w:color w:val="000000"/>
          <w:sz w:val="22"/>
          <w:szCs w:val="22"/>
          <w:highlight w:val="none"/>
          <w:u w:val="single"/>
          <w:vertAlign w:val="superscript"/>
        </w:rPr>
        <w:t xml:space="preserve">2</w:t>
      </w:r>
      <w:r>
        <w:rPr>
          <w:color w:val="000000"/>
          <w:sz w:val="21"/>
          <w:szCs w:val="21"/>
          <w:highlight w:val="none"/>
        </w:rPr>
        <w:t xml:space="preserve">，厂址为</w:t>
      </w:r>
      <w:r>
        <w:rPr>
          <w:color w:val="000000"/>
          <w:sz w:val="21"/>
          <w:szCs w:val="21"/>
          <w:highlight w:val="none"/>
          <w:u w:val="single"/>
        </w:rPr>
        <w:t xml:space="preserve">（生产厂址）</w:t>
      </w:r>
      <w:r>
        <w:rPr>
          <w:color w:val="000000"/>
          <w:sz w:val="21"/>
          <w:szCs w:val="21"/>
          <w:highlight w:val="none"/>
        </w:rPr>
        <w:t xml:space="preserve">。</w:t>
      </w:r>
      <w:r>
        <w:rPr>
          <w:color w:val="000000"/>
          <w:sz w:val="21"/>
          <w:szCs w:val="21"/>
          <w:highlight w:val="none"/>
          <w:u w:val="single"/>
        </w:rPr>
        <w:t xml:space="preserve">（产品名称1）</w:t>
      </w:r>
      <w:r>
        <w:rPr>
          <w:color w:val="000000"/>
          <w:sz w:val="21"/>
          <w:szCs w:val="21"/>
          <w:highlight w:val="none"/>
        </w:rPr>
        <w:t xml:space="preserve">的中国境内生产的组件成本占比≥</w:t>
      </w:r>
      <w:r>
        <w:rPr>
          <w:color w:val="000000"/>
          <w:sz w:val="21"/>
          <w:szCs w:val="21"/>
          <w:highlight w:val="none"/>
          <w:u w:val="single"/>
        </w:rPr>
        <w:t xml:space="preserve">（规定比例）</w:t>
      </w:r>
      <w:r>
        <w:rPr>
          <w:color w:val="000000"/>
          <w:sz w:val="22"/>
          <w:szCs w:val="22"/>
          <w:highlight w:val="none"/>
          <w:u w:val="single"/>
          <w:vertAlign w:val="superscript"/>
        </w:rPr>
        <w:t xml:space="preserve">3</w:t>
      </w:r>
      <w:r>
        <w:rPr>
          <w:color w:val="000000"/>
          <w:sz w:val="21"/>
          <w:szCs w:val="21"/>
          <w:highlight w:val="none"/>
        </w:rPr>
        <w:t xml:space="preserve">。</w:t>
      </w:r>
      <w:r>
        <w:rPr>
          <w:color w:val="000000"/>
          <w:sz w:val="21"/>
          <w:szCs w:val="21"/>
          <w:highlight w:val="none"/>
          <w:u w:val="single"/>
        </w:rPr>
        <w:t xml:space="preserve">（产品名称1）</w:t>
      </w:r>
      <w:r>
        <w:rPr>
          <w:color w:val="000000"/>
          <w:sz w:val="21"/>
          <w:szCs w:val="21"/>
          <w:highlight w:val="none"/>
        </w:rPr>
        <w:t xml:space="preserve">的</w:t>
      </w:r>
      <w:r>
        <w:rPr>
          <w:color w:val="000000"/>
          <w:sz w:val="21"/>
          <w:szCs w:val="21"/>
          <w:highlight w:val="none"/>
          <w:u w:val="single"/>
        </w:rPr>
        <w:t xml:space="preserve">（关键组件）</w:t>
      </w:r>
      <w:r>
        <w:rPr>
          <w:color w:val="000000"/>
          <w:sz w:val="22"/>
          <w:szCs w:val="22"/>
          <w:highlight w:val="none"/>
          <w:u w:val="single"/>
          <w:vertAlign w:val="superscript"/>
        </w:rPr>
        <w:t xml:space="preserve">4</w:t>
      </w:r>
      <w:r>
        <w:rPr>
          <w:color w:val="000000"/>
          <w:sz w:val="21"/>
          <w:szCs w:val="21"/>
          <w:highlight w:val="none"/>
        </w:rPr>
        <w:t xml:space="preserve">在中国境内生产。</w:t>
      </w:r>
      <w:r>
        <w:rPr>
          <w:color w:val="000000"/>
          <w:sz w:val="21"/>
          <w:szCs w:val="21"/>
          <w:highlight w:val="none"/>
          <w:u w:val="single"/>
        </w:rPr>
        <w:t xml:space="preserve">（产品名称1）</w:t>
      </w:r>
      <w:r>
        <w:rPr>
          <w:color w:val="000000"/>
          <w:sz w:val="21"/>
          <w:szCs w:val="21"/>
          <w:highlight w:val="none"/>
        </w:rPr>
        <w:t xml:space="preserve">的</w:t>
      </w:r>
      <w:r>
        <w:rPr>
          <w:color w:val="000000"/>
          <w:sz w:val="21"/>
          <w:szCs w:val="21"/>
          <w:highlight w:val="none"/>
          <w:u w:val="single"/>
        </w:rPr>
        <w:t xml:space="preserve">（关键工序）</w:t>
      </w:r>
      <w:r>
        <w:rPr>
          <w:color w:val="000000"/>
          <w:sz w:val="22"/>
          <w:szCs w:val="22"/>
          <w:highlight w:val="none"/>
          <w:u w:val="single"/>
          <w:vertAlign w:val="superscript"/>
        </w:rPr>
        <w:t xml:space="preserve">5</w:t>
      </w:r>
      <w:r>
        <w:rPr>
          <w:color w:val="000000"/>
          <w:sz w:val="21"/>
          <w:szCs w:val="21"/>
          <w:highlight w:val="none"/>
        </w:rPr>
        <w:t xml:space="preserve">在中国境内完成。 </w:t>
      </w:r>
      <w:r>
        <w:rPr>
          <w:color w:val="000000"/>
          <w:sz w:val="21"/>
          <w:szCs w:val="21"/>
          <w:highlight w:val="none"/>
        </w:rPr>
      </w:r>
      <w:r/>
    </w:p>
    <w:p>
      <w:pPr>
        <w:pStyle w:val="1028"/>
        <w:numPr>
          <w:ilvl w:val="0"/>
          <w:numId w:val="4"/>
        </w:numPr>
        <w:ind w:firstLine="420"/>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u w:val="single"/>
        </w:rPr>
        <w:t xml:space="preserve">（产品名称2）</w:t>
      </w:r>
      <w:r>
        <w:rPr>
          <w:color w:val="000000"/>
          <w:sz w:val="21"/>
          <w:szCs w:val="21"/>
          <w:highlight w:val="none"/>
        </w:rPr>
        <w:t xml:space="preserve">，生产厂为</w:t>
      </w:r>
      <w:r>
        <w:rPr>
          <w:color w:val="000000"/>
          <w:sz w:val="21"/>
          <w:szCs w:val="21"/>
          <w:highlight w:val="none"/>
          <w:u w:val="single"/>
        </w:rPr>
        <w:t xml:space="preserve">（厂名）</w:t>
      </w:r>
      <w:r>
        <w:rPr>
          <w:color w:val="000000"/>
          <w:sz w:val="21"/>
          <w:szCs w:val="21"/>
          <w:highlight w:val="none"/>
        </w:rPr>
        <w:t xml:space="preserve">，厂址为</w:t>
      </w:r>
      <w:r>
        <w:rPr>
          <w:color w:val="000000"/>
          <w:sz w:val="21"/>
          <w:szCs w:val="21"/>
          <w:highlight w:val="none"/>
          <w:u w:val="single"/>
        </w:rPr>
        <w:t xml:space="preserve">（生产厂址）</w:t>
      </w:r>
      <w:r>
        <w:rPr>
          <w:color w:val="000000"/>
          <w:sz w:val="21"/>
          <w:szCs w:val="21"/>
          <w:highlight w:val="none"/>
        </w:rPr>
        <w:t xml:space="preserve">。</w:t>
      </w:r>
      <w:r>
        <w:rPr>
          <w:color w:val="000000"/>
          <w:sz w:val="21"/>
          <w:szCs w:val="21"/>
          <w:highlight w:val="none"/>
          <w:u w:val="single"/>
        </w:rPr>
        <w:t xml:space="preserve">（产品名称2）</w:t>
      </w:r>
      <w:r>
        <w:rPr>
          <w:color w:val="000000"/>
          <w:sz w:val="21"/>
          <w:szCs w:val="21"/>
          <w:highlight w:val="none"/>
        </w:rPr>
        <w:t xml:space="preserve">的中国境内生产的组件成本占比≥</w:t>
      </w:r>
      <w:r>
        <w:rPr>
          <w:color w:val="000000"/>
          <w:sz w:val="21"/>
          <w:szCs w:val="21"/>
          <w:highlight w:val="none"/>
          <w:u w:val="single"/>
        </w:rPr>
        <w:t xml:space="preserve">（规定比例）</w:t>
      </w:r>
      <w:r>
        <w:rPr>
          <w:color w:val="000000"/>
          <w:sz w:val="21"/>
          <w:szCs w:val="21"/>
          <w:highlight w:val="none"/>
        </w:rPr>
        <w:t xml:space="preserve">。</w:t>
      </w:r>
      <w:r>
        <w:rPr>
          <w:color w:val="000000"/>
          <w:sz w:val="21"/>
          <w:szCs w:val="21"/>
          <w:highlight w:val="none"/>
          <w:u w:val="single"/>
        </w:rPr>
        <w:t xml:space="preserve">（产品名称2）</w:t>
      </w:r>
      <w:r>
        <w:rPr>
          <w:color w:val="000000"/>
          <w:sz w:val="21"/>
          <w:szCs w:val="21"/>
          <w:highlight w:val="none"/>
        </w:rPr>
        <w:t xml:space="preserve">的</w:t>
      </w:r>
      <w:r>
        <w:rPr>
          <w:color w:val="000000"/>
          <w:sz w:val="21"/>
          <w:szCs w:val="21"/>
          <w:highlight w:val="none"/>
          <w:u w:val="single"/>
        </w:rPr>
        <w:t xml:space="preserve">（关键组件）</w:t>
      </w:r>
      <w:r>
        <w:rPr>
          <w:color w:val="000000"/>
          <w:sz w:val="21"/>
          <w:szCs w:val="21"/>
          <w:highlight w:val="none"/>
        </w:rPr>
        <w:t xml:space="preserve">在中国境内生产。</w:t>
      </w:r>
      <w:r>
        <w:rPr>
          <w:color w:val="000000"/>
          <w:sz w:val="21"/>
          <w:szCs w:val="21"/>
          <w:highlight w:val="none"/>
          <w:u w:val="single"/>
        </w:rPr>
        <w:t xml:space="preserve">（产品名称2）</w:t>
      </w:r>
      <w:r>
        <w:rPr>
          <w:color w:val="000000"/>
          <w:sz w:val="21"/>
          <w:szCs w:val="21"/>
          <w:highlight w:val="none"/>
        </w:rPr>
        <w:t xml:space="preserve">的</w:t>
      </w:r>
      <w:r>
        <w:rPr>
          <w:color w:val="000000"/>
          <w:sz w:val="21"/>
          <w:szCs w:val="21"/>
          <w:highlight w:val="none"/>
          <w:u w:val="single"/>
        </w:rPr>
        <w:t xml:space="preserve">（关键工序）</w:t>
      </w:r>
      <w:r>
        <w:rPr>
          <w:color w:val="000000"/>
          <w:sz w:val="21"/>
          <w:szCs w:val="21"/>
          <w:highlight w:val="none"/>
        </w:rPr>
        <w:t xml:space="preserve">在中国境内完成。 </w:t>
      </w: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本公司（单位）对上述声明内容的真实性负责。如有虚假，愿承担相应法律责任。 </w:t>
      </w: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公司（单位）名称（盖章）：　 </w:t>
      </w: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日期：　年　月　日 </w:t>
      </w: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r>
      <w:r/>
    </w:p>
    <w:p>
      <w:pPr>
        <w:pStyle w:val="1028"/>
        <w:ind w:firstLine="420"/>
        <w:jc w:val="both"/>
        <w:spacing w:before="0" w:beforeAutospacing="0" w:after="0" w:afterAutospacing="0" w:line="360" w:lineRule="auto"/>
        <w:rPr>
          <w:color w:val="000000"/>
          <w:sz w:val="21"/>
          <w:szCs w:val="21"/>
          <w:highlight w:val="none"/>
        </w:rPr>
      </w:pPr>
      <w:r>
        <w:rPr>
          <w:color w:val="000000"/>
          <w:sz w:val="21"/>
          <w:szCs w:val="21"/>
          <w:highlight w:val="none"/>
        </w:rPr>
        <w:t xml:space="preserve">__________________ </w:t>
      </w:r>
      <w:r>
        <w:rPr>
          <w:color w:val="000000"/>
          <w:sz w:val="21"/>
          <w:szCs w:val="21"/>
          <w:highlight w:val="none"/>
        </w:rPr>
      </w:r>
      <w:r/>
    </w:p>
    <w:p>
      <w:pPr>
        <w:pStyle w:val="1028"/>
        <w:numPr>
          <w:ilvl w:val="0"/>
          <w:numId w:val="5"/>
        </w:numPr>
        <w:ind w:firstLine="482"/>
        <w:jc w:val="both"/>
        <w:spacing w:before="0" w:beforeAutospacing="0" w:after="0" w:afterAutospacing="0" w:line="360" w:lineRule="auto"/>
        <w:tabs>
          <w:tab w:val="left" w:pos="312" w:leader="none"/>
        </w:tabs>
        <w:rPr>
          <w:b/>
          <w:bCs/>
          <w:color w:val="000000"/>
          <w:highlight w:val="none"/>
        </w:rPr>
      </w:pPr>
      <w:r>
        <w:rPr>
          <w:rFonts w:hint="eastAsia"/>
          <w:b/>
          <w:bCs/>
          <w:color w:val="000000"/>
          <w:highlight w:val="none"/>
        </w:rPr>
        <w:t xml:space="preserve">本项目不接受进口产品。</w:t>
      </w:r>
      <w:r>
        <w:rPr>
          <w:b/>
          <w:bCs/>
          <w:color w:val="000000"/>
          <w:highlight w:val="none"/>
        </w:rPr>
      </w:r>
      <w:r/>
    </w:p>
    <w:p>
      <w:pPr>
        <w:pStyle w:val="1028"/>
        <w:numPr>
          <w:ilvl w:val="0"/>
          <w:numId w:val="5"/>
        </w:numPr>
        <w:ind w:firstLine="420"/>
        <w:jc w:val="both"/>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rPr>
        <w:t xml:space="preserve">产品如有型号，请在“产品名称”栏一并填写。 </w:t>
      </w:r>
      <w:r>
        <w:rPr>
          <w:color w:val="000000"/>
          <w:sz w:val="21"/>
          <w:szCs w:val="21"/>
          <w:highlight w:val="none"/>
        </w:rPr>
      </w:r>
      <w:r/>
    </w:p>
    <w:p>
      <w:pPr>
        <w:pStyle w:val="1028"/>
        <w:numPr>
          <w:ilvl w:val="0"/>
          <w:numId w:val="5"/>
        </w:numPr>
        <w:ind w:firstLine="420"/>
        <w:jc w:val="both"/>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rPr>
        <w:t xml:space="preserve">生产厂名与厂址应与生产厂营业执照载明的相关信息保持一致。</w:t>
      </w:r>
      <w:r>
        <w:rPr>
          <w:color w:val="000000"/>
          <w:sz w:val="21"/>
          <w:szCs w:val="21"/>
          <w:highlight w:val="none"/>
        </w:rPr>
      </w:r>
      <w:r/>
    </w:p>
    <w:p>
      <w:pPr>
        <w:pStyle w:val="1028"/>
        <w:numPr>
          <w:ilvl w:val="0"/>
          <w:numId w:val="5"/>
        </w:numPr>
        <w:ind w:firstLine="420"/>
        <w:jc w:val="both"/>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rPr>
        <w:t xml:space="preserve">该产品的中国境内生产的组件成本占比相关要求实施前，“规定比例”栏可不填，下同。</w:t>
      </w:r>
      <w:r>
        <w:rPr>
          <w:color w:val="000000"/>
          <w:sz w:val="21"/>
          <w:szCs w:val="21"/>
          <w:highlight w:val="none"/>
        </w:rPr>
      </w:r>
      <w:r/>
    </w:p>
    <w:p>
      <w:pPr>
        <w:pStyle w:val="1028"/>
        <w:numPr>
          <w:ilvl w:val="0"/>
          <w:numId w:val="5"/>
        </w:numPr>
        <w:ind w:firstLine="420"/>
        <w:jc w:val="both"/>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rPr>
        <w:t xml:space="preserve">该产品的关键组件要求实施前，“关键组件”栏可不填，下同。</w:t>
      </w:r>
      <w:r>
        <w:rPr>
          <w:color w:val="000000"/>
          <w:sz w:val="21"/>
          <w:szCs w:val="21"/>
          <w:highlight w:val="none"/>
        </w:rPr>
      </w:r>
      <w:r/>
    </w:p>
    <w:p>
      <w:pPr>
        <w:pStyle w:val="1028"/>
        <w:numPr>
          <w:ilvl w:val="0"/>
          <w:numId w:val="5"/>
        </w:numPr>
        <w:ind w:firstLine="420"/>
        <w:jc w:val="both"/>
        <w:spacing w:before="0" w:beforeAutospacing="0" w:after="0" w:afterAutospacing="0" w:line="360" w:lineRule="auto"/>
        <w:tabs>
          <w:tab w:val="left" w:pos="312" w:leader="none"/>
        </w:tabs>
        <w:rPr>
          <w:color w:val="000000"/>
          <w:sz w:val="21"/>
          <w:szCs w:val="21"/>
          <w:highlight w:val="none"/>
        </w:rPr>
      </w:pPr>
      <w:r>
        <w:rPr>
          <w:color w:val="000000"/>
          <w:sz w:val="21"/>
          <w:szCs w:val="21"/>
          <w:highlight w:val="none"/>
        </w:rPr>
        <w:t xml:space="preserve">该产品的关键工序要求实施前，“关键工序”栏可不填，下同。</w:t>
      </w:r>
      <w:r>
        <w:rPr>
          <w:color w:val="000000"/>
          <w:sz w:val="21"/>
          <w:szCs w:val="21"/>
          <w:highlight w:val="none"/>
        </w:rPr>
      </w:r>
      <w:r/>
    </w:p>
    <w:p>
      <w:pPr>
        <w:pStyle w:val="768"/>
        <w:rPr>
          <w:color w:val="000000"/>
          <w:highlight w:val="none"/>
        </w:rPr>
      </w:pPr>
      <w:r>
        <w:rPr>
          <w:color w:val="000000"/>
          <w:highlight w:val="none"/>
        </w:rPr>
      </w:r>
      <w:r/>
    </w:p>
    <w:p>
      <w:pPr>
        <w:pStyle w:val="682"/>
        <w:jc w:val="center"/>
        <w:rPr>
          <w:b/>
          <w:bCs/>
          <w:color w:val="000000"/>
          <w:highlight w:val="none"/>
        </w:rPr>
      </w:pPr>
      <w:r>
        <w:rPr>
          <w:rFonts w:hint="eastAsia" w:hAnsi="宋体" w:cs="宋体"/>
          <w:b/>
          <w:bCs/>
          <w:color w:val="000000"/>
          <w:sz w:val="44"/>
          <w:szCs w:val="44"/>
          <w:highlight w:val="none"/>
        </w:rPr>
        <w:br w:type="page" w:clear="all"/>
      </w:r>
      <w:r>
        <w:rPr>
          <w:rFonts w:hint="eastAsia" w:hAnsi="宋体" w:cs="宋体"/>
          <w:b/>
          <w:bCs/>
          <w:color w:val="000000"/>
          <w:sz w:val="44"/>
          <w:szCs w:val="44"/>
          <w:highlight w:val="none"/>
        </w:rPr>
        <w:t xml:space="preserve">第七章  附件</w:t>
      </w:r>
      <w:r>
        <w:rPr>
          <w:b/>
          <w:bCs/>
          <w:color w:val="000000"/>
          <w:highlight w:val="none"/>
        </w:rPr>
      </w:r>
      <w:r/>
    </w:p>
    <w:p>
      <w:pPr>
        <w:pStyle w:val="890"/>
        <w:ind w:firstLine="0"/>
        <w:rPr>
          <w:b/>
          <w:bCs/>
          <w:color w:val="000000"/>
          <w:highlight w:val="none"/>
        </w:rPr>
      </w:pPr>
      <w:r>
        <w:rPr>
          <w:b/>
          <w:bCs/>
          <w:color w:val="000000"/>
          <w:highlight w:val="none"/>
        </w:rPr>
      </w:r>
      <w:r/>
    </w:p>
    <w:p>
      <w:pPr>
        <w:pStyle w:val="890"/>
        <w:ind w:firstLine="0"/>
        <w:jc w:val="center"/>
        <w:rPr>
          <w:b/>
          <w:bCs/>
          <w:color w:val="000000"/>
          <w:highlight w:val="none"/>
        </w:rPr>
      </w:pPr>
      <w:r>
        <w:rPr>
          <w:rFonts w:hint="eastAsia"/>
          <w:b/>
          <w:bCs/>
          <w:color w:val="000000"/>
          <w:highlight w:val="none"/>
        </w:rPr>
        <w:t xml:space="preserve">采购清单</w:t>
      </w:r>
      <w:r>
        <w:rPr>
          <w:b/>
          <w:bCs/>
          <w:color w:val="000000"/>
          <w:highlight w:val="none"/>
        </w:rPr>
      </w:r>
      <w:r/>
    </w:p>
    <w:p>
      <w:pPr>
        <w:pStyle w:val="800"/>
        <w:rPr>
          <w:color w:val="000000"/>
          <w:highlight w:val="none"/>
        </w:rPr>
      </w:pPr>
      <w:r>
        <w:rPr>
          <w:color w:val="000000"/>
          <w:highlight w:val="none"/>
        </w:rPr>
      </w:r>
      <w:r/>
    </w:p>
    <w:tbl>
      <w:tblPr>
        <w:tblW w:w="87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2437"/>
        <w:gridCol w:w="2781"/>
        <w:gridCol w:w="700"/>
        <w:gridCol w:w="687"/>
        <w:gridCol w:w="1464"/>
      </w:tblGrid>
      <w:tr>
        <w:trPr>
          <w:trHeight w:val="245"/>
        </w:trPr>
        <w:tc>
          <w:tcPr>
            <w:tcW w:w="662" w:type="dxa"/>
            <w:vAlign w:val="center"/>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序号</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名称</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规格</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单位</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数量</w:t>
            </w:r>
            <w:r>
              <w:rPr>
                <w:rFonts w:ascii="Times New Roman" w:hAnsi="Times New Roman" w:cs="宋体"/>
                <w:color w:val="000000"/>
                <w:szCs w:val="21"/>
                <w:highlight w:val="none"/>
              </w:rPr>
            </w:r>
            <w:r/>
          </w:p>
        </w:tc>
        <w:tc>
          <w:tcPr>
            <w:tcW w:w="1464" w:type="dxa"/>
            <w:vAlign w:val="center"/>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备注</w:t>
            </w: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前炉加热丝</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工作温度</w:t>
            </w:r>
            <w:r>
              <w:rPr>
                <w:rFonts w:hint="eastAsia" w:ascii="Times New Roman" w:hAnsi="Times New Roman"/>
                <w:color w:val="000000"/>
                <w:highlight w:val="none"/>
              </w:rPr>
              <w:t xml:space="preserve">：</w:t>
            </w:r>
            <w:r>
              <w:rPr>
                <w:rFonts w:ascii="Times New Roman" w:hAnsi="Times New Roman"/>
                <w:color w:val="000000"/>
                <w:highlight w:val="none"/>
              </w:rPr>
              <w:t xml:space="preserve">最高可达 870-900°C（符合 NIOSH 5040 升温程序）</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根</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8</w:t>
            </w:r>
            <w:r>
              <w:rPr>
                <w:rFonts w:ascii="Times New Roman" w:hAnsi="Times New Roman" w:cs="宋体"/>
                <w:color w:val="000000"/>
                <w:szCs w:val="21"/>
                <w:highlight w:val="none"/>
              </w:rPr>
            </w:r>
            <w:r/>
          </w:p>
        </w:tc>
        <w:tc>
          <w:tcPr>
            <w:tcW w:w="1464" w:type="dxa"/>
            <w:vAlign w:val="center"/>
            <w:vMerge w:val="restart"/>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适用于先河在线有机碳/元素碳分析仪（Sunset Model 4/RT-41）</w:t>
            </w: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Model4主炉石英管</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材质</w:t>
            </w:r>
            <w:r>
              <w:rPr>
                <w:rFonts w:hint="eastAsia" w:ascii="Times New Roman" w:hAnsi="Times New Roman"/>
                <w:color w:val="000000"/>
                <w:highlight w:val="none"/>
              </w:rPr>
              <w:t xml:space="preserve">：</w:t>
            </w:r>
            <w:r>
              <w:rPr>
                <w:rFonts w:ascii="Times New Roman" w:hAnsi="Times New Roman"/>
                <w:color w:val="000000"/>
                <w:highlight w:val="none"/>
              </w:rPr>
              <w:t xml:space="preserve">高纯石英玻璃</w:t>
            </w:r>
            <w:r>
              <w:rPr>
                <w:rFonts w:hint="eastAsia" w:ascii="Times New Roman" w:hAnsi="Times New Roman"/>
                <w:color w:val="000000"/>
                <w:highlight w:val="none"/>
              </w:rPr>
              <w:t xml:space="preserve">；</w:t>
            </w:r>
            <w:r>
              <w:rPr>
                <w:rFonts w:ascii="Times New Roman" w:hAnsi="Times New Roman"/>
                <w:color w:val="000000"/>
                <w:highlight w:val="none"/>
              </w:rPr>
              <w:t xml:space="preserve">耐温极限≥ 1100 </w:t>
            </w:r>
            <w:r>
              <w:rPr>
                <w:rFonts w:hint="eastAsia" w:ascii="Times New Roman" w:hAnsi="Times New Roman" w:eastAsia="微软雅黑" w:cs="微软雅黑"/>
                <w:color w:val="000000"/>
                <w:highlight w:val="none"/>
              </w:rPr>
              <w:t xml:space="preserve">℃</w:t>
            </w:r>
            <w:r>
              <w:rPr>
                <w:rFonts w:ascii="Times New Roman" w:hAnsi="Times New Roman"/>
                <w:color w:val="000000"/>
                <w:highlight w:val="none"/>
              </w:rPr>
              <w:t xml:space="preserve">（仪器工作温度通常 ≤ 870</w:t>
            </w:r>
            <w:r>
              <w:rPr>
                <w:rFonts w:hint="eastAsia" w:ascii="Times New Roman" w:hAnsi="Times New Roman" w:eastAsia="微软雅黑" w:cs="微软雅黑"/>
                <w:color w:val="000000"/>
                <w:highlight w:val="none"/>
              </w:rPr>
              <w:t xml:space="preserve">℃</w:t>
            </w:r>
            <w:r>
              <w:rPr>
                <w:rFonts w:ascii="Times New Roman" w:hAnsi="Times New Roman"/>
                <w:color w:val="000000"/>
                <w:highlight w:val="none"/>
              </w:rPr>
              <w:t xml:space="preserve">）</w:t>
            </w:r>
            <w:r>
              <w:rPr>
                <w:rFonts w:hint="eastAsia" w:ascii="Times New Roman" w:hAnsi="Times New Roman"/>
                <w:color w:val="000000"/>
                <w:highlight w:val="none"/>
              </w:rPr>
              <w:t xml:space="preserve">；直管（非异形），一端为特氟龙卡口，用于连接气路和密封；</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NDIR检测器（带外壳）</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检测原理</w:t>
            </w:r>
            <w:r>
              <w:rPr>
                <w:rFonts w:hint="eastAsia" w:ascii="Times New Roman" w:hAnsi="Times New Roman"/>
                <w:color w:val="000000"/>
                <w:highlight w:val="none"/>
              </w:rPr>
              <w:t xml:space="preserve">：</w:t>
            </w:r>
            <w:r>
              <w:rPr>
                <w:rFonts w:ascii="Times New Roman" w:hAnsi="Times New Roman"/>
                <w:color w:val="000000"/>
                <w:highlight w:val="none"/>
              </w:rPr>
              <w:t xml:space="preserve">非分散红外（NDIR），测量 CO₂ 特征吸收</w:t>
            </w:r>
            <w:r>
              <w:rPr>
                <w:rFonts w:hint="eastAsia" w:ascii="Times New Roman" w:hAnsi="Times New Roman"/>
                <w:color w:val="000000"/>
                <w:highlight w:val="none"/>
              </w:rPr>
              <w:t xml:space="preserve">；</w:t>
            </w:r>
            <w:r>
              <w:rPr>
                <w:rFonts w:ascii="Times New Roman" w:hAnsi="Times New Roman"/>
                <w:color w:val="000000"/>
                <w:highlight w:val="none"/>
              </w:rPr>
              <w:t xml:space="preserve">量程范围</w:t>
            </w:r>
            <w:r>
              <w:rPr>
                <w:rFonts w:hint="eastAsia" w:ascii="Times New Roman" w:hAnsi="Times New Roman"/>
                <w:color w:val="000000"/>
                <w:highlight w:val="none"/>
              </w:rPr>
              <w:t xml:space="preserve">：</w:t>
            </w:r>
            <w:r>
              <w:rPr>
                <w:rStyle w:val="795"/>
                <w:rFonts w:ascii="Times New Roman" w:hAnsi="Times New Roman"/>
                <w:b w:val="0"/>
                <w:bCs w:val="0"/>
                <w:color w:val="000000"/>
                <w:highlight w:val="none"/>
              </w:rPr>
              <w:t xml:space="preserve">0–5000 ppm</w:t>
            </w:r>
            <w:r>
              <w:rPr>
                <w:rFonts w:ascii="Times New Roman" w:hAnsi="Times New Roman"/>
                <w:color w:val="000000"/>
                <w:highlight w:val="none"/>
              </w:rPr>
              <w:t xml:space="preserve">或0–1% CO₂（覆盖环境级浓度）</w:t>
            </w:r>
            <w:r>
              <w:rPr>
                <w:rFonts w:hint="eastAsia" w:ascii="Times New Roman" w:hAnsi="Times New Roman"/>
                <w:color w:val="000000"/>
                <w:highlight w:val="none"/>
              </w:rPr>
              <w:t xml:space="preserve">；</w:t>
            </w:r>
            <w:r>
              <w:rPr>
                <w:rFonts w:ascii="Times New Roman" w:hAnsi="Times New Roman"/>
                <w:color w:val="000000"/>
                <w:highlight w:val="none"/>
              </w:rPr>
              <w:t xml:space="preserve">内置精密温控（约 50±0.5</w:t>
            </w:r>
            <w:r>
              <w:rPr>
                <w:rFonts w:hint="eastAsia" w:ascii="Times New Roman" w:hAnsi="Times New Roman" w:eastAsia="微软雅黑" w:cs="微软雅黑"/>
                <w:color w:val="000000"/>
                <w:highlight w:val="none"/>
              </w:rPr>
              <w:t xml:space="preserve">℃</w:t>
            </w:r>
            <w:r>
              <w:rPr>
                <w:rFonts w:ascii="Times New Roman" w:hAnsi="Times New Roman"/>
                <w:color w:val="000000"/>
                <w:highlight w:val="none"/>
              </w:rPr>
              <w:t xml:space="preserve">）</w:t>
            </w:r>
            <w:r>
              <w:rPr>
                <w:rFonts w:hint="eastAsia" w:ascii="Times New Roman" w:hAnsi="Times New Roman"/>
                <w:color w:val="000000"/>
                <w:highlight w:val="none"/>
              </w:rPr>
              <w:t xml:space="preserve">；</w:t>
            </w:r>
            <w:r>
              <w:rPr>
                <w:rFonts w:ascii="Times New Roman" w:hAnsi="Times New Roman"/>
                <w:color w:val="000000"/>
                <w:highlight w:val="none"/>
              </w:rPr>
              <w:t xml:space="preserve">电气接口</w:t>
            </w:r>
            <w:r>
              <w:rPr>
                <w:rFonts w:hint="eastAsia" w:ascii="Times New Roman" w:hAnsi="Times New Roman"/>
                <w:color w:val="000000"/>
                <w:highlight w:val="none"/>
              </w:rPr>
              <w:t xml:space="preserve">：</w:t>
            </w:r>
            <w:r>
              <w:rPr>
                <w:rFonts w:ascii="Times New Roman" w:hAnsi="Times New Roman"/>
                <w:color w:val="000000"/>
                <w:highlight w:val="none"/>
              </w:rPr>
              <w:t xml:space="preserve">模拟电压输出（0-5V）或数字接口（RS-232/485）</w:t>
            </w:r>
            <w:r>
              <w:rPr>
                <w:rFonts w:hint="eastAsia" w:ascii="Times New Roman" w:hAnsi="Times New Roman"/>
                <w:color w:val="000000"/>
                <w:highlight w:val="none"/>
              </w:rPr>
              <w:t xml:space="preserve">；</w:t>
            </w:r>
            <w:r>
              <w:rPr>
                <w:rFonts w:ascii="Times New Roman" w:hAnsi="Times New Roman"/>
                <w:color w:val="000000"/>
                <w:highlight w:val="none"/>
              </w:rPr>
              <w:t xml:space="preserve">气路接口</w:t>
            </w:r>
            <w:r>
              <w:rPr>
                <w:rFonts w:hint="eastAsia" w:ascii="Times New Roman" w:hAnsi="Times New Roman"/>
                <w:color w:val="000000"/>
                <w:highlight w:val="none"/>
              </w:rPr>
              <w:t xml:space="preserve">：</w:t>
            </w:r>
            <w:r>
              <w:rPr>
                <w:rFonts w:ascii="Times New Roman" w:hAnsi="Times New Roman"/>
                <w:color w:val="000000"/>
                <w:highlight w:val="none"/>
              </w:rPr>
              <w:t xml:space="preserve">1/8 英寸或 1/4 英寸 Swagelok 接头（进/出气）</w:t>
            </w:r>
            <w:r>
              <w:rPr>
                <w:rFonts w:hint="eastAsia" w:ascii="Times New Roman" w:hAnsi="Times New Roman"/>
                <w:color w:val="000000"/>
                <w:highlight w:val="none"/>
              </w:rPr>
              <w:t xml:space="preserve">。</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石英滤膜</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滤膜材质</w:t>
            </w:r>
            <w:r>
              <w:rPr>
                <w:rFonts w:hint="eastAsia" w:ascii="Times New Roman" w:hAnsi="Times New Roman"/>
                <w:color w:val="000000"/>
                <w:highlight w:val="none"/>
              </w:rPr>
              <w:t xml:space="preserve">：</w:t>
            </w:r>
            <w:r>
              <w:rPr>
                <w:rFonts w:ascii="Times New Roman" w:hAnsi="Times New Roman"/>
                <w:color w:val="000000"/>
                <w:highlight w:val="none"/>
              </w:rPr>
              <w:t xml:space="preserve">高纯石英纤维（SiO₂ &gt; 99.9%）</w:t>
            </w:r>
            <w:r>
              <w:rPr>
                <w:rFonts w:hint="eastAsia" w:ascii="Times New Roman" w:hAnsi="Times New Roman"/>
                <w:color w:val="000000"/>
                <w:highlight w:val="none"/>
              </w:rPr>
              <w:t xml:space="preserve">；</w:t>
            </w:r>
            <w:r>
              <w:rPr>
                <w:rFonts w:ascii="Times New Roman" w:hAnsi="Times New Roman"/>
                <w:color w:val="000000"/>
                <w:highlight w:val="none"/>
              </w:rPr>
              <w:t xml:space="preserve">滤膜直径</w:t>
            </w:r>
            <w:r>
              <w:rPr>
                <w:rFonts w:hint="eastAsia" w:ascii="Times New Roman" w:hAnsi="Times New Roman"/>
                <w:color w:val="000000"/>
                <w:highlight w:val="none"/>
              </w:rPr>
              <w:t xml:space="preserve">：</w:t>
            </w:r>
            <w:r>
              <w:rPr>
                <w:rStyle w:val="795"/>
                <w:rFonts w:ascii="Times New Roman" w:hAnsi="Times New Roman"/>
                <w:b w:val="0"/>
                <w:bCs w:val="0"/>
                <w:color w:val="000000"/>
                <w:highlight w:val="none"/>
              </w:rPr>
              <w:t xml:space="preserve">47 mm</w:t>
            </w:r>
            <w:r>
              <w:rPr>
                <w:rFonts w:ascii="Times New Roman" w:hAnsi="Times New Roman"/>
                <w:color w:val="000000"/>
                <w:highlight w:val="none"/>
              </w:rPr>
              <w:t xml:space="preserve">（标准圆形）</w:t>
            </w:r>
            <w:r>
              <w:rPr>
                <w:rFonts w:hint="eastAsia" w:ascii="Times New Roman" w:hAnsi="Times New Roman"/>
                <w:color w:val="000000"/>
                <w:highlight w:val="none"/>
              </w:rPr>
              <w:t xml:space="preserve">；</w:t>
            </w:r>
            <w:r>
              <w:rPr>
                <w:rFonts w:ascii="Times New Roman" w:hAnsi="Times New Roman"/>
                <w:color w:val="000000"/>
                <w:highlight w:val="none"/>
              </w:rPr>
              <w:t xml:space="preserve">耐温极限</w:t>
            </w:r>
            <w:r>
              <w:rPr>
                <w:rFonts w:hint="eastAsia" w:ascii="Times New Roman" w:hAnsi="Times New Roman"/>
                <w:color w:val="000000"/>
                <w:highlight w:val="none"/>
              </w:rPr>
              <w:t xml:space="preserve">≥ 900 ℃；</w:t>
            </w:r>
            <w:r>
              <w:rPr>
                <w:rFonts w:hint="eastAsia" w:ascii="Times New Roman" w:hAnsi="Times New Roman" w:cs="宋体"/>
                <w:color w:val="000000"/>
                <w:szCs w:val="21"/>
                <w:highlight w:val="none"/>
              </w:rPr>
              <w:t xml:space="preserve">2</w:t>
            </w:r>
            <w:r>
              <w:rPr>
                <w:rFonts w:ascii="Times New Roman" w:hAnsi="Times New Roman" w:cs="宋体"/>
                <w:color w:val="000000"/>
                <w:szCs w:val="21"/>
                <w:highlight w:val="none"/>
              </w:rPr>
              <w:t xml:space="preserve">5</w:t>
            </w:r>
            <w:r>
              <w:rPr>
                <w:rFonts w:hint="eastAsia" w:ascii="Times New Roman" w:hAnsi="Times New Roman" w:cs="宋体"/>
                <w:color w:val="000000"/>
                <w:szCs w:val="21"/>
                <w:highlight w:val="none"/>
              </w:rPr>
              <w:t xml:space="preserve">片/盒</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盒</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5</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溶蚀器滤芯</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组件构成</w:t>
            </w:r>
            <w:r>
              <w:rPr>
                <w:rFonts w:hint="eastAsia" w:ascii="Times New Roman" w:hAnsi="Times New Roman"/>
                <w:color w:val="000000"/>
                <w:highlight w:val="none"/>
              </w:rPr>
              <w:t xml:space="preserve">：滤膜；</w:t>
            </w:r>
            <w:r>
              <w:rPr>
                <w:rFonts w:ascii="Times New Roman" w:hAnsi="Times New Roman"/>
                <w:color w:val="000000"/>
                <w:highlight w:val="none"/>
              </w:rPr>
              <w:t xml:space="preserve">功能定位</w:t>
            </w:r>
            <w:r>
              <w:rPr>
                <w:rFonts w:hint="eastAsia" w:ascii="Times New Roman" w:hAnsi="Times New Roman"/>
                <w:color w:val="000000"/>
                <w:highlight w:val="none"/>
              </w:rPr>
              <w:t xml:space="preserve">：位于溶蚀器内部，用于过滤有机物防止其进入后续气路；</w:t>
            </w:r>
            <w:r>
              <w:rPr>
                <w:rFonts w:hint="eastAsia" w:ascii="Times New Roman" w:hAnsi="Times New Roman" w:cs="宋体"/>
                <w:color w:val="000000"/>
                <w:szCs w:val="21"/>
                <w:highlight w:val="none"/>
              </w:rPr>
              <w:t xml:space="preserve">（2</w:t>
            </w:r>
            <w:r>
              <w:rPr>
                <w:rFonts w:ascii="Times New Roman" w:hAnsi="Times New Roman" w:cs="宋体"/>
                <w:color w:val="000000"/>
                <w:szCs w:val="21"/>
                <w:highlight w:val="none"/>
              </w:rPr>
              <w:t xml:space="preserve">3</w:t>
            </w:r>
            <w:r>
              <w:rPr>
                <w:rFonts w:hint="eastAsia" w:ascii="Times New Roman" w:hAnsi="Times New Roman" w:cs="宋体"/>
                <w:color w:val="000000"/>
                <w:szCs w:val="21"/>
                <w:highlight w:val="none"/>
              </w:rPr>
              <w:t xml:space="preserve">个/盒）</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盒</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10</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6</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前炉热电偶，含固定件</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olor w:val="000000"/>
                <w:highlight w:val="none"/>
              </w:rPr>
              <w:t xml:space="preserve">前炉温度传感器；测温范围：0 ~ 1100 ℃（仪器工作温度 ≤ 870℃）。</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45"/>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7</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后炉热电偶</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后炉温度传感器</w:t>
            </w:r>
            <w:r>
              <w:rPr>
                <w:rFonts w:hint="eastAsia" w:ascii="Times New Roman" w:hAnsi="Times New Roman"/>
                <w:color w:val="000000"/>
                <w:highlight w:val="none"/>
              </w:rPr>
              <w:t xml:space="preserve">；测温范围：0 ~ 1100 ℃（仪器工作温度 ≤ 870℃）；包含高温保护套管，确保在高温氧化气氛中长期稳定</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459"/>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8</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Model4用石英炉基础元件，氧化器</w:t>
            </w:r>
            <w:r>
              <w:rPr>
                <w:rFonts w:ascii="Times New Roman" w:hAnsi="Times New Roman" w:cs="宋体"/>
                <w:color w:val="000000"/>
                <w:szCs w:val="21"/>
                <w:highlight w:val="none"/>
              </w:rPr>
            </w:r>
            <w:r/>
          </w:p>
        </w:tc>
        <w:tc>
          <w:tcPr>
            <w:tcW w:w="2781"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ascii="Times New Roman" w:hAnsi="Times New Roman"/>
                <w:color w:val="000000"/>
                <w:highlight w:val="none"/>
              </w:rPr>
              <w:t xml:space="preserve">高温反应腔体总成</w:t>
            </w:r>
            <w:r>
              <w:rPr>
                <w:rFonts w:hint="eastAsia" w:ascii="Times New Roman" w:hAnsi="Times New Roman"/>
                <w:color w:val="000000"/>
                <w:highlight w:val="none"/>
              </w:rPr>
              <w:t xml:space="preserve">，包含主炉石英管、加热丝、热电偶、气路接口等。</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422"/>
        </w:trPr>
        <w:tc>
          <w:tcPr>
            <w:tcW w:w="662" w:type="dxa"/>
            <w:vAlign w:val="bottom"/>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9</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质量流量计</w:t>
            </w:r>
            <w:r>
              <w:rPr>
                <w:rFonts w:ascii="Times New Roman" w:hAnsi="Times New Roman" w:cs="宋体"/>
                <w:color w:val="000000"/>
                <w:szCs w:val="21"/>
                <w:highlight w:val="none"/>
              </w:rPr>
            </w:r>
            <w:r/>
          </w:p>
        </w:tc>
        <w:tc>
          <w:tcPr>
            <w:tcW w:w="2781" w:type="dxa"/>
            <w:vAlign w:val="top"/>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工作电流10A,尺寸：10*8*2CM；量程范围：0–</w:t>
            </w:r>
            <w:r>
              <w:rPr>
                <w:rFonts w:ascii="Times New Roman" w:hAnsi="Times New Roman" w:cs="宋体"/>
                <w:color w:val="000000"/>
                <w:szCs w:val="21"/>
                <w:highlight w:val="none"/>
              </w:rPr>
              <w:t xml:space="preserve">20</w:t>
            </w:r>
            <w:r>
              <w:rPr>
                <w:rFonts w:hint="eastAsia" w:ascii="Times New Roman" w:hAnsi="Times New Roman" w:cs="宋体"/>
                <w:color w:val="000000"/>
                <w:szCs w:val="21"/>
                <w:highlight w:val="none"/>
              </w:rPr>
              <w:t xml:space="preserve">lm；接口类型：快插接头（1/4型）。</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w:t>
            </w:r>
            <w:r>
              <w:rPr>
                <w:rFonts w:ascii="Times New Roman" w:hAnsi="Times New Roman" w:cs="宋体"/>
                <w:color w:val="000000"/>
                <w:szCs w:val="21"/>
                <w:highlight w:val="none"/>
              </w:rPr>
            </w:r>
            <w:r/>
          </w:p>
        </w:tc>
        <w:tc>
          <w:tcPr>
            <w:tcW w:w="1464" w:type="dxa"/>
            <w:vAlign w:val="center"/>
            <w:vMerge w:val="restart"/>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适用于先河在线无机元素分析仪（Xact 625）</w:t>
            </w:r>
            <w:r>
              <w:rPr>
                <w:rFonts w:ascii="Times New Roman" w:hAnsi="Times New Roman" w:cs="宋体"/>
                <w:color w:val="000000"/>
                <w:szCs w:val="21"/>
                <w:highlight w:val="none"/>
              </w:rPr>
            </w:r>
            <w:r/>
          </w:p>
        </w:tc>
      </w:tr>
      <w:tr>
        <w:trPr>
          <w:trHeight w:val="472"/>
        </w:trPr>
        <w:tc>
          <w:tcPr>
            <w:tcW w:w="662" w:type="dxa"/>
            <w:vAlign w:val="center"/>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10</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CES滤纸带</w:t>
            </w:r>
            <w:r>
              <w:rPr>
                <w:rFonts w:ascii="Times New Roman" w:hAnsi="Times New Roman" w:cs="宋体"/>
                <w:color w:val="000000"/>
                <w:szCs w:val="21"/>
                <w:highlight w:val="none"/>
              </w:rPr>
            </w:r>
            <w:r/>
          </w:p>
        </w:tc>
        <w:tc>
          <w:tcPr>
            <w:tcW w:w="2781" w:type="dxa"/>
            <w:vAlign w:val="top"/>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Xact625专用、</w:t>
            </w:r>
            <w:r>
              <w:rPr>
                <w:rFonts w:ascii="Times New Roman" w:hAnsi="Times New Roman"/>
                <w:color w:val="000000"/>
                <w:highlight w:val="none"/>
              </w:rPr>
              <w:t xml:space="preserve">带长</w:t>
            </w:r>
            <w:r>
              <w:rPr>
                <w:rFonts w:hint="eastAsia" w:ascii="Times New Roman" w:hAnsi="Times New Roman"/>
                <w:color w:val="000000"/>
                <w:highlight w:val="none"/>
              </w:rPr>
              <w:t xml:space="preserve">：</w:t>
            </w:r>
            <w:r>
              <w:rPr>
                <w:rFonts w:hint="eastAsia" w:ascii="Times New Roman" w:hAnsi="Times New Roman" w:cs="宋体"/>
                <w:color w:val="000000"/>
                <w:szCs w:val="21"/>
                <w:highlight w:val="none"/>
              </w:rPr>
              <w:t xml:space="preserve">30m；带宽：0.019m；孔径2μm；</w:t>
            </w:r>
            <w:r>
              <w:rPr>
                <w:rFonts w:ascii="Times New Roman" w:hAnsi="Times New Roman"/>
                <w:color w:val="000000"/>
                <w:highlight w:val="none"/>
              </w:rPr>
              <w:t xml:space="preserve">材质</w:t>
            </w:r>
            <w:r>
              <w:rPr>
                <w:rFonts w:hint="eastAsia" w:ascii="Times New Roman" w:hAnsi="Times New Roman"/>
                <w:color w:val="000000"/>
                <w:highlight w:val="none"/>
              </w:rPr>
              <w:t xml:space="preserve">：</w:t>
            </w:r>
            <w:r>
              <w:rPr>
                <w:rFonts w:ascii="Times New Roman" w:hAnsi="Times New Roman"/>
                <w:color w:val="000000"/>
                <w:highlight w:val="none"/>
              </w:rPr>
              <w:t xml:space="preserve">聚碳酸酯（PC）或混合纤维素（MCE）类微孔滤膜</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盒</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36</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07"/>
        </w:trPr>
        <w:tc>
          <w:tcPr>
            <w:tcW w:w="662" w:type="dxa"/>
            <w:vAlign w:val="center"/>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11</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一次性过滤器</w:t>
            </w:r>
            <w:r>
              <w:rPr>
                <w:rFonts w:ascii="Times New Roman" w:hAnsi="Times New Roman" w:cs="宋体"/>
                <w:color w:val="000000"/>
                <w:szCs w:val="21"/>
                <w:highlight w:val="none"/>
              </w:rPr>
            </w:r>
            <w:r/>
          </w:p>
        </w:tc>
        <w:tc>
          <w:tcPr>
            <w:tcW w:w="2781" w:type="dxa"/>
            <w:vAlign w:val="top"/>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过滤器</w:t>
            </w:r>
            <w:r>
              <w:rPr>
                <w:rFonts w:hint="eastAsia" w:ascii="Times New Roman" w:hAnsi="Times New Roman"/>
                <w:color w:val="000000"/>
                <w:highlight w:val="none"/>
              </w:rPr>
              <w:t xml:space="preserve">过滤精度：</w:t>
            </w:r>
            <w:r>
              <w:rPr>
                <w:rFonts w:ascii="Times New Roman" w:hAnsi="Times New Roman"/>
                <w:color w:val="000000"/>
                <w:highlight w:val="none"/>
              </w:rPr>
              <w:t xml:space="preserve">0.01 μm</w:t>
            </w:r>
            <w:r>
              <w:rPr>
                <w:rFonts w:hint="eastAsia" w:ascii="Times New Roman" w:hAnsi="Times New Roman"/>
                <w:color w:val="000000"/>
                <w:highlight w:val="none"/>
              </w:rPr>
              <w:t xml:space="preserve">；</w:t>
            </w:r>
            <w:r>
              <w:rPr>
                <w:rFonts w:ascii="Times New Roman" w:hAnsi="Times New Roman"/>
                <w:color w:val="000000"/>
                <w:highlight w:val="none"/>
              </w:rPr>
              <w:t xml:space="preserve">接口类型</w:t>
            </w:r>
            <w:r>
              <w:rPr>
                <w:rFonts w:hint="eastAsia" w:ascii="Times New Roman" w:hAnsi="Times New Roman"/>
                <w:color w:val="000000"/>
                <w:highlight w:val="none"/>
              </w:rPr>
              <w:t xml:space="preserve">：1/4 英寸（6 mm）快插或倒钩接口（直通型）。</w:t>
            </w:r>
            <w:r>
              <w:rPr>
                <w:rFonts w:hint="eastAsia" w:ascii="Times New Roman" w:hAnsi="Times New Roman" w:cs="宋体"/>
                <w:color w:val="000000"/>
                <w:szCs w:val="21"/>
                <w:highlight w:val="none"/>
              </w:rPr>
              <w:t xml:space="preserve"> </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个</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8</w:t>
            </w:r>
            <w:r>
              <w:rPr>
                <w:rFonts w:ascii="Times New Roman" w:hAnsi="Times New Roman" w:cs="宋体"/>
                <w:color w:val="000000"/>
                <w:szCs w:val="21"/>
                <w:highlight w:val="none"/>
              </w:rPr>
            </w:r>
            <w:r/>
          </w:p>
        </w:tc>
        <w:tc>
          <w:tcPr>
            <w:tcW w:w="1464" w:type="dxa"/>
            <w:vAlign w:val="center"/>
            <w:vMerge w:val="restart"/>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适用于黑碳分析仪（Magee AE31）</w:t>
            </w:r>
            <w:r>
              <w:rPr>
                <w:rFonts w:ascii="Times New Roman" w:hAnsi="Times New Roman" w:cs="宋体"/>
                <w:color w:val="000000"/>
                <w:szCs w:val="21"/>
                <w:highlight w:val="none"/>
              </w:rPr>
            </w:r>
            <w:r/>
          </w:p>
        </w:tc>
      </w:tr>
      <w:tr>
        <w:trPr>
          <w:trHeight w:val="207"/>
        </w:trPr>
        <w:tc>
          <w:tcPr>
            <w:tcW w:w="662" w:type="dxa"/>
            <w:vAlign w:val="center"/>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12</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滤带</w:t>
            </w:r>
            <w:r>
              <w:rPr>
                <w:rFonts w:ascii="Times New Roman" w:hAnsi="Times New Roman" w:cs="宋体"/>
                <w:color w:val="000000"/>
                <w:szCs w:val="21"/>
                <w:highlight w:val="none"/>
              </w:rPr>
            </w:r>
            <w:r/>
          </w:p>
        </w:tc>
        <w:tc>
          <w:tcPr>
            <w:tcW w:w="2781" w:type="dxa"/>
            <w:vAlign w:val="top"/>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滤带 材质石英；带宽：1 英寸（约 25.4 毫米）；长度30英尺/盒</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盒</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w:t>
            </w:r>
            <w:r>
              <w:rPr>
                <w:rFonts w:ascii="Times New Roman" w:hAnsi="Times New Roman" w:cs="宋体"/>
                <w:color w:val="000000"/>
                <w:szCs w:val="21"/>
                <w:highlight w:val="none"/>
              </w:rPr>
            </w:r>
            <w:r/>
          </w:p>
        </w:tc>
        <w:tc>
          <w:tcPr>
            <w:tcW w:w="1464" w:type="dxa"/>
            <w:vAlign w:val="center"/>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r>
        <w:trPr>
          <w:trHeight w:val="207"/>
        </w:trPr>
        <w:tc>
          <w:tcPr>
            <w:tcW w:w="662" w:type="dxa"/>
            <w:vAlign w:val="center"/>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13</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★标气</w:t>
            </w:r>
            <w:r>
              <w:rPr>
                <w:rFonts w:ascii="Times New Roman" w:hAnsi="Times New Roman" w:cs="宋体"/>
                <w:color w:val="000000"/>
                <w:szCs w:val="21"/>
                <w:highlight w:val="none"/>
              </w:rPr>
            </w:r>
            <w:r/>
          </w:p>
        </w:tc>
        <w:tc>
          <w:tcPr>
            <w:tcW w:w="2781" w:type="dxa"/>
            <w:vAlign w:val="top"/>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CO</w:t>
            </w:r>
            <w:r>
              <w:rPr>
                <w:rFonts w:hint="eastAsia" w:ascii="Times New Roman" w:hAnsi="Times New Roman" w:cs="宋体"/>
                <w:color w:val="000000"/>
                <w:szCs w:val="21"/>
                <w:highlight w:val="none"/>
                <w:vertAlign w:val="subscript"/>
              </w:rPr>
              <w:t xml:space="preserve">2</w:t>
            </w:r>
            <w:r>
              <w:rPr>
                <w:rFonts w:hint="eastAsia" w:ascii="Times New Roman" w:hAnsi="Times New Roman" w:cs="宋体"/>
                <w:color w:val="000000"/>
                <w:szCs w:val="21"/>
                <w:highlight w:val="none"/>
              </w:rPr>
              <w:t xml:space="preserve">：455ppm；</w:t>
            </w:r>
            <w:r>
              <w:rPr>
                <w:rFonts w:ascii="Times New Roman" w:hAnsi="Times New Roman" w:cs="宋体"/>
                <w:color w:val="000000"/>
                <w:szCs w:val="21"/>
                <w:highlight w:val="none"/>
              </w:rPr>
            </w:r>
            <w:r/>
          </w:p>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CH</w:t>
            </w:r>
            <w:r>
              <w:rPr>
                <w:rFonts w:hint="eastAsia" w:ascii="Times New Roman" w:hAnsi="Times New Roman" w:cs="宋体"/>
                <w:color w:val="000000"/>
                <w:szCs w:val="21"/>
                <w:highlight w:val="none"/>
                <w:vertAlign w:val="subscript"/>
              </w:rPr>
              <w:t xml:space="preserve">4</w:t>
            </w:r>
            <w:r>
              <w:rPr>
                <w:rFonts w:hint="eastAsia" w:ascii="Times New Roman" w:hAnsi="Times New Roman" w:cs="宋体"/>
                <w:color w:val="000000"/>
                <w:szCs w:val="21"/>
                <w:highlight w:val="none"/>
              </w:rPr>
              <w:t xml:space="preserve">：2.1ppm；</w:t>
            </w:r>
            <w:r>
              <w:rPr>
                <w:rFonts w:ascii="Times New Roman" w:hAnsi="Times New Roman" w:cs="宋体"/>
                <w:color w:val="000000"/>
                <w:szCs w:val="21"/>
                <w:highlight w:val="none"/>
              </w:rPr>
            </w:r>
            <w:r/>
          </w:p>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平衡气：合成空气、30L</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瓶</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1464" w:type="dxa"/>
            <w:vAlign w:val="top"/>
            <w:vMerge w:val="restart"/>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eastAsia="方正仿宋_GBK"/>
                <w:color w:val="000000"/>
                <w:szCs w:val="21"/>
                <w:highlight w:val="none"/>
              </w:rPr>
              <w:t xml:space="preserve">适用于温室气体分析仪（Picarro G2301）</w:t>
            </w:r>
            <w:r>
              <w:rPr>
                <w:rFonts w:ascii="Times New Roman" w:hAnsi="Times New Roman" w:cs="宋体"/>
                <w:color w:val="000000"/>
                <w:szCs w:val="21"/>
                <w:highlight w:val="none"/>
              </w:rPr>
            </w:r>
            <w:r/>
          </w:p>
        </w:tc>
      </w:tr>
      <w:tr>
        <w:trPr>
          <w:trHeight w:val="207"/>
        </w:trPr>
        <w:tc>
          <w:tcPr>
            <w:tcW w:w="662" w:type="dxa"/>
            <w:vAlign w:val="top"/>
            <w:textDirection w:val="lrTb"/>
            <w:noWrap w:val="false"/>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14</w:t>
            </w:r>
            <w:r>
              <w:rPr>
                <w:rFonts w:ascii="Times New Roman" w:hAnsi="Times New Roman" w:cs="宋体"/>
                <w:color w:val="000000"/>
                <w:szCs w:val="21"/>
                <w:highlight w:val="none"/>
              </w:rPr>
            </w:r>
            <w:r/>
          </w:p>
        </w:tc>
        <w:tc>
          <w:tcPr>
            <w:tcW w:w="243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PTFE滤膜</w:t>
            </w:r>
            <w:r>
              <w:rPr>
                <w:rFonts w:ascii="Times New Roman" w:hAnsi="Times New Roman" w:cs="宋体"/>
                <w:color w:val="000000"/>
                <w:szCs w:val="21"/>
                <w:highlight w:val="none"/>
              </w:rPr>
            </w:r>
            <w:r/>
          </w:p>
        </w:tc>
        <w:tc>
          <w:tcPr>
            <w:tcW w:w="2781" w:type="dxa"/>
            <w:vAlign w:val="top"/>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PTFE滤膜 5μm 滤膜直径47mm 50片/盒</w:t>
            </w:r>
            <w:r>
              <w:rPr>
                <w:rFonts w:ascii="Times New Roman" w:hAnsi="Times New Roman" w:cs="宋体"/>
                <w:color w:val="000000"/>
                <w:szCs w:val="21"/>
                <w:highlight w:val="none"/>
              </w:rPr>
            </w:r>
            <w:r/>
          </w:p>
        </w:tc>
        <w:tc>
          <w:tcPr>
            <w:tcW w:w="700"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盒</w:t>
            </w:r>
            <w:r>
              <w:rPr>
                <w:rFonts w:ascii="Times New Roman" w:hAnsi="Times New Roman" w:cs="宋体"/>
                <w:color w:val="000000"/>
                <w:szCs w:val="21"/>
                <w:highlight w:val="none"/>
              </w:rPr>
            </w:r>
            <w:r/>
          </w:p>
        </w:tc>
        <w:tc>
          <w:tcPr>
            <w:tcW w:w="687" w:type="dxa"/>
            <w:vAlign w:val="center"/>
            <w:textDirection w:val="lrTb"/>
            <w:noWrap/>
          </w:tcPr>
          <w:p>
            <w:pPr>
              <w:pStyle w:val="682"/>
              <w:jc w:val="center"/>
              <w:spacing w:line="240" w:lineRule="atLeast"/>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w:t>
            </w:r>
            <w:r>
              <w:rPr>
                <w:rFonts w:ascii="Times New Roman" w:hAnsi="Times New Roman" w:cs="宋体"/>
                <w:color w:val="000000"/>
                <w:szCs w:val="21"/>
                <w:highlight w:val="none"/>
              </w:rPr>
            </w:r>
            <w:r/>
          </w:p>
        </w:tc>
        <w:tc>
          <w:tcPr>
            <w:tcW w:w="1464" w:type="dxa"/>
            <w:vAlign w:val="top"/>
            <w:vMerge w:val="continue"/>
            <w:textDirection w:val="lrTb"/>
            <w:noWrap w:val="false"/>
          </w:tcPr>
          <w:p>
            <w:pPr>
              <w:pStyle w:val="682"/>
              <w:jc w:val="center"/>
              <w:spacing w:line="240" w:lineRule="atLeast"/>
              <w:rPr>
                <w:rFonts w:ascii="Times New Roman" w:hAnsi="Times New Roman" w:cs="宋体"/>
                <w:color w:val="000000"/>
                <w:szCs w:val="21"/>
                <w:highlight w:val="none"/>
              </w:rPr>
            </w:pPr>
            <w:r>
              <w:rPr>
                <w:rFonts w:ascii="Times New Roman" w:hAnsi="Times New Roman" w:cs="宋体"/>
                <w:color w:val="000000"/>
                <w:szCs w:val="21"/>
                <w:highlight w:val="none"/>
              </w:rPr>
            </w:r>
            <w:r/>
          </w:p>
        </w:tc>
      </w:tr>
    </w:tbl>
    <w:p>
      <w:pPr>
        <w:pStyle w:val="682"/>
        <w:jc w:val="center"/>
        <w:spacing w:line="240" w:lineRule="atLeast"/>
        <w:rPr>
          <w:rFonts w:ascii="宋体" w:hAnsi="宋体" w:cs="宋体"/>
          <w:color w:val="000000"/>
          <w:szCs w:val="21"/>
          <w:highlight w:val="none"/>
        </w:rPr>
      </w:pPr>
      <w:r>
        <w:rPr>
          <w:rFonts w:ascii="宋体" w:hAnsi="宋体" w:cs="宋体"/>
          <w:color w:val="000000"/>
          <w:szCs w:val="21"/>
          <w:highlight w:val="none"/>
        </w:rPr>
      </w:r>
      <w:r/>
    </w:p>
    <w:p>
      <w:pPr>
        <w:pStyle w:val="682"/>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注：清单内容中标★的为本项目核心产品。</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方正仿宋简体">
    <w:panose1 w:val="020B050302020202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fldChar w:fldCharType="end"/>
    </w:r>
    <w:r/>
  </w:p>
  <w:p>
    <w:pPr>
      <w:pStyle w:val="10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025"/>
        <w:ind w:firstLine="0"/>
        <w:spacing w:line="240" w:lineRule="auto"/>
        <w:rPr>
          <w:rFonts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1025"/>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rPr>
          <w:rFonts w:ascii="宋体" w:hAnsi="宋体"/>
          <w:b/>
          <w:color w:val="000000"/>
        </w:rPr>
      </w:r>
      <w:r/>
    </w:p>
    <w:p>
      <w:pPr>
        <w:pStyle w:val="102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本采购标的对应的中小企业划分标准所属行业，以采购文件第四章规定为准。</w:t>
      </w:r>
      <w:r>
        <w:rPr>
          <w:rFonts w:ascii="宋体" w:hAnsi="宋体"/>
          <w:color w:val="000000"/>
        </w:rPr>
      </w:r>
      <w:r/>
    </w:p>
    <w:p>
      <w:pPr>
        <w:pStyle w:val="1025"/>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rPr>
          <w:rFonts w:ascii="宋体" w:hAnsi="宋体"/>
          <w:color w:val="000000"/>
        </w:rPr>
      </w:r>
      <w:r/>
    </w:p>
    <w:p>
      <w:pPr>
        <w:pStyle w:val="102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u w:val="single"/>
      </w:rPr>
    </w:pPr>
    <w:r>
      <w:rPr>
        <w:rFonts w:hint="eastAsia"/>
        <w:u w:val="single"/>
      </w:rPr>
      <w:footnoteRef/>
      <w:t xml:space="preserve">招标文件                                                项目编号：JSZC-320500-SZJX-G2026-0043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82"/>
        <w:tabs>
          <w:tab w:val="num" w:pos="312" w:leader="none"/>
        </w:tabs>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682"/>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682"/>
      </w:pPr>
      <w:rPr>
        <w:rFonts w:hint="eastAsia"/>
      </w:r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682"/>
        <w:tabs>
          <w:tab w:val="num" w:pos="312" w:leader="none"/>
        </w:tabs>
      </w:p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pStyle w:val="682"/>
      </w:pPr>
      <w:rPr>
        <w:rFonts w:hint="eastAsia"/>
      </w:rPr>
    </w:lvl>
    <w:lvl w:ilvl="1">
      <w:start w:val="1"/>
      <w:numFmt w:val="bullet"/>
      <w:isLgl w:val="false"/>
      <w:suff w:val="tab"/>
      <w:lvlText w:val="o"/>
      <w:lvlJc w:val="left"/>
      <w:pPr>
        <w:pStyle w:val="682"/>
        <w:ind w:left="1440" w:hanging="360"/>
      </w:pPr>
      <w:rPr>
        <w:rFonts w:ascii="Courier New" w:hAnsi="Courier New" w:eastAsia="Courier New" w:cs="Courier New"/>
      </w:rPr>
    </w:lvl>
    <w:lvl w:ilvl="2">
      <w:start w:val="1"/>
      <w:numFmt w:val="bullet"/>
      <w:isLgl w:val="false"/>
      <w:suff w:val="tab"/>
      <w:lvlText w:val="§"/>
      <w:lvlJc w:val="left"/>
      <w:pPr>
        <w:pStyle w:val="682"/>
        <w:ind w:left="2160" w:hanging="360"/>
      </w:pPr>
      <w:rPr>
        <w:rFonts w:ascii="Wingdings" w:hAnsi="Wingdings" w:eastAsia="Wingdings" w:cs="Wingdings"/>
      </w:rPr>
    </w:lvl>
    <w:lvl w:ilvl="3">
      <w:start w:val="1"/>
      <w:numFmt w:val="bullet"/>
      <w:isLgl w:val="false"/>
      <w:suff w:val="tab"/>
      <w:lvlText w:val="·"/>
      <w:lvlJc w:val="left"/>
      <w:pPr>
        <w:pStyle w:val="682"/>
        <w:ind w:left="2880" w:hanging="360"/>
      </w:pPr>
      <w:rPr>
        <w:rFonts w:ascii="Symbol" w:hAnsi="Symbol" w:eastAsia="Symbol" w:cs="Symbol"/>
      </w:rPr>
    </w:lvl>
    <w:lvl w:ilvl="4">
      <w:start w:val="1"/>
      <w:numFmt w:val="bullet"/>
      <w:isLgl w:val="false"/>
      <w:suff w:val="tab"/>
      <w:lvlText w:val="o"/>
      <w:lvlJc w:val="left"/>
      <w:pPr>
        <w:pStyle w:val="682"/>
        <w:ind w:left="3600" w:hanging="360"/>
      </w:pPr>
      <w:rPr>
        <w:rFonts w:ascii="Courier New" w:hAnsi="Courier New" w:eastAsia="Courier New" w:cs="Courier New"/>
      </w:rPr>
    </w:lvl>
    <w:lvl w:ilvl="5">
      <w:start w:val="1"/>
      <w:numFmt w:val="bullet"/>
      <w:isLgl w:val="false"/>
      <w:suff w:val="tab"/>
      <w:lvlText w:val="§"/>
      <w:lvlJc w:val="left"/>
      <w:pPr>
        <w:pStyle w:val="682"/>
        <w:ind w:left="4320" w:hanging="360"/>
      </w:pPr>
      <w:rPr>
        <w:rFonts w:ascii="Wingdings" w:hAnsi="Wingdings" w:eastAsia="Wingdings" w:cs="Wingdings"/>
      </w:rPr>
    </w:lvl>
    <w:lvl w:ilvl="6">
      <w:start w:val="1"/>
      <w:numFmt w:val="bullet"/>
      <w:isLgl w:val="false"/>
      <w:suff w:val="tab"/>
      <w:lvlText w:val="·"/>
      <w:lvlJc w:val="left"/>
      <w:pPr>
        <w:pStyle w:val="682"/>
        <w:ind w:left="5040" w:hanging="360"/>
      </w:pPr>
      <w:rPr>
        <w:rFonts w:ascii="Symbol" w:hAnsi="Symbol" w:eastAsia="Symbol" w:cs="Symbol"/>
      </w:rPr>
    </w:lvl>
    <w:lvl w:ilvl="7">
      <w:start w:val="1"/>
      <w:numFmt w:val="bullet"/>
      <w:isLgl w:val="false"/>
      <w:suff w:val="tab"/>
      <w:lvlText w:val="o"/>
      <w:lvlJc w:val="left"/>
      <w:pPr>
        <w:pStyle w:val="682"/>
        <w:ind w:left="5760" w:hanging="360"/>
      </w:pPr>
      <w:rPr>
        <w:rFonts w:ascii="Courier New" w:hAnsi="Courier New" w:eastAsia="Courier New" w:cs="Courier New"/>
      </w:rPr>
    </w:lvl>
    <w:lvl w:ilvl="8">
      <w:start w:val="1"/>
      <w:numFmt w:val="bullet"/>
      <w:isLgl w:val="false"/>
      <w:suff w:val="tab"/>
      <w:lvlText w:val="§"/>
      <w:lvlJc w:val="left"/>
      <w:pPr>
        <w:pStyle w:val="682"/>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rFonts w:ascii="Calibri" w:hAnsi="Calibri"/>
      <w:sz w:val="21"/>
      <w:szCs w:val="24"/>
      <w:lang w:val="en-US" w:eastAsia="zh-CN" w:bidi="ar-SA"/>
    </w:rPr>
  </w:style>
  <w:style w:type="paragraph" w:styleId="683">
    <w:name w:val="标题 1"/>
    <w:basedOn w:val="682"/>
    <w:next w:val="682"/>
    <w:link w:val="694"/>
    <w:uiPriority w:val="9"/>
    <w:qFormat/>
    <w:pPr>
      <w:keepLines/>
      <w:keepNext/>
      <w:spacing w:before="480" w:after="200"/>
      <w:outlineLvl w:val="0"/>
    </w:pPr>
    <w:rPr>
      <w:rFonts w:ascii="Arial" w:hAnsi="Arial" w:eastAsia="Arial" w:cs="Arial"/>
      <w:sz w:val="40"/>
      <w:szCs w:val="40"/>
    </w:rPr>
  </w:style>
  <w:style w:type="paragraph" w:styleId="684">
    <w:name w:val="标题 2"/>
    <w:basedOn w:val="682"/>
    <w:next w:val="682"/>
    <w:link w:val="695"/>
    <w:uiPriority w:val="9"/>
    <w:qFormat/>
    <w:pPr>
      <w:keepLines/>
      <w:keepNext/>
      <w:spacing w:before="360" w:after="200"/>
      <w:outlineLvl w:val="1"/>
    </w:pPr>
    <w:rPr>
      <w:rFonts w:ascii="Arial" w:hAnsi="Arial" w:eastAsia="Arial" w:cs="Arial"/>
      <w:sz w:val="34"/>
    </w:rPr>
  </w:style>
  <w:style w:type="paragraph" w:styleId="685">
    <w:name w:val="标题 3"/>
    <w:basedOn w:val="682"/>
    <w:next w:val="682"/>
    <w:link w:val="696"/>
    <w:uiPriority w:val="9"/>
    <w:qFormat/>
    <w:pPr>
      <w:keepLines/>
      <w:keepNext/>
      <w:spacing w:before="320" w:after="200"/>
      <w:outlineLvl w:val="2"/>
    </w:pPr>
    <w:rPr>
      <w:rFonts w:ascii="Arial" w:hAnsi="Arial" w:eastAsia="Arial" w:cs="Arial"/>
      <w:sz w:val="30"/>
      <w:szCs w:val="30"/>
    </w:rPr>
  </w:style>
  <w:style w:type="paragraph" w:styleId="686">
    <w:name w:val="标题 4"/>
    <w:basedOn w:val="682"/>
    <w:next w:val="682"/>
    <w:link w:val="697"/>
    <w:uiPriority w:val="9"/>
    <w:qFormat/>
    <w:pPr>
      <w:keepLines/>
      <w:keepNext/>
      <w:spacing w:before="320" w:after="200"/>
      <w:outlineLvl w:val="3"/>
    </w:pPr>
    <w:rPr>
      <w:rFonts w:ascii="Arial" w:hAnsi="Arial" w:eastAsia="Arial" w:cs="Arial"/>
      <w:b/>
      <w:bCs/>
      <w:sz w:val="26"/>
      <w:szCs w:val="26"/>
    </w:rPr>
  </w:style>
  <w:style w:type="paragraph" w:styleId="687">
    <w:name w:val="标题 5"/>
    <w:basedOn w:val="682"/>
    <w:next w:val="682"/>
    <w:link w:val="698"/>
    <w:uiPriority w:val="9"/>
    <w:qFormat/>
    <w:pPr>
      <w:keepLines/>
      <w:keepNext/>
      <w:spacing w:before="320" w:after="200"/>
      <w:outlineLvl w:val="4"/>
    </w:pPr>
    <w:rPr>
      <w:rFonts w:ascii="Arial" w:hAnsi="Arial" w:eastAsia="Arial" w:cs="Arial"/>
      <w:b/>
      <w:bCs/>
      <w:sz w:val="24"/>
    </w:rPr>
  </w:style>
  <w:style w:type="paragraph" w:styleId="688">
    <w:name w:val="标题 6"/>
    <w:basedOn w:val="682"/>
    <w:next w:val="682"/>
    <w:link w:val="699"/>
    <w:uiPriority w:val="9"/>
    <w:qFormat/>
    <w:pPr>
      <w:keepLines/>
      <w:keepNext/>
      <w:spacing w:before="320" w:after="200"/>
      <w:outlineLvl w:val="5"/>
    </w:pPr>
    <w:rPr>
      <w:rFonts w:ascii="Arial" w:hAnsi="Arial" w:eastAsia="Arial" w:cs="Arial"/>
      <w:b/>
      <w:bCs/>
      <w:sz w:val="22"/>
      <w:szCs w:val="22"/>
    </w:rPr>
  </w:style>
  <w:style w:type="paragraph" w:styleId="689">
    <w:name w:val="标题 7"/>
    <w:basedOn w:val="682"/>
    <w:next w:val="682"/>
    <w:link w:val="700"/>
    <w:uiPriority w:val="9"/>
    <w:qFormat/>
    <w:pPr>
      <w:keepLines/>
      <w:keepNext/>
      <w:spacing w:before="320" w:after="200"/>
      <w:outlineLvl w:val="6"/>
    </w:pPr>
    <w:rPr>
      <w:rFonts w:ascii="Arial" w:hAnsi="Arial" w:eastAsia="Arial" w:cs="Arial"/>
      <w:b/>
      <w:bCs/>
      <w:i/>
      <w:iCs/>
      <w:sz w:val="22"/>
      <w:szCs w:val="22"/>
    </w:rPr>
  </w:style>
  <w:style w:type="paragraph" w:styleId="690">
    <w:name w:val="标题 8"/>
    <w:basedOn w:val="682"/>
    <w:next w:val="682"/>
    <w:link w:val="701"/>
    <w:uiPriority w:val="9"/>
    <w:qFormat/>
    <w:pPr>
      <w:keepLines/>
      <w:keepNext/>
      <w:spacing w:before="320" w:after="200"/>
      <w:outlineLvl w:val="7"/>
    </w:pPr>
    <w:rPr>
      <w:rFonts w:ascii="Arial" w:hAnsi="Arial" w:eastAsia="Arial" w:cs="Arial"/>
      <w:i/>
      <w:iCs/>
      <w:sz w:val="22"/>
      <w:szCs w:val="22"/>
    </w:rPr>
  </w:style>
  <w:style w:type="paragraph" w:styleId="691">
    <w:name w:val="标题 9"/>
    <w:basedOn w:val="682"/>
    <w:next w:val="682"/>
    <w:link w:val="702"/>
    <w:uiPriority w:val="9"/>
    <w:qFormat/>
    <w:pPr>
      <w:keepLines/>
      <w:keepNext/>
      <w:spacing w:before="320" w:after="200"/>
      <w:outlineLvl w:val="8"/>
    </w:pPr>
    <w:rPr>
      <w:rFonts w:ascii="Arial" w:hAnsi="Arial" w:eastAsia="Arial" w:cs="Arial"/>
      <w:i/>
      <w:iCs/>
      <w:szCs w:val="21"/>
    </w:rPr>
  </w:style>
  <w:style w:type="character" w:styleId="692">
    <w:name w:val="默认段落字体"/>
    <w:next w:val="692"/>
    <w:link w:val="682"/>
    <w:uiPriority w:val="1"/>
    <w:unhideWhenUsed/>
  </w:style>
  <w:style w:type="table" w:styleId="693">
    <w:name w:val="普通表格"/>
    <w:next w:val="693"/>
    <w:link w:val="682"/>
    <w:uiPriority w:val="99"/>
    <w:unhideWhenUsed/>
    <w:qFormat/>
    <w:tblPr/>
  </w:style>
  <w:style w:type="character" w:styleId="694">
    <w:name w:val="标题 1 字符2"/>
    <w:next w:val="694"/>
    <w:link w:val="683"/>
    <w:uiPriority w:val="9"/>
    <w:qFormat/>
    <w:rPr>
      <w:rFonts w:ascii="Arial" w:hAnsi="Arial" w:eastAsia="Arial" w:cs="Arial"/>
      <w:sz w:val="40"/>
      <w:szCs w:val="40"/>
    </w:rPr>
  </w:style>
  <w:style w:type="character" w:styleId="695">
    <w:name w:val="标题 2 字符2"/>
    <w:next w:val="695"/>
    <w:link w:val="684"/>
    <w:uiPriority w:val="9"/>
    <w:qFormat/>
    <w:rPr>
      <w:rFonts w:ascii="Arial" w:hAnsi="Arial" w:eastAsia="Arial" w:cs="Arial"/>
      <w:sz w:val="34"/>
    </w:rPr>
  </w:style>
  <w:style w:type="character" w:styleId="696">
    <w:name w:val="标题 3 字符2"/>
    <w:next w:val="696"/>
    <w:link w:val="685"/>
    <w:uiPriority w:val="9"/>
    <w:qFormat/>
    <w:rPr>
      <w:rFonts w:ascii="Arial" w:hAnsi="Arial" w:eastAsia="Arial" w:cs="Arial"/>
      <w:sz w:val="30"/>
      <w:szCs w:val="30"/>
    </w:rPr>
  </w:style>
  <w:style w:type="character" w:styleId="697">
    <w:name w:val="标题 4 字符2"/>
    <w:next w:val="697"/>
    <w:link w:val="686"/>
    <w:uiPriority w:val="9"/>
    <w:qFormat/>
    <w:rPr>
      <w:rFonts w:ascii="Arial" w:hAnsi="Arial" w:eastAsia="Arial" w:cs="Arial"/>
      <w:b/>
      <w:bCs/>
      <w:sz w:val="26"/>
      <w:szCs w:val="26"/>
    </w:rPr>
  </w:style>
  <w:style w:type="character" w:styleId="698">
    <w:name w:val="标题 5 字符2"/>
    <w:next w:val="698"/>
    <w:link w:val="687"/>
    <w:uiPriority w:val="9"/>
    <w:qFormat/>
    <w:rPr>
      <w:rFonts w:ascii="Arial" w:hAnsi="Arial" w:eastAsia="Arial" w:cs="Arial"/>
      <w:b/>
      <w:bCs/>
      <w:sz w:val="24"/>
      <w:szCs w:val="24"/>
    </w:rPr>
  </w:style>
  <w:style w:type="character" w:styleId="699">
    <w:name w:val="标题 6 字符2"/>
    <w:next w:val="699"/>
    <w:link w:val="688"/>
    <w:uiPriority w:val="9"/>
    <w:qFormat/>
    <w:rPr>
      <w:rFonts w:ascii="Arial" w:hAnsi="Arial" w:eastAsia="Arial" w:cs="Arial"/>
      <w:b/>
      <w:bCs/>
      <w:sz w:val="22"/>
      <w:szCs w:val="22"/>
    </w:rPr>
  </w:style>
  <w:style w:type="character" w:styleId="700">
    <w:name w:val="标题 7 字符2"/>
    <w:next w:val="700"/>
    <w:link w:val="689"/>
    <w:uiPriority w:val="9"/>
    <w:qFormat/>
    <w:rPr>
      <w:rFonts w:ascii="Arial" w:hAnsi="Arial" w:eastAsia="Arial" w:cs="Arial"/>
      <w:b/>
      <w:bCs/>
      <w:i/>
      <w:iCs/>
      <w:sz w:val="22"/>
      <w:szCs w:val="22"/>
    </w:rPr>
  </w:style>
  <w:style w:type="character" w:styleId="701">
    <w:name w:val="标题 8 字符2"/>
    <w:next w:val="701"/>
    <w:link w:val="690"/>
    <w:uiPriority w:val="9"/>
    <w:qFormat/>
    <w:rPr>
      <w:rFonts w:ascii="Arial" w:hAnsi="Arial" w:eastAsia="Arial" w:cs="Arial"/>
      <w:i/>
      <w:iCs/>
      <w:sz w:val="22"/>
      <w:szCs w:val="22"/>
    </w:rPr>
  </w:style>
  <w:style w:type="character" w:styleId="702">
    <w:name w:val="标题 9 字符2"/>
    <w:next w:val="702"/>
    <w:link w:val="691"/>
    <w:uiPriority w:val="9"/>
    <w:qFormat/>
    <w:rPr>
      <w:rFonts w:ascii="Arial" w:hAnsi="Arial" w:eastAsia="Arial" w:cs="Arial"/>
      <w:i/>
      <w:iCs/>
      <w:sz w:val="21"/>
      <w:szCs w:val="21"/>
    </w:rPr>
  </w:style>
  <w:style w:type="paragraph" w:styleId="703">
    <w:name w:val="目录 7"/>
    <w:basedOn w:val="682"/>
    <w:next w:val="682"/>
    <w:link w:val="682"/>
    <w:uiPriority w:val="39"/>
    <w:unhideWhenUsed/>
    <w:qFormat/>
    <w:pPr>
      <w:ind w:left="1701"/>
      <w:spacing w:after="57"/>
    </w:pPr>
  </w:style>
  <w:style w:type="paragraph" w:styleId="704">
    <w:name w:val="题注"/>
    <w:basedOn w:val="682"/>
    <w:next w:val="682"/>
    <w:link w:val="682"/>
    <w:uiPriority w:val="35"/>
    <w:qFormat/>
    <w:pPr>
      <w:spacing w:line="276" w:lineRule="auto"/>
    </w:pPr>
    <w:rPr>
      <w:b/>
      <w:bCs/>
      <w:color w:val="4f81bd"/>
      <w:sz w:val="18"/>
      <w:szCs w:val="18"/>
    </w:rPr>
  </w:style>
  <w:style w:type="paragraph" w:styleId="705">
    <w:name w:val="批注文字"/>
    <w:basedOn w:val="682"/>
    <w:next w:val="705"/>
    <w:link w:val="706"/>
    <w:uiPriority w:val="99"/>
    <w:unhideWhenUsed/>
    <w:pPr>
      <w:jc w:val="left"/>
    </w:pPr>
  </w:style>
  <w:style w:type="character" w:styleId="706">
    <w:name w:val="批注文字 字符3"/>
    <w:next w:val="706"/>
    <w:link w:val="705"/>
    <w:uiPriority w:val="99"/>
    <w:semiHidden/>
    <w:rPr>
      <w:rFonts w:ascii="Calibri" w:hAnsi="Calibri"/>
      <w:sz w:val="21"/>
      <w:szCs w:val="24"/>
    </w:rPr>
  </w:style>
  <w:style w:type="paragraph" w:styleId="707">
    <w:name w:val="目录 5"/>
    <w:basedOn w:val="682"/>
    <w:next w:val="682"/>
    <w:link w:val="682"/>
    <w:uiPriority w:val="39"/>
    <w:unhideWhenUsed/>
    <w:qFormat/>
    <w:pPr>
      <w:ind w:left="1134"/>
      <w:spacing w:after="57"/>
    </w:pPr>
  </w:style>
  <w:style w:type="paragraph" w:styleId="708">
    <w:name w:val="目录 3"/>
    <w:basedOn w:val="682"/>
    <w:next w:val="682"/>
    <w:link w:val="682"/>
    <w:uiPriority w:val="39"/>
    <w:unhideWhenUsed/>
    <w:qFormat/>
    <w:pPr>
      <w:ind w:left="567"/>
      <w:spacing w:after="57"/>
    </w:pPr>
  </w:style>
  <w:style w:type="paragraph" w:styleId="709">
    <w:name w:val="目录 8"/>
    <w:basedOn w:val="682"/>
    <w:next w:val="682"/>
    <w:link w:val="682"/>
    <w:uiPriority w:val="39"/>
    <w:unhideWhenUsed/>
    <w:qFormat/>
    <w:pPr>
      <w:ind w:left="1984"/>
      <w:spacing w:after="57"/>
    </w:pPr>
  </w:style>
  <w:style w:type="paragraph" w:styleId="710">
    <w:name w:val="尾注文本"/>
    <w:basedOn w:val="682"/>
    <w:next w:val="710"/>
    <w:link w:val="711"/>
    <w:uiPriority w:val="99"/>
    <w:unhideWhenUsed/>
    <w:qFormat/>
    <w:rPr>
      <w:sz w:val="20"/>
    </w:rPr>
  </w:style>
  <w:style w:type="character" w:styleId="711">
    <w:name w:val="尾注文本 字符2"/>
    <w:next w:val="711"/>
    <w:link w:val="710"/>
    <w:uiPriority w:val="99"/>
    <w:qFormat/>
    <w:rPr>
      <w:sz w:val="20"/>
    </w:rPr>
  </w:style>
  <w:style w:type="paragraph" w:styleId="712">
    <w:name w:val="批注框文本"/>
    <w:basedOn w:val="682"/>
    <w:next w:val="712"/>
    <w:link w:val="713"/>
    <w:uiPriority w:val="99"/>
    <w:unhideWhenUsed/>
    <w:rPr>
      <w:sz w:val="18"/>
      <w:szCs w:val="18"/>
    </w:rPr>
  </w:style>
  <w:style w:type="character" w:styleId="713">
    <w:name w:val="批注框文本 字符2"/>
    <w:next w:val="713"/>
    <w:link w:val="712"/>
    <w:uiPriority w:val="99"/>
    <w:semiHidden/>
    <w:qFormat/>
    <w:rPr>
      <w:rFonts w:ascii="Calibri" w:hAnsi="Calibri"/>
      <w:sz w:val="18"/>
      <w:szCs w:val="18"/>
    </w:rPr>
  </w:style>
  <w:style w:type="paragraph" w:styleId="714">
    <w:name w:val="页脚"/>
    <w:basedOn w:val="682"/>
    <w:next w:val="714"/>
    <w:link w:val="715"/>
    <w:uiPriority w:val="99"/>
    <w:unhideWhenUsed/>
    <w:qFormat/>
    <w:pPr>
      <w:tabs>
        <w:tab w:val="center" w:pos="7143" w:leader="none"/>
        <w:tab w:val="right" w:pos="14287" w:leader="none"/>
      </w:tabs>
    </w:pPr>
  </w:style>
  <w:style w:type="character" w:styleId="715">
    <w:name w:val="页脚 字符3"/>
    <w:next w:val="715"/>
    <w:link w:val="714"/>
    <w:uiPriority w:val="99"/>
    <w:qFormat/>
  </w:style>
  <w:style w:type="paragraph" w:styleId="716">
    <w:name w:val="页眉"/>
    <w:basedOn w:val="682"/>
    <w:next w:val="716"/>
    <w:link w:val="717"/>
    <w:uiPriority w:val="99"/>
    <w:unhideWhenUsed/>
    <w:qFormat/>
    <w:pPr>
      <w:tabs>
        <w:tab w:val="center" w:pos="7143" w:leader="none"/>
        <w:tab w:val="right" w:pos="14287" w:leader="none"/>
      </w:tabs>
    </w:pPr>
  </w:style>
  <w:style w:type="character" w:styleId="717">
    <w:name w:val="页眉 字符2"/>
    <w:next w:val="717"/>
    <w:link w:val="716"/>
    <w:uiPriority w:val="99"/>
    <w:qFormat/>
  </w:style>
  <w:style w:type="paragraph" w:styleId="718">
    <w:name w:val="目录 1"/>
    <w:basedOn w:val="682"/>
    <w:next w:val="682"/>
    <w:link w:val="682"/>
    <w:uiPriority w:val="39"/>
    <w:unhideWhenUsed/>
    <w:qFormat/>
    <w:pPr>
      <w:spacing w:after="57"/>
    </w:pPr>
  </w:style>
  <w:style w:type="paragraph" w:styleId="719">
    <w:name w:val="目录 4"/>
    <w:basedOn w:val="682"/>
    <w:next w:val="682"/>
    <w:link w:val="682"/>
    <w:uiPriority w:val="39"/>
    <w:unhideWhenUsed/>
    <w:qFormat/>
    <w:pPr>
      <w:ind w:left="850"/>
      <w:spacing w:after="57"/>
    </w:pPr>
  </w:style>
  <w:style w:type="paragraph" w:styleId="720">
    <w:name w:val="副标题"/>
    <w:basedOn w:val="682"/>
    <w:next w:val="682"/>
    <w:link w:val="721"/>
    <w:uiPriority w:val="11"/>
    <w:qFormat/>
    <w:pPr>
      <w:spacing w:before="200" w:after="200"/>
    </w:pPr>
    <w:rPr>
      <w:sz w:val="24"/>
    </w:rPr>
  </w:style>
  <w:style w:type="character" w:styleId="721">
    <w:name w:val="副标题 字符2"/>
    <w:next w:val="721"/>
    <w:link w:val="720"/>
    <w:uiPriority w:val="11"/>
    <w:qFormat/>
    <w:rPr>
      <w:sz w:val="24"/>
      <w:szCs w:val="24"/>
    </w:rPr>
  </w:style>
  <w:style w:type="paragraph" w:styleId="722">
    <w:name w:val="脚注文本"/>
    <w:basedOn w:val="682"/>
    <w:next w:val="722"/>
    <w:link w:val="723"/>
    <w:uiPriority w:val="99"/>
    <w:unhideWhenUsed/>
    <w:qFormat/>
    <w:pPr>
      <w:spacing w:after="40"/>
    </w:pPr>
    <w:rPr>
      <w:sz w:val="18"/>
    </w:rPr>
  </w:style>
  <w:style w:type="character" w:styleId="723">
    <w:name w:val="脚注文本 字符2"/>
    <w:next w:val="723"/>
    <w:link w:val="722"/>
    <w:uiPriority w:val="99"/>
    <w:qFormat/>
    <w:rPr>
      <w:sz w:val="18"/>
    </w:rPr>
  </w:style>
  <w:style w:type="paragraph" w:styleId="724">
    <w:name w:val="目录 6"/>
    <w:basedOn w:val="682"/>
    <w:next w:val="682"/>
    <w:link w:val="682"/>
    <w:uiPriority w:val="39"/>
    <w:unhideWhenUsed/>
    <w:qFormat/>
    <w:pPr>
      <w:ind w:left="1417"/>
      <w:spacing w:after="57"/>
    </w:pPr>
  </w:style>
  <w:style w:type="paragraph" w:styleId="725">
    <w:name w:val="图表目录"/>
    <w:basedOn w:val="682"/>
    <w:next w:val="682"/>
    <w:link w:val="682"/>
    <w:uiPriority w:val="99"/>
    <w:unhideWhenUsed/>
    <w:qFormat/>
  </w:style>
  <w:style w:type="paragraph" w:styleId="726">
    <w:name w:val="目录 2"/>
    <w:basedOn w:val="682"/>
    <w:next w:val="682"/>
    <w:link w:val="682"/>
    <w:uiPriority w:val="39"/>
    <w:unhideWhenUsed/>
    <w:qFormat/>
    <w:pPr>
      <w:ind w:left="283"/>
      <w:spacing w:after="57"/>
    </w:pPr>
  </w:style>
  <w:style w:type="paragraph" w:styleId="727">
    <w:name w:val="目录 9"/>
    <w:basedOn w:val="682"/>
    <w:next w:val="682"/>
    <w:link w:val="682"/>
    <w:uiPriority w:val="39"/>
    <w:unhideWhenUsed/>
    <w:qFormat/>
    <w:pPr>
      <w:ind w:left="2268"/>
      <w:spacing w:after="57"/>
    </w:pPr>
  </w:style>
  <w:style w:type="paragraph" w:styleId="728">
    <w:name w:val="标题"/>
    <w:basedOn w:val="682"/>
    <w:next w:val="682"/>
    <w:link w:val="729"/>
    <w:uiPriority w:val="10"/>
    <w:qFormat/>
    <w:pPr>
      <w:contextualSpacing/>
      <w:spacing w:before="300" w:after="200"/>
    </w:pPr>
    <w:rPr>
      <w:sz w:val="48"/>
      <w:szCs w:val="48"/>
    </w:rPr>
  </w:style>
  <w:style w:type="character" w:styleId="729">
    <w:name w:val="标题 字符2"/>
    <w:next w:val="729"/>
    <w:link w:val="728"/>
    <w:uiPriority w:val="10"/>
    <w:qFormat/>
    <w:rPr>
      <w:sz w:val="48"/>
      <w:szCs w:val="48"/>
    </w:rPr>
  </w:style>
  <w:style w:type="paragraph" w:styleId="730">
    <w:name w:val="批注主题"/>
    <w:basedOn w:val="705"/>
    <w:next w:val="705"/>
    <w:link w:val="731"/>
    <w:uiPriority w:val="99"/>
    <w:unhideWhenUsed/>
    <w:rPr>
      <w:b/>
      <w:bCs/>
    </w:rPr>
  </w:style>
  <w:style w:type="character" w:styleId="731">
    <w:name w:val="批注主题 字符3"/>
    <w:next w:val="731"/>
    <w:link w:val="730"/>
    <w:uiPriority w:val="99"/>
    <w:semiHidden/>
    <w:rPr>
      <w:rFonts w:ascii="Calibri" w:hAnsi="Calibri"/>
      <w:b/>
      <w:bCs/>
      <w:sz w:val="21"/>
      <w:szCs w:val="24"/>
    </w:rPr>
  </w:style>
  <w:style w:type="table" w:styleId="732">
    <w:name w:val="网格型"/>
    <w:next w:val="732"/>
    <w:link w:val="682"/>
    <w:uiPriority w:val="59"/>
    <w:qFormat/>
    <w:rPr>
      <w:lang w:val="en-US" w:eastAsia="zh-CN" w:bidi="ar-SA"/>
    </w:rPr>
    <w:tblPr/>
  </w:style>
  <w:style w:type="character" w:styleId="733">
    <w:name w:val="尾注引用"/>
    <w:next w:val="733"/>
    <w:link w:val="682"/>
    <w:uiPriority w:val="99"/>
    <w:unhideWhenUsed/>
    <w:qFormat/>
    <w:rPr>
      <w:vertAlign w:val="superscript"/>
    </w:rPr>
  </w:style>
  <w:style w:type="character" w:styleId="734">
    <w:name w:val="超链接"/>
    <w:next w:val="734"/>
    <w:link w:val="682"/>
    <w:uiPriority w:val="99"/>
    <w:unhideWhenUsed/>
    <w:qFormat/>
    <w:rPr>
      <w:color w:val="0000ff"/>
      <w:u w:val="single"/>
    </w:rPr>
  </w:style>
  <w:style w:type="character" w:styleId="735">
    <w:name w:val="批注引用"/>
    <w:next w:val="735"/>
    <w:link w:val="682"/>
    <w:uiPriority w:val="99"/>
    <w:unhideWhenUsed/>
    <w:rPr>
      <w:sz w:val="21"/>
      <w:szCs w:val="21"/>
    </w:rPr>
  </w:style>
  <w:style w:type="character" w:styleId="736">
    <w:name w:val="脚注引用"/>
    <w:next w:val="736"/>
    <w:link w:val="682"/>
    <w:uiPriority w:val="99"/>
    <w:unhideWhenUsed/>
    <w:qFormat/>
    <w:rPr>
      <w:vertAlign w:val="superscript"/>
    </w:rPr>
  </w:style>
  <w:style w:type="paragraph" w:styleId="737">
    <w:name w:val="列出段落"/>
    <w:basedOn w:val="682"/>
    <w:next w:val="737"/>
    <w:link w:val="682"/>
    <w:uiPriority w:val="34"/>
    <w:qFormat/>
    <w:pPr>
      <w:contextualSpacing/>
      <w:ind w:left="720"/>
    </w:pPr>
  </w:style>
  <w:style w:type="paragraph" w:styleId="738">
    <w:name w:val="无间隔"/>
    <w:next w:val="738"/>
    <w:link w:val="682"/>
    <w:uiPriority w:val="1"/>
    <w:qFormat/>
    <w:rPr>
      <w:lang w:val="en-US" w:eastAsia="zh-CN" w:bidi="ar-SA"/>
    </w:rPr>
  </w:style>
  <w:style w:type="paragraph" w:styleId="739">
    <w:name w:val="引用"/>
    <w:basedOn w:val="682"/>
    <w:next w:val="682"/>
    <w:link w:val="740"/>
    <w:uiPriority w:val="29"/>
    <w:qFormat/>
    <w:pPr>
      <w:ind w:left="720" w:right="720"/>
    </w:pPr>
    <w:rPr>
      <w:i/>
    </w:rPr>
  </w:style>
  <w:style w:type="character" w:styleId="740">
    <w:name w:val="引用 字符2"/>
    <w:next w:val="740"/>
    <w:link w:val="739"/>
    <w:uiPriority w:val="29"/>
    <w:qFormat/>
    <w:rPr>
      <w:i/>
    </w:rPr>
  </w:style>
  <w:style w:type="paragraph" w:styleId="741">
    <w:name w:val="明显引用"/>
    <w:basedOn w:val="682"/>
    <w:next w:val="682"/>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明显引用 字符2"/>
    <w:next w:val="742"/>
    <w:link w:val="741"/>
    <w:uiPriority w:val="30"/>
    <w:qFormat/>
    <w:rPr>
      <w:i/>
    </w:rPr>
  </w:style>
  <w:style w:type="paragraph" w:styleId="743">
    <w:name w:val="标题 112"/>
    <w:basedOn w:val="682"/>
    <w:next w:val="682"/>
    <w:link w:val="744"/>
    <w:uiPriority w:val="9"/>
    <w:qFormat/>
    <w:pPr>
      <w:keepLines/>
      <w:keepNext/>
      <w:spacing w:before="480" w:after="200"/>
      <w:outlineLvl w:val="0"/>
    </w:pPr>
    <w:rPr>
      <w:rFonts w:ascii="Arial" w:hAnsi="Arial" w:eastAsia="Arial" w:cs="Arial"/>
      <w:sz w:val="40"/>
      <w:szCs w:val="40"/>
    </w:rPr>
  </w:style>
  <w:style w:type="character" w:styleId="744">
    <w:name w:val="标题 1 字符1"/>
    <w:next w:val="744"/>
    <w:link w:val="743"/>
    <w:uiPriority w:val="9"/>
    <w:qFormat/>
    <w:rPr>
      <w:rFonts w:ascii="Arial" w:hAnsi="Arial" w:eastAsia="Arial" w:cs="Arial"/>
      <w:sz w:val="40"/>
      <w:szCs w:val="40"/>
    </w:rPr>
  </w:style>
  <w:style w:type="paragraph" w:styleId="745">
    <w:name w:val="标题 2111"/>
    <w:basedOn w:val="682"/>
    <w:next w:val="682"/>
    <w:link w:val="746"/>
    <w:uiPriority w:val="9"/>
    <w:qFormat/>
    <w:pPr>
      <w:keepLines/>
      <w:keepNext/>
      <w:spacing w:before="360" w:after="200"/>
      <w:outlineLvl w:val="1"/>
    </w:pPr>
    <w:rPr>
      <w:rFonts w:ascii="Arial" w:hAnsi="Arial" w:eastAsia="Arial" w:cs="Arial"/>
      <w:sz w:val="34"/>
    </w:rPr>
  </w:style>
  <w:style w:type="character" w:styleId="746">
    <w:name w:val="标题 2 字符1"/>
    <w:next w:val="746"/>
    <w:link w:val="745"/>
    <w:uiPriority w:val="9"/>
    <w:qFormat/>
    <w:rPr>
      <w:rFonts w:ascii="Arial" w:hAnsi="Arial" w:eastAsia="Arial" w:cs="Arial"/>
      <w:sz w:val="34"/>
    </w:rPr>
  </w:style>
  <w:style w:type="paragraph" w:styleId="747">
    <w:name w:val="标题 312"/>
    <w:basedOn w:val="682"/>
    <w:next w:val="682"/>
    <w:link w:val="748"/>
    <w:uiPriority w:val="9"/>
    <w:qFormat/>
    <w:pPr>
      <w:keepLines/>
      <w:keepNext/>
      <w:spacing w:before="320" w:after="200"/>
      <w:outlineLvl w:val="2"/>
    </w:pPr>
    <w:rPr>
      <w:rFonts w:ascii="Arial" w:hAnsi="Arial" w:eastAsia="Arial" w:cs="Arial"/>
      <w:sz w:val="30"/>
      <w:szCs w:val="30"/>
    </w:rPr>
  </w:style>
  <w:style w:type="character" w:styleId="748">
    <w:name w:val="标题 3 字符1"/>
    <w:next w:val="748"/>
    <w:link w:val="747"/>
    <w:uiPriority w:val="9"/>
    <w:qFormat/>
    <w:rPr>
      <w:rFonts w:ascii="Arial" w:hAnsi="Arial" w:eastAsia="Arial" w:cs="Arial"/>
      <w:sz w:val="30"/>
      <w:szCs w:val="30"/>
    </w:rPr>
  </w:style>
  <w:style w:type="paragraph" w:styleId="749">
    <w:name w:val="标题 411"/>
    <w:basedOn w:val="682"/>
    <w:next w:val="682"/>
    <w:link w:val="750"/>
    <w:uiPriority w:val="9"/>
    <w:qFormat/>
    <w:pPr>
      <w:keepLines/>
      <w:keepNext/>
      <w:spacing w:before="320" w:after="200"/>
      <w:outlineLvl w:val="3"/>
    </w:pPr>
    <w:rPr>
      <w:rFonts w:ascii="Arial" w:hAnsi="Arial" w:eastAsia="Arial" w:cs="Arial"/>
      <w:b/>
      <w:bCs/>
      <w:sz w:val="26"/>
      <w:szCs w:val="26"/>
    </w:rPr>
  </w:style>
  <w:style w:type="character" w:styleId="750">
    <w:name w:val="标题 4 字符1"/>
    <w:next w:val="750"/>
    <w:link w:val="749"/>
    <w:uiPriority w:val="9"/>
    <w:qFormat/>
    <w:rPr>
      <w:rFonts w:ascii="Arial" w:hAnsi="Arial" w:eastAsia="Arial" w:cs="Arial"/>
      <w:b/>
      <w:bCs/>
      <w:sz w:val="26"/>
      <w:szCs w:val="26"/>
    </w:rPr>
  </w:style>
  <w:style w:type="paragraph" w:styleId="751">
    <w:name w:val="标题 511"/>
    <w:basedOn w:val="682"/>
    <w:next w:val="682"/>
    <w:link w:val="752"/>
    <w:uiPriority w:val="9"/>
    <w:qFormat/>
    <w:pPr>
      <w:keepLines/>
      <w:keepNext/>
      <w:spacing w:before="320" w:after="200"/>
      <w:outlineLvl w:val="4"/>
    </w:pPr>
    <w:rPr>
      <w:rFonts w:ascii="Arial" w:hAnsi="Arial" w:eastAsia="Arial" w:cs="Arial"/>
      <w:b/>
      <w:bCs/>
      <w:sz w:val="24"/>
    </w:rPr>
  </w:style>
  <w:style w:type="character" w:styleId="752">
    <w:name w:val="标题 5 字符1"/>
    <w:next w:val="752"/>
    <w:link w:val="751"/>
    <w:uiPriority w:val="9"/>
    <w:qFormat/>
    <w:rPr>
      <w:rFonts w:ascii="Arial" w:hAnsi="Arial" w:eastAsia="Arial" w:cs="Arial"/>
      <w:b/>
      <w:bCs/>
      <w:sz w:val="24"/>
      <w:szCs w:val="24"/>
    </w:rPr>
  </w:style>
  <w:style w:type="paragraph" w:styleId="753">
    <w:name w:val="标题 611"/>
    <w:basedOn w:val="682"/>
    <w:next w:val="682"/>
    <w:link w:val="754"/>
    <w:uiPriority w:val="9"/>
    <w:qFormat/>
    <w:pPr>
      <w:keepLines/>
      <w:keepNext/>
      <w:spacing w:before="320" w:after="200"/>
      <w:outlineLvl w:val="5"/>
    </w:pPr>
    <w:rPr>
      <w:rFonts w:ascii="Arial" w:hAnsi="Arial" w:eastAsia="Arial" w:cs="Arial"/>
      <w:b/>
      <w:bCs/>
      <w:sz w:val="22"/>
      <w:szCs w:val="22"/>
    </w:rPr>
  </w:style>
  <w:style w:type="character" w:styleId="754">
    <w:name w:val="标题 6 字符1"/>
    <w:next w:val="754"/>
    <w:link w:val="753"/>
    <w:uiPriority w:val="9"/>
    <w:qFormat/>
    <w:rPr>
      <w:rFonts w:ascii="Arial" w:hAnsi="Arial" w:eastAsia="Arial" w:cs="Arial"/>
      <w:b/>
      <w:bCs/>
      <w:sz w:val="22"/>
      <w:szCs w:val="22"/>
    </w:rPr>
  </w:style>
  <w:style w:type="paragraph" w:styleId="755">
    <w:name w:val="标题 711"/>
    <w:basedOn w:val="682"/>
    <w:next w:val="682"/>
    <w:link w:val="756"/>
    <w:uiPriority w:val="9"/>
    <w:qFormat/>
    <w:pPr>
      <w:keepLines/>
      <w:keepNext/>
      <w:spacing w:before="320" w:after="200"/>
      <w:outlineLvl w:val="6"/>
    </w:pPr>
    <w:rPr>
      <w:rFonts w:ascii="Arial" w:hAnsi="Arial" w:eastAsia="Arial" w:cs="Arial"/>
      <w:b/>
      <w:bCs/>
      <w:i/>
      <w:iCs/>
      <w:sz w:val="22"/>
      <w:szCs w:val="22"/>
    </w:rPr>
  </w:style>
  <w:style w:type="character" w:styleId="756">
    <w:name w:val="标题 7 字符1"/>
    <w:next w:val="756"/>
    <w:link w:val="755"/>
    <w:uiPriority w:val="9"/>
    <w:qFormat/>
    <w:rPr>
      <w:rFonts w:ascii="Arial" w:hAnsi="Arial" w:eastAsia="Arial" w:cs="Arial"/>
      <w:b/>
      <w:bCs/>
      <w:i/>
      <w:iCs/>
      <w:sz w:val="22"/>
      <w:szCs w:val="22"/>
    </w:rPr>
  </w:style>
  <w:style w:type="paragraph" w:styleId="757">
    <w:name w:val="标题 811"/>
    <w:basedOn w:val="682"/>
    <w:next w:val="682"/>
    <w:link w:val="758"/>
    <w:uiPriority w:val="9"/>
    <w:qFormat/>
    <w:pPr>
      <w:keepLines/>
      <w:keepNext/>
      <w:spacing w:before="320" w:after="200"/>
      <w:outlineLvl w:val="7"/>
    </w:pPr>
    <w:rPr>
      <w:rFonts w:ascii="Arial" w:hAnsi="Arial" w:eastAsia="Arial" w:cs="Arial"/>
      <w:i/>
      <w:iCs/>
      <w:sz w:val="22"/>
      <w:szCs w:val="22"/>
    </w:rPr>
  </w:style>
  <w:style w:type="character" w:styleId="758">
    <w:name w:val="标题 8 字符1"/>
    <w:next w:val="758"/>
    <w:link w:val="757"/>
    <w:uiPriority w:val="9"/>
    <w:qFormat/>
    <w:rPr>
      <w:rFonts w:ascii="Arial" w:hAnsi="Arial" w:eastAsia="Arial" w:cs="Arial"/>
      <w:i/>
      <w:iCs/>
      <w:sz w:val="22"/>
      <w:szCs w:val="22"/>
    </w:rPr>
  </w:style>
  <w:style w:type="paragraph" w:styleId="759">
    <w:name w:val="标题 911"/>
    <w:basedOn w:val="682"/>
    <w:next w:val="682"/>
    <w:link w:val="760"/>
    <w:uiPriority w:val="9"/>
    <w:qFormat/>
    <w:pPr>
      <w:keepLines/>
      <w:keepNext/>
      <w:spacing w:before="320" w:after="200"/>
      <w:outlineLvl w:val="8"/>
    </w:pPr>
    <w:rPr>
      <w:rFonts w:ascii="Arial" w:hAnsi="Arial" w:eastAsia="Arial" w:cs="Arial"/>
      <w:i/>
      <w:iCs/>
      <w:szCs w:val="21"/>
    </w:rPr>
  </w:style>
  <w:style w:type="character" w:styleId="760">
    <w:name w:val="标题 9 字符1"/>
    <w:next w:val="760"/>
    <w:link w:val="759"/>
    <w:uiPriority w:val="9"/>
    <w:qFormat/>
    <w:rPr>
      <w:rFonts w:ascii="Arial" w:hAnsi="Arial" w:eastAsia="Arial" w:cs="Arial"/>
      <w:i/>
      <w:iCs/>
      <w:sz w:val="21"/>
      <w:szCs w:val="21"/>
    </w:rPr>
  </w:style>
  <w:style w:type="character" w:styleId="761">
    <w:name w:val="默认段落字体12"/>
    <w:next w:val="761"/>
    <w:link w:val="682"/>
    <w:uiPriority w:val="1"/>
    <w:unhideWhenUsed/>
    <w:qFormat/>
  </w:style>
  <w:style w:type="table" w:styleId="762">
    <w:name w:val="普通表格12"/>
    <w:next w:val="762"/>
    <w:link w:val="682"/>
    <w:uiPriority w:val="99"/>
    <w:unhideWhenUsed/>
    <w:qFormat/>
    <w:rPr>
      <w:lang w:val="en-US" w:eastAsia="zh-CN" w:bidi="ar-SA"/>
    </w:rPr>
    <w:tblPr/>
  </w:style>
  <w:style w:type="paragraph" w:styleId="763">
    <w:name w:val="目录 711"/>
    <w:basedOn w:val="682"/>
    <w:next w:val="682"/>
    <w:link w:val="682"/>
    <w:uiPriority w:val="39"/>
    <w:unhideWhenUsed/>
    <w:qFormat/>
    <w:pPr>
      <w:ind w:left="1701"/>
      <w:spacing w:after="57"/>
    </w:pPr>
  </w:style>
  <w:style w:type="paragraph" w:styleId="764">
    <w:name w:val="题注11"/>
    <w:basedOn w:val="682"/>
    <w:next w:val="682"/>
    <w:link w:val="682"/>
    <w:uiPriority w:val="35"/>
    <w:qFormat/>
    <w:pPr>
      <w:spacing w:line="276" w:lineRule="auto"/>
    </w:pPr>
    <w:rPr>
      <w:b/>
      <w:bCs/>
      <w:color w:val="4f81bd"/>
      <w:sz w:val="18"/>
      <w:szCs w:val="18"/>
    </w:rPr>
  </w:style>
  <w:style w:type="paragraph" w:styleId="765">
    <w:name w:val="批注文字12"/>
    <w:basedOn w:val="682"/>
    <w:next w:val="765"/>
    <w:link w:val="766"/>
    <w:uiPriority w:val="99"/>
    <w:unhideWhenUsed/>
    <w:qFormat/>
    <w:pPr>
      <w:jc w:val="left"/>
    </w:pPr>
  </w:style>
  <w:style w:type="character" w:styleId="766">
    <w:name w:val="批注文字 字符2"/>
    <w:next w:val="766"/>
    <w:link w:val="765"/>
    <w:uiPriority w:val="99"/>
    <w:qFormat/>
    <w:rPr>
      <w:rFonts w:ascii="Calibri" w:hAnsi="Calibri"/>
      <w:sz w:val="21"/>
      <w:szCs w:val="24"/>
    </w:rPr>
  </w:style>
  <w:style w:type="paragraph" w:styleId="767">
    <w:name w:val="正文文本112"/>
    <w:basedOn w:val="682"/>
    <w:next w:val="682"/>
    <w:link w:val="682"/>
    <w:uiPriority w:val="99"/>
    <w:unhideWhenUsed/>
    <w:qFormat/>
    <w:pPr>
      <w:spacing w:after="120"/>
    </w:pPr>
    <w:rPr>
      <w:sz w:val="20"/>
    </w:rPr>
  </w:style>
  <w:style w:type="paragraph" w:styleId="768">
    <w:name w:val="正文文本缩进12"/>
    <w:basedOn w:val="682"/>
    <w:next w:val="682"/>
    <w:link w:val="682"/>
    <w:qFormat/>
    <w:pPr>
      <w:ind w:left="420" w:firstLine="1188"/>
      <w:spacing w:line="360" w:lineRule="exact"/>
    </w:pPr>
    <w:rPr>
      <w:rFonts w:ascii="Times New Roman" w:hAnsi="Times New Roman"/>
    </w:rPr>
  </w:style>
  <w:style w:type="paragraph" w:styleId="769">
    <w:name w:val="目录 511"/>
    <w:basedOn w:val="682"/>
    <w:next w:val="682"/>
    <w:link w:val="682"/>
    <w:uiPriority w:val="39"/>
    <w:unhideWhenUsed/>
    <w:qFormat/>
    <w:pPr>
      <w:ind w:left="1134"/>
      <w:spacing w:after="57"/>
    </w:pPr>
  </w:style>
  <w:style w:type="paragraph" w:styleId="770">
    <w:name w:val="目录 311"/>
    <w:basedOn w:val="682"/>
    <w:next w:val="682"/>
    <w:link w:val="682"/>
    <w:uiPriority w:val="39"/>
    <w:unhideWhenUsed/>
    <w:qFormat/>
    <w:pPr>
      <w:ind w:left="567"/>
      <w:spacing w:after="57"/>
    </w:pPr>
  </w:style>
  <w:style w:type="paragraph" w:styleId="771">
    <w:name w:val="目录 811"/>
    <w:basedOn w:val="682"/>
    <w:next w:val="682"/>
    <w:link w:val="682"/>
    <w:uiPriority w:val="39"/>
    <w:unhideWhenUsed/>
    <w:qFormat/>
    <w:pPr>
      <w:ind w:left="1984"/>
      <w:spacing w:after="57"/>
    </w:pPr>
  </w:style>
  <w:style w:type="paragraph" w:styleId="772">
    <w:name w:val="尾注文本11"/>
    <w:basedOn w:val="682"/>
    <w:next w:val="772"/>
    <w:link w:val="773"/>
    <w:uiPriority w:val="99"/>
    <w:unhideWhenUsed/>
    <w:qFormat/>
    <w:rPr>
      <w:sz w:val="20"/>
    </w:rPr>
  </w:style>
  <w:style w:type="character" w:styleId="773">
    <w:name w:val="尾注文本 字符1"/>
    <w:next w:val="773"/>
    <w:link w:val="772"/>
    <w:uiPriority w:val="99"/>
    <w:qFormat/>
    <w:rPr>
      <w:sz w:val="20"/>
    </w:rPr>
  </w:style>
  <w:style w:type="paragraph" w:styleId="774">
    <w:name w:val="批注框文本12"/>
    <w:basedOn w:val="682"/>
    <w:next w:val="774"/>
    <w:link w:val="775"/>
    <w:uiPriority w:val="99"/>
    <w:unhideWhenUsed/>
    <w:qFormat/>
    <w:rPr>
      <w:sz w:val="18"/>
      <w:szCs w:val="18"/>
    </w:rPr>
  </w:style>
  <w:style w:type="character" w:styleId="775">
    <w:name w:val="批注框文本 字符1"/>
    <w:next w:val="775"/>
    <w:link w:val="774"/>
    <w:uiPriority w:val="99"/>
    <w:semiHidden/>
    <w:qFormat/>
    <w:rPr>
      <w:rFonts w:ascii="Calibri" w:hAnsi="Calibri"/>
      <w:sz w:val="18"/>
      <w:szCs w:val="18"/>
    </w:rPr>
  </w:style>
  <w:style w:type="paragraph" w:styleId="776">
    <w:name w:val="页脚12"/>
    <w:basedOn w:val="682"/>
    <w:next w:val="776"/>
    <w:link w:val="777"/>
    <w:uiPriority w:val="99"/>
    <w:unhideWhenUsed/>
    <w:qFormat/>
    <w:pPr>
      <w:tabs>
        <w:tab w:val="center" w:pos="7143" w:leader="none"/>
        <w:tab w:val="right" w:pos="14287" w:leader="none"/>
      </w:tabs>
    </w:pPr>
  </w:style>
  <w:style w:type="character" w:styleId="777">
    <w:name w:val="页脚 字符2"/>
    <w:next w:val="777"/>
    <w:link w:val="776"/>
    <w:uiPriority w:val="99"/>
    <w:qFormat/>
  </w:style>
  <w:style w:type="paragraph" w:styleId="778">
    <w:name w:val="页眉12"/>
    <w:basedOn w:val="682"/>
    <w:next w:val="778"/>
    <w:link w:val="779"/>
    <w:uiPriority w:val="99"/>
    <w:unhideWhenUsed/>
    <w:qFormat/>
    <w:pPr>
      <w:tabs>
        <w:tab w:val="center" w:pos="7143" w:leader="none"/>
        <w:tab w:val="right" w:pos="14287" w:leader="none"/>
      </w:tabs>
    </w:pPr>
  </w:style>
  <w:style w:type="character" w:styleId="779">
    <w:name w:val="页眉 字符1"/>
    <w:next w:val="779"/>
    <w:link w:val="778"/>
    <w:uiPriority w:val="99"/>
    <w:qFormat/>
  </w:style>
  <w:style w:type="paragraph" w:styleId="780">
    <w:name w:val="目录 111"/>
    <w:basedOn w:val="682"/>
    <w:next w:val="682"/>
    <w:link w:val="682"/>
    <w:uiPriority w:val="39"/>
    <w:unhideWhenUsed/>
    <w:qFormat/>
    <w:pPr>
      <w:spacing w:after="57"/>
    </w:pPr>
  </w:style>
  <w:style w:type="paragraph" w:styleId="781">
    <w:name w:val="目录 411"/>
    <w:basedOn w:val="682"/>
    <w:next w:val="682"/>
    <w:link w:val="682"/>
    <w:uiPriority w:val="39"/>
    <w:unhideWhenUsed/>
    <w:qFormat/>
    <w:pPr>
      <w:ind w:left="850"/>
      <w:spacing w:after="57"/>
    </w:pPr>
  </w:style>
  <w:style w:type="paragraph" w:styleId="782">
    <w:name w:val="副标题11"/>
    <w:basedOn w:val="682"/>
    <w:next w:val="682"/>
    <w:link w:val="783"/>
    <w:uiPriority w:val="11"/>
    <w:qFormat/>
    <w:pPr>
      <w:spacing w:before="200" w:after="200"/>
    </w:pPr>
    <w:rPr>
      <w:sz w:val="24"/>
    </w:rPr>
  </w:style>
  <w:style w:type="character" w:styleId="783">
    <w:name w:val="副标题 字符1"/>
    <w:next w:val="783"/>
    <w:link w:val="782"/>
    <w:uiPriority w:val="11"/>
    <w:qFormat/>
    <w:rPr>
      <w:sz w:val="24"/>
      <w:szCs w:val="24"/>
    </w:rPr>
  </w:style>
  <w:style w:type="paragraph" w:styleId="784">
    <w:name w:val="脚注文本12"/>
    <w:basedOn w:val="682"/>
    <w:next w:val="784"/>
    <w:link w:val="785"/>
    <w:uiPriority w:val="99"/>
    <w:unhideWhenUsed/>
    <w:qFormat/>
    <w:pPr>
      <w:spacing w:after="40"/>
    </w:pPr>
    <w:rPr>
      <w:sz w:val="18"/>
    </w:rPr>
  </w:style>
  <w:style w:type="character" w:styleId="785">
    <w:name w:val="脚注文本 字符1"/>
    <w:next w:val="785"/>
    <w:link w:val="784"/>
    <w:uiPriority w:val="99"/>
    <w:qFormat/>
    <w:rPr>
      <w:sz w:val="18"/>
    </w:rPr>
  </w:style>
  <w:style w:type="paragraph" w:styleId="786">
    <w:name w:val="目录 611"/>
    <w:basedOn w:val="682"/>
    <w:next w:val="682"/>
    <w:link w:val="682"/>
    <w:uiPriority w:val="39"/>
    <w:unhideWhenUsed/>
    <w:qFormat/>
    <w:pPr>
      <w:ind w:left="1417"/>
      <w:spacing w:after="57"/>
    </w:pPr>
  </w:style>
  <w:style w:type="paragraph" w:styleId="787">
    <w:name w:val="图表目录11"/>
    <w:basedOn w:val="682"/>
    <w:next w:val="682"/>
    <w:link w:val="682"/>
    <w:uiPriority w:val="99"/>
    <w:unhideWhenUsed/>
    <w:qFormat/>
  </w:style>
  <w:style w:type="paragraph" w:styleId="788">
    <w:name w:val="目录 211"/>
    <w:basedOn w:val="682"/>
    <w:next w:val="682"/>
    <w:link w:val="682"/>
    <w:uiPriority w:val="39"/>
    <w:unhideWhenUsed/>
    <w:qFormat/>
    <w:pPr>
      <w:ind w:left="283"/>
      <w:spacing w:after="57"/>
    </w:pPr>
  </w:style>
  <w:style w:type="paragraph" w:styleId="789">
    <w:name w:val="目录 911"/>
    <w:basedOn w:val="682"/>
    <w:next w:val="682"/>
    <w:link w:val="682"/>
    <w:uiPriority w:val="39"/>
    <w:unhideWhenUsed/>
    <w:qFormat/>
    <w:pPr>
      <w:ind w:left="2268"/>
      <w:spacing w:after="57"/>
    </w:pPr>
  </w:style>
  <w:style w:type="paragraph" w:styleId="790">
    <w:name w:val="标题11"/>
    <w:basedOn w:val="682"/>
    <w:next w:val="682"/>
    <w:link w:val="791"/>
    <w:uiPriority w:val="10"/>
    <w:qFormat/>
    <w:pPr>
      <w:contextualSpacing/>
      <w:spacing w:before="300" w:after="200"/>
    </w:pPr>
    <w:rPr>
      <w:sz w:val="48"/>
      <w:szCs w:val="48"/>
    </w:rPr>
  </w:style>
  <w:style w:type="character" w:styleId="791">
    <w:name w:val="标题 字符1"/>
    <w:next w:val="791"/>
    <w:link w:val="790"/>
    <w:uiPriority w:val="10"/>
    <w:qFormat/>
    <w:rPr>
      <w:sz w:val="48"/>
      <w:szCs w:val="48"/>
    </w:rPr>
  </w:style>
  <w:style w:type="paragraph" w:styleId="792">
    <w:name w:val="批注主题12"/>
    <w:basedOn w:val="765"/>
    <w:next w:val="765"/>
    <w:link w:val="793"/>
    <w:uiPriority w:val="99"/>
    <w:unhideWhenUsed/>
    <w:qFormat/>
    <w:rPr>
      <w:b/>
      <w:bCs/>
    </w:rPr>
  </w:style>
  <w:style w:type="character" w:styleId="793">
    <w:name w:val="批注主题 字符2"/>
    <w:next w:val="793"/>
    <w:link w:val="792"/>
    <w:uiPriority w:val="99"/>
    <w:semiHidden/>
    <w:qFormat/>
    <w:rPr>
      <w:rFonts w:ascii="Calibri" w:hAnsi="Calibri"/>
      <w:b/>
      <w:bCs/>
      <w:sz w:val="21"/>
      <w:szCs w:val="24"/>
    </w:rPr>
  </w:style>
  <w:style w:type="table" w:styleId="794">
    <w:name w:val="网格型12"/>
    <w:next w:val="794"/>
    <w:link w:val="682"/>
    <w:uiPriority w:val="59"/>
    <w:qFormat/>
    <w:rPr>
      <w:lang w:val="en-US" w:eastAsia="zh-CN" w:bidi="ar-SA"/>
    </w:rPr>
    <w:tblPr/>
  </w:style>
  <w:style w:type="character" w:styleId="795">
    <w:name w:val="要点12"/>
    <w:next w:val="795"/>
    <w:link w:val="682"/>
    <w:uiPriority w:val="22"/>
    <w:qFormat/>
    <w:rPr>
      <w:b/>
      <w:bCs/>
    </w:rPr>
  </w:style>
  <w:style w:type="character" w:styleId="796">
    <w:name w:val="尾注引用11"/>
    <w:next w:val="796"/>
    <w:link w:val="682"/>
    <w:uiPriority w:val="99"/>
    <w:unhideWhenUsed/>
    <w:qFormat/>
    <w:rPr>
      <w:vertAlign w:val="superscript"/>
    </w:rPr>
  </w:style>
  <w:style w:type="character" w:styleId="797">
    <w:name w:val="超链接12"/>
    <w:next w:val="797"/>
    <w:link w:val="682"/>
    <w:uiPriority w:val="99"/>
    <w:unhideWhenUsed/>
    <w:qFormat/>
    <w:rPr>
      <w:color w:val="0000ff"/>
      <w:u w:val="single"/>
    </w:rPr>
  </w:style>
  <w:style w:type="character" w:styleId="798">
    <w:name w:val="批注引用12"/>
    <w:next w:val="798"/>
    <w:link w:val="682"/>
    <w:uiPriority w:val="99"/>
    <w:unhideWhenUsed/>
    <w:qFormat/>
    <w:rPr>
      <w:sz w:val="21"/>
      <w:szCs w:val="21"/>
    </w:rPr>
  </w:style>
  <w:style w:type="character" w:styleId="799">
    <w:name w:val="脚注引用12"/>
    <w:next w:val="799"/>
    <w:link w:val="682"/>
    <w:uiPriority w:val="99"/>
    <w:unhideWhenUsed/>
    <w:qFormat/>
    <w:rPr>
      <w:vertAlign w:val="superscript"/>
    </w:rPr>
  </w:style>
  <w:style w:type="paragraph" w:styleId="800">
    <w:name w:val="标题 21"/>
    <w:basedOn w:val="682"/>
    <w:next w:val="682"/>
    <w:link w:val="682"/>
    <w:qFormat/>
    <w:pPr>
      <w:jc w:val="left"/>
      <w:keepLines/>
      <w:keepNext/>
      <w:outlineLvl w:val="1"/>
    </w:pPr>
    <w:rPr>
      <w:rFonts w:ascii="宋体" w:hAnsi="宋体"/>
      <w:b/>
    </w:rPr>
  </w:style>
  <w:style w:type="character" w:styleId="801">
    <w:name w:val="font112"/>
    <w:next w:val="801"/>
    <w:link w:val="682"/>
    <w:qFormat/>
    <w:rPr>
      <w:rFonts w:hint="eastAsia" w:ascii="宋体" w:hAnsi="宋体" w:eastAsia="宋体" w:cs="宋体"/>
      <w:color w:val="000000"/>
      <w:sz w:val="20"/>
      <w:szCs w:val="20"/>
      <w:u w:val="none"/>
    </w:rPr>
  </w:style>
  <w:style w:type="paragraph" w:styleId="802">
    <w:name w:val="标题 41"/>
    <w:basedOn w:val="682"/>
    <w:next w:val="682"/>
    <w:link w:val="803"/>
    <w:uiPriority w:val="9"/>
    <w:qFormat/>
    <w:pPr>
      <w:keepLines/>
      <w:keepNext/>
      <w:spacing w:before="320" w:after="200"/>
      <w:outlineLvl w:val="3"/>
    </w:pPr>
    <w:rPr>
      <w:rFonts w:ascii="Arial" w:hAnsi="Arial" w:eastAsia="Arial" w:cs="Arial"/>
      <w:b/>
      <w:bCs/>
      <w:sz w:val="26"/>
      <w:szCs w:val="26"/>
    </w:rPr>
  </w:style>
  <w:style w:type="character" w:styleId="803">
    <w:name w:val="标题 4 字符"/>
    <w:next w:val="803"/>
    <w:link w:val="802"/>
    <w:uiPriority w:val="9"/>
    <w:qFormat/>
    <w:rPr>
      <w:rFonts w:ascii="Arial" w:hAnsi="Arial" w:eastAsia="Arial" w:cs="Arial"/>
      <w:b/>
      <w:bCs/>
      <w:sz w:val="26"/>
      <w:szCs w:val="26"/>
    </w:rPr>
  </w:style>
  <w:style w:type="paragraph" w:styleId="804">
    <w:name w:val="列出段落1"/>
    <w:basedOn w:val="682"/>
    <w:next w:val="804"/>
    <w:link w:val="682"/>
    <w:uiPriority w:val="34"/>
    <w:qFormat/>
    <w:pPr>
      <w:contextualSpacing/>
      <w:ind w:left="720"/>
    </w:pPr>
  </w:style>
  <w:style w:type="paragraph" w:styleId="805">
    <w:name w:val="无间隔1"/>
    <w:next w:val="805"/>
    <w:link w:val="682"/>
    <w:uiPriority w:val="1"/>
    <w:qFormat/>
    <w:rPr>
      <w:lang w:val="en-US" w:eastAsia="zh-CN" w:bidi="ar-SA"/>
    </w:rPr>
  </w:style>
  <w:style w:type="paragraph" w:styleId="806">
    <w:name w:val="引用1"/>
    <w:basedOn w:val="682"/>
    <w:next w:val="682"/>
    <w:link w:val="807"/>
    <w:uiPriority w:val="29"/>
    <w:qFormat/>
    <w:pPr>
      <w:ind w:left="720" w:right="720"/>
    </w:pPr>
    <w:rPr>
      <w:i/>
    </w:rPr>
  </w:style>
  <w:style w:type="character" w:styleId="807">
    <w:name w:val="引用 字符1"/>
    <w:next w:val="807"/>
    <w:link w:val="806"/>
    <w:uiPriority w:val="29"/>
    <w:qFormat/>
    <w:rPr>
      <w:i/>
    </w:rPr>
  </w:style>
  <w:style w:type="paragraph" w:styleId="808">
    <w:name w:val="明显引用1"/>
    <w:basedOn w:val="682"/>
    <w:next w:val="682"/>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明显引用 字符1"/>
    <w:next w:val="809"/>
    <w:link w:val="808"/>
    <w:uiPriority w:val="30"/>
    <w:qFormat/>
    <w:rPr>
      <w:i/>
    </w:rPr>
  </w:style>
  <w:style w:type="table" w:styleId="810">
    <w:name w:val="无格式表格 11"/>
    <w:next w:val="810"/>
    <w:link w:val="682"/>
    <w:uiPriority w:val="59"/>
    <w:qFormat/>
    <w:rPr>
      <w:lang w:val="en-US" w:eastAsia="zh-CN" w:bidi="ar-SA"/>
    </w:rPr>
    <w:tblPr/>
  </w:style>
  <w:style w:type="table" w:styleId="811">
    <w:name w:val="无格式表格 21"/>
    <w:next w:val="811"/>
    <w:link w:val="682"/>
    <w:uiPriority w:val="59"/>
    <w:qFormat/>
    <w:rPr>
      <w:lang w:val="en-US" w:eastAsia="zh-CN" w:bidi="ar-SA"/>
    </w:rPr>
    <w:tblPr/>
  </w:style>
  <w:style w:type="table" w:styleId="812">
    <w:name w:val="无格式表格 31"/>
    <w:next w:val="812"/>
    <w:link w:val="682"/>
    <w:uiPriority w:val="99"/>
    <w:qFormat/>
    <w:rPr>
      <w:lang w:val="en-US" w:eastAsia="zh-CN" w:bidi="ar-SA"/>
    </w:rPr>
    <w:tblPr/>
  </w:style>
  <w:style w:type="table" w:styleId="813">
    <w:name w:val="无格式表格 41"/>
    <w:next w:val="813"/>
    <w:link w:val="682"/>
    <w:uiPriority w:val="99"/>
    <w:qFormat/>
    <w:rPr>
      <w:lang w:val="en-US" w:eastAsia="zh-CN" w:bidi="ar-SA"/>
    </w:rPr>
    <w:tblPr/>
  </w:style>
  <w:style w:type="table" w:styleId="814">
    <w:name w:val="无格式表格 51"/>
    <w:next w:val="814"/>
    <w:link w:val="682"/>
    <w:uiPriority w:val="99"/>
    <w:qFormat/>
    <w:rPr>
      <w:lang w:val="en-US" w:eastAsia="zh-CN" w:bidi="ar-SA"/>
    </w:rPr>
    <w:tblPr/>
  </w:style>
  <w:style w:type="table" w:styleId="815">
    <w:name w:val="网格表 1 浅色1"/>
    <w:next w:val="815"/>
    <w:link w:val="682"/>
    <w:uiPriority w:val="99"/>
    <w:qFormat/>
    <w:rPr>
      <w:lang w:val="en-US" w:eastAsia="zh-CN" w:bidi="ar-SA"/>
    </w:rPr>
    <w:tblPr/>
  </w:style>
  <w:style w:type="table" w:styleId="816">
    <w:name w:val="网格表 21"/>
    <w:next w:val="816"/>
    <w:link w:val="682"/>
    <w:uiPriority w:val="99"/>
    <w:qFormat/>
    <w:rPr>
      <w:lang w:val="en-US" w:eastAsia="zh-CN" w:bidi="ar-SA"/>
    </w:rPr>
    <w:tblPr/>
  </w:style>
  <w:style w:type="table" w:styleId="817">
    <w:name w:val="网格表 31"/>
    <w:next w:val="817"/>
    <w:link w:val="682"/>
    <w:uiPriority w:val="99"/>
    <w:qFormat/>
    <w:rPr>
      <w:lang w:val="en-US" w:eastAsia="zh-CN" w:bidi="ar-SA"/>
    </w:rPr>
    <w:tblPr/>
  </w:style>
  <w:style w:type="table" w:styleId="818">
    <w:name w:val="网格表 41"/>
    <w:next w:val="818"/>
    <w:link w:val="682"/>
    <w:uiPriority w:val="59"/>
    <w:qFormat/>
    <w:rPr>
      <w:lang w:val="en-US" w:eastAsia="zh-CN" w:bidi="ar-SA"/>
    </w:rPr>
    <w:tblPr/>
  </w:style>
  <w:style w:type="table" w:styleId="819">
    <w:name w:val="网格表 5 深色1"/>
    <w:next w:val="819"/>
    <w:link w:val="682"/>
    <w:uiPriority w:val="99"/>
    <w:qFormat/>
    <w:rPr>
      <w:lang w:val="en-US" w:eastAsia="zh-CN" w:bidi="ar-SA"/>
    </w:rPr>
    <w:tblPr/>
  </w:style>
  <w:style w:type="table" w:styleId="820">
    <w:name w:val="网格表 6 彩色1"/>
    <w:next w:val="820"/>
    <w:link w:val="682"/>
    <w:uiPriority w:val="99"/>
    <w:qFormat/>
    <w:rPr>
      <w:lang w:val="en-US" w:eastAsia="zh-CN" w:bidi="ar-SA"/>
    </w:rPr>
    <w:tblPr/>
  </w:style>
  <w:style w:type="table" w:styleId="821">
    <w:name w:val="网格表 7 彩色1"/>
    <w:next w:val="821"/>
    <w:link w:val="682"/>
    <w:uiPriority w:val="99"/>
    <w:qFormat/>
    <w:rPr>
      <w:lang w:val="en-US" w:eastAsia="zh-CN" w:bidi="ar-SA"/>
    </w:rPr>
    <w:tblPr/>
  </w:style>
  <w:style w:type="table" w:styleId="822">
    <w:name w:val="清单表 1 浅色1"/>
    <w:next w:val="822"/>
    <w:link w:val="682"/>
    <w:uiPriority w:val="99"/>
    <w:qFormat/>
    <w:rPr>
      <w:lang w:val="en-US" w:eastAsia="zh-CN" w:bidi="ar-SA"/>
    </w:rPr>
    <w:tblPr/>
  </w:style>
  <w:style w:type="table" w:styleId="823">
    <w:name w:val="清单表 21"/>
    <w:next w:val="823"/>
    <w:link w:val="682"/>
    <w:uiPriority w:val="99"/>
    <w:qFormat/>
    <w:rPr>
      <w:lang w:val="en-US" w:eastAsia="zh-CN" w:bidi="ar-SA"/>
    </w:rPr>
    <w:tblPr/>
  </w:style>
  <w:style w:type="table" w:styleId="824">
    <w:name w:val="清单表 31"/>
    <w:next w:val="824"/>
    <w:link w:val="682"/>
    <w:uiPriority w:val="99"/>
    <w:qFormat/>
    <w:rPr>
      <w:lang w:val="en-US" w:eastAsia="zh-CN" w:bidi="ar-SA"/>
    </w:rPr>
    <w:tblPr/>
  </w:style>
  <w:style w:type="table" w:styleId="825">
    <w:name w:val="清单表 41"/>
    <w:next w:val="825"/>
    <w:link w:val="682"/>
    <w:uiPriority w:val="99"/>
    <w:qFormat/>
    <w:rPr>
      <w:lang w:val="en-US" w:eastAsia="zh-CN" w:bidi="ar-SA"/>
    </w:rPr>
    <w:tblPr/>
  </w:style>
  <w:style w:type="table" w:styleId="826">
    <w:name w:val="清单表 5 深色1"/>
    <w:next w:val="826"/>
    <w:link w:val="682"/>
    <w:uiPriority w:val="99"/>
    <w:qFormat/>
    <w:rPr>
      <w:lang w:val="en-US" w:eastAsia="zh-CN" w:bidi="ar-SA"/>
    </w:rPr>
    <w:tblPr/>
  </w:style>
  <w:style w:type="table" w:styleId="827">
    <w:name w:val="清单表 6 彩色1"/>
    <w:next w:val="827"/>
    <w:link w:val="682"/>
    <w:uiPriority w:val="99"/>
    <w:qFormat/>
    <w:rPr>
      <w:lang w:val="en-US" w:eastAsia="zh-CN" w:bidi="ar-SA"/>
    </w:rPr>
    <w:tblPr/>
  </w:style>
  <w:style w:type="table" w:styleId="828">
    <w:name w:val="清单表 7 彩色1"/>
    <w:next w:val="828"/>
    <w:link w:val="682"/>
    <w:uiPriority w:val="99"/>
    <w:qFormat/>
    <w:rPr>
      <w:lang w:val="en-US" w:eastAsia="zh-CN" w:bidi="ar-SA"/>
    </w:rPr>
    <w:tblPr/>
  </w:style>
  <w:style w:type="paragraph" w:styleId="829">
    <w:name w:val="TOC 标题1"/>
    <w:next w:val="829"/>
    <w:link w:val="682"/>
    <w:uiPriority w:val="39"/>
    <w:unhideWhenUsed/>
    <w:qFormat/>
    <w:rPr>
      <w:lang w:val="en-US" w:eastAsia="zh-CN" w:bidi="ar-SA"/>
    </w:rPr>
  </w:style>
  <w:style w:type="paragraph" w:styleId="830">
    <w:name w:val="标题 111"/>
    <w:basedOn w:val="682"/>
    <w:next w:val="682"/>
    <w:link w:val="831"/>
    <w:uiPriority w:val="9"/>
    <w:qFormat/>
    <w:pPr>
      <w:keepLines/>
      <w:keepNext/>
      <w:spacing w:before="480" w:after="200"/>
      <w:outlineLvl w:val="0"/>
    </w:pPr>
    <w:rPr>
      <w:rFonts w:ascii="Arial" w:hAnsi="Arial" w:eastAsia="Arial" w:cs="Arial"/>
      <w:sz w:val="40"/>
      <w:szCs w:val="40"/>
    </w:rPr>
  </w:style>
  <w:style w:type="character" w:styleId="831">
    <w:name w:val="标题 1 字符"/>
    <w:next w:val="831"/>
    <w:link w:val="830"/>
    <w:uiPriority w:val="9"/>
    <w:qFormat/>
    <w:rPr>
      <w:rFonts w:ascii="Arial" w:hAnsi="Arial" w:eastAsia="Arial" w:cs="Arial"/>
      <w:sz w:val="40"/>
      <w:szCs w:val="40"/>
    </w:rPr>
  </w:style>
  <w:style w:type="paragraph" w:styleId="832">
    <w:name w:val="标题 211"/>
    <w:basedOn w:val="682"/>
    <w:next w:val="682"/>
    <w:link w:val="833"/>
    <w:uiPriority w:val="9"/>
    <w:qFormat/>
    <w:pPr>
      <w:keepLines/>
      <w:keepNext/>
      <w:spacing w:before="360" w:after="200"/>
      <w:outlineLvl w:val="1"/>
    </w:pPr>
    <w:rPr>
      <w:rFonts w:ascii="Arial" w:hAnsi="Arial" w:eastAsia="Arial" w:cs="Arial"/>
      <w:sz w:val="34"/>
    </w:rPr>
  </w:style>
  <w:style w:type="character" w:styleId="833">
    <w:name w:val="标题 2 字符"/>
    <w:next w:val="833"/>
    <w:link w:val="832"/>
    <w:uiPriority w:val="9"/>
    <w:qFormat/>
    <w:rPr>
      <w:rFonts w:ascii="Arial" w:hAnsi="Arial" w:eastAsia="Arial" w:cs="Arial"/>
      <w:sz w:val="34"/>
    </w:rPr>
  </w:style>
  <w:style w:type="paragraph" w:styleId="834">
    <w:name w:val="标题 311"/>
    <w:basedOn w:val="682"/>
    <w:next w:val="682"/>
    <w:link w:val="835"/>
    <w:uiPriority w:val="9"/>
    <w:qFormat/>
    <w:pPr>
      <w:keepLines/>
      <w:keepNext/>
      <w:spacing w:before="320" w:after="200"/>
      <w:outlineLvl w:val="2"/>
    </w:pPr>
    <w:rPr>
      <w:rFonts w:ascii="Arial" w:hAnsi="Arial" w:eastAsia="Arial" w:cs="Arial"/>
      <w:sz w:val="30"/>
      <w:szCs w:val="30"/>
    </w:rPr>
  </w:style>
  <w:style w:type="character" w:styleId="835">
    <w:name w:val="标题 3 字符"/>
    <w:next w:val="835"/>
    <w:link w:val="834"/>
    <w:uiPriority w:val="9"/>
    <w:qFormat/>
    <w:rPr>
      <w:rFonts w:ascii="Arial" w:hAnsi="Arial" w:eastAsia="Arial" w:cs="Arial"/>
      <w:sz w:val="30"/>
      <w:szCs w:val="30"/>
    </w:rPr>
  </w:style>
  <w:style w:type="paragraph" w:styleId="836">
    <w:name w:val="标题 51"/>
    <w:basedOn w:val="682"/>
    <w:next w:val="682"/>
    <w:link w:val="837"/>
    <w:uiPriority w:val="9"/>
    <w:qFormat/>
    <w:pPr>
      <w:keepLines/>
      <w:keepNext/>
      <w:spacing w:before="320" w:after="200"/>
      <w:outlineLvl w:val="4"/>
    </w:pPr>
    <w:rPr>
      <w:rFonts w:ascii="Arial" w:hAnsi="Arial" w:eastAsia="Arial" w:cs="Arial"/>
      <w:b/>
      <w:bCs/>
      <w:sz w:val="24"/>
    </w:rPr>
  </w:style>
  <w:style w:type="character" w:styleId="837">
    <w:name w:val="标题 5 字符"/>
    <w:next w:val="837"/>
    <w:link w:val="836"/>
    <w:uiPriority w:val="9"/>
    <w:qFormat/>
    <w:rPr>
      <w:rFonts w:ascii="Arial" w:hAnsi="Arial" w:eastAsia="Arial" w:cs="Arial"/>
      <w:b/>
      <w:bCs/>
      <w:sz w:val="24"/>
      <w:szCs w:val="24"/>
    </w:rPr>
  </w:style>
  <w:style w:type="paragraph" w:styleId="838">
    <w:name w:val="标题 61"/>
    <w:basedOn w:val="682"/>
    <w:next w:val="682"/>
    <w:link w:val="839"/>
    <w:uiPriority w:val="9"/>
    <w:qFormat/>
    <w:pPr>
      <w:keepLines/>
      <w:keepNext/>
      <w:spacing w:before="320" w:after="200"/>
      <w:outlineLvl w:val="5"/>
    </w:pPr>
    <w:rPr>
      <w:rFonts w:ascii="Arial" w:hAnsi="Arial" w:eastAsia="Arial" w:cs="Arial"/>
      <w:b/>
      <w:bCs/>
      <w:sz w:val="22"/>
      <w:szCs w:val="22"/>
    </w:rPr>
  </w:style>
  <w:style w:type="character" w:styleId="839">
    <w:name w:val="标题 6 字符"/>
    <w:next w:val="839"/>
    <w:link w:val="838"/>
    <w:uiPriority w:val="9"/>
    <w:qFormat/>
    <w:rPr>
      <w:rFonts w:ascii="Arial" w:hAnsi="Arial" w:eastAsia="Arial" w:cs="Arial"/>
      <w:b/>
      <w:bCs/>
      <w:sz w:val="22"/>
      <w:szCs w:val="22"/>
    </w:rPr>
  </w:style>
  <w:style w:type="paragraph" w:styleId="840">
    <w:name w:val="标题 71"/>
    <w:basedOn w:val="682"/>
    <w:next w:val="682"/>
    <w:link w:val="841"/>
    <w:uiPriority w:val="9"/>
    <w:qFormat/>
    <w:pPr>
      <w:keepLines/>
      <w:keepNext/>
      <w:spacing w:before="320" w:after="200"/>
      <w:outlineLvl w:val="6"/>
    </w:pPr>
    <w:rPr>
      <w:rFonts w:ascii="Arial" w:hAnsi="Arial" w:eastAsia="Arial" w:cs="Arial"/>
      <w:b/>
      <w:bCs/>
      <w:i/>
      <w:iCs/>
      <w:sz w:val="22"/>
      <w:szCs w:val="22"/>
    </w:rPr>
  </w:style>
  <w:style w:type="character" w:styleId="841">
    <w:name w:val="标题 7 字符"/>
    <w:next w:val="841"/>
    <w:link w:val="840"/>
    <w:uiPriority w:val="9"/>
    <w:qFormat/>
    <w:rPr>
      <w:rFonts w:ascii="Arial" w:hAnsi="Arial" w:eastAsia="Arial" w:cs="Arial"/>
      <w:b/>
      <w:bCs/>
      <w:i/>
      <w:iCs/>
      <w:sz w:val="22"/>
      <w:szCs w:val="22"/>
    </w:rPr>
  </w:style>
  <w:style w:type="paragraph" w:styleId="842">
    <w:name w:val="标题 81"/>
    <w:basedOn w:val="682"/>
    <w:next w:val="682"/>
    <w:link w:val="843"/>
    <w:uiPriority w:val="9"/>
    <w:qFormat/>
    <w:pPr>
      <w:keepLines/>
      <w:keepNext/>
      <w:spacing w:before="320" w:after="200"/>
      <w:outlineLvl w:val="7"/>
    </w:pPr>
    <w:rPr>
      <w:rFonts w:ascii="Arial" w:hAnsi="Arial" w:eastAsia="Arial" w:cs="Arial"/>
      <w:i/>
      <w:iCs/>
      <w:sz w:val="22"/>
      <w:szCs w:val="22"/>
    </w:rPr>
  </w:style>
  <w:style w:type="character" w:styleId="843">
    <w:name w:val="标题 8 字符"/>
    <w:next w:val="843"/>
    <w:link w:val="842"/>
    <w:uiPriority w:val="9"/>
    <w:qFormat/>
    <w:rPr>
      <w:rFonts w:ascii="Arial" w:hAnsi="Arial" w:eastAsia="Arial" w:cs="Arial"/>
      <w:i/>
      <w:iCs/>
      <w:sz w:val="22"/>
      <w:szCs w:val="22"/>
    </w:rPr>
  </w:style>
  <w:style w:type="paragraph" w:styleId="844">
    <w:name w:val="标题 91"/>
    <w:basedOn w:val="682"/>
    <w:next w:val="682"/>
    <w:link w:val="845"/>
    <w:uiPriority w:val="9"/>
    <w:qFormat/>
    <w:pPr>
      <w:keepLines/>
      <w:keepNext/>
      <w:spacing w:before="320" w:after="200"/>
      <w:outlineLvl w:val="8"/>
    </w:pPr>
    <w:rPr>
      <w:rFonts w:ascii="Arial" w:hAnsi="Arial" w:eastAsia="Arial" w:cs="Arial"/>
      <w:i/>
      <w:iCs/>
      <w:szCs w:val="21"/>
    </w:rPr>
  </w:style>
  <w:style w:type="character" w:styleId="845">
    <w:name w:val="标题 9 字符"/>
    <w:next w:val="845"/>
    <w:link w:val="844"/>
    <w:uiPriority w:val="9"/>
    <w:qFormat/>
    <w:rPr>
      <w:rFonts w:ascii="Arial" w:hAnsi="Arial" w:eastAsia="Arial" w:cs="Arial"/>
      <w:i/>
      <w:iCs/>
      <w:sz w:val="21"/>
      <w:szCs w:val="21"/>
    </w:rPr>
  </w:style>
  <w:style w:type="character" w:styleId="846">
    <w:name w:val="默认段落字体11"/>
    <w:next w:val="846"/>
    <w:link w:val="682"/>
    <w:uiPriority w:val="1"/>
    <w:unhideWhenUsed/>
    <w:qFormat/>
  </w:style>
  <w:style w:type="table" w:styleId="847">
    <w:name w:val="普通表格11"/>
    <w:next w:val="847"/>
    <w:link w:val="682"/>
    <w:uiPriority w:val="99"/>
    <w:unhideWhenUsed/>
    <w:qFormat/>
    <w:rPr>
      <w:lang w:val="en-US" w:eastAsia="zh-CN" w:bidi="ar-SA"/>
    </w:rPr>
    <w:tblPr/>
  </w:style>
  <w:style w:type="paragraph" w:styleId="848">
    <w:name w:val="目录 71"/>
    <w:basedOn w:val="682"/>
    <w:next w:val="682"/>
    <w:link w:val="682"/>
    <w:uiPriority w:val="39"/>
    <w:unhideWhenUsed/>
    <w:qFormat/>
    <w:pPr>
      <w:ind w:left="1701"/>
      <w:spacing w:after="57"/>
    </w:pPr>
  </w:style>
  <w:style w:type="paragraph" w:styleId="849">
    <w:name w:val="题注1"/>
    <w:basedOn w:val="682"/>
    <w:next w:val="682"/>
    <w:link w:val="682"/>
    <w:uiPriority w:val="35"/>
    <w:qFormat/>
    <w:pPr>
      <w:spacing w:line="276" w:lineRule="auto"/>
    </w:pPr>
    <w:rPr>
      <w:b/>
      <w:bCs/>
      <w:color w:val="4f81bd"/>
      <w:sz w:val="18"/>
      <w:szCs w:val="18"/>
    </w:rPr>
  </w:style>
  <w:style w:type="paragraph" w:styleId="850">
    <w:name w:val="批注文字11"/>
    <w:basedOn w:val="682"/>
    <w:next w:val="850"/>
    <w:link w:val="851"/>
    <w:uiPriority w:val="99"/>
    <w:unhideWhenUsed/>
    <w:qFormat/>
    <w:pPr>
      <w:jc w:val="left"/>
    </w:pPr>
  </w:style>
  <w:style w:type="character" w:styleId="851">
    <w:name w:val="批注文字 字符1"/>
    <w:next w:val="851"/>
    <w:link w:val="850"/>
    <w:uiPriority w:val="99"/>
    <w:qFormat/>
    <w:rPr>
      <w:rFonts w:ascii="Calibri" w:hAnsi="Calibri"/>
      <w:sz w:val="21"/>
      <w:szCs w:val="24"/>
    </w:rPr>
  </w:style>
  <w:style w:type="paragraph" w:styleId="852">
    <w:name w:val="正文文本111"/>
    <w:basedOn w:val="682"/>
    <w:next w:val="682"/>
    <w:link w:val="682"/>
    <w:uiPriority w:val="99"/>
    <w:unhideWhenUsed/>
    <w:qFormat/>
    <w:pPr>
      <w:spacing w:after="120"/>
    </w:pPr>
    <w:rPr>
      <w:sz w:val="20"/>
    </w:rPr>
  </w:style>
  <w:style w:type="paragraph" w:styleId="853">
    <w:name w:val="正文文本缩进11"/>
    <w:basedOn w:val="682"/>
    <w:next w:val="682"/>
    <w:link w:val="682"/>
    <w:qFormat/>
    <w:pPr>
      <w:ind w:firstLine="425"/>
      <w:spacing w:line="360" w:lineRule="auto"/>
    </w:pPr>
    <w:rPr>
      <w:sz w:val="24"/>
    </w:rPr>
  </w:style>
  <w:style w:type="paragraph" w:styleId="854">
    <w:name w:val="目录 51"/>
    <w:basedOn w:val="682"/>
    <w:next w:val="682"/>
    <w:link w:val="682"/>
    <w:uiPriority w:val="39"/>
    <w:unhideWhenUsed/>
    <w:qFormat/>
    <w:pPr>
      <w:ind w:left="1134"/>
      <w:spacing w:after="57"/>
    </w:pPr>
  </w:style>
  <w:style w:type="paragraph" w:styleId="855">
    <w:name w:val="目录 31"/>
    <w:basedOn w:val="682"/>
    <w:next w:val="682"/>
    <w:link w:val="682"/>
    <w:uiPriority w:val="39"/>
    <w:unhideWhenUsed/>
    <w:qFormat/>
    <w:pPr>
      <w:ind w:left="567"/>
      <w:spacing w:after="57"/>
    </w:pPr>
  </w:style>
  <w:style w:type="paragraph" w:styleId="856">
    <w:name w:val="纯文本112"/>
    <w:basedOn w:val="682"/>
    <w:next w:val="856"/>
    <w:link w:val="682"/>
    <w:qFormat/>
    <w:rPr>
      <w:rFonts w:ascii="宋体" w:hAnsi="Courier New"/>
    </w:rPr>
  </w:style>
  <w:style w:type="paragraph" w:styleId="857">
    <w:name w:val="目录 81"/>
    <w:basedOn w:val="682"/>
    <w:next w:val="682"/>
    <w:link w:val="682"/>
    <w:uiPriority w:val="39"/>
    <w:unhideWhenUsed/>
    <w:qFormat/>
    <w:pPr>
      <w:ind w:left="1984"/>
      <w:spacing w:after="57"/>
    </w:pPr>
  </w:style>
  <w:style w:type="paragraph" w:styleId="858">
    <w:name w:val="日期11"/>
    <w:basedOn w:val="682"/>
    <w:next w:val="682"/>
    <w:link w:val="682"/>
    <w:qFormat/>
    <w:rPr>
      <w:b/>
      <w:bCs/>
      <w:spacing w:val="20"/>
      <w:sz w:val="20"/>
    </w:rPr>
  </w:style>
  <w:style w:type="paragraph" w:styleId="859">
    <w:name w:val="尾注文本1"/>
    <w:basedOn w:val="682"/>
    <w:next w:val="859"/>
    <w:link w:val="860"/>
    <w:uiPriority w:val="99"/>
    <w:unhideWhenUsed/>
    <w:qFormat/>
    <w:rPr>
      <w:sz w:val="20"/>
    </w:rPr>
  </w:style>
  <w:style w:type="character" w:styleId="860">
    <w:name w:val="尾注文本 字符"/>
    <w:next w:val="860"/>
    <w:link w:val="859"/>
    <w:uiPriority w:val="99"/>
    <w:qFormat/>
    <w:rPr>
      <w:sz w:val="20"/>
    </w:rPr>
  </w:style>
  <w:style w:type="paragraph" w:styleId="861">
    <w:name w:val="批注框文本11"/>
    <w:basedOn w:val="682"/>
    <w:next w:val="861"/>
    <w:link w:val="862"/>
    <w:uiPriority w:val="99"/>
    <w:unhideWhenUsed/>
    <w:qFormat/>
    <w:rPr>
      <w:sz w:val="18"/>
      <w:szCs w:val="18"/>
    </w:rPr>
  </w:style>
  <w:style w:type="character" w:styleId="862">
    <w:name w:val="批注框文本 字符"/>
    <w:next w:val="862"/>
    <w:link w:val="861"/>
    <w:uiPriority w:val="99"/>
    <w:semiHidden/>
    <w:qFormat/>
    <w:rPr>
      <w:rFonts w:ascii="Calibri" w:hAnsi="Calibri"/>
      <w:sz w:val="18"/>
      <w:szCs w:val="18"/>
    </w:rPr>
  </w:style>
  <w:style w:type="paragraph" w:styleId="863">
    <w:name w:val="页脚11"/>
    <w:basedOn w:val="682"/>
    <w:next w:val="863"/>
    <w:link w:val="864"/>
    <w:uiPriority w:val="99"/>
    <w:unhideWhenUsed/>
    <w:qFormat/>
    <w:pPr>
      <w:tabs>
        <w:tab w:val="center" w:pos="7143" w:leader="none"/>
        <w:tab w:val="right" w:pos="14287" w:leader="none"/>
      </w:tabs>
    </w:pPr>
  </w:style>
  <w:style w:type="character" w:styleId="864">
    <w:name w:val="页脚 字符1"/>
    <w:next w:val="864"/>
    <w:link w:val="863"/>
    <w:uiPriority w:val="99"/>
    <w:qFormat/>
  </w:style>
  <w:style w:type="paragraph" w:styleId="865">
    <w:name w:val="页眉11"/>
    <w:basedOn w:val="682"/>
    <w:next w:val="865"/>
    <w:link w:val="866"/>
    <w:uiPriority w:val="99"/>
    <w:unhideWhenUsed/>
    <w:qFormat/>
    <w:pPr>
      <w:tabs>
        <w:tab w:val="center" w:pos="7143" w:leader="none"/>
        <w:tab w:val="right" w:pos="14287" w:leader="none"/>
      </w:tabs>
    </w:pPr>
  </w:style>
  <w:style w:type="character" w:styleId="866">
    <w:name w:val="页眉 字符"/>
    <w:next w:val="866"/>
    <w:link w:val="865"/>
    <w:uiPriority w:val="99"/>
    <w:qFormat/>
  </w:style>
  <w:style w:type="paragraph" w:styleId="867">
    <w:name w:val="目录 11"/>
    <w:basedOn w:val="682"/>
    <w:next w:val="682"/>
    <w:link w:val="682"/>
    <w:uiPriority w:val="39"/>
    <w:unhideWhenUsed/>
    <w:qFormat/>
    <w:pPr>
      <w:spacing w:after="57"/>
    </w:pPr>
  </w:style>
  <w:style w:type="paragraph" w:styleId="868">
    <w:name w:val="目录 41"/>
    <w:basedOn w:val="682"/>
    <w:next w:val="682"/>
    <w:link w:val="682"/>
    <w:uiPriority w:val="39"/>
    <w:unhideWhenUsed/>
    <w:qFormat/>
    <w:pPr>
      <w:ind w:left="850"/>
      <w:spacing w:after="57"/>
    </w:pPr>
  </w:style>
  <w:style w:type="paragraph" w:styleId="869">
    <w:name w:val="副标题1"/>
    <w:basedOn w:val="682"/>
    <w:next w:val="682"/>
    <w:link w:val="870"/>
    <w:uiPriority w:val="11"/>
    <w:qFormat/>
    <w:pPr>
      <w:spacing w:before="200" w:after="200"/>
    </w:pPr>
    <w:rPr>
      <w:sz w:val="24"/>
    </w:rPr>
  </w:style>
  <w:style w:type="character" w:styleId="870">
    <w:name w:val="副标题 字符"/>
    <w:next w:val="870"/>
    <w:link w:val="869"/>
    <w:uiPriority w:val="11"/>
    <w:qFormat/>
    <w:rPr>
      <w:sz w:val="24"/>
      <w:szCs w:val="24"/>
    </w:rPr>
  </w:style>
  <w:style w:type="paragraph" w:styleId="871">
    <w:name w:val="脚注文本11"/>
    <w:basedOn w:val="682"/>
    <w:next w:val="871"/>
    <w:link w:val="872"/>
    <w:uiPriority w:val="99"/>
    <w:unhideWhenUsed/>
    <w:qFormat/>
    <w:pPr>
      <w:spacing w:after="40"/>
    </w:pPr>
    <w:rPr>
      <w:sz w:val="18"/>
    </w:rPr>
  </w:style>
  <w:style w:type="character" w:styleId="872">
    <w:name w:val="脚注文本 字符"/>
    <w:next w:val="872"/>
    <w:link w:val="871"/>
    <w:uiPriority w:val="99"/>
    <w:qFormat/>
    <w:rPr>
      <w:sz w:val="18"/>
    </w:rPr>
  </w:style>
  <w:style w:type="paragraph" w:styleId="873">
    <w:name w:val="目录 61"/>
    <w:basedOn w:val="682"/>
    <w:next w:val="682"/>
    <w:link w:val="682"/>
    <w:uiPriority w:val="39"/>
    <w:unhideWhenUsed/>
    <w:qFormat/>
    <w:pPr>
      <w:ind w:left="1417"/>
      <w:spacing w:after="57"/>
    </w:pPr>
  </w:style>
  <w:style w:type="paragraph" w:styleId="874">
    <w:name w:val="正文文本缩进 311"/>
    <w:basedOn w:val="682"/>
    <w:next w:val="874"/>
    <w:link w:val="682"/>
    <w:qFormat/>
    <w:pPr>
      <w:ind w:firstLine="480"/>
      <w:jc w:val="left"/>
      <w:spacing w:line="440" w:lineRule="atLeast"/>
    </w:pPr>
    <w:rPr>
      <w:sz w:val="24"/>
    </w:rPr>
  </w:style>
  <w:style w:type="paragraph" w:styleId="875">
    <w:name w:val="图表目录1"/>
    <w:basedOn w:val="682"/>
    <w:next w:val="682"/>
    <w:link w:val="682"/>
    <w:uiPriority w:val="99"/>
    <w:unhideWhenUsed/>
    <w:qFormat/>
  </w:style>
  <w:style w:type="paragraph" w:styleId="876">
    <w:name w:val="目录 21"/>
    <w:basedOn w:val="682"/>
    <w:next w:val="682"/>
    <w:link w:val="682"/>
    <w:uiPriority w:val="39"/>
    <w:unhideWhenUsed/>
    <w:qFormat/>
    <w:pPr>
      <w:ind w:left="283"/>
      <w:spacing w:after="57"/>
    </w:pPr>
  </w:style>
  <w:style w:type="paragraph" w:styleId="877">
    <w:name w:val="目录 91"/>
    <w:basedOn w:val="682"/>
    <w:next w:val="682"/>
    <w:link w:val="682"/>
    <w:uiPriority w:val="39"/>
    <w:unhideWhenUsed/>
    <w:qFormat/>
    <w:pPr>
      <w:ind w:left="2268"/>
      <w:spacing w:after="57"/>
    </w:pPr>
  </w:style>
  <w:style w:type="paragraph" w:styleId="878">
    <w:name w:val="普通(网站)11"/>
    <w:basedOn w:val="682"/>
    <w:next w:val="878"/>
    <w:link w:val="682"/>
    <w:uiPriority w:val="99"/>
    <w:unhideWhenUsed/>
    <w:qFormat/>
    <w:pPr>
      <w:jc w:val="left"/>
      <w:spacing w:beforeAutospacing="1" w:afterAutospacing="1"/>
    </w:pPr>
    <w:rPr>
      <w:sz w:val="24"/>
    </w:rPr>
  </w:style>
  <w:style w:type="paragraph" w:styleId="879">
    <w:name w:val="标题1"/>
    <w:basedOn w:val="682"/>
    <w:next w:val="682"/>
    <w:link w:val="880"/>
    <w:uiPriority w:val="10"/>
    <w:qFormat/>
    <w:pPr>
      <w:contextualSpacing/>
      <w:spacing w:before="300" w:after="200"/>
    </w:pPr>
    <w:rPr>
      <w:sz w:val="48"/>
      <w:szCs w:val="48"/>
    </w:rPr>
  </w:style>
  <w:style w:type="character" w:styleId="880">
    <w:name w:val="标题 字符"/>
    <w:next w:val="880"/>
    <w:link w:val="879"/>
    <w:uiPriority w:val="10"/>
    <w:qFormat/>
    <w:rPr>
      <w:sz w:val="48"/>
      <w:szCs w:val="48"/>
    </w:rPr>
  </w:style>
  <w:style w:type="paragraph" w:styleId="881">
    <w:name w:val="批注主题11"/>
    <w:basedOn w:val="850"/>
    <w:next w:val="850"/>
    <w:link w:val="882"/>
    <w:uiPriority w:val="99"/>
    <w:unhideWhenUsed/>
    <w:qFormat/>
    <w:rPr>
      <w:b/>
      <w:bCs/>
    </w:rPr>
  </w:style>
  <w:style w:type="character" w:styleId="882">
    <w:name w:val="批注主题 字符1"/>
    <w:next w:val="882"/>
    <w:link w:val="881"/>
    <w:uiPriority w:val="99"/>
    <w:semiHidden/>
    <w:qFormat/>
    <w:rPr>
      <w:rFonts w:ascii="Calibri" w:hAnsi="Calibri"/>
      <w:b/>
      <w:bCs/>
      <w:sz w:val="21"/>
      <w:szCs w:val="24"/>
    </w:rPr>
  </w:style>
  <w:style w:type="paragraph" w:styleId="883">
    <w:name w:val="正文首行缩进 211"/>
    <w:basedOn w:val="853"/>
    <w:next w:val="883"/>
    <w:link w:val="682"/>
    <w:qFormat/>
    <w:pPr>
      <w:ind w:left="420" w:firstLine="210"/>
      <w:spacing w:after="120" w:line="240" w:lineRule="auto"/>
    </w:pPr>
    <w:rPr>
      <w:rFonts w:eastAsia="仿宋_GB2312"/>
      <w:sz w:val="30"/>
    </w:rPr>
  </w:style>
  <w:style w:type="table" w:styleId="884">
    <w:name w:val="网格型11"/>
    <w:next w:val="884"/>
    <w:link w:val="682"/>
    <w:uiPriority w:val="59"/>
    <w:qFormat/>
    <w:rPr>
      <w:lang w:val="en-US" w:eastAsia="zh-CN" w:bidi="ar-SA"/>
    </w:rPr>
    <w:tblPr/>
  </w:style>
  <w:style w:type="character" w:styleId="885">
    <w:name w:val="要点11"/>
    <w:next w:val="885"/>
    <w:link w:val="682"/>
    <w:uiPriority w:val="22"/>
    <w:qFormat/>
    <w:rPr>
      <w:b/>
    </w:rPr>
  </w:style>
  <w:style w:type="character" w:styleId="886">
    <w:name w:val="尾注引用1"/>
    <w:next w:val="886"/>
    <w:link w:val="682"/>
    <w:uiPriority w:val="99"/>
    <w:unhideWhenUsed/>
    <w:qFormat/>
    <w:rPr>
      <w:vertAlign w:val="superscript"/>
    </w:rPr>
  </w:style>
  <w:style w:type="character" w:styleId="887">
    <w:name w:val="超链接11"/>
    <w:next w:val="887"/>
    <w:link w:val="682"/>
    <w:uiPriority w:val="99"/>
    <w:unhideWhenUsed/>
    <w:qFormat/>
    <w:rPr>
      <w:color w:val="0000ff"/>
      <w:u w:val="single"/>
    </w:rPr>
  </w:style>
  <w:style w:type="character" w:styleId="888">
    <w:name w:val="批注引用11"/>
    <w:next w:val="888"/>
    <w:link w:val="682"/>
    <w:uiPriority w:val="99"/>
    <w:unhideWhenUsed/>
    <w:qFormat/>
    <w:rPr>
      <w:sz w:val="21"/>
      <w:szCs w:val="21"/>
    </w:rPr>
  </w:style>
  <w:style w:type="character" w:styleId="889">
    <w:name w:val="脚注引用11"/>
    <w:next w:val="889"/>
    <w:link w:val="682"/>
    <w:uiPriority w:val="99"/>
    <w:unhideWhenUsed/>
    <w:qFormat/>
    <w:rPr>
      <w:vertAlign w:val="superscript"/>
    </w:rPr>
  </w:style>
  <w:style w:type="paragraph" w:styleId="890">
    <w:name w:val="段"/>
    <w:next w:val="682"/>
    <w:link w:val="682"/>
    <w:qFormat/>
    <w:pPr>
      <w:ind w:firstLine="200"/>
      <w:jc w:val="both"/>
    </w:pPr>
    <w:rPr>
      <w:rFonts w:ascii="宋体"/>
      <w:sz w:val="21"/>
      <w:lang w:val="en-US" w:eastAsia="zh-CN" w:bidi="ar-SA"/>
    </w:rPr>
  </w:style>
  <w:style w:type="paragraph" w:styleId="891">
    <w:name w:val="正文首行缩进1"/>
    <w:basedOn w:val="892"/>
    <w:next w:val="891"/>
    <w:link w:val="682"/>
    <w:uiPriority w:val="99"/>
    <w:qFormat/>
    <w:pPr>
      <w:ind w:firstLine="420"/>
      <w:spacing w:after="120" w:line="240" w:lineRule="auto"/>
    </w:pPr>
    <w:rPr>
      <w:sz w:val="28"/>
    </w:rPr>
  </w:style>
  <w:style w:type="paragraph" w:styleId="892">
    <w:name w:val="正文文本1"/>
    <w:basedOn w:val="682"/>
    <w:next w:val="892"/>
    <w:link w:val="682"/>
    <w:qFormat/>
    <w:pPr>
      <w:jc w:val="left"/>
      <w:spacing w:line="360" w:lineRule="auto"/>
      <w:widowControl/>
    </w:pPr>
    <w:rPr>
      <w:sz w:val="24"/>
      <w:szCs w:val="20"/>
    </w:rPr>
  </w:style>
  <w:style w:type="paragraph" w:styleId="893">
    <w:name w:val="列出段落111"/>
    <w:basedOn w:val="682"/>
    <w:next w:val="893"/>
    <w:link w:val="682"/>
    <w:uiPriority w:val="34"/>
    <w:qFormat/>
    <w:pPr>
      <w:contextualSpacing/>
      <w:ind w:left="720"/>
    </w:pPr>
  </w:style>
  <w:style w:type="paragraph" w:styleId="894">
    <w:name w:val="无间隔11"/>
    <w:next w:val="894"/>
    <w:link w:val="682"/>
    <w:uiPriority w:val="1"/>
    <w:qFormat/>
    <w:rPr>
      <w:lang w:val="en-US" w:eastAsia="zh-CN" w:bidi="ar-SA"/>
    </w:rPr>
  </w:style>
  <w:style w:type="paragraph" w:styleId="895">
    <w:name w:val="引用11"/>
    <w:basedOn w:val="682"/>
    <w:next w:val="682"/>
    <w:link w:val="896"/>
    <w:uiPriority w:val="29"/>
    <w:qFormat/>
    <w:pPr>
      <w:ind w:left="720" w:right="720"/>
    </w:pPr>
    <w:rPr>
      <w:i/>
    </w:rPr>
  </w:style>
  <w:style w:type="character" w:styleId="896">
    <w:name w:val="引用 字符"/>
    <w:next w:val="896"/>
    <w:link w:val="895"/>
    <w:uiPriority w:val="29"/>
    <w:qFormat/>
    <w:rPr>
      <w:i/>
    </w:rPr>
  </w:style>
  <w:style w:type="paragraph" w:styleId="897">
    <w:name w:val="明显引用11"/>
    <w:basedOn w:val="682"/>
    <w:next w:val="682"/>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明显引用 字符"/>
    <w:next w:val="898"/>
    <w:link w:val="897"/>
    <w:uiPriority w:val="30"/>
    <w:qFormat/>
    <w:rPr>
      <w:i/>
    </w:rPr>
  </w:style>
  <w:style w:type="character" w:styleId="899">
    <w:name w:val="Footer Char"/>
    <w:next w:val="899"/>
    <w:link w:val="682"/>
    <w:uiPriority w:val="99"/>
    <w:qFormat/>
  </w:style>
  <w:style w:type="table" w:styleId="900">
    <w:name w:val="Table Grid Light"/>
    <w:next w:val="900"/>
    <w:link w:val="682"/>
    <w:uiPriority w:val="59"/>
    <w:qFormat/>
    <w:rPr>
      <w:lang w:val="en-US" w:eastAsia="zh-CN" w:bidi="ar-SA"/>
    </w:rPr>
    <w:tblPr/>
  </w:style>
  <w:style w:type="table" w:styleId="901">
    <w:name w:val="Grid Table 1 Light - Accent 1"/>
    <w:next w:val="901"/>
    <w:link w:val="682"/>
    <w:uiPriority w:val="99"/>
    <w:qFormat/>
    <w:rPr>
      <w:lang w:val="en-US" w:eastAsia="zh-CN" w:bidi="ar-SA"/>
    </w:rPr>
    <w:tblPr/>
  </w:style>
  <w:style w:type="table" w:styleId="902">
    <w:name w:val="Grid Table 1 Light - Accent 2"/>
    <w:next w:val="902"/>
    <w:link w:val="682"/>
    <w:uiPriority w:val="99"/>
    <w:qFormat/>
    <w:rPr>
      <w:lang w:val="en-US" w:eastAsia="zh-CN" w:bidi="ar-SA"/>
    </w:rPr>
    <w:tblPr/>
  </w:style>
  <w:style w:type="table" w:styleId="903">
    <w:name w:val="Grid Table 1 Light - Accent 3"/>
    <w:next w:val="903"/>
    <w:link w:val="682"/>
    <w:uiPriority w:val="99"/>
    <w:qFormat/>
    <w:rPr>
      <w:lang w:val="en-US" w:eastAsia="zh-CN" w:bidi="ar-SA"/>
    </w:rPr>
    <w:tblPr/>
  </w:style>
  <w:style w:type="table" w:styleId="904">
    <w:name w:val="Grid Table 1 Light - Accent 4"/>
    <w:next w:val="904"/>
    <w:link w:val="682"/>
    <w:uiPriority w:val="99"/>
    <w:qFormat/>
    <w:rPr>
      <w:lang w:val="en-US" w:eastAsia="zh-CN" w:bidi="ar-SA"/>
    </w:rPr>
    <w:tblPr/>
  </w:style>
  <w:style w:type="table" w:styleId="905">
    <w:name w:val="Grid Table 1 Light - Accent 5"/>
    <w:next w:val="905"/>
    <w:link w:val="682"/>
    <w:uiPriority w:val="99"/>
    <w:qFormat/>
    <w:rPr>
      <w:lang w:val="en-US" w:eastAsia="zh-CN" w:bidi="ar-SA"/>
    </w:rPr>
    <w:tblPr/>
  </w:style>
  <w:style w:type="table" w:styleId="906">
    <w:name w:val="Grid Table 1 Light - Accent 6"/>
    <w:next w:val="906"/>
    <w:link w:val="682"/>
    <w:uiPriority w:val="99"/>
    <w:qFormat/>
    <w:rPr>
      <w:lang w:val="en-US" w:eastAsia="zh-CN" w:bidi="ar-SA"/>
    </w:rPr>
    <w:tblPr/>
  </w:style>
  <w:style w:type="table" w:styleId="907">
    <w:name w:val="Grid Table 2 - Accent 1"/>
    <w:next w:val="907"/>
    <w:link w:val="682"/>
    <w:uiPriority w:val="99"/>
    <w:qFormat/>
    <w:rPr>
      <w:lang w:val="en-US" w:eastAsia="zh-CN" w:bidi="ar-SA"/>
    </w:rPr>
    <w:tblPr/>
  </w:style>
  <w:style w:type="table" w:styleId="908">
    <w:name w:val="Grid Table 2 - Accent 2"/>
    <w:next w:val="908"/>
    <w:link w:val="682"/>
    <w:uiPriority w:val="99"/>
    <w:qFormat/>
    <w:rPr>
      <w:lang w:val="en-US" w:eastAsia="zh-CN" w:bidi="ar-SA"/>
    </w:rPr>
    <w:tblPr/>
  </w:style>
  <w:style w:type="table" w:styleId="909">
    <w:name w:val="Grid Table 2 - Accent 3"/>
    <w:next w:val="909"/>
    <w:link w:val="682"/>
    <w:uiPriority w:val="99"/>
    <w:qFormat/>
    <w:rPr>
      <w:lang w:val="en-US" w:eastAsia="zh-CN" w:bidi="ar-SA"/>
    </w:rPr>
    <w:tblPr/>
  </w:style>
  <w:style w:type="table" w:styleId="910">
    <w:name w:val="Grid Table 2 - Accent 4"/>
    <w:next w:val="910"/>
    <w:link w:val="682"/>
    <w:uiPriority w:val="99"/>
    <w:qFormat/>
    <w:rPr>
      <w:lang w:val="en-US" w:eastAsia="zh-CN" w:bidi="ar-SA"/>
    </w:rPr>
    <w:tblPr/>
  </w:style>
  <w:style w:type="table" w:styleId="911">
    <w:name w:val="Grid Table 2 - Accent 5"/>
    <w:next w:val="911"/>
    <w:link w:val="682"/>
    <w:uiPriority w:val="99"/>
    <w:qFormat/>
    <w:rPr>
      <w:lang w:val="en-US" w:eastAsia="zh-CN" w:bidi="ar-SA"/>
    </w:rPr>
    <w:tblPr/>
  </w:style>
  <w:style w:type="table" w:styleId="912">
    <w:name w:val="Grid Table 2 - Accent 6"/>
    <w:next w:val="912"/>
    <w:link w:val="682"/>
    <w:uiPriority w:val="99"/>
    <w:qFormat/>
    <w:rPr>
      <w:lang w:val="en-US" w:eastAsia="zh-CN" w:bidi="ar-SA"/>
    </w:rPr>
    <w:tblPr/>
  </w:style>
  <w:style w:type="table" w:styleId="913">
    <w:name w:val="Grid Table 3 - Accent 1"/>
    <w:next w:val="913"/>
    <w:link w:val="682"/>
    <w:uiPriority w:val="99"/>
    <w:qFormat/>
    <w:rPr>
      <w:lang w:val="en-US" w:eastAsia="zh-CN" w:bidi="ar-SA"/>
    </w:rPr>
    <w:tblPr/>
  </w:style>
  <w:style w:type="table" w:styleId="914">
    <w:name w:val="Grid Table 3 - Accent 2"/>
    <w:next w:val="914"/>
    <w:link w:val="682"/>
    <w:uiPriority w:val="99"/>
    <w:qFormat/>
    <w:rPr>
      <w:lang w:val="en-US" w:eastAsia="zh-CN" w:bidi="ar-SA"/>
    </w:rPr>
    <w:tblPr/>
  </w:style>
  <w:style w:type="table" w:styleId="915">
    <w:name w:val="Grid Table 3 - Accent 3"/>
    <w:next w:val="915"/>
    <w:link w:val="682"/>
    <w:uiPriority w:val="99"/>
    <w:qFormat/>
    <w:rPr>
      <w:lang w:val="en-US" w:eastAsia="zh-CN" w:bidi="ar-SA"/>
    </w:rPr>
    <w:tblPr/>
  </w:style>
  <w:style w:type="table" w:styleId="916">
    <w:name w:val="Grid Table 3 - Accent 4"/>
    <w:next w:val="916"/>
    <w:link w:val="682"/>
    <w:uiPriority w:val="99"/>
    <w:qFormat/>
    <w:rPr>
      <w:lang w:val="en-US" w:eastAsia="zh-CN" w:bidi="ar-SA"/>
    </w:rPr>
    <w:tblPr/>
  </w:style>
  <w:style w:type="table" w:styleId="917">
    <w:name w:val="Grid Table 3 - Accent 5"/>
    <w:next w:val="917"/>
    <w:link w:val="682"/>
    <w:uiPriority w:val="99"/>
    <w:qFormat/>
    <w:rPr>
      <w:lang w:val="en-US" w:eastAsia="zh-CN" w:bidi="ar-SA"/>
    </w:rPr>
    <w:tblPr/>
  </w:style>
  <w:style w:type="table" w:styleId="918">
    <w:name w:val="Grid Table 3 - Accent 6"/>
    <w:next w:val="918"/>
    <w:link w:val="682"/>
    <w:uiPriority w:val="99"/>
    <w:qFormat/>
    <w:rPr>
      <w:lang w:val="en-US" w:eastAsia="zh-CN" w:bidi="ar-SA"/>
    </w:rPr>
    <w:tblPr/>
  </w:style>
  <w:style w:type="table" w:styleId="919">
    <w:name w:val="Grid Table 4 - Accent 1"/>
    <w:next w:val="919"/>
    <w:link w:val="682"/>
    <w:uiPriority w:val="59"/>
    <w:qFormat/>
    <w:rPr>
      <w:lang w:val="en-US" w:eastAsia="zh-CN" w:bidi="ar-SA"/>
    </w:rPr>
    <w:tblPr/>
  </w:style>
  <w:style w:type="table" w:styleId="920">
    <w:name w:val="Grid Table 4 - Accent 2"/>
    <w:next w:val="920"/>
    <w:link w:val="682"/>
    <w:uiPriority w:val="59"/>
    <w:qFormat/>
    <w:rPr>
      <w:lang w:val="en-US" w:eastAsia="zh-CN" w:bidi="ar-SA"/>
    </w:rPr>
    <w:tblPr/>
  </w:style>
  <w:style w:type="table" w:styleId="921">
    <w:name w:val="Grid Table 4 - Accent 3"/>
    <w:next w:val="921"/>
    <w:link w:val="682"/>
    <w:uiPriority w:val="59"/>
    <w:qFormat/>
    <w:rPr>
      <w:lang w:val="en-US" w:eastAsia="zh-CN" w:bidi="ar-SA"/>
    </w:rPr>
    <w:tblPr/>
  </w:style>
  <w:style w:type="table" w:styleId="922">
    <w:name w:val="Grid Table 4 - Accent 4"/>
    <w:next w:val="922"/>
    <w:link w:val="682"/>
    <w:uiPriority w:val="59"/>
    <w:qFormat/>
    <w:rPr>
      <w:lang w:val="en-US" w:eastAsia="zh-CN" w:bidi="ar-SA"/>
    </w:rPr>
    <w:tblPr/>
  </w:style>
  <w:style w:type="table" w:styleId="923">
    <w:name w:val="Grid Table 4 - Accent 5"/>
    <w:next w:val="923"/>
    <w:link w:val="682"/>
    <w:uiPriority w:val="59"/>
    <w:qFormat/>
    <w:rPr>
      <w:lang w:val="en-US" w:eastAsia="zh-CN" w:bidi="ar-SA"/>
    </w:rPr>
    <w:tblPr/>
  </w:style>
  <w:style w:type="table" w:styleId="924">
    <w:name w:val="Grid Table 4 - Accent 6"/>
    <w:next w:val="924"/>
    <w:link w:val="682"/>
    <w:uiPriority w:val="59"/>
    <w:qFormat/>
    <w:rPr>
      <w:lang w:val="en-US" w:eastAsia="zh-CN" w:bidi="ar-SA"/>
    </w:rPr>
    <w:tblPr/>
  </w:style>
  <w:style w:type="table" w:styleId="925">
    <w:name w:val="Grid Table 5 Dark- Accent 1"/>
    <w:next w:val="925"/>
    <w:link w:val="682"/>
    <w:uiPriority w:val="99"/>
    <w:qFormat/>
    <w:rPr>
      <w:lang w:val="en-US" w:eastAsia="zh-CN" w:bidi="ar-SA"/>
    </w:rPr>
    <w:tblPr/>
  </w:style>
  <w:style w:type="table" w:styleId="926">
    <w:name w:val="Grid Table 5 Dark - Accent 2"/>
    <w:next w:val="926"/>
    <w:link w:val="682"/>
    <w:uiPriority w:val="99"/>
    <w:qFormat/>
    <w:rPr>
      <w:lang w:val="en-US" w:eastAsia="zh-CN" w:bidi="ar-SA"/>
    </w:rPr>
    <w:tblPr/>
  </w:style>
  <w:style w:type="table" w:styleId="927">
    <w:name w:val="Grid Table 5 Dark - Accent 3"/>
    <w:next w:val="927"/>
    <w:link w:val="682"/>
    <w:uiPriority w:val="99"/>
    <w:qFormat/>
    <w:rPr>
      <w:lang w:val="en-US" w:eastAsia="zh-CN" w:bidi="ar-SA"/>
    </w:rPr>
    <w:tblPr/>
  </w:style>
  <w:style w:type="table" w:styleId="928">
    <w:name w:val="Grid Table 5 Dark- Accent 4"/>
    <w:next w:val="928"/>
    <w:link w:val="682"/>
    <w:uiPriority w:val="99"/>
    <w:qFormat/>
    <w:rPr>
      <w:lang w:val="en-US" w:eastAsia="zh-CN" w:bidi="ar-SA"/>
    </w:rPr>
    <w:tblPr/>
  </w:style>
  <w:style w:type="table" w:styleId="929">
    <w:name w:val="Grid Table 5 Dark - Accent 5"/>
    <w:next w:val="929"/>
    <w:link w:val="682"/>
    <w:uiPriority w:val="99"/>
    <w:qFormat/>
    <w:rPr>
      <w:lang w:val="en-US" w:eastAsia="zh-CN" w:bidi="ar-SA"/>
    </w:rPr>
    <w:tblPr/>
  </w:style>
  <w:style w:type="table" w:styleId="930">
    <w:name w:val="Grid Table 5 Dark - Accent 6"/>
    <w:next w:val="930"/>
    <w:link w:val="682"/>
    <w:uiPriority w:val="99"/>
    <w:qFormat/>
    <w:rPr>
      <w:lang w:val="en-US" w:eastAsia="zh-CN" w:bidi="ar-SA"/>
    </w:rPr>
    <w:tblPr/>
  </w:style>
  <w:style w:type="table" w:styleId="931">
    <w:name w:val="Grid Table 6 Colorful - Accent 1"/>
    <w:next w:val="931"/>
    <w:link w:val="682"/>
    <w:uiPriority w:val="99"/>
    <w:qFormat/>
    <w:rPr>
      <w:lang w:val="en-US" w:eastAsia="zh-CN" w:bidi="ar-SA"/>
    </w:rPr>
    <w:tblPr/>
  </w:style>
  <w:style w:type="table" w:styleId="932">
    <w:name w:val="Grid Table 6 Colorful - Accent 2"/>
    <w:next w:val="932"/>
    <w:link w:val="682"/>
    <w:uiPriority w:val="99"/>
    <w:qFormat/>
    <w:rPr>
      <w:lang w:val="en-US" w:eastAsia="zh-CN" w:bidi="ar-SA"/>
    </w:rPr>
    <w:tblPr/>
  </w:style>
  <w:style w:type="table" w:styleId="933">
    <w:name w:val="Grid Table 6 Colorful - Accent 3"/>
    <w:next w:val="933"/>
    <w:link w:val="682"/>
    <w:uiPriority w:val="99"/>
    <w:qFormat/>
    <w:rPr>
      <w:lang w:val="en-US" w:eastAsia="zh-CN" w:bidi="ar-SA"/>
    </w:rPr>
    <w:tblPr/>
  </w:style>
  <w:style w:type="table" w:styleId="934">
    <w:name w:val="Grid Table 6 Colorful - Accent 4"/>
    <w:next w:val="934"/>
    <w:link w:val="682"/>
    <w:uiPriority w:val="99"/>
    <w:qFormat/>
    <w:rPr>
      <w:lang w:val="en-US" w:eastAsia="zh-CN" w:bidi="ar-SA"/>
    </w:rPr>
    <w:tblPr/>
  </w:style>
  <w:style w:type="table" w:styleId="935">
    <w:name w:val="Grid Table 6 Colorful - Accent 5"/>
    <w:next w:val="935"/>
    <w:link w:val="682"/>
    <w:uiPriority w:val="99"/>
    <w:qFormat/>
    <w:rPr>
      <w:lang w:val="en-US" w:eastAsia="zh-CN" w:bidi="ar-SA"/>
    </w:rPr>
    <w:tblPr/>
  </w:style>
  <w:style w:type="table" w:styleId="936">
    <w:name w:val="Grid Table 6 Colorful - Accent 6"/>
    <w:next w:val="936"/>
    <w:link w:val="682"/>
    <w:uiPriority w:val="99"/>
    <w:qFormat/>
    <w:rPr>
      <w:lang w:val="en-US" w:eastAsia="zh-CN" w:bidi="ar-SA"/>
    </w:rPr>
    <w:tblPr/>
  </w:style>
  <w:style w:type="table" w:styleId="937">
    <w:name w:val="Grid Table 7 Colorful - Accent 1"/>
    <w:next w:val="937"/>
    <w:link w:val="682"/>
    <w:uiPriority w:val="99"/>
    <w:qFormat/>
    <w:rPr>
      <w:lang w:val="en-US" w:eastAsia="zh-CN" w:bidi="ar-SA"/>
    </w:rPr>
    <w:tblPr/>
  </w:style>
  <w:style w:type="table" w:styleId="938">
    <w:name w:val="Grid Table 7 Colorful - Accent 2"/>
    <w:next w:val="938"/>
    <w:link w:val="682"/>
    <w:uiPriority w:val="99"/>
    <w:qFormat/>
    <w:rPr>
      <w:lang w:val="en-US" w:eastAsia="zh-CN" w:bidi="ar-SA"/>
    </w:rPr>
    <w:tblPr/>
  </w:style>
  <w:style w:type="table" w:styleId="939">
    <w:name w:val="Grid Table 7 Colorful - Accent 3"/>
    <w:next w:val="939"/>
    <w:link w:val="682"/>
    <w:uiPriority w:val="99"/>
    <w:qFormat/>
    <w:rPr>
      <w:lang w:val="en-US" w:eastAsia="zh-CN" w:bidi="ar-SA"/>
    </w:rPr>
    <w:tblPr/>
  </w:style>
  <w:style w:type="table" w:styleId="940">
    <w:name w:val="Grid Table 7 Colorful - Accent 4"/>
    <w:next w:val="940"/>
    <w:link w:val="682"/>
    <w:uiPriority w:val="99"/>
    <w:qFormat/>
    <w:rPr>
      <w:lang w:val="en-US" w:eastAsia="zh-CN" w:bidi="ar-SA"/>
    </w:rPr>
    <w:tblPr/>
  </w:style>
  <w:style w:type="table" w:styleId="941">
    <w:name w:val="Grid Table 7 Colorful - Accent 5"/>
    <w:next w:val="941"/>
    <w:link w:val="682"/>
    <w:uiPriority w:val="99"/>
    <w:qFormat/>
    <w:rPr>
      <w:lang w:val="en-US" w:eastAsia="zh-CN" w:bidi="ar-SA"/>
    </w:rPr>
    <w:tblPr/>
  </w:style>
  <w:style w:type="table" w:styleId="942">
    <w:name w:val="Grid Table 7 Colorful - Accent 6"/>
    <w:next w:val="942"/>
    <w:link w:val="682"/>
    <w:uiPriority w:val="99"/>
    <w:qFormat/>
    <w:rPr>
      <w:lang w:val="en-US" w:eastAsia="zh-CN" w:bidi="ar-SA"/>
    </w:rPr>
    <w:tblPr/>
  </w:style>
  <w:style w:type="table" w:styleId="943">
    <w:name w:val="List Table 1 Light - Accent 1"/>
    <w:next w:val="943"/>
    <w:link w:val="682"/>
    <w:uiPriority w:val="99"/>
    <w:qFormat/>
    <w:rPr>
      <w:lang w:val="en-US" w:eastAsia="zh-CN" w:bidi="ar-SA"/>
    </w:rPr>
    <w:tblPr/>
  </w:style>
  <w:style w:type="table" w:styleId="944">
    <w:name w:val="List Table 1 Light - Accent 2"/>
    <w:next w:val="944"/>
    <w:link w:val="682"/>
    <w:uiPriority w:val="99"/>
    <w:qFormat/>
    <w:rPr>
      <w:lang w:val="en-US" w:eastAsia="zh-CN" w:bidi="ar-SA"/>
    </w:rPr>
    <w:tblPr/>
  </w:style>
  <w:style w:type="table" w:styleId="945">
    <w:name w:val="List Table 1 Light - Accent 3"/>
    <w:next w:val="945"/>
    <w:link w:val="682"/>
    <w:uiPriority w:val="99"/>
    <w:qFormat/>
    <w:rPr>
      <w:lang w:val="en-US" w:eastAsia="zh-CN" w:bidi="ar-SA"/>
    </w:rPr>
    <w:tblPr/>
  </w:style>
  <w:style w:type="table" w:styleId="946">
    <w:name w:val="List Table 1 Light - Accent 4"/>
    <w:next w:val="946"/>
    <w:link w:val="682"/>
    <w:uiPriority w:val="99"/>
    <w:qFormat/>
    <w:rPr>
      <w:lang w:val="en-US" w:eastAsia="zh-CN" w:bidi="ar-SA"/>
    </w:rPr>
    <w:tblPr/>
  </w:style>
  <w:style w:type="table" w:styleId="947">
    <w:name w:val="List Table 1 Light - Accent 5"/>
    <w:next w:val="947"/>
    <w:link w:val="682"/>
    <w:uiPriority w:val="99"/>
    <w:qFormat/>
    <w:rPr>
      <w:lang w:val="en-US" w:eastAsia="zh-CN" w:bidi="ar-SA"/>
    </w:rPr>
    <w:tblPr/>
  </w:style>
  <w:style w:type="table" w:styleId="948">
    <w:name w:val="List Table 1 Light - Accent 6"/>
    <w:next w:val="948"/>
    <w:link w:val="682"/>
    <w:uiPriority w:val="99"/>
    <w:qFormat/>
    <w:rPr>
      <w:lang w:val="en-US" w:eastAsia="zh-CN" w:bidi="ar-SA"/>
    </w:rPr>
    <w:tblPr/>
  </w:style>
  <w:style w:type="table" w:styleId="949">
    <w:name w:val="List Table 2 - Accent 1"/>
    <w:next w:val="949"/>
    <w:link w:val="682"/>
    <w:uiPriority w:val="99"/>
    <w:qFormat/>
    <w:rPr>
      <w:lang w:val="en-US" w:eastAsia="zh-CN" w:bidi="ar-SA"/>
    </w:rPr>
    <w:tblPr/>
  </w:style>
  <w:style w:type="table" w:styleId="950">
    <w:name w:val="List Table 2 - Accent 2"/>
    <w:next w:val="950"/>
    <w:link w:val="682"/>
    <w:uiPriority w:val="99"/>
    <w:qFormat/>
    <w:rPr>
      <w:lang w:val="en-US" w:eastAsia="zh-CN" w:bidi="ar-SA"/>
    </w:rPr>
    <w:tblPr/>
  </w:style>
  <w:style w:type="table" w:styleId="951">
    <w:name w:val="List Table 2 - Accent 3"/>
    <w:next w:val="951"/>
    <w:link w:val="682"/>
    <w:uiPriority w:val="99"/>
    <w:qFormat/>
    <w:rPr>
      <w:lang w:val="en-US" w:eastAsia="zh-CN" w:bidi="ar-SA"/>
    </w:rPr>
    <w:tblPr/>
  </w:style>
  <w:style w:type="table" w:styleId="952">
    <w:name w:val="List Table 2 - Accent 4"/>
    <w:next w:val="952"/>
    <w:link w:val="682"/>
    <w:uiPriority w:val="99"/>
    <w:qFormat/>
    <w:rPr>
      <w:lang w:val="en-US" w:eastAsia="zh-CN" w:bidi="ar-SA"/>
    </w:rPr>
    <w:tblPr/>
  </w:style>
  <w:style w:type="table" w:styleId="953">
    <w:name w:val="List Table 2 - Accent 5"/>
    <w:next w:val="953"/>
    <w:link w:val="682"/>
    <w:uiPriority w:val="99"/>
    <w:qFormat/>
    <w:rPr>
      <w:lang w:val="en-US" w:eastAsia="zh-CN" w:bidi="ar-SA"/>
    </w:rPr>
    <w:tblPr/>
  </w:style>
  <w:style w:type="table" w:styleId="954">
    <w:name w:val="List Table 2 - Accent 6"/>
    <w:next w:val="954"/>
    <w:link w:val="682"/>
    <w:uiPriority w:val="99"/>
    <w:qFormat/>
    <w:rPr>
      <w:lang w:val="en-US" w:eastAsia="zh-CN" w:bidi="ar-SA"/>
    </w:rPr>
    <w:tblPr/>
  </w:style>
  <w:style w:type="table" w:styleId="955">
    <w:name w:val="List Table 3 - Accent 1"/>
    <w:next w:val="955"/>
    <w:link w:val="682"/>
    <w:uiPriority w:val="99"/>
    <w:qFormat/>
    <w:rPr>
      <w:lang w:val="en-US" w:eastAsia="zh-CN" w:bidi="ar-SA"/>
    </w:rPr>
    <w:tblPr/>
  </w:style>
  <w:style w:type="table" w:styleId="956">
    <w:name w:val="List Table 3 - Accent 2"/>
    <w:next w:val="956"/>
    <w:link w:val="682"/>
    <w:uiPriority w:val="99"/>
    <w:qFormat/>
    <w:rPr>
      <w:lang w:val="en-US" w:eastAsia="zh-CN" w:bidi="ar-SA"/>
    </w:rPr>
    <w:tblPr/>
  </w:style>
  <w:style w:type="table" w:styleId="957">
    <w:name w:val="List Table 3 - Accent 3"/>
    <w:next w:val="957"/>
    <w:link w:val="682"/>
    <w:uiPriority w:val="99"/>
    <w:qFormat/>
    <w:rPr>
      <w:lang w:val="en-US" w:eastAsia="zh-CN" w:bidi="ar-SA"/>
    </w:rPr>
    <w:tblPr/>
  </w:style>
  <w:style w:type="table" w:styleId="958">
    <w:name w:val="List Table 3 - Accent 4"/>
    <w:next w:val="958"/>
    <w:link w:val="682"/>
    <w:uiPriority w:val="99"/>
    <w:qFormat/>
    <w:rPr>
      <w:lang w:val="en-US" w:eastAsia="zh-CN" w:bidi="ar-SA"/>
    </w:rPr>
    <w:tblPr/>
  </w:style>
  <w:style w:type="table" w:styleId="959">
    <w:name w:val="List Table 3 - Accent 5"/>
    <w:next w:val="959"/>
    <w:link w:val="682"/>
    <w:uiPriority w:val="99"/>
    <w:qFormat/>
    <w:rPr>
      <w:lang w:val="en-US" w:eastAsia="zh-CN" w:bidi="ar-SA"/>
    </w:rPr>
    <w:tblPr/>
  </w:style>
  <w:style w:type="table" w:styleId="960">
    <w:name w:val="List Table 3 - Accent 6"/>
    <w:next w:val="960"/>
    <w:link w:val="682"/>
    <w:uiPriority w:val="99"/>
    <w:qFormat/>
    <w:rPr>
      <w:lang w:val="en-US" w:eastAsia="zh-CN" w:bidi="ar-SA"/>
    </w:rPr>
    <w:tblPr/>
  </w:style>
  <w:style w:type="table" w:styleId="961">
    <w:name w:val="List Table 4 - Accent 1"/>
    <w:next w:val="961"/>
    <w:link w:val="682"/>
    <w:uiPriority w:val="99"/>
    <w:qFormat/>
    <w:rPr>
      <w:lang w:val="en-US" w:eastAsia="zh-CN" w:bidi="ar-SA"/>
    </w:rPr>
    <w:tblPr/>
  </w:style>
  <w:style w:type="table" w:styleId="962">
    <w:name w:val="List Table 4 - Accent 2"/>
    <w:next w:val="962"/>
    <w:link w:val="682"/>
    <w:uiPriority w:val="99"/>
    <w:qFormat/>
    <w:rPr>
      <w:lang w:val="en-US" w:eastAsia="zh-CN" w:bidi="ar-SA"/>
    </w:rPr>
    <w:tblPr/>
  </w:style>
  <w:style w:type="table" w:styleId="963">
    <w:name w:val="List Table 4 - Accent 3"/>
    <w:next w:val="963"/>
    <w:link w:val="682"/>
    <w:uiPriority w:val="99"/>
    <w:qFormat/>
    <w:rPr>
      <w:lang w:val="en-US" w:eastAsia="zh-CN" w:bidi="ar-SA"/>
    </w:rPr>
    <w:tblPr/>
  </w:style>
  <w:style w:type="table" w:styleId="964">
    <w:name w:val="List Table 4 - Accent 4"/>
    <w:next w:val="964"/>
    <w:link w:val="682"/>
    <w:uiPriority w:val="99"/>
    <w:qFormat/>
    <w:rPr>
      <w:lang w:val="en-US" w:eastAsia="zh-CN" w:bidi="ar-SA"/>
    </w:rPr>
    <w:tblPr/>
  </w:style>
  <w:style w:type="table" w:styleId="965">
    <w:name w:val="List Table 4 - Accent 5"/>
    <w:next w:val="965"/>
    <w:link w:val="682"/>
    <w:uiPriority w:val="99"/>
    <w:qFormat/>
    <w:rPr>
      <w:lang w:val="en-US" w:eastAsia="zh-CN" w:bidi="ar-SA"/>
    </w:rPr>
    <w:tblPr/>
  </w:style>
  <w:style w:type="table" w:styleId="966">
    <w:name w:val="List Table 4 - Accent 6"/>
    <w:next w:val="966"/>
    <w:link w:val="682"/>
    <w:uiPriority w:val="99"/>
    <w:qFormat/>
    <w:rPr>
      <w:lang w:val="en-US" w:eastAsia="zh-CN" w:bidi="ar-SA"/>
    </w:rPr>
    <w:tblPr/>
  </w:style>
  <w:style w:type="table" w:styleId="967">
    <w:name w:val="List Table 5 Dark - Accent 1"/>
    <w:next w:val="967"/>
    <w:link w:val="682"/>
    <w:uiPriority w:val="99"/>
    <w:qFormat/>
    <w:rPr>
      <w:lang w:val="en-US" w:eastAsia="zh-CN" w:bidi="ar-SA"/>
    </w:rPr>
    <w:tblPr/>
  </w:style>
  <w:style w:type="table" w:styleId="968">
    <w:name w:val="List Table 5 Dark - Accent 2"/>
    <w:next w:val="968"/>
    <w:link w:val="682"/>
    <w:uiPriority w:val="99"/>
    <w:qFormat/>
    <w:rPr>
      <w:lang w:val="en-US" w:eastAsia="zh-CN" w:bidi="ar-SA"/>
    </w:rPr>
    <w:tblPr/>
  </w:style>
  <w:style w:type="table" w:styleId="969">
    <w:name w:val="List Table 5 Dark - Accent 3"/>
    <w:next w:val="969"/>
    <w:link w:val="682"/>
    <w:uiPriority w:val="99"/>
    <w:qFormat/>
    <w:rPr>
      <w:lang w:val="en-US" w:eastAsia="zh-CN" w:bidi="ar-SA"/>
    </w:rPr>
    <w:tblPr/>
  </w:style>
  <w:style w:type="table" w:styleId="970">
    <w:name w:val="List Table 5 Dark - Accent 4"/>
    <w:next w:val="970"/>
    <w:link w:val="682"/>
    <w:uiPriority w:val="99"/>
    <w:qFormat/>
    <w:rPr>
      <w:lang w:val="en-US" w:eastAsia="zh-CN" w:bidi="ar-SA"/>
    </w:rPr>
    <w:tblPr/>
  </w:style>
  <w:style w:type="table" w:styleId="971">
    <w:name w:val="List Table 5 Dark - Accent 5"/>
    <w:next w:val="971"/>
    <w:link w:val="682"/>
    <w:uiPriority w:val="99"/>
    <w:qFormat/>
    <w:rPr>
      <w:lang w:val="en-US" w:eastAsia="zh-CN" w:bidi="ar-SA"/>
    </w:rPr>
    <w:tblPr/>
  </w:style>
  <w:style w:type="table" w:styleId="972">
    <w:name w:val="List Table 5 Dark - Accent 6"/>
    <w:next w:val="972"/>
    <w:link w:val="682"/>
    <w:uiPriority w:val="99"/>
    <w:qFormat/>
    <w:rPr>
      <w:lang w:val="en-US" w:eastAsia="zh-CN" w:bidi="ar-SA"/>
    </w:rPr>
    <w:tblPr/>
  </w:style>
  <w:style w:type="table" w:styleId="973">
    <w:name w:val="List Table 6 Colorful - Accent 1"/>
    <w:next w:val="973"/>
    <w:link w:val="682"/>
    <w:uiPriority w:val="99"/>
    <w:qFormat/>
    <w:rPr>
      <w:lang w:val="en-US" w:eastAsia="zh-CN" w:bidi="ar-SA"/>
    </w:rPr>
    <w:tblPr/>
  </w:style>
  <w:style w:type="table" w:styleId="974">
    <w:name w:val="List Table 6 Colorful - Accent 2"/>
    <w:next w:val="974"/>
    <w:link w:val="682"/>
    <w:uiPriority w:val="99"/>
    <w:qFormat/>
    <w:rPr>
      <w:lang w:val="en-US" w:eastAsia="zh-CN" w:bidi="ar-SA"/>
    </w:rPr>
    <w:tblPr/>
  </w:style>
  <w:style w:type="table" w:styleId="975">
    <w:name w:val="List Table 6 Colorful - Accent 3"/>
    <w:next w:val="975"/>
    <w:link w:val="682"/>
    <w:uiPriority w:val="99"/>
    <w:qFormat/>
    <w:rPr>
      <w:lang w:val="en-US" w:eastAsia="zh-CN" w:bidi="ar-SA"/>
    </w:rPr>
    <w:tblPr/>
  </w:style>
  <w:style w:type="table" w:styleId="976">
    <w:name w:val="List Table 6 Colorful - Accent 4"/>
    <w:next w:val="976"/>
    <w:link w:val="682"/>
    <w:uiPriority w:val="99"/>
    <w:qFormat/>
    <w:rPr>
      <w:lang w:val="en-US" w:eastAsia="zh-CN" w:bidi="ar-SA"/>
    </w:rPr>
    <w:tblPr/>
  </w:style>
  <w:style w:type="table" w:styleId="977">
    <w:name w:val="List Table 6 Colorful - Accent 5"/>
    <w:next w:val="977"/>
    <w:link w:val="682"/>
    <w:uiPriority w:val="99"/>
    <w:qFormat/>
    <w:rPr>
      <w:lang w:val="en-US" w:eastAsia="zh-CN" w:bidi="ar-SA"/>
    </w:rPr>
    <w:tblPr/>
  </w:style>
  <w:style w:type="table" w:styleId="978">
    <w:name w:val="List Table 6 Colorful - Accent 6"/>
    <w:next w:val="978"/>
    <w:link w:val="682"/>
    <w:uiPriority w:val="99"/>
    <w:qFormat/>
    <w:rPr>
      <w:lang w:val="en-US" w:eastAsia="zh-CN" w:bidi="ar-SA"/>
    </w:rPr>
    <w:tblPr/>
  </w:style>
  <w:style w:type="table" w:styleId="979">
    <w:name w:val="List Table 7 Colorful - Accent 1"/>
    <w:next w:val="979"/>
    <w:link w:val="682"/>
    <w:uiPriority w:val="99"/>
    <w:qFormat/>
    <w:rPr>
      <w:lang w:val="en-US" w:eastAsia="zh-CN" w:bidi="ar-SA"/>
    </w:rPr>
    <w:tblPr/>
  </w:style>
  <w:style w:type="table" w:styleId="980">
    <w:name w:val="List Table 7 Colorful - Accent 2"/>
    <w:next w:val="980"/>
    <w:link w:val="682"/>
    <w:uiPriority w:val="99"/>
    <w:qFormat/>
    <w:rPr>
      <w:lang w:val="en-US" w:eastAsia="zh-CN" w:bidi="ar-SA"/>
    </w:rPr>
    <w:tblPr/>
  </w:style>
  <w:style w:type="table" w:styleId="981">
    <w:name w:val="List Table 7 Colorful - Accent 3"/>
    <w:next w:val="981"/>
    <w:link w:val="682"/>
    <w:uiPriority w:val="99"/>
    <w:qFormat/>
    <w:rPr>
      <w:lang w:val="en-US" w:eastAsia="zh-CN" w:bidi="ar-SA"/>
    </w:rPr>
    <w:tblPr/>
  </w:style>
  <w:style w:type="table" w:styleId="982">
    <w:name w:val="List Table 7 Colorful - Accent 4"/>
    <w:next w:val="982"/>
    <w:link w:val="682"/>
    <w:uiPriority w:val="99"/>
    <w:qFormat/>
    <w:rPr>
      <w:lang w:val="en-US" w:eastAsia="zh-CN" w:bidi="ar-SA"/>
    </w:rPr>
    <w:tblPr/>
  </w:style>
  <w:style w:type="table" w:styleId="983">
    <w:name w:val="List Table 7 Colorful - Accent 5"/>
    <w:next w:val="983"/>
    <w:link w:val="682"/>
    <w:uiPriority w:val="99"/>
    <w:qFormat/>
    <w:rPr>
      <w:lang w:val="en-US" w:eastAsia="zh-CN" w:bidi="ar-SA"/>
    </w:rPr>
    <w:tblPr/>
  </w:style>
  <w:style w:type="table" w:styleId="984">
    <w:name w:val="List Table 7 Colorful - Accent 6"/>
    <w:next w:val="984"/>
    <w:link w:val="682"/>
    <w:uiPriority w:val="99"/>
    <w:qFormat/>
    <w:rPr>
      <w:lang w:val="en-US" w:eastAsia="zh-CN" w:bidi="ar-SA"/>
    </w:rPr>
    <w:tblPr/>
  </w:style>
  <w:style w:type="table" w:styleId="985">
    <w:name w:val="Lined - Accent"/>
    <w:next w:val="985"/>
    <w:link w:val="682"/>
    <w:uiPriority w:val="99"/>
    <w:qFormat/>
    <w:rPr>
      <w:color w:val="404040"/>
      <w:lang w:val="en-US" w:eastAsia="zh-CN" w:bidi="ar-SA"/>
    </w:rPr>
    <w:tblPr/>
  </w:style>
  <w:style w:type="table" w:styleId="986">
    <w:name w:val="Lined - Accent 1"/>
    <w:next w:val="986"/>
    <w:link w:val="682"/>
    <w:uiPriority w:val="99"/>
    <w:qFormat/>
    <w:rPr>
      <w:color w:val="404040"/>
      <w:lang w:val="en-US" w:eastAsia="zh-CN" w:bidi="ar-SA"/>
    </w:rPr>
    <w:tblPr/>
  </w:style>
  <w:style w:type="table" w:styleId="987">
    <w:name w:val="Lined - Accent 2"/>
    <w:next w:val="987"/>
    <w:link w:val="682"/>
    <w:uiPriority w:val="99"/>
    <w:qFormat/>
    <w:rPr>
      <w:color w:val="404040"/>
      <w:lang w:val="en-US" w:eastAsia="zh-CN" w:bidi="ar-SA"/>
    </w:rPr>
    <w:tblPr/>
  </w:style>
  <w:style w:type="table" w:styleId="988">
    <w:name w:val="Lined - Accent 3"/>
    <w:next w:val="988"/>
    <w:link w:val="682"/>
    <w:uiPriority w:val="99"/>
    <w:qFormat/>
    <w:rPr>
      <w:color w:val="404040"/>
      <w:lang w:val="en-US" w:eastAsia="zh-CN" w:bidi="ar-SA"/>
    </w:rPr>
    <w:tblPr/>
  </w:style>
  <w:style w:type="table" w:styleId="989">
    <w:name w:val="Lined - Accent 4"/>
    <w:next w:val="989"/>
    <w:link w:val="682"/>
    <w:uiPriority w:val="99"/>
    <w:qFormat/>
    <w:rPr>
      <w:color w:val="404040"/>
      <w:lang w:val="en-US" w:eastAsia="zh-CN" w:bidi="ar-SA"/>
    </w:rPr>
    <w:tblPr/>
  </w:style>
  <w:style w:type="table" w:styleId="990">
    <w:name w:val="Lined - Accent 5"/>
    <w:next w:val="990"/>
    <w:link w:val="682"/>
    <w:uiPriority w:val="99"/>
    <w:qFormat/>
    <w:rPr>
      <w:color w:val="404040"/>
      <w:lang w:val="en-US" w:eastAsia="zh-CN" w:bidi="ar-SA"/>
    </w:rPr>
    <w:tblPr/>
  </w:style>
  <w:style w:type="table" w:styleId="991">
    <w:name w:val="Lined - Accent 6"/>
    <w:next w:val="991"/>
    <w:link w:val="682"/>
    <w:uiPriority w:val="99"/>
    <w:qFormat/>
    <w:rPr>
      <w:color w:val="404040"/>
      <w:lang w:val="en-US" w:eastAsia="zh-CN" w:bidi="ar-SA"/>
    </w:rPr>
    <w:tblPr/>
  </w:style>
  <w:style w:type="table" w:styleId="992">
    <w:name w:val="Bordered &amp; Lined - Accent"/>
    <w:next w:val="992"/>
    <w:link w:val="682"/>
    <w:uiPriority w:val="99"/>
    <w:qFormat/>
    <w:rPr>
      <w:color w:val="404040"/>
      <w:lang w:val="en-US" w:eastAsia="zh-CN" w:bidi="ar-SA"/>
    </w:rPr>
    <w:tblPr/>
  </w:style>
  <w:style w:type="table" w:styleId="993">
    <w:name w:val="Bordered &amp; Lined - Accent 1"/>
    <w:next w:val="993"/>
    <w:link w:val="682"/>
    <w:uiPriority w:val="99"/>
    <w:qFormat/>
    <w:rPr>
      <w:color w:val="404040"/>
      <w:lang w:val="en-US" w:eastAsia="zh-CN" w:bidi="ar-SA"/>
    </w:rPr>
    <w:tblPr/>
  </w:style>
  <w:style w:type="table" w:styleId="994">
    <w:name w:val="Bordered &amp; Lined - Accent 2"/>
    <w:next w:val="994"/>
    <w:link w:val="682"/>
    <w:uiPriority w:val="99"/>
    <w:qFormat/>
    <w:rPr>
      <w:color w:val="404040"/>
      <w:lang w:val="en-US" w:eastAsia="zh-CN" w:bidi="ar-SA"/>
    </w:rPr>
    <w:tblPr/>
  </w:style>
  <w:style w:type="table" w:styleId="995">
    <w:name w:val="Bordered &amp; Lined - Accent 3"/>
    <w:next w:val="995"/>
    <w:link w:val="682"/>
    <w:uiPriority w:val="99"/>
    <w:qFormat/>
    <w:rPr>
      <w:color w:val="404040"/>
      <w:lang w:val="en-US" w:eastAsia="zh-CN" w:bidi="ar-SA"/>
    </w:rPr>
    <w:tblPr/>
  </w:style>
  <w:style w:type="table" w:styleId="996">
    <w:name w:val="Bordered &amp; Lined - Accent 4"/>
    <w:next w:val="996"/>
    <w:link w:val="682"/>
    <w:uiPriority w:val="99"/>
    <w:qFormat/>
    <w:rPr>
      <w:color w:val="404040"/>
      <w:lang w:val="en-US" w:eastAsia="zh-CN" w:bidi="ar-SA"/>
    </w:rPr>
    <w:tblPr/>
  </w:style>
  <w:style w:type="table" w:styleId="997">
    <w:name w:val="Bordered &amp; Lined - Accent 5"/>
    <w:next w:val="997"/>
    <w:link w:val="682"/>
    <w:uiPriority w:val="99"/>
    <w:qFormat/>
    <w:rPr>
      <w:color w:val="404040"/>
      <w:lang w:val="en-US" w:eastAsia="zh-CN" w:bidi="ar-SA"/>
    </w:rPr>
    <w:tblPr/>
  </w:style>
  <w:style w:type="table" w:styleId="998">
    <w:name w:val="Bordered &amp; Lined - Accent 6"/>
    <w:next w:val="998"/>
    <w:link w:val="682"/>
    <w:uiPriority w:val="99"/>
    <w:qFormat/>
    <w:rPr>
      <w:color w:val="404040"/>
      <w:lang w:val="en-US" w:eastAsia="zh-CN" w:bidi="ar-SA"/>
    </w:rPr>
    <w:tblPr/>
  </w:style>
  <w:style w:type="table" w:styleId="999">
    <w:name w:val="Bordered"/>
    <w:next w:val="999"/>
    <w:link w:val="682"/>
    <w:uiPriority w:val="99"/>
    <w:qFormat/>
    <w:rPr>
      <w:lang w:val="en-US" w:eastAsia="zh-CN" w:bidi="ar-SA"/>
    </w:rPr>
    <w:tblPr/>
  </w:style>
  <w:style w:type="table" w:styleId="1000">
    <w:name w:val="Bordered - Accent 1"/>
    <w:next w:val="1000"/>
    <w:link w:val="682"/>
    <w:uiPriority w:val="99"/>
    <w:qFormat/>
    <w:rPr>
      <w:lang w:val="en-US" w:eastAsia="zh-CN" w:bidi="ar-SA"/>
    </w:rPr>
    <w:tblPr/>
  </w:style>
  <w:style w:type="table" w:styleId="1001">
    <w:name w:val="Bordered - Accent 2"/>
    <w:next w:val="1001"/>
    <w:link w:val="682"/>
    <w:uiPriority w:val="99"/>
    <w:qFormat/>
    <w:rPr>
      <w:lang w:val="en-US" w:eastAsia="zh-CN" w:bidi="ar-SA"/>
    </w:rPr>
    <w:tblPr/>
  </w:style>
  <w:style w:type="table" w:styleId="1002">
    <w:name w:val="Bordered - Accent 3"/>
    <w:next w:val="1002"/>
    <w:link w:val="682"/>
    <w:uiPriority w:val="99"/>
    <w:qFormat/>
    <w:rPr>
      <w:lang w:val="en-US" w:eastAsia="zh-CN" w:bidi="ar-SA"/>
    </w:rPr>
    <w:tblPr/>
  </w:style>
  <w:style w:type="table" w:styleId="1003">
    <w:name w:val="Bordered - Accent 4"/>
    <w:next w:val="1003"/>
    <w:link w:val="682"/>
    <w:uiPriority w:val="99"/>
    <w:qFormat/>
    <w:rPr>
      <w:lang w:val="en-US" w:eastAsia="zh-CN" w:bidi="ar-SA"/>
    </w:rPr>
    <w:tblPr/>
  </w:style>
  <w:style w:type="table" w:styleId="1004">
    <w:name w:val="Bordered - Accent 5"/>
    <w:next w:val="1004"/>
    <w:link w:val="682"/>
    <w:uiPriority w:val="99"/>
    <w:qFormat/>
    <w:rPr>
      <w:lang w:val="en-US" w:eastAsia="zh-CN" w:bidi="ar-SA"/>
    </w:rPr>
    <w:tblPr/>
  </w:style>
  <w:style w:type="table" w:styleId="1005">
    <w:name w:val="Bordered - Accent 6"/>
    <w:next w:val="1005"/>
    <w:link w:val="682"/>
    <w:uiPriority w:val="99"/>
    <w:qFormat/>
    <w:rPr>
      <w:lang w:val="en-US" w:eastAsia="zh-CN" w:bidi="ar-SA"/>
    </w:rPr>
    <w:tblPr/>
  </w:style>
  <w:style w:type="paragraph" w:styleId="1006">
    <w:name w:val="TOC 标题11"/>
    <w:next w:val="1006"/>
    <w:link w:val="682"/>
    <w:uiPriority w:val="39"/>
    <w:unhideWhenUsed/>
    <w:qFormat/>
    <w:rPr>
      <w:lang w:val="en-US" w:eastAsia="zh-CN" w:bidi="ar-SA"/>
    </w:rPr>
  </w:style>
  <w:style w:type="paragraph" w:styleId="1007">
    <w:name w:val="标题 11"/>
    <w:basedOn w:val="682"/>
    <w:next w:val="682"/>
    <w:link w:val="682"/>
    <w:qFormat/>
    <w:pPr>
      <w:ind w:left="432" w:firstLine="18"/>
      <w:spacing w:before="340" w:after="330" w:line="578" w:lineRule="auto"/>
      <w:outlineLvl w:val="0"/>
    </w:pPr>
  </w:style>
  <w:style w:type="paragraph" w:styleId="1008">
    <w:name w:val="标题 31"/>
    <w:basedOn w:val="682"/>
    <w:next w:val="682"/>
    <w:link w:val="682"/>
    <w:qFormat/>
    <w:pPr>
      <w:jc w:val="left"/>
      <w:keepLines/>
      <w:keepNext/>
      <w:outlineLvl w:val="2"/>
    </w:pPr>
    <w:rPr>
      <w:b/>
    </w:rPr>
  </w:style>
  <w:style w:type="character" w:styleId="1009">
    <w:name w:val="默认段落字体1"/>
    <w:next w:val="1009"/>
    <w:link w:val="682"/>
    <w:uiPriority w:val="1"/>
    <w:unhideWhenUsed/>
    <w:qFormat/>
  </w:style>
  <w:style w:type="table" w:styleId="1010">
    <w:name w:val="普通表格1"/>
    <w:next w:val="1010"/>
    <w:link w:val="682"/>
    <w:uiPriority w:val="99"/>
    <w:unhideWhenUsed/>
    <w:qFormat/>
    <w:rPr>
      <w:lang w:val="en-US" w:eastAsia="zh-CN" w:bidi="ar-SA"/>
    </w:rPr>
    <w:tblPr/>
  </w:style>
  <w:style w:type="paragraph" w:styleId="1011">
    <w:name w:val="正文缩进1"/>
    <w:basedOn w:val="682"/>
    <w:next w:val="1011"/>
    <w:link w:val="682"/>
    <w:qFormat/>
    <w:pPr>
      <w:ind w:firstLine="420"/>
      <w:jc w:val="left"/>
    </w:pPr>
    <w:rPr>
      <w:sz w:val="24"/>
    </w:rPr>
  </w:style>
  <w:style w:type="paragraph" w:styleId="1012">
    <w:name w:val="批注文字1"/>
    <w:basedOn w:val="682"/>
    <w:next w:val="1012"/>
    <w:link w:val="1013"/>
    <w:qFormat/>
    <w:pPr>
      <w:jc w:val="left"/>
    </w:pPr>
  </w:style>
  <w:style w:type="character" w:styleId="1013">
    <w:name w:val="批注文字 字符"/>
    <w:next w:val="1013"/>
    <w:link w:val="1012"/>
    <w:qFormat/>
    <w:rPr>
      <w:rFonts w:ascii="Calibri" w:hAnsi="Calibri"/>
      <w:sz w:val="21"/>
      <w:szCs w:val="24"/>
    </w:rPr>
  </w:style>
  <w:style w:type="paragraph" w:styleId="1014">
    <w:name w:val="正文文本缩进1"/>
    <w:basedOn w:val="682"/>
    <w:next w:val="682"/>
    <w:link w:val="682"/>
    <w:qFormat/>
    <w:pPr>
      <w:ind w:left="570"/>
      <w:spacing w:line="520" w:lineRule="exact"/>
    </w:pPr>
    <w:rPr>
      <w:rFonts w:ascii="方正仿宋简体" w:hAnsi="创艺简仿宋" w:eastAsia="方正仿宋简体"/>
      <w:sz w:val="24"/>
    </w:rPr>
  </w:style>
  <w:style w:type="paragraph" w:styleId="1015">
    <w:name w:val="文本块1"/>
    <w:basedOn w:val="1007"/>
    <w:next w:val="682"/>
    <w:link w:val="682"/>
    <w:qFormat/>
    <w:pPr>
      <w:ind w:left="420" w:right="33" w:firstLine="2560"/>
      <w:spacing w:before="0" w:after="0" w:line="240" w:lineRule="auto"/>
    </w:pPr>
    <w:rPr>
      <w:rFonts w:ascii="Times New Roman" w:hAnsi="Times New Roman"/>
    </w:rPr>
  </w:style>
  <w:style w:type="paragraph" w:styleId="1016">
    <w:name w:val="纯文本111"/>
    <w:basedOn w:val="682"/>
    <w:next w:val="1016"/>
    <w:link w:val="682"/>
    <w:qFormat/>
    <w:rPr>
      <w:rFonts w:ascii="宋体" w:hAnsi="Courier New"/>
    </w:rPr>
  </w:style>
  <w:style w:type="paragraph" w:styleId="1017">
    <w:name w:val="日期1"/>
    <w:basedOn w:val="682"/>
    <w:next w:val="682"/>
    <w:link w:val="1018"/>
    <w:qFormat/>
    <w:pPr>
      <w:ind w:left="100"/>
    </w:pPr>
  </w:style>
  <w:style w:type="character" w:styleId="1018">
    <w:name w:val="日期 字符"/>
    <w:next w:val="1018"/>
    <w:link w:val="1017"/>
    <w:qFormat/>
    <w:rPr>
      <w:rFonts w:ascii="Calibri" w:hAnsi="Calibri"/>
      <w:sz w:val="21"/>
      <w:szCs w:val="24"/>
    </w:rPr>
  </w:style>
  <w:style w:type="paragraph" w:styleId="1019">
    <w:name w:val="正文文本缩进 21"/>
    <w:basedOn w:val="682"/>
    <w:next w:val="1019"/>
    <w:link w:val="682"/>
    <w:qFormat/>
    <w:pPr>
      <w:ind w:firstLine="502"/>
      <w:spacing w:line="360" w:lineRule="auto"/>
      <w:tabs>
        <w:tab w:val="left" w:pos="0" w:leader="none"/>
      </w:tabs>
    </w:pPr>
    <w:rPr>
      <w:rFonts w:ascii="宋体"/>
      <w:b/>
      <w:bCs/>
      <w:sz w:val="24"/>
    </w:rPr>
  </w:style>
  <w:style w:type="paragraph" w:styleId="1020">
    <w:name w:val="批注框文本1"/>
    <w:basedOn w:val="682"/>
    <w:next w:val="1020"/>
    <w:link w:val="682"/>
    <w:semiHidden/>
    <w:qFormat/>
    <w:rPr>
      <w:sz w:val="18"/>
      <w:szCs w:val="18"/>
    </w:rPr>
  </w:style>
  <w:style w:type="paragraph" w:styleId="1021">
    <w:name w:val="页脚1"/>
    <w:basedOn w:val="682"/>
    <w:next w:val="1021"/>
    <w:link w:val="1022"/>
    <w:uiPriority w:val="99"/>
    <w:qFormat/>
    <w:pPr>
      <w:jc w:val="left"/>
      <w:tabs>
        <w:tab w:val="center" w:pos="4153" w:leader="none"/>
        <w:tab w:val="right" w:pos="8306" w:leader="none"/>
      </w:tabs>
    </w:pPr>
    <w:rPr>
      <w:sz w:val="18"/>
    </w:rPr>
  </w:style>
  <w:style w:type="character" w:styleId="1022">
    <w:name w:val="页脚 字符"/>
    <w:next w:val="1022"/>
    <w:link w:val="1021"/>
    <w:uiPriority w:val="99"/>
    <w:qFormat/>
    <w:rPr>
      <w:rFonts w:ascii="Calibri" w:hAnsi="Calibri"/>
      <w:sz w:val="18"/>
      <w:szCs w:val="24"/>
    </w:rPr>
  </w:style>
  <w:style w:type="paragraph" w:styleId="1023">
    <w:name w:val="寄信人地址1"/>
    <w:basedOn w:val="682"/>
    <w:next w:val="1023"/>
    <w:link w:val="682"/>
    <w:qFormat/>
    <w:rPr>
      <w:rFonts w:ascii="Arial" w:hAnsi="Arial"/>
    </w:rPr>
  </w:style>
  <w:style w:type="paragraph" w:styleId="1024">
    <w:name w:val="页眉1"/>
    <w:basedOn w:val="682"/>
    <w:next w:val="1024"/>
    <w:link w:val="68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25">
    <w:name w:val="脚注文本1"/>
    <w:basedOn w:val="1007"/>
    <w:next w:val="1015"/>
    <w:link w:val="682"/>
    <w:qFormat/>
    <w:pPr>
      <w:ind w:left="0" w:firstLine="3584"/>
      <w:spacing w:before="0" w:after="0" w:line="360" w:lineRule="auto"/>
    </w:pPr>
    <w:rPr>
      <w:rFonts w:ascii="Times New Roman" w:hAnsi="Times New Roman"/>
    </w:rPr>
  </w:style>
  <w:style w:type="paragraph" w:styleId="1026">
    <w:name w:val="正文文本缩进 31"/>
    <w:basedOn w:val="682"/>
    <w:next w:val="1026"/>
    <w:link w:val="682"/>
    <w:qFormat/>
    <w:pPr>
      <w:ind w:firstLine="617"/>
      <w:spacing w:line="360" w:lineRule="auto"/>
    </w:pPr>
    <w:rPr>
      <w:sz w:val="24"/>
    </w:rPr>
  </w:style>
  <w:style w:type="paragraph" w:styleId="1027">
    <w:name w:val="正文文本 21"/>
    <w:basedOn w:val="682"/>
    <w:next w:val="1027"/>
    <w:link w:val="682"/>
    <w:qFormat/>
    <w:pPr>
      <w:spacing w:after="120" w:line="480" w:lineRule="auto"/>
    </w:pPr>
  </w:style>
  <w:style w:type="paragraph" w:styleId="1028">
    <w:name w:val="普通(网站)1"/>
    <w:basedOn w:val="682"/>
    <w:next w:val="1028"/>
    <w:link w:val="682"/>
    <w:qFormat/>
    <w:pPr>
      <w:jc w:val="left"/>
      <w:spacing w:before="100" w:beforeAutospacing="1" w:after="100" w:afterAutospacing="1"/>
      <w:widowControl/>
    </w:pPr>
    <w:rPr>
      <w:rFonts w:ascii="宋体" w:hAnsi="宋体" w:cs="宋体"/>
      <w:sz w:val="24"/>
    </w:rPr>
  </w:style>
  <w:style w:type="paragraph" w:styleId="1029">
    <w:name w:val="批注主题1"/>
    <w:basedOn w:val="1012"/>
    <w:next w:val="1012"/>
    <w:link w:val="1030"/>
    <w:qFormat/>
    <w:rPr>
      <w:b/>
      <w:bCs/>
    </w:rPr>
  </w:style>
  <w:style w:type="character" w:styleId="1030">
    <w:name w:val="批注主题 字符"/>
    <w:next w:val="1030"/>
    <w:link w:val="1029"/>
    <w:qFormat/>
    <w:rPr>
      <w:rFonts w:ascii="Calibri" w:hAnsi="Calibri"/>
      <w:b/>
      <w:bCs/>
      <w:sz w:val="21"/>
      <w:szCs w:val="24"/>
    </w:rPr>
  </w:style>
  <w:style w:type="paragraph" w:styleId="1031">
    <w:name w:val="正文首行缩进 21"/>
    <w:basedOn w:val="1014"/>
    <w:next w:val="1031"/>
    <w:link w:val="682"/>
    <w:qFormat/>
    <w:pPr>
      <w:ind w:firstLine="420"/>
    </w:pPr>
  </w:style>
  <w:style w:type="table" w:styleId="1032">
    <w:name w:val="网格型1"/>
    <w:basedOn w:val="1010"/>
    <w:next w:val="1032"/>
    <w:link w:val="682"/>
    <w:uiPriority w:val="99"/>
    <w:qFormat/>
    <w:pPr>
      <w:jc w:val="both"/>
      <w:widowControl w:val="off"/>
    </w:pPr>
    <w:tblPr/>
  </w:style>
  <w:style w:type="character" w:styleId="1033">
    <w:name w:val="要点1"/>
    <w:next w:val="1033"/>
    <w:link w:val="682"/>
    <w:qFormat/>
    <w:rPr>
      <w:b/>
      <w:bCs/>
    </w:rPr>
  </w:style>
  <w:style w:type="character" w:styleId="1034">
    <w:name w:val="页码1"/>
    <w:next w:val="1034"/>
    <w:link w:val="682"/>
    <w:uiPriority w:val="99"/>
    <w:qFormat/>
  </w:style>
  <w:style w:type="character" w:styleId="1035">
    <w:name w:val="已访问的超链接1"/>
    <w:next w:val="1035"/>
    <w:link w:val="682"/>
    <w:qFormat/>
    <w:rPr>
      <w:color w:val="800080"/>
      <w:u w:val="none"/>
    </w:rPr>
  </w:style>
  <w:style w:type="character" w:styleId="1036">
    <w:name w:val="强调1"/>
    <w:next w:val="1036"/>
    <w:link w:val="682"/>
    <w:qFormat/>
    <w:rPr>
      <w:b/>
      <w:bCs/>
    </w:rPr>
  </w:style>
  <w:style w:type="character" w:styleId="1037">
    <w:name w:val="HTML 定义1"/>
    <w:next w:val="1037"/>
    <w:link w:val="682"/>
    <w:qFormat/>
  </w:style>
  <w:style w:type="character" w:styleId="1038">
    <w:name w:val="HTML 打字机1"/>
    <w:next w:val="1038"/>
    <w:link w:val="682"/>
    <w:qFormat/>
    <w:rPr>
      <w:rFonts w:ascii="monospace" w:hAnsi="monospace" w:eastAsia="monospace" w:cs="monospace"/>
      <w:sz w:val="20"/>
    </w:rPr>
  </w:style>
  <w:style w:type="character" w:styleId="1039">
    <w:name w:val="HTML 缩写1"/>
    <w:next w:val="1039"/>
    <w:link w:val="682"/>
    <w:qFormat/>
  </w:style>
  <w:style w:type="character" w:styleId="1040">
    <w:name w:val="HTML 变量1"/>
    <w:next w:val="1040"/>
    <w:link w:val="682"/>
    <w:qFormat/>
  </w:style>
  <w:style w:type="character" w:styleId="1041">
    <w:name w:val="超链接1"/>
    <w:next w:val="1041"/>
    <w:link w:val="682"/>
    <w:qFormat/>
    <w:rPr>
      <w:color w:val="0000ff"/>
      <w:u w:val="none"/>
    </w:rPr>
  </w:style>
  <w:style w:type="character" w:styleId="1042">
    <w:name w:val="HTML 代码1"/>
    <w:next w:val="1042"/>
    <w:link w:val="682"/>
    <w:qFormat/>
    <w:rPr>
      <w:rFonts w:ascii="monospace" w:hAnsi="monospace" w:eastAsia="monospace" w:cs="monospace"/>
      <w:sz w:val="20"/>
    </w:rPr>
  </w:style>
  <w:style w:type="character" w:styleId="1043">
    <w:name w:val="批注引用1"/>
    <w:next w:val="1043"/>
    <w:link w:val="682"/>
    <w:qFormat/>
    <w:rPr>
      <w:sz w:val="21"/>
      <w:szCs w:val="21"/>
    </w:rPr>
  </w:style>
  <w:style w:type="character" w:styleId="1044">
    <w:name w:val="HTML 引文1"/>
    <w:next w:val="1044"/>
    <w:link w:val="682"/>
    <w:qFormat/>
  </w:style>
  <w:style w:type="character" w:styleId="1045">
    <w:name w:val="脚注引用1"/>
    <w:next w:val="1045"/>
    <w:link w:val="682"/>
    <w:qFormat/>
    <w:rPr>
      <w:rFonts w:ascii="Times New Roman" w:hAnsi="Times New Roman" w:eastAsia="宋体" w:cs="Times New Roman"/>
      <w:vertAlign w:val="superscript"/>
    </w:rPr>
  </w:style>
  <w:style w:type="character" w:styleId="1046">
    <w:name w:val="HTML 键盘1"/>
    <w:next w:val="1046"/>
    <w:link w:val="682"/>
    <w:qFormat/>
    <w:rPr>
      <w:rFonts w:ascii="monospace" w:hAnsi="monospace" w:eastAsia="monospace" w:cs="monospace"/>
      <w:sz w:val="20"/>
    </w:rPr>
  </w:style>
  <w:style w:type="character" w:styleId="1047">
    <w:name w:val="HTML 样本1"/>
    <w:next w:val="1047"/>
    <w:link w:val="682"/>
    <w:qFormat/>
    <w:rPr>
      <w:rFonts w:ascii="monospace" w:hAnsi="monospace" w:eastAsia="monospace" w:cs="monospace"/>
      <w:shd w:val="clear" w:color="auto" w:fill="f9f9f9"/>
    </w:rPr>
  </w:style>
  <w:style w:type="paragraph" w:styleId="1048">
    <w:name w:val="正文1"/>
    <w:basedOn w:val="682"/>
    <w:next w:val="682"/>
    <w:link w:val="682"/>
    <w:qFormat/>
    <w:pPr>
      <w:ind w:left="420" w:firstLine="527"/>
      <w:spacing w:before="120" w:line="360" w:lineRule="auto"/>
    </w:pPr>
    <w:rPr>
      <w:rFonts w:ascii="宋体" w:hAnsi="宋体"/>
    </w:rPr>
  </w:style>
  <w:style w:type="character" w:styleId="1049">
    <w:name w:val="hover1"/>
    <w:next w:val="1049"/>
    <w:link w:val="682"/>
    <w:qFormat/>
  </w:style>
  <w:style w:type="character" w:styleId="1050">
    <w:name w:val="hover2"/>
    <w:next w:val="1050"/>
    <w:link w:val="682"/>
    <w:qFormat/>
    <w:rPr>
      <w:color w:val="2590eb"/>
    </w:rPr>
  </w:style>
  <w:style w:type="character" w:styleId="1051">
    <w:name w:val="hover3"/>
    <w:next w:val="1051"/>
    <w:link w:val="682"/>
    <w:qFormat/>
    <w:rPr>
      <w:color w:val="2590eb"/>
    </w:rPr>
  </w:style>
  <w:style w:type="paragraph" w:styleId="1052">
    <w:name w:val="Plain Text1"/>
    <w:basedOn w:val="682"/>
    <w:next w:val="1052"/>
    <w:link w:val="682"/>
    <w:qFormat/>
    <w:rPr>
      <w:rFonts w:ascii="宋体" w:hAnsi="Courier New"/>
    </w:rPr>
  </w:style>
  <w:style w:type="paragraph" w:styleId="1053">
    <w:name w:val="首行缩进"/>
    <w:basedOn w:val="682"/>
    <w:next w:val="1053"/>
    <w:link w:val="682"/>
    <w:qFormat/>
    <w:pPr>
      <w:ind w:firstLine="480"/>
    </w:pPr>
    <w:rPr>
      <w:szCs w:val="20"/>
      <w:lang w:val="zh-CN"/>
    </w:rPr>
  </w:style>
  <w:style w:type="paragraph" w:styleId="1054">
    <w:name w:val="列出段落112"/>
    <w:basedOn w:val="682"/>
    <w:next w:val="1054"/>
    <w:link w:val="682"/>
    <w:uiPriority w:val="34"/>
    <w:qFormat/>
    <w:pPr>
      <w:ind w:firstLine="420"/>
    </w:pPr>
  </w:style>
  <w:style w:type="paragraph" w:styleId="1055">
    <w:name w:val="纯文本1"/>
    <w:basedOn w:val="682"/>
    <w:next w:val="1055"/>
    <w:link w:val="682"/>
    <w:qFormat/>
    <w:rPr>
      <w:rFonts w:ascii="宋体" w:hAnsi="Courier New"/>
    </w:rPr>
  </w:style>
  <w:style w:type="paragraph" w:styleId="1056">
    <w:name w:val="纯文本11"/>
    <w:basedOn w:val="682"/>
    <w:next w:val="1056"/>
    <w:link w:val="682"/>
    <w:qFormat/>
    <w:rPr>
      <w:rFonts w:ascii="宋体" w:hAnsi="Courier New"/>
    </w:rPr>
  </w:style>
  <w:style w:type="paragraph" w:styleId="1057">
    <w:name w:val="纯文本3"/>
    <w:basedOn w:val="682"/>
    <w:next w:val="1057"/>
    <w:link w:val="682"/>
    <w:qFormat/>
    <w:rPr>
      <w:rFonts w:ascii="宋体" w:hAnsi="Courier New"/>
    </w:rPr>
  </w:style>
  <w:style w:type="paragraph" w:styleId="1058">
    <w:name w:val="标题3"/>
    <w:basedOn w:val="1008"/>
    <w:next w:val="1058"/>
    <w:link w:val="682"/>
    <w:qFormat/>
    <w:pPr>
      <w:contextualSpacing/>
      <w:jc w:val="center"/>
      <w:spacing w:before="100" w:after="100"/>
    </w:pPr>
    <w:rPr>
      <w:rFonts w:eastAsia="黑体" w:cs="宋体"/>
      <w:bCs/>
      <w:sz w:val="28"/>
    </w:rPr>
  </w:style>
  <w:style w:type="paragraph" w:styleId="1059">
    <w:name w:val="纯文本2"/>
    <w:basedOn w:val="682"/>
    <w:next w:val="1059"/>
    <w:link w:val="682"/>
    <w:qFormat/>
    <w:rPr>
      <w:rFonts w:ascii="宋体" w:hAnsi="Courier New"/>
    </w:rPr>
  </w:style>
  <w:style w:type="paragraph" w:styleId="1060">
    <w:name w:val="纯文本4"/>
    <w:basedOn w:val="682"/>
    <w:next w:val="1060"/>
    <w:link w:val="682"/>
    <w:qFormat/>
    <w:rPr>
      <w:rFonts w:ascii="宋体" w:hAnsi="Courier New"/>
    </w:rPr>
  </w:style>
  <w:style w:type="paragraph" w:styleId="1061">
    <w:name w:val="Body text|1"/>
    <w:basedOn w:val="682"/>
    <w:next w:val="1061"/>
    <w:link w:val="682"/>
    <w:qFormat/>
    <w:pPr>
      <w:ind w:left="190" w:firstLine="650"/>
      <w:jc w:val="left"/>
      <w:spacing w:after="270" w:line="590" w:lineRule="exact"/>
    </w:pPr>
    <w:rPr>
      <w:rFonts w:ascii="宋体" w:hAnsi="宋体" w:cs="宋体"/>
      <w:sz w:val="20"/>
      <w:lang w:val="zh-TW" w:eastAsia="zh-TW" w:bidi="zh-TW"/>
    </w:rPr>
  </w:style>
  <w:style w:type="paragraph" w:styleId="1062">
    <w:name w:val="纯文本6"/>
    <w:basedOn w:val="682"/>
    <w:next w:val="1062"/>
    <w:link w:val="682"/>
    <w:qFormat/>
    <w:rPr>
      <w:rFonts w:ascii="宋体" w:hAnsi="Courier New"/>
    </w:rPr>
  </w:style>
  <w:style w:type="paragraph" w:styleId="1063">
    <w:name w:val="纯文本15"/>
    <w:basedOn w:val="682"/>
    <w:next w:val="1063"/>
    <w:link w:val="682"/>
    <w:qFormat/>
    <w:rPr>
      <w:rFonts w:ascii="宋体" w:hAnsi="Courier New"/>
    </w:rPr>
  </w:style>
  <w:style w:type="paragraph" w:styleId="1064">
    <w:name w:val="修订1"/>
    <w:next w:val="1064"/>
    <w:link w:val="682"/>
    <w:uiPriority w:val="99"/>
    <w:unhideWhenUsed/>
    <w:qFormat/>
    <w:rPr>
      <w:rFonts w:ascii="Calibri" w:hAnsi="Calibri"/>
      <w:sz w:val="21"/>
      <w:szCs w:val="24"/>
      <w:lang w:val="en-US" w:eastAsia="zh-CN" w:bidi="ar-SA"/>
    </w:rPr>
  </w:style>
  <w:style w:type="paragraph" w:styleId="1065">
    <w:name w:val="修订2"/>
    <w:next w:val="1065"/>
    <w:link w:val="682"/>
    <w:uiPriority w:val="99"/>
    <w:unhideWhenUsed/>
    <w:qFormat/>
    <w:rPr>
      <w:rFonts w:ascii="Calibri" w:hAnsi="Calibri"/>
      <w:sz w:val="21"/>
      <w:szCs w:val="24"/>
      <w:lang w:val="en-US" w:eastAsia="zh-CN" w:bidi="ar-SA"/>
    </w:rPr>
  </w:style>
  <w:style w:type="paragraph" w:styleId="1066">
    <w:name w:val="修订3"/>
    <w:next w:val="1066"/>
    <w:link w:val="682"/>
    <w:uiPriority w:val="99"/>
    <w:unhideWhenUsed/>
    <w:qFormat/>
    <w:rPr>
      <w:rFonts w:ascii="Calibri" w:hAnsi="Calibri"/>
      <w:sz w:val="21"/>
      <w:szCs w:val="24"/>
      <w:lang w:val="en-US" w:eastAsia="zh-CN" w:bidi="ar-SA"/>
    </w:rPr>
  </w:style>
  <w:style w:type="paragraph" w:styleId="1067">
    <w:name w:val="正文 A"/>
    <w:next w:val="1067"/>
    <w:link w:val="682"/>
    <w:qFormat/>
    <w:pPr>
      <w:jc w:val="both"/>
      <w:widowControl w:val="off"/>
    </w:pPr>
    <w:rPr>
      <w:rFonts w:hAnsi="Arial Unicode MS" w:eastAsia="Arial Unicode MS" w:cs="Arial Unicode MS"/>
      <w:color w:val="000000"/>
      <w:sz w:val="21"/>
      <w:szCs w:val="21"/>
      <w:lang w:val="en-US" w:eastAsia="zh-CN" w:bidi="ar-SA"/>
    </w:rPr>
  </w:style>
  <w:style w:type="character" w:styleId="1068">
    <w:name w:val="NormalCharacter1"/>
    <w:next w:val="1068"/>
    <w:link w:val="682"/>
    <w:qFormat/>
  </w:style>
  <w:style w:type="paragraph" w:styleId="1069">
    <w:name w:val="_Style 91"/>
    <w:next w:val="1069"/>
    <w:link w:val="682"/>
    <w:uiPriority w:val="99"/>
    <w:qFormat/>
    <w:pPr>
      <w:ind w:firstLine="420"/>
      <w:jc w:val="both"/>
      <w:widowControl w:val="off"/>
    </w:pPr>
    <w:rPr>
      <w:rFonts w:ascii="Calibri" w:hAnsi="Calibri"/>
      <w:sz w:val="21"/>
      <w:szCs w:val="22"/>
      <w:lang w:val="en-US" w:eastAsia="zh-CN" w:bidi="ar-SA"/>
    </w:rPr>
  </w:style>
  <w:style w:type="character" w:styleId="1070">
    <w:name w:val="font51"/>
    <w:next w:val="1070"/>
    <w:link w:val="682"/>
    <w:qFormat/>
    <w:rPr>
      <w:rFonts w:ascii="黑体" w:hAnsi="宋体" w:eastAsia="黑体" w:cs="黑体"/>
      <w:color w:val="000000"/>
      <w:sz w:val="21"/>
      <w:szCs w:val="21"/>
      <w:u w:val="none"/>
    </w:rPr>
  </w:style>
  <w:style w:type="paragraph" w:styleId="1071">
    <w:name w:val="+正文"/>
    <w:basedOn w:val="682"/>
    <w:next w:val="1071"/>
    <w:link w:val="682"/>
    <w:qFormat/>
    <w:pPr>
      <w:ind w:firstLine="200"/>
      <w:spacing w:line="360" w:lineRule="auto"/>
    </w:pPr>
    <w:rPr>
      <w:rFonts w:eastAsia="楷体_GB2312"/>
      <w:sz w:val="24"/>
      <w:szCs w:val="28"/>
    </w:rPr>
  </w:style>
  <w:style w:type="paragraph" w:styleId="1072">
    <w:name w:val="List Paragraph3"/>
    <w:basedOn w:val="682"/>
    <w:next w:val="1072"/>
    <w:link w:val="682"/>
    <w:qFormat/>
    <w:pPr>
      <w:ind w:firstLine="420"/>
    </w:pPr>
    <w:rPr>
      <w:rFonts w:eastAsia="楷体_GB2312"/>
      <w:sz w:val="26"/>
      <w:szCs w:val="20"/>
    </w:rPr>
  </w:style>
  <w:style w:type="paragraph" w:styleId="1073">
    <w:name w:val="列出段落11"/>
    <w:basedOn w:val="682"/>
    <w:next w:val="1073"/>
    <w:link w:val="682"/>
    <w:uiPriority w:val="34"/>
    <w:qFormat/>
    <w:pPr>
      <w:ind w:firstLine="420"/>
    </w:pPr>
    <w:rPr>
      <w:szCs w:val="22"/>
    </w:rPr>
  </w:style>
  <w:style w:type="paragraph" w:styleId="1074">
    <w:name w:val="修订4"/>
    <w:next w:val="1074"/>
    <w:link w:val="682"/>
    <w:uiPriority w:val="99"/>
    <w:unhideWhenUsed/>
    <w:qFormat/>
    <w:rPr>
      <w:rFonts w:ascii="Calibri" w:hAnsi="Calibri"/>
      <w:sz w:val="21"/>
      <w:szCs w:val="24"/>
      <w:lang w:val="en-US" w:eastAsia="zh-CN" w:bidi="ar-SA"/>
    </w:rPr>
  </w:style>
  <w:style w:type="paragraph" w:styleId="1075">
    <w:name w:val="修订5"/>
    <w:next w:val="1075"/>
    <w:link w:val="682"/>
    <w:uiPriority w:val="99"/>
    <w:unhideWhenUsed/>
    <w:qFormat/>
    <w:rPr>
      <w:rFonts w:ascii="Calibri" w:hAnsi="Calibri"/>
      <w:sz w:val="21"/>
      <w:szCs w:val="24"/>
      <w:lang w:val="en-US" w:eastAsia="zh-CN" w:bidi="ar-SA"/>
    </w:rPr>
  </w:style>
  <w:style w:type="paragraph" w:styleId="1076">
    <w:name w:val="正文文本11"/>
    <w:basedOn w:val="682"/>
    <w:next w:val="1076"/>
    <w:link w:val="682"/>
    <w:qFormat/>
    <w:pPr>
      <w:jc w:val="left"/>
      <w:spacing w:line="360" w:lineRule="auto"/>
      <w:widowControl/>
    </w:pPr>
    <w:rPr>
      <w:sz w:val="24"/>
      <w:szCs w:val="20"/>
    </w:rPr>
  </w:style>
  <w:style w:type="character" w:styleId="1077">
    <w:name w:val="NormalCharacter11"/>
    <w:next w:val="1077"/>
    <w:link w:val="682"/>
    <w:semiHidden/>
    <w:qFormat/>
    <w:rPr>
      <w:rFonts w:ascii="Times New Roman" w:hAnsi="Times New Roman" w:eastAsia="宋体" w:cs="Times New Roman"/>
    </w:rPr>
  </w:style>
  <w:style w:type="character" w:styleId="1078">
    <w:name w:val="style91"/>
    <w:next w:val="1078"/>
    <w:link w:val="682"/>
    <w:qFormat/>
    <w:rPr>
      <w:rFonts w:hint="eastAsia" w:ascii="宋体" w:hAnsi="宋体" w:eastAsia="宋体"/>
      <w:color w:val="000000"/>
      <w:sz w:val="20"/>
      <w:szCs w:val="20"/>
      <w:u w:val="none"/>
    </w:rPr>
  </w:style>
  <w:style w:type="paragraph" w:styleId="1079">
    <w:name w:val="标题一级"/>
    <w:basedOn w:val="682"/>
    <w:next w:val="1079"/>
    <w:link w:val="682"/>
    <w:qFormat/>
    <w:rPr>
      <w:rFonts w:ascii="宋体" w:hAnsi="宋体"/>
      <w:b/>
      <w:szCs w:val="21"/>
    </w:rPr>
  </w:style>
  <w:style w:type="paragraph" w:styleId="1080">
    <w:name w:val="_Style 30"/>
    <w:basedOn w:val="682"/>
    <w:next w:val="856"/>
    <w:link w:val="682"/>
    <w:qFormat/>
    <w:rPr>
      <w:rFonts w:ascii="宋体" w:hAnsi="Courier New"/>
    </w:rPr>
  </w:style>
  <w:style w:type="paragraph" w:styleId="1081">
    <w:name w:val="修订6"/>
    <w:next w:val="1081"/>
    <w:link w:val="682"/>
    <w:uiPriority w:val="99"/>
    <w:unhideWhenUsed/>
    <w:qFormat/>
    <w:rPr>
      <w:rFonts w:ascii="Calibri" w:hAnsi="Calibri"/>
      <w:sz w:val="21"/>
      <w:szCs w:val="24"/>
      <w:lang w:val="en-US" w:eastAsia="zh-CN" w:bidi="ar-SA"/>
    </w:rPr>
  </w:style>
  <w:style w:type="character" w:styleId="1082">
    <w:name w:val="font41"/>
    <w:next w:val="1082"/>
    <w:link w:val="682"/>
    <w:rPr>
      <w:rFonts w:hint="eastAsia" w:ascii="宋体" w:hAnsi="宋体" w:eastAsia="宋体" w:cs="宋体"/>
      <w:color w:val="000000"/>
      <w:sz w:val="24"/>
      <w:szCs w:val="24"/>
      <w:u w:val="none"/>
    </w:rPr>
  </w:style>
  <w:style w:type="character" w:styleId="1083">
    <w:name w:val="font31"/>
    <w:next w:val="1083"/>
    <w:link w:val="682"/>
    <w:qFormat/>
    <w:rPr>
      <w:rFonts w:ascii="Times New Roman" w:hAnsi="Times New Roman" w:cs="Times New Roman"/>
      <w:color w:val="000000"/>
      <w:sz w:val="24"/>
      <w:szCs w:val="24"/>
      <w:u w:val="none"/>
    </w:rPr>
  </w:style>
  <w:style w:type="character" w:styleId="1084">
    <w:name w:val="font21"/>
    <w:next w:val="1084"/>
    <w:link w:val="682"/>
    <w:qFormat/>
    <w:rPr>
      <w:rFonts w:hint="eastAsia" w:ascii="宋体" w:hAnsi="宋体" w:eastAsia="宋体" w:cs="宋体"/>
      <w:color w:val="000000"/>
      <w:sz w:val="24"/>
      <w:szCs w:val="24"/>
      <w:u w:val="none"/>
    </w:rPr>
  </w:style>
  <w:style w:type="character" w:styleId="1085">
    <w:name w:val="font91"/>
    <w:next w:val="1085"/>
    <w:link w:val="682"/>
    <w:qFormat/>
    <w:rPr>
      <w:rFonts w:ascii="Calibri" w:hAnsi="Calibri" w:cs="Calibri"/>
      <w:color w:val="000000"/>
      <w:sz w:val="20"/>
      <w:szCs w:val="20"/>
      <w:u w:val="none"/>
    </w:rPr>
  </w:style>
  <w:style w:type="paragraph" w:styleId="1086">
    <w:name w:val="修订7"/>
    <w:next w:val="1086"/>
    <w:link w:val="682"/>
    <w:uiPriority w:val="99"/>
    <w:unhideWhenUsed/>
    <w:qFormat/>
    <w:rPr>
      <w:rFonts w:ascii="Calibri" w:hAnsi="Calibri"/>
      <w:sz w:val="21"/>
      <w:szCs w:val="24"/>
      <w:lang w:val="en-US" w:eastAsia="zh-CN" w:bidi="ar-SA"/>
    </w:rPr>
  </w:style>
  <w:style w:type="paragraph" w:styleId="1087">
    <w:name w:val="Revision"/>
    <w:next w:val="1087"/>
    <w:link w:val="682"/>
    <w:uiPriority w:val="99"/>
    <w:unhideWhenUsed/>
    <w:rPr>
      <w:rFonts w:ascii="Calibri" w:hAnsi="Calibri"/>
      <w:sz w:val="21"/>
      <w:szCs w:val="24"/>
      <w:lang w:val="en-US" w:eastAsia="zh-CN" w:bidi="ar-SA"/>
    </w:rPr>
  </w:style>
  <w:style w:type="character" w:styleId="12697" w:default="1">
    <w:name w:val="Default Paragraph Font"/>
    <w:uiPriority w:val="1"/>
    <w:semiHidden/>
    <w:unhideWhenUsed/>
  </w:style>
  <w:style w:type="numbering" w:styleId="12698" w:default="1">
    <w:name w:val="No List"/>
    <w:uiPriority w:val="99"/>
    <w:semiHidden/>
    <w:unhideWhenUsed/>
  </w:style>
  <w:style w:type="table" w:styleId="126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3</cp:revision>
  <dcterms:created xsi:type="dcterms:W3CDTF">2026-07-22T09:23:00Z</dcterms:created>
  <dcterms:modified xsi:type="dcterms:W3CDTF">2026-07-23T02:25:55Z</dcterms:modified>
</cp:coreProperties>
</file>