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0E8A038">
      <w:pPr>
        <w:keepNext w:val="0"/>
        <w:keepLines w:val="0"/>
        <w:pageBreakBefore w:val="0"/>
        <w:pBdr>
          <w:top w:val="none" w:color="000000" w:sz="0" w:space="0"/>
          <w:left w:val="none" w:color="000000" w:sz="0" w:space="0"/>
          <w:bottom w:val="none" w:color="000000" w:sz="0" w:space="0"/>
          <w:right w:val="none" w:color="000000" w:sz="0" w:space="0"/>
        </w:pBdr>
        <w:spacing w:beforeAutospacing="0" w:afterAutospacing="0" w:line="360" w:lineRule="auto"/>
        <w:jc w:val="center"/>
        <w:rPr>
          <w:rFonts w:hint="default" w:ascii="Times New Roman" w:hAnsi="Times New Roman" w:cs="Times New Roman" w:eastAsiaTheme="minorEastAsia"/>
          <w:color w:val="auto"/>
          <w:sz w:val="72"/>
          <w:highlight w:val="none"/>
        </w:rPr>
      </w:pPr>
    </w:p>
    <w:p w14:paraId="165E3063">
      <w:pPr>
        <w:keepNext w:val="0"/>
        <w:keepLines w:val="0"/>
        <w:pageBreakBefore w:val="0"/>
        <w:pBdr>
          <w:top w:val="none" w:color="000000" w:sz="0" w:space="0"/>
          <w:left w:val="none" w:color="000000" w:sz="0" w:space="0"/>
          <w:bottom w:val="none" w:color="000000" w:sz="0" w:space="0"/>
          <w:right w:val="none" w:color="000000" w:sz="0" w:space="0"/>
        </w:pBdr>
        <w:spacing w:beforeAutospacing="0" w:afterAutospacing="0" w:line="360" w:lineRule="auto"/>
        <w:jc w:val="center"/>
        <w:rPr>
          <w:rFonts w:hint="default" w:ascii="Times New Roman" w:hAnsi="Times New Roman" w:cs="Times New Roman"/>
          <w:color w:val="auto"/>
          <w:highlight w:val="none"/>
        </w:rPr>
      </w:pPr>
    </w:p>
    <w:p w14:paraId="0035B4A9">
      <w:pPr>
        <w:keepNext w:val="0"/>
        <w:keepLines w:val="0"/>
        <w:pageBreakBefore w:val="0"/>
        <w:pBdr>
          <w:top w:val="none" w:color="000000" w:sz="0" w:space="0"/>
          <w:left w:val="none" w:color="000000" w:sz="0" w:space="0"/>
          <w:bottom w:val="none" w:color="000000" w:sz="0" w:space="0"/>
          <w:right w:val="none" w:color="000000" w:sz="0" w:space="0"/>
        </w:pBdr>
        <w:spacing w:beforeAutospacing="0" w:afterAutospacing="0" w:line="360" w:lineRule="auto"/>
        <w:jc w:val="center"/>
        <w:rPr>
          <w:rFonts w:hint="default" w:ascii="Times New Roman" w:hAnsi="Times New Roman" w:cs="Times New Roman"/>
          <w:color w:val="auto"/>
          <w:highlight w:val="none"/>
        </w:rPr>
      </w:pPr>
      <w:r>
        <w:rPr>
          <w:rFonts w:hint="default" w:ascii="Times New Roman" w:hAnsi="Times New Roman" w:eastAsia="楷体" w:cs="Times New Roman"/>
          <w:b/>
          <w:color w:val="auto"/>
          <w:sz w:val="52"/>
          <w:highlight w:val="none"/>
        </w:rPr>
        <w:t>竞争性磋商文件</w:t>
      </w:r>
    </w:p>
    <w:p w14:paraId="21D69BB3">
      <w:pPr>
        <w:keepNext w:val="0"/>
        <w:keepLines w:val="0"/>
        <w:pageBreakBefore w:val="0"/>
        <w:pBdr>
          <w:top w:val="none" w:color="000000" w:sz="0" w:space="0"/>
          <w:left w:val="none" w:color="000000" w:sz="0" w:space="0"/>
          <w:bottom w:val="none" w:color="000000" w:sz="0" w:space="0"/>
          <w:right w:val="none" w:color="000000" w:sz="0" w:space="0"/>
        </w:pBdr>
        <w:spacing w:beforeAutospacing="0" w:afterAutospacing="0" w:line="360" w:lineRule="auto"/>
        <w:jc w:val="center"/>
        <w:rPr>
          <w:rFonts w:hint="default" w:ascii="Times New Roman" w:hAnsi="Times New Roman" w:cs="Times New Roman"/>
          <w:color w:val="auto"/>
          <w:highlight w:val="none"/>
        </w:rPr>
      </w:pPr>
      <w:r>
        <w:rPr>
          <w:rFonts w:hint="default" w:ascii="Times New Roman" w:hAnsi="Times New Roman" w:eastAsia="楷体" w:cs="Times New Roman"/>
          <w:color w:val="auto"/>
          <w:sz w:val="36"/>
          <w:highlight w:val="none"/>
        </w:rPr>
        <w:t>(全流程电子化不见面开标）</w:t>
      </w:r>
    </w:p>
    <w:p w14:paraId="0C8EBBA9">
      <w:pPr>
        <w:keepNext w:val="0"/>
        <w:keepLines w:val="0"/>
        <w:pageBreakBefore w:val="0"/>
        <w:pBdr>
          <w:top w:val="none" w:color="000000" w:sz="0" w:space="0"/>
          <w:left w:val="none" w:color="000000" w:sz="0" w:space="0"/>
          <w:bottom w:val="none" w:color="000000" w:sz="0" w:space="0"/>
          <w:right w:val="none" w:color="000000" w:sz="0" w:space="0"/>
        </w:pBdr>
        <w:spacing w:beforeAutospacing="0" w:afterAutospacing="0" w:line="360" w:lineRule="auto"/>
        <w:rPr>
          <w:rFonts w:hint="default" w:ascii="Times New Roman" w:hAnsi="Times New Roman" w:cs="Times New Roman"/>
          <w:color w:val="auto"/>
          <w:highlight w:val="none"/>
        </w:rPr>
      </w:pPr>
      <w:r>
        <w:rPr>
          <w:rFonts w:hint="default" w:ascii="Times New Roman" w:hAnsi="Times New Roman" w:cs="Times New Roman"/>
          <w:color w:val="auto"/>
          <w:sz w:val="24"/>
          <w:highlight w:val="none"/>
        </w:rPr>
        <w:t> </w:t>
      </w:r>
    </w:p>
    <w:p w14:paraId="20F71D47">
      <w:pPr>
        <w:keepNext w:val="0"/>
        <w:keepLines w:val="0"/>
        <w:pageBreakBefore w:val="0"/>
        <w:pBdr>
          <w:top w:val="none" w:color="000000" w:sz="0" w:space="0"/>
          <w:left w:val="none" w:color="000000" w:sz="0" w:space="0"/>
          <w:bottom w:val="none" w:color="000000" w:sz="0" w:space="0"/>
          <w:right w:val="none" w:color="000000" w:sz="0" w:space="0"/>
        </w:pBdr>
        <w:spacing w:beforeAutospacing="0" w:afterAutospacing="0" w:line="360" w:lineRule="auto"/>
        <w:ind w:firstLine="400"/>
        <w:rPr>
          <w:rFonts w:hint="default" w:ascii="Times New Roman" w:hAnsi="Times New Roman" w:cs="Times New Roman"/>
          <w:color w:val="auto"/>
          <w:highlight w:val="none"/>
        </w:rPr>
      </w:pPr>
      <w:r>
        <w:rPr>
          <w:rFonts w:hint="default" w:ascii="Times New Roman" w:hAnsi="Times New Roman" w:cs="Times New Roman"/>
          <w:color w:val="auto"/>
          <w:sz w:val="24"/>
          <w:highlight w:val="none"/>
        </w:rPr>
        <w:t> </w:t>
      </w:r>
    </w:p>
    <w:p w14:paraId="126B0FC2">
      <w:pPr>
        <w:keepNext w:val="0"/>
        <w:keepLines w:val="0"/>
        <w:pageBreakBefore w:val="0"/>
        <w:pBdr>
          <w:top w:val="none" w:color="000000" w:sz="0" w:space="0"/>
          <w:left w:val="none" w:color="000000" w:sz="0" w:space="0"/>
          <w:bottom w:val="none" w:color="000000" w:sz="0" w:space="0"/>
          <w:right w:val="none" w:color="000000" w:sz="0" w:space="0"/>
        </w:pBdr>
        <w:spacing w:beforeAutospacing="0" w:afterAutospacing="0" w:line="360" w:lineRule="auto"/>
        <w:ind w:left="2043" w:hanging="1405"/>
        <w:jc w:val="left"/>
        <w:rPr>
          <w:rFonts w:hint="eastAsia" w:ascii="Times New Roman" w:hAnsi="Times New Roman" w:eastAsia="宋体" w:cs="Times New Roman"/>
          <w:b/>
          <w:color w:val="auto"/>
          <w:sz w:val="28"/>
          <w:szCs w:val="28"/>
          <w:highlight w:val="none"/>
          <w:lang w:val="en-US" w:eastAsia="zh-CN"/>
        </w:rPr>
      </w:pPr>
      <w:r>
        <w:rPr>
          <w:rFonts w:hint="default" w:ascii="Times New Roman" w:hAnsi="Times New Roman" w:eastAsia="宋体" w:cs="Times New Roman"/>
          <w:b/>
          <w:color w:val="auto"/>
          <w:sz w:val="28"/>
          <w:szCs w:val="28"/>
          <w:highlight w:val="none"/>
        </w:rPr>
        <w:t>项目编号：JSZC-321203-TZTZ-C2026-000</w:t>
      </w:r>
      <w:r>
        <w:rPr>
          <w:rFonts w:hint="eastAsia" w:cs="Times New Roman"/>
          <w:b/>
          <w:color w:val="auto"/>
          <w:sz w:val="28"/>
          <w:szCs w:val="28"/>
          <w:highlight w:val="none"/>
          <w:lang w:val="en-US" w:eastAsia="zh-CN"/>
        </w:rPr>
        <w:t>2</w:t>
      </w:r>
    </w:p>
    <w:p w14:paraId="4E385A9A">
      <w:pPr>
        <w:keepNext w:val="0"/>
        <w:keepLines w:val="0"/>
        <w:pageBreakBefore w:val="0"/>
        <w:pBdr>
          <w:top w:val="none" w:color="000000" w:sz="0" w:space="0"/>
          <w:left w:val="none" w:color="000000" w:sz="0" w:space="0"/>
          <w:bottom w:val="none" w:color="000000" w:sz="0" w:space="0"/>
          <w:right w:val="none" w:color="000000" w:sz="0" w:space="0"/>
        </w:pBdr>
        <w:spacing w:beforeAutospacing="0" w:afterAutospacing="0" w:line="360" w:lineRule="auto"/>
        <w:ind w:left="2043" w:hanging="1405"/>
        <w:jc w:val="left"/>
        <w:rPr>
          <w:rFonts w:hint="default" w:ascii="Times New Roman" w:hAnsi="Times New Roman" w:eastAsia="宋体" w:cs="Times New Roman"/>
          <w:b/>
          <w:bCs/>
          <w:color w:val="auto"/>
          <w:sz w:val="28"/>
          <w:szCs w:val="28"/>
          <w:highlight w:val="none"/>
          <w14:ligatures w14:val="none"/>
        </w:rPr>
      </w:pPr>
      <w:r>
        <w:rPr>
          <w:rFonts w:hint="default" w:ascii="Times New Roman" w:hAnsi="Times New Roman" w:eastAsia="宋体" w:cs="Times New Roman"/>
          <w:b/>
          <w:color w:val="auto"/>
          <w:sz w:val="28"/>
          <w:szCs w:val="28"/>
          <w:highlight w:val="none"/>
        </w:rPr>
        <w:t>项目名称：</w:t>
      </w:r>
      <w:r>
        <w:rPr>
          <w:rFonts w:hint="default" w:ascii="Times New Roman" w:hAnsi="Times New Roman" w:eastAsia="宋体" w:cs="Times New Roman"/>
          <w:b/>
          <w:bCs/>
          <w:color w:val="auto"/>
          <w:sz w:val="28"/>
          <w:szCs w:val="28"/>
          <w:highlight w:val="none"/>
        </w:rPr>
        <w:t>化学新材料产业园区安全环保指导服务项目</w:t>
      </w:r>
    </w:p>
    <w:p w14:paraId="3BC0643A">
      <w:pPr>
        <w:keepNext w:val="0"/>
        <w:keepLines w:val="0"/>
        <w:pageBreakBefore w:val="0"/>
        <w:pBdr>
          <w:top w:val="none" w:color="000000" w:sz="0" w:space="0"/>
          <w:left w:val="none" w:color="000000" w:sz="0" w:space="0"/>
          <w:bottom w:val="none" w:color="000000" w:sz="0" w:space="0"/>
          <w:right w:val="none" w:color="000000" w:sz="0" w:space="0"/>
        </w:pBdr>
        <w:spacing w:beforeAutospacing="0" w:afterAutospacing="0" w:line="360" w:lineRule="auto"/>
        <w:jc w:val="center"/>
        <w:rPr>
          <w:rFonts w:hint="default" w:ascii="Times New Roman" w:hAnsi="Times New Roman" w:eastAsia="宋体" w:cs="Times New Roman"/>
          <w:color w:val="auto"/>
          <w:sz w:val="28"/>
          <w:szCs w:val="28"/>
          <w:highlight w:val="none"/>
        </w:rPr>
      </w:pPr>
    </w:p>
    <w:p w14:paraId="37495F67">
      <w:pPr>
        <w:keepNext w:val="0"/>
        <w:keepLines w:val="0"/>
        <w:pageBreakBefore w:val="0"/>
        <w:pBdr>
          <w:top w:val="none" w:color="000000" w:sz="0" w:space="0"/>
          <w:left w:val="none" w:color="000000" w:sz="0" w:space="0"/>
          <w:bottom w:val="none" w:color="000000" w:sz="0" w:space="0"/>
          <w:right w:val="none" w:color="000000" w:sz="0" w:space="0"/>
        </w:pBdr>
        <w:spacing w:beforeAutospacing="0" w:afterAutospacing="0" w:line="360" w:lineRule="auto"/>
        <w:jc w:val="center"/>
        <w:rPr>
          <w:rFonts w:hint="default" w:ascii="Times New Roman" w:hAnsi="Times New Roman" w:eastAsia="宋体" w:cs="Times New Roman"/>
          <w:color w:val="auto"/>
          <w:sz w:val="28"/>
          <w:szCs w:val="28"/>
          <w:highlight w:val="none"/>
        </w:rPr>
      </w:pPr>
    </w:p>
    <w:p w14:paraId="6C051CFC">
      <w:pPr>
        <w:keepNext w:val="0"/>
        <w:keepLines w:val="0"/>
        <w:pageBreakBefore w:val="0"/>
        <w:pBdr>
          <w:top w:val="none" w:color="000000" w:sz="0" w:space="0"/>
          <w:left w:val="none" w:color="000000" w:sz="0" w:space="0"/>
          <w:bottom w:val="none" w:color="000000" w:sz="0" w:space="0"/>
          <w:right w:val="none" w:color="000000" w:sz="0" w:space="0"/>
        </w:pBdr>
        <w:spacing w:beforeAutospacing="0" w:afterAutospacing="0" w:line="360" w:lineRule="auto"/>
        <w:jc w:val="center"/>
        <w:rPr>
          <w:rFonts w:hint="default" w:ascii="Times New Roman" w:hAnsi="Times New Roman" w:eastAsia="宋体" w:cs="Times New Roman"/>
          <w:b/>
          <w:color w:val="auto"/>
          <w:sz w:val="28"/>
          <w:szCs w:val="28"/>
          <w:highlight w:val="none"/>
          <w:lang w:eastAsia="zh-CN"/>
        </w:rPr>
      </w:pPr>
      <w:r>
        <w:rPr>
          <w:rFonts w:hint="default" w:ascii="Times New Roman" w:hAnsi="Times New Roman" w:eastAsia="宋体" w:cs="Times New Roman"/>
          <w:b/>
          <w:color w:val="auto"/>
          <w:sz w:val="28"/>
          <w:szCs w:val="28"/>
          <w:highlight w:val="none"/>
        </w:rPr>
        <w:t>采购单位:</w:t>
      </w:r>
      <w:r>
        <w:rPr>
          <w:rFonts w:hint="default" w:ascii="Times New Roman" w:hAnsi="Times New Roman" w:eastAsia="宋体" w:cs="Times New Roman"/>
          <w:b/>
          <w:color w:val="auto"/>
          <w:sz w:val="28"/>
          <w:szCs w:val="28"/>
          <w:highlight w:val="none"/>
          <w:lang w:eastAsia="zh-CN"/>
        </w:rPr>
        <w:t>泰州医药高新区(高港区)滨江工业园管理办公室</w:t>
      </w:r>
    </w:p>
    <w:p w14:paraId="186D0860">
      <w:pPr>
        <w:keepNext w:val="0"/>
        <w:keepLines w:val="0"/>
        <w:pageBreakBefore w:val="0"/>
        <w:pBdr>
          <w:top w:val="none" w:color="000000" w:sz="0" w:space="0"/>
          <w:left w:val="none" w:color="000000" w:sz="0" w:space="0"/>
          <w:bottom w:val="none" w:color="000000" w:sz="0" w:space="0"/>
          <w:right w:val="none" w:color="000000" w:sz="0" w:space="0"/>
        </w:pBdr>
        <w:spacing w:beforeAutospacing="0" w:afterAutospacing="0" w:line="360" w:lineRule="auto"/>
        <w:jc w:val="center"/>
        <w:rPr>
          <w:rFonts w:hint="default" w:ascii="Times New Roman" w:hAnsi="Times New Roman" w:eastAsia="宋体" w:cs="Times New Roman"/>
          <w:b/>
          <w:color w:val="auto"/>
          <w:sz w:val="28"/>
          <w:szCs w:val="28"/>
          <w:highlight w:val="none"/>
          <w:lang w:eastAsia="zh-CN"/>
        </w:rPr>
      </w:pPr>
      <w:r>
        <w:rPr>
          <w:rFonts w:hint="default" w:ascii="Times New Roman" w:hAnsi="Times New Roman" w:eastAsia="宋体" w:cs="Times New Roman"/>
          <w:b/>
          <w:color w:val="auto"/>
          <w:sz w:val="28"/>
          <w:szCs w:val="28"/>
          <w:highlight w:val="none"/>
        </w:rPr>
        <w:t>招标代理：</w:t>
      </w:r>
      <w:r>
        <w:rPr>
          <w:rFonts w:hint="default" w:ascii="Times New Roman" w:hAnsi="Times New Roman" w:eastAsia="宋体" w:cs="Times New Roman"/>
          <w:b/>
          <w:color w:val="auto"/>
          <w:sz w:val="28"/>
          <w:szCs w:val="28"/>
          <w:highlight w:val="none"/>
          <w:lang w:eastAsia="zh-CN"/>
        </w:rPr>
        <w:t>泰州市腾泽工程咨询管理有限公司</w:t>
      </w:r>
    </w:p>
    <w:p w14:paraId="1DA96E58">
      <w:pPr>
        <w:keepNext w:val="0"/>
        <w:keepLines w:val="0"/>
        <w:pageBreakBefore w:val="0"/>
        <w:pBdr>
          <w:top w:val="none" w:color="000000" w:sz="0" w:space="0"/>
          <w:left w:val="none" w:color="000000" w:sz="0" w:space="0"/>
          <w:bottom w:val="none" w:color="000000" w:sz="0" w:space="0"/>
          <w:right w:val="none" w:color="000000" w:sz="0" w:space="0"/>
        </w:pBdr>
        <w:spacing w:beforeAutospacing="0" w:afterAutospacing="0" w:line="360" w:lineRule="auto"/>
        <w:jc w:val="center"/>
        <w:rPr>
          <w:rFonts w:hint="default" w:ascii="Times New Roman" w:hAnsi="Times New Roman" w:eastAsia="宋体" w:cs="Times New Roman"/>
          <w:color w:val="auto"/>
          <w:sz w:val="28"/>
          <w:szCs w:val="28"/>
          <w:highlight w:val="none"/>
        </w:rPr>
      </w:pPr>
      <w:r>
        <w:rPr>
          <w:rFonts w:hint="default" w:ascii="Times New Roman" w:hAnsi="Times New Roman" w:eastAsia="宋体" w:cs="Times New Roman"/>
          <w:b/>
          <w:color w:val="auto"/>
          <w:sz w:val="28"/>
          <w:szCs w:val="28"/>
          <w:highlight w:val="none"/>
        </w:rPr>
        <w:t>202</w:t>
      </w:r>
      <w:r>
        <w:rPr>
          <w:rFonts w:hint="default" w:ascii="Times New Roman" w:hAnsi="Times New Roman" w:eastAsia="宋体" w:cs="Times New Roman"/>
          <w:b/>
          <w:color w:val="auto"/>
          <w:sz w:val="28"/>
          <w:szCs w:val="28"/>
          <w:highlight w:val="none"/>
          <w:lang w:val="en-US" w:eastAsia="zh-CN"/>
        </w:rPr>
        <w:t>6</w:t>
      </w:r>
      <w:r>
        <w:rPr>
          <w:rFonts w:hint="default" w:ascii="Times New Roman" w:hAnsi="Times New Roman" w:eastAsia="宋体" w:cs="Times New Roman"/>
          <w:b/>
          <w:color w:val="auto"/>
          <w:sz w:val="28"/>
          <w:szCs w:val="28"/>
          <w:highlight w:val="none"/>
        </w:rPr>
        <w:t>年</w:t>
      </w:r>
      <w:r>
        <w:rPr>
          <w:rFonts w:hint="default" w:ascii="Times New Roman" w:hAnsi="Times New Roman" w:cs="Times New Roman"/>
          <w:b/>
          <w:color w:val="auto"/>
          <w:sz w:val="28"/>
          <w:szCs w:val="28"/>
          <w:highlight w:val="none"/>
          <w:lang w:val="en-US" w:eastAsia="zh-CN"/>
        </w:rPr>
        <w:t>7</w:t>
      </w:r>
      <w:r>
        <w:rPr>
          <w:rFonts w:hint="default" w:ascii="Times New Roman" w:hAnsi="Times New Roman" w:eastAsia="宋体" w:cs="Times New Roman"/>
          <w:b/>
          <w:color w:val="auto"/>
          <w:sz w:val="28"/>
          <w:szCs w:val="28"/>
          <w:highlight w:val="none"/>
        </w:rPr>
        <w:t>月</w:t>
      </w:r>
    </w:p>
    <w:p w14:paraId="521B1252">
      <w:pPr>
        <w:keepNext w:val="0"/>
        <w:keepLines w:val="0"/>
        <w:pageBreakBefore w:val="0"/>
        <w:pBdr>
          <w:top w:val="none" w:color="000000" w:sz="0" w:space="0"/>
          <w:left w:val="none" w:color="000000" w:sz="0" w:space="0"/>
          <w:bottom w:val="none" w:color="000000" w:sz="0" w:space="0"/>
          <w:right w:val="none" w:color="000000" w:sz="0" w:space="0"/>
        </w:pBdr>
        <w:spacing w:beforeAutospacing="0" w:afterAutospacing="0" w:line="360" w:lineRule="auto"/>
        <w:jc w:val="center"/>
        <w:rPr>
          <w:rFonts w:hint="default" w:ascii="Times New Roman" w:hAnsi="Times New Roman" w:cs="Times New Roman"/>
          <w:color w:val="auto"/>
          <w:sz w:val="44"/>
          <w:highlight w:val="none"/>
        </w:rPr>
        <w:sectPr>
          <w:pgSz w:w="11906" w:h="16838"/>
          <w:pgMar w:top="1463" w:right="1803" w:bottom="1463" w:left="1803" w:header="851" w:footer="992" w:gutter="0"/>
          <w:pgNumType w:start="1"/>
          <w:cols w:space="1701" w:num="1"/>
          <w:docGrid w:linePitch="360" w:charSpace="0"/>
        </w:sectPr>
      </w:pPr>
    </w:p>
    <w:p w14:paraId="00275319">
      <w:pPr>
        <w:keepNext w:val="0"/>
        <w:keepLines w:val="0"/>
        <w:pageBreakBefore w:val="0"/>
        <w:pBdr>
          <w:top w:val="none" w:color="000000" w:sz="0" w:space="0"/>
          <w:left w:val="none" w:color="000000" w:sz="0" w:space="0"/>
          <w:bottom w:val="none" w:color="000000" w:sz="0" w:space="0"/>
          <w:right w:val="none" w:color="000000" w:sz="0" w:space="0"/>
        </w:pBdr>
        <w:spacing w:beforeAutospacing="0" w:afterAutospacing="0" w:line="360" w:lineRule="auto"/>
        <w:jc w:val="center"/>
        <w:rPr>
          <w:rFonts w:hint="default" w:ascii="Times New Roman" w:hAnsi="Times New Roman" w:cs="Times New Roman"/>
          <w:color w:val="auto"/>
          <w:highlight w:val="none"/>
        </w:rPr>
      </w:pPr>
      <w:r>
        <w:rPr>
          <w:rFonts w:hint="default" w:ascii="Times New Roman" w:hAnsi="Times New Roman" w:cs="Times New Roman"/>
          <w:color w:val="auto"/>
          <w:sz w:val="44"/>
          <w:highlight w:val="none"/>
        </w:rPr>
        <w:t>目录</w:t>
      </w:r>
    </w:p>
    <w:p w14:paraId="3ADC61FC">
      <w:pPr>
        <w:keepNext w:val="0"/>
        <w:keepLines w:val="0"/>
        <w:pageBreakBefore w:val="0"/>
        <w:pBdr>
          <w:top w:val="none" w:color="000000" w:sz="0" w:space="0"/>
          <w:left w:val="none" w:color="000000" w:sz="0" w:space="0"/>
          <w:bottom w:val="none" w:color="000000" w:sz="0" w:space="0"/>
          <w:right w:val="none" w:color="000000" w:sz="0" w:space="0"/>
        </w:pBdr>
        <w:spacing w:beforeAutospacing="0" w:afterAutospacing="0" w:line="360" w:lineRule="auto"/>
        <w:ind w:firstLine="571"/>
        <w:rPr>
          <w:rFonts w:hint="default" w:ascii="Times New Roman" w:hAnsi="Times New Roman" w:cs="Times New Roman"/>
          <w:color w:val="auto"/>
          <w:highlight w:val="none"/>
        </w:rPr>
      </w:pPr>
      <w:r>
        <w:rPr>
          <w:rFonts w:hint="default" w:ascii="Times New Roman" w:hAnsi="Times New Roman" w:cs="Times New Roman"/>
          <w:color w:val="auto"/>
          <w:sz w:val="28"/>
          <w:highlight w:val="none"/>
        </w:rPr>
        <w:t> </w:t>
      </w:r>
    </w:p>
    <w:sdt>
      <w:sdtPr>
        <w:rPr>
          <w:rFonts w:hint="default" w:ascii="Times New Roman" w:hAnsi="Times New Roman" w:cs="Times New Roman"/>
          <w:color w:val="auto"/>
          <w:highlight w:val="none"/>
        </w:rPr>
        <w:id w:val="147458613"/>
      </w:sdtPr>
      <w:sdtEndPr>
        <w:rPr>
          <w:rFonts w:hint="default" w:ascii="Times New Roman" w:hAnsi="Times New Roman" w:cs="Times New Roman"/>
          <w:color w:val="auto"/>
          <w:highlight w:val="none"/>
        </w:rPr>
      </w:sdtEndPr>
      <w:sdtContent>
        <w:p w14:paraId="32776665">
          <w:pPr>
            <w:keepNext w:val="0"/>
            <w:keepLines w:val="0"/>
            <w:pageBreakBefore w:val="0"/>
            <w:pBdr>
              <w:top w:val="none" w:color="000000" w:sz="0" w:space="0"/>
              <w:left w:val="none" w:color="000000" w:sz="0" w:space="0"/>
              <w:bottom w:val="none" w:color="000000" w:sz="0" w:space="0"/>
              <w:right w:val="none" w:color="000000" w:sz="0" w:space="0"/>
            </w:pBdr>
            <w:spacing w:beforeAutospacing="0" w:afterAutospacing="0" w:line="360" w:lineRule="auto"/>
            <w:rPr>
              <w:rFonts w:hint="default" w:ascii="Times New Roman" w:hAnsi="Times New Roman" w:cs="Times New Roman"/>
              <w:color w:val="auto"/>
              <w:highlight w:val="none"/>
            </w:rPr>
          </w:pPr>
          <w:r>
            <w:rPr>
              <w:rFonts w:hint="default" w:ascii="Times New Roman" w:hAnsi="Times New Roman" w:cs="Times New Roman"/>
              <w:color w:val="auto"/>
              <w:highlight w:val="none"/>
            </w:rPr>
            <w:fldChar w:fldCharType="begin"/>
          </w:r>
          <w:r>
            <w:rPr>
              <w:rFonts w:hint="default" w:ascii="Times New Roman" w:hAnsi="Times New Roman" w:cs="Times New Roman"/>
              <w:color w:val="auto"/>
              <w:highlight w:val="none"/>
            </w:rPr>
            <w:instrText xml:space="preserve"> HYPERLINK "http://jszfcg.jscz.gov.cn/jszc/onlyoffice/7.2.1-34/web-apps/apps/documenteditor/main/index_loader.html?_dc=7.2.1-34&amp;lang=zh&amp;customer=%20&amp;logo=%20&amp;headerlogo=%2Ffavicon.ico&amp;frameEditorId=iframePage&amp;compact=true&amp;parentOrigin=http://jszfcg.jscz.gov.cn" \l "_Toc19499" \o "http://jszfcg.jscz.gov.cn/jszc/onlyoffice/7.2.1-34/web-apps/apps/documenteditor/main/index_loader.html?_dc=7.2.1-34&amp;lang=zh&amp;customer=%20&amp;logo=%20&amp;headerlogo=%2Ffavicon.ico&amp;frameEditorId=iframePage&amp;compact=true&amp;parentOrigin=http://jszfcg.jscz.gov.cn#_Toc19499" </w:instrText>
          </w:r>
          <w:r>
            <w:rPr>
              <w:rFonts w:hint="default" w:ascii="Times New Roman" w:hAnsi="Times New Roman" w:cs="Times New Roman"/>
              <w:color w:val="auto"/>
              <w:highlight w:val="none"/>
            </w:rPr>
            <w:fldChar w:fldCharType="separate"/>
          </w:r>
          <w:r>
            <w:rPr>
              <w:rStyle w:val="47"/>
              <w:rFonts w:hint="default" w:ascii="Times New Roman" w:hAnsi="Times New Roman" w:cs="Times New Roman"/>
              <w:color w:val="auto"/>
              <w:sz w:val="28"/>
              <w:highlight w:val="none"/>
            </w:rPr>
            <w:t>第一章</w:t>
          </w:r>
          <w:r>
            <w:rPr>
              <w:rStyle w:val="47"/>
              <w:rFonts w:hint="default" w:ascii="Times New Roman" w:hAnsi="Times New Roman" w:cs="Times New Roman"/>
              <w:color w:val="auto"/>
              <w:sz w:val="28"/>
              <w:highlight w:val="none"/>
              <w:lang w:val="en-US" w:eastAsia="zh-CN"/>
            </w:rPr>
            <w:t xml:space="preserve"> </w:t>
          </w:r>
          <w:r>
            <w:rPr>
              <w:rStyle w:val="47"/>
              <w:rFonts w:hint="default" w:ascii="Times New Roman" w:hAnsi="Times New Roman" w:cs="Times New Roman"/>
              <w:color w:val="auto"/>
              <w:sz w:val="28"/>
              <w:highlight w:val="none"/>
            </w:rPr>
            <w:t>竞争性磋商公告</w:t>
          </w:r>
          <w:r>
            <w:rPr>
              <w:rStyle w:val="47"/>
              <w:rFonts w:hint="default" w:ascii="Times New Roman" w:hAnsi="Times New Roman" w:cs="Times New Roman"/>
              <w:color w:val="auto"/>
              <w:sz w:val="28"/>
              <w:highlight w:val="none"/>
            </w:rPr>
            <w:fldChar w:fldCharType="end"/>
          </w:r>
        </w:p>
        <w:p w14:paraId="06AD73B9">
          <w:pPr>
            <w:keepNext w:val="0"/>
            <w:keepLines w:val="0"/>
            <w:pageBreakBefore w:val="0"/>
            <w:pBdr>
              <w:top w:val="none" w:color="000000" w:sz="0" w:space="0"/>
              <w:left w:val="none" w:color="000000" w:sz="0" w:space="0"/>
              <w:bottom w:val="none" w:color="000000" w:sz="0" w:space="0"/>
              <w:right w:val="none" w:color="000000" w:sz="0" w:space="0"/>
            </w:pBdr>
            <w:spacing w:beforeAutospacing="0" w:afterAutospacing="0" w:line="360" w:lineRule="auto"/>
            <w:rPr>
              <w:rFonts w:hint="default" w:ascii="Times New Roman" w:hAnsi="Times New Roman" w:cs="Times New Roman"/>
              <w:color w:val="auto"/>
              <w:highlight w:val="none"/>
            </w:rPr>
          </w:pPr>
          <w:r>
            <w:rPr>
              <w:rFonts w:hint="default" w:ascii="Times New Roman" w:hAnsi="Times New Roman" w:cs="Times New Roman"/>
              <w:color w:val="auto"/>
              <w:highlight w:val="none"/>
            </w:rPr>
            <w:fldChar w:fldCharType="begin"/>
          </w:r>
          <w:r>
            <w:rPr>
              <w:rFonts w:hint="default" w:ascii="Times New Roman" w:hAnsi="Times New Roman" w:cs="Times New Roman"/>
              <w:color w:val="auto"/>
              <w:highlight w:val="none"/>
            </w:rPr>
            <w:instrText xml:space="preserve"> HYPERLINK "http://jszfcg.jscz.gov.cn/jszc/onlyoffice/7.2.1-34/web-apps/apps/documenteditor/main/index_loader.html?_dc=7.2.1-34&amp;lang=zh&amp;customer=%20&amp;logo=%20&amp;headerlogo=%2Ffavicon.ico&amp;frameEditorId=iframePage&amp;compact=true&amp;parentOrigin=http://jszfcg.jscz.gov.cn" \l "_Toc3684" \o "http://jszfcg.jscz.gov.cn/jszc/onlyoffice/7.2.1-34/web-apps/apps/documenteditor/main/index_loader.html?_dc=7.2.1-34&amp;lang=zh&amp;customer=%20&amp;logo=%20&amp;headerlogo=%2Ffavicon.ico&amp;frameEditorId=iframePage&amp;compact=true&amp;parentOrigin=http://jszfcg.jscz.gov.cn#_Toc3684" </w:instrText>
          </w:r>
          <w:r>
            <w:rPr>
              <w:rFonts w:hint="default" w:ascii="Times New Roman" w:hAnsi="Times New Roman" w:cs="Times New Roman"/>
              <w:color w:val="auto"/>
              <w:highlight w:val="none"/>
            </w:rPr>
            <w:fldChar w:fldCharType="separate"/>
          </w:r>
          <w:r>
            <w:rPr>
              <w:rStyle w:val="47"/>
              <w:rFonts w:hint="default" w:ascii="Times New Roman" w:hAnsi="Times New Roman" w:cs="Times New Roman"/>
              <w:color w:val="auto"/>
              <w:sz w:val="28"/>
              <w:highlight w:val="none"/>
            </w:rPr>
            <w:t>第二章</w:t>
          </w:r>
          <w:r>
            <w:rPr>
              <w:rStyle w:val="47"/>
              <w:rFonts w:hint="default" w:ascii="Times New Roman" w:hAnsi="Times New Roman" w:cs="Times New Roman"/>
              <w:color w:val="auto"/>
              <w:sz w:val="28"/>
              <w:highlight w:val="none"/>
              <w:lang w:val="en-US" w:eastAsia="zh-CN"/>
            </w:rPr>
            <w:t xml:space="preserve"> </w:t>
          </w:r>
          <w:r>
            <w:rPr>
              <w:rStyle w:val="47"/>
              <w:rFonts w:hint="default" w:ascii="Times New Roman" w:hAnsi="Times New Roman" w:cs="Times New Roman"/>
              <w:color w:val="auto"/>
              <w:sz w:val="28"/>
              <w:highlight w:val="none"/>
            </w:rPr>
            <w:t>参加磋商的供应商须知</w:t>
          </w:r>
          <w:r>
            <w:rPr>
              <w:rStyle w:val="47"/>
              <w:rFonts w:hint="default" w:ascii="Times New Roman" w:hAnsi="Times New Roman" w:cs="Times New Roman"/>
              <w:color w:val="auto"/>
              <w:sz w:val="28"/>
              <w:highlight w:val="none"/>
            </w:rPr>
            <w:fldChar w:fldCharType="end"/>
          </w:r>
        </w:p>
        <w:p w14:paraId="5142E385">
          <w:pPr>
            <w:keepNext w:val="0"/>
            <w:keepLines w:val="0"/>
            <w:pageBreakBefore w:val="0"/>
            <w:pBdr>
              <w:top w:val="none" w:color="000000" w:sz="0" w:space="0"/>
              <w:left w:val="none" w:color="000000" w:sz="0" w:space="0"/>
              <w:bottom w:val="none" w:color="000000" w:sz="0" w:space="0"/>
              <w:right w:val="none" w:color="000000" w:sz="0" w:space="0"/>
            </w:pBdr>
            <w:spacing w:beforeAutospacing="0" w:afterAutospacing="0" w:line="360" w:lineRule="auto"/>
            <w:rPr>
              <w:rFonts w:hint="default" w:ascii="Times New Roman" w:hAnsi="Times New Roman" w:cs="Times New Roman"/>
              <w:color w:val="auto"/>
              <w:highlight w:val="none"/>
            </w:rPr>
          </w:pPr>
          <w:r>
            <w:rPr>
              <w:rFonts w:hint="default" w:ascii="Times New Roman" w:hAnsi="Times New Roman" w:cs="Times New Roman"/>
              <w:color w:val="auto"/>
              <w:highlight w:val="none"/>
            </w:rPr>
            <w:fldChar w:fldCharType="begin"/>
          </w:r>
          <w:r>
            <w:rPr>
              <w:rFonts w:hint="default" w:ascii="Times New Roman" w:hAnsi="Times New Roman" w:cs="Times New Roman"/>
              <w:color w:val="auto"/>
              <w:highlight w:val="none"/>
            </w:rPr>
            <w:instrText xml:space="preserve"> HYPERLINK "http://jszfcg.jscz.gov.cn/jszc/onlyoffice/7.2.1-34/web-apps/apps/documenteditor/main/index_loader.html?_dc=7.2.1-34&amp;lang=zh&amp;customer=%20&amp;logo=%20&amp;headerlogo=%2Ffavicon.ico&amp;frameEditorId=iframePage&amp;compact=true&amp;parentOrigin=http://jszfcg.jscz.gov.cn" \l "_Toc9643" \o "http://jszfcg.jscz.gov.cn/jszc/onlyoffice/7.2.1-34/web-apps/apps/documenteditor/main/index_loader.html?_dc=7.2.1-34&amp;lang=zh&amp;customer=%20&amp;logo=%20&amp;headerlogo=%2Ffavicon.ico&amp;frameEditorId=iframePage&amp;compact=true&amp;parentOrigin=http://jszfcg.jscz.gov.cn#_Toc9643" </w:instrText>
          </w:r>
          <w:r>
            <w:rPr>
              <w:rFonts w:hint="default" w:ascii="Times New Roman" w:hAnsi="Times New Roman" w:cs="Times New Roman"/>
              <w:color w:val="auto"/>
              <w:highlight w:val="none"/>
            </w:rPr>
            <w:fldChar w:fldCharType="separate"/>
          </w:r>
          <w:r>
            <w:rPr>
              <w:rStyle w:val="47"/>
              <w:rFonts w:hint="default" w:ascii="Times New Roman" w:hAnsi="Times New Roman" w:cs="Times New Roman"/>
              <w:color w:val="auto"/>
              <w:sz w:val="28"/>
              <w:highlight w:val="none"/>
            </w:rPr>
            <w:t>第三章</w:t>
          </w:r>
          <w:r>
            <w:rPr>
              <w:rStyle w:val="47"/>
              <w:rFonts w:hint="default" w:ascii="Times New Roman" w:hAnsi="Times New Roman" w:cs="Times New Roman"/>
              <w:color w:val="auto"/>
              <w:sz w:val="28"/>
              <w:highlight w:val="none"/>
              <w:lang w:val="en-US" w:eastAsia="zh-CN"/>
            </w:rPr>
            <w:t xml:space="preserve"> </w:t>
          </w:r>
          <w:r>
            <w:rPr>
              <w:rStyle w:val="47"/>
              <w:rFonts w:hint="default" w:ascii="Times New Roman" w:hAnsi="Times New Roman" w:cs="Times New Roman"/>
              <w:color w:val="auto"/>
              <w:sz w:val="28"/>
              <w:highlight w:val="none"/>
            </w:rPr>
            <w:t>合同条款及格式</w:t>
          </w:r>
          <w:r>
            <w:rPr>
              <w:rStyle w:val="47"/>
              <w:rFonts w:hint="default" w:ascii="Times New Roman" w:hAnsi="Times New Roman" w:cs="Times New Roman"/>
              <w:color w:val="auto"/>
              <w:sz w:val="28"/>
              <w:highlight w:val="none"/>
            </w:rPr>
            <w:fldChar w:fldCharType="end"/>
          </w:r>
        </w:p>
        <w:p w14:paraId="526DCFCE">
          <w:pPr>
            <w:keepNext w:val="0"/>
            <w:keepLines w:val="0"/>
            <w:pageBreakBefore w:val="0"/>
            <w:pBdr>
              <w:top w:val="none" w:color="000000" w:sz="0" w:space="0"/>
              <w:left w:val="none" w:color="000000" w:sz="0" w:space="0"/>
              <w:bottom w:val="none" w:color="000000" w:sz="0" w:space="0"/>
              <w:right w:val="none" w:color="000000" w:sz="0" w:space="0"/>
            </w:pBdr>
            <w:spacing w:beforeAutospacing="0" w:afterAutospacing="0" w:line="360" w:lineRule="auto"/>
            <w:rPr>
              <w:rFonts w:hint="default" w:ascii="Times New Roman" w:hAnsi="Times New Roman" w:cs="Times New Roman"/>
              <w:color w:val="auto"/>
              <w:highlight w:val="none"/>
            </w:rPr>
          </w:pPr>
          <w:r>
            <w:rPr>
              <w:rFonts w:hint="default" w:ascii="Times New Roman" w:hAnsi="Times New Roman" w:cs="Times New Roman"/>
              <w:color w:val="auto"/>
              <w:highlight w:val="none"/>
            </w:rPr>
            <w:fldChar w:fldCharType="begin"/>
          </w:r>
          <w:r>
            <w:rPr>
              <w:rFonts w:hint="default" w:ascii="Times New Roman" w:hAnsi="Times New Roman" w:cs="Times New Roman"/>
              <w:color w:val="auto"/>
              <w:highlight w:val="none"/>
            </w:rPr>
            <w:instrText xml:space="preserve"> HYPERLINK "http://jszfcg.jscz.gov.cn/jszc/onlyoffice/7.2.1-34/web-apps/apps/documenteditor/main/index_loader.html?_dc=7.2.1-34&amp;lang=zh&amp;customer=%20&amp;logo=%20&amp;headerlogo=%2Ffavicon.ico&amp;frameEditorId=iframePage&amp;compact=true&amp;parentOrigin=http://jszfcg.jscz.gov.cn" \l "_Toc1585" \o "http://jszfcg.jscz.gov.cn/jszc/onlyoffice/7.2.1-34/web-apps/apps/documenteditor/main/index_loader.html?_dc=7.2.1-34&amp;lang=zh&amp;customer=%20&amp;logo=%20&amp;headerlogo=%2Ffavicon.ico&amp;frameEditorId=iframePage&amp;compact=true&amp;parentOrigin=http://jszfcg.jscz.gov.cn#_Toc1585" </w:instrText>
          </w:r>
          <w:r>
            <w:rPr>
              <w:rFonts w:hint="default" w:ascii="Times New Roman" w:hAnsi="Times New Roman" w:cs="Times New Roman"/>
              <w:color w:val="auto"/>
              <w:highlight w:val="none"/>
            </w:rPr>
            <w:fldChar w:fldCharType="separate"/>
          </w:r>
          <w:r>
            <w:rPr>
              <w:rStyle w:val="47"/>
              <w:rFonts w:hint="default" w:ascii="Times New Roman" w:hAnsi="Times New Roman" w:cs="Times New Roman"/>
              <w:color w:val="auto"/>
              <w:sz w:val="28"/>
              <w:highlight w:val="none"/>
            </w:rPr>
            <w:t>第四章</w:t>
          </w:r>
          <w:r>
            <w:rPr>
              <w:rStyle w:val="47"/>
              <w:rFonts w:hint="default" w:ascii="Times New Roman" w:hAnsi="Times New Roman" w:cs="Times New Roman"/>
              <w:color w:val="auto"/>
              <w:sz w:val="28"/>
              <w:highlight w:val="none"/>
              <w:lang w:val="en-US" w:eastAsia="zh-CN"/>
            </w:rPr>
            <w:t xml:space="preserve"> </w:t>
          </w:r>
          <w:r>
            <w:rPr>
              <w:rStyle w:val="47"/>
              <w:rFonts w:hint="default" w:ascii="Times New Roman" w:hAnsi="Times New Roman" w:cs="Times New Roman"/>
              <w:color w:val="auto"/>
              <w:sz w:val="28"/>
              <w:highlight w:val="none"/>
            </w:rPr>
            <w:t>项目需求</w:t>
          </w:r>
          <w:r>
            <w:rPr>
              <w:rStyle w:val="47"/>
              <w:rFonts w:hint="default" w:ascii="Times New Roman" w:hAnsi="Times New Roman" w:cs="Times New Roman"/>
              <w:color w:val="auto"/>
              <w:sz w:val="28"/>
              <w:highlight w:val="none"/>
            </w:rPr>
            <w:fldChar w:fldCharType="end"/>
          </w:r>
        </w:p>
        <w:p w14:paraId="2C06E1B5">
          <w:pPr>
            <w:keepNext w:val="0"/>
            <w:keepLines w:val="0"/>
            <w:pageBreakBefore w:val="0"/>
            <w:pBdr>
              <w:top w:val="none" w:color="000000" w:sz="0" w:space="0"/>
              <w:left w:val="none" w:color="000000" w:sz="0" w:space="0"/>
              <w:bottom w:val="none" w:color="000000" w:sz="0" w:space="0"/>
              <w:right w:val="none" w:color="000000" w:sz="0" w:space="0"/>
            </w:pBdr>
            <w:spacing w:beforeAutospacing="0" w:afterAutospacing="0" w:line="360" w:lineRule="auto"/>
            <w:rPr>
              <w:rFonts w:hint="default" w:ascii="Times New Roman" w:hAnsi="Times New Roman" w:eastAsia="宋体" w:cs="Times New Roman"/>
              <w:color w:val="auto"/>
              <w:highlight w:val="none"/>
              <w:lang w:val="en-US" w:eastAsia="zh-CN"/>
            </w:rPr>
          </w:pPr>
          <w:r>
            <w:rPr>
              <w:rFonts w:hint="default" w:ascii="Times New Roman" w:hAnsi="Times New Roman" w:cs="Times New Roman"/>
              <w:color w:val="auto"/>
              <w:highlight w:val="none"/>
            </w:rPr>
            <w:fldChar w:fldCharType="begin"/>
          </w:r>
          <w:r>
            <w:rPr>
              <w:rFonts w:hint="default" w:ascii="Times New Roman" w:hAnsi="Times New Roman" w:cs="Times New Roman"/>
              <w:color w:val="auto"/>
              <w:highlight w:val="none"/>
            </w:rPr>
            <w:instrText xml:space="preserve"> HYPERLINK "http://jszfcg.jscz.gov.cn/jszc/onlyoffice/7.2.1-34/web-apps/apps/documenteditor/main/index_loader.html?_dc=7.2.1-34&amp;lang=zh&amp;customer=%20&amp;logo=%20&amp;headerlogo=%2Ffavicon.ico&amp;frameEditorId=iframePage&amp;compact=true&amp;parentOrigin=http://jszfcg.jscz.gov.cn" \l "_Toc18859" \o "http://jszfcg.jscz.gov.cn/jszc/onlyoffice/7.2.1-34/web-apps/apps/documenteditor/main/index_loader.html?_dc=7.2.1-34&amp;lang=zh&amp;customer=%20&amp;logo=%20&amp;headerlogo=%2Ffavicon.ico&amp;frameEditorId=iframePage&amp;compact=true&amp;parentOrigin=http://jszfcg.jscz.gov.cn#_Toc18859" </w:instrText>
          </w:r>
          <w:r>
            <w:rPr>
              <w:rFonts w:hint="default" w:ascii="Times New Roman" w:hAnsi="Times New Roman" w:cs="Times New Roman"/>
              <w:color w:val="auto"/>
              <w:highlight w:val="none"/>
            </w:rPr>
            <w:fldChar w:fldCharType="separate"/>
          </w:r>
          <w:r>
            <w:rPr>
              <w:rStyle w:val="47"/>
              <w:rFonts w:hint="default" w:ascii="Times New Roman" w:hAnsi="Times New Roman" w:cs="Times New Roman"/>
              <w:color w:val="auto"/>
              <w:sz w:val="28"/>
              <w:highlight w:val="none"/>
            </w:rPr>
            <w:t>第五章</w:t>
          </w:r>
          <w:r>
            <w:rPr>
              <w:rStyle w:val="47"/>
              <w:rFonts w:hint="default" w:ascii="Times New Roman" w:hAnsi="Times New Roman" w:cs="Times New Roman"/>
              <w:color w:val="auto"/>
              <w:sz w:val="28"/>
              <w:highlight w:val="none"/>
              <w:lang w:val="en-US" w:eastAsia="zh-CN"/>
            </w:rPr>
            <w:t xml:space="preserve"> </w:t>
          </w:r>
          <w:r>
            <w:rPr>
              <w:rStyle w:val="47"/>
              <w:rFonts w:hint="default" w:ascii="Times New Roman" w:hAnsi="Times New Roman" w:cs="Times New Roman"/>
              <w:color w:val="auto"/>
              <w:sz w:val="28"/>
              <w:highlight w:val="none"/>
            </w:rPr>
            <w:t>评</w:t>
          </w:r>
          <w:r>
            <w:rPr>
              <w:rStyle w:val="47"/>
              <w:rFonts w:hint="default" w:ascii="Times New Roman" w:hAnsi="Times New Roman" w:cs="Times New Roman"/>
              <w:color w:val="auto"/>
              <w:sz w:val="28"/>
              <w:highlight w:val="none"/>
            </w:rPr>
            <w:fldChar w:fldCharType="end"/>
          </w:r>
          <w:r>
            <w:rPr>
              <w:rStyle w:val="47"/>
              <w:rFonts w:hint="default" w:ascii="Times New Roman" w:hAnsi="Times New Roman" w:cs="Times New Roman"/>
              <w:color w:val="auto"/>
              <w:sz w:val="28"/>
              <w:highlight w:val="none"/>
              <w:lang w:val="en-US" w:eastAsia="zh-CN"/>
            </w:rPr>
            <w:t>审方法和评审标准</w:t>
          </w:r>
        </w:p>
        <w:p w14:paraId="64A7B926">
          <w:pPr>
            <w:keepNext w:val="0"/>
            <w:keepLines w:val="0"/>
            <w:pageBreakBefore w:val="0"/>
            <w:pBdr>
              <w:top w:val="none" w:color="000000" w:sz="0" w:space="0"/>
              <w:left w:val="none" w:color="000000" w:sz="0" w:space="0"/>
              <w:bottom w:val="none" w:color="000000" w:sz="0" w:space="0"/>
              <w:right w:val="none" w:color="000000" w:sz="0" w:space="0"/>
            </w:pBdr>
            <w:spacing w:beforeAutospacing="0" w:afterAutospacing="0" w:line="360" w:lineRule="auto"/>
            <w:rPr>
              <w:rFonts w:hint="default" w:ascii="Times New Roman" w:hAnsi="Times New Roman" w:cs="Times New Roman"/>
              <w:color w:val="auto"/>
              <w:highlight w:val="none"/>
            </w:rPr>
          </w:pPr>
          <w:r>
            <w:rPr>
              <w:rFonts w:hint="default" w:ascii="Times New Roman" w:hAnsi="Times New Roman" w:cs="Times New Roman"/>
              <w:color w:val="auto"/>
              <w:highlight w:val="none"/>
            </w:rPr>
            <w:fldChar w:fldCharType="begin"/>
          </w:r>
          <w:r>
            <w:rPr>
              <w:rFonts w:hint="default" w:ascii="Times New Roman" w:hAnsi="Times New Roman" w:cs="Times New Roman"/>
              <w:color w:val="auto"/>
              <w:highlight w:val="none"/>
            </w:rPr>
            <w:instrText xml:space="preserve"> HYPERLINK "http://jszfcg.jscz.gov.cn/jszc/onlyoffice/7.2.1-34/web-apps/apps/documenteditor/main/index_loader.html?_dc=7.2.1-34&amp;lang=zh&amp;customer=%20&amp;logo=%20&amp;headerlogo=%2Ffavicon.ico&amp;frameEditorId=iframePage&amp;compact=true&amp;parentOrigin=http://jszfcg.jscz.gov.cn" \l "_Toc23702" \o "http://jszfcg.jscz.gov.cn/jszc/onlyoffice/7.2.1-34/web-apps/apps/documenteditor/main/index_loader.html?_dc=7.2.1-34&amp;lang=zh&amp;customer=%20&amp;logo=%20&amp;headerlogo=%2Ffavicon.ico&amp;frameEditorId=iframePage&amp;compact=true&amp;parentOrigin=http://jszfcg.jscz.gov.cn#_Toc23702" </w:instrText>
          </w:r>
          <w:r>
            <w:rPr>
              <w:rFonts w:hint="default" w:ascii="Times New Roman" w:hAnsi="Times New Roman" w:cs="Times New Roman"/>
              <w:color w:val="auto"/>
              <w:highlight w:val="none"/>
            </w:rPr>
            <w:fldChar w:fldCharType="separate"/>
          </w:r>
          <w:r>
            <w:rPr>
              <w:rStyle w:val="47"/>
              <w:rFonts w:hint="default" w:ascii="Times New Roman" w:hAnsi="Times New Roman" w:cs="Times New Roman"/>
              <w:color w:val="auto"/>
              <w:sz w:val="28"/>
              <w:highlight w:val="none"/>
            </w:rPr>
            <w:t>第六章</w:t>
          </w:r>
          <w:r>
            <w:rPr>
              <w:rStyle w:val="47"/>
              <w:rFonts w:hint="default" w:ascii="Times New Roman" w:hAnsi="Times New Roman" w:cs="Times New Roman"/>
              <w:color w:val="auto"/>
              <w:sz w:val="28"/>
              <w:highlight w:val="none"/>
              <w:lang w:val="en-US" w:eastAsia="zh-CN"/>
            </w:rPr>
            <w:t xml:space="preserve"> </w:t>
          </w:r>
          <w:r>
            <w:rPr>
              <w:rStyle w:val="47"/>
              <w:rFonts w:hint="default" w:ascii="Times New Roman" w:hAnsi="Times New Roman" w:cs="Times New Roman"/>
              <w:color w:val="auto"/>
              <w:sz w:val="28"/>
              <w:highlight w:val="none"/>
            </w:rPr>
            <w:t>响应文件格式</w:t>
          </w:r>
          <w:r>
            <w:rPr>
              <w:rStyle w:val="47"/>
              <w:rFonts w:hint="default" w:ascii="Times New Roman" w:hAnsi="Times New Roman" w:cs="Times New Roman"/>
              <w:color w:val="auto"/>
              <w:sz w:val="28"/>
              <w:highlight w:val="none"/>
            </w:rPr>
            <w:fldChar w:fldCharType="end"/>
          </w:r>
        </w:p>
      </w:sdtContent>
    </w:sdt>
    <w:p w14:paraId="444354BE">
      <w:pPr>
        <w:keepNext w:val="0"/>
        <w:keepLines w:val="0"/>
        <w:pageBreakBefore w:val="0"/>
        <w:pBdr>
          <w:top w:val="none" w:color="000000" w:sz="0" w:space="0"/>
          <w:left w:val="none" w:color="000000" w:sz="0" w:space="0"/>
          <w:bottom w:val="none" w:color="000000" w:sz="0" w:space="0"/>
          <w:right w:val="none" w:color="000000" w:sz="0" w:space="0"/>
        </w:pBdr>
        <w:spacing w:beforeAutospacing="0" w:afterAutospacing="0" w:line="360" w:lineRule="auto"/>
        <w:rPr>
          <w:rFonts w:hint="default" w:ascii="Times New Roman" w:hAnsi="Times New Roman" w:cs="Times New Roman"/>
          <w:color w:val="auto"/>
          <w:highlight w:val="none"/>
        </w:rPr>
      </w:pPr>
      <w:r>
        <w:rPr>
          <w:rFonts w:hint="default" w:ascii="Times New Roman" w:hAnsi="Times New Roman" w:cs="Times New Roman"/>
          <w:color w:val="auto"/>
          <w:highlight w:val="none"/>
        </w:rPr>
        <w:br w:type="page" w:clear="all"/>
      </w:r>
    </w:p>
    <w:p w14:paraId="54C1BEE3">
      <w:pPr>
        <w:pStyle w:val="2"/>
        <w:spacing w:line="360" w:lineRule="auto"/>
        <w:rPr>
          <w:rFonts w:hint="default" w:ascii="Times New Roman" w:hAnsi="Times New Roman" w:cs="Times New Roman"/>
          <w:color w:val="auto"/>
          <w:highlight w:val="none"/>
        </w:rPr>
      </w:pPr>
      <w:r>
        <w:rPr>
          <w:rFonts w:hint="default" w:ascii="Times New Roman" w:hAnsi="Times New Roman" w:cs="Times New Roman"/>
          <w:color w:val="auto"/>
          <w:highlight w:val="none"/>
        </w:rPr>
        <w:t>第一章</w:t>
      </w:r>
      <w:r>
        <w:rPr>
          <w:rFonts w:hint="default" w:ascii="Times New Roman" w:hAnsi="Times New Roman" w:cs="Times New Roman"/>
          <w:color w:val="auto"/>
          <w:highlight w:val="none"/>
          <w:lang w:val="en-US" w:eastAsia="zh-CN"/>
        </w:rPr>
        <w:t xml:space="preserve"> </w:t>
      </w:r>
      <w:r>
        <w:rPr>
          <w:rFonts w:hint="default" w:ascii="Times New Roman" w:hAnsi="Times New Roman" w:cs="Times New Roman"/>
          <w:color w:val="auto"/>
          <w:highlight w:val="none"/>
        </w:rPr>
        <w:t>竞争性磋商公告</w:t>
      </w:r>
    </w:p>
    <w:p w14:paraId="0C03717A">
      <w:pPr>
        <w:keepNext w:val="0"/>
        <w:keepLines w:val="0"/>
        <w:pageBreakBefore w:val="0"/>
        <w:pBdr>
          <w:top w:val="single" w:color="000000" w:sz="4" w:space="0"/>
          <w:left w:val="single" w:color="000000" w:sz="4" w:space="0"/>
          <w:bottom w:val="single" w:color="000000" w:sz="4" w:space="0"/>
          <w:right w:val="single" w:color="000000" w:sz="4" w:space="0"/>
        </w:pBdr>
        <w:spacing w:beforeAutospacing="0" w:afterAutospacing="0" w:line="360" w:lineRule="auto"/>
        <w:ind w:firstLine="480"/>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项目概况</w:t>
      </w:r>
    </w:p>
    <w:p w14:paraId="2822DEFE">
      <w:pPr>
        <w:keepNext w:val="0"/>
        <w:keepLines w:val="0"/>
        <w:pageBreakBefore w:val="0"/>
        <w:pBdr>
          <w:top w:val="single" w:color="000000" w:sz="4" w:space="0"/>
          <w:left w:val="single" w:color="000000" w:sz="4" w:space="0"/>
          <w:bottom w:val="single" w:color="000000" w:sz="4" w:space="0"/>
          <w:right w:val="single" w:color="000000" w:sz="4" w:space="0"/>
        </w:pBdr>
        <w:spacing w:beforeAutospacing="0" w:afterAutospacing="0" w:line="360" w:lineRule="auto"/>
        <w:ind w:firstLine="480"/>
        <w:rPr>
          <w:rFonts w:hint="default" w:ascii="Times New Roman" w:hAnsi="Times New Roman" w:eastAsia="宋体" w:cs="Times New Roman"/>
          <w:color w:val="auto"/>
          <w:sz w:val="21"/>
          <w:szCs w:val="21"/>
          <w:highlight w:val="none"/>
        </w:rPr>
      </w:pPr>
      <w:r>
        <w:rPr>
          <w:rFonts w:ascii="Arial" w:hAnsi="Arial" w:eastAsia="Arial" w:cs="Arial"/>
          <w:color w:val="000000"/>
          <w:sz w:val="21"/>
          <w:highlight w:val="none"/>
          <w:u w:val="single"/>
        </w:rPr>
        <w:t>化学新材料产业园区安全环保指导服务项目</w:t>
      </w:r>
      <w:r>
        <w:rPr>
          <w:rFonts w:hint="default" w:ascii="Times New Roman" w:hAnsi="Times New Roman" w:eastAsia="宋体" w:cs="Times New Roman"/>
          <w:color w:val="auto"/>
          <w:sz w:val="21"/>
          <w:szCs w:val="21"/>
          <w:highlight w:val="none"/>
        </w:rPr>
        <w:t>采购项目的潜在供应商应在江苏政府采购“苏采云”系统获取采购文件，并于</w:t>
      </w:r>
      <w:r>
        <w:rPr>
          <w:rFonts w:hint="default" w:ascii="Times New Roman" w:hAnsi="Times New Roman" w:cs="Times New Roman" w:eastAsiaTheme="minorEastAsia"/>
          <w:color w:val="auto"/>
          <w:szCs w:val="21"/>
          <w:highlight w:val="none"/>
        </w:rPr>
        <w:t>202</w:t>
      </w:r>
      <w:r>
        <w:rPr>
          <w:rFonts w:hint="default" w:ascii="Times New Roman" w:hAnsi="Times New Roman" w:cs="Times New Roman" w:eastAsiaTheme="minorEastAsia"/>
          <w:color w:val="auto"/>
          <w:szCs w:val="21"/>
          <w:highlight w:val="none"/>
          <w:lang w:val="en-US" w:eastAsia="zh-CN"/>
        </w:rPr>
        <w:t>6</w:t>
      </w:r>
      <w:r>
        <w:rPr>
          <w:rFonts w:hint="default" w:ascii="Times New Roman" w:hAnsi="Times New Roman" w:cs="Times New Roman" w:eastAsiaTheme="minorEastAsia"/>
          <w:color w:val="auto"/>
          <w:szCs w:val="21"/>
          <w:highlight w:val="none"/>
        </w:rPr>
        <w:t>年0</w:t>
      </w:r>
      <w:r>
        <w:rPr>
          <w:rFonts w:hint="eastAsia" w:cs="Times New Roman"/>
          <w:color w:val="auto"/>
          <w:szCs w:val="21"/>
          <w:highlight w:val="none"/>
          <w:lang w:val="en-US" w:eastAsia="zh-CN"/>
        </w:rPr>
        <w:t>8</w:t>
      </w:r>
      <w:r>
        <w:rPr>
          <w:rFonts w:hint="default" w:ascii="Times New Roman" w:hAnsi="Times New Roman" w:cs="Times New Roman" w:eastAsiaTheme="minorEastAsia"/>
          <w:color w:val="auto"/>
          <w:szCs w:val="21"/>
          <w:highlight w:val="none"/>
        </w:rPr>
        <w:t>月</w:t>
      </w:r>
      <w:r>
        <w:rPr>
          <w:rFonts w:hint="eastAsia" w:cs="Times New Roman"/>
          <w:color w:val="auto"/>
          <w:szCs w:val="21"/>
          <w:highlight w:val="none"/>
          <w:lang w:val="en-US" w:eastAsia="zh-CN"/>
        </w:rPr>
        <w:t>12</w:t>
      </w:r>
      <w:r>
        <w:rPr>
          <w:rFonts w:hint="default" w:ascii="Times New Roman" w:hAnsi="Times New Roman" w:cs="Times New Roman" w:eastAsiaTheme="minorEastAsia"/>
          <w:color w:val="auto"/>
          <w:szCs w:val="21"/>
          <w:highlight w:val="none"/>
        </w:rPr>
        <w:t>日</w:t>
      </w:r>
      <w:r>
        <w:rPr>
          <w:rFonts w:hint="default" w:ascii="Times New Roman" w:hAnsi="Times New Roman" w:cs="Times New Roman" w:eastAsiaTheme="minorEastAsia"/>
          <w:color w:val="auto"/>
          <w:szCs w:val="21"/>
          <w:highlight w:val="none"/>
          <w:lang w:val="en-US" w:eastAsia="zh-CN"/>
        </w:rPr>
        <w:t>09</w:t>
      </w:r>
      <w:r>
        <w:rPr>
          <w:rFonts w:hint="default" w:ascii="Times New Roman" w:hAnsi="Times New Roman" w:cs="Times New Roman" w:eastAsiaTheme="minorEastAsia"/>
          <w:color w:val="auto"/>
          <w:szCs w:val="21"/>
          <w:highlight w:val="none"/>
        </w:rPr>
        <w:t>时00分（北京时间）</w:t>
      </w:r>
      <w:r>
        <w:rPr>
          <w:rFonts w:hint="default" w:ascii="Times New Roman" w:hAnsi="Times New Roman" w:eastAsia="宋体" w:cs="Times New Roman"/>
          <w:color w:val="auto"/>
          <w:sz w:val="21"/>
          <w:szCs w:val="21"/>
          <w:highlight w:val="none"/>
        </w:rPr>
        <w:t>前提交响应文件。</w:t>
      </w:r>
    </w:p>
    <w:p w14:paraId="3AE99BD9">
      <w:pPr>
        <w:pStyle w:val="3"/>
        <w:spacing w:line="360" w:lineRule="auto"/>
        <w:rPr>
          <w:rFonts w:hint="default" w:ascii="Times New Roman" w:hAnsi="Times New Roman" w:cs="Times New Roman"/>
          <w:color w:val="auto"/>
          <w:highlight w:val="none"/>
        </w:rPr>
      </w:pPr>
      <w:r>
        <w:rPr>
          <w:rFonts w:hint="default" w:ascii="Times New Roman" w:hAnsi="Times New Roman" w:cs="Times New Roman"/>
          <w:color w:val="auto"/>
          <w:highlight w:val="none"/>
        </w:rPr>
        <w:t>一、项目基本情况</w:t>
      </w:r>
    </w:p>
    <w:p w14:paraId="7082FA39">
      <w:pPr>
        <w:keepNext w:val="0"/>
        <w:keepLines w:val="0"/>
        <w:pageBreakBefore w:val="0"/>
        <w:pBdr>
          <w:top w:val="none" w:color="000000" w:sz="0" w:space="0"/>
          <w:left w:val="none" w:color="000000" w:sz="0" w:space="0"/>
          <w:bottom w:val="none" w:color="000000" w:sz="0" w:space="0"/>
          <w:right w:val="none" w:color="000000" w:sz="0" w:space="0"/>
        </w:pBdr>
        <w:spacing w:beforeAutospacing="0" w:afterAutospacing="0" w:line="360" w:lineRule="auto"/>
        <w:ind w:firstLine="480"/>
        <w:rPr>
          <w:rFonts w:hint="eastAsia" w:ascii="Times New Roman" w:hAnsi="Times New Roman" w:eastAsia="宋体" w:cs="Times New Roman"/>
          <w:color w:val="auto"/>
          <w:sz w:val="21"/>
          <w:szCs w:val="21"/>
          <w:highlight w:val="none"/>
          <w:lang w:val="en-US" w:eastAsia="zh-CN"/>
        </w:rPr>
      </w:pPr>
      <w:r>
        <w:rPr>
          <w:rFonts w:hint="default" w:ascii="Times New Roman" w:hAnsi="Times New Roman" w:cs="Times New Roman"/>
          <w:color w:val="auto"/>
          <w:sz w:val="21"/>
          <w:szCs w:val="21"/>
          <w:highlight w:val="none"/>
        </w:rPr>
        <w:t>项目编号：JSZC-321203-TZTZ-C2026-000</w:t>
      </w:r>
      <w:r>
        <w:rPr>
          <w:rFonts w:hint="eastAsia" w:cs="Times New Roman"/>
          <w:color w:val="auto"/>
          <w:sz w:val="21"/>
          <w:szCs w:val="21"/>
          <w:highlight w:val="none"/>
          <w:lang w:val="en-US" w:eastAsia="zh-CN"/>
        </w:rPr>
        <w:t>2</w:t>
      </w:r>
    </w:p>
    <w:p w14:paraId="74FE5995">
      <w:pPr>
        <w:keepNext w:val="0"/>
        <w:keepLines w:val="0"/>
        <w:pageBreakBefore w:val="0"/>
        <w:pBdr>
          <w:top w:val="none" w:color="000000" w:sz="0" w:space="0"/>
          <w:left w:val="none" w:color="000000" w:sz="0" w:space="0"/>
          <w:bottom w:val="none" w:color="000000" w:sz="0" w:space="0"/>
          <w:right w:val="none" w:color="000000" w:sz="0" w:space="0"/>
        </w:pBdr>
        <w:spacing w:beforeAutospacing="0" w:afterAutospacing="0" w:line="360" w:lineRule="auto"/>
        <w:ind w:firstLine="480"/>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项目名称：</w:t>
      </w:r>
      <w:r>
        <w:rPr>
          <w:rFonts w:ascii="Arial" w:hAnsi="Arial" w:eastAsia="Arial" w:cs="Arial"/>
          <w:color w:val="000000"/>
          <w:sz w:val="21"/>
          <w:highlight w:val="none"/>
        </w:rPr>
        <w:t>化学新材料产业园区安全环保指导服务项目</w:t>
      </w:r>
    </w:p>
    <w:p w14:paraId="3879F1D2">
      <w:pPr>
        <w:keepNext w:val="0"/>
        <w:keepLines w:val="0"/>
        <w:pageBreakBefore w:val="0"/>
        <w:pBdr>
          <w:top w:val="none" w:color="000000" w:sz="0" w:space="0"/>
          <w:left w:val="none" w:color="000000" w:sz="0" w:space="0"/>
          <w:bottom w:val="none" w:color="000000" w:sz="0" w:space="0"/>
          <w:right w:val="none" w:color="000000" w:sz="0" w:space="0"/>
        </w:pBdr>
        <w:spacing w:beforeAutospacing="0" w:afterAutospacing="0" w:line="360" w:lineRule="auto"/>
        <w:ind w:firstLine="480"/>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采购方式：竞争性磋商 </w:t>
      </w:r>
    </w:p>
    <w:p w14:paraId="7EAEC422">
      <w:pPr>
        <w:keepNext w:val="0"/>
        <w:keepLines w:val="0"/>
        <w:pageBreakBefore w:val="0"/>
        <w:pBdr>
          <w:top w:val="none" w:color="000000" w:sz="0" w:space="0"/>
          <w:left w:val="none" w:color="000000" w:sz="0" w:space="0"/>
          <w:bottom w:val="none" w:color="000000" w:sz="0" w:space="0"/>
          <w:right w:val="none" w:color="000000" w:sz="0" w:space="0"/>
        </w:pBdr>
        <w:spacing w:beforeAutospacing="0" w:afterAutospacing="0" w:line="360" w:lineRule="auto"/>
        <w:ind w:firstLine="480"/>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预算金额</w:t>
      </w:r>
      <w:r>
        <w:rPr>
          <w:rFonts w:hint="default" w:ascii="Times New Roman" w:hAnsi="Times New Roman" w:cs="Times New Roman"/>
          <w:color w:val="auto"/>
          <w:sz w:val="21"/>
          <w:szCs w:val="21"/>
          <w:highlight w:val="none"/>
          <w:lang w:eastAsia="zh-CN"/>
        </w:rPr>
        <w:t>（</w:t>
      </w:r>
      <w:r>
        <w:rPr>
          <w:rFonts w:hint="default" w:ascii="Times New Roman" w:hAnsi="Times New Roman" w:cs="Times New Roman"/>
          <w:color w:val="auto"/>
          <w:sz w:val="21"/>
          <w:szCs w:val="21"/>
          <w:highlight w:val="none"/>
          <w:lang w:val="en-US" w:eastAsia="zh-CN"/>
        </w:rPr>
        <w:t>最高限价）</w:t>
      </w:r>
      <w:r>
        <w:rPr>
          <w:rFonts w:hint="default" w:ascii="Times New Roman" w:hAnsi="Times New Roman" w:cs="Times New Roman"/>
          <w:color w:val="auto"/>
          <w:sz w:val="21"/>
          <w:szCs w:val="21"/>
          <w:highlight w:val="none"/>
        </w:rPr>
        <w:t>：</w:t>
      </w:r>
      <w:r>
        <w:rPr>
          <w:rFonts w:hint="default" w:ascii="Times New Roman" w:hAnsi="Times New Roman" w:cs="Times New Roman"/>
          <w:color w:val="auto"/>
          <w:sz w:val="21"/>
          <w:szCs w:val="21"/>
          <w:highlight w:val="none"/>
          <w:lang w:val="en-US" w:eastAsia="zh-CN"/>
        </w:rPr>
        <w:t>307.2</w:t>
      </w:r>
      <w:r>
        <w:rPr>
          <w:rFonts w:hint="default" w:ascii="Times New Roman" w:hAnsi="Times New Roman" w:cs="Times New Roman"/>
          <w:color w:val="auto"/>
          <w:sz w:val="21"/>
          <w:szCs w:val="21"/>
          <w:highlight w:val="none"/>
        </w:rPr>
        <w:t>万元 </w:t>
      </w:r>
      <w:r>
        <w:rPr>
          <w:rFonts w:hint="default" w:ascii="Times New Roman" w:hAnsi="Times New Roman" w:cs="Times New Roman"/>
          <w:color w:val="auto"/>
          <w:sz w:val="21"/>
          <w:szCs w:val="21"/>
          <w:highlight w:val="none"/>
          <w:lang w:eastAsia="zh-CN"/>
        </w:rPr>
        <w:t>（</w:t>
      </w:r>
      <w:r>
        <w:rPr>
          <w:rFonts w:hint="default" w:ascii="Times New Roman" w:hAnsi="Times New Roman" w:cs="Times New Roman"/>
          <w:color w:val="auto"/>
          <w:sz w:val="21"/>
          <w:szCs w:val="21"/>
          <w:highlight w:val="none"/>
          <w:lang w:val="en-US" w:eastAsia="zh-CN"/>
        </w:rPr>
        <w:t>采购包1：</w:t>
      </w:r>
      <w:r>
        <w:rPr>
          <w:rFonts w:hint="default" w:ascii="Times New Roman" w:hAnsi="Times New Roman" w:cs="Times New Roman"/>
          <w:color w:val="auto"/>
          <w:sz w:val="21"/>
          <w:szCs w:val="21"/>
          <w:highlight w:val="none"/>
          <w:lang w:eastAsia="zh-CN"/>
        </w:rPr>
        <w:t>安全标段</w:t>
      </w:r>
      <w:r>
        <w:rPr>
          <w:rFonts w:hint="default" w:ascii="Times New Roman" w:hAnsi="Times New Roman" w:cs="Times New Roman"/>
          <w:color w:val="auto"/>
          <w:sz w:val="21"/>
          <w:szCs w:val="21"/>
          <w:highlight w:val="none"/>
          <w:lang w:val="en-US" w:eastAsia="zh-CN"/>
        </w:rPr>
        <w:t>230.4万元</w:t>
      </w:r>
      <w:r>
        <w:rPr>
          <w:rFonts w:hint="default" w:ascii="Times New Roman" w:hAnsi="Times New Roman" w:cs="Times New Roman"/>
          <w:color w:val="auto"/>
          <w:sz w:val="21"/>
          <w:szCs w:val="21"/>
          <w:highlight w:val="none"/>
          <w:lang w:eastAsia="zh-CN"/>
        </w:rPr>
        <w:t>、</w:t>
      </w:r>
      <w:r>
        <w:rPr>
          <w:rFonts w:hint="default" w:ascii="Times New Roman" w:hAnsi="Times New Roman" w:cs="Times New Roman"/>
          <w:color w:val="auto"/>
          <w:sz w:val="21"/>
          <w:szCs w:val="21"/>
          <w:highlight w:val="none"/>
          <w:lang w:val="en-US" w:eastAsia="zh-CN"/>
        </w:rPr>
        <w:t>采购包2：</w:t>
      </w:r>
      <w:r>
        <w:rPr>
          <w:rFonts w:hint="default" w:ascii="Times New Roman" w:hAnsi="Times New Roman" w:cs="Times New Roman"/>
          <w:color w:val="auto"/>
          <w:sz w:val="21"/>
          <w:szCs w:val="21"/>
          <w:highlight w:val="none"/>
          <w:lang w:eastAsia="zh-CN"/>
        </w:rPr>
        <w:t>环保标段</w:t>
      </w:r>
      <w:r>
        <w:rPr>
          <w:rFonts w:hint="default" w:ascii="Times New Roman" w:hAnsi="Times New Roman" w:cs="Times New Roman"/>
          <w:color w:val="auto"/>
          <w:sz w:val="21"/>
          <w:szCs w:val="21"/>
          <w:highlight w:val="none"/>
          <w:lang w:val="en-US" w:eastAsia="zh-CN"/>
        </w:rPr>
        <w:t>76.8万元</w:t>
      </w:r>
      <w:r>
        <w:rPr>
          <w:rFonts w:hint="default" w:ascii="Times New Roman" w:hAnsi="Times New Roman" w:cs="Times New Roman"/>
          <w:color w:val="auto"/>
          <w:sz w:val="21"/>
          <w:szCs w:val="21"/>
          <w:highlight w:val="none"/>
          <w:lang w:eastAsia="zh-CN"/>
        </w:rPr>
        <w:t>）</w:t>
      </w:r>
    </w:p>
    <w:p w14:paraId="5FBE1856">
      <w:pPr>
        <w:keepNext w:val="0"/>
        <w:keepLines w:val="0"/>
        <w:pageBreakBefore w:val="0"/>
        <w:pBdr>
          <w:top w:val="none" w:color="000000" w:sz="0" w:space="0"/>
          <w:left w:val="none" w:color="000000" w:sz="0" w:space="0"/>
          <w:bottom w:val="none" w:color="000000" w:sz="0" w:space="0"/>
          <w:right w:val="none" w:color="000000" w:sz="0" w:space="0"/>
        </w:pBdr>
        <w:spacing w:beforeAutospacing="0" w:afterAutospacing="0" w:line="360" w:lineRule="auto"/>
        <w:ind w:firstLine="480"/>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采购</w:t>
      </w:r>
      <w:r>
        <w:rPr>
          <w:rFonts w:hint="default" w:ascii="Times New Roman" w:hAnsi="Times New Roman" w:cs="Times New Roman"/>
          <w:color w:val="auto"/>
          <w:sz w:val="21"/>
          <w:szCs w:val="21"/>
          <w:highlight w:val="none"/>
          <w:lang w:val="en-US" w:eastAsia="zh-CN"/>
        </w:rPr>
        <w:t>内容</w:t>
      </w:r>
      <w:r>
        <w:rPr>
          <w:rFonts w:hint="default" w:ascii="Times New Roman" w:hAnsi="Times New Roman" w:cs="Times New Roman"/>
          <w:color w:val="auto"/>
          <w:sz w:val="21"/>
          <w:szCs w:val="21"/>
          <w:highlight w:val="none"/>
        </w:rPr>
        <w:t>：详见磋商文件第</w:t>
      </w:r>
      <w:r>
        <w:rPr>
          <w:rFonts w:hint="default" w:ascii="Times New Roman" w:hAnsi="Times New Roman" w:cs="Times New Roman"/>
          <w:color w:val="auto"/>
          <w:sz w:val="21"/>
          <w:szCs w:val="21"/>
          <w:highlight w:val="none"/>
          <w:lang w:val="en-US" w:eastAsia="zh-CN"/>
        </w:rPr>
        <w:t>四</w:t>
      </w:r>
      <w:r>
        <w:rPr>
          <w:rFonts w:hint="default" w:ascii="Times New Roman" w:hAnsi="Times New Roman" w:cs="Times New Roman"/>
          <w:color w:val="auto"/>
          <w:sz w:val="21"/>
          <w:szCs w:val="21"/>
          <w:highlight w:val="none"/>
        </w:rPr>
        <w:t>章项目需求。</w:t>
      </w:r>
    </w:p>
    <w:p w14:paraId="4D6D8900">
      <w:pPr>
        <w:keepNext w:val="0"/>
        <w:keepLines w:val="0"/>
        <w:pageBreakBefore w:val="0"/>
        <w:pBdr>
          <w:top w:val="none" w:color="000000" w:sz="0" w:space="0"/>
          <w:left w:val="none" w:color="000000" w:sz="0" w:space="0"/>
          <w:bottom w:val="none" w:color="000000" w:sz="0" w:space="0"/>
          <w:right w:val="none" w:color="000000" w:sz="0" w:space="0"/>
        </w:pBdr>
        <w:spacing w:beforeAutospacing="0" w:afterAutospacing="0" w:line="360" w:lineRule="auto"/>
        <w:ind w:firstLine="480"/>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合同履行期限：合同签订之日起二年。</w:t>
      </w:r>
    </w:p>
    <w:p w14:paraId="6FF571B3">
      <w:pPr>
        <w:keepNext w:val="0"/>
        <w:keepLines w:val="0"/>
        <w:pageBreakBefore w:val="0"/>
        <w:pBdr>
          <w:top w:val="none" w:color="000000" w:sz="0" w:space="0"/>
          <w:left w:val="none" w:color="000000" w:sz="0" w:space="0"/>
          <w:bottom w:val="none" w:color="000000" w:sz="0" w:space="0"/>
          <w:right w:val="none" w:color="000000" w:sz="0" w:space="0"/>
        </w:pBdr>
        <w:spacing w:beforeAutospacing="0" w:afterAutospacing="0" w:line="360" w:lineRule="auto"/>
        <w:ind w:firstLine="480"/>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lang w:val="en-US" w:eastAsia="zh-CN"/>
        </w:rPr>
        <w:t>是否</w:t>
      </w:r>
      <w:r>
        <w:rPr>
          <w:rFonts w:hint="default" w:ascii="Times New Roman" w:hAnsi="Times New Roman" w:eastAsia="宋体" w:cs="Times New Roman"/>
          <w:color w:val="auto"/>
          <w:sz w:val="21"/>
          <w:szCs w:val="21"/>
          <w:highlight w:val="none"/>
        </w:rPr>
        <w:t>接受联合体</w:t>
      </w:r>
      <w:r>
        <w:rPr>
          <w:rFonts w:hint="default" w:ascii="Times New Roman" w:hAnsi="Times New Roman" w:eastAsia="宋体" w:cs="Times New Roman"/>
          <w:color w:val="auto"/>
          <w:sz w:val="21"/>
          <w:szCs w:val="21"/>
          <w:highlight w:val="none"/>
          <w:lang w:val="en-US" w:eastAsia="zh-CN"/>
        </w:rPr>
        <w:t>投标</w:t>
      </w:r>
      <w:r>
        <w:rPr>
          <w:rFonts w:hint="default" w:ascii="Times New Roman" w:hAnsi="Times New Roman" w:eastAsia="宋体" w:cs="Times New Roman"/>
          <w:color w:val="auto"/>
          <w:sz w:val="21"/>
          <w:szCs w:val="21"/>
          <w:highlight w:val="none"/>
        </w:rPr>
        <w:t>：否 </w:t>
      </w:r>
    </w:p>
    <w:p w14:paraId="2AF4DC90">
      <w:pPr>
        <w:keepNext w:val="0"/>
        <w:keepLines w:val="0"/>
        <w:pageBreakBefore w:val="0"/>
        <w:pBdr>
          <w:top w:val="none" w:color="000000" w:sz="0" w:space="0"/>
          <w:left w:val="none" w:color="000000" w:sz="0" w:space="0"/>
          <w:bottom w:val="none" w:color="000000" w:sz="0" w:space="0"/>
          <w:right w:val="none" w:color="000000" w:sz="0" w:space="0"/>
        </w:pBdr>
        <w:spacing w:beforeAutospacing="0" w:afterAutospacing="0" w:line="360" w:lineRule="auto"/>
        <w:ind w:firstLine="480"/>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b/>
          <w:bCs/>
          <w:color w:val="auto"/>
          <w:sz w:val="21"/>
          <w:szCs w:val="21"/>
          <w:highlight w:val="none"/>
          <w:lang w:val="en-US" w:eastAsia="zh-CN"/>
        </w:rPr>
        <w:t>注：本项目共分二个标段，供应商可报名多个标段，兼投不</w:t>
      </w:r>
      <w:r>
        <w:rPr>
          <w:rFonts w:hint="default" w:ascii="Times New Roman" w:hAnsi="Times New Roman" w:eastAsia="宋体" w:cs="Times New Roman"/>
          <w:b/>
          <w:bCs/>
          <w:color w:val="auto"/>
          <w:sz w:val="21"/>
          <w:szCs w:val="21"/>
          <w:highlight w:val="none"/>
          <w:lang w:val="en-US" w:eastAsia="zh-CN" w:bidi="ar-SA"/>
        </w:rPr>
        <w:t>兼中</w:t>
      </w:r>
      <w:r>
        <w:rPr>
          <w:rFonts w:hint="default" w:ascii="Times New Roman" w:hAnsi="Times New Roman" w:cs="Times New Roman"/>
          <w:b/>
          <w:bCs/>
          <w:color w:val="auto"/>
          <w:sz w:val="21"/>
          <w:szCs w:val="21"/>
          <w:highlight w:val="none"/>
          <w:lang w:val="en-US" w:eastAsia="zh-CN" w:bidi="ar-SA"/>
        </w:rPr>
        <w:t>【</w:t>
      </w:r>
      <w:r>
        <w:rPr>
          <w:rFonts w:hint="default" w:ascii="Times New Roman" w:hAnsi="Times New Roman" w:eastAsia="宋体" w:cs="Times New Roman"/>
          <w:color w:val="auto"/>
          <w:sz w:val="21"/>
          <w:szCs w:val="21"/>
          <w:highlight w:val="none"/>
          <w:lang w:val="en-US" w:eastAsia="zh-CN"/>
        </w:rPr>
        <w:t>1.本项目同一供应商最多可投2个采购包，开标、评审顺序按包1→包2顺序进行。2.供应商在</w:t>
      </w:r>
      <w:r>
        <w:rPr>
          <w:rFonts w:hint="default" w:ascii="Times New Roman" w:hAnsi="Times New Roman" w:cs="Times New Roman"/>
          <w:color w:val="auto"/>
          <w:sz w:val="21"/>
          <w:szCs w:val="21"/>
          <w:highlight w:val="none"/>
          <w:lang w:val="en-US" w:eastAsia="zh-CN"/>
        </w:rPr>
        <w:t>两</w:t>
      </w:r>
      <w:r>
        <w:rPr>
          <w:rFonts w:hint="default" w:ascii="Times New Roman" w:hAnsi="Times New Roman" w:eastAsia="宋体" w:cs="Times New Roman"/>
          <w:color w:val="auto"/>
          <w:sz w:val="21"/>
          <w:szCs w:val="21"/>
          <w:highlight w:val="none"/>
          <w:lang w:val="en-US" w:eastAsia="zh-CN"/>
        </w:rPr>
        <w:t>个采购包中只能中其中1个采购包，若某供应商在包1推荐为排名第一的成交候选人，可继续参与其他采购包的评审，但不再推荐为成交候选供应商，以此类推。</w:t>
      </w:r>
      <w:r>
        <w:rPr>
          <w:rFonts w:hint="default" w:ascii="Times New Roman" w:hAnsi="Times New Roman" w:cs="Times New Roman"/>
          <w:color w:val="auto"/>
          <w:sz w:val="21"/>
          <w:szCs w:val="21"/>
          <w:highlight w:val="none"/>
          <w:lang w:val="en-US" w:eastAsia="zh-CN"/>
        </w:rPr>
        <w:t>】</w:t>
      </w:r>
    </w:p>
    <w:p w14:paraId="19D27ECD">
      <w:pPr>
        <w:pStyle w:val="3"/>
        <w:spacing w:line="360" w:lineRule="auto"/>
        <w:rPr>
          <w:rFonts w:hint="default" w:ascii="Times New Roman" w:hAnsi="Times New Roman" w:cs="Times New Roman"/>
          <w:color w:val="auto"/>
          <w:highlight w:val="none"/>
        </w:rPr>
      </w:pPr>
      <w:r>
        <w:rPr>
          <w:rFonts w:hint="default" w:ascii="Times New Roman" w:hAnsi="Times New Roman" w:cs="Times New Roman"/>
          <w:color w:val="auto"/>
          <w:highlight w:val="none"/>
        </w:rPr>
        <w:t>二、申请人的资格要求：</w:t>
      </w:r>
    </w:p>
    <w:p w14:paraId="5D694FA7">
      <w:pPr>
        <w:keepNext w:val="0"/>
        <w:keepLines w:val="0"/>
        <w:pageBreakBefore w:val="0"/>
        <w:pBdr>
          <w:top w:val="none" w:color="000000" w:sz="0" w:space="0"/>
          <w:left w:val="none" w:color="000000" w:sz="0" w:space="0"/>
          <w:bottom w:val="none" w:color="000000" w:sz="0" w:space="0"/>
          <w:right w:val="none" w:color="000000" w:sz="0" w:space="0"/>
        </w:pBdr>
        <w:spacing w:beforeAutospacing="0" w:afterAutospacing="0" w:line="360" w:lineRule="auto"/>
        <w:ind w:firstLine="480"/>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（一）满足《中华人民共和国政府采购法》第二十二条规定：</w:t>
      </w:r>
    </w:p>
    <w:p w14:paraId="16FCF3A0">
      <w:pPr>
        <w:keepNext w:val="0"/>
        <w:keepLines w:val="0"/>
        <w:pageBreakBefore w:val="0"/>
        <w:pBdr>
          <w:top w:val="none" w:color="000000" w:sz="0" w:space="0"/>
          <w:left w:val="none" w:color="000000" w:sz="0" w:space="0"/>
          <w:bottom w:val="none" w:color="000000" w:sz="0" w:space="0"/>
          <w:right w:val="none" w:color="000000" w:sz="0" w:space="0"/>
        </w:pBdr>
        <w:spacing w:beforeAutospacing="0" w:afterAutospacing="0" w:line="360" w:lineRule="auto"/>
        <w:ind w:firstLine="480"/>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1.法人或者其他组织的营业执照等证明文件，自然人的身份证明。</w:t>
      </w:r>
    </w:p>
    <w:p w14:paraId="58F75A7D">
      <w:pPr>
        <w:keepNext w:val="0"/>
        <w:keepLines w:val="0"/>
        <w:pageBreakBefore w:val="0"/>
        <w:pBdr>
          <w:top w:val="none" w:color="000000" w:sz="0" w:space="0"/>
          <w:left w:val="none" w:color="000000" w:sz="0" w:space="0"/>
          <w:bottom w:val="none" w:color="000000" w:sz="0" w:space="0"/>
          <w:right w:val="none" w:color="000000" w:sz="0" w:space="0"/>
        </w:pBdr>
        <w:spacing w:beforeAutospacing="0" w:afterAutospacing="0" w:line="360" w:lineRule="auto"/>
        <w:ind w:firstLine="480"/>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2.具有良好的商业信誉和健全的财务会计制度。</w:t>
      </w:r>
    </w:p>
    <w:p w14:paraId="7D9ADAC5">
      <w:pPr>
        <w:keepNext w:val="0"/>
        <w:keepLines w:val="0"/>
        <w:pageBreakBefore w:val="0"/>
        <w:pBdr>
          <w:top w:val="none" w:color="000000" w:sz="0" w:space="0"/>
          <w:left w:val="none" w:color="000000" w:sz="0" w:space="0"/>
          <w:bottom w:val="none" w:color="000000" w:sz="0" w:space="0"/>
          <w:right w:val="none" w:color="000000" w:sz="0" w:space="0"/>
        </w:pBdr>
        <w:spacing w:beforeAutospacing="0" w:afterAutospacing="0" w:line="360" w:lineRule="auto"/>
        <w:ind w:firstLine="480"/>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3.依法缴纳税收和社会保障资金的相关材料。</w:t>
      </w:r>
    </w:p>
    <w:p w14:paraId="5DBDF631">
      <w:pPr>
        <w:keepNext w:val="0"/>
        <w:keepLines w:val="0"/>
        <w:pageBreakBefore w:val="0"/>
        <w:pBdr>
          <w:top w:val="none" w:color="000000" w:sz="0" w:space="0"/>
          <w:left w:val="none" w:color="000000" w:sz="0" w:space="0"/>
          <w:bottom w:val="none" w:color="000000" w:sz="0" w:space="0"/>
          <w:right w:val="none" w:color="000000" w:sz="0" w:space="0"/>
        </w:pBdr>
        <w:spacing w:beforeAutospacing="0" w:afterAutospacing="0" w:line="360" w:lineRule="auto"/>
        <w:ind w:firstLine="480"/>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4.具备履行合同所必需的设备和专业技术能力的书面声明。</w:t>
      </w:r>
    </w:p>
    <w:p w14:paraId="6CCEE41C">
      <w:pPr>
        <w:keepNext w:val="0"/>
        <w:keepLines w:val="0"/>
        <w:pageBreakBefore w:val="0"/>
        <w:pBdr>
          <w:top w:val="none" w:color="000000" w:sz="0" w:space="0"/>
          <w:left w:val="none" w:color="000000" w:sz="0" w:space="0"/>
          <w:bottom w:val="none" w:color="000000" w:sz="0" w:space="0"/>
          <w:right w:val="none" w:color="000000" w:sz="0" w:space="0"/>
        </w:pBdr>
        <w:spacing w:beforeAutospacing="0" w:afterAutospacing="0" w:line="360" w:lineRule="auto"/>
        <w:ind w:firstLine="480"/>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5.参加政府采购活动前3年内在经营活动中没有重大违法记录的书面声明。</w:t>
      </w:r>
    </w:p>
    <w:p w14:paraId="2C5A8007">
      <w:pPr>
        <w:keepNext w:val="0"/>
        <w:keepLines w:val="0"/>
        <w:pageBreakBefore w:val="0"/>
        <w:pBdr>
          <w:top w:val="none" w:color="000000" w:sz="0" w:space="0"/>
          <w:left w:val="none" w:color="000000" w:sz="0" w:space="0"/>
          <w:bottom w:val="none" w:color="000000" w:sz="0" w:space="0"/>
          <w:right w:val="none" w:color="000000" w:sz="0" w:space="0"/>
        </w:pBdr>
        <w:spacing w:beforeAutospacing="0" w:afterAutospacing="0" w:line="360" w:lineRule="auto"/>
        <w:ind w:firstLine="480"/>
        <w:rPr>
          <w:rFonts w:hint="default" w:ascii="Times New Roman" w:hAnsi="Times New Roman" w:cs="Times New Roman"/>
          <w:color w:val="auto"/>
          <w:sz w:val="21"/>
          <w:szCs w:val="21"/>
          <w:highlight w:val="none"/>
        </w:rPr>
      </w:pPr>
      <w:r>
        <w:rPr>
          <w:rFonts w:hint="default" w:ascii="Times New Roman" w:hAnsi="Times New Roman" w:eastAsia="宋体" w:cs="Times New Roman"/>
          <w:color w:val="auto"/>
          <w:sz w:val="21"/>
          <w:szCs w:val="21"/>
          <w:highlight w:val="none"/>
        </w:rPr>
        <w:t>6</w:t>
      </w:r>
      <w:r>
        <w:rPr>
          <w:rFonts w:hint="default" w:ascii="Times New Roman" w:hAnsi="Times New Roman" w:eastAsia="宋体" w:cs="Times New Roman"/>
          <w:color w:val="auto"/>
          <w:sz w:val="21"/>
          <w:szCs w:val="21"/>
          <w:highlight w:val="none"/>
          <w:lang w:eastAsia="zh-CN"/>
        </w:rPr>
        <w:t>.</w:t>
      </w:r>
      <w:r>
        <w:rPr>
          <w:rFonts w:hint="default" w:ascii="Times New Roman" w:hAnsi="Times New Roman" w:eastAsia="宋体" w:cs="Times New Roman"/>
          <w:color w:val="auto"/>
          <w:sz w:val="21"/>
          <w:szCs w:val="21"/>
          <w:highlight w:val="none"/>
        </w:rPr>
        <w:t>法律、行政法规规定的其他条件。</w:t>
      </w:r>
    </w:p>
    <w:p w14:paraId="46C951C7">
      <w:pPr>
        <w:keepNext w:val="0"/>
        <w:keepLines w:val="0"/>
        <w:pageBreakBefore w:val="0"/>
        <w:pBdr>
          <w:top w:val="none" w:color="000000" w:sz="0" w:space="0"/>
          <w:left w:val="none" w:color="000000" w:sz="0" w:space="0"/>
          <w:bottom w:val="none" w:color="000000" w:sz="0" w:space="0"/>
          <w:right w:val="none" w:color="000000" w:sz="0" w:space="0"/>
        </w:pBdr>
        <w:spacing w:beforeAutospacing="0" w:afterAutospacing="0" w:line="360" w:lineRule="auto"/>
        <w:ind w:firstLine="480"/>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（二）落实政府采购政策需满足的资格要求：</w:t>
      </w:r>
    </w:p>
    <w:p w14:paraId="2BA17A54">
      <w:pPr>
        <w:keepNext w:val="0"/>
        <w:keepLines w:val="0"/>
        <w:pageBreakBefore w:val="0"/>
        <w:pBdr>
          <w:top w:val="none" w:color="000000" w:sz="0" w:space="0"/>
          <w:left w:val="none" w:color="000000" w:sz="0" w:space="0"/>
          <w:bottom w:val="none" w:color="000000" w:sz="0" w:space="0"/>
          <w:right w:val="none" w:color="000000" w:sz="0" w:space="0"/>
        </w:pBdr>
        <w:spacing w:beforeAutospacing="0" w:afterAutospacing="0" w:line="360" w:lineRule="auto"/>
        <w:ind w:firstLine="480"/>
        <w:rPr>
          <w:rFonts w:hint="default" w:ascii="Times New Roman" w:hAnsi="Times New Roman" w:eastAsia="宋体" w:cs="Times New Roman"/>
          <w:color w:val="auto"/>
          <w:sz w:val="21"/>
          <w:szCs w:val="21"/>
          <w:highlight w:val="none"/>
          <w:lang w:eastAsia="zh-CN"/>
        </w:rPr>
      </w:pPr>
      <w:r>
        <w:rPr>
          <w:rFonts w:hint="default" w:ascii="Times New Roman" w:hAnsi="Times New Roman" w:eastAsia="宋体" w:cs="Times New Roman"/>
          <w:color w:val="auto"/>
          <w:sz w:val="21"/>
          <w:szCs w:val="21"/>
          <w:highlight w:val="none"/>
        </w:rPr>
        <w:t>本项目专门面向中小企业，供应商应为中小微企业或监狱企业或残疾人福利性单位。</w:t>
      </w:r>
    </w:p>
    <w:p w14:paraId="49DFC9D4">
      <w:pPr>
        <w:keepNext w:val="0"/>
        <w:keepLines w:val="0"/>
        <w:pageBreakBefore w:val="0"/>
        <w:pBdr>
          <w:top w:val="none" w:color="000000" w:sz="0" w:space="0"/>
          <w:left w:val="none" w:color="000000" w:sz="0" w:space="0"/>
          <w:bottom w:val="none" w:color="000000" w:sz="0" w:space="0"/>
          <w:right w:val="none" w:color="000000" w:sz="0" w:space="0"/>
        </w:pBdr>
        <w:spacing w:beforeAutospacing="0" w:afterAutospacing="0" w:line="360" w:lineRule="auto"/>
        <w:ind w:firstLine="480"/>
        <w:rPr>
          <w:rFonts w:hint="default" w:ascii="Times New Roman" w:hAnsi="Times New Roman" w:eastAsia="宋体" w:cs="Times New Roman"/>
          <w:color w:val="auto"/>
          <w:sz w:val="21"/>
          <w:szCs w:val="21"/>
          <w:highlight w:val="none"/>
          <w:lang w:val="en-US" w:eastAsia="zh-CN"/>
        </w:rPr>
      </w:pPr>
      <w:r>
        <w:rPr>
          <w:rFonts w:hint="default" w:ascii="Times New Roman" w:hAnsi="Times New Roman" w:cs="Times New Roman"/>
          <w:color w:val="auto"/>
          <w:sz w:val="21"/>
          <w:szCs w:val="21"/>
          <w:highlight w:val="none"/>
        </w:rPr>
        <w:t>（三）本项目的特定资格要求：</w:t>
      </w:r>
      <w:r>
        <w:rPr>
          <w:rFonts w:hint="default" w:ascii="Times New Roman" w:hAnsi="Times New Roman" w:cs="Times New Roman"/>
          <w:color w:val="auto"/>
          <w:sz w:val="21"/>
          <w:szCs w:val="21"/>
          <w:highlight w:val="none"/>
          <w:lang w:val="en-US" w:eastAsia="zh-CN"/>
        </w:rPr>
        <w:t>无</w:t>
      </w:r>
    </w:p>
    <w:p w14:paraId="218CD520">
      <w:pPr>
        <w:tabs>
          <w:tab w:val="left" w:pos="900"/>
        </w:tabs>
        <w:spacing w:line="360" w:lineRule="auto"/>
        <w:ind w:left="420"/>
        <w:rPr>
          <w:rFonts w:hint="default" w:ascii="Times New Roman" w:hAnsi="Times New Roman" w:cs="Times New Roman" w:eastAsiaTheme="minorEastAsia"/>
          <w:bCs/>
          <w:color w:val="auto"/>
          <w:szCs w:val="21"/>
          <w:highlight w:val="none"/>
        </w:rPr>
      </w:pPr>
      <w:r>
        <w:rPr>
          <w:rFonts w:hint="default" w:ascii="Times New Roman" w:hAnsi="Times New Roman" w:cs="Times New Roman"/>
          <w:color w:val="auto"/>
          <w:sz w:val="21"/>
          <w:szCs w:val="21"/>
          <w:highlight w:val="none"/>
          <w:lang w:eastAsia="zh-CN"/>
        </w:rPr>
        <w:t>（</w:t>
      </w:r>
      <w:r>
        <w:rPr>
          <w:rFonts w:hint="default" w:ascii="Times New Roman" w:hAnsi="Times New Roman" w:cs="Times New Roman"/>
          <w:color w:val="auto"/>
          <w:sz w:val="21"/>
          <w:szCs w:val="21"/>
          <w:highlight w:val="none"/>
          <w:lang w:val="en-US" w:eastAsia="zh-CN"/>
        </w:rPr>
        <w:t>四）</w:t>
      </w:r>
      <w:r>
        <w:rPr>
          <w:rFonts w:hint="default" w:ascii="Times New Roman" w:hAnsi="Times New Roman" w:cs="Times New Roman"/>
          <w:color w:val="auto"/>
          <w:sz w:val="21"/>
          <w:szCs w:val="21"/>
          <w:highlight w:val="none"/>
        </w:rPr>
        <w:t>拒绝下述供应商参加本次采购活动</w:t>
      </w:r>
      <w:r>
        <w:rPr>
          <w:rFonts w:hint="default" w:ascii="Times New Roman" w:hAnsi="Times New Roman" w:cs="Times New Roman" w:eastAsiaTheme="minorEastAsia"/>
          <w:bCs/>
          <w:color w:val="auto"/>
          <w:szCs w:val="21"/>
          <w:highlight w:val="none"/>
        </w:rPr>
        <w:t>：</w:t>
      </w:r>
    </w:p>
    <w:p w14:paraId="6F04FF55">
      <w:pPr>
        <w:keepNext w:val="0"/>
        <w:keepLines w:val="0"/>
        <w:pageBreakBefore w:val="0"/>
        <w:pBdr>
          <w:top w:val="none" w:color="000000" w:sz="0" w:space="0"/>
          <w:left w:val="none" w:color="000000" w:sz="0" w:space="0"/>
          <w:bottom w:val="none" w:color="000000" w:sz="0" w:space="0"/>
          <w:right w:val="none" w:color="000000" w:sz="0" w:space="0"/>
        </w:pBdr>
        <w:spacing w:beforeAutospacing="0" w:afterAutospacing="0" w:line="360" w:lineRule="auto"/>
        <w:ind w:firstLine="480"/>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1</w:t>
      </w:r>
      <w:r>
        <w:rPr>
          <w:rFonts w:hint="default" w:ascii="Times New Roman" w:hAnsi="Times New Roman" w:cs="Times New Roman"/>
          <w:color w:val="auto"/>
          <w:sz w:val="21"/>
          <w:szCs w:val="21"/>
          <w:highlight w:val="none"/>
          <w:lang w:eastAsia="zh-CN"/>
        </w:rPr>
        <w:t>.</w:t>
      </w:r>
      <w:r>
        <w:rPr>
          <w:rFonts w:hint="default" w:ascii="Times New Roman" w:hAnsi="Times New Roman" w:eastAsia="宋体" w:cs="Times New Roman"/>
          <w:color w:val="auto"/>
          <w:sz w:val="21"/>
          <w:szCs w:val="21"/>
          <w:highlight w:val="none"/>
        </w:rPr>
        <w:t>供应商单位负责人为同一人或者存在直接控股、管理关系的不同供应商，不得参加同一合同项下的政府采购活动；</w:t>
      </w:r>
    </w:p>
    <w:p w14:paraId="3F690F5E">
      <w:pPr>
        <w:keepNext w:val="0"/>
        <w:keepLines w:val="0"/>
        <w:pageBreakBefore w:val="0"/>
        <w:pBdr>
          <w:top w:val="none" w:color="000000" w:sz="0" w:space="0"/>
          <w:left w:val="none" w:color="000000" w:sz="0" w:space="0"/>
          <w:bottom w:val="none" w:color="000000" w:sz="0" w:space="0"/>
          <w:right w:val="none" w:color="000000" w:sz="0" w:space="0"/>
        </w:pBdr>
        <w:spacing w:beforeAutospacing="0" w:afterAutospacing="0" w:line="360" w:lineRule="auto"/>
        <w:ind w:firstLine="480"/>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2</w:t>
      </w:r>
      <w:r>
        <w:rPr>
          <w:rFonts w:hint="default" w:ascii="Times New Roman" w:hAnsi="Times New Roman" w:cs="Times New Roman"/>
          <w:color w:val="auto"/>
          <w:sz w:val="21"/>
          <w:szCs w:val="21"/>
          <w:highlight w:val="none"/>
          <w:lang w:eastAsia="zh-CN"/>
        </w:rPr>
        <w:t>.</w:t>
      </w:r>
      <w:r>
        <w:rPr>
          <w:rFonts w:hint="default" w:ascii="Times New Roman" w:hAnsi="Times New Roman" w:eastAsia="宋体" w:cs="Times New Roman"/>
          <w:color w:val="auto"/>
          <w:sz w:val="21"/>
          <w:szCs w:val="21"/>
          <w:highlight w:val="none"/>
        </w:rPr>
        <w:t>凡为本采购项目提供整体设计、规范编制或者项目管理、监理、检测等服务的供应商，不得再参加本采购项目的其他采购活动；</w:t>
      </w:r>
    </w:p>
    <w:p w14:paraId="5F41698C">
      <w:pPr>
        <w:keepNext w:val="0"/>
        <w:keepLines w:val="0"/>
        <w:pageBreakBefore w:val="0"/>
        <w:pBdr>
          <w:top w:val="none" w:color="000000" w:sz="0" w:space="0"/>
          <w:left w:val="none" w:color="000000" w:sz="0" w:space="0"/>
          <w:bottom w:val="none" w:color="000000" w:sz="0" w:space="0"/>
          <w:right w:val="none" w:color="000000" w:sz="0" w:space="0"/>
        </w:pBdr>
        <w:spacing w:beforeAutospacing="0" w:afterAutospacing="0" w:line="360" w:lineRule="auto"/>
        <w:ind w:firstLine="480"/>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3</w:t>
      </w:r>
      <w:r>
        <w:rPr>
          <w:rFonts w:hint="default" w:ascii="Times New Roman" w:hAnsi="Times New Roman" w:cs="Times New Roman"/>
          <w:color w:val="auto"/>
          <w:sz w:val="21"/>
          <w:szCs w:val="21"/>
          <w:highlight w:val="none"/>
          <w:lang w:eastAsia="zh-CN"/>
        </w:rPr>
        <w:t>、</w:t>
      </w:r>
      <w:r>
        <w:rPr>
          <w:rFonts w:hint="default" w:ascii="Times New Roman" w:hAnsi="Times New Roman" w:eastAsia="宋体" w:cs="Times New Roman"/>
          <w:color w:val="auto"/>
          <w:sz w:val="21"/>
          <w:szCs w:val="21"/>
          <w:highlight w:val="none"/>
        </w:rPr>
        <w:t>供应商被“信用中国”网站（www.creditchina.gov.cn）、“中国政府采购网”（www.ccgp.gov.cn）列入严重失信主体名单、政府采购严重违法失信行为记录名单。</w:t>
      </w:r>
    </w:p>
    <w:p w14:paraId="3EFBA267">
      <w:pPr>
        <w:pStyle w:val="3"/>
        <w:spacing w:line="360" w:lineRule="auto"/>
        <w:rPr>
          <w:rFonts w:hint="default" w:ascii="Times New Roman" w:hAnsi="Times New Roman" w:cs="Times New Roman"/>
          <w:color w:val="auto"/>
          <w:highlight w:val="none"/>
        </w:rPr>
      </w:pPr>
      <w:r>
        <w:rPr>
          <w:rFonts w:hint="default" w:ascii="Times New Roman" w:hAnsi="Times New Roman" w:cs="Times New Roman"/>
          <w:color w:val="auto"/>
          <w:highlight w:val="none"/>
        </w:rPr>
        <w:t>三、获取采购文件</w:t>
      </w:r>
    </w:p>
    <w:p w14:paraId="74D26CF2">
      <w:pPr>
        <w:keepNext w:val="0"/>
        <w:keepLines w:val="0"/>
        <w:pageBreakBefore w:val="0"/>
        <w:pBdr>
          <w:top w:val="none" w:color="000000" w:sz="0" w:space="0"/>
          <w:left w:val="none" w:color="000000" w:sz="0" w:space="0"/>
          <w:bottom w:val="none" w:color="000000" w:sz="0" w:space="0"/>
          <w:right w:val="none" w:color="000000" w:sz="0" w:space="0"/>
        </w:pBdr>
        <w:spacing w:beforeAutospacing="0" w:afterAutospacing="0" w:line="360" w:lineRule="auto"/>
        <w:ind w:firstLine="480"/>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1.获取时间：自磋商文件公告发布之日起5个工作日。</w:t>
      </w:r>
    </w:p>
    <w:p w14:paraId="35C2A6CD">
      <w:pPr>
        <w:keepNext w:val="0"/>
        <w:keepLines w:val="0"/>
        <w:pageBreakBefore w:val="0"/>
        <w:pBdr>
          <w:top w:val="none" w:color="000000" w:sz="0" w:space="0"/>
          <w:left w:val="none" w:color="000000" w:sz="0" w:space="0"/>
          <w:bottom w:val="none" w:color="000000" w:sz="0" w:space="0"/>
          <w:right w:val="none" w:color="000000" w:sz="0" w:space="0"/>
        </w:pBdr>
        <w:spacing w:beforeAutospacing="0" w:afterAutospacing="0" w:line="360" w:lineRule="auto"/>
        <w:ind w:firstLine="480"/>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2.地点：江苏政府采购“苏采云”系统  </w:t>
      </w:r>
    </w:p>
    <w:p w14:paraId="06233C41">
      <w:pPr>
        <w:keepNext w:val="0"/>
        <w:keepLines w:val="0"/>
        <w:pageBreakBefore w:val="0"/>
        <w:pBdr>
          <w:top w:val="none" w:color="000000" w:sz="0" w:space="0"/>
          <w:left w:val="none" w:color="000000" w:sz="0" w:space="0"/>
          <w:bottom w:val="none" w:color="000000" w:sz="0" w:space="0"/>
          <w:right w:val="none" w:color="000000" w:sz="0" w:space="0"/>
        </w:pBdr>
        <w:spacing w:beforeAutospacing="0" w:afterAutospacing="0" w:line="360" w:lineRule="auto"/>
        <w:ind w:firstLine="480"/>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lang w:val="en-US" w:eastAsia="zh-CN"/>
        </w:rPr>
        <w:t>3.</w:t>
      </w:r>
      <w:r>
        <w:rPr>
          <w:rFonts w:hint="default" w:ascii="Times New Roman" w:hAnsi="Times New Roman" w:cs="Times New Roman"/>
          <w:color w:val="auto"/>
          <w:sz w:val="21"/>
          <w:szCs w:val="21"/>
          <w:highlight w:val="none"/>
        </w:rPr>
        <w:t>方式：江苏政府采购“苏采云”系统自行免费下载 </w:t>
      </w:r>
    </w:p>
    <w:p w14:paraId="366F49FD">
      <w:pPr>
        <w:keepNext w:val="0"/>
        <w:keepLines w:val="0"/>
        <w:pageBreakBefore w:val="0"/>
        <w:pBdr>
          <w:top w:val="none" w:color="000000" w:sz="0" w:space="0"/>
          <w:left w:val="none" w:color="000000" w:sz="0" w:space="0"/>
          <w:bottom w:val="none" w:color="000000" w:sz="0" w:space="0"/>
          <w:right w:val="none" w:color="000000" w:sz="0" w:space="0"/>
        </w:pBdr>
        <w:spacing w:beforeAutospacing="0" w:afterAutospacing="0" w:line="360" w:lineRule="auto"/>
        <w:ind w:firstLine="480"/>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3.1潜在供应商访问电子招标响应交易平台的网络地址和方法：</w:t>
      </w:r>
    </w:p>
    <w:p w14:paraId="01737D40">
      <w:pPr>
        <w:keepNext w:val="0"/>
        <w:keepLines w:val="0"/>
        <w:pageBreakBefore w:val="0"/>
        <w:pBdr>
          <w:top w:val="none" w:color="000000" w:sz="0" w:space="0"/>
          <w:left w:val="none" w:color="000000" w:sz="0" w:space="0"/>
          <w:bottom w:val="none" w:color="000000" w:sz="0" w:space="0"/>
          <w:right w:val="none" w:color="000000" w:sz="0" w:space="0"/>
        </w:pBdr>
        <w:spacing w:beforeAutospacing="0" w:afterAutospacing="0" w:line="360" w:lineRule="auto"/>
        <w:ind w:firstLine="480"/>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苏采云”系统用户注册－－获取“CA数字证书”--CA绑定与登录--网上报名--下载采购文件（后缀名为“.kedt”）--将后缀名为“.kedt”的采购文件导入政府采购客户端工具--制作响应文件--导出加密的响应文件（后缀名为zip）--通过“苏采云”系统上传响应文件。具体见《江苏省政府采购管理交易系统（苏采云）供应商操作手册》。</w:t>
      </w:r>
    </w:p>
    <w:p w14:paraId="5AB529B1">
      <w:pPr>
        <w:keepNext w:val="0"/>
        <w:keepLines w:val="0"/>
        <w:pageBreakBefore w:val="0"/>
        <w:pBdr>
          <w:top w:val="none" w:color="000000" w:sz="0" w:space="0"/>
          <w:left w:val="none" w:color="000000" w:sz="0" w:space="0"/>
          <w:bottom w:val="none" w:color="000000" w:sz="0" w:space="0"/>
          <w:right w:val="none" w:color="000000" w:sz="0" w:space="0"/>
        </w:pBdr>
        <w:spacing w:beforeAutospacing="0" w:afterAutospacing="0" w:line="360" w:lineRule="auto"/>
        <w:ind w:firstLine="480"/>
        <w:rPr>
          <w:rFonts w:hint="default" w:ascii="Times New Roman" w:hAnsi="Times New Roman" w:cs="Times New Roman"/>
          <w:color w:val="auto"/>
          <w:sz w:val="21"/>
          <w:szCs w:val="21"/>
          <w:highlight w:val="none"/>
          <w:lang w:eastAsia="en-US"/>
        </w:rPr>
      </w:pPr>
      <w:r>
        <w:rPr>
          <w:rFonts w:hint="default" w:ascii="Times New Roman" w:hAnsi="Times New Roman" w:cs="Times New Roman"/>
          <w:color w:val="auto"/>
          <w:sz w:val="21"/>
          <w:szCs w:val="21"/>
          <w:highlight w:val="none"/>
          <w:lang w:eastAsia="en-US"/>
        </w:rPr>
        <w:t>3.2潜在供应商访问“苏采云”系统的网络地址和方法：“苏采云”系统的网址：http://jszfcg.jsczt.cn/。</w:t>
      </w:r>
    </w:p>
    <w:p w14:paraId="0D982F67">
      <w:pPr>
        <w:keepNext w:val="0"/>
        <w:keepLines w:val="0"/>
        <w:pageBreakBefore w:val="0"/>
        <w:pBdr>
          <w:top w:val="none" w:color="000000" w:sz="0" w:space="0"/>
          <w:left w:val="none" w:color="000000" w:sz="0" w:space="0"/>
          <w:bottom w:val="none" w:color="000000" w:sz="0" w:space="0"/>
          <w:right w:val="none" w:color="000000" w:sz="0" w:space="0"/>
        </w:pBdr>
        <w:spacing w:beforeAutospacing="0" w:afterAutospacing="0" w:line="360" w:lineRule="auto"/>
        <w:ind w:firstLine="480"/>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3.3“CA数字证书”的获取：</w:t>
      </w:r>
    </w:p>
    <w:p w14:paraId="29B92F63">
      <w:pPr>
        <w:keepNext w:val="0"/>
        <w:keepLines w:val="0"/>
        <w:pageBreakBefore w:val="0"/>
        <w:pBdr>
          <w:top w:val="none" w:color="000000" w:sz="0" w:space="0"/>
          <w:left w:val="none" w:color="000000" w:sz="0" w:space="0"/>
          <w:bottom w:val="none" w:color="000000" w:sz="0" w:space="0"/>
          <w:right w:val="none" w:color="000000" w:sz="0" w:space="0"/>
        </w:pBdr>
        <w:spacing w:beforeAutospacing="0" w:afterAutospacing="0" w:line="360" w:lineRule="auto"/>
        <w:ind w:firstLine="480"/>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供应商需办理“CA 数字证书”。“苏采云”系统目前仅支持政务CA、方正签章，省内各地区办理的用于“苏采云”平台的政务CA、方正签章全省通用。“CA数字证书”的办理方法详见江苏政府采购网—资料下载中《江苏省政府采购数字证书（供应商）CA及电子签章办理指南》。</w:t>
      </w:r>
    </w:p>
    <w:p w14:paraId="32241835">
      <w:pPr>
        <w:keepNext w:val="0"/>
        <w:keepLines w:val="0"/>
        <w:pageBreakBefore w:val="0"/>
        <w:pBdr>
          <w:top w:val="none" w:color="000000" w:sz="0" w:space="0"/>
          <w:left w:val="none" w:color="000000" w:sz="0" w:space="0"/>
          <w:bottom w:val="none" w:color="000000" w:sz="0" w:space="0"/>
          <w:right w:val="none" w:color="000000" w:sz="0" w:space="0"/>
        </w:pBdr>
        <w:spacing w:beforeAutospacing="0" w:afterAutospacing="0" w:line="360" w:lineRule="auto"/>
        <w:ind w:firstLine="480"/>
        <w:rPr>
          <w:rFonts w:hint="default" w:ascii="Times New Roman" w:hAnsi="Times New Roman" w:cs="Times New Roman"/>
          <w:color w:val="auto"/>
          <w:sz w:val="21"/>
          <w:szCs w:val="21"/>
          <w:highlight w:val="none"/>
          <w:lang w:eastAsia="en-US"/>
        </w:rPr>
      </w:pPr>
      <w:r>
        <w:rPr>
          <w:rFonts w:hint="default" w:ascii="Times New Roman" w:hAnsi="Times New Roman" w:cs="Times New Roman"/>
          <w:color w:val="auto"/>
          <w:sz w:val="21"/>
          <w:szCs w:val="21"/>
          <w:highlight w:val="none"/>
          <w:lang w:eastAsia="en-US"/>
        </w:rPr>
        <w:t>通过苏采云系统首页（http://jszfcg.jscz.gov.cn/）的“苏采云控件驱动下载”，选择“政务CA、方正签章控件驱动安装包及安装说明”下载安装，具体安装方法详见下载文件内的《安装说明》。</w:t>
      </w:r>
    </w:p>
    <w:p w14:paraId="6A22B1D1">
      <w:pPr>
        <w:keepNext w:val="0"/>
        <w:keepLines w:val="0"/>
        <w:pageBreakBefore w:val="0"/>
        <w:pBdr>
          <w:top w:val="none" w:color="000000" w:sz="0" w:space="0"/>
          <w:left w:val="none" w:color="000000" w:sz="0" w:space="0"/>
          <w:bottom w:val="none" w:color="000000" w:sz="0" w:space="0"/>
          <w:right w:val="none" w:color="000000" w:sz="0" w:space="0"/>
        </w:pBdr>
        <w:spacing w:beforeAutospacing="0" w:afterAutospacing="0" w:line="360" w:lineRule="auto"/>
        <w:ind w:firstLine="480"/>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3.4采购文件（后缀名为“.kedt”）、供应商操作手册及政府采购客户端工具可通过“苏采云”系统--已报名项目--报名详情页面内相应链接进行下载。</w:t>
      </w:r>
    </w:p>
    <w:p w14:paraId="2756193C">
      <w:pPr>
        <w:keepNext w:val="0"/>
        <w:keepLines w:val="0"/>
        <w:pageBreakBefore w:val="0"/>
        <w:pBdr>
          <w:top w:val="none" w:color="000000" w:sz="0" w:space="0"/>
          <w:left w:val="none" w:color="000000" w:sz="0" w:space="0"/>
          <w:bottom w:val="none" w:color="000000" w:sz="0" w:space="0"/>
          <w:right w:val="none" w:color="000000" w:sz="0" w:space="0"/>
        </w:pBdr>
        <w:spacing w:beforeAutospacing="0" w:afterAutospacing="0" w:line="360" w:lineRule="auto"/>
        <w:ind w:firstLine="480"/>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3.5采购人或采购代理机构将数据电文形式的采购文件加载至“苏采云”系统，供潜在供应商下载或者查阅。</w:t>
      </w:r>
    </w:p>
    <w:p w14:paraId="01595154">
      <w:pPr>
        <w:keepNext w:val="0"/>
        <w:keepLines w:val="0"/>
        <w:pageBreakBefore w:val="0"/>
        <w:pBdr>
          <w:top w:val="none" w:color="000000" w:sz="0" w:space="0"/>
          <w:left w:val="none" w:color="000000" w:sz="0" w:space="0"/>
          <w:bottom w:val="none" w:color="000000" w:sz="0" w:space="0"/>
          <w:right w:val="none" w:color="000000" w:sz="0" w:space="0"/>
        </w:pBdr>
        <w:spacing w:beforeAutospacing="0" w:afterAutospacing="0" w:line="360" w:lineRule="auto"/>
        <w:ind w:firstLine="480"/>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3.6请潜在供应商提前安装相应的控件（详见《江苏省政府采购管理交易系统（苏采云）供应商操作手册》）并使用谷歌浏览器登录“苏采云”系统参与不见面开评标。</w:t>
      </w:r>
    </w:p>
    <w:p w14:paraId="498FDC3E">
      <w:pPr>
        <w:keepNext w:val="0"/>
        <w:keepLines w:val="0"/>
        <w:pageBreakBefore w:val="0"/>
        <w:pBdr>
          <w:top w:val="none" w:color="000000" w:sz="0" w:space="0"/>
          <w:left w:val="none" w:color="000000" w:sz="0" w:space="0"/>
          <w:bottom w:val="none" w:color="000000" w:sz="0" w:space="0"/>
          <w:right w:val="none" w:color="000000" w:sz="0" w:space="0"/>
        </w:pBdr>
        <w:spacing w:beforeAutospacing="0" w:afterAutospacing="0" w:line="360" w:lineRule="auto"/>
        <w:ind w:firstLine="480"/>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3.7开评标全过程中，磋商供应商一端参与交互的人员将均被视为是磋商供应商的授权委托人或法定代表人，磋商供应商不得以不承认交互人员的资格或身份等为借口抵赖推脱，磋商供应商自行承担随意更换人员所导致的一切后果。为顺利实现本项目开评标的远程交互，建议磋商供应商配置的硬件设施有：电脑或手机、高速稳定的网络、电源（不间断）、音视频设备（话筒、耳麦、高清摄像头、音响）等。为保证交互效果，建议磋商供应商选择封闭安静的地点参与远程交互。因磋商供应商自身软硬件问题而导致在交互过程中出现不稳定或中断等情况的，由磋商供应商自身承担一切后果。</w:t>
      </w:r>
    </w:p>
    <w:p w14:paraId="77E2A8A7">
      <w:pPr>
        <w:keepNext w:val="0"/>
        <w:keepLines w:val="0"/>
        <w:pageBreakBefore w:val="0"/>
        <w:pBdr>
          <w:top w:val="none" w:color="000000" w:sz="0" w:space="0"/>
          <w:left w:val="none" w:color="000000" w:sz="0" w:space="0"/>
          <w:bottom w:val="none" w:color="000000" w:sz="0" w:space="0"/>
          <w:right w:val="none" w:color="000000" w:sz="0" w:space="0"/>
        </w:pBdr>
        <w:spacing w:beforeAutospacing="0" w:afterAutospacing="0" w:line="360" w:lineRule="auto"/>
        <w:ind w:firstLine="480"/>
        <w:rPr>
          <w:rFonts w:hint="default" w:ascii="Times New Roman" w:hAnsi="Times New Roman" w:cs="Times New Roman" w:eastAsiaTheme="minorEastAsia"/>
          <w:b/>
          <w:bCs/>
          <w:color w:val="auto"/>
          <w:sz w:val="21"/>
          <w:szCs w:val="21"/>
          <w:highlight w:val="none"/>
        </w:rPr>
      </w:pPr>
      <w:r>
        <w:rPr>
          <w:rFonts w:hint="default" w:ascii="Times New Roman" w:hAnsi="Times New Roman" w:cs="Times New Roman"/>
          <w:b/>
          <w:bCs/>
          <w:color w:val="auto"/>
          <w:sz w:val="21"/>
          <w:szCs w:val="21"/>
          <w:highlight w:val="none"/>
        </w:rPr>
        <w:t>注：如潜在供应商未按上述要求操作，将自行承担所产生的风险。</w:t>
      </w:r>
    </w:p>
    <w:p w14:paraId="4457CA89">
      <w:pPr>
        <w:pStyle w:val="3"/>
        <w:spacing w:line="360" w:lineRule="auto"/>
        <w:rPr>
          <w:rFonts w:hint="default" w:ascii="Times New Roman" w:hAnsi="Times New Roman" w:cs="Times New Roman"/>
          <w:color w:val="auto"/>
          <w:highlight w:val="none"/>
        </w:rPr>
      </w:pPr>
      <w:r>
        <w:rPr>
          <w:rFonts w:hint="default" w:ascii="Times New Roman" w:hAnsi="Times New Roman" w:cs="Times New Roman"/>
          <w:color w:val="auto"/>
          <w:highlight w:val="none"/>
        </w:rPr>
        <w:t>四、响应文件提交</w:t>
      </w:r>
    </w:p>
    <w:p w14:paraId="0C2769D8">
      <w:pPr>
        <w:keepNext w:val="0"/>
        <w:keepLines w:val="0"/>
        <w:pageBreakBefore w:val="0"/>
        <w:pBdr>
          <w:top w:val="none" w:color="000000" w:sz="0" w:space="0"/>
          <w:left w:val="none" w:color="000000" w:sz="0" w:space="0"/>
          <w:bottom w:val="none" w:color="000000" w:sz="0" w:space="0"/>
          <w:right w:val="none" w:color="000000" w:sz="0" w:space="0"/>
        </w:pBdr>
        <w:spacing w:beforeAutospacing="0" w:afterAutospacing="0" w:line="360" w:lineRule="auto"/>
        <w:ind w:firstLine="420"/>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截止时间：</w:t>
      </w:r>
      <w:r>
        <w:rPr>
          <w:rFonts w:hint="default" w:ascii="Times New Roman" w:hAnsi="Times New Roman" w:cs="Times New Roman"/>
          <w:color w:val="auto"/>
          <w:sz w:val="21"/>
          <w:szCs w:val="21"/>
          <w:highlight w:val="none"/>
          <w:lang w:eastAsia="zh-CN"/>
        </w:rPr>
        <w:t>2026年0</w:t>
      </w:r>
      <w:r>
        <w:rPr>
          <w:rFonts w:hint="eastAsia" w:cs="Times New Roman"/>
          <w:color w:val="auto"/>
          <w:sz w:val="21"/>
          <w:szCs w:val="21"/>
          <w:highlight w:val="none"/>
          <w:lang w:val="en-US" w:eastAsia="zh-CN"/>
        </w:rPr>
        <w:t>8</w:t>
      </w:r>
      <w:r>
        <w:rPr>
          <w:rFonts w:hint="default" w:ascii="Times New Roman" w:hAnsi="Times New Roman" w:cs="Times New Roman"/>
          <w:color w:val="auto"/>
          <w:sz w:val="21"/>
          <w:szCs w:val="21"/>
          <w:highlight w:val="none"/>
          <w:lang w:eastAsia="zh-CN"/>
        </w:rPr>
        <w:t>月</w:t>
      </w:r>
      <w:r>
        <w:rPr>
          <w:rFonts w:hint="eastAsia" w:cs="Times New Roman"/>
          <w:color w:val="auto"/>
          <w:sz w:val="21"/>
          <w:szCs w:val="21"/>
          <w:highlight w:val="none"/>
          <w:lang w:val="en-US" w:eastAsia="zh-CN"/>
        </w:rPr>
        <w:t>12</w:t>
      </w:r>
      <w:r>
        <w:rPr>
          <w:rFonts w:hint="default" w:ascii="Times New Roman" w:hAnsi="Times New Roman" w:cs="Times New Roman"/>
          <w:color w:val="auto"/>
          <w:sz w:val="21"/>
          <w:szCs w:val="21"/>
          <w:highlight w:val="none"/>
          <w:lang w:eastAsia="zh-CN"/>
        </w:rPr>
        <w:t>日09时00分</w:t>
      </w:r>
      <w:r>
        <w:rPr>
          <w:rFonts w:hint="default" w:ascii="Times New Roman" w:hAnsi="Times New Roman" w:cs="Times New Roman"/>
          <w:color w:val="auto"/>
          <w:sz w:val="21"/>
          <w:szCs w:val="21"/>
          <w:highlight w:val="none"/>
        </w:rPr>
        <w:t>（北京时间）</w:t>
      </w:r>
      <w:r>
        <w:rPr>
          <w:rFonts w:hint="default" w:ascii="Times New Roman" w:hAnsi="Times New Roman" w:cs="Times New Roman"/>
          <w:color w:val="auto"/>
          <w:sz w:val="21"/>
          <w:szCs w:val="21"/>
          <w:highlight w:val="none"/>
          <w:lang w:eastAsia="zh-CN"/>
        </w:rPr>
        <w:t>。</w:t>
      </w:r>
      <w:r>
        <w:rPr>
          <w:rFonts w:hint="default" w:ascii="Times New Roman" w:hAnsi="Times New Roman" w:cs="Times New Roman"/>
          <w:color w:val="auto"/>
          <w:sz w:val="21"/>
          <w:szCs w:val="21"/>
          <w:highlight w:val="none"/>
        </w:rPr>
        <w:t>逾时，“苏采云”系统将拒绝接受上传响应文件电子文档。</w:t>
      </w:r>
    </w:p>
    <w:p w14:paraId="619F9A35">
      <w:pPr>
        <w:keepNext w:val="0"/>
        <w:keepLines w:val="0"/>
        <w:pageBreakBefore w:val="0"/>
        <w:pBdr>
          <w:top w:val="none" w:color="000000" w:sz="0" w:space="0"/>
          <w:left w:val="none" w:color="000000" w:sz="0" w:space="0"/>
          <w:bottom w:val="none" w:color="000000" w:sz="0" w:space="0"/>
          <w:right w:val="none" w:color="000000" w:sz="0" w:space="0"/>
        </w:pBdr>
        <w:spacing w:beforeAutospacing="0" w:afterAutospacing="0" w:line="360" w:lineRule="auto"/>
        <w:ind w:firstLine="420"/>
        <w:rPr>
          <w:rFonts w:hint="default" w:ascii="Times New Roman" w:hAnsi="Times New Roman" w:cs="Times New Roman"/>
          <w:color w:val="auto"/>
          <w:highlight w:val="none"/>
        </w:rPr>
      </w:pPr>
      <w:r>
        <w:rPr>
          <w:rFonts w:hint="default" w:ascii="Times New Roman" w:hAnsi="Times New Roman" w:cs="Times New Roman"/>
          <w:color w:val="auto"/>
          <w:sz w:val="21"/>
          <w:szCs w:val="21"/>
          <w:highlight w:val="none"/>
        </w:rPr>
        <w:t>地点：“苏采云”系统（网址：http://jszfcg.jsczt.cn/）“开标大厅</w:t>
      </w:r>
      <w:r>
        <w:rPr>
          <w:rFonts w:hint="default" w:ascii="Times New Roman" w:hAnsi="Times New Roman" w:cs="Times New Roman"/>
          <w:color w:val="auto"/>
          <w:sz w:val="24"/>
          <w:highlight w:val="none"/>
        </w:rPr>
        <w:t>”  </w:t>
      </w:r>
    </w:p>
    <w:p w14:paraId="316341F3">
      <w:pPr>
        <w:pStyle w:val="3"/>
        <w:spacing w:line="360" w:lineRule="auto"/>
        <w:rPr>
          <w:rFonts w:hint="default" w:ascii="Times New Roman" w:hAnsi="Times New Roman" w:cs="Times New Roman"/>
          <w:color w:val="auto"/>
          <w:highlight w:val="none"/>
        </w:rPr>
      </w:pPr>
      <w:r>
        <w:rPr>
          <w:rFonts w:hint="default" w:ascii="Times New Roman" w:hAnsi="Times New Roman" w:cs="Times New Roman"/>
          <w:color w:val="auto"/>
          <w:highlight w:val="none"/>
        </w:rPr>
        <w:t>五、开启</w:t>
      </w:r>
    </w:p>
    <w:p w14:paraId="710D832B">
      <w:pPr>
        <w:keepNext w:val="0"/>
        <w:keepLines w:val="0"/>
        <w:pageBreakBefore w:val="0"/>
        <w:widowControl w:val="0"/>
        <w:pBdr>
          <w:top w:val="none" w:color="000000" w:sz="0" w:space="0"/>
          <w:left w:val="none" w:color="000000" w:sz="0" w:space="0"/>
          <w:bottom w:val="none" w:color="000000" w:sz="0" w:space="0"/>
          <w:right w:val="none" w:color="000000" w:sz="0" w:space="0"/>
        </w:pBdr>
        <w:spacing w:beforeAutospacing="0" w:afterAutospacing="0" w:line="360" w:lineRule="auto"/>
        <w:ind w:firstLine="420"/>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时间：</w:t>
      </w:r>
      <w:r>
        <w:rPr>
          <w:rFonts w:hint="default" w:ascii="Times New Roman" w:hAnsi="Times New Roman" w:eastAsia="宋体" w:cs="Times New Roman"/>
          <w:color w:val="auto"/>
          <w:sz w:val="21"/>
          <w:szCs w:val="21"/>
          <w:highlight w:val="none"/>
          <w:lang w:eastAsia="zh-CN"/>
        </w:rPr>
        <w:t>2026年0</w:t>
      </w:r>
      <w:r>
        <w:rPr>
          <w:rFonts w:hint="eastAsia" w:cs="Times New Roman"/>
          <w:color w:val="auto"/>
          <w:sz w:val="21"/>
          <w:szCs w:val="21"/>
          <w:highlight w:val="none"/>
          <w:lang w:val="en-US" w:eastAsia="zh-CN"/>
        </w:rPr>
        <w:t>8</w:t>
      </w:r>
      <w:r>
        <w:rPr>
          <w:rFonts w:hint="default" w:ascii="Times New Roman" w:hAnsi="Times New Roman" w:eastAsia="宋体" w:cs="Times New Roman"/>
          <w:color w:val="auto"/>
          <w:sz w:val="21"/>
          <w:szCs w:val="21"/>
          <w:highlight w:val="none"/>
          <w:lang w:eastAsia="zh-CN"/>
        </w:rPr>
        <w:t>月</w:t>
      </w:r>
      <w:r>
        <w:rPr>
          <w:rFonts w:hint="eastAsia" w:cs="Times New Roman"/>
          <w:color w:val="auto"/>
          <w:sz w:val="21"/>
          <w:szCs w:val="21"/>
          <w:highlight w:val="none"/>
          <w:lang w:val="en-US" w:eastAsia="zh-CN"/>
        </w:rPr>
        <w:t>12</w:t>
      </w:r>
      <w:bookmarkStart w:id="3" w:name="_GoBack"/>
      <w:bookmarkEnd w:id="3"/>
      <w:r>
        <w:rPr>
          <w:rFonts w:hint="default" w:ascii="Times New Roman" w:hAnsi="Times New Roman" w:eastAsia="宋体" w:cs="Times New Roman"/>
          <w:color w:val="auto"/>
          <w:sz w:val="21"/>
          <w:szCs w:val="21"/>
          <w:highlight w:val="none"/>
          <w:lang w:eastAsia="zh-CN"/>
        </w:rPr>
        <w:t>日09时00分</w:t>
      </w:r>
      <w:r>
        <w:rPr>
          <w:rFonts w:hint="default" w:ascii="Times New Roman" w:hAnsi="Times New Roman" w:eastAsia="宋体" w:cs="Times New Roman"/>
          <w:color w:val="auto"/>
          <w:sz w:val="21"/>
          <w:szCs w:val="21"/>
          <w:highlight w:val="none"/>
        </w:rPr>
        <w:t>（北京时间）</w:t>
      </w:r>
    </w:p>
    <w:p w14:paraId="708A208A">
      <w:pPr>
        <w:keepNext w:val="0"/>
        <w:keepLines w:val="0"/>
        <w:pageBreakBefore w:val="0"/>
        <w:widowControl w:val="0"/>
        <w:pBdr>
          <w:top w:val="none" w:color="000000" w:sz="0" w:space="0"/>
          <w:left w:val="none" w:color="000000" w:sz="0" w:space="0"/>
          <w:bottom w:val="none" w:color="000000" w:sz="0" w:space="0"/>
          <w:right w:val="none" w:color="000000" w:sz="0" w:space="0"/>
        </w:pBdr>
        <w:spacing w:beforeAutospacing="0" w:afterAutospacing="0" w:line="360" w:lineRule="auto"/>
        <w:ind w:firstLine="420"/>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地点：“苏采云”系统（网址：http://jszfcg.jsczt.cn/）“开标大厅”</w:t>
      </w:r>
    </w:p>
    <w:p w14:paraId="6C9DD7B0">
      <w:pPr>
        <w:keepNext w:val="0"/>
        <w:keepLines w:val="0"/>
        <w:pageBreakBefore w:val="0"/>
        <w:widowControl w:val="0"/>
        <w:spacing w:line="360" w:lineRule="auto"/>
        <w:ind w:firstLine="420"/>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响应文件的解密：开标当天各供应商及时登录不见面开标大厅，响应文件递交截止时间后，采购人将在系统内公布供应商名单，然后通过开标会议区发出响应文件解密的指令，投标供应商在开标室按规定时间自行实施远程解密，</w:t>
      </w:r>
      <w:r>
        <w:rPr>
          <w:rFonts w:hint="default" w:ascii="Times New Roman" w:hAnsi="Times New Roman" w:eastAsia="宋体" w:cs="Times New Roman"/>
          <w:b/>
          <w:bCs/>
          <w:color w:val="auto"/>
          <w:sz w:val="21"/>
          <w:szCs w:val="21"/>
          <w:highlight w:val="none"/>
        </w:rPr>
        <w:t>投标供应商解密限定在开标后30分钟之内完成</w:t>
      </w:r>
      <w:r>
        <w:rPr>
          <w:rFonts w:hint="default" w:ascii="Times New Roman" w:hAnsi="Times New Roman" w:eastAsia="宋体" w:cs="Times New Roman"/>
          <w:color w:val="auto"/>
          <w:sz w:val="21"/>
          <w:szCs w:val="21"/>
          <w:highlight w:val="none"/>
        </w:rPr>
        <w:t>。因投标供应商网络与电源不稳定、未按操作手册要求配置软硬件、解密锁发生故障或用错、故意不在要求时限内完成解密等自身原因，导致响应文件在规定时间内未能解密、解密失败或解密超时，视为投标供应商撤销其响应文件，系统内响应文件将被退回；因采购人（或采购代理机构）原因或网上招投标平台发生故障，导致无法按时完成响应文件解密或开、评标工作无法进行的，可根据实际情况相应延迟解密时间或调整开、评标时间。</w:t>
      </w:r>
    </w:p>
    <w:p w14:paraId="1F8DAA82">
      <w:pPr>
        <w:keepNext w:val="0"/>
        <w:keepLines w:val="0"/>
        <w:pageBreakBefore w:val="0"/>
        <w:widowControl w:val="0"/>
        <w:pBdr>
          <w:top w:val="none" w:color="000000" w:sz="0" w:space="0"/>
          <w:left w:val="none" w:color="000000" w:sz="0" w:space="0"/>
          <w:bottom w:val="none" w:color="000000" w:sz="0" w:space="0"/>
          <w:right w:val="none" w:color="000000" w:sz="0" w:space="0"/>
        </w:pBdr>
        <w:spacing w:beforeAutospacing="0" w:afterAutospacing="0" w:line="360" w:lineRule="auto"/>
        <w:ind w:firstLine="211"/>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b/>
          <w:bCs/>
          <w:color w:val="auto"/>
          <w:sz w:val="21"/>
          <w:szCs w:val="21"/>
          <w:highlight w:val="none"/>
        </w:rPr>
        <w:t>注：</w:t>
      </w:r>
      <w:r>
        <w:rPr>
          <w:rFonts w:hint="default" w:ascii="Times New Roman" w:hAnsi="Times New Roman" w:eastAsia="宋体" w:cs="Times New Roman"/>
          <w:color w:val="auto"/>
          <w:sz w:val="21"/>
          <w:szCs w:val="21"/>
          <w:highlight w:val="none"/>
        </w:rPr>
        <w:t>各供应商请关注开标大厅交流区，在开标结束后，请勿离开开标大厅。采购人或采购代理机构通知最后报价填报后，所有的响应供应商须在15分钟内填写并提交最后报价，未在规定时间内提交最后报价的，视作无效响应处理 </w:t>
      </w:r>
    </w:p>
    <w:p w14:paraId="107A4E1A">
      <w:pPr>
        <w:pStyle w:val="3"/>
        <w:spacing w:line="360" w:lineRule="auto"/>
        <w:rPr>
          <w:rFonts w:hint="default" w:ascii="Times New Roman" w:hAnsi="Times New Roman" w:cs="Times New Roman"/>
          <w:color w:val="auto"/>
          <w:highlight w:val="none"/>
        </w:rPr>
      </w:pPr>
      <w:r>
        <w:rPr>
          <w:rFonts w:hint="default" w:ascii="Times New Roman" w:hAnsi="Times New Roman" w:cs="Times New Roman"/>
          <w:color w:val="auto"/>
          <w:highlight w:val="none"/>
        </w:rPr>
        <w:t>六、公告期限</w:t>
      </w:r>
    </w:p>
    <w:p w14:paraId="645F7352">
      <w:pPr>
        <w:keepNext w:val="0"/>
        <w:keepLines w:val="0"/>
        <w:pageBreakBefore w:val="0"/>
        <w:pBdr>
          <w:top w:val="none" w:color="000000" w:sz="0" w:space="0"/>
          <w:left w:val="none" w:color="000000" w:sz="0" w:space="0"/>
          <w:bottom w:val="none" w:color="000000" w:sz="0" w:space="0"/>
          <w:right w:val="none" w:color="000000" w:sz="0" w:space="0"/>
        </w:pBdr>
        <w:spacing w:beforeAutospacing="0" w:afterAutospacing="0" w:line="360" w:lineRule="auto"/>
        <w:ind w:firstLine="480"/>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自本公告发布之日起3个工作日。</w:t>
      </w:r>
    </w:p>
    <w:p w14:paraId="61A1DFAA">
      <w:pPr>
        <w:pStyle w:val="3"/>
        <w:spacing w:line="360" w:lineRule="auto"/>
        <w:rPr>
          <w:rFonts w:hint="default" w:ascii="Times New Roman" w:hAnsi="Times New Roman" w:cs="Times New Roman"/>
          <w:color w:val="auto"/>
          <w:highlight w:val="none"/>
        </w:rPr>
      </w:pPr>
      <w:r>
        <w:rPr>
          <w:rFonts w:hint="default" w:ascii="Times New Roman" w:hAnsi="Times New Roman" w:cs="Times New Roman"/>
          <w:color w:val="auto"/>
          <w:highlight w:val="none"/>
        </w:rPr>
        <w:t>七、其他补充事宜</w:t>
      </w:r>
    </w:p>
    <w:p w14:paraId="6B846EEF">
      <w:pPr>
        <w:keepNext w:val="0"/>
        <w:keepLines w:val="0"/>
        <w:pageBreakBefore w:val="0"/>
        <w:widowControl w:val="0"/>
        <w:spacing w:line="360" w:lineRule="auto"/>
        <w:ind w:firstLine="420"/>
        <w:rPr>
          <w:rFonts w:hint="default" w:ascii="Times New Roman" w:hAnsi="Times New Roman" w:cs="Times New Roman" w:eastAsiaTheme="minorEastAsia"/>
          <w:color w:val="auto"/>
          <w:szCs w:val="21"/>
          <w:highlight w:val="none"/>
        </w:rPr>
      </w:pPr>
      <w:r>
        <w:rPr>
          <w:rFonts w:hint="default" w:ascii="Times New Roman" w:hAnsi="Times New Roman" w:cs="Times New Roman" w:eastAsiaTheme="minorEastAsia"/>
          <w:color w:val="auto"/>
          <w:szCs w:val="21"/>
          <w:highlight w:val="none"/>
        </w:rPr>
        <w:t xml:space="preserve">1.项目磋商活动模式：不见面远程磋商模式，供应商在各自地点通过不见面交易系统参加开标会。 </w:t>
      </w:r>
    </w:p>
    <w:p w14:paraId="275067D3">
      <w:pPr>
        <w:keepNext w:val="0"/>
        <w:keepLines w:val="0"/>
        <w:pageBreakBefore w:val="0"/>
        <w:widowControl w:val="0"/>
        <w:spacing w:line="360" w:lineRule="auto"/>
        <w:ind w:firstLine="420"/>
        <w:rPr>
          <w:rFonts w:hint="default" w:ascii="Times New Roman" w:hAnsi="Times New Roman" w:cs="Times New Roman" w:eastAsiaTheme="minorEastAsia"/>
          <w:color w:val="auto"/>
          <w:szCs w:val="21"/>
          <w:highlight w:val="none"/>
        </w:rPr>
      </w:pPr>
      <w:r>
        <w:rPr>
          <w:rFonts w:hint="default" w:ascii="Times New Roman" w:hAnsi="Times New Roman" w:cs="Times New Roman" w:eastAsiaTheme="minorEastAsia"/>
          <w:color w:val="auto"/>
          <w:szCs w:val="21"/>
          <w:highlight w:val="none"/>
        </w:rPr>
        <w:t>2.供应商应依照规定提交各类声明函、承诺函，不再同时提供原件备查或提供有关部门出具的相关证明文件，但成交供应商应做好提交声明函、承诺函相应原件的核查准备。核查后发现虚假或违背承诺的，依照相关法律法规规定处理。</w:t>
      </w:r>
    </w:p>
    <w:p w14:paraId="7ED7637E">
      <w:pPr>
        <w:keepNext w:val="0"/>
        <w:keepLines w:val="0"/>
        <w:pageBreakBefore w:val="0"/>
        <w:widowControl w:val="0"/>
        <w:spacing w:line="360" w:lineRule="auto"/>
        <w:ind w:firstLine="422"/>
        <w:rPr>
          <w:rFonts w:hint="default" w:ascii="Times New Roman" w:hAnsi="Times New Roman" w:cs="Times New Roman" w:eastAsiaTheme="minorEastAsia"/>
          <w:b/>
          <w:bCs/>
          <w:color w:val="auto"/>
          <w:szCs w:val="21"/>
          <w:highlight w:val="none"/>
        </w:rPr>
      </w:pPr>
      <w:r>
        <w:rPr>
          <w:rFonts w:hint="default" w:ascii="Times New Roman" w:hAnsi="Times New Roman" w:cs="Times New Roman" w:eastAsiaTheme="minorEastAsia"/>
          <w:b/>
          <w:bCs/>
          <w:color w:val="auto"/>
          <w:szCs w:val="21"/>
          <w:highlight w:val="none"/>
        </w:rPr>
        <w:t>3.本项目按照政府采购法律制度规定，在磋商中任何一方不得透露与磋商有关的其他供应商的技术资料、价格和其他信息，因此不公开唱标。最终成交供应商名称和成交金额可通过江苏政府采购网站发布成交结果公告获得。</w:t>
      </w:r>
    </w:p>
    <w:p w14:paraId="24C8A134">
      <w:pPr>
        <w:keepNext w:val="0"/>
        <w:keepLines w:val="0"/>
        <w:pageBreakBefore w:val="0"/>
        <w:widowControl w:val="0"/>
        <w:spacing w:line="360" w:lineRule="auto"/>
        <w:ind w:firstLine="420"/>
        <w:rPr>
          <w:rFonts w:hint="default" w:ascii="Times New Roman" w:hAnsi="Times New Roman" w:cs="Times New Roman" w:eastAsiaTheme="minorEastAsia"/>
          <w:color w:val="auto"/>
          <w:szCs w:val="21"/>
          <w:highlight w:val="none"/>
        </w:rPr>
      </w:pPr>
      <w:r>
        <w:rPr>
          <w:rFonts w:hint="default" w:ascii="Times New Roman" w:hAnsi="Times New Roman" w:cs="Times New Roman" w:eastAsiaTheme="minorEastAsia"/>
          <w:color w:val="auto"/>
          <w:szCs w:val="21"/>
          <w:highlight w:val="none"/>
        </w:rPr>
        <w:t>4.相关法律法规规定：</w:t>
      </w:r>
    </w:p>
    <w:p w14:paraId="5C4D9B40">
      <w:pPr>
        <w:keepNext w:val="0"/>
        <w:keepLines w:val="0"/>
        <w:pageBreakBefore w:val="0"/>
        <w:widowControl w:val="0"/>
        <w:spacing w:line="360" w:lineRule="auto"/>
        <w:ind w:firstLine="420"/>
        <w:rPr>
          <w:rFonts w:hint="default" w:ascii="Times New Roman" w:hAnsi="Times New Roman" w:cs="Times New Roman" w:eastAsiaTheme="minorEastAsia"/>
          <w:color w:val="auto"/>
          <w:szCs w:val="21"/>
          <w:highlight w:val="none"/>
        </w:rPr>
      </w:pPr>
      <w:r>
        <w:rPr>
          <w:rFonts w:hint="default" w:ascii="Times New Roman" w:hAnsi="Times New Roman" w:cs="Times New Roman" w:eastAsiaTheme="minorEastAsia"/>
          <w:color w:val="auto"/>
          <w:szCs w:val="21"/>
          <w:highlight w:val="none"/>
        </w:rPr>
        <w:t>《政府采购竞争性磋商采购方式管理暂行办法》（财库〔2014〕214号）第二十一条：磋商文件能够详细列明采购标的的技术、服务要求的，磋商结束后，磋商小组应当要求所有实质性响应的供应商在规定时间内提交最后报价，提交最后报价的供应商不得少于3家。</w:t>
      </w:r>
    </w:p>
    <w:p w14:paraId="1593B798">
      <w:pPr>
        <w:keepNext w:val="0"/>
        <w:keepLines w:val="0"/>
        <w:pageBreakBefore w:val="0"/>
        <w:widowControl w:val="0"/>
        <w:spacing w:line="360" w:lineRule="auto"/>
        <w:ind w:firstLine="420"/>
        <w:rPr>
          <w:rFonts w:hint="default" w:ascii="Times New Roman" w:hAnsi="Times New Roman" w:cs="Times New Roman" w:eastAsiaTheme="minorEastAsia"/>
          <w:color w:val="auto"/>
          <w:szCs w:val="21"/>
          <w:highlight w:val="none"/>
        </w:rPr>
      </w:pPr>
      <w:r>
        <w:rPr>
          <w:rFonts w:hint="default" w:ascii="Times New Roman" w:hAnsi="Times New Roman" w:cs="Times New Roman" w:eastAsiaTheme="minorEastAsia"/>
          <w:color w:val="auto"/>
          <w:szCs w:val="21"/>
          <w:highlight w:val="none"/>
        </w:rPr>
        <w:t>《政府采购竞争性磋商采购方式管理暂行办法》（财库〔2014〕214号）第二十三条：经磋商确定最终采购需求和提交最后报价的供应商后，由磋商小组采用综合评分法对提交最后报价的供应商的响应文件和最后报价进行综合评分。</w:t>
      </w:r>
    </w:p>
    <w:p w14:paraId="0B27D034">
      <w:pPr>
        <w:keepNext w:val="0"/>
        <w:keepLines w:val="0"/>
        <w:pageBreakBefore w:val="0"/>
        <w:widowControl w:val="0"/>
        <w:spacing w:line="360" w:lineRule="auto"/>
        <w:ind w:firstLine="420"/>
        <w:rPr>
          <w:rFonts w:hint="default" w:ascii="Times New Roman" w:hAnsi="Times New Roman" w:cs="Times New Roman" w:eastAsiaTheme="minorEastAsia"/>
          <w:color w:val="auto"/>
          <w:szCs w:val="21"/>
          <w:highlight w:val="none"/>
        </w:rPr>
      </w:pPr>
      <w:r>
        <w:rPr>
          <w:rFonts w:hint="default" w:ascii="Times New Roman" w:hAnsi="Times New Roman" w:cs="Times New Roman" w:eastAsiaTheme="minorEastAsia"/>
          <w:color w:val="auto"/>
          <w:szCs w:val="21"/>
          <w:highlight w:val="none"/>
        </w:rPr>
        <w:t>5.本项目为固定总价合同，供应商应充分考虑本项目合同实施期间可能发生的费用，并承担由此而带来的风险。</w:t>
      </w:r>
    </w:p>
    <w:p w14:paraId="3C3A9AE2">
      <w:pPr>
        <w:keepNext w:val="0"/>
        <w:keepLines w:val="0"/>
        <w:pageBreakBefore w:val="0"/>
        <w:widowControl w:val="0"/>
        <w:pBdr>
          <w:top w:val="none" w:color="000000" w:sz="0" w:space="0"/>
          <w:left w:val="none" w:color="000000" w:sz="0" w:space="0"/>
          <w:bottom w:val="none" w:color="000000" w:sz="0" w:space="0"/>
          <w:right w:val="none" w:color="000000" w:sz="0" w:space="0"/>
        </w:pBdr>
        <w:spacing w:beforeAutospacing="0" w:afterAutospacing="0" w:line="360" w:lineRule="auto"/>
        <w:ind w:firstLine="480"/>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lang w:val="en-US" w:eastAsia="zh-CN"/>
        </w:rPr>
        <w:t>6</w:t>
      </w:r>
      <w:r>
        <w:rPr>
          <w:rFonts w:hint="default" w:ascii="Times New Roman" w:hAnsi="Times New Roman" w:cs="Times New Roman"/>
          <w:color w:val="auto"/>
          <w:sz w:val="21"/>
          <w:szCs w:val="21"/>
          <w:highlight w:val="none"/>
        </w:rPr>
        <w:t>.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供应商通过苏采云系统参与政府采购项目，需要更换CA数字证书和电子签章。具体办理指南和操作手册见链接：http://www.ccgp-jiangsu.gov.cn/jiangsu/zlxz/ee/ee3a4bc5a3454aa2b0d9312230633ce9.html。</w:t>
      </w:r>
    </w:p>
    <w:p w14:paraId="5AE24F53">
      <w:pPr>
        <w:keepNext w:val="0"/>
        <w:keepLines w:val="0"/>
        <w:pageBreakBefore w:val="0"/>
        <w:widowControl w:val="0"/>
        <w:pBdr>
          <w:top w:val="none" w:color="000000" w:sz="0" w:space="0"/>
          <w:left w:val="none" w:color="000000" w:sz="0" w:space="0"/>
          <w:bottom w:val="none" w:color="000000" w:sz="0" w:space="0"/>
          <w:right w:val="none" w:color="000000" w:sz="0" w:space="0"/>
        </w:pBdr>
        <w:spacing w:beforeAutospacing="0" w:afterAutospacing="0" w:line="360" w:lineRule="auto"/>
        <w:ind w:firstLine="480"/>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领取CA和办理电子签章（请至泰州市高港区泰州大道388号（原中国医药城会展交易中心W3馆西南角）公共资源交易中心一楼大厅6号窗口办理，具体联系方式见《苏采云系统供应商操作手册》（以下简称《操作手册》））、进行注册并按《操作手册》要求制作、上传电子响应文件。</w:t>
      </w:r>
    </w:p>
    <w:p w14:paraId="57DCEC51">
      <w:pPr>
        <w:keepNext w:val="0"/>
        <w:keepLines w:val="0"/>
        <w:pageBreakBefore w:val="0"/>
        <w:widowControl w:val="0"/>
        <w:pBdr>
          <w:top w:val="none" w:color="000000" w:sz="0" w:space="0"/>
          <w:left w:val="none" w:color="000000" w:sz="0" w:space="0"/>
          <w:bottom w:val="none" w:color="000000" w:sz="0" w:space="0"/>
          <w:right w:val="none" w:color="000000" w:sz="0" w:space="0"/>
        </w:pBdr>
        <w:spacing w:beforeAutospacing="0" w:afterAutospacing="0" w:line="360" w:lineRule="auto"/>
        <w:ind w:firstLine="480"/>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lang w:val="en-US" w:eastAsia="zh-CN"/>
        </w:rPr>
        <w:t>7</w:t>
      </w:r>
      <w:r>
        <w:rPr>
          <w:rFonts w:hint="default" w:ascii="Times New Roman" w:hAnsi="Times New Roman" w:cs="Times New Roman"/>
          <w:color w:val="auto"/>
          <w:sz w:val="21"/>
          <w:szCs w:val="21"/>
          <w:highlight w:val="none"/>
        </w:rPr>
        <w:t>.有关本次招标的事项若存在变动或修改，敬请及时关注“江苏政府采购网”发布的更正公告。</w:t>
      </w:r>
    </w:p>
    <w:p w14:paraId="2FED923E">
      <w:pPr>
        <w:keepNext w:val="0"/>
        <w:keepLines w:val="0"/>
        <w:pageBreakBefore w:val="0"/>
        <w:widowControl w:val="0"/>
        <w:pBdr>
          <w:top w:val="none" w:color="000000" w:sz="0" w:space="0"/>
          <w:left w:val="none" w:color="000000" w:sz="0" w:space="0"/>
          <w:bottom w:val="none" w:color="000000" w:sz="0" w:space="0"/>
          <w:right w:val="none" w:color="000000" w:sz="0" w:space="0"/>
        </w:pBdr>
        <w:spacing w:beforeAutospacing="0" w:afterAutospacing="0" w:line="360" w:lineRule="auto"/>
        <w:ind w:firstLine="480"/>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lang w:val="en-US" w:eastAsia="zh-CN"/>
        </w:rPr>
        <w:t>8</w:t>
      </w:r>
      <w:r>
        <w:rPr>
          <w:rFonts w:hint="default" w:ascii="Times New Roman" w:hAnsi="Times New Roman" w:cs="Times New Roman"/>
          <w:color w:val="auto"/>
          <w:sz w:val="21"/>
          <w:szCs w:val="21"/>
          <w:highlight w:val="none"/>
        </w:rPr>
        <w:t>.本次招标不收取投标保证金。</w:t>
      </w:r>
    </w:p>
    <w:p w14:paraId="20C1B66D">
      <w:pPr>
        <w:keepNext w:val="0"/>
        <w:keepLines w:val="0"/>
        <w:pageBreakBefore w:val="0"/>
        <w:pBdr>
          <w:top w:val="none" w:color="000000" w:sz="0" w:space="0"/>
          <w:left w:val="none" w:color="000000" w:sz="0" w:space="0"/>
          <w:bottom w:val="none" w:color="000000" w:sz="0" w:space="0"/>
          <w:right w:val="none" w:color="000000" w:sz="0" w:space="0"/>
        </w:pBdr>
        <w:spacing w:beforeAutospacing="0" w:afterAutospacing="0" w:line="360" w:lineRule="auto"/>
        <w:ind w:firstLine="482"/>
        <w:rPr>
          <w:rFonts w:hint="default" w:ascii="Times New Roman" w:hAnsi="Times New Roman" w:cs="Times New Roman"/>
          <w:color w:val="auto"/>
          <w:highlight w:val="none"/>
        </w:rPr>
      </w:pPr>
      <w:r>
        <w:rPr>
          <w:rFonts w:hint="default" w:ascii="Times New Roman" w:hAnsi="Times New Roman" w:cs="Times New Roman"/>
          <w:b/>
          <w:color w:val="auto"/>
          <w:sz w:val="24"/>
          <w:highlight w:val="none"/>
        </w:rPr>
        <w:t>八、凡对本次采购提出询问，请按以下方式联系。</w:t>
      </w:r>
    </w:p>
    <w:p w14:paraId="6D4C542F">
      <w:pPr>
        <w:keepNext w:val="0"/>
        <w:keepLines w:val="0"/>
        <w:pageBreakBefore w:val="0"/>
        <w:pBdr>
          <w:top w:val="none" w:color="000000" w:sz="0" w:space="0"/>
          <w:left w:val="none" w:color="000000" w:sz="0" w:space="0"/>
          <w:bottom w:val="none" w:color="000000" w:sz="0" w:space="0"/>
          <w:right w:val="none" w:color="000000" w:sz="0" w:space="0"/>
        </w:pBdr>
        <w:spacing w:beforeAutospacing="0" w:afterAutospacing="0" w:line="360" w:lineRule="auto"/>
        <w:ind w:firstLine="480"/>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1.采购人信息</w:t>
      </w:r>
    </w:p>
    <w:p w14:paraId="4687A5E7">
      <w:pPr>
        <w:keepNext w:val="0"/>
        <w:keepLines w:val="0"/>
        <w:pageBreakBefore w:val="0"/>
        <w:pBdr>
          <w:top w:val="none" w:color="000000" w:sz="0" w:space="0"/>
          <w:left w:val="none" w:color="000000" w:sz="0" w:space="0"/>
          <w:bottom w:val="none" w:color="000000" w:sz="0" w:space="0"/>
          <w:right w:val="none" w:color="000000" w:sz="0" w:space="0"/>
        </w:pBdr>
        <w:spacing w:beforeAutospacing="0" w:afterAutospacing="0" w:line="360" w:lineRule="auto"/>
        <w:ind w:firstLine="480"/>
        <w:rPr>
          <w:rFonts w:hint="default" w:ascii="Times New Roman" w:hAnsi="Times New Roman" w:cs="Times New Roman"/>
          <w:color w:val="auto"/>
          <w:sz w:val="21"/>
          <w:szCs w:val="21"/>
          <w:highlight w:val="none"/>
          <w:lang w:eastAsia="zh-CN"/>
        </w:rPr>
      </w:pPr>
      <w:r>
        <w:rPr>
          <w:rFonts w:hint="default" w:ascii="Times New Roman" w:hAnsi="Times New Roman" w:cs="Times New Roman"/>
          <w:color w:val="auto"/>
          <w:sz w:val="21"/>
          <w:szCs w:val="21"/>
          <w:highlight w:val="none"/>
        </w:rPr>
        <w:t>单位名称：</w:t>
      </w:r>
      <w:r>
        <w:rPr>
          <w:rFonts w:hint="default" w:ascii="Times New Roman" w:hAnsi="Times New Roman" w:cs="Times New Roman"/>
          <w:color w:val="auto"/>
          <w:sz w:val="21"/>
          <w:szCs w:val="21"/>
          <w:highlight w:val="none"/>
          <w:lang w:eastAsia="zh-CN"/>
        </w:rPr>
        <w:t>泰州医药高新区(高港区)滨江工业园管理办公室</w:t>
      </w:r>
    </w:p>
    <w:p w14:paraId="22874AC2">
      <w:pPr>
        <w:keepNext w:val="0"/>
        <w:keepLines w:val="0"/>
        <w:pageBreakBefore w:val="0"/>
        <w:pBdr>
          <w:top w:val="none" w:color="000000" w:sz="0" w:space="0"/>
          <w:left w:val="none" w:color="000000" w:sz="0" w:space="0"/>
          <w:bottom w:val="none" w:color="000000" w:sz="0" w:space="0"/>
          <w:right w:val="none" w:color="000000" w:sz="0" w:space="0"/>
        </w:pBdr>
        <w:spacing w:beforeAutospacing="0" w:afterAutospacing="0" w:line="360" w:lineRule="auto"/>
        <w:ind w:firstLine="480"/>
        <w:rPr>
          <w:rFonts w:hint="default" w:ascii="Times New Roman" w:hAnsi="Times New Roman" w:cs="Times New Roman"/>
          <w:color w:val="auto"/>
          <w:sz w:val="21"/>
          <w:szCs w:val="21"/>
          <w:highlight w:val="none"/>
          <w:lang w:eastAsia="zh-CN"/>
        </w:rPr>
      </w:pPr>
      <w:r>
        <w:rPr>
          <w:rFonts w:hint="default" w:ascii="Times New Roman" w:hAnsi="Times New Roman" w:cs="Times New Roman"/>
          <w:color w:val="auto"/>
          <w:sz w:val="21"/>
          <w:szCs w:val="21"/>
          <w:highlight w:val="none"/>
        </w:rPr>
        <w:t>单位地址：</w:t>
      </w:r>
      <w:r>
        <w:rPr>
          <w:rFonts w:hint="default" w:ascii="Times New Roman" w:hAnsi="Times New Roman" w:cs="Times New Roman"/>
          <w:color w:val="auto"/>
          <w:sz w:val="21"/>
          <w:szCs w:val="21"/>
          <w:highlight w:val="none"/>
          <w:lang w:eastAsia="zh-CN"/>
        </w:rPr>
        <w:t>泰州滨江工业园区疏港路2号</w:t>
      </w:r>
    </w:p>
    <w:p w14:paraId="45C0191D">
      <w:pPr>
        <w:keepNext w:val="0"/>
        <w:keepLines w:val="0"/>
        <w:pageBreakBefore w:val="0"/>
        <w:pBdr>
          <w:top w:val="none" w:color="000000" w:sz="0" w:space="0"/>
          <w:left w:val="none" w:color="000000" w:sz="0" w:space="0"/>
          <w:bottom w:val="none" w:color="000000" w:sz="0" w:space="0"/>
          <w:right w:val="none" w:color="000000" w:sz="0" w:space="0"/>
        </w:pBdr>
        <w:spacing w:beforeAutospacing="0" w:afterAutospacing="0" w:line="360" w:lineRule="auto"/>
        <w:ind w:firstLine="480"/>
        <w:rPr>
          <w:rFonts w:hint="default" w:ascii="Times New Roman" w:hAnsi="Times New Roman" w:eastAsia="宋体" w:cs="Times New Roman"/>
          <w:color w:val="auto"/>
          <w:sz w:val="21"/>
          <w:szCs w:val="21"/>
          <w:highlight w:val="none"/>
          <w:lang w:eastAsia="zh-CN"/>
        </w:rPr>
      </w:pPr>
      <w:r>
        <w:rPr>
          <w:rFonts w:hint="default" w:ascii="Times New Roman" w:hAnsi="Times New Roman" w:cs="Times New Roman"/>
          <w:color w:val="auto"/>
          <w:sz w:val="21"/>
          <w:szCs w:val="21"/>
          <w:highlight w:val="none"/>
        </w:rPr>
        <w:t>联系人：</w:t>
      </w:r>
      <w:r>
        <w:rPr>
          <w:rFonts w:hint="default" w:ascii="Times New Roman" w:hAnsi="Times New Roman" w:cs="Times New Roman"/>
          <w:color w:val="auto"/>
          <w:sz w:val="21"/>
          <w:szCs w:val="21"/>
          <w:highlight w:val="none"/>
          <w:lang w:val="en-US" w:eastAsia="zh-CN"/>
        </w:rPr>
        <w:t>陈</w:t>
      </w:r>
      <w:r>
        <w:rPr>
          <w:rFonts w:hint="default" w:ascii="Times New Roman" w:hAnsi="Times New Roman" w:cs="Times New Roman"/>
          <w:color w:val="auto"/>
          <w:sz w:val="21"/>
          <w:szCs w:val="21"/>
          <w:highlight w:val="none"/>
        </w:rPr>
        <w:t>先生</w:t>
      </w:r>
    </w:p>
    <w:p w14:paraId="6111A581">
      <w:pPr>
        <w:keepNext w:val="0"/>
        <w:keepLines w:val="0"/>
        <w:pageBreakBefore w:val="0"/>
        <w:pBdr>
          <w:top w:val="none" w:color="000000" w:sz="0" w:space="0"/>
          <w:left w:val="none" w:color="000000" w:sz="0" w:space="0"/>
          <w:bottom w:val="none" w:color="000000" w:sz="0" w:space="0"/>
          <w:right w:val="none" w:color="000000" w:sz="0" w:space="0"/>
        </w:pBdr>
        <w:spacing w:beforeAutospacing="0" w:afterAutospacing="0" w:line="360" w:lineRule="auto"/>
        <w:ind w:firstLine="480"/>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联系电话</w:t>
      </w:r>
      <w:r>
        <w:rPr>
          <w:rFonts w:hint="default" w:ascii="Times New Roman" w:hAnsi="Times New Roman" w:cs="Times New Roman"/>
          <w:color w:val="auto"/>
          <w:sz w:val="21"/>
          <w:szCs w:val="21"/>
          <w:highlight w:val="none"/>
          <w:lang w:eastAsia="zh-CN"/>
        </w:rPr>
        <w:t>：</w:t>
      </w:r>
      <w:r>
        <w:rPr>
          <w:rFonts w:hint="default" w:ascii="Times New Roman" w:hAnsi="Times New Roman" w:cs="Times New Roman"/>
          <w:color w:val="auto"/>
          <w:sz w:val="21"/>
          <w:szCs w:val="21"/>
          <w:highlight w:val="none"/>
        </w:rPr>
        <w:t>15850886572</w:t>
      </w:r>
    </w:p>
    <w:p w14:paraId="2B9D820F">
      <w:pPr>
        <w:keepNext w:val="0"/>
        <w:keepLines w:val="0"/>
        <w:pageBreakBefore w:val="0"/>
        <w:pBdr>
          <w:top w:val="none" w:color="000000" w:sz="0" w:space="0"/>
          <w:left w:val="none" w:color="000000" w:sz="0" w:space="0"/>
          <w:bottom w:val="none" w:color="000000" w:sz="0" w:space="0"/>
          <w:right w:val="none" w:color="000000" w:sz="0" w:space="0"/>
        </w:pBdr>
        <w:spacing w:beforeAutospacing="0" w:afterAutospacing="0" w:line="360" w:lineRule="auto"/>
        <w:ind w:firstLine="480"/>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2.采购代理机构信息</w:t>
      </w:r>
    </w:p>
    <w:p w14:paraId="65623BC7">
      <w:pPr>
        <w:keepNext w:val="0"/>
        <w:keepLines w:val="0"/>
        <w:pageBreakBefore w:val="0"/>
        <w:pBdr>
          <w:top w:val="none" w:color="000000" w:sz="0" w:space="0"/>
          <w:left w:val="none" w:color="000000" w:sz="0" w:space="0"/>
          <w:bottom w:val="none" w:color="000000" w:sz="0" w:space="0"/>
          <w:right w:val="none" w:color="000000" w:sz="0" w:space="0"/>
        </w:pBdr>
        <w:spacing w:beforeAutospacing="0" w:afterAutospacing="0" w:line="360" w:lineRule="auto"/>
        <w:ind w:firstLine="480"/>
        <w:rPr>
          <w:rFonts w:hint="default" w:ascii="Times New Roman" w:hAnsi="Times New Roman" w:cs="Times New Roman"/>
          <w:color w:val="auto"/>
          <w:sz w:val="21"/>
          <w:szCs w:val="21"/>
          <w:highlight w:val="none"/>
          <w:lang w:eastAsia="zh-CN"/>
        </w:rPr>
      </w:pPr>
      <w:r>
        <w:rPr>
          <w:rFonts w:hint="default" w:ascii="Times New Roman" w:hAnsi="Times New Roman" w:cs="Times New Roman"/>
          <w:color w:val="auto"/>
          <w:sz w:val="21"/>
          <w:szCs w:val="21"/>
          <w:highlight w:val="none"/>
        </w:rPr>
        <w:t>单位名称：</w:t>
      </w:r>
      <w:r>
        <w:rPr>
          <w:rFonts w:hint="default" w:ascii="Times New Roman" w:hAnsi="Times New Roman" w:cs="Times New Roman"/>
          <w:color w:val="auto"/>
          <w:sz w:val="21"/>
          <w:szCs w:val="21"/>
          <w:highlight w:val="none"/>
          <w:lang w:eastAsia="zh-CN"/>
        </w:rPr>
        <w:t>泰州市腾泽工程咨询管理有限公司</w:t>
      </w:r>
    </w:p>
    <w:p w14:paraId="59AFA54A">
      <w:pPr>
        <w:keepNext w:val="0"/>
        <w:keepLines w:val="0"/>
        <w:pageBreakBefore w:val="0"/>
        <w:pBdr>
          <w:top w:val="none" w:color="000000" w:sz="0" w:space="0"/>
          <w:left w:val="none" w:color="000000" w:sz="0" w:space="0"/>
          <w:bottom w:val="none" w:color="000000" w:sz="0" w:space="0"/>
          <w:right w:val="none" w:color="000000" w:sz="0" w:space="0"/>
        </w:pBdr>
        <w:spacing w:beforeAutospacing="0" w:afterAutospacing="0" w:line="360" w:lineRule="auto"/>
        <w:ind w:firstLine="480"/>
        <w:rPr>
          <w:rFonts w:hint="default" w:ascii="Times New Roman" w:hAnsi="Times New Roman" w:eastAsia="宋体" w:cs="Times New Roman"/>
          <w:color w:val="auto"/>
          <w:sz w:val="21"/>
          <w:szCs w:val="21"/>
          <w:highlight w:val="none"/>
          <w:lang w:eastAsia="zh-CN"/>
        </w:rPr>
      </w:pPr>
      <w:r>
        <w:rPr>
          <w:rFonts w:hint="default" w:ascii="Times New Roman" w:hAnsi="Times New Roman" w:cs="Times New Roman"/>
          <w:color w:val="auto"/>
          <w:sz w:val="21"/>
          <w:szCs w:val="21"/>
          <w:highlight w:val="none"/>
        </w:rPr>
        <w:t>单位地址：</w:t>
      </w:r>
      <w:r>
        <w:rPr>
          <w:rFonts w:hint="default" w:ascii="Times New Roman" w:hAnsi="Times New Roman" w:cs="Times New Roman"/>
          <w:color w:val="auto"/>
          <w:sz w:val="21"/>
          <w:szCs w:val="21"/>
          <w:highlight w:val="none"/>
          <w:lang w:eastAsia="zh-CN"/>
        </w:rPr>
        <w:t>泰州市高港高新区许庄启迪智慧园5号楼</w:t>
      </w:r>
    </w:p>
    <w:p w14:paraId="2B895CD8">
      <w:pPr>
        <w:keepNext w:val="0"/>
        <w:keepLines w:val="0"/>
        <w:pageBreakBefore w:val="0"/>
        <w:pBdr>
          <w:top w:val="none" w:color="000000" w:sz="0" w:space="0"/>
          <w:left w:val="none" w:color="000000" w:sz="0" w:space="0"/>
          <w:bottom w:val="none" w:color="000000" w:sz="0" w:space="0"/>
          <w:right w:val="none" w:color="000000" w:sz="0" w:space="0"/>
        </w:pBdr>
        <w:spacing w:beforeAutospacing="0" w:afterAutospacing="0" w:line="360" w:lineRule="auto"/>
        <w:ind w:firstLine="480"/>
        <w:rPr>
          <w:rFonts w:hint="default" w:ascii="Times New Roman" w:hAnsi="Times New Roman" w:cs="Times New Roman"/>
          <w:color w:val="auto"/>
          <w:sz w:val="21"/>
          <w:szCs w:val="21"/>
          <w:highlight w:val="none"/>
          <w:lang w:val="en-US" w:eastAsia="zh-CN"/>
        </w:rPr>
      </w:pPr>
      <w:r>
        <w:rPr>
          <w:rFonts w:hint="default" w:ascii="Times New Roman" w:hAnsi="Times New Roman" w:cs="Times New Roman"/>
          <w:color w:val="auto"/>
          <w:sz w:val="21"/>
          <w:szCs w:val="21"/>
          <w:highlight w:val="none"/>
        </w:rPr>
        <w:t>联系人：</w:t>
      </w:r>
      <w:r>
        <w:rPr>
          <w:rFonts w:hint="default" w:ascii="Times New Roman" w:hAnsi="Times New Roman" w:cs="Times New Roman"/>
          <w:color w:val="auto"/>
          <w:sz w:val="21"/>
          <w:szCs w:val="21"/>
          <w:highlight w:val="none"/>
          <w:lang w:val="en-US" w:eastAsia="zh-CN"/>
        </w:rPr>
        <w:t>杨女士</w:t>
      </w:r>
    </w:p>
    <w:p w14:paraId="5DDC2DA9">
      <w:pPr>
        <w:keepNext w:val="0"/>
        <w:keepLines w:val="0"/>
        <w:pageBreakBefore w:val="0"/>
        <w:pBdr>
          <w:top w:val="none" w:color="000000" w:sz="0" w:space="0"/>
          <w:left w:val="none" w:color="000000" w:sz="0" w:space="0"/>
          <w:bottom w:val="none" w:color="000000" w:sz="0" w:space="0"/>
          <w:right w:val="none" w:color="000000" w:sz="0" w:space="0"/>
        </w:pBdr>
        <w:spacing w:beforeAutospacing="0" w:afterAutospacing="0" w:line="360" w:lineRule="auto"/>
        <w:ind w:firstLine="480"/>
        <w:rPr>
          <w:rFonts w:hint="default" w:ascii="Times New Roman" w:hAnsi="Times New Roman" w:cs="Times New Roman"/>
          <w:color w:val="auto"/>
          <w:sz w:val="21"/>
          <w:szCs w:val="21"/>
          <w:highlight w:val="none"/>
          <w:lang w:val="en-US" w:eastAsia="zh-CN"/>
        </w:rPr>
      </w:pPr>
      <w:r>
        <w:rPr>
          <w:rFonts w:hint="default" w:ascii="Times New Roman" w:hAnsi="Times New Roman" w:cs="Times New Roman"/>
          <w:color w:val="auto"/>
          <w:sz w:val="21"/>
          <w:szCs w:val="21"/>
          <w:highlight w:val="none"/>
        </w:rPr>
        <w:t>联系电话：</w:t>
      </w:r>
      <w:r>
        <w:rPr>
          <w:rFonts w:hint="default" w:ascii="Times New Roman" w:hAnsi="Times New Roman" w:cs="Times New Roman"/>
          <w:color w:val="auto"/>
          <w:sz w:val="21"/>
          <w:szCs w:val="21"/>
          <w:highlight w:val="none"/>
          <w:lang w:val="en-US" w:eastAsia="zh-CN"/>
        </w:rPr>
        <w:t>15850878668</w:t>
      </w:r>
    </w:p>
    <w:p w14:paraId="60B1CDA3">
      <w:pPr>
        <w:keepNext w:val="0"/>
        <w:keepLines w:val="0"/>
        <w:pageBreakBefore w:val="0"/>
        <w:pBdr>
          <w:top w:val="none" w:color="000000" w:sz="0" w:space="0"/>
          <w:left w:val="none" w:color="000000" w:sz="0" w:space="0"/>
          <w:bottom w:val="none" w:color="000000" w:sz="0" w:space="0"/>
          <w:right w:val="none" w:color="000000" w:sz="0" w:space="0"/>
        </w:pBdr>
        <w:spacing w:beforeAutospacing="0" w:afterAutospacing="0" w:line="360" w:lineRule="auto"/>
        <w:ind w:firstLine="480"/>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3.项目联系方式</w:t>
      </w:r>
    </w:p>
    <w:p w14:paraId="2F4A5D49">
      <w:pPr>
        <w:keepNext w:val="0"/>
        <w:keepLines w:val="0"/>
        <w:pageBreakBefore w:val="0"/>
        <w:pBdr>
          <w:top w:val="none" w:color="000000" w:sz="0" w:space="0"/>
          <w:left w:val="none" w:color="000000" w:sz="0" w:space="0"/>
          <w:bottom w:val="none" w:color="000000" w:sz="0" w:space="0"/>
          <w:right w:val="none" w:color="000000" w:sz="0" w:space="0"/>
        </w:pBdr>
        <w:spacing w:beforeAutospacing="0" w:afterAutospacing="0" w:line="360" w:lineRule="auto"/>
        <w:ind w:firstLine="480"/>
        <w:rPr>
          <w:rFonts w:hint="default" w:ascii="Times New Roman" w:hAnsi="Times New Roman" w:cs="Times New Roman"/>
          <w:color w:val="auto"/>
          <w:highlight w:val="none"/>
        </w:rPr>
      </w:pPr>
      <w:r>
        <w:rPr>
          <w:rFonts w:hint="default" w:ascii="Times New Roman" w:hAnsi="Times New Roman" w:cs="Times New Roman"/>
          <w:color w:val="auto"/>
          <w:sz w:val="21"/>
          <w:szCs w:val="21"/>
          <w:highlight w:val="none"/>
        </w:rPr>
        <w:t>项目联系人：</w:t>
      </w:r>
      <w:r>
        <w:rPr>
          <w:rFonts w:hint="default" w:ascii="Times New Roman" w:hAnsi="Times New Roman" w:cs="Times New Roman"/>
          <w:color w:val="auto"/>
          <w:sz w:val="21"/>
          <w:szCs w:val="21"/>
          <w:highlight w:val="none"/>
          <w:lang w:val="en-US" w:eastAsia="zh-CN"/>
        </w:rPr>
        <w:t>杨女士</w:t>
      </w:r>
      <w:r>
        <w:rPr>
          <w:rFonts w:hint="eastAsia" w:cs="Times New Roman"/>
          <w:color w:val="auto"/>
          <w:sz w:val="21"/>
          <w:szCs w:val="21"/>
          <w:highlight w:val="none"/>
          <w:lang w:val="en-US" w:eastAsia="zh-CN"/>
        </w:rPr>
        <w:t xml:space="preserve">   </w:t>
      </w:r>
      <w:r>
        <w:rPr>
          <w:rFonts w:hint="default" w:ascii="Times New Roman" w:hAnsi="Times New Roman" w:cs="Times New Roman"/>
          <w:color w:val="auto"/>
          <w:sz w:val="21"/>
          <w:szCs w:val="21"/>
          <w:highlight w:val="none"/>
        </w:rPr>
        <w:t>电话：</w:t>
      </w:r>
      <w:r>
        <w:rPr>
          <w:rFonts w:hint="default" w:ascii="Times New Roman" w:hAnsi="Times New Roman" w:cs="Times New Roman"/>
          <w:color w:val="auto"/>
          <w:sz w:val="21"/>
          <w:szCs w:val="21"/>
          <w:highlight w:val="none"/>
          <w:lang w:val="en-US" w:eastAsia="zh-CN"/>
        </w:rPr>
        <w:t>15850878668</w:t>
      </w:r>
      <w:r>
        <w:rPr>
          <w:rFonts w:hint="default" w:ascii="Times New Roman" w:hAnsi="Times New Roman" w:cs="Times New Roman"/>
          <w:color w:val="auto"/>
          <w:highlight w:val="none"/>
        </w:rPr>
        <w:br w:type="page" w:clear="all"/>
      </w:r>
    </w:p>
    <w:p w14:paraId="41FD7FEF">
      <w:pPr>
        <w:pStyle w:val="2"/>
        <w:spacing w:line="360" w:lineRule="auto"/>
        <w:rPr>
          <w:rFonts w:hint="default" w:ascii="Times New Roman" w:hAnsi="Times New Roman" w:cs="Times New Roman"/>
          <w:color w:val="auto"/>
          <w:highlight w:val="none"/>
        </w:rPr>
      </w:pPr>
      <w:r>
        <w:rPr>
          <w:rFonts w:hint="default" w:ascii="Times New Roman" w:hAnsi="Times New Roman" w:cs="Times New Roman"/>
          <w:color w:val="auto"/>
          <w:highlight w:val="none"/>
        </w:rPr>
        <w:t>第二章  参加磋商的供应商须知</w:t>
      </w:r>
    </w:p>
    <w:p w14:paraId="7B4D2455">
      <w:pPr>
        <w:keepNext w:val="0"/>
        <w:keepLines w:val="0"/>
        <w:pageBreakBefore w:val="0"/>
        <w:pBdr>
          <w:top w:val="none" w:color="000000" w:sz="0" w:space="0"/>
          <w:left w:val="none" w:color="000000" w:sz="0" w:space="0"/>
          <w:bottom w:val="none" w:color="000000" w:sz="0" w:space="0"/>
          <w:right w:val="none" w:color="000000" w:sz="0" w:space="0"/>
        </w:pBdr>
        <w:spacing w:beforeAutospacing="0" w:afterAutospacing="0" w:line="360" w:lineRule="auto"/>
        <w:jc w:val="center"/>
        <w:rPr>
          <w:rFonts w:hint="default" w:ascii="Times New Roman" w:hAnsi="Times New Roman" w:cs="Times New Roman"/>
          <w:color w:val="auto"/>
          <w:highlight w:val="none"/>
        </w:rPr>
      </w:pPr>
      <w:r>
        <w:rPr>
          <w:rFonts w:hint="default" w:ascii="Times New Roman" w:hAnsi="Times New Roman" w:cs="Times New Roman"/>
          <w:color w:val="auto"/>
          <w:sz w:val="24"/>
          <w:highlight w:val="none"/>
        </w:rPr>
        <w:t>（参加竞争性磋商的供应商，以下简称“磋商供应商”）</w:t>
      </w:r>
    </w:p>
    <w:p w14:paraId="06BE033B">
      <w:pPr>
        <w:pStyle w:val="3"/>
        <w:spacing w:line="360" w:lineRule="auto"/>
        <w:rPr>
          <w:rFonts w:hint="default" w:ascii="Times New Roman" w:hAnsi="Times New Roman" w:cs="Times New Roman"/>
          <w:color w:val="auto"/>
          <w:highlight w:val="none"/>
        </w:rPr>
      </w:pPr>
      <w:r>
        <w:rPr>
          <w:rFonts w:hint="default" w:ascii="Times New Roman" w:hAnsi="Times New Roman" w:cs="Times New Roman"/>
          <w:color w:val="auto"/>
          <w:highlight w:val="none"/>
        </w:rPr>
        <w:t>一、总则</w:t>
      </w:r>
    </w:p>
    <w:p w14:paraId="2F4FE6B5">
      <w:pPr>
        <w:keepNext w:val="0"/>
        <w:keepLines w:val="0"/>
        <w:pageBreakBefore w:val="0"/>
        <w:widowControl w:val="0"/>
        <w:pBdr>
          <w:top w:val="none" w:color="000000" w:sz="0" w:space="0"/>
          <w:left w:val="none" w:color="000000" w:sz="0" w:space="0"/>
          <w:bottom w:val="none" w:color="000000" w:sz="0" w:space="0"/>
          <w:right w:val="none" w:color="000000" w:sz="0" w:space="0"/>
        </w:pBdr>
        <w:spacing w:beforeAutospacing="0" w:afterAutospacing="0" w:line="360" w:lineRule="auto"/>
        <w:ind w:firstLine="420"/>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1、适用范围</w:t>
      </w:r>
    </w:p>
    <w:p w14:paraId="0AB1B575">
      <w:pPr>
        <w:keepNext w:val="0"/>
        <w:keepLines w:val="0"/>
        <w:pageBreakBefore w:val="0"/>
        <w:widowControl w:val="0"/>
        <w:pBdr>
          <w:top w:val="none" w:color="000000" w:sz="0" w:space="0"/>
          <w:left w:val="none" w:color="000000" w:sz="0" w:space="0"/>
          <w:bottom w:val="none" w:color="000000" w:sz="0" w:space="0"/>
          <w:right w:val="none" w:color="000000" w:sz="0" w:space="0"/>
        </w:pBdr>
        <w:spacing w:beforeAutospacing="0" w:afterAutospacing="0" w:line="360" w:lineRule="auto"/>
        <w:ind w:firstLine="420"/>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本竞争性磋商文件仅适用于竞争性磋商公告中所叙述项目的相关</w:t>
      </w:r>
      <w:r>
        <w:rPr>
          <w:rFonts w:hint="default" w:ascii="Times New Roman" w:hAnsi="Times New Roman" w:cs="Times New Roman"/>
          <w:color w:val="auto"/>
          <w:sz w:val="21"/>
          <w:szCs w:val="21"/>
          <w:highlight w:val="none"/>
          <w:lang w:val="en-US" w:eastAsia="zh-CN"/>
        </w:rPr>
        <w:t>服务</w:t>
      </w:r>
      <w:r>
        <w:rPr>
          <w:rFonts w:hint="default" w:ascii="Times New Roman" w:hAnsi="Times New Roman" w:cs="Times New Roman"/>
          <w:color w:val="auto"/>
          <w:sz w:val="21"/>
          <w:szCs w:val="21"/>
          <w:highlight w:val="none"/>
        </w:rPr>
        <w:t>采购。</w:t>
      </w:r>
    </w:p>
    <w:p w14:paraId="5785469B">
      <w:pPr>
        <w:keepNext w:val="0"/>
        <w:keepLines w:val="0"/>
        <w:pageBreakBefore w:val="0"/>
        <w:widowControl w:val="0"/>
        <w:pBdr>
          <w:top w:val="none" w:color="000000" w:sz="0" w:space="0"/>
          <w:left w:val="none" w:color="000000" w:sz="0" w:space="0"/>
          <w:bottom w:val="none" w:color="000000" w:sz="0" w:space="0"/>
          <w:right w:val="none" w:color="000000" w:sz="0" w:space="0"/>
        </w:pBdr>
        <w:spacing w:beforeAutospacing="0" w:afterAutospacing="0" w:line="360" w:lineRule="auto"/>
        <w:ind w:firstLine="420"/>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2、项目采购方式</w:t>
      </w:r>
    </w:p>
    <w:p w14:paraId="0402774D">
      <w:pPr>
        <w:keepNext w:val="0"/>
        <w:keepLines w:val="0"/>
        <w:pageBreakBefore w:val="0"/>
        <w:widowControl w:val="0"/>
        <w:pBdr>
          <w:top w:val="none" w:color="000000" w:sz="0" w:space="0"/>
          <w:left w:val="none" w:color="000000" w:sz="0" w:space="0"/>
          <w:bottom w:val="none" w:color="000000" w:sz="0" w:space="0"/>
          <w:right w:val="none" w:color="000000" w:sz="0" w:space="0"/>
        </w:pBdr>
        <w:spacing w:beforeAutospacing="0" w:afterAutospacing="0" w:line="360" w:lineRule="auto"/>
        <w:ind w:firstLine="420"/>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本次采购采取竞争性磋商的方式。</w:t>
      </w:r>
    </w:p>
    <w:p w14:paraId="42068188">
      <w:pPr>
        <w:keepNext w:val="0"/>
        <w:keepLines w:val="0"/>
        <w:pageBreakBefore w:val="0"/>
        <w:widowControl w:val="0"/>
        <w:pBdr>
          <w:top w:val="none" w:color="000000" w:sz="0" w:space="0"/>
          <w:left w:val="none" w:color="000000" w:sz="0" w:space="0"/>
          <w:bottom w:val="none" w:color="000000" w:sz="0" w:space="0"/>
          <w:right w:val="none" w:color="000000" w:sz="0" w:space="0"/>
        </w:pBdr>
        <w:spacing w:beforeAutospacing="0" w:afterAutospacing="0" w:line="360" w:lineRule="auto"/>
        <w:ind w:firstLine="420"/>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3、合格的磋商供应商</w:t>
      </w:r>
    </w:p>
    <w:p w14:paraId="0F0AABFA">
      <w:pPr>
        <w:keepNext w:val="0"/>
        <w:keepLines w:val="0"/>
        <w:pageBreakBefore w:val="0"/>
        <w:widowControl w:val="0"/>
        <w:pBdr>
          <w:top w:val="none" w:color="000000" w:sz="0" w:space="0"/>
          <w:left w:val="none" w:color="000000" w:sz="0" w:space="0"/>
          <w:bottom w:val="none" w:color="000000" w:sz="0" w:space="0"/>
          <w:right w:val="none" w:color="000000" w:sz="0" w:space="0"/>
        </w:pBdr>
        <w:spacing w:beforeAutospacing="0" w:afterAutospacing="0" w:line="360" w:lineRule="auto"/>
        <w:ind w:firstLine="420"/>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3.1满足本磋商文件“竞争性磋商公告”中申请人的资格要求规定。</w:t>
      </w:r>
    </w:p>
    <w:p w14:paraId="3F4D6C0A">
      <w:pPr>
        <w:keepNext w:val="0"/>
        <w:keepLines w:val="0"/>
        <w:pageBreakBefore w:val="0"/>
        <w:widowControl w:val="0"/>
        <w:pBdr>
          <w:top w:val="none" w:color="000000" w:sz="0" w:space="0"/>
          <w:left w:val="none" w:color="000000" w:sz="0" w:space="0"/>
          <w:bottom w:val="none" w:color="000000" w:sz="0" w:space="0"/>
          <w:right w:val="none" w:color="000000" w:sz="0" w:space="0"/>
        </w:pBdr>
        <w:spacing w:beforeAutospacing="0" w:afterAutospacing="0" w:line="360" w:lineRule="auto"/>
        <w:ind w:firstLine="420"/>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3.2满足本磋商文件其他实质性要求和条件规定。</w:t>
      </w:r>
    </w:p>
    <w:p w14:paraId="00E3ABD3">
      <w:pPr>
        <w:keepNext w:val="0"/>
        <w:keepLines w:val="0"/>
        <w:pageBreakBefore w:val="0"/>
        <w:widowControl w:val="0"/>
        <w:pBdr>
          <w:top w:val="none" w:color="000000" w:sz="0" w:space="0"/>
          <w:left w:val="none" w:color="000000" w:sz="0" w:space="0"/>
          <w:bottom w:val="none" w:color="000000" w:sz="0" w:space="0"/>
          <w:right w:val="none" w:color="000000" w:sz="0" w:space="0"/>
        </w:pBdr>
        <w:spacing w:beforeAutospacing="0" w:afterAutospacing="0" w:line="360" w:lineRule="auto"/>
        <w:ind w:firstLine="420"/>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4、参加磋商费用</w:t>
      </w:r>
    </w:p>
    <w:p w14:paraId="335AC0B2">
      <w:pPr>
        <w:keepNext w:val="0"/>
        <w:keepLines w:val="0"/>
        <w:pageBreakBefore w:val="0"/>
        <w:widowControl w:val="0"/>
        <w:pBdr>
          <w:top w:val="none" w:color="000000" w:sz="0" w:space="0"/>
          <w:left w:val="none" w:color="000000" w:sz="0" w:space="0"/>
          <w:bottom w:val="none" w:color="000000" w:sz="0" w:space="0"/>
          <w:right w:val="none" w:color="000000" w:sz="0" w:space="0"/>
        </w:pBdr>
        <w:spacing w:beforeAutospacing="0" w:afterAutospacing="0" w:line="360" w:lineRule="auto"/>
        <w:ind w:firstLine="420"/>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4.1参加磋商的供应商应自行承担所有与参加磋商有关的费用。不论最终的成交结果如何，采购人或代理机构在任何情况下均无义务和责任承担这些费用。</w:t>
      </w:r>
    </w:p>
    <w:p w14:paraId="6E078B96">
      <w:pPr>
        <w:keepNext w:val="0"/>
        <w:keepLines w:val="0"/>
        <w:pageBreakBefore w:val="0"/>
        <w:widowControl w:val="0"/>
        <w:pBdr>
          <w:top w:val="none" w:color="000000" w:sz="0" w:space="0"/>
          <w:left w:val="none" w:color="000000" w:sz="0" w:space="0"/>
          <w:bottom w:val="none" w:color="000000" w:sz="0" w:space="0"/>
          <w:right w:val="none" w:color="000000" w:sz="0" w:space="0"/>
        </w:pBdr>
        <w:spacing w:beforeAutospacing="0" w:afterAutospacing="0" w:line="360" w:lineRule="auto"/>
        <w:ind w:firstLine="420"/>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4.2</w:t>
      </w:r>
      <w:r>
        <w:rPr>
          <w:rFonts w:hint="default" w:ascii="Times New Roman" w:hAnsi="Times New Roman" w:eastAsia="宋体" w:cs="Times New Roman"/>
          <w:color w:val="auto"/>
          <w:sz w:val="21"/>
          <w:szCs w:val="21"/>
          <w:highlight w:val="none"/>
        </w:rPr>
        <w:t>招标代理服务费</w:t>
      </w:r>
      <w:r>
        <w:rPr>
          <w:rFonts w:hint="default" w:ascii="Times New Roman" w:hAnsi="Times New Roman" w:cs="Times New Roman"/>
          <w:color w:val="auto"/>
          <w:sz w:val="21"/>
          <w:szCs w:val="21"/>
          <w:highlight w:val="none"/>
          <w:lang w:eastAsia="zh-CN"/>
        </w:rPr>
        <w:t>：</w:t>
      </w:r>
      <w:r>
        <w:rPr>
          <w:rFonts w:hint="default" w:ascii="Times New Roman" w:hAnsi="Times New Roman" w:cs="Times New Roman"/>
          <w:color w:val="auto"/>
          <w:sz w:val="21"/>
          <w:szCs w:val="21"/>
          <w:highlight w:val="none"/>
          <w:lang w:val="en-US" w:eastAsia="zh-CN"/>
        </w:rPr>
        <w:t>经采购人与招标代理协商，本项目招标代理服务费按固定金额9000元收取，</w:t>
      </w:r>
      <w:r>
        <w:rPr>
          <w:rFonts w:hint="default" w:ascii="Times New Roman" w:hAnsi="Times New Roman" w:eastAsia="宋体" w:cs="Times New Roman"/>
          <w:color w:val="auto"/>
          <w:sz w:val="21"/>
          <w:szCs w:val="21"/>
          <w:highlight w:val="none"/>
        </w:rPr>
        <w:t>本项目预算已统筹相关费用，全部服务费包含在各供应商总报价内，不另行额外收费；成交公告同步公示代理费金额。</w:t>
      </w:r>
      <w:r>
        <w:rPr>
          <w:rFonts w:hint="default" w:ascii="Times New Roman" w:hAnsi="Times New Roman" w:cs="Times New Roman"/>
          <w:color w:val="auto"/>
          <w:sz w:val="21"/>
          <w:szCs w:val="21"/>
          <w:highlight w:val="none"/>
          <w:lang w:val="en-US" w:eastAsia="zh-CN"/>
        </w:rPr>
        <w:t>费用由各标段成交供应商按比例支付，</w:t>
      </w:r>
      <w:r>
        <w:rPr>
          <w:rFonts w:hint="default" w:ascii="Times New Roman" w:hAnsi="Times New Roman" w:cs="Times New Roman"/>
          <w:color w:val="auto"/>
          <w:sz w:val="21"/>
          <w:szCs w:val="21"/>
          <w:highlight w:val="none"/>
        </w:rPr>
        <w:t>请各供应商在报价时综合考虑上述费用，确定成交供应商后领取中标通知书并一次性缴纳给招标代理服务机构。</w:t>
      </w:r>
    </w:p>
    <w:p w14:paraId="671229F6">
      <w:pPr>
        <w:keepNext w:val="0"/>
        <w:keepLines w:val="0"/>
        <w:pageBreakBefore w:val="0"/>
        <w:widowControl w:val="0"/>
        <w:pBdr>
          <w:top w:val="none" w:color="000000" w:sz="0" w:space="0"/>
          <w:left w:val="none" w:color="000000" w:sz="0" w:space="0"/>
          <w:bottom w:val="none" w:color="000000" w:sz="0" w:space="0"/>
          <w:right w:val="none" w:color="000000" w:sz="0" w:space="0"/>
        </w:pBdr>
        <w:spacing w:beforeAutospacing="0" w:afterAutospacing="0" w:line="360" w:lineRule="auto"/>
        <w:ind w:firstLine="420"/>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5、磋商文件的约束力</w:t>
      </w:r>
    </w:p>
    <w:p w14:paraId="7AFE6687">
      <w:pPr>
        <w:keepNext w:val="0"/>
        <w:keepLines w:val="0"/>
        <w:pageBreakBefore w:val="0"/>
        <w:widowControl w:val="0"/>
        <w:pBdr>
          <w:top w:val="none" w:color="000000" w:sz="0" w:space="0"/>
          <w:left w:val="none" w:color="000000" w:sz="0" w:space="0"/>
          <w:bottom w:val="none" w:color="000000" w:sz="0" w:space="0"/>
          <w:right w:val="none" w:color="000000" w:sz="0" w:space="0"/>
        </w:pBdr>
        <w:spacing w:beforeAutospacing="0" w:afterAutospacing="0" w:line="360" w:lineRule="auto"/>
        <w:ind w:firstLine="420"/>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供应商一旦获取了本磋商文件并决定参加磋商，即被认为接受了本磋商文件的规定和约束，并且视为自竞争性磋商公告期限届满之日起已经知道或应当知道自身权益是否受到了损害。</w:t>
      </w:r>
    </w:p>
    <w:p w14:paraId="453CE3F7">
      <w:pPr>
        <w:keepNext w:val="0"/>
        <w:keepLines w:val="0"/>
        <w:pageBreakBefore w:val="0"/>
        <w:widowControl w:val="0"/>
        <w:pBdr>
          <w:top w:val="none" w:color="000000" w:sz="0" w:space="0"/>
          <w:left w:val="none" w:color="000000" w:sz="0" w:space="0"/>
          <w:bottom w:val="none" w:color="000000" w:sz="0" w:space="0"/>
          <w:right w:val="none" w:color="000000" w:sz="0" w:space="0"/>
        </w:pBdr>
        <w:spacing w:beforeAutospacing="0" w:afterAutospacing="0" w:line="360" w:lineRule="auto"/>
        <w:ind w:firstLine="420"/>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6、磋商文件的澄清及修改</w:t>
      </w:r>
    </w:p>
    <w:p w14:paraId="0D48D6C4">
      <w:pPr>
        <w:keepNext w:val="0"/>
        <w:keepLines w:val="0"/>
        <w:pageBreakBefore w:val="0"/>
        <w:widowControl w:val="0"/>
        <w:pBdr>
          <w:top w:val="none" w:color="000000" w:sz="0" w:space="0"/>
          <w:left w:val="none" w:color="000000" w:sz="0" w:space="0"/>
          <w:bottom w:val="none" w:color="000000" w:sz="0" w:space="0"/>
          <w:right w:val="none" w:color="000000" w:sz="0" w:space="0"/>
        </w:pBdr>
        <w:spacing w:beforeAutospacing="0" w:afterAutospacing="0" w:line="360" w:lineRule="auto"/>
        <w:ind w:firstLine="420"/>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任何要求对磋商文件进行澄清的供应商，均应在法律法规规定的质疑时效内按竞争性磋商公告中的通讯地址，以书面形式通知代理机构（以代理机构实际收到供应商相关文件为准）。提交首次响应文件截止之日前，代理机构可以对已发出的磋商文件进行必要的澄清或者修改，澄清或者修改的内容作为磋商文件的组成部分。</w:t>
      </w:r>
    </w:p>
    <w:p w14:paraId="2DC03B83">
      <w:pPr>
        <w:pStyle w:val="3"/>
        <w:spacing w:line="360" w:lineRule="auto"/>
        <w:rPr>
          <w:rFonts w:hint="default" w:ascii="Times New Roman" w:hAnsi="Times New Roman" w:cs="Times New Roman"/>
          <w:color w:val="auto"/>
          <w:highlight w:val="none"/>
        </w:rPr>
      </w:pPr>
      <w:r>
        <w:rPr>
          <w:rFonts w:hint="default" w:ascii="Times New Roman" w:hAnsi="Times New Roman" w:cs="Times New Roman"/>
          <w:color w:val="auto"/>
          <w:highlight w:val="none"/>
        </w:rPr>
        <w:t>二、磋商文件</w:t>
      </w:r>
    </w:p>
    <w:p w14:paraId="2516DA69">
      <w:pPr>
        <w:keepNext w:val="0"/>
        <w:keepLines w:val="0"/>
        <w:pageBreakBefore w:val="0"/>
        <w:widowControl w:val="0"/>
        <w:pBdr>
          <w:top w:val="none" w:color="000000" w:sz="0" w:space="0"/>
          <w:left w:val="none" w:color="000000" w:sz="0" w:space="0"/>
          <w:bottom w:val="none" w:color="000000" w:sz="0" w:space="0"/>
          <w:right w:val="none" w:color="000000" w:sz="0" w:space="0"/>
        </w:pBdr>
        <w:spacing w:beforeAutospacing="0" w:afterAutospacing="0" w:line="360" w:lineRule="auto"/>
        <w:ind w:firstLine="420"/>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1.磋商文件构成</w:t>
      </w:r>
    </w:p>
    <w:p w14:paraId="26A957CF">
      <w:pPr>
        <w:keepNext w:val="0"/>
        <w:keepLines w:val="0"/>
        <w:pageBreakBefore w:val="0"/>
        <w:widowControl w:val="0"/>
        <w:pBdr>
          <w:top w:val="none" w:color="000000" w:sz="0" w:space="0"/>
          <w:left w:val="none" w:color="000000" w:sz="0" w:space="0"/>
          <w:bottom w:val="none" w:color="000000" w:sz="0" w:space="0"/>
          <w:right w:val="none" w:color="000000" w:sz="0" w:space="0"/>
        </w:pBdr>
        <w:spacing w:beforeAutospacing="0" w:afterAutospacing="0" w:line="360" w:lineRule="auto"/>
        <w:ind w:firstLine="420"/>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1.1磋商文件由以下部分组成：</w:t>
      </w:r>
    </w:p>
    <w:p w14:paraId="7E187D09">
      <w:pPr>
        <w:keepNext w:val="0"/>
        <w:keepLines w:val="0"/>
        <w:pageBreakBefore w:val="0"/>
        <w:widowControl w:val="0"/>
        <w:pBdr>
          <w:top w:val="none" w:color="000000" w:sz="0" w:space="0"/>
          <w:left w:val="none" w:color="000000" w:sz="0" w:space="0"/>
          <w:bottom w:val="none" w:color="000000" w:sz="0" w:space="0"/>
          <w:right w:val="none" w:color="000000" w:sz="0" w:space="0"/>
        </w:pBdr>
        <w:spacing w:beforeAutospacing="0" w:afterAutospacing="0" w:line="360" w:lineRule="auto"/>
        <w:ind w:firstLine="420"/>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（1）竞争性磋商公告</w:t>
      </w:r>
    </w:p>
    <w:p w14:paraId="6979C601">
      <w:pPr>
        <w:keepNext w:val="0"/>
        <w:keepLines w:val="0"/>
        <w:pageBreakBefore w:val="0"/>
        <w:widowControl w:val="0"/>
        <w:pBdr>
          <w:top w:val="none" w:color="000000" w:sz="0" w:space="0"/>
          <w:left w:val="none" w:color="000000" w:sz="0" w:space="0"/>
          <w:bottom w:val="none" w:color="000000" w:sz="0" w:space="0"/>
          <w:right w:val="none" w:color="000000" w:sz="0" w:space="0"/>
        </w:pBdr>
        <w:spacing w:beforeAutospacing="0" w:afterAutospacing="0" w:line="360" w:lineRule="auto"/>
        <w:ind w:firstLine="420"/>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（2）供应商须知</w:t>
      </w:r>
    </w:p>
    <w:p w14:paraId="0411E865">
      <w:pPr>
        <w:keepNext w:val="0"/>
        <w:keepLines w:val="0"/>
        <w:pageBreakBefore w:val="0"/>
        <w:widowControl w:val="0"/>
        <w:pBdr>
          <w:top w:val="none" w:color="000000" w:sz="0" w:space="0"/>
          <w:left w:val="none" w:color="000000" w:sz="0" w:space="0"/>
          <w:bottom w:val="none" w:color="000000" w:sz="0" w:space="0"/>
          <w:right w:val="none" w:color="000000" w:sz="0" w:space="0"/>
        </w:pBdr>
        <w:spacing w:beforeAutospacing="0" w:afterAutospacing="0" w:line="360" w:lineRule="auto"/>
        <w:ind w:firstLine="420"/>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（3）合同条款及格式</w:t>
      </w:r>
    </w:p>
    <w:p w14:paraId="5F612B68">
      <w:pPr>
        <w:keepNext w:val="0"/>
        <w:keepLines w:val="0"/>
        <w:pageBreakBefore w:val="0"/>
        <w:widowControl w:val="0"/>
        <w:pBdr>
          <w:top w:val="none" w:color="000000" w:sz="0" w:space="0"/>
          <w:left w:val="none" w:color="000000" w:sz="0" w:space="0"/>
          <w:bottom w:val="none" w:color="000000" w:sz="0" w:space="0"/>
          <w:right w:val="none" w:color="000000" w:sz="0" w:space="0"/>
        </w:pBdr>
        <w:spacing w:beforeAutospacing="0" w:afterAutospacing="0" w:line="360" w:lineRule="auto"/>
        <w:ind w:firstLine="420"/>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（4）项目需求</w:t>
      </w:r>
    </w:p>
    <w:p w14:paraId="2C812F43">
      <w:pPr>
        <w:keepNext w:val="0"/>
        <w:keepLines w:val="0"/>
        <w:pageBreakBefore w:val="0"/>
        <w:widowControl w:val="0"/>
        <w:pBdr>
          <w:top w:val="none" w:color="000000" w:sz="0" w:space="0"/>
          <w:left w:val="none" w:color="000000" w:sz="0" w:space="0"/>
          <w:bottom w:val="none" w:color="000000" w:sz="0" w:space="0"/>
          <w:right w:val="none" w:color="000000" w:sz="0" w:space="0"/>
        </w:pBdr>
        <w:spacing w:beforeAutospacing="0" w:afterAutospacing="0" w:line="360" w:lineRule="auto"/>
        <w:ind w:firstLine="420"/>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（5）评审方法和评审标准</w:t>
      </w:r>
    </w:p>
    <w:p w14:paraId="6E697F2B">
      <w:pPr>
        <w:keepNext w:val="0"/>
        <w:keepLines w:val="0"/>
        <w:pageBreakBefore w:val="0"/>
        <w:widowControl w:val="0"/>
        <w:pBdr>
          <w:top w:val="none" w:color="000000" w:sz="0" w:space="0"/>
          <w:left w:val="none" w:color="000000" w:sz="0" w:space="0"/>
          <w:bottom w:val="none" w:color="000000" w:sz="0" w:space="0"/>
          <w:right w:val="none" w:color="000000" w:sz="0" w:space="0"/>
        </w:pBdr>
        <w:spacing w:beforeAutospacing="0" w:afterAutospacing="0" w:line="360" w:lineRule="auto"/>
        <w:ind w:firstLine="420"/>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（6）响应文件的组成和格式</w:t>
      </w:r>
    </w:p>
    <w:p w14:paraId="5EBED922">
      <w:pPr>
        <w:keepNext w:val="0"/>
        <w:keepLines w:val="0"/>
        <w:pageBreakBefore w:val="0"/>
        <w:widowControl w:val="0"/>
        <w:pBdr>
          <w:top w:val="none" w:color="000000" w:sz="0" w:space="0"/>
          <w:left w:val="none" w:color="000000" w:sz="0" w:space="0"/>
          <w:bottom w:val="none" w:color="000000" w:sz="0" w:space="0"/>
          <w:right w:val="none" w:color="000000" w:sz="0" w:space="0"/>
        </w:pBdr>
        <w:spacing w:beforeAutospacing="0" w:afterAutospacing="0" w:line="360" w:lineRule="auto"/>
        <w:ind w:firstLine="420"/>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请仔细检查磋商文件是否齐全，如有缺漏请立即与采购人或采购代理机构联系解决。</w:t>
      </w:r>
    </w:p>
    <w:p w14:paraId="0F0EB3AB">
      <w:pPr>
        <w:keepNext w:val="0"/>
        <w:keepLines w:val="0"/>
        <w:pageBreakBefore w:val="0"/>
        <w:widowControl w:val="0"/>
        <w:pBdr>
          <w:top w:val="none" w:color="000000" w:sz="0" w:space="0"/>
          <w:left w:val="none" w:color="000000" w:sz="0" w:space="0"/>
          <w:bottom w:val="none" w:color="000000" w:sz="0" w:space="0"/>
          <w:right w:val="none" w:color="000000" w:sz="0" w:space="0"/>
        </w:pBdr>
        <w:spacing w:beforeAutospacing="0" w:afterAutospacing="0" w:line="360" w:lineRule="auto"/>
        <w:ind w:firstLine="420"/>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1.2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p>
    <w:p w14:paraId="43BEADF1">
      <w:pPr>
        <w:keepNext w:val="0"/>
        <w:keepLines w:val="0"/>
        <w:pageBreakBefore w:val="0"/>
        <w:widowControl w:val="0"/>
        <w:pBdr>
          <w:top w:val="none" w:color="000000" w:sz="0" w:space="0"/>
          <w:left w:val="none" w:color="000000" w:sz="0" w:space="0"/>
          <w:bottom w:val="none" w:color="000000" w:sz="0" w:space="0"/>
          <w:right w:val="none" w:color="000000" w:sz="0" w:space="0"/>
        </w:pBdr>
        <w:spacing w:beforeAutospacing="0" w:afterAutospacing="0" w:line="360" w:lineRule="auto"/>
        <w:ind w:firstLine="420"/>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2.磋商文件的澄清</w:t>
      </w:r>
    </w:p>
    <w:p w14:paraId="26382D72">
      <w:pPr>
        <w:keepNext w:val="0"/>
        <w:keepLines w:val="0"/>
        <w:pageBreakBefore w:val="0"/>
        <w:widowControl w:val="0"/>
        <w:pBdr>
          <w:top w:val="none" w:color="000000" w:sz="0" w:space="0"/>
          <w:left w:val="none" w:color="000000" w:sz="0" w:space="0"/>
          <w:bottom w:val="none" w:color="000000" w:sz="0" w:space="0"/>
          <w:right w:val="none" w:color="000000" w:sz="0" w:space="0"/>
        </w:pBdr>
        <w:spacing w:beforeAutospacing="0" w:afterAutospacing="0" w:line="360" w:lineRule="auto"/>
        <w:ind w:firstLine="420"/>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2.1任何要求对磋商文件进行澄清的供应商，应在提交首次响应文件截止时间五日前按磋商公告中的通讯地址，以书面形式通知采购人或采购代理机构。采购人或采购代理机构有权对发出的磋商文件进行必要的澄清或修改。</w:t>
      </w:r>
    </w:p>
    <w:p w14:paraId="79F23FE9">
      <w:pPr>
        <w:keepNext w:val="0"/>
        <w:keepLines w:val="0"/>
        <w:pageBreakBefore w:val="0"/>
        <w:widowControl w:val="0"/>
        <w:pBdr>
          <w:top w:val="none" w:color="000000" w:sz="0" w:space="0"/>
          <w:left w:val="none" w:color="000000" w:sz="0" w:space="0"/>
          <w:bottom w:val="none" w:color="000000" w:sz="0" w:space="0"/>
          <w:right w:val="none" w:color="000000" w:sz="0" w:space="0"/>
        </w:pBdr>
        <w:spacing w:beforeAutospacing="0" w:afterAutospacing="0" w:line="360" w:lineRule="auto"/>
        <w:ind w:firstLine="420"/>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2.2采购人可以视采购项目的具体情况，组织供应商进行现场考察或召开磋商前答疑会，但不单独或分别组织只有一个供应商参加的现场考察和答疑会。</w:t>
      </w:r>
    </w:p>
    <w:p w14:paraId="4CB1371F">
      <w:pPr>
        <w:keepNext w:val="0"/>
        <w:keepLines w:val="0"/>
        <w:pageBreakBefore w:val="0"/>
        <w:widowControl w:val="0"/>
        <w:pBdr>
          <w:top w:val="none" w:color="000000" w:sz="0" w:space="0"/>
          <w:left w:val="none" w:color="000000" w:sz="0" w:space="0"/>
          <w:bottom w:val="none" w:color="000000" w:sz="0" w:space="0"/>
          <w:right w:val="none" w:color="000000" w:sz="0" w:space="0"/>
        </w:pBdr>
        <w:spacing w:beforeAutospacing="0" w:afterAutospacing="0" w:line="360" w:lineRule="auto"/>
        <w:ind w:firstLine="420"/>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3.磋商文件的修改</w:t>
      </w:r>
    </w:p>
    <w:p w14:paraId="7CC584DB">
      <w:pPr>
        <w:keepNext w:val="0"/>
        <w:keepLines w:val="0"/>
        <w:pageBreakBefore w:val="0"/>
        <w:widowControl w:val="0"/>
        <w:pBdr>
          <w:top w:val="none" w:color="000000" w:sz="0" w:space="0"/>
          <w:left w:val="none" w:color="000000" w:sz="0" w:space="0"/>
          <w:bottom w:val="none" w:color="000000" w:sz="0" w:space="0"/>
          <w:right w:val="none" w:color="000000" w:sz="0" w:space="0"/>
        </w:pBdr>
        <w:spacing w:beforeAutospacing="0" w:afterAutospacing="0" w:line="360" w:lineRule="auto"/>
        <w:ind w:firstLine="420"/>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3.1在响应文件提交截止时间前，采购人或采购代理机构可以对磋商文件进行修改，澄清或者修改的内容作为磋商文件的组成部分。</w:t>
      </w:r>
    </w:p>
    <w:p w14:paraId="7D93860A">
      <w:pPr>
        <w:keepNext w:val="0"/>
        <w:keepLines w:val="0"/>
        <w:pageBreakBefore w:val="0"/>
        <w:widowControl w:val="0"/>
        <w:pBdr>
          <w:top w:val="none" w:color="000000" w:sz="0" w:space="0"/>
          <w:left w:val="none" w:color="000000" w:sz="0" w:space="0"/>
          <w:bottom w:val="none" w:color="000000" w:sz="0" w:space="0"/>
          <w:right w:val="none" w:color="000000" w:sz="0" w:space="0"/>
        </w:pBdr>
        <w:spacing w:beforeAutospacing="0" w:afterAutospacing="0" w:line="360" w:lineRule="auto"/>
        <w:ind w:firstLine="420"/>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3.2采购人或采购代理机构有权按照法定的要求推迟响应文件提交截止日期和磋商日期。</w:t>
      </w:r>
    </w:p>
    <w:p w14:paraId="73654A1A">
      <w:pPr>
        <w:keepNext w:val="0"/>
        <w:keepLines w:val="0"/>
        <w:pageBreakBefore w:val="0"/>
        <w:widowControl w:val="0"/>
        <w:pBdr>
          <w:top w:val="none" w:color="000000" w:sz="0" w:space="0"/>
          <w:left w:val="none" w:color="000000" w:sz="0" w:space="0"/>
          <w:bottom w:val="none" w:color="000000" w:sz="0" w:space="0"/>
          <w:right w:val="none" w:color="000000" w:sz="0" w:space="0"/>
        </w:pBdr>
        <w:spacing w:beforeAutospacing="0" w:afterAutospacing="0" w:line="360" w:lineRule="auto"/>
        <w:ind w:firstLine="420"/>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3.3磋商文件的修改将在江苏政府采购网公布，补充文件将作为磋商文件的组成部分，并对供应商具有约束力。</w:t>
      </w:r>
    </w:p>
    <w:p w14:paraId="69FA98BD">
      <w:pPr>
        <w:keepNext w:val="0"/>
        <w:keepLines w:val="0"/>
        <w:pageBreakBefore w:val="0"/>
        <w:widowControl w:val="0"/>
        <w:pBdr>
          <w:top w:val="none" w:color="000000" w:sz="0" w:space="0"/>
          <w:left w:val="none" w:color="000000" w:sz="0" w:space="0"/>
          <w:bottom w:val="none" w:color="000000" w:sz="0" w:space="0"/>
          <w:right w:val="none" w:color="000000" w:sz="0" w:space="0"/>
        </w:pBdr>
        <w:spacing w:beforeAutospacing="0" w:afterAutospacing="0" w:line="360" w:lineRule="auto"/>
        <w:ind w:firstLine="420"/>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4.在投标响应截止日期前，采购单位对采购文件进行澄清或者修改的，通过“苏采云”系统发布澄清公告或者修改的内容。澄清或者修改的内容以所发布的本项目的“更正（澄清）公告”的形式通知所有获取采购文件的潜在供应商。发布本项目的“更正（澄清）公告”后采购代理机构已尽到通知义务。敬请各潜在供应商关注本项目的“更正（澄清）公告”，并通过“苏采云”系统重新下载更正（澄清）后的采购文件（后缀名为“.kedt”），离线编制响应文件，否则，将自行承担相应的风险。</w:t>
      </w:r>
    </w:p>
    <w:p w14:paraId="6159D7BD">
      <w:pPr>
        <w:keepNext w:val="0"/>
        <w:keepLines w:val="0"/>
        <w:pageBreakBefore w:val="0"/>
        <w:widowControl w:val="0"/>
        <w:pBdr>
          <w:top w:val="none" w:color="000000" w:sz="0" w:space="0"/>
          <w:left w:val="none" w:color="000000" w:sz="0" w:space="0"/>
          <w:bottom w:val="none" w:color="000000" w:sz="0" w:space="0"/>
          <w:right w:val="none" w:color="000000" w:sz="0" w:space="0"/>
        </w:pBdr>
        <w:spacing w:beforeAutospacing="0" w:afterAutospacing="0" w:line="360" w:lineRule="auto"/>
        <w:ind w:firstLine="420"/>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5.供应商对采购人提供的采购文件所做出的推论、解释和结论，采购人概不负责。供应商由于对采购文件的任何推论和误解以及采购人对有关问题的口头解释所造成的后果，均由各潜在供应商自负。</w:t>
      </w:r>
    </w:p>
    <w:p w14:paraId="2FBE6269">
      <w:pPr>
        <w:pStyle w:val="3"/>
        <w:spacing w:line="360" w:lineRule="auto"/>
        <w:rPr>
          <w:rFonts w:hint="default" w:ascii="Times New Roman" w:hAnsi="Times New Roman" w:cs="Times New Roman"/>
          <w:color w:val="auto"/>
          <w:highlight w:val="none"/>
        </w:rPr>
      </w:pPr>
      <w:r>
        <w:rPr>
          <w:rFonts w:hint="default" w:ascii="Times New Roman" w:hAnsi="Times New Roman" w:cs="Times New Roman"/>
          <w:color w:val="auto"/>
          <w:highlight w:val="none"/>
        </w:rPr>
        <w:t>三、磋商响应文件的编制</w:t>
      </w:r>
    </w:p>
    <w:p w14:paraId="244DA8BE">
      <w:pPr>
        <w:keepNext w:val="0"/>
        <w:keepLines w:val="0"/>
        <w:pageBreakBefore w:val="0"/>
        <w:pBdr>
          <w:top w:val="none" w:color="000000" w:sz="0" w:space="0"/>
          <w:left w:val="none" w:color="000000" w:sz="0" w:space="0"/>
          <w:bottom w:val="none" w:color="000000" w:sz="0" w:space="0"/>
          <w:right w:val="none" w:color="000000" w:sz="0" w:space="0"/>
        </w:pBdr>
        <w:spacing w:beforeAutospacing="0" w:afterAutospacing="0" w:line="360" w:lineRule="auto"/>
        <w:ind w:firstLine="422"/>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1.响应文件的语言及度量衡单位</w:t>
      </w:r>
    </w:p>
    <w:p w14:paraId="359FB84D">
      <w:pPr>
        <w:keepNext w:val="0"/>
        <w:keepLines w:val="0"/>
        <w:pageBreakBefore w:val="0"/>
        <w:pBdr>
          <w:top w:val="none" w:color="000000" w:sz="0" w:space="0"/>
          <w:left w:val="none" w:color="000000" w:sz="0" w:space="0"/>
          <w:bottom w:val="none" w:color="000000" w:sz="0" w:space="0"/>
          <w:right w:val="none" w:color="000000" w:sz="0" w:space="0"/>
        </w:pBdr>
        <w:spacing w:beforeAutospacing="0" w:afterAutospacing="0" w:line="360" w:lineRule="auto"/>
        <w:ind w:firstLine="422"/>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1.1供应商提交的响应文件以及供应商与采购人或采购代理机构就有关磋商的所有来往通知、函件和文件均应使用简体中文。</w:t>
      </w:r>
    </w:p>
    <w:p w14:paraId="2270B400">
      <w:pPr>
        <w:keepNext w:val="0"/>
        <w:keepLines w:val="0"/>
        <w:pageBreakBefore w:val="0"/>
        <w:pBdr>
          <w:top w:val="none" w:color="000000" w:sz="0" w:space="0"/>
          <w:left w:val="none" w:color="000000" w:sz="0" w:space="0"/>
          <w:bottom w:val="none" w:color="000000" w:sz="0" w:space="0"/>
          <w:right w:val="none" w:color="000000" w:sz="0" w:space="0"/>
        </w:pBdr>
        <w:spacing w:beforeAutospacing="0" w:afterAutospacing="0" w:line="360" w:lineRule="auto"/>
        <w:ind w:firstLine="422"/>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1.2除技术性能另有规定外，响应文件所使用的度量衡单位，均须采用国家法定计量单位。</w:t>
      </w:r>
    </w:p>
    <w:p w14:paraId="475D4B19">
      <w:pPr>
        <w:keepNext w:val="0"/>
        <w:keepLines w:val="0"/>
        <w:pageBreakBefore w:val="0"/>
        <w:pBdr>
          <w:top w:val="none" w:color="000000" w:sz="0" w:space="0"/>
          <w:left w:val="none" w:color="000000" w:sz="0" w:space="0"/>
          <w:bottom w:val="none" w:color="000000" w:sz="0" w:space="0"/>
          <w:right w:val="none" w:color="000000" w:sz="0" w:space="0"/>
        </w:pBdr>
        <w:spacing w:beforeAutospacing="0" w:afterAutospacing="0" w:line="360" w:lineRule="auto"/>
        <w:ind w:firstLine="422"/>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2.响应文件构成</w:t>
      </w:r>
    </w:p>
    <w:p w14:paraId="77104F2E">
      <w:pPr>
        <w:keepNext w:val="0"/>
        <w:keepLines w:val="0"/>
        <w:pageBreakBefore w:val="0"/>
        <w:pBdr>
          <w:top w:val="none" w:color="000000" w:sz="0" w:space="0"/>
          <w:left w:val="none" w:color="000000" w:sz="0" w:space="0"/>
          <w:bottom w:val="none" w:color="000000" w:sz="0" w:space="0"/>
          <w:right w:val="none" w:color="000000" w:sz="0" w:space="0"/>
        </w:pBdr>
        <w:spacing w:beforeAutospacing="0" w:afterAutospacing="0" w:line="360" w:lineRule="auto"/>
        <w:ind w:firstLine="420"/>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供应商应认真阅读和理解磋商文件，并按磋商文件的要求编制响应文件；响应文件应对磋商文件做实质性响应，并保证所提供资料的真实性。</w:t>
      </w:r>
    </w:p>
    <w:p w14:paraId="0AD8AD22">
      <w:pPr>
        <w:keepNext w:val="0"/>
        <w:keepLines w:val="0"/>
        <w:pageBreakBefore w:val="0"/>
        <w:pBdr>
          <w:top w:val="none" w:color="000000" w:sz="0" w:space="0"/>
          <w:left w:val="none" w:color="000000" w:sz="0" w:space="0"/>
          <w:bottom w:val="none" w:color="000000" w:sz="0" w:space="0"/>
          <w:right w:val="none" w:color="000000" w:sz="0" w:space="0"/>
        </w:pBdr>
        <w:spacing w:beforeAutospacing="0" w:afterAutospacing="0" w:line="360" w:lineRule="auto"/>
        <w:ind w:firstLine="420"/>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磋商供应商编写的响应文件应包括下列部分：</w:t>
      </w:r>
    </w:p>
    <w:p w14:paraId="6731C97F">
      <w:pPr>
        <w:keepNext w:val="0"/>
        <w:keepLines w:val="0"/>
        <w:pageBreakBefore w:val="0"/>
        <w:pBdr>
          <w:top w:val="none" w:color="000000" w:sz="0" w:space="0"/>
          <w:left w:val="none" w:color="000000" w:sz="0" w:space="0"/>
          <w:bottom w:val="none" w:color="000000" w:sz="0" w:space="0"/>
          <w:right w:val="none" w:color="000000" w:sz="0" w:space="0"/>
        </w:pBdr>
        <w:spacing w:beforeAutospacing="0" w:afterAutospacing="0" w:line="360" w:lineRule="auto"/>
        <w:ind w:firstLine="420"/>
        <w:rPr>
          <w:rFonts w:hint="default" w:ascii="Times New Roman" w:hAnsi="Times New Roman" w:eastAsia="宋体" w:cs="Times New Roman"/>
          <w:b/>
          <w:bCs w:val="0"/>
          <w:color w:val="auto"/>
          <w:sz w:val="21"/>
          <w:szCs w:val="21"/>
          <w:highlight w:val="none"/>
        </w:rPr>
      </w:pPr>
      <w:r>
        <w:rPr>
          <w:rFonts w:hint="default" w:ascii="Times New Roman" w:hAnsi="Times New Roman" w:eastAsia="宋体" w:cs="Times New Roman"/>
          <w:b/>
          <w:bCs w:val="0"/>
          <w:color w:val="auto"/>
          <w:sz w:val="21"/>
          <w:szCs w:val="21"/>
          <w:highlight w:val="none"/>
        </w:rPr>
        <w:t>2.1资格证明文件</w:t>
      </w:r>
    </w:p>
    <w:p w14:paraId="546C2F93">
      <w:pPr>
        <w:keepNext w:val="0"/>
        <w:keepLines w:val="0"/>
        <w:pageBreakBefore w:val="0"/>
        <w:pBdr>
          <w:top w:val="none" w:color="000000" w:sz="0" w:space="0"/>
          <w:left w:val="none" w:color="000000" w:sz="0" w:space="0"/>
          <w:bottom w:val="none" w:color="000000" w:sz="0" w:space="0"/>
          <w:right w:val="none" w:color="000000" w:sz="0" w:space="0"/>
        </w:pBdr>
        <w:spacing w:beforeAutospacing="0" w:afterAutospacing="0" w:line="360" w:lineRule="auto"/>
        <w:ind w:firstLine="480"/>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（1）关于资格的声明函、承诺书（格式见附件）；</w:t>
      </w:r>
    </w:p>
    <w:p w14:paraId="4DBA36BB">
      <w:pPr>
        <w:keepNext w:val="0"/>
        <w:keepLines w:val="0"/>
        <w:pageBreakBefore w:val="0"/>
        <w:pBdr>
          <w:top w:val="none" w:color="000000" w:sz="0" w:space="0"/>
          <w:left w:val="none" w:color="000000" w:sz="0" w:space="0"/>
          <w:bottom w:val="none" w:color="000000" w:sz="0" w:space="0"/>
          <w:right w:val="none" w:color="000000" w:sz="0" w:space="0"/>
        </w:pBdr>
        <w:spacing w:beforeAutospacing="0" w:afterAutospacing="0" w:line="360" w:lineRule="auto"/>
        <w:ind w:firstLine="480"/>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（2）具有独立承担民事责任能力的供应商营业执照或相关部门的登记证明文件复印件；</w:t>
      </w:r>
    </w:p>
    <w:p w14:paraId="2CAEEB5E">
      <w:pPr>
        <w:keepNext w:val="0"/>
        <w:keepLines w:val="0"/>
        <w:pageBreakBefore w:val="0"/>
        <w:pBdr>
          <w:top w:val="none" w:color="000000" w:sz="0" w:space="0"/>
          <w:left w:val="none" w:color="000000" w:sz="0" w:space="0"/>
          <w:bottom w:val="none" w:color="000000" w:sz="0" w:space="0"/>
          <w:right w:val="none" w:color="000000" w:sz="0" w:space="0"/>
        </w:pBdr>
        <w:spacing w:beforeAutospacing="0" w:afterAutospacing="0" w:line="360" w:lineRule="auto"/>
        <w:ind w:firstLine="480"/>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（3）本项目对供应商要求的特定资格证明材料（详见“竞争性磋商采购公告-申请人资格要求”之3的要求）；</w:t>
      </w:r>
    </w:p>
    <w:p w14:paraId="115ECEC4">
      <w:pPr>
        <w:keepNext w:val="0"/>
        <w:keepLines w:val="0"/>
        <w:pageBreakBefore w:val="0"/>
        <w:pBdr>
          <w:top w:val="none" w:color="000000" w:sz="0" w:space="0"/>
          <w:left w:val="none" w:color="000000" w:sz="0" w:space="0"/>
          <w:bottom w:val="none" w:color="000000" w:sz="0" w:space="0"/>
          <w:right w:val="none" w:color="000000" w:sz="0" w:space="0"/>
        </w:pBdr>
        <w:spacing w:beforeAutospacing="0" w:afterAutospacing="0" w:line="360" w:lineRule="auto"/>
        <w:ind w:firstLine="480"/>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（4）磋商供应商法定代表人授权委托书（格式见附件，法定代表人亲自参加磋商的除外）；</w:t>
      </w:r>
    </w:p>
    <w:p w14:paraId="4450927F">
      <w:pPr>
        <w:keepNext w:val="0"/>
        <w:keepLines w:val="0"/>
        <w:pageBreakBefore w:val="0"/>
        <w:pBdr>
          <w:top w:val="none" w:color="000000" w:sz="0" w:space="0"/>
          <w:left w:val="none" w:color="000000" w:sz="0" w:space="0"/>
          <w:bottom w:val="none" w:color="000000" w:sz="0" w:space="0"/>
          <w:right w:val="none" w:color="000000" w:sz="0" w:space="0"/>
        </w:pBdr>
        <w:spacing w:beforeAutospacing="0" w:afterAutospacing="0" w:line="360" w:lineRule="auto"/>
        <w:ind w:firstLine="480"/>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（5）磋商供应商法定代表人身份证复印件；</w:t>
      </w:r>
    </w:p>
    <w:p w14:paraId="113D7428">
      <w:pPr>
        <w:keepNext w:val="0"/>
        <w:keepLines w:val="0"/>
        <w:pageBreakBefore w:val="0"/>
        <w:pBdr>
          <w:top w:val="none" w:color="000000" w:sz="0" w:space="0"/>
          <w:left w:val="none" w:color="000000" w:sz="0" w:space="0"/>
          <w:bottom w:val="none" w:color="000000" w:sz="0" w:space="0"/>
          <w:right w:val="none" w:color="000000" w:sz="0" w:space="0"/>
        </w:pBdr>
        <w:spacing w:beforeAutospacing="0" w:afterAutospacing="0" w:line="360" w:lineRule="auto"/>
        <w:ind w:firstLine="480"/>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（6）磋商供应商法定代表人授权代表身份证复印件（法定代表人亲自参加磋商的除外）；</w:t>
      </w:r>
    </w:p>
    <w:p w14:paraId="18D58903">
      <w:pPr>
        <w:keepNext w:val="0"/>
        <w:keepLines w:val="0"/>
        <w:pageBreakBefore w:val="0"/>
        <w:pBdr>
          <w:top w:val="none" w:color="000000" w:sz="0" w:space="0"/>
          <w:left w:val="none" w:color="000000" w:sz="0" w:space="0"/>
          <w:bottom w:val="none" w:color="000000" w:sz="0" w:space="0"/>
          <w:right w:val="none" w:color="000000" w:sz="0" w:space="0"/>
        </w:pBdr>
        <w:spacing w:beforeAutospacing="0" w:afterAutospacing="0" w:line="360" w:lineRule="auto"/>
        <w:ind w:firstLine="480"/>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（7）按照本文件“竞争性磋商采购公告-申请人的资格要求”应当提供的证明材料；</w:t>
      </w:r>
    </w:p>
    <w:p w14:paraId="15C032E2">
      <w:pPr>
        <w:keepNext w:val="0"/>
        <w:keepLines w:val="0"/>
        <w:pageBreakBefore w:val="0"/>
        <w:pBdr>
          <w:top w:val="none" w:color="000000" w:sz="0" w:space="0"/>
          <w:left w:val="none" w:color="000000" w:sz="0" w:space="0"/>
          <w:bottom w:val="none" w:color="000000" w:sz="0" w:space="0"/>
          <w:right w:val="none" w:color="000000" w:sz="0" w:space="0"/>
        </w:pBdr>
        <w:spacing w:beforeAutospacing="0" w:afterAutospacing="0" w:line="360" w:lineRule="auto"/>
        <w:ind w:firstLine="480"/>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（8）供应商近三个月中任意一个月份(不含投标当月)的财务状况报告（资产负债表和利润表）或由会计师事务所出具的近两年中任意一个年度的审计报告和所附已审财务报告复印件；</w:t>
      </w:r>
    </w:p>
    <w:p w14:paraId="1829D0BC">
      <w:pPr>
        <w:keepNext w:val="0"/>
        <w:keepLines w:val="0"/>
        <w:pageBreakBefore w:val="0"/>
        <w:pBdr>
          <w:top w:val="none" w:color="000000" w:sz="0" w:space="0"/>
          <w:left w:val="none" w:color="000000" w:sz="0" w:space="0"/>
          <w:bottom w:val="none" w:color="000000" w:sz="0" w:space="0"/>
          <w:right w:val="none" w:color="000000" w:sz="0" w:space="0"/>
        </w:pBdr>
        <w:spacing w:beforeAutospacing="0" w:afterAutospacing="0" w:line="360" w:lineRule="auto"/>
        <w:ind w:firstLine="480"/>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（9）供应商近三个月中任意一个月份(不含投标当月)的依法缴纳税收的相关材料（提供相关主管部门证明或银行代扣证明）复印件；</w:t>
      </w:r>
    </w:p>
    <w:p w14:paraId="62DBB59D">
      <w:pPr>
        <w:keepNext w:val="0"/>
        <w:keepLines w:val="0"/>
        <w:pageBreakBefore w:val="0"/>
        <w:pBdr>
          <w:top w:val="none" w:color="000000" w:sz="0" w:space="0"/>
          <w:left w:val="none" w:color="000000" w:sz="0" w:space="0"/>
          <w:bottom w:val="none" w:color="000000" w:sz="0" w:space="0"/>
          <w:right w:val="none" w:color="000000" w:sz="0" w:space="0"/>
        </w:pBdr>
        <w:spacing w:beforeAutospacing="0" w:afterAutospacing="0" w:line="360" w:lineRule="auto"/>
        <w:ind w:firstLine="480"/>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（10）供应商近三个月中任意一个月份(不含投标当月)的依法缴纳社会保障资金的相关材料（提供相关主管部门证明或银行代扣证明）复印件；</w:t>
      </w:r>
    </w:p>
    <w:p w14:paraId="73E9B7BD">
      <w:pPr>
        <w:keepNext w:val="0"/>
        <w:keepLines w:val="0"/>
        <w:pageBreakBefore w:val="0"/>
        <w:pBdr>
          <w:top w:val="none" w:color="000000" w:sz="0" w:space="0"/>
          <w:left w:val="none" w:color="000000" w:sz="0" w:space="0"/>
          <w:bottom w:val="none" w:color="000000" w:sz="0" w:space="0"/>
          <w:right w:val="none" w:color="000000" w:sz="0" w:space="0"/>
        </w:pBdr>
        <w:spacing w:beforeAutospacing="0" w:afterAutospacing="0" w:line="360" w:lineRule="auto"/>
        <w:ind w:firstLine="480"/>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11）中小微企业或监狱企业或残疾人福利性单位证明材料（中小微企业、残疾人福利性单位企业声明函格式见附件，监狱和戒毒企业提供由省级以上监狱管理局、戒毒管理局（含新疆生产建设兵团）出具的属于监狱企业的证明文件）；</w:t>
      </w:r>
    </w:p>
    <w:p w14:paraId="6A6FF3A4">
      <w:pPr>
        <w:keepNext w:val="0"/>
        <w:keepLines w:val="0"/>
        <w:pageBreakBefore w:val="0"/>
        <w:pBdr>
          <w:top w:val="none" w:color="000000" w:sz="0" w:space="0"/>
          <w:left w:val="none" w:color="000000" w:sz="0" w:space="0"/>
          <w:bottom w:val="none" w:color="000000" w:sz="0" w:space="0"/>
          <w:right w:val="none" w:color="000000" w:sz="0" w:space="0"/>
        </w:pBdr>
        <w:spacing w:beforeAutospacing="0" w:afterAutospacing="0" w:line="360" w:lineRule="auto"/>
        <w:ind w:firstLine="420"/>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b/>
          <w:color w:val="auto"/>
          <w:sz w:val="21"/>
          <w:szCs w:val="21"/>
          <w:highlight w:val="none"/>
        </w:rPr>
        <w:t>注：以上资信部分材料扫描件提供不全或无效的，将被判定为无效响应。</w:t>
      </w:r>
    </w:p>
    <w:p w14:paraId="6B9D65A9">
      <w:pPr>
        <w:keepNext w:val="0"/>
        <w:keepLines w:val="0"/>
        <w:pageBreakBefore w:val="0"/>
        <w:pBdr>
          <w:top w:val="none" w:color="000000" w:sz="0" w:space="0"/>
          <w:left w:val="none" w:color="000000" w:sz="0" w:space="0"/>
          <w:bottom w:val="none" w:color="000000" w:sz="0" w:space="0"/>
          <w:right w:val="none" w:color="000000" w:sz="0" w:space="0"/>
        </w:pBdr>
        <w:spacing w:beforeAutospacing="0" w:afterAutospacing="0" w:line="360" w:lineRule="auto"/>
        <w:ind w:firstLine="420"/>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b/>
          <w:color w:val="auto"/>
          <w:sz w:val="21"/>
          <w:szCs w:val="21"/>
          <w:highlight w:val="none"/>
        </w:rPr>
        <w:t>2.2商务技术部分</w:t>
      </w:r>
    </w:p>
    <w:p w14:paraId="368DCE08">
      <w:pPr>
        <w:keepNext w:val="0"/>
        <w:keepLines w:val="0"/>
        <w:pageBreakBefore w:val="0"/>
        <w:pBdr>
          <w:top w:val="none" w:color="000000" w:sz="0" w:space="0"/>
          <w:left w:val="none" w:color="000000" w:sz="0" w:space="0"/>
          <w:bottom w:val="none" w:color="000000" w:sz="0" w:space="0"/>
          <w:right w:val="none" w:color="000000" w:sz="0" w:space="0"/>
        </w:pBdr>
        <w:spacing w:beforeAutospacing="0" w:afterAutospacing="0" w:line="360" w:lineRule="auto"/>
        <w:ind w:firstLine="480"/>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（1）磋商响应函；</w:t>
      </w:r>
    </w:p>
    <w:p w14:paraId="10F1E218">
      <w:pPr>
        <w:keepNext w:val="0"/>
        <w:keepLines w:val="0"/>
        <w:pageBreakBefore w:val="0"/>
        <w:pBdr>
          <w:top w:val="none" w:color="000000" w:sz="0" w:space="0"/>
          <w:left w:val="none" w:color="000000" w:sz="0" w:space="0"/>
          <w:bottom w:val="none" w:color="000000" w:sz="0" w:space="0"/>
          <w:right w:val="none" w:color="000000" w:sz="0" w:space="0"/>
        </w:pBdr>
        <w:spacing w:beforeAutospacing="0" w:afterAutospacing="0" w:line="360" w:lineRule="auto"/>
        <w:ind w:firstLine="480"/>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（2）磋商报价表</w:t>
      </w:r>
      <w:r>
        <w:rPr>
          <w:rFonts w:hint="default" w:ascii="Times New Roman" w:hAnsi="Times New Roman" w:eastAsia="宋体" w:cs="Times New Roman"/>
          <w:color w:val="auto"/>
          <w:sz w:val="21"/>
          <w:szCs w:val="21"/>
          <w:highlight w:val="none"/>
          <w:lang w:eastAsia="zh-CN"/>
        </w:rPr>
        <w:t>、</w:t>
      </w:r>
      <w:r>
        <w:rPr>
          <w:rFonts w:hint="default" w:ascii="Times New Roman" w:hAnsi="Times New Roman" w:eastAsia="宋体" w:cs="Times New Roman"/>
          <w:color w:val="auto"/>
          <w:sz w:val="21"/>
          <w:szCs w:val="21"/>
          <w:highlight w:val="none"/>
          <w:lang w:val="en-US" w:eastAsia="zh-CN"/>
        </w:rPr>
        <w:t>分项价格表</w:t>
      </w:r>
      <w:r>
        <w:rPr>
          <w:rFonts w:hint="default" w:ascii="Times New Roman" w:hAnsi="Times New Roman" w:eastAsia="宋体" w:cs="Times New Roman"/>
          <w:color w:val="auto"/>
          <w:sz w:val="21"/>
          <w:szCs w:val="21"/>
          <w:highlight w:val="none"/>
        </w:rPr>
        <w:t>；</w:t>
      </w:r>
    </w:p>
    <w:p w14:paraId="5E9BF98F">
      <w:pPr>
        <w:keepNext w:val="0"/>
        <w:keepLines w:val="0"/>
        <w:pageBreakBefore w:val="0"/>
        <w:pBdr>
          <w:top w:val="none" w:color="000000" w:sz="0" w:space="0"/>
          <w:left w:val="none" w:color="000000" w:sz="0" w:space="0"/>
          <w:bottom w:val="none" w:color="000000" w:sz="0" w:space="0"/>
          <w:right w:val="none" w:color="000000" w:sz="0" w:space="0"/>
        </w:pBdr>
        <w:spacing w:beforeAutospacing="0" w:afterAutospacing="0" w:line="360" w:lineRule="auto"/>
        <w:ind w:firstLine="480"/>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（3）商务要求响应及偏离表，技术要求响应及偏离表； </w:t>
      </w:r>
    </w:p>
    <w:p w14:paraId="550BAAFF">
      <w:pPr>
        <w:keepNext w:val="0"/>
        <w:keepLines w:val="0"/>
        <w:pageBreakBefore w:val="0"/>
        <w:pBdr>
          <w:top w:val="none" w:color="000000" w:sz="0" w:space="0"/>
          <w:left w:val="none" w:color="000000" w:sz="0" w:space="0"/>
          <w:bottom w:val="none" w:color="000000" w:sz="0" w:space="0"/>
          <w:right w:val="none" w:color="000000" w:sz="0" w:space="0"/>
        </w:pBdr>
        <w:spacing w:beforeAutospacing="0" w:afterAutospacing="0" w:line="360" w:lineRule="auto"/>
        <w:ind w:firstLine="480"/>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w:t>
      </w:r>
      <w:r>
        <w:rPr>
          <w:rFonts w:hint="default" w:ascii="Times New Roman" w:hAnsi="Times New Roman" w:eastAsia="宋体" w:cs="Times New Roman"/>
          <w:color w:val="auto"/>
          <w:sz w:val="21"/>
          <w:szCs w:val="21"/>
          <w:highlight w:val="none"/>
          <w:lang w:val="en-US" w:eastAsia="zh-CN"/>
        </w:rPr>
        <w:t>4</w:t>
      </w:r>
      <w:r>
        <w:rPr>
          <w:rFonts w:hint="default" w:ascii="Times New Roman" w:hAnsi="Times New Roman" w:eastAsia="宋体" w:cs="Times New Roman"/>
          <w:color w:val="auto"/>
          <w:sz w:val="21"/>
          <w:szCs w:val="21"/>
          <w:highlight w:val="none"/>
        </w:rPr>
        <w:t>）根据项目采购需求和评审方法以及评审标准，应当提供的用于评审的其他文件和证明资料；</w:t>
      </w:r>
    </w:p>
    <w:p w14:paraId="39DAE57C">
      <w:pPr>
        <w:keepNext w:val="0"/>
        <w:keepLines w:val="0"/>
        <w:pageBreakBefore w:val="0"/>
        <w:pBdr>
          <w:top w:val="none" w:color="000000" w:sz="0" w:space="0"/>
          <w:left w:val="none" w:color="000000" w:sz="0" w:space="0"/>
          <w:bottom w:val="none" w:color="000000" w:sz="0" w:space="0"/>
          <w:right w:val="none" w:color="000000" w:sz="0" w:space="0"/>
        </w:pBdr>
        <w:spacing w:beforeAutospacing="0" w:afterAutospacing="0" w:line="360" w:lineRule="auto"/>
        <w:ind w:firstLine="480"/>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w:t>
      </w:r>
      <w:r>
        <w:rPr>
          <w:rFonts w:hint="default" w:ascii="Times New Roman" w:hAnsi="Times New Roman" w:eastAsia="宋体" w:cs="Times New Roman"/>
          <w:color w:val="auto"/>
          <w:sz w:val="21"/>
          <w:szCs w:val="21"/>
          <w:highlight w:val="none"/>
          <w:lang w:val="en-US" w:eastAsia="zh-CN"/>
        </w:rPr>
        <w:t>5</w:t>
      </w:r>
      <w:r>
        <w:rPr>
          <w:rFonts w:hint="default" w:ascii="Times New Roman" w:hAnsi="Times New Roman" w:eastAsia="宋体" w:cs="Times New Roman"/>
          <w:color w:val="auto"/>
          <w:sz w:val="21"/>
          <w:szCs w:val="21"/>
          <w:highlight w:val="none"/>
        </w:rPr>
        <w:t>）磋商文件需要的其他资料及供应商认为需要提供的其他内容；</w:t>
      </w:r>
    </w:p>
    <w:p w14:paraId="1D687B74">
      <w:pPr>
        <w:keepNext w:val="0"/>
        <w:keepLines w:val="0"/>
        <w:pageBreakBefore w:val="0"/>
        <w:pBdr>
          <w:top w:val="none" w:color="000000" w:sz="0" w:space="0"/>
          <w:left w:val="none" w:color="000000" w:sz="0" w:space="0"/>
          <w:bottom w:val="none" w:color="000000" w:sz="0" w:space="0"/>
          <w:right w:val="none" w:color="000000" w:sz="0" w:space="0"/>
        </w:pBdr>
        <w:spacing w:beforeAutospacing="0" w:afterAutospacing="0" w:line="360" w:lineRule="auto"/>
        <w:ind w:firstLine="420"/>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2.3如标书制作工具中格式和内容与“江苏政府采购网”发布的磋商文件不一致，请以“江苏政府采购网”发布的磋商文件为准。</w:t>
      </w:r>
    </w:p>
    <w:p w14:paraId="7629037A">
      <w:pPr>
        <w:keepNext w:val="0"/>
        <w:keepLines w:val="0"/>
        <w:pageBreakBefore w:val="0"/>
        <w:pBdr>
          <w:top w:val="none" w:color="000000" w:sz="0" w:space="0"/>
          <w:left w:val="none" w:color="000000" w:sz="0" w:space="0"/>
          <w:bottom w:val="none" w:color="000000" w:sz="0" w:space="0"/>
          <w:right w:val="none" w:color="000000" w:sz="0" w:space="0"/>
        </w:pBdr>
        <w:spacing w:beforeAutospacing="0" w:afterAutospacing="0" w:line="360" w:lineRule="auto"/>
        <w:ind w:firstLine="422"/>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3.磋商响应有效期</w:t>
      </w:r>
    </w:p>
    <w:p w14:paraId="32E8E32F">
      <w:pPr>
        <w:keepNext w:val="0"/>
        <w:keepLines w:val="0"/>
        <w:pageBreakBefore w:val="0"/>
        <w:pBdr>
          <w:top w:val="none" w:color="000000" w:sz="0" w:space="0"/>
          <w:left w:val="none" w:color="000000" w:sz="0" w:space="0"/>
          <w:bottom w:val="none" w:color="000000" w:sz="0" w:space="0"/>
          <w:right w:val="none" w:color="000000" w:sz="0" w:space="0"/>
        </w:pBdr>
        <w:spacing w:beforeAutospacing="0" w:afterAutospacing="0" w:line="360" w:lineRule="auto"/>
        <w:ind w:firstLine="422"/>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3.1磋商响应有效期为采购文件规定的响应文件提交截止时间后六十（60）天。磋商响应有效期比规定短的将被视为非实质性响应而予以拒绝。</w:t>
      </w:r>
    </w:p>
    <w:p w14:paraId="502DDD06">
      <w:pPr>
        <w:keepNext w:val="0"/>
        <w:keepLines w:val="0"/>
        <w:pageBreakBefore w:val="0"/>
        <w:pBdr>
          <w:top w:val="none" w:color="000000" w:sz="0" w:space="0"/>
          <w:left w:val="none" w:color="000000" w:sz="0" w:space="0"/>
          <w:bottom w:val="none" w:color="000000" w:sz="0" w:space="0"/>
          <w:right w:val="none" w:color="000000" w:sz="0" w:space="0"/>
        </w:pBdr>
        <w:spacing w:beforeAutospacing="0" w:afterAutospacing="0" w:line="360" w:lineRule="auto"/>
        <w:ind w:firstLine="422"/>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4.磋商响应有效期的延长</w:t>
      </w:r>
    </w:p>
    <w:p w14:paraId="06EA4088">
      <w:pPr>
        <w:keepNext w:val="0"/>
        <w:keepLines w:val="0"/>
        <w:pageBreakBefore w:val="0"/>
        <w:pBdr>
          <w:top w:val="none" w:color="000000" w:sz="0" w:space="0"/>
          <w:left w:val="none" w:color="000000" w:sz="0" w:space="0"/>
          <w:bottom w:val="none" w:color="000000" w:sz="0" w:space="0"/>
          <w:right w:val="none" w:color="000000" w:sz="0" w:space="0"/>
        </w:pBdr>
        <w:spacing w:beforeAutospacing="0" w:afterAutospacing="0" w:line="360" w:lineRule="auto"/>
        <w:ind w:firstLine="422"/>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4.1在特殊情况下，采购人或采购代理机构于原磋商响应有效期满之前，可向磋商供应商提出延长磋商响应有效期的要求。这种要求与答复均应采用书面形式。供应商可以拒绝采购人或采购代理机构的这一要求而放弃磋商响应，同意延长磋商响应有效期的供应商既不能要求也不允许修改其响应文件。受磋商响应有效期约束的所有权利与义务均延长至新的有效期。</w:t>
      </w:r>
    </w:p>
    <w:p w14:paraId="43765B05">
      <w:pPr>
        <w:keepNext w:val="0"/>
        <w:keepLines w:val="0"/>
        <w:pageBreakBefore w:val="0"/>
        <w:pBdr>
          <w:top w:val="none" w:color="000000" w:sz="0" w:space="0"/>
          <w:left w:val="none" w:color="000000" w:sz="0" w:space="0"/>
          <w:bottom w:val="none" w:color="000000" w:sz="0" w:space="0"/>
          <w:right w:val="none" w:color="000000" w:sz="0" w:space="0"/>
        </w:pBdr>
        <w:spacing w:beforeAutospacing="0" w:afterAutospacing="0" w:line="360" w:lineRule="auto"/>
        <w:ind w:firstLine="420"/>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5、磋商响应报价</w:t>
      </w:r>
    </w:p>
    <w:p w14:paraId="32B60490">
      <w:pPr>
        <w:keepNext w:val="0"/>
        <w:keepLines w:val="0"/>
        <w:pageBreakBefore w:val="0"/>
        <w:pBdr>
          <w:top w:val="none" w:color="000000" w:sz="0" w:space="0"/>
          <w:left w:val="none" w:color="000000" w:sz="0" w:space="0"/>
          <w:bottom w:val="none" w:color="000000" w:sz="0" w:space="0"/>
          <w:right w:val="none" w:color="000000" w:sz="0" w:space="0"/>
        </w:pBdr>
        <w:spacing w:beforeAutospacing="0" w:afterAutospacing="0" w:line="360" w:lineRule="auto"/>
        <w:ind w:firstLine="420"/>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5.1每项产品或服务只允许有一个报价，任何有选择的报价将不予接受，磋商文件中另有规定的按规定执行。</w:t>
      </w:r>
    </w:p>
    <w:p w14:paraId="20A57E73">
      <w:pPr>
        <w:keepNext w:val="0"/>
        <w:keepLines w:val="0"/>
        <w:pageBreakBefore w:val="0"/>
        <w:pBdr>
          <w:top w:val="none" w:color="000000" w:sz="0" w:space="0"/>
          <w:left w:val="none" w:color="000000" w:sz="0" w:space="0"/>
          <w:bottom w:val="none" w:color="000000" w:sz="0" w:space="0"/>
          <w:right w:val="none" w:color="000000" w:sz="0" w:space="0"/>
        </w:pBdr>
        <w:spacing w:beforeAutospacing="0" w:afterAutospacing="0" w:line="360" w:lineRule="auto"/>
        <w:ind w:firstLine="420"/>
        <w:rPr>
          <w:rFonts w:hint="default" w:ascii="Times New Roman" w:hAnsi="Times New Roman" w:eastAsia="宋体" w:cs="Times New Roman"/>
          <w:b/>
          <w:color w:val="auto"/>
          <w:sz w:val="21"/>
          <w:szCs w:val="21"/>
          <w:highlight w:val="none"/>
        </w:rPr>
      </w:pPr>
      <w:r>
        <w:rPr>
          <w:rFonts w:hint="default" w:ascii="Times New Roman" w:hAnsi="Times New Roman" w:eastAsia="宋体" w:cs="Times New Roman"/>
          <w:color w:val="auto"/>
          <w:sz w:val="21"/>
          <w:szCs w:val="21"/>
          <w:highlight w:val="none"/>
        </w:rPr>
        <w:t>供应商的最后报价明显低于其他供应商最后报价，使得其报价可能低于其个别成本的，磋商小组有权要求该供应商作出书面说明并提供相关证明材料。</w:t>
      </w:r>
      <w:r>
        <w:rPr>
          <w:rFonts w:hint="default" w:ascii="Times New Roman" w:hAnsi="Times New Roman" w:eastAsia="宋体" w:cs="Times New Roman"/>
          <w:b/>
          <w:color w:val="auto"/>
          <w:sz w:val="21"/>
          <w:szCs w:val="21"/>
          <w:highlight w:val="none"/>
        </w:rPr>
        <w:t>供应商不能合理说明或者不能提供相关证明材料的，作无效响应处理。</w:t>
      </w:r>
    </w:p>
    <w:p w14:paraId="693FBE58">
      <w:pPr>
        <w:spacing w:line="332" w:lineRule="auto"/>
        <w:ind w:firstLine="462"/>
        <w:rPr>
          <w:rFonts w:hint="default" w:ascii="Times New Roman" w:hAnsi="Times New Roman" w:cs="Times New Roman"/>
          <w:b/>
          <w:bCs/>
          <w:color w:val="auto"/>
          <w:sz w:val="23"/>
          <w:szCs w:val="23"/>
          <w:highlight w:val="none"/>
          <w:lang w:val="en-US" w:eastAsia="zh-CN"/>
        </w:rPr>
      </w:pPr>
      <w:r>
        <w:rPr>
          <w:rFonts w:hint="default" w:ascii="Times New Roman" w:hAnsi="Times New Roman" w:cs="Times New Roman"/>
          <w:b/>
          <w:bCs/>
          <w:color w:val="auto"/>
          <w:sz w:val="23"/>
          <w:szCs w:val="23"/>
          <w:highlight w:val="none"/>
          <w:lang w:val="en-US" w:eastAsia="zh-CN"/>
        </w:rPr>
        <w:t>5.2政府采购异常低价审查</w:t>
      </w:r>
    </w:p>
    <w:p w14:paraId="35866314">
      <w:pPr>
        <w:pStyle w:val="212"/>
        <w:keepNext w:val="0"/>
        <w:keepLines w:val="0"/>
        <w:pageBreakBefore w:val="0"/>
        <w:spacing w:after="0" w:line="360" w:lineRule="auto"/>
        <w:ind w:firstLine="480"/>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lang w:val="en-US" w:eastAsia="zh-CN"/>
        </w:rPr>
        <w:t>(一）</w:t>
      </w:r>
      <w:r>
        <w:rPr>
          <w:rFonts w:hint="default" w:ascii="Times New Roman" w:hAnsi="Times New Roman" w:eastAsia="宋体" w:cs="Times New Roman"/>
          <w:color w:val="auto"/>
          <w:sz w:val="21"/>
          <w:szCs w:val="21"/>
          <w:highlight w:val="none"/>
        </w:rPr>
        <w:t>评审过程中出现下列情形之一的，评审委员会应当启动异常低价投标（响应）审查程序：</w:t>
      </w:r>
    </w:p>
    <w:p w14:paraId="4431F390">
      <w:pPr>
        <w:pStyle w:val="212"/>
        <w:keepNext w:val="0"/>
        <w:keepLines w:val="0"/>
        <w:pageBreakBefore w:val="0"/>
        <w:spacing w:after="0" w:line="360" w:lineRule="auto"/>
        <w:ind w:firstLine="480"/>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1.投标(响应)报价低于全部通过符合性审查供应商投标(响应)报价平均值50%的，即投标(响应)报价&lt;全部通过符合性审查供应商投标(响应)报价平均值×50%；</w:t>
      </w:r>
    </w:p>
    <w:p w14:paraId="4DD6C832">
      <w:pPr>
        <w:pStyle w:val="212"/>
        <w:keepNext w:val="0"/>
        <w:keepLines w:val="0"/>
        <w:pageBreakBefore w:val="0"/>
        <w:spacing w:after="0" w:line="360" w:lineRule="auto"/>
        <w:ind w:firstLine="480"/>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2.投标(响应)报价低于通过符合性审查的次低报价供应商投标(响应)报价50%的，即投标(响应)报价&lt;通过符合性审查的次低报价供应商</w:t>
      </w:r>
      <w:r>
        <w:rPr>
          <w:rFonts w:hint="default" w:ascii="Times New Roman" w:hAnsi="Times New Roman" w:eastAsia="宋体" w:cs="Times New Roman"/>
          <w:color w:val="auto"/>
          <w:sz w:val="21"/>
          <w:szCs w:val="21"/>
          <w:highlight w:val="none"/>
          <w:lang w:eastAsia="zh-CN"/>
        </w:rPr>
        <w:t>投标</w:t>
      </w:r>
      <w:r>
        <w:rPr>
          <w:rFonts w:hint="default" w:ascii="Times New Roman" w:hAnsi="Times New Roman" w:eastAsia="宋体" w:cs="Times New Roman"/>
          <w:color w:val="auto"/>
          <w:sz w:val="21"/>
          <w:szCs w:val="21"/>
          <w:highlight w:val="none"/>
        </w:rPr>
        <w:t>(响应)报价×50%；</w:t>
      </w:r>
    </w:p>
    <w:p w14:paraId="45221F0E">
      <w:pPr>
        <w:pStyle w:val="212"/>
        <w:keepNext w:val="0"/>
        <w:keepLines w:val="0"/>
        <w:pageBreakBefore w:val="0"/>
        <w:spacing w:after="0" w:line="360" w:lineRule="auto"/>
        <w:ind w:firstLine="480"/>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3.投标(响应)报价低于采购项目最高限价45%的，即投标(响应)报价&lt;采购项目最高限价×45%；</w:t>
      </w:r>
    </w:p>
    <w:p w14:paraId="78B7F8F8">
      <w:pPr>
        <w:pStyle w:val="212"/>
        <w:keepNext w:val="0"/>
        <w:keepLines w:val="0"/>
        <w:pageBreakBefore w:val="0"/>
        <w:spacing w:after="0" w:line="360" w:lineRule="auto"/>
        <w:ind w:firstLine="480"/>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4.评审委员会基于专业判断，认为供应商报价过低，有可能影响产品质量或者不能诚信履约的其他情形。</w:t>
      </w:r>
    </w:p>
    <w:p w14:paraId="3320522A">
      <w:pPr>
        <w:pStyle w:val="212"/>
        <w:keepNext w:val="0"/>
        <w:keepLines w:val="0"/>
        <w:pageBreakBefore w:val="0"/>
        <w:spacing w:after="0" w:line="360" w:lineRule="auto"/>
        <w:ind w:firstLine="480"/>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二）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p>
    <w:p w14:paraId="4859242B">
      <w:pPr>
        <w:keepNext w:val="0"/>
        <w:keepLines w:val="0"/>
        <w:pageBreakBefore w:val="0"/>
        <w:pBdr>
          <w:top w:val="none" w:color="000000" w:sz="0" w:space="0"/>
          <w:left w:val="none" w:color="000000" w:sz="0" w:space="0"/>
          <w:bottom w:val="none" w:color="000000" w:sz="0" w:space="0"/>
          <w:right w:val="none" w:color="000000" w:sz="0" w:space="0"/>
        </w:pBdr>
        <w:spacing w:beforeAutospacing="0" w:afterAutospacing="0" w:line="360" w:lineRule="auto"/>
        <w:ind w:firstLine="420"/>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5.2标的物</w:t>
      </w:r>
    </w:p>
    <w:p w14:paraId="08A97252">
      <w:pPr>
        <w:keepNext w:val="0"/>
        <w:keepLines w:val="0"/>
        <w:pageBreakBefore w:val="0"/>
        <w:pBdr>
          <w:top w:val="none" w:color="000000" w:sz="0" w:space="0"/>
          <w:left w:val="none" w:color="000000" w:sz="0" w:space="0"/>
          <w:bottom w:val="none" w:color="000000" w:sz="0" w:space="0"/>
          <w:right w:val="none" w:color="000000" w:sz="0" w:space="0"/>
        </w:pBdr>
        <w:spacing w:beforeAutospacing="0" w:afterAutospacing="0" w:line="360" w:lineRule="auto"/>
        <w:ind w:firstLine="420"/>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详见项目需求。</w:t>
      </w:r>
    </w:p>
    <w:p w14:paraId="7C755291">
      <w:pPr>
        <w:keepNext w:val="0"/>
        <w:keepLines w:val="0"/>
        <w:pageBreakBefore w:val="0"/>
        <w:pBdr>
          <w:top w:val="none" w:color="000000" w:sz="0" w:space="0"/>
          <w:left w:val="none" w:color="000000" w:sz="0" w:space="0"/>
          <w:bottom w:val="none" w:color="000000" w:sz="0" w:space="0"/>
          <w:right w:val="none" w:color="000000" w:sz="0" w:space="0"/>
        </w:pBdr>
        <w:spacing w:beforeAutospacing="0" w:afterAutospacing="0" w:line="360" w:lineRule="auto"/>
        <w:ind w:firstLine="420"/>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5.3有关费用的处理</w:t>
      </w:r>
    </w:p>
    <w:p w14:paraId="2B1C61D4">
      <w:pPr>
        <w:keepNext w:val="0"/>
        <w:keepLines w:val="0"/>
        <w:pageBreakBefore w:val="0"/>
        <w:pBdr>
          <w:top w:val="none" w:color="000000" w:sz="0" w:space="0"/>
          <w:left w:val="none" w:color="000000" w:sz="0" w:space="0"/>
          <w:bottom w:val="none" w:color="000000" w:sz="0" w:space="0"/>
          <w:right w:val="none" w:color="000000" w:sz="0" w:space="0"/>
        </w:pBdr>
        <w:spacing w:beforeAutospacing="0" w:afterAutospacing="0" w:line="360" w:lineRule="auto"/>
        <w:ind w:firstLine="420"/>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本次采购，磋商供应商的总报价应包括为完成本项目发生的所有费用，本磋商文件中另有规定的除外。磋商文件未列明，而磋商供应商认为必需的费用也须列入报价。</w:t>
      </w:r>
    </w:p>
    <w:p w14:paraId="65E26C89">
      <w:pPr>
        <w:keepNext w:val="0"/>
        <w:keepLines w:val="0"/>
        <w:pageBreakBefore w:val="0"/>
        <w:pBdr>
          <w:top w:val="none" w:color="000000" w:sz="0" w:space="0"/>
          <w:left w:val="none" w:color="000000" w:sz="0" w:space="0"/>
          <w:bottom w:val="none" w:color="000000" w:sz="0" w:space="0"/>
          <w:right w:val="none" w:color="000000" w:sz="0" w:space="0"/>
        </w:pBdr>
        <w:spacing w:beforeAutospacing="0" w:afterAutospacing="0" w:line="360" w:lineRule="auto"/>
        <w:ind w:firstLine="420"/>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5.4报价采用的货币</w:t>
      </w:r>
    </w:p>
    <w:p w14:paraId="113C558A">
      <w:pPr>
        <w:keepNext w:val="0"/>
        <w:keepLines w:val="0"/>
        <w:pageBreakBefore w:val="0"/>
        <w:pBdr>
          <w:top w:val="none" w:color="000000" w:sz="0" w:space="0"/>
          <w:left w:val="none" w:color="000000" w:sz="0" w:space="0"/>
          <w:bottom w:val="none" w:color="000000" w:sz="0" w:space="0"/>
          <w:right w:val="none" w:color="000000" w:sz="0" w:space="0"/>
        </w:pBdr>
        <w:spacing w:beforeAutospacing="0" w:afterAutospacing="0" w:line="360" w:lineRule="auto"/>
        <w:ind w:firstLine="420"/>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响应文件中的单价和总价，无特殊规定的采用人民币报价，以元为单位标注。磋商文件中另有规定的，按规定执行。</w:t>
      </w:r>
    </w:p>
    <w:p w14:paraId="0FCB2894">
      <w:pPr>
        <w:keepNext w:val="0"/>
        <w:keepLines w:val="0"/>
        <w:pageBreakBefore w:val="0"/>
        <w:pBdr>
          <w:top w:val="none" w:color="000000" w:sz="0" w:space="0"/>
          <w:left w:val="none" w:color="000000" w:sz="0" w:space="0"/>
          <w:bottom w:val="none" w:color="000000" w:sz="0" w:space="0"/>
          <w:right w:val="none" w:color="000000" w:sz="0" w:space="0"/>
        </w:pBdr>
        <w:spacing w:beforeAutospacing="0" w:afterAutospacing="0" w:line="360" w:lineRule="auto"/>
        <w:ind w:left="480"/>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6、磋商保证金：无。</w:t>
      </w:r>
    </w:p>
    <w:p w14:paraId="547E3FC2">
      <w:pPr>
        <w:pStyle w:val="3"/>
        <w:spacing w:line="360" w:lineRule="auto"/>
        <w:rPr>
          <w:rFonts w:hint="default" w:ascii="Times New Roman" w:hAnsi="Times New Roman" w:cs="Times New Roman"/>
          <w:color w:val="auto"/>
          <w:highlight w:val="none"/>
        </w:rPr>
      </w:pPr>
      <w:r>
        <w:rPr>
          <w:rFonts w:hint="default" w:ascii="Times New Roman" w:hAnsi="Times New Roman" w:cs="Times New Roman"/>
          <w:color w:val="auto"/>
          <w:highlight w:val="none"/>
        </w:rPr>
        <w:t>四、响应文件的提交</w:t>
      </w:r>
    </w:p>
    <w:p w14:paraId="41B1DBBD">
      <w:pPr>
        <w:keepNext w:val="0"/>
        <w:keepLines w:val="0"/>
        <w:pageBreakBefore w:val="0"/>
        <w:pBdr>
          <w:top w:val="none" w:color="000000" w:sz="0" w:space="0"/>
          <w:left w:val="none" w:color="000000" w:sz="0" w:space="0"/>
          <w:bottom w:val="none" w:color="000000" w:sz="0" w:space="0"/>
          <w:right w:val="none" w:color="000000" w:sz="0" w:space="0"/>
        </w:pBdr>
        <w:spacing w:beforeAutospacing="0" w:afterAutospacing="0" w:line="360" w:lineRule="auto"/>
        <w:ind w:firstLine="420"/>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1.响应文件的提交</w:t>
      </w:r>
    </w:p>
    <w:p w14:paraId="5C70429A">
      <w:pPr>
        <w:keepNext w:val="0"/>
        <w:keepLines w:val="0"/>
        <w:pageBreakBefore w:val="0"/>
        <w:pBdr>
          <w:top w:val="none" w:color="000000" w:sz="0" w:space="0"/>
          <w:left w:val="none" w:color="000000" w:sz="0" w:space="0"/>
          <w:bottom w:val="none" w:color="000000" w:sz="0" w:space="0"/>
          <w:right w:val="none" w:color="000000" w:sz="0" w:space="0"/>
        </w:pBdr>
        <w:spacing w:beforeAutospacing="0" w:afterAutospacing="0" w:line="360" w:lineRule="auto"/>
        <w:ind w:firstLine="420"/>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线上提交与接收地点：供应商应当通过“苏采云”系统提交数据电文形式的响应文件（即电子投标），“苏采云”系统自动接收。</w:t>
      </w:r>
    </w:p>
    <w:p w14:paraId="631C5AB4">
      <w:pPr>
        <w:keepNext w:val="0"/>
        <w:keepLines w:val="0"/>
        <w:pageBreakBefore w:val="0"/>
        <w:pBdr>
          <w:top w:val="none" w:color="000000" w:sz="0" w:space="0"/>
          <w:left w:val="none" w:color="000000" w:sz="0" w:space="0"/>
          <w:bottom w:val="none" w:color="000000" w:sz="0" w:space="0"/>
          <w:right w:val="none" w:color="000000" w:sz="0" w:space="0"/>
        </w:pBdr>
        <w:spacing w:beforeAutospacing="0" w:afterAutospacing="0" w:line="360" w:lineRule="auto"/>
        <w:ind w:firstLine="420"/>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说明：电子响应文件应由其法定代表人或被授权人在规定的网上投标时间内，凭CA证书登录“苏采云”系统在线编制响应文件（电子数据），并在投标截止时间之前上传磋商响应文件。供应商应在达到开标时间后，使用CA数字证书解密各自磋商响应文件。</w:t>
      </w:r>
    </w:p>
    <w:p w14:paraId="77F3DFA6">
      <w:pPr>
        <w:keepNext w:val="0"/>
        <w:keepLines w:val="0"/>
        <w:pageBreakBefore w:val="0"/>
        <w:pBdr>
          <w:top w:val="none" w:color="000000" w:sz="0" w:space="0"/>
          <w:left w:val="none" w:color="000000" w:sz="0" w:space="0"/>
          <w:bottom w:val="none" w:color="000000" w:sz="0" w:space="0"/>
          <w:right w:val="none" w:color="000000" w:sz="0" w:space="0"/>
        </w:pBdr>
        <w:spacing w:beforeAutospacing="0" w:afterAutospacing="0" w:line="360" w:lineRule="auto"/>
        <w:ind w:firstLine="420"/>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2.提交响应文件截止日期</w:t>
      </w:r>
    </w:p>
    <w:p w14:paraId="5534D260">
      <w:pPr>
        <w:keepNext w:val="0"/>
        <w:keepLines w:val="0"/>
        <w:pageBreakBefore w:val="0"/>
        <w:pBdr>
          <w:top w:val="none" w:color="000000" w:sz="0" w:space="0"/>
          <w:left w:val="none" w:color="000000" w:sz="0" w:space="0"/>
          <w:bottom w:val="none" w:color="000000" w:sz="0" w:space="0"/>
          <w:right w:val="none" w:color="000000" w:sz="0" w:space="0"/>
        </w:pBdr>
        <w:spacing w:beforeAutospacing="0" w:afterAutospacing="0" w:line="360" w:lineRule="auto"/>
        <w:ind w:firstLine="420"/>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2.1供应商上传电子响应文件的时间不得迟于竞争性磋商公告中规定的响应文件提交截止时间。</w:t>
      </w:r>
    </w:p>
    <w:p w14:paraId="7E232D74">
      <w:pPr>
        <w:keepNext w:val="0"/>
        <w:keepLines w:val="0"/>
        <w:pageBreakBefore w:val="0"/>
        <w:pBdr>
          <w:top w:val="none" w:color="000000" w:sz="0" w:space="0"/>
          <w:left w:val="none" w:color="000000" w:sz="0" w:space="0"/>
          <w:bottom w:val="none" w:color="000000" w:sz="0" w:space="0"/>
          <w:right w:val="none" w:color="000000" w:sz="0" w:space="0"/>
        </w:pBdr>
        <w:spacing w:beforeAutospacing="0" w:afterAutospacing="0" w:line="360" w:lineRule="auto"/>
        <w:ind w:firstLine="420"/>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供应商应充分考虑网络环境、网络带宽等风险因素，如因供应商自身原因造成的电子响应文件上传不成功由供应商自行承担全部责任。</w:t>
      </w:r>
    </w:p>
    <w:p w14:paraId="740F9BAA">
      <w:pPr>
        <w:keepNext w:val="0"/>
        <w:keepLines w:val="0"/>
        <w:pageBreakBefore w:val="0"/>
        <w:pBdr>
          <w:top w:val="none" w:color="000000" w:sz="0" w:space="0"/>
          <w:left w:val="none" w:color="000000" w:sz="0" w:space="0"/>
          <w:bottom w:val="none" w:color="000000" w:sz="0" w:space="0"/>
          <w:right w:val="none" w:color="000000" w:sz="0" w:space="0"/>
        </w:pBdr>
        <w:spacing w:beforeAutospacing="0" w:afterAutospacing="0" w:line="360" w:lineRule="auto"/>
        <w:ind w:firstLine="420"/>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2.2采购人或采购代理机构可以按照规定，通过修改响应文件酌情延长响应文件提交截止日期，在此情况下，供应商的所有权利和义务以及供应商受限制的截止日期均应以延长后新的截止日期为准。</w:t>
      </w:r>
    </w:p>
    <w:p w14:paraId="08838EA4">
      <w:pPr>
        <w:keepNext w:val="0"/>
        <w:keepLines w:val="0"/>
        <w:pageBreakBefore w:val="0"/>
        <w:pBdr>
          <w:top w:val="none" w:color="000000" w:sz="0" w:space="0"/>
          <w:left w:val="none" w:color="000000" w:sz="0" w:space="0"/>
          <w:bottom w:val="none" w:color="000000" w:sz="0" w:space="0"/>
          <w:right w:val="none" w:color="000000" w:sz="0" w:space="0"/>
        </w:pBdr>
        <w:spacing w:beforeAutospacing="0" w:afterAutospacing="0" w:line="360" w:lineRule="auto"/>
        <w:ind w:firstLine="420"/>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3.响应文件的密封（加密）要求：</w:t>
      </w:r>
    </w:p>
    <w:p w14:paraId="1F3DD26B">
      <w:pPr>
        <w:keepNext w:val="0"/>
        <w:keepLines w:val="0"/>
        <w:pageBreakBefore w:val="0"/>
        <w:pBdr>
          <w:top w:val="none" w:color="000000" w:sz="0" w:space="0"/>
          <w:left w:val="none" w:color="000000" w:sz="0" w:space="0"/>
          <w:bottom w:val="none" w:color="000000" w:sz="0" w:space="0"/>
          <w:right w:val="none" w:color="000000" w:sz="0" w:space="0"/>
        </w:pBdr>
        <w:spacing w:beforeAutospacing="0" w:afterAutospacing="0" w:line="360" w:lineRule="auto"/>
        <w:ind w:firstLine="420"/>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3.1供应商应当按照采购文件和“苏采云”系统的要求编制并加密响应文件。本项目供应商须通过“苏采云”系统提供的政府采购客户端工具（使用“CA数字证书”）对其数据电文形式的响应文件加密。</w:t>
      </w:r>
    </w:p>
    <w:p w14:paraId="1760ECBE">
      <w:pPr>
        <w:keepNext w:val="0"/>
        <w:keepLines w:val="0"/>
        <w:pageBreakBefore w:val="0"/>
        <w:pBdr>
          <w:top w:val="none" w:color="000000" w:sz="0" w:space="0"/>
          <w:left w:val="none" w:color="000000" w:sz="0" w:space="0"/>
          <w:bottom w:val="none" w:color="000000" w:sz="0" w:space="0"/>
          <w:right w:val="none" w:color="000000" w:sz="0" w:space="0"/>
        </w:pBdr>
        <w:spacing w:beforeAutospacing="0" w:afterAutospacing="0" w:line="360" w:lineRule="auto"/>
        <w:ind w:firstLine="420"/>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3.2供应商须通过“苏采云”系统提供的政府采购客户端工具（使用“CA数字证书”）加盖电子签章。</w:t>
      </w:r>
    </w:p>
    <w:p w14:paraId="69952244">
      <w:pPr>
        <w:keepNext w:val="0"/>
        <w:keepLines w:val="0"/>
        <w:pageBreakBefore w:val="0"/>
        <w:pBdr>
          <w:top w:val="none" w:color="000000" w:sz="0" w:space="0"/>
          <w:left w:val="none" w:color="000000" w:sz="0" w:space="0"/>
          <w:bottom w:val="none" w:color="000000" w:sz="0" w:space="0"/>
          <w:right w:val="none" w:color="000000" w:sz="0" w:space="0"/>
        </w:pBdr>
        <w:spacing w:beforeAutospacing="0" w:afterAutospacing="0" w:line="360" w:lineRule="auto"/>
        <w:ind w:firstLine="420"/>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说明：供应商应使用CA数字证书以及自备的能够登录“苏采云”系统的电脑，在达到开标时间后，使用CA数字证书解密各自响应文件。</w:t>
      </w:r>
    </w:p>
    <w:p w14:paraId="59AB26A0">
      <w:pPr>
        <w:keepNext w:val="0"/>
        <w:keepLines w:val="0"/>
        <w:pageBreakBefore w:val="0"/>
        <w:pBdr>
          <w:top w:val="none" w:color="000000" w:sz="0" w:space="0"/>
          <w:left w:val="none" w:color="000000" w:sz="0" w:space="0"/>
          <w:bottom w:val="none" w:color="000000" w:sz="0" w:space="0"/>
          <w:right w:val="none" w:color="000000" w:sz="0" w:space="0"/>
        </w:pBdr>
        <w:spacing w:beforeAutospacing="0" w:afterAutospacing="0" w:line="360" w:lineRule="auto"/>
        <w:ind w:firstLine="420"/>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3.3供应商未按规定加密的响应文件，“苏采云”系统将拒收并提示。</w:t>
      </w:r>
    </w:p>
    <w:p w14:paraId="49DC24E6">
      <w:pPr>
        <w:keepNext w:val="0"/>
        <w:keepLines w:val="0"/>
        <w:pageBreakBefore w:val="0"/>
        <w:pBdr>
          <w:top w:val="none" w:color="000000" w:sz="0" w:space="0"/>
          <w:left w:val="none" w:color="000000" w:sz="0" w:space="0"/>
          <w:bottom w:val="none" w:color="000000" w:sz="0" w:space="0"/>
          <w:right w:val="none" w:color="000000" w:sz="0" w:space="0"/>
        </w:pBdr>
        <w:spacing w:beforeAutospacing="0" w:afterAutospacing="0" w:line="360" w:lineRule="auto"/>
        <w:ind w:firstLine="420"/>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4.响应文件的拒收</w:t>
      </w:r>
    </w:p>
    <w:p w14:paraId="579506FD">
      <w:pPr>
        <w:keepNext w:val="0"/>
        <w:keepLines w:val="0"/>
        <w:pageBreakBefore w:val="0"/>
        <w:pBdr>
          <w:top w:val="none" w:color="000000" w:sz="0" w:space="0"/>
          <w:left w:val="none" w:color="000000" w:sz="0" w:space="0"/>
          <w:bottom w:val="none" w:color="000000" w:sz="0" w:space="0"/>
          <w:right w:val="none" w:color="000000" w:sz="0" w:space="0"/>
        </w:pBdr>
        <w:spacing w:beforeAutospacing="0" w:afterAutospacing="0" w:line="360" w:lineRule="auto"/>
        <w:ind w:firstLine="420"/>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“苏采云”系统拒绝接收在规定的响应文件提交截止时间后上传的任何响应文件。</w:t>
      </w:r>
    </w:p>
    <w:p w14:paraId="08DAD463">
      <w:pPr>
        <w:keepNext w:val="0"/>
        <w:keepLines w:val="0"/>
        <w:pageBreakBefore w:val="0"/>
        <w:pBdr>
          <w:top w:val="none" w:color="000000" w:sz="0" w:space="0"/>
          <w:left w:val="none" w:color="000000" w:sz="0" w:space="0"/>
          <w:bottom w:val="none" w:color="000000" w:sz="0" w:space="0"/>
          <w:right w:val="none" w:color="000000" w:sz="0" w:space="0"/>
        </w:pBdr>
        <w:spacing w:beforeAutospacing="0" w:afterAutospacing="0" w:line="360" w:lineRule="auto"/>
        <w:ind w:firstLine="420"/>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5.响应文件的撤回和修改</w:t>
      </w:r>
    </w:p>
    <w:p w14:paraId="118B5B20">
      <w:pPr>
        <w:keepNext w:val="0"/>
        <w:keepLines w:val="0"/>
        <w:pageBreakBefore w:val="0"/>
        <w:pBdr>
          <w:top w:val="none" w:color="000000" w:sz="0" w:space="0"/>
          <w:left w:val="none" w:color="000000" w:sz="0" w:space="0"/>
          <w:bottom w:val="none" w:color="000000" w:sz="0" w:space="0"/>
          <w:right w:val="none" w:color="000000" w:sz="0" w:space="0"/>
        </w:pBdr>
        <w:spacing w:beforeAutospacing="0" w:afterAutospacing="0" w:line="360" w:lineRule="auto"/>
        <w:ind w:firstLine="420"/>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5.1响应文件的撤回</w:t>
      </w:r>
    </w:p>
    <w:p w14:paraId="2348D5EC">
      <w:pPr>
        <w:keepNext w:val="0"/>
        <w:keepLines w:val="0"/>
        <w:pageBreakBefore w:val="0"/>
        <w:pBdr>
          <w:top w:val="none" w:color="000000" w:sz="0" w:space="0"/>
          <w:left w:val="none" w:color="000000" w:sz="0" w:space="0"/>
          <w:bottom w:val="none" w:color="000000" w:sz="0" w:space="0"/>
          <w:right w:val="none" w:color="000000" w:sz="0" w:space="0"/>
        </w:pBdr>
        <w:spacing w:beforeAutospacing="0" w:afterAutospacing="0" w:line="360" w:lineRule="auto"/>
        <w:ind w:firstLine="420"/>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5.1.1电子响应文件的撤回</w:t>
      </w:r>
    </w:p>
    <w:p w14:paraId="27719167">
      <w:pPr>
        <w:keepNext w:val="0"/>
        <w:keepLines w:val="0"/>
        <w:pageBreakBefore w:val="0"/>
        <w:pBdr>
          <w:top w:val="none" w:color="000000" w:sz="0" w:space="0"/>
          <w:left w:val="none" w:color="000000" w:sz="0" w:space="0"/>
          <w:bottom w:val="none" w:color="000000" w:sz="0" w:space="0"/>
          <w:right w:val="none" w:color="000000" w:sz="0" w:space="0"/>
        </w:pBdr>
        <w:spacing w:beforeAutospacing="0" w:afterAutospacing="0" w:line="360" w:lineRule="auto"/>
        <w:ind w:firstLine="420"/>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供应商可在响应文件提交截止时间前，撤回其电子响应文件，具体操作方法见“苏采云”系统供应商操作手册。</w:t>
      </w:r>
    </w:p>
    <w:p w14:paraId="3E76077F">
      <w:pPr>
        <w:keepNext w:val="0"/>
        <w:keepLines w:val="0"/>
        <w:pageBreakBefore w:val="0"/>
        <w:pBdr>
          <w:top w:val="none" w:color="000000" w:sz="0" w:space="0"/>
          <w:left w:val="none" w:color="000000" w:sz="0" w:space="0"/>
          <w:bottom w:val="none" w:color="000000" w:sz="0" w:space="0"/>
          <w:right w:val="none" w:color="000000" w:sz="0" w:space="0"/>
        </w:pBdr>
        <w:spacing w:beforeAutospacing="0" w:afterAutospacing="0" w:line="360" w:lineRule="auto"/>
        <w:ind w:firstLine="420"/>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5.1.2供应商撤回电子响应文件，则认为其不再参与本项目竞争性磋商活动。</w:t>
      </w:r>
    </w:p>
    <w:p w14:paraId="5A70BA67">
      <w:pPr>
        <w:keepNext w:val="0"/>
        <w:keepLines w:val="0"/>
        <w:pageBreakBefore w:val="0"/>
        <w:pBdr>
          <w:top w:val="none" w:color="000000" w:sz="0" w:space="0"/>
          <w:left w:val="none" w:color="000000" w:sz="0" w:space="0"/>
          <w:bottom w:val="none" w:color="000000" w:sz="0" w:space="0"/>
          <w:right w:val="none" w:color="000000" w:sz="0" w:space="0"/>
        </w:pBdr>
        <w:spacing w:beforeAutospacing="0" w:afterAutospacing="0" w:line="360" w:lineRule="auto"/>
        <w:ind w:firstLine="420"/>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5.2响应文件的修改</w:t>
      </w:r>
    </w:p>
    <w:p w14:paraId="4678C98F">
      <w:pPr>
        <w:keepNext w:val="0"/>
        <w:keepLines w:val="0"/>
        <w:pageBreakBefore w:val="0"/>
        <w:pBdr>
          <w:top w:val="none" w:color="000000" w:sz="0" w:space="0"/>
          <w:left w:val="none" w:color="000000" w:sz="0" w:space="0"/>
          <w:bottom w:val="none" w:color="000000" w:sz="0" w:space="0"/>
          <w:right w:val="none" w:color="000000" w:sz="0" w:space="0"/>
        </w:pBdr>
        <w:spacing w:beforeAutospacing="0" w:afterAutospacing="0" w:line="360" w:lineRule="auto"/>
        <w:ind w:firstLine="420"/>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供应商可在响应文件提交截止时间前，对其电子响应文件进行修改。具体操作方法见“苏采云”系统供应商操作手册。</w:t>
      </w:r>
    </w:p>
    <w:p w14:paraId="2A13E2F9">
      <w:pPr>
        <w:keepNext w:val="0"/>
        <w:keepLines w:val="0"/>
        <w:pageBreakBefore w:val="0"/>
        <w:pBdr>
          <w:top w:val="none" w:color="000000" w:sz="0" w:space="0"/>
          <w:left w:val="none" w:color="000000" w:sz="0" w:space="0"/>
          <w:bottom w:val="none" w:color="000000" w:sz="0" w:space="0"/>
          <w:right w:val="none" w:color="000000" w:sz="0" w:space="0"/>
        </w:pBdr>
        <w:spacing w:beforeAutospacing="0" w:afterAutospacing="0" w:line="360" w:lineRule="auto"/>
        <w:ind w:firstLine="420"/>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5.3在响应文件提交截止时间之后，供应商不得对其电子响应文件作任何修改。</w:t>
      </w:r>
    </w:p>
    <w:p w14:paraId="498E0676">
      <w:pPr>
        <w:keepNext w:val="0"/>
        <w:keepLines w:val="0"/>
        <w:pageBreakBefore w:val="0"/>
        <w:pBdr>
          <w:top w:val="none" w:color="000000" w:sz="0" w:space="0"/>
          <w:left w:val="none" w:color="000000" w:sz="0" w:space="0"/>
          <w:bottom w:val="none" w:color="000000" w:sz="0" w:space="0"/>
          <w:right w:val="none" w:color="000000" w:sz="0" w:space="0"/>
        </w:pBdr>
        <w:spacing w:beforeAutospacing="0" w:afterAutospacing="0" w:line="360" w:lineRule="auto"/>
        <w:ind w:firstLine="420"/>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5.4在响应文件提交截止时间至磋商文件中规定的磋商响应有效期满之间的这段时间内，供应商不得撤回其响应文件。</w:t>
      </w:r>
    </w:p>
    <w:p w14:paraId="57C409F9">
      <w:pPr>
        <w:pStyle w:val="3"/>
        <w:spacing w:line="360" w:lineRule="auto"/>
        <w:rPr>
          <w:rFonts w:hint="default" w:ascii="Times New Roman" w:hAnsi="Times New Roman" w:cs="Times New Roman"/>
          <w:color w:val="auto"/>
          <w:highlight w:val="none"/>
        </w:rPr>
      </w:pPr>
      <w:r>
        <w:rPr>
          <w:rFonts w:hint="default" w:ascii="Times New Roman" w:hAnsi="Times New Roman" w:cs="Times New Roman"/>
          <w:color w:val="auto"/>
          <w:highlight w:val="none"/>
        </w:rPr>
        <w:t>五、磋商与评审</w:t>
      </w:r>
    </w:p>
    <w:p w14:paraId="139B6960">
      <w:pPr>
        <w:keepNext w:val="0"/>
        <w:keepLines w:val="0"/>
        <w:pageBreakBefore w:val="0"/>
        <w:widowControl w:val="0"/>
        <w:spacing w:line="360" w:lineRule="auto"/>
        <w:ind w:firstLine="480"/>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1.磋商仪式</w:t>
      </w:r>
    </w:p>
    <w:p w14:paraId="1608E9AD">
      <w:pPr>
        <w:keepNext w:val="0"/>
        <w:keepLines w:val="0"/>
        <w:pageBreakBefore w:val="0"/>
        <w:widowControl w:val="0"/>
        <w:spacing w:line="360" w:lineRule="auto"/>
        <w:ind w:firstLine="480"/>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1.1采购人或采购代理机构将在磋商公告中规定的时间和地点组织磋商开始仪式。</w:t>
      </w:r>
    </w:p>
    <w:p w14:paraId="1FDB9E3B">
      <w:pPr>
        <w:keepNext w:val="0"/>
        <w:keepLines w:val="0"/>
        <w:pageBreakBefore w:val="0"/>
        <w:widowControl w:val="0"/>
        <w:spacing w:line="360" w:lineRule="auto"/>
        <w:ind w:firstLine="482"/>
        <w:rPr>
          <w:rFonts w:hint="default" w:ascii="Times New Roman" w:hAnsi="Times New Roman" w:eastAsia="宋体" w:cs="Times New Roman"/>
          <w:b/>
          <w:color w:val="auto"/>
          <w:szCs w:val="21"/>
          <w:highlight w:val="none"/>
        </w:rPr>
      </w:pPr>
      <w:r>
        <w:rPr>
          <w:rFonts w:hint="default" w:ascii="Times New Roman" w:hAnsi="Times New Roman" w:eastAsia="宋体" w:cs="Times New Roman"/>
          <w:b/>
          <w:color w:val="auto"/>
          <w:szCs w:val="21"/>
          <w:highlight w:val="none"/>
        </w:rPr>
        <w:t>开标当天各供应商及时登录不见面开标大厅，响应文件提交截止时间后，采购代理机构将在系统内公布供应商名单，然后通过开标会议区发出响应文件解密的指令，供应商按规定时间自行实施远程解密，供应商解密限定在开标后</w:t>
      </w:r>
      <w:r>
        <w:rPr>
          <w:rFonts w:hint="default" w:ascii="Times New Roman" w:hAnsi="Times New Roman" w:eastAsia="宋体" w:cs="Times New Roman"/>
          <w:b/>
          <w:color w:val="auto"/>
          <w:szCs w:val="21"/>
          <w:highlight w:val="none"/>
          <w:u w:val="single"/>
        </w:rPr>
        <w:t>30分钟</w:t>
      </w:r>
      <w:r>
        <w:rPr>
          <w:rFonts w:hint="default" w:ascii="Times New Roman" w:hAnsi="Times New Roman" w:eastAsia="宋体" w:cs="Times New Roman"/>
          <w:b/>
          <w:color w:val="auto"/>
          <w:szCs w:val="21"/>
          <w:highlight w:val="none"/>
        </w:rPr>
        <w:t>之内完成。</w:t>
      </w:r>
      <w:r>
        <w:rPr>
          <w:rFonts w:hint="default" w:ascii="Times New Roman" w:hAnsi="Times New Roman" w:eastAsia="宋体" w:cs="Times New Roman"/>
          <w:b/>
          <w:color w:val="auto"/>
          <w:szCs w:val="21"/>
          <w:highlight w:val="none"/>
          <w:u w:val="single"/>
        </w:rPr>
        <w:t>因供应商网络与电源不稳定、未按操作手册要求配置软硬件、解密锁发生故障或用错、故意不在要求时限内完成解密等自身原因，导致响应文件在规定时间内未能解密、解密失败或解密超时，视为供应商撤销其响应文件，系统内响应文件将被退回；</w:t>
      </w:r>
      <w:r>
        <w:rPr>
          <w:rFonts w:hint="default" w:ascii="Times New Roman" w:hAnsi="Times New Roman" w:eastAsia="宋体" w:cs="Times New Roman"/>
          <w:b/>
          <w:color w:val="auto"/>
          <w:szCs w:val="21"/>
          <w:highlight w:val="none"/>
        </w:rPr>
        <w:t>因采购人（或采购代理机构）原因或网上招投标平台发生故障，导致无法按时完成响应文件解密或开、评标工作无法进行的，可根据实际情况相应延迟解密时间或调整开、评标时间。</w:t>
      </w:r>
    </w:p>
    <w:p w14:paraId="564E681A">
      <w:pPr>
        <w:keepNext w:val="0"/>
        <w:keepLines w:val="0"/>
        <w:pageBreakBefore w:val="0"/>
        <w:widowControl w:val="0"/>
        <w:spacing w:line="360" w:lineRule="auto"/>
        <w:ind w:firstLine="480"/>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1.2 磋商活动的文件解密工作由采购代理机构组织。</w:t>
      </w:r>
    </w:p>
    <w:p w14:paraId="11C7D294">
      <w:pPr>
        <w:keepNext w:val="0"/>
        <w:keepLines w:val="0"/>
        <w:pageBreakBefore w:val="0"/>
        <w:widowControl w:val="0"/>
        <w:spacing w:line="360" w:lineRule="auto"/>
        <w:ind w:firstLine="482"/>
        <w:rPr>
          <w:rFonts w:hint="default" w:ascii="Times New Roman" w:hAnsi="Times New Roman" w:eastAsia="宋体" w:cs="Times New Roman"/>
          <w:b/>
          <w:color w:val="auto"/>
          <w:szCs w:val="21"/>
          <w:highlight w:val="none"/>
        </w:rPr>
      </w:pPr>
      <w:r>
        <w:rPr>
          <w:rFonts w:hint="default" w:ascii="Times New Roman" w:hAnsi="Times New Roman" w:eastAsia="宋体" w:cs="Times New Roman"/>
          <w:b/>
          <w:color w:val="auto"/>
          <w:szCs w:val="21"/>
          <w:highlight w:val="none"/>
        </w:rPr>
        <w:t>注：各供应商请关注开标大厅交流区，在开标结束后，请勿离开开标大厅，采购人或采购代理机构通知最后报价填报后，所有的响应供应商须在</w:t>
      </w:r>
      <w:r>
        <w:rPr>
          <w:rFonts w:hint="default" w:ascii="Times New Roman" w:hAnsi="Times New Roman" w:eastAsia="宋体" w:cs="Times New Roman"/>
          <w:b/>
          <w:color w:val="auto"/>
          <w:szCs w:val="21"/>
          <w:highlight w:val="none"/>
          <w:u w:val="single"/>
        </w:rPr>
        <w:t>15分钟</w:t>
      </w:r>
      <w:r>
        <w:rPr>
          <w:rFonts w:hint="default" w:ascii="Times New Roman" w:hAnsi="Times New Roman" w:eastAsia="宋体" w:cs="Times New Roman"/>
          <w:b/>
          <w:color w:val="auto"/>
          <w:szCs w:val="21"/>
          <w:highlight w:val="none"/>
        </w:rPr>
        <w:t>内填写并提交最后报价，未在规定时间内提交最后报价的，视作无效响应处理。</w:t>
      </w:r>
    </w:p>
    <w:p w14:paraId="3C47B5D4">
      <w:pPr>
        <w:keepNext w:val="0"/>
        <w:keepLines w:val="0"/>
        <w:pageBreakBefore w:val="0"/>
        <w:widowControl w:val="0"/>
        <w:spacing w:line="360" w:lineRule="auto"/>
        <w:ind w:firstLine="480"/>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2.磋商小组</w:t>
      </w:r>
    </w:p>
    <w:p w14:paraId="2904F997">
      <w:pPr>
        <w:keepNext w:val="0"/>
        <w:keepLines w:val="0"/>
        <w:pageBreakBefore w:val="0"/>
        <w:widowControl w:val="0"/>
        <w:spacing w:line="360" w:lineRule="auto"/>
        <w:ind w:firstLine="480"/>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2.1磋商开始仪式结束后，采购人或采购代理机构将立即组织磋商小组进行评审。</w:t>
      </w:r>
    </w:p>
    <w:p w14:paraId="7DB91DE4">
      <w:pPr>
        <w:keepNext w:val="0"/>
        <w:keepLines w:val="0"/>
        <w:pageBreakBefore w:val="0"/>
        <w:widowControl w:val="0"/>
        <w:spacing w:line="360" w:lineRule="auto"/>
        <w:ind w:firstLine="480"/>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2.2磋商小组由采购人代表和评审专家共5人组成，其中评审专家人数不得少于磋商小组成员总数的2/3。采购人不得以评审专家身份参加本部门或本单位采购项目的评审。采购代理机构不得参加本机构代理的采购项目的评审。</w:t>
      </w:r>
    </w:p>
    <w:p w14:paraId="5B909444">
      <w:pPr>
        <w:keepNext w:val="0"/>
        <w:keepLines w:val="0"/>
        <w:pageBreakBefore w:val="0"/>
        <w:widowControl w:val="0"/>
        <w:spacing w:line="360" w:lineRule="auto"/>
        <w:ind w:firstLine="480"/>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2.3采用竞争性磋商的政府采购项目，评审专家应当从政府采购评审专家库内相关专业的专家名单中随机抽取。市场竞争不充分的科研项目、需要扶持的科技成果转化项目，以及情况特殊、通过随机方式难以确定合适的评审专家的项目，经主管预算单位同意，可以自行选定评审专家。技术复杂、专业性强的竞争性磋商采购项目，评审专家中应当包含1名法律专家。</w:t>
      </w:r>
    </w:p>
    <w:p w14:paraId="705A57C0">
      <w:pPr>
        <w:keepNext w:val="0"/>
        <w:keepLines w:val="0"/>
        <w:pageBreakBefore w:val="0"/>
        <w:widowControl w:val="0"/>
        <w:spacing w:line="360" w:lineRule="auto"/>
        <w:ind w:firstLine="480"/>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2.4磋商小组独立工作，负责评审所有响应文件并确定成交候选人。</w:t>
      </w:r>
    </w:p>
    <w:p w14:paraId="3859267E">
      <w:pPr>
        <w:keepNext w:val="0"/>
        <w:keepLines w:val="0"/>
        <w:pageBreakBefore w:val="0"/>
        <w:widowControl w:val="0"/>
        <w:spacing w:line="360" w:lineRule="auto"/>
        <w:ind w:firstLine="480"/>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3.磋商评审过程的保密与公正</w:t>
      </w:r>
    </w:p>
    <w:p w14:paraId="71E3E6AE">
      <w:pPr>
        <w:keepNext w:val="0"/>
        <w:keepLines w:val="0"/>
        <w:pageBreakBefore w:val="0"/>
        <w:widowControl w:val="0"/>
        <w:spacing w:line="360" w:lineRule="auto"/>
        <w:ind w:firstLine="480"/>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3.1磋商小组、采购人或采购代理机构、相关监督人员等与评审工作有关的人员，对评审情况以及在评审过程中获悉的国家秘密、商业秘密负有保密责任。</w:t>
      </w:r>
    </w:p>
    <w:p w14:paraId="7F88E722">
      <w:pPr>
        <w:keepNext w:val="0"/>
        <w:keepLines w:val="0"/>
        <w:pageBreakBefore w:val="0"/>
        <w:widowControl w:val="0"/>
        <w:spacing w:line="360" w:lineRule="auto"/>
        <w:ind w:firstLine="480"/>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3.2在磋商评审过程中，磋商供应商不得以任何行为影响磋商评审过程，否则其响应文件将被视为无效响应文件。</w:t>
      </w:r>
    </w:p>
    <w:p w14:paraId="242BC3A8">
      <w:pPr>
        <w:keepNext w:val="0"/>
        <w:keepLines w:val="0"/>
        <w:pageBreakBefore w:val="0"/>
        <w:widowControl w:val="0"/>
        <w:spacing w:line="360" w:lineRule="auto"/>
        <w:ind w:firstLine="480"/>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3.3磋商小组成员应当按照客观、公正、审慎的原则，根据磋商文件规定的评审程序、评审方法和评审标准进行独立评审。未实质性响应磋商文件的响应文件按无效响应处理，磋商小组应当告知提交响应文件的供应商。</w:t>
      </w:r>
    </w:p>
    <w:p w14:paraId="6571D32E">
      <w:pPr>
        <w:keepNext w:val="0"/>
        <w:keepLines w:val="0"/>
        <w:pageBreakBefore w:val="0"/>
        <w:widowControl w:val="0"/>
        <w:spacing w:line="360" w:lineRule="auto"/>
        <w:ind w:firstLine="480"/>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3.4评审开始后，直至向成交供应商授予合同时止，凡是与审查、澄清、评价和比较响应的有关资料以及授标建议等，采购人、磋商小组、采购代理机构均不得向供应商或与评标无关的其他人员透露。</w:t>
      </w:r>
    </w:p>
    <w:p w14:paraId="13C2C81C">
      <w:pPr>
        <w:keepNext w:val="0"/>
        <w:keepLines w:val="0"/>
        <w:pageBreakBefore w:val="0"/>
        <w:widowControl w:val="0"/>
        <w:spacing w:line="360" w:lineRule="auto"/>
        <w:ind w:firstLine="480"/>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3.5在评审期间，采购人或采购代理机构将设专门人员与供应商联系。</w:t>
      </w:r>
    </w:p>
    <w:p w14:paraId="53E01502">
      <w:pPr>
        <w:keepNext w:val="0"/>
        <w:keepLines w:val="0"/>
        <w:pageBreakBefore w:val="0"/>
        <w:widowControl w:val="0"/>
        <w:spacing w:line="360" w:lineRule="auto"/>
        <w:ind w:firstLine="480"/>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3.6采购人、采购代理机构和磋商小组不向未成交的供应商解释未成交原因，也不公布评审过程中的相关细节。</w:t>
      </w:r>
    </w:p>
    <w:p w14:paraId="5E54C0A0">
      <w:pPr>
        <w:keepNext w:val="0"/>
        <w:keepLines w:val="0"/>
        <w:pageBreakBefore w:val="0"/>
        <w:widowControl w:val="0"/>
        <w:spacing w:line="360" w:lineRule="auto"/>
        <w:ind w:firstLine="480"/>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4.评审过程的澄清</w:t>
      </w:r>
    </w:p>
    <w:p w14:paraId="6CB92137">
      <w:pPr>
        <w:keepNext w:val="0"/>
        <w:keepLines w:val="0"/>
        <w:pageBreakBefore w:val="0"/>
        <w:widowControl w:val="0"/>
        <w:spacing w:line="360" w:lineRule="auto"/>
        <w:ind w:firstLine="480"/>
        <w:rPr>
          <w:rFonts w:hint="default" w:ascii="Times New Roman" w:hAnsi="Times New Roman" w:eastAsia="宋体" w:cs="Times New Roman"/>
          <w:color w:val="auto"/>
          <w:szCs w:val="21"/>
          <w:highlight w:val="none"/>
          <w:lang w:val="zh-CN"/>
        </w:rPr>
      </w:pPr>
      <w:r>
        <w:rPr>
          <w:rFonts w:hint="default" w:ascii="Times New Roman" w:hAnsi="Times New Roman" w:eastAsia="宋体" w:cs="Times New Roman"/>
          <w:color w:val="auto"/>
          <w:szCs w:val="21"/>
          <w:highlight w:val="none"/>
        </w:rPr>
        <w:t>4.1</w:t>
      </w:r>
      <w:r>
        <w:rPr>
          <w:rFonts w:hint="default" w:ascii="Times New Roman" w:hAnsi="Times New Roman" w:eastAsia="宋体" w:cs="Times New Roman"/>
          <w:color w:val="auto"/>
          <w:szCs w:val="21"/>
          <w:highlight w:val="none"/>
          <w:lang w:val="zh-CN"/>
        </w:rPr>
        <w:t>评审期间，磋商小组在对响应文件的有效性、完整性和响应程度进行审查时，可以要求供应商对响应文件中含义不明确、同类问题表述不一致或者有明显文字和计算错误的内容等作出必要的澄清、说明或者更正。供应商的澄清、说明或者更正不得超出响应文件的范围或者改变响应文件的实质性内容。磋商小组并非对每个供应商都作澄清要求。</w:t>
      </w:r>
    </w:p>
    <w:p w14:paraId="289E48A7">
      <w:pPr>
        <w:keepNext w:val="0"/>
        <w:keepLines w:val="0"/>
        <w:pageBreakBefore w:val="0"/>
        <w:widowControl w:val="0"/>
        <w:spacing w:line="360" w:lineRule="auto"/>
        <w:ind w:firstLine="480"/>
        <w:rPr>
          <w:rFonts w:hint="default" w:ascii="Times New Roman" w:hAnsi="Times New Roman" w:eastAsia="宋体" w:cs="Times New Roman"/>
          <w:color w:val="auto"/>
          <w:szCs w:val="21"/>
          <w:highlight w:val="none"/>
          <w:lang w:val="zh-CN"/>
        </w:rPr>
      </w:pPr>
      <w:r>
        <w:rPr>
          <w:rFonts w:hint="default" w:ascii="Times New Roman" w:hAnsi="Times New Roman" w:eastAsia="宋体" w:cs="Times New Roman"/>
          <w:color w:val="auto"/>
          <w:szCs w:val="21"/>
          <w:highlight w:val="none"/>
        </w:rPr>
        <w:t>4.2</w:t>
      </w:r>
      <w:r>
        <w:rPr>
          <w:rFonts w:hint="default" w:ascii="Times New Roman" w:hAnsi="Times New Roman" w:eastAsia="宋体" w:cs="Times New Roman"/>
          <w:color w:val="auto"/>
          <w:szCs w:val="21"/>
          <w:highlight w:val="none"/>
          <w:lang w:val="zh-CN"/>
        </w:rPr>
        <w:t>需要供应商进行澄清、说明或更正的，磋商小组将通过苏采云系统向供应商发布“澄清要求函”，接到“澄清要求函”的供应商应当按照要求在苏采云系统中提交“澄清响应函”并加盖CA电子公章。澄清、说明或更正的内容作为响应文件的补充部分，具体操作方式见《操作手册》。</w:t>
      </w:r>
    </w:p>
    <w:p w14:paraId="7F6F3038">
      <w:pPr>
        <w:keepNext w:val="0"/>
        <w:keepLines w:val="0"/>
        <w:pageBreakBefore w:val="0"/>
        <w:widowControl w:val="0"/>
        <w:spacing w:line="360" w:lineRule="auto"/>
        <w:ind w:firstLine="480"/>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4.3接到磋商小组</w:t>
      </w:r>
      <w:r>
        <w:rPr>
          <w:rFonts w:hint="default" w:ascii="Times New Roman" w:hAnsi="Times New Roman" w:eastAsia="宋体" w:cs="Times New Roman"/>
          <w:color w:val="auto"/>
          <w:szCs w:val="21"/>
          <w:highlight w:val="none"/>
          <w:lang w:val="zh-CN"/>
        </w:rPr>
        <w:t>澄清、说明或更正</w:t>
      </w:r>
      <w:r>
        <w:rPr>
          <w:rFonts w:hint="default" w:ascii="Times New Roman" w:hAnsi="Times New Roman" w:eastAsia="宋体" w:cs="Times New Roman"/>
          <w:color w:val="auto"/>
          <w:szCs w:val="21"/>
          <w:highlight w:val="none"/>
        </w:rPr>
        <w:t>要求的供应商应按磋商小组规定的时间和格式做出</w:t>
      </w:r>
      <w:r>
        <w:rPr>
          <w:rFonts w:hint="default" w:ascii="Times New Roman" w:hAnsi="Times New Roman" w:eastAsia="宋体" w:cs="Times New Roman"/>
          <w:color w:val="auto"/>
          <w:szCs w:val="21"/>
          <w:highlight w:val="none"/>
          <w:lang w:val="zh-CN"/>
        </w:rPr>
        <w:t>澄清、说明或更正</w:t>
      </w:r>
      <w:r>
        <w:rPr>
          <w:rFonts w:hint="default" w:ascii="Times New Roman" w:hAnsi="Times New Roman" w:eastAsia="宋体" w:cs="Times New Roman"/>
          <w:color w:val="auto"/>
          <w:szCs w:val="21"/>
          <w:highlight w:val="none"/>
        </w:rPr>
        <w:t>，</w:t>
      </w:r>
      <w:r>
        <w:rPr>
          <w:rFonts w:hint="default" w:ascii="Times New Roman" w:hAnsi="Times New Roman" w:eastAsia="宋体" w:cs="Times New Roman"/>
          <w:color w:val="auto"/>
          <w:szCs w:val="21"/>
          <w:highlight w:val="none"/>
          <w:lang w:val="zh-CN"/>
        </w:rPr>
        <w:t>澄清、说明或更正</w:t>
      </w:r>
      <w:r>
        <w:rPr>
          <w:rFonts w:hint="default" w:ascii="Times New Roman" w:hAnsi="Times New Roman" w:eastAsia="宋体" w:cs="Times New Roman"/>
          <w:color w:val="auto"/>
          <w:szCs w:val="21"/>
          <w:highlight w:val="none"/>
        </w:rPr>
        <w:t>的内容作为响应文件的补充部分，但实质性的内容不得做任何更改。</w:t>
      </w:r>
    </w:p>
    <w:p w14:paraId="2B1E3816">
      <w:pPr>
        <w:keepNext w:val="0"/>
        <w:keepLines w:val="0"/>
        <w:pageBreakBefore w:val="0"/>
        <w:widowControl w:val="0"/>
        <w:spacing w:line="360" w:lineRule="auto"/>
        <w:ind w:firstLine="480"/>
        <w:rPr>
          <w:rFonts w:hint="default" w:ascii="Times New Roman" w:hAnsi="Times New Roman" w:eastAsia="宋体" w:cs="Times New Roman"/>
          <w:color w:val="auto"/>
          <w:szCs w:val="21"/>
          <w:highlight w:val="none"/>
          <w:lang w:val="zh-CN"/>
        </w:rPr>
      </w:pPr>
      <w:r>
        <w:rPr>
          <w:rFonts w:hint="default" w:ascii="Times New Roman" w:hAnsi="Times New Roman" w:eastAsia="宋体" w:cs="Times New Roman"/>
          <w:color w:val="auto"/>
          <w:szCs w:val="21"/>
          <w:highlight w:val="none"/>
          <w:lang w:val="zh-CN"/>
        </w:rPr>
        <w:t>4.4接到磋商小组澄清、说明或更正要求的供应商如未按规定作出澄清、说明或更正的，其风险由供应商自行承担。</w:t>
      </w:r>
    </w:p>
    <w:p w14:paraId="09A02574">
      <w:pPr>
        <w:keepNext w:val="0"/>
        <w:keepLines w:val="0"/>
        <w:pageBreakBefore w:val="0"/>
        <w:widowControl w:val="0"/>
        <w:pBdr>
          <w:top w:val="none" w:color="000000" w:sz="0" w:space="0"/>
          <w:left w:val="none" w:color="000000" w:sz="0" w:space="0"/>
          <w:bottom w:val="none" w:color="000000" w:sz="0" w:space="0"/>
          <w:right w:val="none" w:color="000000" w:sz="0" w:space="0"/>
        </w:pBdr>
        <w:spacing w:beforeAutospacing="0" w:afterAutospacing="0" w:line="360" w:lineRule="auto"/>
        <w:ind w:firstLine="420"/>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5、对响应文件的审查</w:t>
      </w:r>
    </w:p>
    <w:p w14:paraId="15069572">
      <w:pPr>
        <w:keepNext w:val="0"/>
        <w:keepLines w:val="0"/>
        <w:pageBreakBefore w:val="0"/>
        <w:widowControl w:val="0"/>
        <w:pBdr>
          <w:top w:val="none" w:color="000000" w:sz="0" w:space="0"/>
          <w:left w:val="none" w:color="000000" w:sz="0" w:space="0"/>
          <w:bottom w:val="none" w:color="000000" w:sz="0" w:space="0"/>
          <w:right w:val="none" w:color="000000" w:sz="0" w:space="0"/>
        </w:pBdr>
        <w:spacing w:beforeAutospacing="0" w:afterAutospacing="0" w:line="360" w:lineRule="auto"/>
        <w:ind w:firstLine="420"/>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5.1响应文件审查分为资格审查和符合性审查。</w:t>
      </w:r>
    </w:p>
    <w:p w14:paraId="06B2039A">
      <w:pPr>
        <w:keepNext w:val="0"/>
        <w:keepLines w:val="0"/>
        <w:pageBreakBefore w:val="0"/>
        <w:widowControl w:val="0"/>
        <w:pBdr>
          <w:top w:val="none" w:color="000000" w:sz="0" w:space="0"/>
          <w:left w:val="none" w:color="000000" w:sz="0" w:space="0"/>
          <w:bottom w:val="none" w:color="000000" w:sz="0" w:space="0"/>
          <w:right w:val="none" w:color="000000" w:sz="0" w:space="0"/>
        </w:pBdr>
        <w:spacing w:beforeAutospacing="0" w:afterAutospacing="0" w:line="360" w:lineRule="auto"/>
        <w:ind w:firstLine="420"/>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5.1.1资格审查：由磋商小组依据法律法规和磋商文件的规定，对响应文件中的资格证明文件进行审查，以确定供应商是否具备参加磋商的资格。</w:t>
      </w:r>
    </w:p>
    <w:p w14:paraId="1008B994">
      <w:pPr>
        <w:keepNext w:val="0"/>
        <w:keepLines w:val="0"/>
        <w:pageBreakBefore w:val="0"/>
        <w:widowControl w:val="0"/>
        <w:pBdr>
          <w:top w:val="none" w:color="000000" w:sz="0" w:space="0"/>
          <w:left w:val="none" w:color="000000" w:sz="0" w:space="0"/>
          <w:bottom w:val="none" w:color="000000" w:sz="0" w:space="0"/>
          <w:right w:val="none" w:color="000000" w:sz="0" w:space="0"/>
        </w:pBdr>
        <w:spacing w:beforeAutospacing="0" w:afterAutospacing="0" w:line="360" w:lineRule="auto"/>
        <w:ind w:firstLine="420"/>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磋商小组在进行资格审查的同时，将在“信用中国”网站（www.creditchina.gov.cn）查询供应商的信用记录，以确定供应商是否具备磋商资格。</w:t>
      </w:r>
    </w:p>
    <w:p w14:paraId="07E8D1ED">
      <w:pPr>
        <w:keepNext w:val="0"/>
        <w:keepLines w:val="0"/>
        <w:pageBreakBefore w:val="0"/>
        <w:widowControl w:val="0"/>
        <w:pBdr>
          <w:top w:val="none" w:color="000000" w:sz="0" w:space="0"/>
          <w:left w:val="none" w:color="000000" w:sz="0" w:space="0"/>
          <w:bottom w:val="none" w:color="000000" w:sz="0" w:space="0"/>
          <w:right w:val="none" w:color="000000" w:sz="0" w:space="0"/>
        </w:pBdr>
        <w:spacing w:beforeAutospacing="0" w:afterAutospacing="0" w:line="360" w:lineRule="auto"/>
        <w:ind w:firstLine="420"/>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接受联合体的项目，两个以上的自然人、法人或者其他组织组成一个联合体，以一个供应商的身份共同参加政府采购活动的，联合体成员中任何一方存在不良信用记录的，视同联合体存在不良信用记录。</w:t>
      </w:r>
    </w:p>
    <w:p w14:paraId="3CE559BB">
      <w:pPr>
        <w:keepNext w:val="0"/>
        <w:keepLines w:val="0"/>
        <w:pageBreakBefore w:val="0"/>
        <w:widowControl w:val="0"/>
        <w:pBdr>
          <w:top w:val="none" w:color="000000" w:sz="0" w:space="0"/>
          <w:left w:val="none" w:color="000000" w:sz="0" w:space="0"/>
          <w:bottom w:val="none" w:color="000000" w:sz="0" w:space="0"/>
          <w:right w:val="none" w:color="000000" w:sz="0" w:space="0"/>
        </w:pBdr>
        <w:spacing w:beforeAutospacing="0" w:afterAutospacing="0" w:line="360" w:lineRule="auto"/>
        <w:ind w:firstLine="420"/>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5.1.2符合性审查：依据磋商文件的规定，由磋商小组从响应文件的有效性、完整性和对磋商文件的响应程度进行审查，以确定是否对磋商文件的实质性要求作出响应。</w:t>
      </w:r>
    </w:p>
    <w:p w14:paraId="1A23A25C">
      <w:pPr>
        <w:keepNext w:val="0"/>
        <w:keepLines w:val="0"/>
        <w:pageBreakBefore w:val="0"/>
        <w:widowControl w:val="0"/>
        <w:pBdr>
          <w:top w:val="none" w:color="000000" w:sz="0" w:space="0"/>
          <w:left w:val="none" w:color="000000" w:sz="0" w:space="0"/>
          <w:bottom w:val="none" w:color="000000" w:sz="0" w:space="0"/>
          <w:right w:val="none" w:color="000000" w:sz="0" w:space="0"/>
        </w:pBdr>
        <w:spacing w:beforeAutospacing="0" w:afterAutospacing="0" w:line="360" w:lineRule="auto"/>
        <w:ind w:firstLine="420"/>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5.1.3未通过资格审查或符合性审查的供应商，磋商小组将在苏采云系统中告知未通过资格审查或符合性审查的原因，评审结束后，磋商小组将不再告知未通过资格审查或符合性审查的原因。</w:t>
      </w:r>
    </w:p>
    <w:p w14:paraId="38E0846F">
      <w:pPr>
        <w:keepNext w:val="0"/>
        <w:keepLines w:val="0"/>
        <w:pageBreakBefore w:val="0"/>
        <w:widowControl w:val="0"/>
        <w:pBdr>
          <w:top w:val="none" w:color="000000" w:sz="0" w:space="0"/>
          <w:left w:val="none" w:color="000000" w:sz="0" w:space="0"/>
          <w:bottom w:val="none" w:color="000000" w:sz="0" w:space="0"/>
          <w:right w:val="none" w:color="000000" w:sz="0" w:space="0"/>
        </w:pBdr>
        <w:spacing w:beforeAutospacing="0" w:afterAutospacing="0" w:line="360" w:lineRule="auto"/>
        <w:ind w:firstLine="420"/>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5.2在详细评审之前，磋商小组将首先审查每份响应文件是否实质性响应了磋商文件的要求。实质性响应的响应文件应该是与磋商文件要求的条款、条件和规格相符，没有重大偏离或保留。</w:t>
      </w:r>
    </w:p>
    <w:p w14:paraId="131B2B1C">
      <w:pPr>
        <w:keepNext w:val="0"/>
        <w:keepLines w:val="0"/>
        <w:pageBreakBefore w:val="0"/>
        <w:widowControl w:val="0"/>
        <w:pBdr>
          <w:top w:val="none" w:color="000000" w:sz="0" w:space="0"/>
          <w:left w:val="none" w:color="000000" w:sz="0" w:space="0"/>
          <w:bottom w:val="none" w:color="000000" w:sz="0" w:space="0"/>
          <w:right w:val="none" w:color="000000" w:sz="0" w:space="0"/>
        </w:pBdr>
        <w:spacing w:beforeAutospacing="0" w:afterAutospacing="0" w:line="360" w:lineRule="auto"/>
        <w:ind w:firstLine="420"/>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所谓重大偏离或保留是指与磋商文件规定的实质性要求存在负偏离，或者在实质上与磋商文件不一致，而且限制了合同中买方和交易中心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p>
    <w:p w14:paraId="18530DAD">
      <w:pPr>
        <w:keepNext w:val="0"/>
        <w:keepLines w:val="0"/>
        <w:pageBreakBefore w:val="0"/>
        <w:widowControl w:val="0"/>
        <w:spacing w:line="360" w:lineRule="auto"/>
        <w:ind w:firstLine="480"/>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5.3如果响应文件实质上没有响应磋商文件的要求，磋商小组将予以拒绝，供应商不得通过修改或撤销不符合要求的偏离或保留而使其响应文件成为实质性响应的文件。</w:t>
      </w:r>
    </w:p>
    <w:p w14:paraId="26D6E49D">
      <w:pPr>
        <w:keepNext w:val="0"/>
        <w:keepLines w:val="0"/>
        <w:pageBreakBefore w:val="0"/>
        <w:widowControl w:val="0"/>
        <w:spacing w:line="360" w:lineRule="auto"/>
        <w:ind w:firstLine="480"/>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5.4磋商小组将对确定为实质性响应的文件进行进一步审核，看其是否有计算上或累加上的算术错误，修正错误的原则如下：</w:t>
      </w:r>
    </w:p>
    <w:p w14:paraId="45841612">
      <w:pPr>
        <w:keepNext w:val="0"/>
        <w:keepLines w:val="0"/>
        <w:pageBreakBefore w:val="0"/>
        <w:widowControl w:val="0"/>
        <w:spacing w:line="360" w:lineRule="auto"/>
        <w:ind w:firstLine="480"/>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（1）响应文件中报价总表内容与响应文件中相应内容不一致的，以报价总表为准。</w:t>
      </w:r>
    </w:p>
    <w:p w14:paraId="0D74B10E">
      <w:pPr>
        <w:keepNext w:val="0"/>
        <w:keepLines w:val="0"/>
        <w:pageBreakBefore w:val="0"/>
        <w:widowControl w:val="0"/>
        <w:spacing w:line="360" w:lineRule="auto"/>
        <w:ind w:firstLine="480"/>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（2）大写金额和小写金额不一致的，以大写金额为准。</w:t>
      </w:r>
    </w:p>
    <w:p w14:paraId="18636341">
      <w:pPr>
        <w:keepNext w:val="0"/>
        <w:keepLines w:val="0"/>
        <w:pageBreakBefore w:val="0"/>
        <w:widowControl w:val="0"/>
        <w:spacing w:line="360" w:lineRule="auto"/>
        <w:ind w:firstLine="480"/>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（3）单价金额小数点或者百分比有明显错位的，以报价总表的总价为准，并修改单价。</w:t>
      </w:r>
    </w:p>
    <w:p w14:paraId="3C1FE69A">
      <w:pPr>
        <w:keepNext w:val="0"/>
        <w:keepLines w:val="0"/>
        <w:pageBreakBefore w:val="0"/>
        <w:widowControl w:val="0"/>
        <w:spacing w:line="360" w:lineRule="auto"/>
        <w:ind w:firstLine="480"/>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（4）总价金额与按单价汇总金额不一致的，以单价金额计算结果为准。</w:t>
      </w:r>
    </w:p>
    <w:p w14:paraId="457BFBA2">
      <w:pPr>
        <w:keepNext w:val="0"/>
        <w:keepLines w:val="0"/>
        <w:pageBreakBefore w:val="0"/>
        <w:widowControl w:val="0"/>
        <w:spacing w:line="360" w:lineRule="auto"/>
        <w:ind w:firstLine="480"/>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同时出现两种以上错误的，按照前款规定的顺序修正。</w:t>
      </w:r>
    </w:p>
    <w:p w14:paraId="73A0DB60">
      <w:pPr>
        <w:keepNext w:val="0"/>
        <w:keepLines w:val="0"/>
        <w:pageBreakBefore w:val="0"/>
        <w:widowControl w:val="0"/>
        <w:spacing w:line="360" w:lineRule="auto"/>
        <w:ind w:firstLine="480"/>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5.5磋商小组将按上述修正错误的方法调整响应文件中的报价，通过“苏采云系统”开标大厅告知供应商，调整后的价格应对供应商具有约束力。如果供应商不接受修正后的价格，则其磋商响应文件将被拒绝。</w:t>
      </w:r>
    </w:p>
    <w:p w14:paraId="759F85FE">
      <w:pPr>
        <w:keepNext w:val="0"/>
        <w:keepLines w:val="0"/>
        <w:pageBreakBefore w:val="0"/>
        <w:widowControl w:val="0"/>
        <w:spacing w:line="360" w:lineRule="auto"/>
        <w:ind w:firstLine="480"/>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5.6磋商小组将允许修正响应文件中不构成重大偏离的、微小的、非正规的、不一致的或不规则的地方，但这些修改不能影响任何供应商相应的名次排列。</w:t>
      </w:r>
    </w:p>
    <w:p w14:paraId="5C71C840">
      <w:pPr>
        <w:keepNext w:val="0"/>
        <w:keepLines w:val="0"/>
        <w:pageBreakBefore w:val="0"/>
        <w:widowControl w:val="0"/>
        <w:spacing w:line="360" w:lineRule="auto"/>
        <w:ind w:firstLine="480"/>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5.7供应商在评审全过程中应保持通讯畅通，并安排专人与采购人或采购代理机构及磋商小组联系。</w:t>
      </w:r>
    </w:p>
    <w:p w14:paraId="01FDFC9E">
      <w:pPr>
        <w:keepNext w:val="0"/>
        <w:keepLines w:val="0"/>
        <w:pageBreakBefore w:val="0"/>
        <w:widowControl w:val="0"/>
        <w:spacing w:line="360" w:lineRule="auto"/>
        <w:outlineLvl w:val="9"/>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6. 响应文件线上格式要求</w:t>
      </w:r>
    </w:p>
    <w:p w14:paraId="799EECDA">
      <w:pPr>
        <w:keepNext w:val="0"/>
        <w:keepLines w:val="0"/>
        <w:pageBreakBefore w:val="0"/>
        <w:widowControl w:val="0"/>
        <w:spacing w:line="360" w:lineRule="auto"/>
        <w:ind w:firstLine="480"/>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6.1供应商应当通过“苏采云”系统提交数据电文形式的响应文件（即电子投标）。</w:t>
      </w:r>
    </w:p>
    <w:p w14:paraId="6A4FB3AA">
      <w:pPr>
        <w:keepNext w:val="0"/>
        <w:keepLines w:val="0"/>
        <w:pageBreakBefore w:val="0"/>
        <w:widowControl w:val="0"/>
        <w:spacing w:line="360" w:lineRule="auto"/>
        <w:ind w:firstLine="480"/>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6.2通过“苏采云”系统提交政府采购客户端工具导出加密的响应文件（后缀名为zip）。</w:t>
      </w:r>
      <w:r>
        <w:rPr>
          <w:rFonts w:hint="default" w:ascii="Times New Roman" w:hAnsi="Times New Roman" w:eastAsia="宋体" w:cs="Times New Roman"/>
          <w:b/>
          <w:bCs/>
          <w:color w:val="auto"/>
          <w:szCs w:val="21"/>
          <w:highlight w:val="none"/>
        </w:rPr>
        <w:t>响应文件不得超过150M</w:t>
      </w:r>
      <w:r>
        <w:rPr>
          <w:rFonts w:hint="default" w:ascii="Times New Roman" w:hAnsi="Times New Roman" w:eastAsia="宋体" w:cs="Times New Roman"/>
          <w:color w:val="auto"/>
          <w:szCs w:val="21"/>
          <w:highlight w:val="none"/>
        </w:rPr>
        <w:t>！</w:t>
      </w:r>
    </w:p>
    <w:p w14:paraId="7D9CDD65">
      <w:pPr>
        <w:keepNext w:val="0"/>
        <w:keepLines w:val="0"/>
        <w:pageBreakBefore w:val="0"/>
        <w:widowControl w:val="0"/>
        <w:spacing w:line="360" w:lineRule="auto"/>
        <w:ind w:firstLine="480"/>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6.3本项目采用线上投标，即供应商响应文件从政府采购客户端工具制作通过“苏采云”系统提交，未提供线上响应文件的，投标无效。</w:t>
      </w:r>
    </w:p>
    <w:p w14:paraId="63140173">
      <w:pPr>
        <w:keepNext w:val="0"/>
        <w:keepLines w:val="0"/>
        <w:pageBreakBefore w:val="0"/>
        <w:widowControl w:val="0"/>
        <w:spacing w:line="360" w:lineRule="auto"/>
        <w:ind w:firstLine="482"/>
        <w:rPr>
          <w:rFonts w:hint="default" w:ascii="Times New Roman" w:hAnsi="Times New Roman" w:eastAsia="宋体" w:cs="Times New Roman"/>
          <w:b/>
          <w:bCs/>
          <w:color w:val="auto"/>
          <w:szCs w:val="21"/>
          <w:highlight w:val="none"/>
        </w:rPr>
      </w:pPr>
      <w:r>
        <w:rPr>
          <w:rFonts w:hint="default" w:ascii="Times New Roman" w:hAnsi="Times New Roman" w:eastAsia="宋体" w:cs="Times New Roman"/>
          <w:b/>
          <w:bCs/>
          <w:color w:val="auto"/>
          <w:szCs w:val="21"/>
          <w:highlight w:val="none"/>
        </w:rPr>
        <w:t>7. 被认定为未实质性响应磋商文件的情形：</w:t>
      </w:r>
    </w:p>
    <w:p w14:paraId="21977EBB">
      <w:pPr>
        <w:keepNext w:val="0"/>
        <w:keepLines w:val="0"/>
        <w:pageBreakBefore w:val="0"/>
        <w:widowControl w:val="0"/>
        <w:spacing w:line="360" w:lineRule="auto"/>
        <w:ind w:firstLine="482"/>
        <w:rPr>
          <w:rFonts w:hint="default" w:ascii="Times New Roman" w:hAnsi="Times New Roman" w:eastAsia="宋体" w:cs="Times New Roman"/>
          <w:b/>
          <w:color w:val="auto"/>
          <w:szCs w:val="21"/>
          <w:highlight w:val="none"/>
        </w:rPr>
      </w:pPr>
      <w:r>
        <w:rPr>
          <w:rFonts w:hint="default" w:ascii="Times New Roman" w:hAnsi="Times New Roman" w:eastAsia="宋体" w:cs="Times New Roman"/>
          <w:b/>
          <w:bCs/>
          <w:color w:val="auto"/>
          <w:szCs w:val="21"/>
          <w:highlight w:val="none"/>
        </w:rPr>
        <w:t>7.1出现下列情形之一的，作无效响应处理，</w:t>
      </w:r>
      <w:r>
        <w:rPr>
          <w:rFonts w:hint="default" w:ascii="Times New Roman" w:hAnsi="Times New Roman" w:eastAsia="宋体" w:cs="Times New Roman"/>
          <w:b/>
          <w:color w:val="auto"/>
          <w:szCs w:val="21"/>
          <w:highlight w:val="none"/>
        </w:rPr>
        <w:t>并视情报监管部门调查其相互串通投标嫌疑。</w:t>
      </w:r>
      <w:r>
        <w:rPr>
          <w:rFonts w:hint="default" w:ascii="Times New Roman" w:hAnsi="Times New Roman" w:eastAsia="宋体" w:cs="Times New Roman"/>
          <w:b/>
          <w:bCs/>
          <w:color w:val="auto"/>
          <w:szCs w:val="21"/>
          <w:highlight w:val="none"/>
        </w:rPr>
        <w:tab/>
      </w:r>
      <w:r>
        <w:rPr>
          <w:rFonts w:hint="default" w:ascii="Times New Roman" w:hAnsi="Times New Roman" w:eastAsia="宋体" w:cs="Times New Roman"/>
          <w:b/>
          <w:color w:val="auto"/>
          <w:szCs w:val="21"/>
          <w:highlight w:val="none"/>
        </w:rPr>
        <w:tab/>
      </w:r>
    </w:p>
    <w:p w14:paraId="427D8B0D">
      <w:pPr>
        <w:keepNext w:val="0"/>
        <w:keepLines w:val="0"/>
        <w:pageBreakBefore w:val="0"/>
        <w:widowControl w:val="0"/>
        <w:spacing w:line="360" w:lineRule="auto"/>
        <w:ind w:firstLine="482"/>
        <w:rPr>
          <w:rFonts w:hint="default" w:ascii="Times New Roman" w:hAnsi="Times New Roman" w:eastAsia="宋体" w:cs="Times New Roman"/>
          <w:b/>
          <w:bCs/>
          <w:color w:val="auto"/>
          <w:szCs w:val="21"/>
          <w:highlight w:val="none"/>
        </w:rPr>
      </w:pPr>
      <w:r>
        <w:rPr>
          <w:rFonts w:hint="default" w:ascii="Times New Roman" w:hAnsi="Times New Roman" w:eastAsia="宋体" w:cs="Times New Roman"/>
          <w:b/>
          <w:bCs/>
          <w:color w:val="auto"/>
          <w:szCs w:val="21"/>
          <w:highlight w:val="none"/>
        </w:rPr>
        <w:t>7.1.1供应商在规定的时间内未在苏采云系统内成功提交磋商响应文件的。</w:t>
      </w:r>
    </w:p>
    <w:p w14:paraId="2C0421AC">
      <w:pPr>
        <w:keepNext w:val="0"/>
        <w:keepLines w:val="0"/>
        <w:pageBreakBefore w:val="0"/>
        <w:widowControl w:val="0"/>
        <w:spacing w:line="360" w:lineRule="auto"/>
        <w:ind w:firstLine="482"/>
        <w:rPr>
          <w:rFonts w:hint="default" w:ascii="Times New Roman" w:hAnsi="Times New Roman" w:eastAsia="宋体" w:cs="Times New Roman"/>
          <w:b/>
          <w:bCs/>
          <w:color w:val="auto"/>
          <w:szCs w:val="21"/>
          <w:highlight w:val="none"/>
        </w:rPr>
      </w:pPr>
      <w:r>
        <w:rPr>
          <w:rFonts w:hint="default" w:ascii="Times New Roman" w:hAnsi="Times New Roman" w:eastAsia="宋体" w:cs="Times New Roman"/>
          <w:b/>
          <w:bCs/>
          <w:color w:val="auto"/>
          <w:szCs w:val="21"/>
          <w:highlight w:val="none"/>
        </w:rPr>
        <w:t>7.1.2未完整提交响应文件的。</w:t>
      </w:r>
    </w:p>
    <w:p w14:paraId="48B8F866">
      <w:pPr>
        <w:keepNext w:val="0"/>
        <w:keepLines w:val="0"/>
        <w:pageBreakBefore w:val="0"/>
        <w:widowControl w:val="0"/>
        <w:spacing w:line="360" w:lineRule="auto"/>
        <w:ind w:firstLine="482"/>
        <w:rPr>
          <w:rFonts w:hint="default" w:ascii="Times New Roman" w:hAnsi="Times New Roman" w:eastAsia="宋体" w:cs="Times New Roman"/>
          <w:b/>
          <w:bCs/>
          <w:color w:val="auto"/>
          <w:szCs w:val="21"/>
          <w:highlight w:val="none"/>
        </w:rPr>
      </w:pPr>
      <w:r>
        <w:rPr>
          <w:rFonts w:hint="default" w:ascii="Times New Roman" w:hAnsi="Times New Roman" w:eastAsia="宋体" w:cs="Times New Roman"/>
          <w:b/>
          <w:bCs/>
          <w:color w:val="auto"/>
          <w:szCs w:val="21"/>
          <w:highlight w:val="none"/>
        </w:rPr>
        <w:t>7.1.3同一供应商提交两个（含两个）以上不同的响应报价的。</w:t>
      </w:r>
    </w:p>
    <w:p w14:paraId="1A806E49">
      <w:pPr>
        <w:keepNext w:val="0"/>
        <w:keepLines w:val="0"/>
        <w:pageBreakBefore w:val="0"/>
        <w:widowControl w:val="0"/>
        <w:spacing w:line="360" w:lineRule="auto"/>
        <w:ind w:firstLine="482"/>
        <w:rPr>
          <w:rFonts w:hint="default" w:ascii="Times New Roman" w:hAnsi="Times New Roman" w:eastAsia="宋体" w:cs="Times New Roman"/>
          <w:b/>
          <w:bCs/>
          <w:color w:val="auto"/>
          <w:szCs w:val="21"/>
          <w:highlight w:val="none"/>
        </w:rPr>
      </w:pPr>
      <w:r>
        <w:rPr>
          <w:rFonts w:hint="default" w:ascii="Times New Roman" w:hAnsi="Times New Roman" w:eastAsia="宋体" w:cs="Times New Roman"/>
          <w:b/>
          <w:bCs/>
          <w:color w:val="auto"/>
          <w:szCs w:val="21"/>
          <w:highlight w:val="none"/>
        </w:rPr>
        <w:t xml:space="preserve">7.1.4不具备磋商文件中规定的资格要求的。 </w:t>
      </w:r>
    </w:p>
    <w:p w14:paraId="043BB45C">
      <w:pPr>
        <w:keepNext w:val="0"/>
        <w:keepLines w:val="0"/>
        <w:pageBreakBefore w:val="0"/>
        <w:widowControl w:val="0"/>
        <w:spacing w:line="360" w:lineRule="auto"/>
        <w:ind w:firstLine="482"/>
        <w:rPr>
          <w:rFonts w:hint="default" w:ascii="Times New Roman" w:hAnsi="Times New Roman" w:eastAsia="宋体" w:cs="Times New Roman"/>
          <w:b/>
          <w:bCs/>
          <w:color w:val="auto"/>
          <w:szCs w:val="21"/>
          <w:highlight w:val="none"/>
        </w:rPr>
      </w:pPr>
      <w:r>
        <w:rPr>
          <w:rFonts w:hint="default" w:ascii="Times New Roman" w:hAnsi="Times New Roman" w:eastAsia="宋体" w:cs="Times New Roman"/>
          <w:b/>
          <w:bCs/>
          <w:color w:val="auto"/>
          <w:szCs w:val="21"/>
          <w:highlight w:val="none"/>
        </w:rPr>
        <w:t>7.1.5供应商在系统规定的时间内未成功解密电子响应文件的。</w:t>
      </w:r>
    </w:p>
    <w:p w14:paraId="304A43B1">
      <w:pPr>
        <w:keepNext w:val="0"/>
        <w:keepLines w:val="0"/>
        <w:pageBreakBefore w:val="0"/>
        <w:widowControl w:val="0"/>
        <w:spacing w:line="360" w:lineRule="auto"/>
        <w:ind w:firstLine="482"/>
        <w:rPr>
          <w:rFonts w:hint="default" w:ascii="Times New Roman" w:hAnsi="Times New Roman" w:eastAsia="宋体" w:cs="Times New Roman"/>
          <w:b/>
          <w:bCs/>
          <w:color w:val="auto"/>
          <w:szCs w:val="21"/>
          <w:highlight w:val="none"/>
        </w:rPr>
      </w:pPr>
      <w:r>
        <w:rPr>
          <w:rFonts w:hint="default" w:ascii="Times New Roman" w:hAnsi="Times New Roman" w:eastAsia="宋体" w:cs="Times New Roman"/>
          <w:b/>
          <w:bCs/>
          <w:color w:val="auto"/>
          <w:szCs w:val="21"/>
          <w:highlight w:val="none"/>
        </w:rPr>
        <w:t>7.1.6未完整上传响应文件电子文档的，或上传的文件打不开的。</w:t>
      </w:r>
    </w:p>
    <w:p w14:paraId="72AA5884">
      <w:pPr>
        <w:keepNext w:val="0"/>
        <w:keepLines w:val="0"/>
        <w:pageBreakBefore w:val="0"/>
        <w:widowControl w:val="0"/>
        <w:spacing w:line="360" w:lineRule="auto"/>
        <w:ind w:firstLine="482"/>
        <w:rPr>
          <w:rFonts w:hint="default" w:ascii="Times New Roman" w:hAnsi="Times New Roman" w:eastAsia="宋体" w:cs="Times New Roman"/>
          <w:b/>
          <w:bCs/>
          <w:color w:val="auto"/>
          <w:szCs w:val="21"/>
          <w:highlight w:val="none"/>
        </w:rPr>
      </w:pPr>
      <w:r>
        <w:rPr>
          <w:rFonts w:hint="default" w:ascii="Times New Roman" w:hAnsi="Times New Roman" w:eastAsia="宋体" w:cs="Times New Roman"/>
          <w:b/>
          <w:bCs/>
          <w:color w:val="auto"/>
          <w:szCs w:val="21"/>
          <w:highlight w:val="none"/>
        </w:rPr>
        <w:t>7.1.7磋商小组认为供应商的报价明显低于其他通过符合性审查供应商的报价，有可能影响产品质量或者不能诚信履约的，应当要求其在30分钟内提供书面说明，必要时提交相关证明材料；供应商不能证明其报价合理性的，磋商小组应当将其作为无效响应处理。</w:t>
      </w:r>
    </w:p>
    <w:p w14:paraId="37F63471">
      <w:pPr>
        <w:keepNext w:val="0"/>
        <w:keepLines w:val="0"/>
        <w:pageBreakBefore w:val="0"/>
        <w:widowControl w:val="0"/>
        <w:spacing w:line="360" w:lineRule="auto"/>
        <w:ind w:firstLine="482"/>
        <w:rPr>
          <w:rFonts w:hint="default" w:ascii="Times New Roman" w:hAnsi="Times New Roman" w:eastAsia="宋体" w:cs="Times New Roman"/>
          <w:b/>
          <w:bCs/>
          <w:color w:val="auto"/>
          <w:szCs w:val="21"/>
          <w:highlight w:val="none"/>
        </w:rPr>
      </w:pPr>
      <w:r>
        <w:rPr>
          <w:rFonts w:hint="default" w:ascii="Times New Roman" w:hAnsi="Times New Roman" w:eastAsia="宋体" w:cs="Times New Roman"/>
          <w:b/>
          <w:bCs/>
          <w:color w:val="auto"/>
          <w:szCs w:val="21"/>
          <w:highlight w:val="none"/>
        </w:rPr>
        <w:t xml:space="preserve">7.1.8响应报价超过了采购预算或最高限价的。 </w:t>
      </w:r>
    </w:p>
    <w:p w14:paraId="7968ABCD">
      <w:pPr>
        <w:keepNext w:val="0"/>
        <w:keepLines w:val="0"/>
        <w:pageBreakBefore w:val="0"/>
        <w:widowControl w:val="0"/>
        <w:spacing w:line="360" w:lineRule="auto"/>
        <w:ind w:firstLine="482"/>
        <w:rPr>
          <w:rFonts w:hint="default" w:ascii="Times New Roman" w:hAnsi="Times New Roman" w:eastAsia="宋体" w:cs="Times New Roman"/>
          <w:b/>
          <w:bCs/>
          <w:color w:val="auto"/>
          <w:szCs w:val="21"/>
          <w:highlight w:val="none"/>
        </w:rPr>
      </w:pPr>
      <w:r>
        <w:rPr>
          <w:rFonts w:hint="default" w:ascii="Times New Roman" w:hAnsi="Times New Roman" w:eastAsia="宋体" w:cs="Times New Roman"/>
          <w:b/>
          <w:bCs/>
          <w:color w:val="auto"/>
          <w:szCs w:val="21"/>
          <w:highlight w:val="none"/>
        </w:rPr>
        <w:t>7.1.9未通过符合性检查的。</w:t>
      </w:r>
    </w:p>
    <w:p w14:paraId="28F901B4">
      <w:pPr>
        <w:keepNext w:val="0"/>
        <w:keepLines w:val="0"/>
        <w:pageBreakBefore w:val="0"/>
        <w:widowControl w:val="0"/>
        <w:spacing w:line="360" w:lineRule="auto"/>
        <w:ind w:firstLine="482"/>
        <w:rPr>
          <w:rFonts w:hint="default" w:ascii="Times New Roman" w:hAnsi="Times New Roman" w:eastAsia="宋体" w:cs="Times New Roman"/>
          <w:b/>
          <w:bCs/>
          <w:color w:val="auto"/>
          <w:szCs w:val="21"/>
          <w:highlight w:val="none"/>
        </w:rPr>
      </w:pPr>
      <w:r>
        <w:rPr>
          <w:rFonts w:hint="default" w:ascii="Times New Roman" w:hAnsi="Times New Roman" w:eastAsia="宋体" w:cs="Times New Roman"/>
          <w:b/>
          <w:bCs/>
          <w:color w:val="auto"/>
          <w:szCs w:val="21"/>
          <w:highlight w:val="none"/>
        </w:rPr>
        <w:t>7.1.10不符合法律法规和磋商文件中规定的其他实质性要求的。</w:t>
      </w:r>
    </w:p>
    <w:p w14:paraId="42ED0E04">
      <w:pPr>
        <w:keepNext w:val="0"/>
        <w:keepLines w:val="0"/>
        <w:pageBreakBefore w:val="0"/>
        <w:widowControl w:val="0"/>
        <w:spacing w:line="360" w:lineRule="auto"/>
        <w:ind w:firstLine="482"/>
        <w:rPr>
          <w:rFonts w:hint="default" w:ascii="Times New Roman" w:hAnsi="Times New Roman" w:eastAsia="宋体" w:cs="Times New Roman"/>
          <w:b/>
          <w:bCs/>
          <w:color w:val="auto"/>
          <w:szCs w:val="21"/>
          <w:highlight w:val="none"/>
        </w:rPr>
      </w:pPr>
      <w:r>
        <w:rPr>
          <w:rFonts w:hint="default" w:ascii="Times New Roman" w:hAnsi="Times New Roman" w:eastAsia="宋体" w:cs="Times New Roman"/>
          <w:b/>
          <w:bCs/>
          <w:color w:val="auto"/>
          <w:szCs w:val="21"/>
          <w:highlight w:val="none"/>
        </w:rPr>
        <w:t>7.1.11供应商被“信用中国”网站（www.creditchina.gov.cn）列入失信被执行人或政府采购严重失信行为记录名单，或查询“信用中国”网站后发现供应商存在其他不符合《中华人民共和国政府采购法》第二十二条规定条件的信用记录。</w:t>
      </w:r>
    </w:p>
    <w:p w14:paraId="482AA813">
      <w:pPr>
        <w:keepNext w:val="0"/>
        <w:keepLines w:val="0"/>
        <w:pageBreakBefore w:val="0"/>
        <w:widowControl w:val="0"/>
        <w:spacing w:line="360" w:lineRule="auto"/>
        <w:ind w:firstLine="482"/>
        <w:rPr>
          <w:rFonts w:hint="default" w:ascii="Times New Roman" w:hAnsi="Times New Roman" w:eastAsia="宋体" w:cs="Times New Roman"/>
          <w:b/>
          <w:bCs/>
          <w:color w:val="auto"/>
          <w:szCs w:val="21"/>
          <w:highlight w:val="none"/>
        </w:rPr>
      </w:pPr>
      <w:r>
        <w:rPr>
          <w:rFonts w:hint="default" w:ascii="Times New Roman" w:hAnsi="Times New Roman" w:eastAsia="宋体" w:cs="Times New Roman"/>
          <w:b/>
          <w:bCs/>
          <w:color w:val="auto"/>
          <w:szCs w:val="21"/>
          <w:highlight w:val="none"/>
        </w:rPr>
        <w:t>7.1.12响应文件含有采购人不能接受的附加条件的。</w:t>
      </w:r>
    </w:p>
    <w:p w14:paraId="55151FF5">
      <w:pPr>
        <w:keepNext w:val="0"/>
        <w:keepLines w:val="0"/>
        <w:pageBreakBefore w:val="0"/>
        <w:widowControl w:val="0"/>
        <w:spacing w:line="360" w:lineRule="auto"/>
        <w:ind w:firstLine="482"/>
        <w:rPr>
          <w:rFonts w:hint="default" w:ascii="Times New Roman" w:hAnsi="Times New Roman" w:eastAsia="宋体" w:cs="Times New Roman"/>
          <w:b/>
          <w:bCs/>
          <w:color w:val="auto"/>
          <w:szCs w:val="21"/>
          <w:highlight w:val="none"/>
        </w:rPr>
      </w:pPr>
      <w:r>
        <w:rPr>
          <w:rFonts w:hint="default" w:ascii="Times New Roman" w:hAnsi="Times New Roman" w:eastAsia="宋体" w:cs="Times New Roman"/>
          <w:b/>
          <w:bCs/>
          <w:color w:val="auto"/>
          <w:szCs w:val="21"/>
          <w:highlight w:val="none"/>
        </w:rPr>
        <w:t>7.1.1</w:t>
      </w:r>
      <w:r>
        <w:rPr>
          <w:rFonts w:hint="default" w:ascii="Times New Roman" w:hAnsi="Times New Roman" w:eastAsia="宋体" w:cs="Times New Roman"/>
          <w:b/>
          <w:bCs/>
          <w:color w:val="auto"/>
          <w:szCs w:val="21"/>
          <w:highlight w:val="none"/>
          <w:lang w:val="en-US" w:eastAsia="zh-CN"/>
        </w:rPr>
        <w:t>3</w:t>
      </w:r>
      <w:r>
        <w:rPr>
          <w:rFonts w:hint="default" w:ascii="Times New Roman" w:hAnsi="Times New Roman" w:eastAsia="宋体" w:cs="Times New Roman"/>
          <w:b/>
          <w:bCs/>
          <w:color w:val="auto"/>
          <w:szCs w:val="21"/>
          <w:highlight w:val="none"/>
        </w:rPr>
        <w:t>响应文件未按照磋商文件要求加盖电子签章。</w:t>
      </w:r>
    </w:p>
    <w:p w14:paraId="31699B27">
      <w:pPr>
        <w:keepNext w:val="0"/>
        <w:keepLines w:val="0"/>
        <w:pageBreakBefore w:val="0"/>
        <w:widowControl w:val="0"/>
        <w:spacing w:line="360" w:lineRule="auto"/>
        <w:ind w:firstLine="482"/>
        <w:rPr>
          <w:rFonts w:hint="default" w:ascii="Times New Roman" w:hAnsi="Times New Roman" w:eastAsia="宋体" w:cs="Times New Roman"/>
          <w:b/>
          <w:bCs/>
          <w:color w:val="auto"/>
          <w:szCs w:val="21"/>
          <w:highlight w:val="none"/>
        </w:rPr>
      </w:pPr>
      <w:r>
        <w:rPr>
          <w:rFonts w:hint="default" w:ascii="Times New Roman" w:hAnsi="Times New Roman" w:eastAsia="宋体" w:cs="Times New Roman"/>
          <w:b/>
          <w:color w:val="auto"/>
          <w:szCs w:val="21"/>
          <w:highlight w:val="none"/>
        </w:rPr>
        <w:t>注：凡是响应文件中要求法定代表人或授权委托人签字，和以供应商名称落款并注明需要盖章的，均需相应盖章（或电子签章）或签字。否则视为未按照采购文件要求盖章或签字。</w:t>
      </w:r>
    </w:p>
    <w:p w14:paraId="4D8A20E7">
      <w:pPr>
        <w:keepNext w:val="0"/>
        <w:keepLines w:val="0"/>
        <w:pageBreakBefore w:val="0"/>
        <w:widowControl w:val="0"/>
        <w:spacing w:line="360" w:lineRule="auto"/>
        <w:ind w:firstLine="482"/>
        <w:rPr>
          <w:rFonts w:hint="default" w:ascii="Times New Roman" w:hAnsi="Times New Roman" w:eastAsia="宋体" w:cs="Times New Roman"/>
          <w:b/>
          <w:bCs/>
          <w:color w:val="auto"/>
          <w:szCs w:val="21"/>
          <w:highlight w:val="none"/>
        </w:rPr>
      </w:pPr>
      <w:r>
        <w:rPr>
          <w:rFonts w:hint="default" w:ascii="Times New Roman" w:hAnsi="Times New Roman" w:eastAsia="宋体" w:cs="Times New Roman"/>
          <w:b/>
          <w:bCs/>
          <w:color w:val="auto"/>
          <w:szCs w:val="21"/>
          <w:highlight w:val="none"/>
        </w:rPr>
        <w:t>7.1.1</w:t>
      </w:r>
      <w:r>
        <w:rPr>
          <w:rFonts w:hint="default" w:ascii="Times New Roman" w:hAnsi="Times New Roman" w:eastAsia="宋体" w:cs="Times New Roman"/>
          <w:b/>
          <w:bCs/>
          <w:color w:val="auto"/>
          <w:szCs w:val="21"/>
          <w:highlight w:val="none"/>
          <w:lang w:val="en-US" w:eastAsia="zh-CN"/>
        </w:rPr>
        <w:t>4</w:t>
      </w:r>
      <w:r>
        <w:rPr>
          <w:rFonts w:hint="default" w:ascii="Times New Roman" w:hAnsi="Times New Roman" w:eastAsia="宋体" w:cs="Times New Roman"/>
          <w:b/>
          <w:bCs/>
          <w:color w:val="auto"/>
          <w:szCs w:val="21"/>
          <w:highlight w:val="none"/>
        </w:rPr>
        <w:t>供应商的商务技术部分得分相差悬殊，评审委员会认为得分畸低者没有实质性响应的。</w:t>
      </w:r>
    </w:p>
    <w:p w14:paraId="2F0B62AA">
      <w:pPr>
        <w:keepNext w:val="0"/>
        <w:keepLines w:val="0"/>
        <w:pageBreakBefore w:val="0"/>
        <w:widowControl w:val="0"/>
        <w:spacing w:line="360" w:lineRule="auto"/>
        <w:ind w:firstLine="482"/>
        <w:rPr>
          <w:rFonts w:hint="default" w:ascii="Times New Roman" w:hAnsi="Times New Roman" w:eastAsia="宋体" w:cs="Times New Roman"/>
          <w:b/>
          <w:color w:val="auto"/>
          <w:szCs w:val="21"/>
          <w:highlight w:val="none"/>
        </w:rPr>
      </w:pPr>
      <w:r>
        <w:rPr>
          <w:rFonts w:hint="default" w:ascii="Times New Roman" w:hAnsi="Times New Roman" w:eastAsia="宋体" w:cs="Times New Roman"/>
          <w:b/>
          <w:bCs/>
          <w:color w:val="auto"/>
          <w:szCs w:val="21"/>
          <w:highlight w:val="none"/>
        </w:rPr>
        <w:t>7.1.1</w:t>
      </w:r>
      <w:r>
        <w:rPr>
          <w:rFonts w:hint="default" w:ascii="Times New Roman" w:hAnsi="Times New Roman" w:eastAsia="宋体" w:cs="Times New Roman"/>
          <w:b/>
          <w:bCs/>
          <w:color w:val="auto"/>
          <w:szCs w:val="21"/>
          <w:highlight w:val="none"/>
          <w:lang w:val="en-US" w:eastAsia="zh-CN"/>
        </w:rPr>
        <w:t>5</w:t>
      </w:r>
      <w:r>
        <w:rPr>
          <w:rFonts w:hint="default" w:ascii="Times New Roman" w:hAnsi="Times New Roman" w:eastAsia="宋体" w:cs="Times New Roman"/>
          <w:b/>
          <w:color w:val="auto"/>
          <w:szCs w:val="21"/>
          <w:highlight w:val="none"/>
        </w:rPr>
        <w:t>不同供应商的响应文件由同一单位或者个人编制的；不同供应商的磋商响应文件相互混传。</w:t>
      </w:r>
    </w:p>
    <w:p w14:paraId="77C96B22">
      <w:pPr>
        <w:keepNext w:val="0"/>
        <w:keepLines w:val="0"/>
        <w:pageBreakBefore w:val="0"/>
        <w:widowControl w:val="0"/>
        <w:spacing w:line="360" w:lineRule="auto"/>
        <w:ind w:firstLine="482"/>
        <w:rPr>
          <w:rFonts w:hint="default" w:ascii="Times New Roman" w:hAnsi="Times New Roman" w:eastAsia="宋体" w:cs="Times New Roman"/>
          <w:b/>
          <w:color w:val="auto"/>
          <w:szCs w:val="21"/>
          <w:highlight w:val="none"/>
        </w:rPr>
      </w:pPr>
      <w:r>
        <w:rPr>
          <w:rFonts w:hint="default" w:ascii="Times New Roman" w:hAnsi="Times New Roman" w:eastAsia="宋体" w:cs="Times New Roman"/>
          <w:b/>
          <w:color w:val="auto"/>
          <w:szCs w:val="21"/>
          <w:highlight w:val="none"/>
        </w:rPr>
        <w:t>7.1.1</w:t>
      </w:r>
      <w:r>
        <w:rPr>
          <w:rFonts w:hint="default" w:ascii="Times New Roman" w:hAnsi="Times New Roman" w:eastAsia="宋体" w:cs="Times New Roman"/>
          <w:b/>
          <w:color w:val="auto"/>
          <w:szCs w:val="21"/>
          <w:highlight w:val="none"/>
          <w:lang w:val="en-US" w:eastAsia="zh-CN"/>
        </w:rPr>
        <w:t>6</w:t>
      </w:r>
      <w:r>
        <w:rPr>
          <w:rFonts w:hint="default" w:ascii="Times New Roman" w:hAnsi="Times New Roman" w:eastAsia="宋体" w:cs="Times New Roman"/>
          <w:b/>
          <w:color w:val="auto"/>
          <w:szCs w:val="21"/>
          <w:highlight w:val="none"/>
        </w:rPr>
        <w:t>不同供应商委托同一单位或者个人办理磋商事宜；不同供应商的磋商响应文件错漏之处雷同。</w:t>
      </w:r>
    </w:p>
    <w:p w14:paraId="723C8AE4">
      <w:pPr>
        <w:keepNext w:val="0"/>
        <w:keepLines w:val="0"/>
        <w:pageBreakBefore w:val="0"/>
        <w:widowControl w:val="0"/>
        <w:spacing w:line="360" w:lineRule="auto"/>
        <w:ind w:firstLine="482"/>
        <w:rPr>
          <w:rFonts w:hint="default" w:ascii="Times New Roman" w:hAnsi="Times New Roman" w:eastAsia="宋体" w:cs="Times New Roman"/>
          <w:b/>
          <w:color w:val="auto"/>
          <w:szCs w:val="21"/>
          <w:highlight w:val="none"/>
        </w:rPr>
      </w:pPr>
      <w:r>
        <w:rPr>
          <w:rFonts w:hint="default" w:ascii="Times New Roman" w:hAnsi="Times New Roman" w:eastAsia="宋体" w:cs="Times New Roman"/>
          <w:b/>
          <w:color w:val="auto"/>
          <w:szCs w:val="21"/>
          <w:highlight w:val="none"/>
        </w:rPr>
        <w:t>7.1.1</w:t>
      </w:r>
      <w:r>
        <w:rPr>
          <w:rFonts w:hint="default" w:ascii="Times New Roman" w:hAnsi="Times New Roman" w:eastAsia="宋体" w:cs="Times New Roman"/>
          <w:b/>
          <w:color w:val="auto"/>
          <w:szCs w:val="21"/>
          <w:highlight w:val="none"/>
          <w:lang w:val="en-US" w:eastAsia="zh-CN"/>
        </w:rPr>
        <w:t>7</w:t>
      </w:r>
      <w:r>
        <w:rPr>
          <w:rFonts w:hint="default" w:ascii="Times New Roman" w:hAnsi="Times New Roman" w:eastAsia="宋体" w:cs="Times New Roman"/>
          <w:b/>
          <w:color w:val="auto"/>
          <w:szCs w:val="21"/>
          <w:highlight w:val="none"/>
        </w:rPr>
        <w:t>不同供应商的响应文件载明的项目管理成员或者联系人员为同一人。</w:t>
      </w:r>
    </w:p>
    <w:p w14:paraId="4162A097">
      <w:pPr>
        <w:keepNext w:val="0"/>
        <w:keepLines w:val="0"/>
        <w:pageBreakBefore w:val="0"/>
        <w:widowControl w:val="0"/>
        <w:spacing w:line="360" w:lineRule="auto"/>
        <w:ind w:firstLine="482"/>
        <w:rPr>
          <w:rFonts w:hint="default" w:ascii="Times New Roman" w:hAnsi="Times New Roman" w:eastAsia="宋体" w:cs="Times New Roman"/>
          <w:b/>
          <w:color w:val="auto"/>
          <w:szCs w:val="21"/>
          <w:highlight w:val="none"/>
        </w:rPr>
      </w:pPr>
      <w:r>
        <w:rPr>
          <w:rFonts w:hint="default" w:ascii="Times New Roman" w:hAnsi="Times New Roman" w:eastAsia="宋体" w:cs="Times New Roman"/>
          <w:b/>
          <w:color w:val="auto"/>
          <w:szCs w:val="21"/>
          <w:highlight w:val="none"/>
        </w:rPr>
        <w:t>7.1.1</w:t>
      </w:r>
      <w:r>
        <w:rPr>
          <w:rFonts w:hint="default" w:ascii="Times New Roman" w:hAnsi="Times New Roman" w:eastAsia="宋体" w:cs="Times New Roman"/>
          <w:b/>
          <w:color w:val="auto"/>
          <w:szCs w:val="21"/>
          <w:highlight w:val="none"/>
          <w:lang w:val="en-US" w:eastAsia="zh-CN"/>
        </w:rPr>
        <w:t>8</w:t>
      </w:r>
      <w:r>
        <w:rPr>
          <w:rFonts w:hint="default" w:ascii="Times New Roman" w:hAnsi="Times New Roman" w:eastAsia="宋体" w:cs="Times New Roman"/>
          <w:b/>
          <w:color w:val="auto"/>
          <w:szCs w:val="21"/>
          <w:highlight w:val="none"/>
        </w:rPr>
        <w:t>不同供应商的响应文件异常一致或者响应报价呈规律性差异。</w:t>
      </w:r>
    </w:p>
    <w:p w14:paraId="256A4F6B">
      <w:pPr>
        <w:keepNext w:val="0"/>
        <w:keepLines w:val="0"/>
        <w:pageBreakBefore w:val="0"/>
        <w:widowControl w:val="0"/>
        <w:spacing w:line="360" w:lineRule="auto"/>
        <w:ind w:firstLine="482"/>
        <w:rPr>
          <w:rFonts w:hint="default" w:ascii="Times New Roman" w:hAnsi="Times New Roman" w:eastAsia="宋体" w:cs="Times New Roman"/>
          <w:b/>
          <w:color w:val="auto"/>
          <w:szCs w:val="21"/>
          <w:highlight w:val="none"/>
        </w:rPr>
      </w:pPr>
      <w:r>
        <w:rPr>
          <w:rFonts w:hint="default" w:ascii="Times New Roman" w:hAnsi="Times New Roman" w:eastAsia="宋体" w:cs="Times New Roman"/>
          <w:b/>
          <w:color w:val="auto"/>
          <w:szCs w:val="21"/>
          <w:highlight w:val="none"/>
        </w:rPr>
        <w:t>7.1.</w:t>
      </w:r>
      <w:r>
        <w:rPr>
          <w:rFonts w:hint="default" w:ascii="Times New Roman" w:hAnsi="Times New Roman" w:eastAsia="宋体" w:cs="Times New Roman"/>
          <w:b/>
          <w:color w:val="auto"/>
          <w:szCs w:val="21"/>
          <w:highlight w:val="none"/>
          <w:lang w:val="en-US" w:eastAsia="zh-CN"/>
        </w:rPr>
        <w:t>19</w:t>
      </w:r>
      <w:r>
        <w:rPr>
          <w:rFonts w:hint="default" w:ascii="Times New Roman" w:hAnsi="Times New Roman" w:eastAsia="宋体" w:cs="Times New Roman"/>
          <w:b/>
          <w:color w:val="auto"/>
          <w:szCs w:val="21"/>
          <w:highlight w:val="none"/>
        </w:rPr>
        <w:t>供应商之间相互约定，一致抬高或压低响应报价。</w:t>
      </w:r>
    </w:p>
    <w:p w14:paraId="4A84C020">
      <w:pPr>
        <w:keepNext w:val="0"/>
        <w:keepLines w:val="0"/>
        <w:pageBreakBefore w:val="0"/>
        <w:widowControl w:val="0"/>
        <w:spacing w:line="360" w:lineRule="auto"/>
        <w:ind w:firstLine="482"/>
        <w:rPr>
          <w:rFonts w:hint="default" w:ascii="Times New Roman" w:hAnsi="Times New Roman" w:eastAsia="宋体" w:cs="Times New Roman"/>
          <w:b/>
          <w:color w:val="auto"/>
          <w:szCs w:val="21"/>
          <w:highlight w:val="none"/>
        </w:rPr>
      </w:pPr>
      <w:r>
        <w:rPr>
          <w:rFonts w:hint="default" w:ascii="Times New Roman" w:hAnsi="Times New Roman" w:eastAsia="宋体" w:cs="Times New Roman"/>
          <w:b/>
          <w:color w:val="auto"/>
          <w:szCs w:val="21"/>
          <w:highlight w:val="none"/>
        </w:rPr>
        <w:t>7.1.2</w:t>
      </w:r>
      <w:r>
        <w:rPr>
          <w:rFonts w:hint="default" w:ascii="Times New Roman" w:hAnsi="Times New Roman" w:eastAsia="宋体" w:cs="Times New Roman"/>
          <w:b/>
          <w:color w:val="auto"/>
          <w:szCs w:val="21"/>
          <w:highlight w:val="none"/>
          <w:lang w:val="en-US" w:eastAsia="zh-CN"/>
        </w:rPr>
        <w:t>0</w:t>
      </w:r>
      <w:r>
        <w:rPr>
          <w:rFonts w:hint="default" w:ascii="Times New Roman" w:hAnsi="Times New Roman" w:eastAsia="宋体" w:cs="Times New Roman"/>
          <w:b/>
          <w:color w:val="auto"/>
          <w:szCs w:val="21"/>
          <w:highlight w:val="none"/>
        </w:rPr>
        <w:t>供应商之间相互约定，在磋商项目中轮流以高价位或低价位成交。</w:t>
      </w:r>
    </w:p>
    <w:p w14:paraId="5D0FAB61">
      <w:pPr>
        <w:keepNext w:val="0"/>
        <w:keepLines w:val="0"/>
        <w:pageBreakBefore w:val="0"/>
        <w:widowControl w:val="0"/>
        <w:spacing w:line="360" w:lineRule="auto"/>
        <w:ind w:firstLine="482"/>
        <w:rPr>
          <w:rFonts w:hint="default" w:ascii="Times New Roman" w:hAnsi="Times New Roman" w:eastAsia="宋体" w:cs="Times New Roman"/>
          <w:b/>
          <w:color w:val="auto"/>
          <w:szCs w:val="21"/>
          <w:highlight w:val="none"/>
        </w:rPr>
      </w:pPr>
      <w:r>
        <w:rPr>
          <w:rFonts w:hint="default" w:ascii="Times New Roman" w:hAnsi="Times New Roman" w:eastAsia="宋体" w:cs="Times New Roman"/>
          <w:b/>
          <w:color w:val="auto"/>
          <w:szCs w:val="21"/>
          <w:highlight w:val="none"/>
        </w:rPr>
        <w:t>7.1.2</w:t>
      </w:r>
      <w:r>
        <w:rPr>
          <w:rFonts w:hint="default" w:ascii="Times New Roman" w:hAnsi="Times New Roman" w:eastAsia="宋体" w:cs="Times New Roman"/>
          <w:b/>
          <w:color w:val="auto"/>
          <w:szCs w:val="21"/>
          <w:highlight w:val="none"/>
          <w:lang w:val="en-US" w:eastAsia="zh-CN"/>
        </w:rPr>
        <w:t>1</w:t>
      </w:r>
      <w:r>
        <w:rPr>
          <w:rFonts w:hint="default" w:ascii="Times New Roman" w:hAnsi="Times New Roman" w:eastAsia="宋体" w:cs="Times New Roman"/>
          <w:b/>
          <w:color w:val="auto"/>
          <w:szCs w:val="21"/>
          <w:highlight w:val="none"/>
        </w:rPr>
        <w:t>不同供应商的技术服务方案（或施工组织设计方案）基本雷同的；不同供应商的磋商响应文件出现了评审委员会认为不应当雷同的情况。</w:t>
      </w:r>
    </w:p>
    <w:p w14:paraId="5EFF91BD">
      <w:pPr>
        <w:keepNext w:val="0"/>
        <w:keepLines w:val="0"/>
        <w:pageBreakBefore w:val="0"/>
        <w:widowControl w:val="0"/>
        <w:spacing w:line="360" w:lineRule="auto"/>
        <w:ind w:firstLine="482"/>
        <w:rPr>
          <w:rFonts w:hint="default" w:ascii="Times New Roman" w:hAnsi="Times New Roman" w:eastAsia="宋体" w:cs="Times New Roman"/>
          <w:b/>
          <w:color w:val="auto"/>
          <w:szCs w:val="21"/>
          <w:highlight w:val="none"/>
        </w:rPr>
      </w:pPr>
      <w:r>
        <w:rPr>
          <w:rFonts w:hint="default" w:ascii="Times New Roman" w:hAnsi="Times New Roman" w:eastAsia="宋体" w:cs="Times New Roman"/>
          <w:b/>
          <w:color w:val="auto"/>
          <w:szCs w:val="21"/>
          <w:highlight w:val="none"/>
        </w:rPr>
        <w:t>7.1.2</w:t>
      </w:r>
      <w:r>
        <w:rPr>
          <w:rFonts w:hint="default" w:ascii="Times New Roman" w:hAnsi="Times New Roman" w:eastAsia="宋体" w:cs="Times New Roman"/>
          <w:b/>
          <w:color w:val="auto"/>
          <w:szCs w:val="21"/>
          <w:highlight w:val="none"/>
          <w:lang w:val="en-US" w:eastAsia="zh-CN"/>
        </w:rPr>
        <w:t>2</w:t>
      </w:r>
      <w:r>
        <w:rPr>
          <w:rFonts w:hint="default" w:ascii="Times New Roman" w:hAnsi="Times New Roman" w:eastAsia="宋体" w:cs="Times New Roman"/>
          <w:b/>
          <w:color w:val="auto"/>
          <w:szCs w:val="21"/>
          <w:highlight w:val="none"/>
        </w:rPr>
        <w:t>开标前已有举报，开标后发现各响应单位的报价情况与举报情况相吻合的。</w:t>
      </w:r>
    </w:p>
    <w:p w14:paraId="5E739A5A">
      <w:pPr>
        <w:keepNext w:val="0"/>
        <w:keepLines w:val="0"/>
        <w:pageBreakBefore w:val="0"/>
        <w:widowControl w:val="0"/>
        <w:spacing w:line="360" w:lineRule="auto"/>
        <w:ind w:firstLine="482"/>
        <w:rPr>
          <w:rFonts w:hint="default" w:ascii="Times New Roman" w:hAnsi="Times New Roman" w:eastAsia="宋体" w:cs="Times New Roman"/>
          <w:b/>
          <w:color w:val="auto"/>
          <w:szCs w:val="21"/>
          <w:highlight w:val="none"/>
        </w:rPr>
      </w:pPr>
      <w:r>
        <w:rPr>
          <w:rFonts w:hint="default" w:ascii="Times New Roman" w:hAnsi="Times New Roman" w:eastAsia="宋体" w:cs="Times New Roman"/>
          <w:b/>
          <w:color w:val="auto"/>
          <w:szCs w:val="21"/>
          <w:highlight w:val="none"/>
        </w:rPr>
        <w:t>7.1.2</w:t>
      </w:r>
      <w:r>
        <w:rPr>
          <w:rFonts w:hint="default" w:ascii="Times New Roman" w:hAnsi="Times New Roman" w:eastAsia="宋体" w:cs="Times New Roman"/>
          <w:b/>
          <w:color w:val="auto"/>
          <w:szCs w:val="21"/>
          <w:highlight w:val="none"/>
          <w:lang w:val="en-US" w:eastAsia="zh-CN"/>
        </w:rPr>
        <w:t>3</w:t>
      </w:r>
      <w:r>
        <w:rPr>
          <w:rFonts w:hint="default" w:ascii="Times New Roman" w:hAnsi="Times New Roman" w:eastAsia="宋体" w:cs="Times New Roman"/>
          <w:b/>
          <w:color w:val="auto"/>
          <w:szCs w:val="21"/>
          <w:highlight w:val="none"/>
        </w:rPr>
        <w:t>磋商小组一致认定判为无效响应的。</w:t>
      </w:r>
    </w:p>
    <w:p w14:paraId="43D98CE1">
      <w:pPr>
        <w:keepNext w:val="0"/>
        <w:keepLines w:val="0"/>
        <w:pageBreakBefore w:val="0"/>
        <w:widowControl w:val="0"/>
        <w:spacing w:line="360" w:lineRule="auto"/>
        <w:ind w:firstLine="482"/>
        <w:rPr>
          <w:rFonts w:hint="default" w:ascii="Times New Roman" w:hAnsi="Times New Roman" w:eastAsia="宋体" w:cs="Times New Roman"/>
          <w:b/>
          <w:bCs/>
          <w:color w:val="auto"/>
          <w:szCs w:val="21"/>
          <w:highlight w:val="none"/>
        </w:rPr>
      </w:pPr>
      <w:r>
        <w:rPr>
          <w:rFonts w:hint="default" w:ascii="Times New Roman" w:hAnsi="Times New Roman" w:eastAsia="宋体" w:cs="Times New Roman"/>
          <w:b/>
          <w:bCs/>
          <w:color w:val="auto"/>
          <w:szCs w:val="21"/>
          <w:highlight w:val="none"/>
        </w:rPr>
        <w:t>7.1.2</w:t>
      </w:r>
      <w:r>
        <w:rPr>
          <w:rFonts w:hint="default" w:ascii="Times New Roman" w:hAnsi="Times New Roman" w:eastAsia="宋体" w:cs="Times New Roman"/>
          <w:b/>
          <w:bCs/>
          <w:color w:val="auto"/>
          <w:szCs w:val="21"/>
          <w:highlight w:val="none"/>
          <w:lang w:val="en-US" w:eastAsia="zh-CN"/>
        </w:rPr>
        <w:t>4</w:t>
      </w:r>
      <w:r>
        <w:rPr>
          <w:rFonts w:hint="default" w:ascii="Times New Roman" w:hAnsi="Times New Roman" w:eastAsia="宋体" w:cs="Times New Roman"/>
          <w:b/>
          <w:bCs/>
          <w:color w:val="auto"/>
          <w:szCs w:val="21"/>
          <w:highlight w:val="none"/>
        </w:rPr>
        <w:t>不同的供应商响应文件制作机器码、文件创建标识码一致的。</w:t>
      </w:r>
    </w:p>
    <w:p w14:paraId="7515D6A9">
      <w:pPr>
        <w:keepNext w:val="0"/>
        <w:keepLines w:val="0"/>
        <w:pageBreakBefore w:val="0"/>
        <w:widowControl w:val="0"/>
        <w:spacing w:line="360" w:lineRule="auto"/>
        <w:ind w:firstLine="482"/>
        <w:rPr>
          <w:rFonts w:hint="default" w:ascii="Times New Roman" w:hAnsi="Times New Roman" w:eastAsia="宋体" w:cs="Times New Roman"/>
          <w:b/>
          <w:bCs/>
          <w:color w:val="auto"/>
          <w:szCs w:val="21"/>
          <w:highlight w:val="none"/>
          <w:lang w:val="en-US" w:eastAsia="zh-CN"/>
        </w:rPr>
      </w:pPr>
      <w:r>
        <w:rPr>
          <w:rFonts w:hint="default" w:ascii="Times New Roman" w:hAnsi="Times New Roman" w:eastAsia="宋体" w:cs="Times New Roman"/>
          <w:b/>
          <w:bCs/>
          <w:color w:val="auto"/>
          <w:szCs w:val="21"/>
          <w:highlight w:val="none"/>
          <w:lang w:val="en-US" w:eastAsia="zh-CN"/>
        </w:rPr>
        <w:t>7.1.2</w:t>
      </w:r>
      <w:r>
        <w:rPr>
          <w:rFonts w:hint="default" w:ascii="Times New Roman" w:hAnsi="Times New Roman" w:cs="Times New Roman"/>
          <w:b/>
          <w:bCs/>
          <w:color w:val="auto"/>
          <w:szCs w:val="21"/>
          <w:highlight w:val="none"/>
          <w:lang w:val="en-US" w:eastAsia="zh-CN"/>
        </w:rPr>
        <w:t>5</w:t>
      </w:r>
      <w:r>
        <w:rPr>
          <w:rFonts w:hint="default" w:ascii="Times New Roman" w:hAnsi="Times New Roman" w:eastAsia="宋体" w:cs="Times New Roman"/>
          <w:b/>
          <w:bCs/>
          <w:color w:val="auto"/>
          <w:szCs w:val="21"/>
          <w:highlight w:val="none"/>
        </w:rPr>
        <w:t>拟派驻专家团队未满足磋商文件第四章项目需求中规定的人员资质及数量最低要求的。</w:t>
      </w:r>
    </w:p>
    <w:p w14:paraId="4B7ADB6E">
      <w:pPr>
        <w:keepNext w:val="0"/>
        <w:keepLines w:val="0"/>
        <w:pageBreakBefore w:val="0"/>
        <w:widowControl w:val="0"/>
        <w:spacing w:line="360" w:lineRule="auto"/>
        <w:ind w:firstLine="482"/>
        <w:rPr>
          <w:rFonts w:hint="default" w:ascii="Times New Roman" w:hAnsi="Times New Roman" w:eastAsia="宋体" w:cs="Times New Roman"/>
          <w:b/>
          <w:bCs/>
          <w:color w:val="auto"/>
          <w:szCs w:val="21"/>
          <w:highlight w:val="none"/>
        </w:rPr>
      </w:pPr>
      <w:r>
        <w:rPr>
          <w:rFonts w:hint="default" w:ascii="Times New Roman" w:hAnsi="Times New Roman" w:eastAsia="宋体" w:cs="Times New Roman"/>
          <w:b/>
          <w:bCs/>
          <w:color w:val="auto"/>
          <w:szCs w:val="21"/>
          <w:highlight w:val="none"/>
        </w:rPr>
        <w:t>其他法律法规及本磋商文件规定的属无效响应的情形：</w:t>
      </w:r>
    </w:p>
    <w:p w14:paraId="7E8D19D4">
      <w:pPr>
        <w:keepNext w:val="0"/>
        <w:keepLines w:val="0"/>
        <w:pageBreakBefore w:val="0"/>
        <w:widowControl w:val="0"/>
        <w:spacing w:line="360" w:lineRule="auto"/>
        <w:ind w:firstLine="482"/>
        <w:rPr>
          <w:rFonts w:hint="default" w:ascii="Times New Roman" w:hAnsi="Times New Roman" w:eastAsia="宋体" w:cs="Times New Roman"/>
          <w:b/>
          <w:color w:val="auto"/>
          <w:szCs w:val="21"/>
          <w:highlight w:val="none"/>
        </w:rPr>
      </w:pPr>
      <w:r>
        <w:rPr>
          <w:rFonts w:hint="default" w:ascii="Times New Roman" w:hAnsi="Times New Roman" w:eastAsia="宋体" w:cs="Times New Roman"/>
          <w:b/>
          <w:bCs/>
          <w:color w:val="auto"/>
          <w:szCs w:val="21"/>
          <w:highlight w:val="none"/>
        </w:rPr>
        <w:t>7.2</w:t>
      </w:r>
      <w:r>
        <w:rPr>
          <w:rFonts w:hint="default" w:ascii="Times New Roman" w:hAnsi="Times New Roman" w:eastAsia="宋体" w:cs="Times New Roman"/>
          <w:b/>
          <w:color w:val="auto"/>
          <w:szCs w:val="21"/>
          <w:highlight w:val="none"/>
        </w:rPr>
        <w:t xml:space="preserve">凡磋商响应文件有下列情形之一的，属于重大偏差，视同未能对采购文件作出实质性响应，按废标处理。 </w:t>
      </w:r>
    </w:p>
    <w:p w14:paraId="68CCBDE1">
      <w:pPr>
        <w:keepNext w:val="0"/>
        <w:keepLines w:val="0"/>
        <w:pageBreakBefore w:val="0"/>
        <w:widowControl w:val="0"/>
        <w:spacing w:line="360" w:lineRule="auto"/>
        <w:ind w:firstLine="482"/>
        <w:rPr>
          <w:rFonts w:hint="default" w:ascii="Times New Roman" w:hAnsi="Times New Roman" w:eastAsia="宋体" w:cs="Times New Roman"/>
          <w:b/>
          <w:color w:val="auto"/>
          <w:szCs w:val="21"/>
          <w:highlight w:val="none"/>
        </w:rPr>
      </w:pPr>
      <w:r>
        <w:rPr>
          <w:rFonts w:hint="default" w:ascii="Times New Roman" w:hAnsi="Times New Roman" w:eastAsia="宋体" w:cs="Times New Roman"/>
          <w:b/>
          <w:color w:val="auto"/>
          <w:szCs w:val="21"/>
          <w:highlight w:val="none"/>
        </w:rPr>
        <w:t>7.2.1法人授权委托书或磋商响应函未加盖供应商公章（或电子印章）的。</w:t>
      </w:r>
    </w:p>
    <w:p w14:paraId="3848D97E">
      <w:pPr>
        <w:keepNext w:val="0"/>
        <w:keepLines w:val="0"/>
        <w:pageBreakBefore w:val="0"/>
        <w:widowControl w:val="0"/>
        <w:spacing w:line="360" w:lineRule="auto"/>
        <w:ind w:firstLine="482"/>
        <w:rPr>
          <w:rFonts w:hint="default" w:ascii="Times New Roman" w:hAnsi="Times New Roman" w:eastAsia="宋体" w:cs="Times New Roman"/>
          <w:b/>
          <w:color w:val="auto"/>
          <w:szCs w:val="21"/>
          <w:highlight w:val="none"/>
        </w:rPr>
      </w:pPr>
      <w:r>
        <w:rPr>
          <w:rFonts w:hint="default" w:ascii="Times New Roman" w:hAnsi="Times New Roman" w:eastAsia="宋体" w:cs="Times New Roman"/>
          <w:b/>
          <w:color w:val="auto"/>
          <w:szCs w:val="21"/>
          <w:highlight w:val="none"/>
        </w:rPr>
        <w:t xml:space="preserve">7.2.2未按采购文件规定的格式填写，内容不全或关键字迹模糊、无法辨认的。 </w:t>
      </w:r>
    </w:p>
    <w:p w14:paraId="4A353A3C">
      <w:pPr>
        <w:keepNext w:val="0"/>
        <w:keepLines w:val="0"/>
        <w:pageBreakBefore w:val="0"/>
        <w:widowControl w:val="0"/>
        <w:spacing w:line="360" w:lineRule="auto"/>
        <w:ind w:firstLine="482"/>
        <w:rPr>
          <w:rFonts w:hint="default" w:ascii="Times New Roman" w:hAnsi="Times New Roman" w:eastAsia="宋体" w:cs="Times New Roman"/>
          <w:b/>
          <w:color w:val="auto"/>
          <w:szCs w:val="21"/>
          <w:highlight w:val="none"/>
        </w:rPr>
      </w:pPr>
      <w:r>
        <w:rPr>
          <w:rFonts w:hint="default" w:ascii="Times New Roman" w:hAnsi="Times New Roman" w:eastAsia="宋体" w:cs="Times New Roman"/>
          <w:b/>
          <w:color w:val="auto"/>
          <w:szCs w:val="21"/>
          <w:highlight w:val="none"/>
        </w:rPr>
        <w:t>7.2.3供应商递交两份或多份内容不同的磋商响应文件，或在一份磋商响应文件中对同一采购项目报有两个或多个报价，且未声明哪一个有效（按采购文件规定提交备选响应方案的除外）。</w:t>
      </w:r>
    </w:p>
    <w:p w14:paraId="277B25BB">
      <w:pPr>
        <w:keepNext w:val="0"/>
        <w:keepLines w:val="0"/>
        <w:pageBreakBefore w:val="0"/>
        <w:widowControl w:val="0"/>
        <w:spacing w:line="360" w:lineRule="auto"/>
        <w:ind w:firstLine="482"/>
        <w:rPr>
          <w:rFonts w:hint="default" w:ascii="Times New Roman" w:hAnsi="Times New Roman" w:eastAsia="宋体" w:cs="Times New Roman"/>
          <w:b/>
          <w:color w:val="auto"/>
          <w:szCs w:val="21"/>
          <w:highlight w:val="none"/>
        </w:rPr>
      </w:pPr>
      <w:r>
        <w:rPr>
          <w:rFonts w:hint="default" w:ascii="Times New Roman" w:hAnsi="Times New Roman" w:eastAsia="宋体" w:cs="Times New Roman"/>
          <w:b/>
          <w:color w:val="auto"/>
          <w:szCs w:val="21"/>
          <w:highlight w:val="none"/>
        </w:rPr>
        <w:t>7.2.4磋商响应文件载明的项目完成期限超过采购文件规定的期限。</w:t>
      </w:r>
    </w:p>
    <w:p w14:paraId="54FF3866">
      <w:pPr>
        <w:keepNext w:val="0"/>
        <w:keepLines w:val="0"/>
        <w:pageBreakBefore w:val="0"/>
        <w:widowControl w:val="0"/>
        <w:spacing w:line="360" w:lineRule="auto"/>
        <w:ind w:firstLine="482"/>
        <w:rPr>
          <w:rFonts w:hint="default" w:ascii="Times New Roman" w:hAnsi="Times New Roman" w:eastAsia="宋体" w:cs="Times New Roman"/>
          <w:b/>
          <w:color w:val="auto"/>
          <w:szCs w:val="21"/>
          <w:highlight w:val="none"/>
        </w:rPr>
      </w:pPr>
      <w:r>
        <w:rPr>
          <w:rFonts w:hint="default" w:ascii="Times New Roman" w:hAnsi="Times New Roman" w:eastAsia="宋体" w:cs="Times New Roman"/>
          <w:b/>
          <w:color w:val="auto"/>
          <w:szCs w:val="21"/>
          <w:highlight w:val="none"/>
        </w:rPr>
        <w:t>7.2.5明显不符合技术规范、技术标准的要求，或者对采购文件质量要求未明确响应的。</w:t>
      </w:r>
    </w:p>
    <w:p w14:paraId="0C77E1A9">
      <w:pPr>
        <w:keepNext w:val="0"/>
        <w:keepLines w:val="0"/>
        <w:pageBreakBefore w:val="0"/>
        <w:widowControl w:val="0"/>
        <w:spacing w:line="360" w:lineRule="auto"/>
        <w:ind w:firstLine="482"/>
        <w:rPr>
          <w:rFonts w:hint="default" w:ascii="Times New Roman" w:hAnsi="Times New Roman" w:eastAsia="宋体" w:cs="Times New Roman"/>
          <w:b/>
          <w:color w:val="auto"/>
          <w:szCs w:val="21"/>
          <w:highlight w:val="none"/>
        </w:rPr>
      </w:pPr>
      <w:r>
        <w:rPr>
          <w:rFonts w:hint="default" w:ascii="Times New Roman" w:hAnsi="Times New Roman" w:eastAsia="宋体" w:cs="Times New Roman"/>
          <w:b/>
          <w:color w:val="auto"/>
          <w:szCs w:val="21"/>
          <w:highlight w:val="none"/>
        </w:rPr>
        <w:t>7.2.6响应报价低于成本或者高于采购文件规定的最高限价（磋商控制价）的。</w:t>
      </w:r>
    </w:p>
    <w:p w14:paraId="072D9369">
      <w:pPr>
        <w:keepNext w:val="0"/>
        <w:keepLines w:val="0"/>
        <w:pageBreakBefore w:val="0"/>
        <w:widowControl w:val="0"/>
        <w:spacing w:line="360" w:lineRule="auto"/>
        <w:ind w:firstLine="482"/>
        <w:rPr>
          <w:rFonts w:hint="default" w:ascii="Times New Roman" w:hAnsi="Times New Roman" w:eastAsia="宋体" w:cs="Times New Roman"/>
          <w:b/>
          <w:color w:val="auto"/>
          <w:szCs w:val="21"/>
          <w:highlight w:val="none"/>
        </w:rPr>
      </w:pPr>
      <w:r>
        <w:rPr>
          <w:rFonts w:hint="default" w:ascii="Times New Roman" w:hAnsi="Times New Roman" w:eastAsia="宋体" w:cs="Times New Roman"/>
          <w:b/>
          <w:color w:val="auto"/>
          <w:szCs w:val="21"/>
          <w:highlight w:val="none"/>
        </w:rPr>
        <w:t>7.2.</w:t>
      </w:r>
      <w:r>
        <w:rPr>
          <w:rFonts w:hint="default" w:ascii="Times New Roman" w:hAnsi="Times New Roman" w:eastAsia="宋体" w:cs="Times New Roman"/>
          <w:b/>
          <w:color w:val="auto"/>
          <w:szCs w:val="21"/>
          <w:highlight w:val="none"/>
          <w:lang w:val="en-US" w:eastAsia="zh-CN"/>
        </w:rPr>
        <w:t>7</w:t>
      </w:r>
      <w:r>
        <w:rPr>
          <w:rFonts w:hint="default" w:ascii="Times New Roman" w:hAnsi="Times New Roman" w:eastAsia="宋体" w:cs="Times New Roman"/>
          <w:b/>
          <w:color w:val="auto"/>
          <w:szCs w:val="21"/>
          <w:highlight w:val="none"/>
        </w:rPr>
        <w:t>未按采购文件要求提供磋商响应文件内容不全的。</w:t>
      </w:r>
    </w:p>
    <w:p w14:paraId="0B478288">
      <w:pPr>
        <w:keepNext w:val="0"/>
        <w:keepLines w:val="0"/>
        <w:pageBreakBefore w:val="0"/>
        <w:widowControl w:val="0"/>
        <w:spacing w:line="360" w:lineRule="auto"/>
        <w:ind w:firstLine="482"/>
        <w:rPr>
          <w:rFonts w:hint="default" w:ascii="Times New Roman" w:hAnsi="Times New Roman" w:eastAsia="宋体" w:cs="Times New Roman"/>
          <w:b/>
          <w:color w:val="auto"/>
          <w:szCs w:val="21"/>
          <w:highlight w:val="none"/>
        </w:rPr>
      </w:pPr>
      <w:r>
        <w:rPr>
          <w:rFonts w:hint="default" w:ascii="Times New Roman" w:hAnsi="Times New Roman" w:eastAsia="宋体" w:cs="Times New Roman"/>
          <w:b/>
          <w:color w:val="auto"/>
          <w:szCs w:val="21"/>
          <w:highlight w:val="none"/>
        </w:rPr>
        <w:t>7.2.</w:t>
      </w:r>
      <w:r>
        <w:rPr>
          <w:rFonts w:hint="default" w:ascii="Times New Roman" w:hAnsi="Times New Roman" w:eastAsia="宋体" w:cs="Times New Roman"/>
          <w:b/>
          <w:color w:val="auto"/>
          <w:szCs w:val="21"/>
          <w:highlight w:val="none"/>
          <w:lang w:val="en-US" w:eastAsia="zh-CN"/>
        </w:rPr>
        <w:t>8</w:t>
      </w:r>
      <w:r>
        <w:rPr>
          <w:rFonts w:hint="default" w:ascii="Times New Roman" w:hAnsi="Times New Roman" w:eastAsia="宋体" w:cs="Times New Roman"/>
          <w:b/>
          <w:color w:val="auto"/>
          <w:szCs w:val="21"/>
          <w:highlight w:val="none"/>
        </w:rPr>
        <w:t>以他人的名义投标、串通投标、以行贿手段谋取中标或者以其他弄虚作假方式投标的。</w:t>
      </w:r>
    </w:p>
    <w:p w14:paraId="39CF31BD">
      <w:pPr>
        <w:keepNext w:val="0"/>
        <w:keepLines w:val="0"/>
        <w:pageBreakBefore w:val="0"/>
        <w:widowControl w:val="0"/>
        <w:spacing w:line="360" w:lineRule="auto"/>
        <w:ind w:firstLine="482"/>
        <w:rPr>
          <w:rFonts w:hint="default" w:ascii="Times New Roman" w:hAnsi="Times New Roman" w:eastAsia="宋体" w:cs="Times New Roman"/>
          <w:b/>
          <w:bCs/>
          <w:color w:val="auto"/>
          <w:szCs w:val="21"/>
          <w:highlight w:val="none"/>
        </w:rPr>
      </w:pPr>
      <w:r>
        <w:rPr>
          <w:rFonts w:hint="default" w:ascii="Times New Roman" w:hAnsi="Times New Roman" w:eastAsia="宋体" w:cs="Times New Roman"/>
          <w:b/>
          <w:bCs/>
          <w:color w:val="auto"/>
          <w:szCs w:val="21"/>
          <w:highlight w:val="none"/>
        </w:rPr>
        <w:t>7.3出现下列情形之一的，磋商失败。</w:t>
      </w:r>
    </w:p>
    <w:p w14:paraId="6B98AECB">
      <w:pPr>
        <w:keepNext w:val="0"/>
        <w:keepLines w:val="0"/>
        <w:pageBreakBefore w:val="0"/>
        <w:widowControl w:val="0"/>
        <w:spacing w:line="360" w:lineRule="auto"/>
        <w:ind w:firstLine="482"/>
        <w:rPr>
          <w:rFonts w:hint="default" w:ascii="Times New Roman" w:hAnsi="Times New Roman" w:eastAsia="宋体" w:cs="Times New Roman"/>
          <w:b/>
          <w:bCs/>
          <w:color w:val="auto"/>
          <w:szCs w:val="21"/>
          <w:highlight w:val="none"/>
        </w:rPr>
      </w:pPr>
      <w:r>
        <w:rPr>
          <w:rFonts w:hint="default" w:ascii="Times New Roman" w:hAnsi="Times New Roman" w:eastAsia="宋体" w:cs="Times New Roman"/>
          <w:b/>
          <w:bCs/>
          <w:color w:val="auto"/>
          <w:szCs w:val="21"/>
          <w:highlight w:val="none"/>
        </w:rPr>
        <w:t>7.3.1符合条件的供应商或者对磋商文件作实质响应的供应商不足3家的（符合《政府采购竞争性磋商采购方式管理办法》第三条第四项及《财政部关于竞争性磋商采购方式管理暂行办法有关问题的补充通知》（财库〔2015〕124号）规定情形的，提交最后报价的供应商可以为2家）。</w:t>
      </w:r>
    </w:p>
    <w:p w14:paraId="61504794">
      <w:pPr>
        <w:keepNext w:val="0"/>
        <w:keepLines w:val="0"/>
        <w:pageBreakBefore w:val="0"/>
        <w:widowControl w:val="0"/>
        <w:spacing w:line="360" w:lineRule="auto"/>
        <w:ind w:firstLine="482"/>
        <w:rPr>
          <w:rFonts w:hint="default" w:ascii="Times New Roman" w:hAnsi="Times New Roman" w:eastAsia="宋体" w:cs="Times New Roman"/>
          <w:b/>
          <w:bCs/>
          <w:color w:val="auto"/>
          <w:szCs w:val="21"/>
          <w:highlight w:val="none"/>
        </w:rPr>
      </w:pPr>
      <w:r>
        <w:rPr>
          <w:rFonts w:hint="default" w:ascii="Times New Roman" w:hAnsi="Times New Roman" w:eastAsia="宋体" w:cs="Times New Roman"/>
          <w:b/>
          <w:bCs/>
          <w:color w:val="auto"/>
          <w:szCs w:val="21"/>
          <w:highlight w:val="none"/>
        </w:rPr>
        <w:t>7.3.2出现影响采购公正的违法违规行为的。</w:t>
      </w:r>
    </w:p>
    <w:p w14:paraId="70EC5ECE">
      <w:pPr>
        <w:keepNext w:val="0"/>
        <w:keepLines w:val="0"/>
        <w:pageBreakBefore w:val="0"/>
        <w:widowControl w:val="0"/>
        <w:spacing w:line="360" w:lineRule="auto"/>
        <w:ind w:firstLine="482"/>
        <w:rPr>
          <w:rFonts w:hint="default" w:ascii="Times New Roman" w:hAnsi="Times New Roman" w:eastAsia="宋体" w:cs="Times New Roman"/>
          <w:b/>
          <w:bCs/>
          <w:color w:val="auto"/>
          <w:szCs w:val="21"/>
          <w:highlight w:val="none"/>
        </w:rPr>
      </w:pPr>
      <w:r>
        <w:rPr>
          <w:rFonts w:hint="default" w:ascii="Times New Roman" w:hAnsi="Times New Roman" w:eastAsia="宋体" w:cs="Times New Roman"/>
          <w:b/>
          <w:bCs/>
          <w:color w:val="auto"/>
          <w:szCs w:val="21"/>
          <w:highlight w:val="none"/>
        </w:rPr>
        <w:t>7.3.3因重大变故，采购任务取消的。</w:t>
      </w:r>
    </w:p>
    <w:p w14:paraId="453EB055">
      <w:pPr>
        <w:keepNext w:val="0"/>
        <w:keepLines w:val="0"/>
        <w:pageBreakBefore w:val="0"/>
        <w:widowControl w:val="0"/>
        <w:spacing w:line="360" w:lineRule="auto"/>
        <w:ind w:firstLine="482"/>
        <w:rPr>
          <w:rFonts w:hint="default" w:ascii="Times New Roman" w:hAnsi="Times New Roman" w:eastAsia="宋体" w:cs="Times New Roman"/>
          <w:b/>
          <w:bCs/>
          <w:color w:val="auto"/>
          <w:szCs w:val="21"/>
          <w:highlight w:val="none"/>
        </w:rPr>
      </w:pPr>
      <w:r>
        <w:rPr>
          <w:rFonts w:hint="default" w:ascii="Times New Roman" w:hAnsi="Times New Roman" w:eastAsia="宋体" w:cs="Times New Roman"/>
          <w:b/>
          <w:bCs/>
          <w:color w:val="auto"/>
          <w:szCs w:val="21"/>
          <w:highlight w:val="none"/>
        </w:rPr>
        <w:t>7.3.4磋商小组认定磋商文件存在歧义、重大缺陷导致评审工作无法进行。</w:t>
      </w:r>
    </w:p>
    <w:p w14:paraId="4141E8BA">
      <w:pPr>
        <w:keepNext w:val="0"/>
        <w:keepLines w:val="0"/>
        <w:pageBreakBefore w:val="0"/>
        <w:widowControl w:val="0"/>
        <w:spacing w:line="360" w:lineRule="auto"/>
        <w:ind w:firstLine="482"/>
        <w:rPr>
          <w:rFonts w:hint="default" w:ascii="Times New Roman" w:hAnsi="Times New Roman" w:eastAsia="宋体" w:cs="Times New Roman"/>
          <w:b/>
          <w:bCs/>
          <w:color w:val="auto"/>
          <w:szCs w:val="21"/>
          <w:highlight w:val="none"/>
        </w:rPr>
      </w:pPr>
      <w:r>
        <w:rPr>
          <w:rFonts w:hint="default" w:ascii="Times New Roman" w:hAnsi="Times New Roman" w:eastAsia="宋体" w:cs="Times New Roman"/>
          <w:b/>
          <w:bCs/>
          <w:color w:val="auto"/>
          <w:szCs w:val="21"/>
          <w:highlight w:val="none"/>
        </w:rPr>
        <w:t>7.3.5 因系统故障原因造成磋商无法继续进行的</w:t>
      </w:r>
      <w:r>
        <w:rPr>
          <w:rFonts w:hint="default" w:ascii="Times New Roman" w:hAnsi="Times New Roman" w:eastAsia="宋体" w:cs="Times New Roman"/>
          <w:b/>
          <w:color w:val="auto"/>
          <w:szCs w:val="21"/>
          <w:highlight w:val="none"/>
        </w:rPr>
        <w:t>（适用于不见面磋商模式）</w:t>
      </w:r>
      <w:r>
        <w:rPr>
          <w:rFonts w:hint="default" w:ascii="Times New Roman" w:hAnsi="Times New Roman" w:eastAsia="宋体" w:cs="Times New Roman"/>
          <w:b/>
          <w:bCs/>
          <w:color w:val="auto"/>
          <w:szCs w:val="21"/>
          <w:highlight w:val="none"/>
        </w:rPr>
        <w:t>。</w:t>
      </w:r>
    </w:p>
    <w:p w14:paraId="3D9B8D5A">
      <w:pPr>
        <w:keepNext w:val="0"/>
        <w:keepLines w:val="0"/>
        <w:pageBreakBefore w:val="0"/>
        <w:widowControl w:val="0"/>
        <w:spacing w:line="360" w:lineRule="auto"/>
        <w:ind w:firstLine="482"/>
        <w:rPr>
          <w:rFonts w:hint="default" w:ascii="Times New Roman" w:hAnsi="Times New Roman" w:eastAsia="宋体" w:cs="Times New Roman"/>
          <w:b/>
          <w:bCs/>
          <w:color w:val="auto"/>
          <w:szCs w:val="21"/>
          <w:highlight w:val="none"/>
        </w:rPr>
      </w:pPr>
      <w:r>
        <w:rPr>
          <w:rFonts w:hint="default" w:ascii="Times New Roman" w:hAnsi="Times New Roman" w:eastAsia="宋体" w:cs="Times New Roman"/>
          <w:b/>
          <w:bCs/>
          <w:color w:val="auto"/>
          <w:szCs w:val="21"/>
          <w:highlight w:val="none"/>
        </w:rPr>
        <w:t>7.4 响应</w:t>
      </w:r>
      <w:r>
        <w:rPr>
          <w:rFonts w:hint="default" w:ascii="Times New Roman" w:hAnsi="Times New Roman" w:eastAsia="宋体" w:cs="Times New Roman"/>
          <w:b/>
          <w:color w:val="auto"/>
          <w:szCs w:val="21"/>
          <w:highlight w:val="none"/>
        </w:rPr>
        <w:t>文件提交</w:t>
      </w:r>
      <w:r>
        <w:rPr>
          <w:rFonts w:hint="default" w:ascii="Times New Roman" w:hAnsi="Times New Roman" w:eastAsia="宋体" w:cs="Times New Roman"/>
          <w:b/>
          <w:bCs/>
          <w:color w:val="auto"/>
          <w:szCs w:val="21"/>
          <w:highlight w:val="none"/>
        </w:rPr>
        <w:t>截止时间结束后参加磋商的供应商不足三家的处理。</w:t>
      </w:r>
    </w:p>
    <w:p w14:paraId="5B836BAC">
      <w:pPr>
        <w:keepNext w:val="0"/>
        <w:keepLines w:val="0"/>
        <w:pageBreakBefore w:val="0"/>
        <w:widowControl w:val="0"/>
        <w:spacing w:line="360" w:lineRule="auto"/>
        <w:ind w:firstLine="482"/>
        <w:rPr>
          <w:rFonts w:hint="default" w:ascii="Times New Roman" w:hAnsi="Times New Roman" w:eastAsia="宋体" w:cs="Times New Roman"/>
          <w:b/>
          <w:bCs/>
          <w:color w:val="auto"/>
          <w:szCs w:val="21"/>
          <w:highlight w:val="none"/>
        </w:rPr>
      </w:pPr>
      <w:r>
        <w:rPr>
          <w:rFonts w:hint="default" w:ascii="Times New Roman" w:hAnsi="Times New Roman" w:eastAsia="宋体" w:cs="Times New Roman"/>
          <w:b/>
          <w:bCs/>
          <w:color w:val="auto"/>
          <w:szCs w:val="21"/>
          <w:highlight w:val="none"/>
        </w:rPr>
        <w:t>7.4.1如出现响应</w:t>
      </w:r>
      <w:r>
        <w:rPr>
          <w:rFonts w:hint="default" w:ascii="Times New Roman" w:hAnsi="Times New Roman" w:eastAsia="宋体" w:cs="Times New Roman"/>
          <w:b/>
          <w:color w:val="auto"/>
          <w:szCs w:val="21"/>
          <w:highlight w:val="none"/>
        </w:rPr>
        <w:t>文件提交</w:t>
      </w:r>
      <w:r>
        <w:rPr>
          <w:rFonts w:hint="default" w:ascii="Times New Roman" w:hAnsi="Times New Roman" w:eastAsia="宋体" w:cs="Times New Roman"/>
          <w:b/>
          <w:bCs/>
          <w:color w:val="auto"/>
          <w:szCs w:val="21"/>
          <w:highlight w:val="none"/>
        </w:rPr>
        <w:t>截止时间结束后参加磋商的供应商或者在评审期间对磋商文件做出实质响应的供应商不足三家情况，按政府采购相关规定执行。</w:t>
      </w:r>
    </w:p>
    <w:p w14:paraId="128F159C">
      <w:pPr>
        <w:pStyle w:val="3"/>
        <w:spacing w:line="360" w:lineRule="auto"/>
        <w:rPr>
          <w:rFonts w:hint="default" w:ascii="Times New Roman" w:hAnsi="Times New Roman" w:cs="Times New Roman"/>
          <w:color w:val="auto"/>
          <w:highlight w:val="none"/>
        </w:rPr>
      </w:pPr>
      <w:r>
        <w:rPr>
          <w:rFonts w:hint="default" w:ascii="Times New Roman" w:hAnsi="Times New Roman" w:cs="Times New Roman"/>
          <w:color w:val="auto"/>
          <w:highlight w:val="none"/>
        </w:rPr>
        <w:t>六、成交</w:t>
      </w:r>
    </w:p>
    <w:p w14:paraId="7B1FDFED">
      <w:pPr>
        <w:spacing w:line="360" w:lineRule="auto"/>
        <w:ind w:firstLine="480"/>
        <w:rPr>
          <w:rFonts w:hint="default" w:ascii="Times New Roman" w:hAnsi="Times New Roman" w:cs="Times New Roman" w:eastAsiaTheme="minorEastAsia"/>
          <w:color w:val="auto"/>
          <w:szCs w:val="21"/>
          <w:highlight w:val="none"/>
        </w:rPr>
      </w:pPr>
      <w:r>
        <w:rPr>
          <w:rFonts w:hint="default" w:ascii="Times New Roman" w:hAnsi="Times New Roman" w:cs="Times New Roman" w:eastAsiaTheme="minorEastAsia"/>
          <w:color w:val="auto"/>
          <w:szCs w:val="21"/>
          <w:highlight w:val="none"/>
        </w:rPr>
        <w:t>1.确定成交单位</w:t>
      </w:r>
    </w:p>
    <w:p w14:paraId="1AC8C15A">
      <w:pPr>
        <w:spacing w:line="360" w:lineRule="auto"/>
        <w:ind w:firstLine="480"/>
        <w:rPr>
          <w:rFonts w:hint="default" w:ascii="Times New Roman" w:hAnsi="Times New Roman" w:cs="Times New Roman" w:eastAsiaTheme="minorEastAsia"/>
          <w:color w:val="auto"/>
          <w:szCs w:val="21"/>
          <w:highlight w:val="none"/>
        </w:rPr>
      </w:pPr>
      <w:r>
        <w:rPr>
          <w:rFonts w:hint="default" w:ascii="Times New Roman" w:hAnsi="Times New Roman" w:cs="Times New Roman" w:eastAsiaTheme="minorEastAsia"/>
          <w:color w:val="auto"/>
          <w:szCs w:val="21"/>
          <w:highlight w:val="none"/>
        </w:rPr>
        <w:t>1.1成交候选供应商的选取原则和数量见磋商文件第</w:t>
      </w:r>
      <w:r>
        <w:rPr>
          <w:rFonts w:hint="default" w:ascii="Times New Roman" w:hAnsi="Times New Roman" w:cs="Times New Roman" w:eastAsiaTheme="minorEastAsia"/>
          <w:color w:val="auto"/>
          <w:szCs w:val="21"/>
          <w:highlight w:val="none"/>
          <w:lang w:val="en-US" w:eastAsia="zh-CN"/>
        </w:rPr>
        <w:t>五</w:t>
      </w:r>
      <w:r>
        <w:rPr>
          <w:rFonts w:hint="default" w:ascii="Times New Roman" w:hAnsi="Times New Roman" w:cs="Times New Roman" w:eastAsiaTheme="minorEastAsia"/>
          <w:color w:val="auto"/>
          <w:szCs w:val="21"/>
          <w:highlight w:val="none"/>
        </w:rPr>
        <w:t>部分规定。</w:t>
      </w:r>
    </w:p>
    <w:p w14:paraId="7824E756">
      <w:pPr>
        <w:spacing w:line="360" w:lineRule="auto"/>
        <w:ind w:firstLine="480"/>
        <w:rPr>
          <w:rFonts w:hint="default" w:ascii="Times New Roman" w:hAnsi="Times New Roman" w:cs="Times New Roman" w:eastAsiaTheme="minorEastAsia"/>
          <w:color w:val="auto"/>
          <w:szCs w:val="21"/>
          <w:highlight w:val="none"/>
        </w:rPr>
      </w:pPr>
      <w:r>
        <w:rPr>
          <w:rFonts w:hint="default" w:ascii="Times New Roman" w:hAnsi="Times New Roman" w:cs="Times New Roman" w:eastAsiaTheme="minorEastAsia"/>
          <w:color w:val="auto"/>
          <w:szCs w:val="21"/>
          <w:highlight w:val="none"/>
        </w:rPr>
        <w:t>1.2采购人授权磋商小组在成交候选供应商中直接确定成交供应商。</w:t>
      </w:r>
    </w:p>
    <w:p w14:paraId="5148CE78">
      <w:pPr>
        <w:spacing w:line="360" w:lineRule="auto"/>
        <w:ind w:firstLine="480"/>
        <w:rPr>
          <w:rFonts w:hint="default" w:ascii="Times New Roman" w:hAnsi="Times New Roman" w:cs="Times New Roman" w:eastAsiaTheme="minorEastAsia"/>
          <w:color w:val="auto"/>
          <w:szCs w:val="21"/>
          <w:highlight w:val="none"/>
        </w:rPr>
      </w:pPr>
      <w:r>
        <w:rPr>
          <w:rFonts w:hint="default" w:ascii="Times New Roman" w:hAnsi="Times New Roman" w:cs="Times New Roman" w:eastAsiaTheme="minorEastAsia"/>
          <w:color w:val="auto"/>
          <w:szCs w:val="21"/>
          <w:highlight w:val="none"/>
        </w:rPr>
        <w:t>1.3采购代理机构将在“江苏政府采购网”发布成交结果公告，公告期限为1个工作日。</w:t>
      </w:r>
    </w:p>
    <w:p w14:paraId="58A32F13">
      <w:pPr>
        <w:spacing w:line="360" w:lineRule="auto"/>
        <w:ind w:firstLine="480"/>
        <w:rPr>
          <w:rFonts w:hint="default" w:ascii="Times New Roman" w:hAnsi="Times New Roman" w:cs="Times New Roman" w:eastAsiaTheme="minorEastAsia"/>
          <w:color w:val="auto"/>
          <w:szCs w:val="21"/>
          <w:highlight w:val="none"/>
        </w:rPr>
      </w:pPr>
      <w:r>
        <w:rPr>
          <w:rFonts w:hint="default" w:ascii="Times New Roman" w:hAnsi="Times New Roman" w:cs="Times New Roman" w:eastAsiaTheme="minorEastAsia"/>
          <w:color w:val="auto"/>
          <w:szCs w:val="21"/>
          <w:highlight w:val="none"/>
        </w:rPr>
        <w:t>1.4若有充分证据证明，成交供应商出现下列情况之一的，一经查实，将被取消成交资格：</w:t>
      </w:r>
    </w:p>
    <w:p w14:paraId="1C11CBFD">
      <w:pPr>
        <w:spacing w:line="360" w:lineRule="auto"/>
        <w:ind w:firstLine="480"/>
        <w:rPr>
          <w:rFonts w:hint="default" w:ascii="Times New Roman" w:hAnsi="Times New Roman" w:cs="Times New Roman" w:eastAsiaTheme="minorEastAsia"/>
          <w:color w:val="auto"/>
          <w:szCs w:val="21"/>
          <w:highlight w:val="none"/>
        </w:rPr>
      </w:pPr>
      <w:r>
        <w:rPr>
          <w:rFonts w:hint="default" w:ascii="Times New Roman" w:hAnsi="Times New Roman" w:cs="Times New Roman" w:eastAsiaTheme="minorEastAsia"/>
          <w:color w:val="auto"/>
          <w:szCs w:val="21"/>
          <w:highlight w:val="none"/>
        </w:rPr>
        <w:t>1.4.1提供虚假材料谋取成交的。</w:t>
      </w:r>
    </w:p>
    <w:p w14:paraId="7CD42C81">
      <w:pPr>
        <w:spacing w:line="360" w:lineRule="auto"/>
        <w:ind w:firstLine="480"/>
        <w:rPr>
          <w:rFonts w:hint="default" w:ascii="Times New Roman" w:hAnsi="Times New Roman" w:cs="Times New Roman" w:eastAsiaTheme="minorEastAsia"/>
          <w:color w:val="auto"/>
          <w:szCs w:val="21"/>
          <w:highlight w:val="none"/>
        </w:rPr>
      </w:pPr>
      <w:r>
        <w:rPr>
          <w:rFonts w:hint="default" w:ascii="Times New Roman" w:hAnsi="Times New Roman" w:cs="Times New Roman" w:eastAsiaTheme="minorEastAsia"/>
          <w:color w:val="auto"/>
          <w:szCs w:val="21"/>
          <w:highlight w:val="none"/>
        </w:rPr>
        <w:t>1.4.2向采购人或采购代理机构行贿或者评审专家提供其他不正当利益的。</w:t>
      </w:r>
    </w:p>
    <w:p w14:paraId="3F2343EF">
      <w:pPr>
        <w:spacing w:line="360" w:lineRule="auto"/>
        <w:ind w:firstLine="480"/>
        <w:rPr>
          <w:rFonts w:hint="default" w:ascii="Times New Roman" w:hAnsi="Times New Roman" w:cs="Times New Roman" w:eastAsiaTheme="minorEastAsia"/>
          <w:color w:val="auto"/>
          <w:szCs w:val="21"/>
          <w:highlight w:val="none"/>
        </w:rPr>
      </w:pPr>
      <w:r>
        <w:rPr>
          <w:rFonts w:hint="default" w:ascii="Times New Roman" w:hAnsi="Times New Roman" w:cs="Times New Roman" w:eastAsiaTheme="minorEastAsia"/>
          <w:color w:val="auto"/>
          <w:szCs w:val="21"/>
          <w:highlight w:val="none"/>
        </w:rPr>
        <w:t>1.4.3恶意竞争，最后报价明显低于其自身合理成本且又无法提供证明的。</w:t>
      </w:r>
    </w:p>
    <w:p w14:paraId="20E22438">
      <w:pPr>
        <w:spacing w:line="360" w:lineRule="auto"/>
        <w:ind w:firstLine="480"/>
        <w:rPr>
          <w:rFonts w:hint="default" w:ascii="Times New Roman" w:hAnsi="Times New Roman" w:cs="Times New Roman" w:eastAsiaTheme="minorEastAsia"/>
          <w:color w:val="auto"/>
          <w:szCs w:val="21"/>
          <w:highlight w:val="none"/>
        </w:rPr>
      </w:pPr>
      <w:r>
        <w:rPr>
          <w:rFonts w:hint="default" w:ascii="Times New Roman" w:hAnsi="Times New Roman" w:cs="Times New Roman" w:eastAsiaTheme="minorEastAsia"/>
          <w:color w:val="auto"/>
          <w:szCs w:val="21"/>
          <w:highlight w:val="none"/>
        </w:rPr>
        <w:t>1.4.4属于本文件规定的无效条件，但在评审过程中又未被磋商小组发现的。</w:t>
      </w:r>
    </w:p>
    <w:p w14:paraId="75B6405E">
      <w:pPr>
        <w:spacing w:line="360" w:lineRule="auto"/>
        <w:ind w:firstLine="480"/>
        <w:rPr>
          <w:rFonts w:hint="default" w:ascii="Times New Roman" w:hAnsi="Times New Roman" w:cs="Times New Roman" w:eastAsiaTheme="minorEastAsia"/>
          <w:color w:val="auto"/>
          <w:szCs w:val="21"/>
          <w:highlight w:val="none"/>
        </w:rPr>
      </w:pPr>
      <w:r>
        <w:rPr>
          <w:rFonts w:hint="default" w:ascii="Times New Roman" w:hAnsi="Times New Roman" w:cs="Times New Roman" w:eastAsiaTheme="minorEastAsia"/>
          <w:color w:val="auto"/>
          <w:szCs w:val="21"/>
          <w:highlight w:val="none"/>
        </w:rPr>
        <w:t>1.4.5</w:t>
      </w:r>
      <w:r>
        <w:rPr>
          <w:rFonts w:hint="default" w:ascii="Times New Roman" w:hAnsi="Times New Roman" w:cs="Times New Roman" w:eastAsiaTheme="minorEastAsia"/>
          <w:color w:val="auto"/>
          <w:szCs w:val="21"/>
          <w:highlight w:val="none"/>
          <w:lang w:val="zh-CN"/>
        </w:rPr>
        <w:t>与评审专家、采购人、</w:t>
      </w:r>
      <w:r>
        <w:rPr>
          <w:rFonts w:hint="default" w:ascii="Times New Roman" w:hAnsi="Times New Roman" w:cs="Times New Roman" w:eastAsiaTheme="minorEastAsia"/>
          <w:color w:val="auto"/>
          <w:szCs w:val="21"/>
          <w:highlight w:val="none"/>
        </w:rPr>
        <w:t>其他</w:t>
      </w:r>
      <w:r>
        <w:rPr>
          <w:rFonts w:hint="default" w:ascii="Times New Roman" w:hAnsi="Times New Roman" w:cs="Times New Roman" w:eastAsiaTheme="minorEastAsia"/>
          <w:color w:val="auto"/>
          <w:szCs w:val="21"/>
          <w:highlight w:val="none"/>
          <w:lang w:val="zh-CN"/>
        </w:rPr>
        <w:t>供应商或者采购</w:t>
      </w:r>
      <w:r>
        <w:rPr>
          <w:rFonts w:hint="default" w:ascii="Times New Roman" w:hAnsi="Times New Roman" w:cs="Times New Roman" w:eastAsiaTheme="minorEastAsia"/>
          <w:color w:val="auto"/>
          <w:szCs w:val="21"/>
          <w:highlight w:val="none"/>
        </w:rPr>
        <w:t>代理机构</w:t>
      </w:r>
      <w:r>
        <w:rPr>
          <w:rFonts w:hint="default" w:ascii="Times New Roman" w:hAnsi="Times New Roman" w:cs="Times New Roman" w:eastAsiaTheme="minorEastAsia"/>
          <w:color w:val="auto"/>
          <w:szCs w:val="21"/>
          <w:highlight w:val="none"/>
          <w:lang w:val="zh-CN"/>
        </w:rPr>
        <w:t>工作人员恶意串通的</w:t>
      </w:r>
      <w:r>
        <w:rPr>
          <w:rFonts w:hint="default" w:ascii="Times New Roman" w:hAnsi="Times New Roman" w:cs="Times New Roman" w:eastAsiaTheme="minorEastAsia"/>
          <w:color w:val="auto"/>
          <w:szCs w:val="21"/>
          <w:highlight w:val="none"/>
        </w:rPr>
        <w:t>。</w:t>
      </w:r>
    </w:p>
    <w:p w14:paraId="569EEBD3">
      <w:pPr>
        <w:spacing w:line="360" w:lineRule="auto"/>
        <w:ind w:firstLine="480"/>
        <w:rPr>
          <w:rFonts w:hint="default" w:ascii="Times New Roman" w:hAnsi="Times New Roman" w:cs="Times New Roman" w:eastAsiaTheme="minorEastAsia"/>
          <w:color w:val="auto"/>
          <w:szCs w:val="21"/>
          <w:highlight w:val="none"/>
        </w:rPr>
      </w:pPr>
      <w:r>
        <w:rPr>
          <w:rFonts w:hint="default" w:ascii="Times New Roman" w:hAnsi="Times New Roman" w:cs="Times New Roman" w:eastAsiaTheme="minorEastAsia"/>
          <w:color w:val="auto"/>
          <w:szCs w:val="21"/>
          <w:highlight w:val="none"/>
        </w:rPr>
        <w:t>1.4.6采取不正当手段诋毁、排挤其他供应商的。</w:t>
      </w:r>
    </w:p>
    <w:p w14:paraId="4B3960A7">
      <w:pPr>
        <w:spacing w:line="360" w:lineRule="auto"/>
        <w:ind w:firstLine="480"/>
        <w:rPr>
          <w:rFonts w:hint="default" w:ascii="Times New Roman" w:hAnsi="Times New Roman" w:cs="Times New Roman" w:eastAsiaTheme="minorEastAsia"/>
          <w:color w:val="auto"/>
          <w:szCs w:val="21"/>
          <w:highlight w:val="none"/>
          <w:lang w:val="zh-CN"/>
        </w:rPr>
      </w:pPr>
      <w:r>
        <w:rPr>
          <w:rFonts w:hint="default" w:ascii="Times New Roman" w:hAnsi="Times New Roman" w:cs="Times New Roman" w:eastAsiaTheme="minorEastAsia"/>
          <w:color w:val="auto"/>
          <w:szCs w:val="21"/>
          <w:highlight w:val="none"/>
        </w:rPr>
        <w:t>1.4.7</w:t>
      </w:r>
      <w:r>
        <w:rPr>
          <w:rFonts w:hint="default" w:ascii="Times New Roman" w:hAnsi="Times New Roman" w:cs="Times New Roman" w:eastAsiaTheme="minorEastAsia"/>
          <w:color w:val="auto"/>
          <w:szCs w:val="21"/>
          <w:highlight w:val="none"/>
          <w:lang w:val="zh-CN"/>
        </w:rPr>
        <w:t>成交后无正当理由拒不与采购人签订政府采购合同或者未按照磋商文件确定的事项签订政府采购合同的。</w:t>
      </w:r>
    </w:p>
    <w:p w14:paraId="10E17D33">
      <w:pPr>
        <w:spacing w:line="360" w:lineRule="auto"/>
        <w:ind w:firstLine="480"/>
        <w:rPr>
          <w:rFonts w:hint="default" w:ascii="Times New Roman" w:hAnsi="Times New Roman" w:cs="Times New Roman" w:eastAsiaTheme="minorEastAsia"/>
          <w:color w:val="auto"/>
          <w:szCs w:val="21"/>
          <w:highlight w:val="none"/>
        </w:rPr>
      </w:pPr>
      <w:r>
        <w:rPr>
          <w:rFonts w:hint="default" w:ascii="Times New Roman" w:hAnsi="Times New Roman" w:cs="Times New Roman" w:eastAsiaTheme="minorEastAsia"/>
          <w:color w:val="auto"/>
          <w:szCs w:val="21"/>
          <w:highlight w:val="none"/>
        </w:rPr>
        <w:t>1.4.8</w:t>
      </w:r>
      <w:r>
        <w:rPr>
          <w:rFonts w:hint="default" w:ascii="Times New Roman" w:hAnsi="Times New Roman" w:cs="Times New Roman" w:eastAsiaTheme="minorEastAsia"/>
          <w:color w:val="auto"/>
          <w:szCs w:val="21"/>
          <w:highlight w:val="none"/>
          <w:lang w:val="zh-CN"/>
        </w:rPr>
        <w:t>将政府采购合同转包的。</w:t>
      </w:r>
    </w:p>
    <w:p w14:paraId="10040A0A">
      <w:pPr>
        <w:spacing w:line="360" w:lineRule="auto"/>
        <w:ind w:firstLine="480"/>
        <w:rPr>
          <w:rFonts w:hint="default" w:ascii="Times New Roman" w:hAnsi="Times New Roman" w:cs="Times New Roman" w:eastAsiaTheme="minorEastAsia"/>
          <w:color w:val="auto"/>
          <w:szCs w:val="21"/>
          <w:highlight w:val="none"/>
        </w:rPr>
      </w:pPr>
      <w:r>
        <w:rPr>
          <w:rFonts w:hint="default" w:ascii="Times New Roman" w:hAnsi="Times New Roman" w:cs="Times New Roman" w:eastAsiaTheme="minorEastAsia"/>
          <w:color w:val="auto"/>
          <w:szCs w:val="21"/>
          <w:highlight w:val="none"/>
        </w:rPr>
        <w:t>1.5.有下列情形之一的，视为供应商串通参与磋商，响应无效：</w:t>
      </w:r>
    </w:p>
    <w:p w14:paraId="70942298">
      <w:pPr>
        <w:spacing w:line="360" w:lineRule="auto"/>
        <w:ind w:firstLine="480"/>
        <w:rPr>
          <w:rFonts w:hint="default" w:ascii="Times New Roman" w:hAnsi="Times New Roman" w:cs="Times New Roman" w:eastAsiaTheme="minorEastAsia"/>
          <w:color w:val="auto"/>
          <w:szCs w:val="21"/>
          <w:highlight w:val="none"/>
        </w:rPr>
      </w:pPr>
      <w:r>
        <w:rPr>
          <w:rFonts w:hint="default" w:ascii="Times New Roman" w:hAnsi="Times New Roman" w:cs="Times New Roman" w:eastAsiaTheme="minorEastAsia"/>
          <w:color w:val="auto"/>
          <w:szCs w:val="21"/>
          <w:highlight w:val="none"/>
        </w:rPr>
        <w:t>1.5.1不同供应商的响应文件由同一单位或者个人编制。</w:t>
      </w:r>
    </w:p>
    <w:p w14:paraId="585C367D">
      <w:pPr>
        <w:spacing w:line="360" w:lineRule="auto"/>
        <w:ind w:firstLine="480"/>
        <w:rPr>
          <w:rFonts w:hint="default" w:ascii="Times New Roman" w:hAnsi="Times New Roman" w:cs="Times New Roman" w:eastAsiaTheme="minorEastAsia"/>
          <w:color w:val="auto"/>
          <w:szCs w:val="21"/>
          <w:highlight w:val="none"/>
        </w:rPr>
      </w:pPr>
      <w:r>
        <w:rPr>
          <w:rFonts w:hint="default" w:ascii="Times New Roman" w:hAnsi="Times New Roman" w:cs="Times New Roman" w:eastAsiaTheme="minorEastAsia"/>
          <w:color w:val="auto"/>
          <w:szCs w:val="21"/>
          <w:highlight w:val="none"/>
        </w:rPr>
        <w:t>1.5.2不同供应商委托同一单位或者个人办理磋商事宜。</w:t>
      </w:r>
    </w:p>
    <w:p w14:paraId="1AB1E113">
      <w:pPr>
        <w:spacing w:line="360" w:lineRule="auto"/>
        <w:ind w:firstLine="480"/>
        <w:rPr>
          <w:rFonts w:hint="default" w:ascii="Times New Roman" w:hAnsi="Times New Roman" w:cs="Times New Roman" w:eastAsiaTheme="minorEastAsia"/>
          <w:color w:val="auto"/>
          <w:szCs w:val="21"/>
          <w:highlight w:val="none"/>
        </w:rPr>
      </w:pPr>
      <w:r>
        <w:rPr>
          <w:rFonts w:hint="default" w:ascii="Times New Roman" w:hAnsi="Times New Roman" w:cs="Times New Roman" w:eastAsiaTheme="minorEastAsia"/>
          <w:color w:val="auto"/>
          <w:szCs w:val="21"/>
          <w:highlight w:val="none"/>
        </w:rPr>
        <w:t>1.5.3不同供应商的响应文件载明的项目管理成员或者联系人员为同一人。</w:t>
      </w:r>
    </w:p>
    <w:p w14:paraId="2E5C0091">
      <w:pPr>
        <w:spacing w:line="360" w:lineRule="auto"/>
        <w:ind w:firstLine="480"/>
        <w:rPr>
          <w:rFonts w:hint="default" w:ascii="Times New Roman" w:hAnsi="Times New Roman" w:cs="Times New Roman" w:eastAsiaTheme="minorEastAsia"/>
          <w:color w:val="auto"/>
          <w:szCs w:val="21"/>
          <w:highlight w:val="none"/>
        </w:rPr>
      </w:pPr>
      <w:r>
        <w:rPr>
          <w:rFonts w:hint="default" w:ascii="Times New Roman" w:hAnsi="Times New Roman" w:cs="Times New Roman" w:eastAsiaTheme="minorEastAsia"/>
          <w:color w:val="auto"/>
          <w:szCs w:val="21"/>
          <w:highlight w:val="none"/>
        </w:rPr>
        <w:t>1.5.4不同供应商的响应文件异常一致或者响应报价呈规律性差异。</w:t>
      </w:r>
    </w:p>
    <w:p w14:paraId="2F048985">
      <w:pPr>
        <w:spacing w:line="360" w:lineRule="auto"/>
        <w:ind w:firstLine="480"/>
        <w:rPr>
          <w:rFonts w:hint="default" w:ascii="Times New Roman" w:hAnsi="Times New Roman" w:cs="Times New Roman" w:eastAsiaTheme="minorEastAsia"/>
          <w:color w:val="auto"/>
          <w:szCs w:val="21"/>
          <w:highlight w:val="none"/>
        </w:rPr>
      </w:pPr>
      <w:r>
        <w:rPr>
          <w:rFonts w:hint="default" w:ascii="Times New Roman" w:hAnsi="Times New Roman" w:cs="Times New Roman" w:eastAsiaTheme="minorEastAsia"/>
          <w:color w:val="auto"/>
          <w:szCs w:val="21"/>
          <w:highlight w:val="none"/>
        </w:rPr>
        <w:t>2.质疑处理</w:t>
      </w:r>
    </w:p>
    <w:p w14:paraId="5C6C23C9">
      <w:pPr>
        <w:spacing w:line="360" w:lineRule="auto"/>
        <w:ind w:firstLine="480"/>
        <w:rPr>
          <w:rFonts w:hint="default" w:ascii="Times New Roman" w:hAnsi="Times New Roman" w:cs="Times New Roman" w:eastAsiaTheme="minorEastAsia"/>
          <w:color w:val="auto"/>
          <w:szCs w:val="21"/>
          <w:highlight w:val="none"/>
        </w:rPr>
      </w:pPr>
      <w:r>
        <w:rPr>
          <w:rFonts w:hint="default" w:ascii="Times New Roman" w:hAnsi="Times New Roman" w:cs="Times New Roman" w:eastAsiaTheme="minorEastAsia"/>
          <w:color w:val="auto"/>
          <w:szCs w:val="21"/>
          <w:highlight w:val="none"/>
        </w:rPr>
        <w:t>2.1提出质疑的供应商应当是参与所质疑项目采购活动的供应商。潜在供应商依法获取其可质疑的磋商文件的，可以对磋商文件提出质疑。</w:t>
      </w:r>
    </w:p>
    <w:p w14:paraId="0F5BE141">
      <w:pPr>
        <w:spacing w:line="360" w:lineRule="auto"/>
        <w:ind w:firstLine="480"/>
        <w:rPr>
          <w:rFonts w:hint="default" w:ascii="Times New Roman" w:hAnsi="Times New Roman" w:cs="Times New Roman" w:eastAsiaTheme="minorEastAsia"/>
          <w:color w:val="auto"/>
          <w:szCs w:val="21"/>
          <w:highlight w:val="none"/>
        </w:rPr>
      </w:pPr>
      <w:r>
        <w:rPr>
          <w:rFonts w:hint="default" w:ascii="Times New Roman" w:hAnsi="Times New Roman" w:cs="Times New Roman" w:eastAsiaTheme="minorEastAsia"/>
          <w:color w:val="auto"/>
          <w:szCs w:val="21"/>
          <w:highlight w:val="none"/>
        </w:rPr>
        <w:t>2.2供应商认为磋商文件、采购过程和采购结果使自己的权益受到损害的，可以在知道或应知其权益受到损害之日起七个工作日内，以书面形式向采购人或采购代理机构提出质疑。上述应知其权益受到损害之日，是指：</w:t>
      </w:r>
    </w:p>
    <w:p w14:paraId="73A3CD89">
      <w:pPr>
        <w:spacing w:line="360" w:lineRule="auto"/>
        <w:ind w:firstLine="480"/>
        <w:rPr>
          <w:rFonts w:hint="default" w:ascii="Times New Roman" w:hAnsi="Times New Roman" w:cs="Times New Roman" w:eastAsiaTheme="minorEastAsia"/>
          <w:color w:val="auto"/>
          <w:szCs w:val="21"/>
          <w:highlight w:val="none"/>
        </w:rPr>
      </w:pPr>
      <w:r>
        <w:rPr>
          <w:rFonts w:hint="default" w:ascii="Times New Roman" w:hAnsi="Times New Roman" w:cs="Times New Roman" w:eastAsiaTheme="minorEastAsia"/>
          <w:color w:val="auto"/>
          <w:szCs w:val="21"/>
          <w:highlight w:val="none"/>
        </w:rPr>
        <w:t>2.2.1对可以质疑的磋商文件提出质疑的，为收到磋商文件之日或者磋商文件公告期限届满之日。</w:t>
      </w:r>
    </w:p>
    <w:p w14:paraId="2CDA64F8">
      <w:pPr>
        <w:spacing w:line="360" w:lineRule="auto"/>
        <w:ind w:firstLine="480"/>
        <w:rPr>
          <w:rFonts w:hint="default" w:ascii="Times New Roman" w:hAnsi="Times New Roman" w:cs="Times New Roman" w:eastAsiaTheme="minorEastAsia"/>
          <w:color w:val="auto"/>
          <w:szCs w:val="21"/>
          <w:highlight w:val="none"/>
        </w:rPr>
      </w:pPr>
      <w:r>
        <w:rPr>
          <w:rFonts w:hint="default" w:ascii="Times New Roman" w:hAnsi="Times New Roman" w:cs="Times New Roman" w:eastAsiaTheme="minorEastAsia"/>
          <w:color w:val="auto"/>
          <w:szCs w:val="21"/>
          <w:highlight w:val="none"/>
        </w:rPr>
        <w:t>2.2.2对采购过程提出质疑的，为各采购程序环节结束之日。</w:t>
      </w:r>
    </w:p>
    <w:p w14:paraId="01C45514">
      <w:pPr>
        <w:spacing w:line="360" w:lineRule="auto"/>
        <w:ind w:firstLine="482"/>
        <w:rPr>
          <w:rFonts w:hint="default" w:ascii="Times New Roman" w:hAnsi="Times New Roman" w:cs="Times New Roman" w:eastAsiaTheme="minorEastAsia"/>
          <w:b/>
          <w:color w:val="auto"/>
          <w:szCs w:val="21"/>
          <w:highlight w:val="none"/>
        </w:rPr>
      </w:pPr>
      <w:r>
        <w:rPr>
          <w:rFonts w:hint="default" w:ascii="Times New Roman" w:hAnsi="Times New Roman" w:cs="Times New Roman" w:eastAsiaTheme="minorEastAsia"/>
          <w:b/>
          <w:color w:val="auto"/>
          <w:szCs w:val="21"/>
          <w:highlight w:val="none"/>
        </w:rPr>
        <w:t>其中：对评审过程中涉及的身份核对、澄清等程序性事项，供应商如有异议的，必须当场提出。否则，均视为供应商无异议。无论是否成交，供应商事后不得再就前述事项提出任何异议或质疑投诉。</w:t>
      </w:r>
    </w:p>
    <w:p w14:paraId="14D94E46">
      <w:pPr>
        <w:spacing w:line="360" w:lineRule="auto"/>
        <w:ind w:firstLine="480"/>
        <w:rPr>
          <w:rFonts w:hint="default" w:ascii="Times New Roman" w:hAnsi="Times New Roman" w:cs="Times New Roman" w:eastAsiaTheme="minorEastAsia"/>
          <w:color w:val="auto"/>
          <w:szCs w:val="21"/>
          <w:highlight w:val="none"/>
        </w:rPr>
      </w:pPr>
      <w:r>
        <w:rPr>
          <w:rFonts w:hint="default" w:ascii="Times New Roman" w:hAnsi="Times New Roman" w:cs="Times New Roman" w:eastAsiaTheme="minorEastAsia"/>
          <w:color w:val="auto"/>
          <w:szCs w:val="21"/>
          <w:highlight w:val="none"/>
        </w:rPr>
        <w:t>2.2.3对成交结果提出质疑的，为成交结果公告期限届满之日。</w:t>
      </w:r>
    </w:p>
    <w:p w14:paraId="0515DA00">
      <w:pPr>
        <w:spacing w:line="360" w:lineRule="auto"/>
        <w:ind w:firstLine="480"/>
        <w:rPr>
          <w:rFonts w:hint="default" w:ascii="Times New Roman" w:hAnsi="Times New Roman" w:cs="Times New Roman" w:eastAsiaTheme="minorEastAsia"/>
          <w:color w:val="auto"/>
          <w:szCs w:val="21"/>
          <w:highlight w:val="none"/>
          <w:lang w:val="zh-CN"/>
        </w:rPr>
      </w:pPr>
      <w:r>
        <w:rPr>
          <w:rFonts w:hint="default" w:ascii="Times New Roman" w:hAnsi="Times New Roman" w:cs="Times New Roman" w:eastAsiaTheme="minorEastAsia"/>
          <w:color w:val="auto"/>
          <w:szCs w:val="21"/>
          <w:highlight w:val="none"/>
        </w:rPr>
        <w:t>供应商应当在法定质疑期内一次性提出针对同一采购程序环节的质疑。</w:t>
      </w:r>
      <w:r>
        <w:rPr>
          <w:rFonts w:hint="default" w:ascii="Times New Roman" w:hAnsi="Times New Roman" w:cs="Times New Roman" w:eastAsiaTheme="minorEastAsia"/>
          <w:color w:val="auto"/>
          <w:szCs w:val="21"/>
          <w:highlight w:val="none"/>
          <w:lang w:val="zh-CN"/>
        </w:rPr>
        <w:t>供应商如在法定期限内对同一采购程序环节提出多次质疑的，采购人、</w:t>
      </w:r>
      <w:r>
        <w:rPr>
          <w:rFonts w:hint="default" w:ascii="Times New Roman" w:hAnsi="Times New Roman" w:cs="Times New Roman" w:eastAsiaTheme="minorEastAsia"/>
          <w:color w:val="auto"/>
          <w:szCs w:val="21"/>
          <w:highlight w:val="none"/>
        </w:rPr>
        <w:t>采购代理机构</w:t>
      </w:r>
      <w:r>
        <w:rPr>
          <w:rFonts w:hint="default" w:ascii="Times New Roman" w:hAnsi="Times New Roman" w:cs="Times New Roman" w:eastAsiaTheme="minorEastAsia"/>
          <w:color w:val="auto"/>
          <w:szCs w:val="21"/>
          <w:highlight w:val="none"/>
          <w:lang w:val="zh-CN"/>
        </w:rPr>
        <w:t>将只对供应商第一次质疑作出答复。</w:t>
      </w:r>
    </w:p>
    <w:p w14:paraId="0A8B51CB">
      <w:pPr>
        <w:spacing w:line="360" w:lineRule="auto"/>
        <w:ind w:firstLine="480"/>
        <w:rPr>
          <w:rFonts w:hint="default" w:ascii="Times New Roman" w:hAnsi="Times New Roman" w:cs="Times New Roman" w:eastAsiaTheme="minorEastAsia"/>
          <w:color w:val="auto"/>
          <w:szCs w:val="21"/>
          <w:highlight w:val="none"/>
        </w:rPr>
      </w:pPr>
      <w:r>
        <w:rPr>
          <w:rFonts w:hint="default" w:ascii="Times New Roman" w:hAnsi="Times New Roman" w:cs="Times New Roman" w:eastAsiaTheme="minorEastAsia"/>
          <w:color w:val="auto"/>
          <w:szCs w:val="21"/>
          <w:highlight w:val="none"/>
        </w:rPr>
        <w:t>2.3质疑函必须按照本磋商文件中《质疑函范本》要求的格式和内容进行填写。供应商如组成联合体参加磋商，则《质疑函范本》中要求签字、盖章、加盖公章之处，联合体各方均须按要求签字、盖章、加盖公章。</w:t>
      </w:r>
    </w:p>
    <w:p w14:paraId="6193BA7E">
      <w:pPr>
        <w:spacing w:line="360" w:lineRule="auto"/>
        <w:ind w:firstLine="480"/>
        <w:rPr>
          <w:rFonts w:hint="default" w:ascii="Times New Roman" w:hAnsi="Times New Roman" w:cs="Times New Roman" w:eastAsiaTheme="minorEastAsia"/>
          <w:color w:val="auto"/>
          <w:szCs w:val="21"/>
          <w:highlight w:val="none"/>
        </w:rPr>
      </w:pPr>
      <w:r>
        <w:rPr>
          <w:rFonts w:hint="default" w:ascii="Times New Roman" w:hAnsi="Times New Roman" w:cs="Times New Roman" w:eastAsiaTheme="minorEastAsia"/>
          <w:color w:val="auto"/>
          <w:szCs w:val="21"/>
          <w:highlight w:val="none"/>
        </w:rPr>
        <w:t>2.4质疑答复依据《政府采购质疑和投诉办法》（财政部令第94号）。</w:t>
      </w:r>
    </w:p>
    <w:p w14:paraId="3A0CF07B">
      <w:pPr>
        <w:spacing w:line="360" w:lineRule="auto"/>
        <w:ind w:firstLine="480"/>
        <w:rPr>
          <w:rFonts w:hint="default" w:ascii="Times New Roman" w:hAnsi="Times New Roman" w:cs="Times New Roman" w:eastAsiaTheme="minorEastAsia"/>
          <w:color w:val="auto"/>
          <w:szCs w:val="21"/>
          <w:highlight w:val="none"/>
        </w:rPr>
      </w:pPr>
      <w:r>
        <w:rPr>
          <w:rFonts w:hint="default" w:ascii="Times New Roman" w:hAnsi="Times New Roman" w:cs="Times New Roman" w:eastAsiaTheme="minorEastAsia"/>
          <w:color w:val="auto"/>
          <w:szCs w:val="21"/>
          <w:highlight w:val="none"/>
        </w:rPr>
        <w:t>采购人或采购代理机构质疑接收人及联系方式，见磋商文件第一部分。</w:t>
      </w:r>
    </w:p>
    <w:p w14:paraId="62774DFD">
      <w:pPr>
        <w:spacing w:line="360" w:lineRule="auto"/>
        <w:ind w:firstLine="480"/>
        <w:rPr>
          <w:rFonts w:hint="default" w:ascii="Times New Roman" w:hAnsi="Times New Roman" w:cs="Times New Roman" w:eastAsiaTheme="minorEastAsia"/>
          <w:color w:val="auto"/>
          <w:szCs w:val="21"/>
          <w:highlight w:val="none"/>
        </w:rPr>
      </w:pPr>
      <w:r>
        <w:rPr>
          <w:rFonts w:hint="default" w:ascii="Times New Roman" w:hAnsi="Times New Roman" w:cs="Times New Roman" w:eastAsiaTheme="minorEastAsia"/>
          <w:color w:val="auto"/>
          <w:szCs w:val="21"/>
          <w:highlight w:val="none"/>
        </w:rPr>
        <w:t>2.5 以下情形的质疑不予受理</w:t>
      </w:r>
    </w:p>
    <w:p w14:paraId="048A1C6B">
      <w:pPr>
        <w:spacing w:line="360" w:lineRule="auto"/>
        <w:ind w:firstLine="480"/>
        <w:rPr>
          <w:rFonts w:hint="default" w:ascii="Times New Roman" w:hAnsi="Times New Roman" w:cs="Times New Roman" w:eastAsiaTheme="minorEastAsia"/>
          <w:color w:val="auto"/>
          <w:szCs w:val="21"/>
          <w:highlight w:val="none"/>
        </w:rPr>
      </w:pPr>
      <w:r>
        <w:rPr>
          <w:rFonts w:hint="default" w:ascii="Times New Roman" w:hAnsi="Times New Roman" w:cs="Times New Roman" w:eastAsiaTheme="minorEastAsia"/>
          <w:color w:val="auto"/>
          <w:szCs w:val="21"/>
          <w:highlight w:val="none"/>
        </w:rPr>
        <w:t>2.5.1内容不符合《政府采购质疑和投诉办法》第十二条规定的质疑。</w:t>
      </w:r>
    </w:p>
    <w:p w14:paraId="7731B8DC">
      <w:pPr>
        <w:spacing w:line="360" w:lineRule="auto"/>
        <w:ind w:firstLine="480"/>
        <w:rPr>
          <w:rFonts w:hint="default" w:ascii="Times New Roman" w:hAnsi="Times New Roman" w:cs="Times New Roman" w:eastAsiaTheme="minorEastAsia"/>
          <w:color w:val="auto"/>
          <w:szCs w:val="21"/>
          <w:highlight w:val="none"/>
        </w:rPr>
      </w:pPr>
      <w:r>
        <w:rPr>
          <w:rFonts w:hint="default" w:ascii="Times New Roman" w:hAnsi="Times New Roman" w:cs="Times New Roman" w:eastAsiaTheme="minorEastAsia"/>
          <w:color w:val="auto"/>
          <w:szCs w:val="21"/>
          <w:highlight w:val="none"/>
        </w:rPr>
        <w:t>2.5.2超出政府采购法定期限的质疑。</w:t>
      </w:r>
    </w:p>
    <w:p w14:paraId="697CF71D">
      <w:pPr>
        <w:spacing w:line="360" w:lineRule="auto"/>
        <w:ind w:firstLine="480"/>
        <w:rPr>
          <w:rFonts w:hint="default" w:ascii="Times New Roman" w:hAnsi="Times New Roman" w:cs="Times New Roman" w:eastAsiaTheme="minorEastAsia"/>
          <w:color w:val="auto"/>
          <w:szCs w:val="21"/>
          <w:highlight w:val="none"/>
        </w:rPr>
      </w:pPr>
      <w:r>
        <w:rPr>
          <w:rFonts w:hint="default" w:ascii="Times New Roman" w:hAnsi="Times New Roman" w:cs="Times New Roman" w:eastAsiaTheme="minorEastAsia"/>
          <w:color w:val="auto"/>
          <w:szCs w:val="21"/>
          <w:highlight w:val="none"/>
        </w:rPr>
        <w:t>2.5.3未参加磋商活动的供应商或在磋商活动中自身权益未受到损害的供应商所提出的质疑。</w:t>
      </w:r>
    </w:p>
    <w:p w14:paraId="3D31EB8C">
      <w:pPr>
        <w:spacing w:line="360" w:lineRule="auto"/>
        <w:ind w:firstLine="480"/>
        <w:rPr>
          <w:rFonts w:hint="default" w:ascii="Times New Roman" w:hAnsi="Times New Roman" w:cs="Times New Roman" w:eastAsiaTheme="minorEastAsia"/>
          <w:color w:val="auto"/>
          <w:szCs w:val="21"/>
          <w:highlight w:val="none"/>
        </w:rPr>
      </w:pPr>
      <w:r>
        <w:rPr>
          <w:rFonts w:hint="default" w:ascii="Times New Roman" w:hAnsi="Times New Roman" w:cs="Times New Roman" w:eastAsiaTheme="minorEastAsia"/>
          <w:color w:val="auto"/>
          <w:szCs w:val="21"/>
          <w:highlight w:val="none"/>
        </w:rPr>
        <w:t>2.5.4供应商组成联合体参加磋商，联合体中任何一方或多方未按要求签字、盖章、加盖公章的质疑。</w:t>
      </w:r>
    </w:p>
    <w:p w14:paraId="11B50DA1">
      <w:pPr>
        <w:spacing w:line="360" w:lineRule="auto"/>
        <w:ind w:firstLine="480"/>
        <w:rPr>
          <w:rFonts w:hint="default" w:ascii="Times New Roman" w:hAnsi="Times New Roman" w:cs="Times New Roman" w:eastAsiaTheme="minorEastAsia"/>
          <w:color w:val="auto"/>
          <w:szCs w:val="21"/>
          <w:highlight w:val="none"/>
        </w:rPr>
      </w:pPr>
      <w:r>
        <w:rPr>
          <w:rFonts w:hint="default" w:ascii="Times New Roman" w:hAnsi="Times New Roman" w:cs="Times New Roman" w:eastAsiaTheme="minorEastAsia"/>
          <w:color w:val="auto"/>
          <w:szCs w:val="21"/>
          <w:highlight w:val="none"/>
        </w:rPr>
        <w:t>2.6供应商提出书面质疑必须有理、有据，不得捏造事实、提供虚假材料进行恶意质疑。否则，一经查实，采购人或采购代理机构有权依据政府采购的有关规定，报请政府采购监管部门对该供应商进行相应的行政处罚和记录该供应商的失信信息。</w:t>
      </w:r>
    </w:p>
    <w:p w14:paraId="0BAA2565">
      <w:pPr>
        <w:pStyle w:val="3"/>
        <w:spacing w:line="360" w:lineRule="auto"/>
        <w:rPr>
          <w:rFonts w:hint="default" w:ascii="Times New Roman" w:hAnsi="Times New Roman" w:cs="Times New Roman"/>
          <w:color w:val="auto"/>
          <w:highlight w:val="none"/>
        </w:rPr>
      </w:pPr>
      <w:r>
        <w:rPr>
          <w:rFonts w:hint="default" w:ascii="Times New Roman" w:hAnsi="Times New Roman" w:cs="Times New Roman"/>
          <w:color w:val="auto"/>
          <w:highlight w:val="none"/>
        </w:rPr>
        <w:t>七、成交通知书</w:t>
      </w:r>
    </w:p>
    <w:p w14:paraId="695C3139">
      <w:pPr>
        <w:keepNext w:val="0"/>
        <w:keepLines w:val="0"/>
        <w:pageBreakBefore w:val="0"/>
        <w:pBdr>
          <w:top w:val="none" w:color="000000" w:sz="0" w:space="0"/>
          <w:left w:val="none" w:color="000000" w:sz="0" w:space="0"/>
          <w:bottom w:val="none" w:color="000000" w:sz="0" w:space="0"/>
          <w:right w:val="none" w:color="000000" w:sz="0" w:space="0"/>
        </w:pBdr>
        <w:spacing w:beforeAutospacing="0" w:afterAutospacing="0" w:line="360" w:lineRule="auto"/>
        <w:ind w:firstLine="420"/>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1.成交结果确定后，采购人或者采购代理机构将向成交供应商发出成交通知书。请成交供应商在成交结果公告期满之日起30日内，使用CA数字证书登录苏采云系统及时下载成交通知书或联系采购代理机构领取成交通知书。因系统存储空间有限，自成交结果公告届满之日起30日后，苏采云系统不再保证提供下载成交通知书服务，因未及时下载而造成的不利后果由成交供应商自行承担。</w:t>
      </w:r>
    </w:p>
    <w:p w14:paraId="1E55A6C6">
      <w:pPr>
        <w:keepNext w:val="0"/>
        <w:keepLines w:val="0"/>
        <w:pageBreakBefore w:val="0"/>
        <w:pBdr>
          <w:top w:val="none" w:color="000000" w:sz="0" w:space="0"/>
          <w:left w:val="none" w:color="000000" w:sz="0" w:space="0"/>
          <w:bottom w:val="none" w:color="000000" w:sz="0" w:space="0"/>
          <w:right w:val="none" w:color="000000" w:sz="0" w:space="0"/>
        </w:pBdr>
        <w:spacing w:beforeAutospacing="0" w:afterAutospacing="0" w:line="360" w:lineRule="auto"/>
        <w:ind w:firstLine="420"/>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2.成交通知书将是合同的一个组成部分。对采购人和成交供应商均具有法律效力。成交通知书发出后，采购人改变成交结果的，或者成交供应商放弃成交项目的，应当依法承担法律责任。</w:t>
      </w:r>
    </w:p>
    <w:p w14:paraId="1AE0C014">
      <w:pPr>
        <w:keepNext w:val="0"/>
        <w:keepLines w:val="0"/>
        <w:pageBreakBefore w:val="0"/>
        <w:pBdr>
          <w:top w:val="none" w:color="000000" w:sz="0" w:space="0"/>
          <w:left w:val="none" w:color="000000" w:sz="0" w:space="0"/>
          <w:bottom w:val="none" w:color="000000" w:sz="0" w:space="0"/>
          <w:right w:val="none" w:color="000000" w:sz="0" w:space="0"/>
        </w:pBdr>
        <w:spacing w:beforeAutospacing="0" w:afterAutospacing="0" w:line="360" w:lineRule="auto"/>
        <w:ind w:firstLine="420"/>
        <w:rPr>
          <w:rFonts w:hint="default" w:ascii="Times New Roman" w:hAnsi="Times New Roman" w:cs="Times New Roman"/>
          <w:color w:val="auto"/>
          <w:sz w:val="21"/>
          <w:szCs w:val="21"/>
          <w:highlight w:val="none"/>
        </w:rPr>
      </w:pPr>
      <w:r>
        <w:rPr>
          <w:rFonts w:hint="default" w:ascii="Times New Roman" w:hAnsi="Times New Roman" w:cs="Times New Roman"/>
          <w:b/>
          <w:color w:val="auto"/>
          <w:sz w:val="21"/>
          <w:szCs w:val="21"/>
          <w:highlight w:val="none"/>
        </w:rPr>
        <w:t>特别说明：成交供应商在下载成交通知书后须提供</w:t>
      </w:r>
      <w:r>
        <w:rPr>
          <w:rFonts w:hint="default" w:ascii="Times New Roman" w:hAnsi="Times New Roman" w:cs="Times New Roman"/>
          <w:b/>
          <w:color w:val="auto"/>
          <w:sz w:val="21"/>
          <w:szCs w:val="21"/>
          <w:highlight w:val="none"/>
          <w:lang w:val="en-US" w:eastAsia="zh-CN"/>
        </w:rPr>
        <w:t>3</w:t>
      </w:r>
      <w:r>
        <w:rPr>
          <w:rFonts w:hint="default" w:ascii="Times New Roman" w:hAnsi="Times New Roman" w:cs="Times New Roman"/>
          <w:b/>
          <w:color w:val="auto"/>
          <w:sz w:val="21"/>
          <w:szCs w:val="21"/>
          <w:highlight w:val="none"/>
        </w:rPr>
        <w:t>套加盖红章的系统内打印的纸质响应文件给采购代理机构。</w:t>
      </w:r>
    </w:p>
    <w:p w14:paraId="2FE6CAD6">
      <w:pPr>
        <w:pStyle w:val="3"/>
        <w:spacing w:line="360" w:lineRule="auto"/>
        <w:rPr>
          <w:rFonts w:hint="default" w:ascii="Times New Roman" w:hAnsi="Times New Roman" w:cs="Times New Roman"/>
          <w:color w:val="auto"/>
          <w:highlight w:val="none"/>
        </w:rPr>
      </w:pPr>
      <w:r>
        <w:rPr>
          <w:rFonts w:hint="default" w:ascii="Times New Roman" w:hAnsi="Times New Roman" w:cs="Times New Roman"/>
          <w:color w:val="auto"/>
          <w:highlight w:val="none"/>
        </w:rPr>
        <w:t>八、合同签订相关事项</w:t>
      </w:r>
    </w:p>
    <w:p w14:paraId="22AA217F">
      <w:pPr>
        <w:keepNext w:val="0"/>
        <w:keepLines w:val="0"/>
        <w:pageBreakBefore w:val="0"/>
        <w:tabs>
          <w:tab w:val="left" w:pos="900"/>
        </w:tabs>
        <w:spacing w:beforeAutospacing="0" w:afterAutospacing="0" w:line="360" w:lineRule="auto"/>
        <w:ind w:firstLine="417"/>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1、签订合同</w:t>
      </w:r>
    </w:p>
    <w:p w14:paraId="6107E72F">
      <w:pPr>
        <w:keepNext w:val="0"/>
        <w:keepLines w:val="0"/>
        <w:pageBreakBefore w:val="0"/>
        <w:tabs>
          <w:tab w:val="left" w:pos="900"/>
        </w:tabs>
        <w:spacing w:beforeAutospacing="0" w:afterAutospacing="0" w:line="360" w:lineRule="auto"/>
        <w:ind w:firstLine="417"/>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1.l成交供应商应按成交通知书规定的时间、地点,按照磋商文件确定的事项与采购人签订政府采购合同，且不得迟于成交通知书发出之日起三十日内，否则由此给采购人造成损失的，成交供应商还应承担赔偿责任。</w:t>
      </w:r>
    </w:p>
    <w:p w14:paraId="4FEE0434">
      <w:pPr>
        <w:spacing w:line="360" w:lineRule="auto"/>
        <w:ind w:firstLine="482"/>
        <w:rPr>
          <w:rFonts w:hint="default" w:ascii="Times New Roman" w:hAnsi="Times New Roman" w:cs="Times New Roman" w:eastAsiaTheme="minorEastAsia"/>
          <w:b/>
          <w:color w:val="auto"/>
          <w:szCs w:val="21"/>
          <w:highlight w:val="none"/>
        </w:rPr>
      </w:pPr>
      <w:r>
        <w:rPr>
          <w:rFonts w:hint="default" w:ascii="Times New Roman" w:hAnsi="Times New Roman" w:cs="Times New Roman" w:eastAsiaTheme="minorEastAsia"/>
          <w:b/>
          <w:color w:val="auto"/>
          <w:szCs w:val="21"/>
          <w:highlight w:val="none"/>
        </w:rPr>
        <w:t>签订合同时需做好提交各类声明函、承诺函、业绩证明、资质、证书等相应原件的核查准备；核查后发现虚假或违背承诺的，依照相关法律法规规定处理。</w:t>
      </w:r>
    </w:p>
    <w:p w14:paraId="5E095B6C">
      <w:pPr>
        <w:keepNext w:val="0"/>
        <w:keepLines w:val="0"/>
        <w:pageBreakBefore w:val="0"/>
        <w:tabs>
          <w:tab w:val="left" w:pos="900"/>
        </w:tabs>
        <w:spacing w:beforeAutospacing="0" w:afterAutospacing="0" w:line="360" w:lineRule="auto"/>
        <w:ind w:firstLine="417"/>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1.2磋商文件、成交供应商的响应文件及磋商采购过程中有关澄清、承诺文件均应作为合同附件。</w:t>
      </w:r>
    </w:p>
    <w:p w14:paraId="69DA836B">
      <w:pPr>
        <w:keepNext w:val="0"/>
        <w:keepLines w:val="0"/>
        <w:pageBreakBefore w:val="0"/>
        <w:tabs>
          <w:tab w:val="left" w:pos="900"/>
        </w:tabs>
        <w:spacing w:beforeAutospacing="0" w:afterAutospacing="0" w:line="360" w:lineRule="auto"/>
        <w:ind w:firstLine="417"/>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1.3本项目不收取履约保证金。</w:t>
      </w:r>
    </w:p>
    <w:p w14:paraId="24E8DFDA">
      <w:pPr>
        <w:keepNext w:val="0"/>
        <w:keepLines w:val="0"/>
        <w:pageBreakBefore w:val="0"/>
        <w:tabs>
          <w:tab w:val="left" w:pos="900"/>
        </w:tabs>
        <w:spacing w:beforeAutospacing="0" w:afterAutospacing="0" w:line="360" w:lineRule="auto"/>
        <w:ind w:firstLine="417"/>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1.4签订合同后，成交供应商不得将成交产品或服务进行转包。未经采购人同意，成交供应商也不得采用分包的形式履行合同，否则采购人有权终止合同，成交供应商的履约保证金将不予退还。转包或分包造成采购人损失的，成交供应商应承担相应赔偿责任。</w:t>
      </w:r>
    </w:p>
    <w:p w14:paraId="28AE6EC8">
      <w:pPr>
        <w:keepNext w:val="0"/>
        <w:keepLines w:val="0"/>
        <w:pageBreakBefore w:val="0"/>
        <w:tabs>
          <w:tab w:val="left" w:pos="900"/>
        </w:tabs>
        <w:spacing w:beforeAutospacing="0" w:afterAutospacing="0" w:line="360" w:lineRule="auto"/>
        <w:ind w:firstLine="417"/>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2、合同货物</w:t>
      </w:r>
      <w:r>
        <w:rPr>
          <w:rFonts w:hint="default" w:ascii="Times New Roman" w:hAnsi="Times New Roman" w:eastAsia="宋体" w:cs="Times New Roman"/>
          <w:color w:val="auto"/>
          <w:sz w:val="21"/>
          <w:szCs w:val="21"/>
          <w:highlight w:val="none"/>
          <w:lang w:val="en-US" w:eastAsia="zh-CN"/>
        </w:rPr>
        <w:t>或服务</w:t>
      </w:r>
      <w:r>
        <w:rPr>
          <w:rFonts w:hint="default" w:ascii="Times New Roman" w:hAnsi="Times New Roman" w:eastAsia="宋体" w:cs="Times New Roman"/>
          <w:color w:val="auto"/>
          <w:sz w:val="21"/>
          <w:szCs w:val="21"/>
          <w:highlight w:val="none"/>
        </w:rPr>
        <w:t>追加</w:t>
      </w:r>
    </w:p>
    <w:p w14:paraId="3B718BA3">
      <w:pPr>
        <w:keepNext w:val="0"/>
        <w:keepLines w:val="0"/>
        <w:pageBreakBefore w:val="0"/>
        <w:pBdr>
          <w:top w:val="none" w:color="000000" w:sz="0" w:space="0"/>
          <w:left w:val="none" w:color="000000" w:sz="0" w:space="0"/>
          <w:bottom w:val="none" w:color="000000" w:sz="0" w:space="0"/>
          <w:right w:val="none" w:color="000000" w:sz="0" w:space="0"/>
        </w:pBdr>
        <w:spacing w:beforeAutospacing="0" w:afterAutospacing="0" w:line="360" w:lineRule="auto"/>
        <w:ind w:firstLine="422"/>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采购人根据项目需要追加合同中的货物或服务的，须经甲方采购人同意，追加的货物或服务金额不得超过合同总金额的10%，追加的货物或服务须另行签订合同。</w:t>
      </w:r>
    </w:p>
    <w:p w14:paraId="1EB9331B">
      <w:pPr>
        <w:pStyle w:val="3"/>
        <w:spacing w:line="360" w:lineRule="auto"/>
        <w:rPr>
          <w:rFonts w:hint="default" w:ascii="Times New Roman" w:hAnsi="Times New Roman" w:cs="Times New Roman"/>
          <w:color w:val="auto"/>
          <w:highlight w:val="none"/>
        </w:rPr>
      </w:pPr>
      <w:r>
        <w:rPr>
          <w:rFonts w:hint="default" w:ascii="Times New Roman" w:hAnsi="Times New Roman" w:cs="Times New Roman"/>
          <w:color w:val="auto"/>
          <w:highlight w:val="none"/>
        </w:rPr>
        <w:t>九、电子招标投标交易平台</w:t>
      </w:r>
    </w:p>
    <w:p w14:paraId="27D975AB">
      <w:pPr>
        <w:spacing w:line="360" w:lineRule="auto"/>
        <w:ind w:firstLine="480"/>
        <w:rPr>
          <w:rFonts w:hint="default" w:ascii="Times New Roman" w:hAnsi="Times New Roman" w:cs="Times New Roman" w:eastAsiaTheme="minorEastAsia"/>
          <w:color w:val="auto"/>
          <w:szCs w:val="21"/>
          <w:highlight w:val="none"/>
          <w:lang w:eastAsia="en-US"/>
        </w:rPr>
      </w:pPr>
      <w:r>
        <w:rPr>
          <w:rFonts w:hint="default" w:ascii="Times New Roman" w:hAnsi="Times New Roman" w:cs="Times New Roman" w:eastAsiaTheme="minorEastAsia"/>
          <w:color w:val="auto"/>
          <w:szCs w:val="21"/>
          <w:highlight w:val="none"/>
          <w:lang w:eastAsia="en-US"/>
        </w:rPr>
        <w:t>电子招标投标交易平台（即“苏采云”系统，网址：</w:t>
      </w:r>
      <w:r>
        <w:rPr>
          <w:rFonts w:hint="default" w:ascii="Times New Roman" w:hAnsi="Times New Roman" w:cs="Times New Roman"/>
          <w:color w:val="auto"/>
          <w:highlight w:val="none"/>
        </w:rPr>
        <w:fldChar w:fldCharType="begin"/>
      </w:r>
      <w:r>
        <w:rPr>
          <w:rFonts w:hint="default" w:ascii="Times New Roman" w:hAnsi="Times New Roman" w:cs="Times New Roman"/>
          <w:color w:val="auto"/>
          <w:highlight w:val="none"/>
        </w:rPr>
        <w:instrText xml:space="preserve"> HYPERLINK "http://jszfcg.jsczt.cn/）相关要求是本采购文件的组成部分。" </w:instrText>
      </w:r>
      <w:r>
        <w:rPr>
          <w:rFonts w:hint="default" w:ascii="Times New Roman" w:hAnsi="Times New Roman" w:cs="Times New Roman"/>
          <w:color w:val="auto"/>
          <w:highlight w:val="none"/>
        </w:rPr>
        <w:fldChar w:fldCharType="separate"/>
      </w:r>
      <w:r>
        <w:rPr>
          <w:rFonts w:hint="default" w:ascii="Times New Roman" w:hAnsi="Times New Roman" w:cs="Times New Roman" w:eastAsiaTheme="minorEastAsia"/>
          <w:color w:val="auto"/>
          <w:szCs w:val="21"/>
          <w:highlight w:val="none"/>
          <w:lang w:eastAsia="en-US"/>
        </w:rPr>
        <w:t>http://jszfcg.jsczt.cn/）相关要求是本采购文件的组成部分。</w:t>
      </w:r>
      <w:r>
        <w:rPr>
          <w:rFonts w:hint="default" w:ascii="Times New Roman" w:hAnsi="Times New Roman" w:cs="Times New Roman" w:eastAsiaTheme="minorEastAsia"/>
          <w:color w:val="auto"/>
          <w:szCs w:val="21"/>
          <w:highlight w:val="none"/>
          <w:lang w:eastAsia="en-US"/>
        </w:rPr>
        <w:fldChar w:fldCharType="end"/>
      </w:r>
    </w:p>
    <w:p w14:paraId="566D1E31">
      <w:pPr>
        <w:pStyle w:val="3"/>
        <w:spacing w:line="360" w:lineRule="auto"/>
        <w:rPr>
          <w:rFonts w:hint="default" w:ascii="Times New Roman" w:hAnsi="Times New Roman" w:cs="Times New Roman"/>
          <w:color w:val="auto"/>
          <w:highlight w:val="none"/>
        </w:rPr>
      </w:pPr>
      <w:r>
        <w:rPr>
          <w:rFonts w:hint="default" w:ascii="Times New Roman" w:hAnsi="Times New Roman" w:cs="Times New Roman"/>
          <w:color w:val="auto"/>
          <w:highlight w:val="none"/>
        </w:rPr>
        <w:t>十、履约保证金</w:t>
      </w:r>
    </w:p>
    <w:p w14:paraId="2089DC09">
      <w:pPr>
        <w:spacing w:line="360" w:lineRule="auto"/>
        <w:ind w:firstLine="420"/>
        <w:rPr>
          <w:rFonts w:hint="default" w:ascii="Times New Roman" w:hAnsi="Times New Roman" w:cs="Times New Roman" w:eastAsiaTheme="minorEastAsia"/>
          <w:bCs/>
          <w:color w:val="auto"/>
          <w:szCs w:val="21"/>
          <w:highlight w:val="none"/>
        </w:rPr>
      </w:pPr>
      <w:r>
        <w:rPr>
          <w:rFonts w:hint="default" w:ascii="Times New Roman" w:hAnsi="Times New Roman" w:cs="Times New Roman" w:eastAsiaTheme="minorEastAsia"/>
          <w:bCs/>
          <w:color w:val="auto"/>
          <w:szCs w:val="21"/>
          <w:highlight w:val="none"/>
        </w:rPr>
        <w:t>本项目不收取履约保证金。</w:t>
      </w:r>
    </w:p>
    <w:p w14:paraId="2E1F33EA">
      <w:pPr>
        <w:pStyle w:val="3"/>
        <w:spacing w:line="360" w:lineRule="auto"/>
        <w:rPr>
          <w:rFonts w:hint="default" w:ascii="Times New Roman" w:hAnsi="Times New Roman" w:cs="Times New Roman"/>
          <w:color w:val="auto"/>
          <w:highlight w:val="none"/>
        </w:rPr>
      </w:pPr>
      <w:r>
        <w:rPr>
          <w:rFonts w:hint="default" w:ascii="Times New Roman" w:hAnsi="Times New Roman" w:cs="Times New Roman"/>
          <w:color w:val="auto"/>
          <w:highlight w:val="none"/>
        </w:rPr>
        <w:t>十一、质疑提出和处理</w:t>
      </w:r>
    </w:p>
    <w:p w14:paraId="330D37A1">
      <w:pPr>
        <w:spacing w:line="360" w:lineRule="auto"/>
        <w:ind w:firstLine="480"/>
        <w:rPr>
          <w:rFonts w:hint="default" w:ascii="Times New Roman" w:hAnsi="Times New Roman" w:cs="Times New Roman" w:eastAsiaTheme="minorEastAsia"/>
          <w:color w:val="auto"/>
          <w:szCs w:val="21"/>
          <w:highlight w:val="none"/>
        </w:rPr>
      </w:pPr>
      <w:r>
        <w:rPr>
          <w:rFonts w:hint="default" w:ascii="Times New Roman" w:hAnsi="Times New Roman" w:cs="Times New Roman" w:eastAsiaTheme="minorEastAsia"/>
          <w:color w:val="auto"/>
          <w:szCs w:val="21"/>
          <w:highlight w:val="none"/>
        </w:rPr>
        <w:t>格式请在江苏政府采购网“下载中心--有关质疑资料”下载</w:t>
      </w:r>
    </w:p>
    <w:p w14:paraId="2A6BF893">
      <w:pPr>
        <w:spacing w:line="360" w:lineRule="auto"/>
        <w:ind w:firstLine="480"/>
        <w:rPr>
          <w:rFonts w:hint="default" w:ascii="Times New Roman" w:hAnsi="Times New Roman" w:cs="Times New Roman" w:eastAsiaTheme="minorEastAsia"/>
          <w:color w:val="auto"/>
          <w:szCs w:val="21"/>
          <w:highlight w:val="none"/>
        </w:rPr>
      </w:pPr>
      <w:r>
        <w:rPr>
          <w:rFonts w:hint="default" w:ascii="Times New Roman" w:hAnsi="Times New Roman" w:cs="Times New Roman" w:eastAsiaTheme="minorEastAsia"/>
          <w:color w:val="auto"/>
          <w:szCs w:val="21"/>
          <w:highlight w:val="none"/>
        </w:rPr>
        <w:t>（一）质疑的提出</w:t>
      </w:r>
    </w:p>
    <w:p w14:paraId="6DB8B4FC">
      <w:pPr>
        <w:spacing w:line="360" w:lineRule="auto"/>
        <w:ind w:firstLine="480"/>
        <w:rPr>
          <w:rFonts w:hint="default" w:ascii="Times New Roman" w:hAnsi="Times New Roman" w:cs="Times New Roman" w:eastAsiaTheme="minorEastAsia"/>
          <w:color w:val="auto"/>
          <w:szCs w:val="21"/>
          <w:highlight w:val="none"/>
        </w:rPr>
      </w:pPr>
      <w:r>
        <w:rPr>
          <w:rFonts w:hint="default" w:ascii="Times New Roman" w:hAnsi="Times New Roman" w:cs="Times New Roman" w:eastAsiaTheme="minorEastAsia"/>
          <w:color w:val="auto"/>
          <w:szCs w:val="21"/>
          <w:highlight w:val="none"/>
        </w:rPr>
        <w:t>1.质疑人必须是直接参加本次磋商活动的当事人。</w:t>
      </w:r>
    </w:p>
    <w:p w14:paraId="23FE2B95">
      <w:pPr>
        <w:spacing w:line="360" w:lineRule="auto"/>
        <w:ind w:firstLine="480"/>
        <w:rPr>
          <w:rFonts w:hint="default" w:ascii="Times New Roman" w:hAnsi="Times New Roman" w:cs="Times New Roman" w:eastAsiaTheme="minorEastAsia"/>
          <w:color w:val="auto"/>
          <w:szCs w:val="21"/>
          <w:highlight w:val="none"/>
        </w:rPr>
      </w:pPr>
      <w:r>
        <w:rPr>
          <w:rFonts w:hint="default" w:ascii="Times New Roman" w:hAnsi="Times New Roman" w:cs="Times New Roman" w:eastAsiaTheme="minorEastAsia"/>
          <w:color w:val="auto"/>
          <w:szCs w:val="21"/>
          <w:highlight w:val="none"/>
        </w:rPr>
        <w:t>2.下载磋商文件的供应商应根据第二章“参加磋商供应商须知”中第一条第4款的约定提出；响应文件接收截止后，供应商未进行磋商登记的，不能就响应文件接收截止后的招投标过程、成交结果质疑；在磋商过程中，凡主持人或评审小组明确提出须由供应商确认的事项，供应商当场无异议的，事后不得质疑。</w:t>
      </w:r>
    </w:p>
    <w:p w14:paraId="2187C80C">
      <w:pPr>
        <w:spacing w:line="360" w:lineRule="auto"/>
        <w:ind w:firstLine="480"/>
        <w:rPr>
          <w:rFonts w:hint="default" w:ascii="Times New Roman" w:hAnsi="Times New Roman" w:cs="Times New Roman" w:eastAsiaTheme="minorEastAsia"/>
          <w:color w:val="auto"/>
          <w:szCs w:val="21"/>
          <w:highlight w:val="none"/>
        </w:rPr>
      </w:pPr>
      <w:r>
        <w:rPr>
          <w:rFonts w:hint="default" w:ascii="Times New Roman" w:hAnsi="Times New Roman" w:cs="Times New Roman" w:eastAsiaTheme="minorEastAsia"/>
          <w:color w:val="auto"/>
          <w:szCs w:val="21"/>
          <w:highlight w:val="none"/>
        </w:rPr>
        <w:t>3.提出质疑时，必须坚持“谁主张，谁举证”、“实事求是”的原则，不能臆测。属于须由法定部门调查、侦查或先行作出相关认定的事项，质疑人应当依法申请具有法定职权的部门查清、认定，并将相关结果提供给采购单位或采购代理机构。采购单位或采购代理机构不具有法定调查、认定权限。</w:t>
      </w:r>
    </w:p>
    <w:p w14:paraId="02235BF0">
      <w:pPr>
        <w:spacing w:line="360" w:lineRule="auto"/>
        <w:ind w:firstLine="480"/>
        <w:rPr>
          <w:rFonts w:hint="default" w:ascii="Times New Roman" w:hAnsi="Times New Roman" w:cs="Times New Roman" w:eastAsiaTheme="minorEastAsia"/>
          <w:color w:val="auto"/>
          <w:szCs w:val="21"/>
          <w:highlight w:val="none"/>
        </w:rPr>
      </w:pPr>
      <w:r>
        <w:rPr>
          <w:rFonts w:hint="default" w:ascii="Times New Roman" w:hAnsi="Times New Roman" w:cs="Times New Roman" w:eastAsiaTheme="minorEastAsia"/>
          <w:color w:val="auto"/>
          <w:szCs w:val="21"/>
          <w:highlight w:val="none"/>
        </w:rPr>
        <w:t>4.对本次磋商有质疑的，实行实名制，不得进行虚假、恶意质疑。质疑人应在质疑有效期内以书面形式提出《质疑函》（格式请下载），《质疑函》内容应包括质疑事项、主要内容、事实依据、适应法规条款、佐证材料等。同时，质疑人应保证其提出的质疑内容及相关佐证材料的真实性及来源的合法性，并承担相应的法律责任。</w:t>
      </w:r>
    </w:p>
    <w:p w14:paraId="3A706F42">
      <w:pPr>
        <w:spacing w:line="360" w:lineRule="auto"/>
        <w:ind w:firstLine="480"/>
        <w:rPr>
          <w:rFonts w:hint="default" w:ascii="Times New Roman" w:hAnsi="Times New Roman" w:cs="Times New Roman" w:eastAsiaTheme="minorEastAsia"/>
          <w:color w:val="auto"/>
          <w:szCs w:val="21"/>
          <w:highlight w:val="none"/>
        </w:rPr>
      </w:pPr>
      <w:r>
        <w:rPr>
          <w:rFonts w:hint="default" w:ascii="Times New Roman" w:hAnsi="Times New Roman" w:cs="Times New Roman" w:eastAsiaTheme="minorEastAsia"/>
          <w:color w:val="auto"/>
          <w:szCs w:val="21"/>
          <w:highlight w:val="none"/>
        </w:rPr>
        <w:t>对不能提供相关佐证材料的、涉及商业秘密的、非书面形式的、非送达的、匿名的《质疑函》将不予受理。</w:t>
      </w:r>
    </w:p>
    <w:p w14:paraId="1C7519A2">
      <w:pPr>
        <w:spacing w:line="360" w:lineRule="auto"/>
        <w:ind w:firstLine="480"/>
        <w:rPr>
          <w:rFonts w:hint="default" w:ascii="Times New Roman" w:hAnsi="Times New Roman" w:cs="Times New Roman" w:eastAsiaTheme="minorEastAsia"/>
          <w:color w:val="auto"/>
          <w:szCs w:val="21"/>
          <w:highlight w:val="none"/>
        </w:rPr>
      </w:pPr>
      <w:r>
        <w:rPr>
          <w:rFonts w:hint="default" w:ascii="Times New Roman" w:hAnsi="Times New Roman" w:cs="Times New Roman" w:eastAsiaTheme="minorEastAsia"/>
          <w:color w:val="auto"/>
          <w:szCs w:val="21"/>
          <w:highlight w:val="none"/>
        </w:rPr>
        <w:t>相关佐证材料要具备客观性、关联性、合法性，无法查实的（如宣传册、媒体报道、猜测、推理等）不能作为佐证材料。</w:t>
      </w:r>
    </w:p>
    <w:p w14:paraId="53E0388F">
      <w:pPr>
        <w:spacing w:line="360" w:lineRule="auto"/>
        <w:ind w:firstLine="480"/>
        <w:rPr>
          <w:rFonts w:hint="default" w:ascii="Times New Roman" w:hAnsi="Times New Roman" w:cs="Times New Roman" w:eastAsiaTheme="minorEastAsia"/>
          <w:color w:val="auto"/>
          <w:szCs w:val="21"/>
          <w:highlight w:val="none"/>
        </w:rPr>
      </w:pPr>
      <w:r>
        <w:rPr>
          <w:rFonts w:hint="default" w:ascii="Times New Roman" w:hAnsi="Times New Roman" w:cs="Times New Roman" w:eastAsiaTheme="minorEastAsia"/>
          <w:color w:val="auto"/>
          <w:szCs w:val="21"/>
          <w:highlight w:val="none"/>
        </w:rPr>
        <w:t>采购单位或采购代理机构不负责搜集相关佐证材料等工作。</w:t>
      </w:r>
    </w:p>
    <w:p w14:paraId="54F34A42">
      <w:pPr>
        <w:spacing w:line="360" w:lineRule="auto"/>
        <w:ind w:firstLine="480"/>
        <w:rPr>
          <w:rFonts w:hint="default" w:ascii="Times New Roman" w:hAnsi="Times New Roman" w:cs="Times New Roman" w:eastAsiaTheme="minorEastAsia"/>
          <w:color w:val="auto"/>
          <w:szCs w:val="21"/>
          <w:highlight w:val="none"/>
        </w:rPr>
      </w:pPr>
      <w:r>
        <w:rPr>
          <w:rFonts w:hint="default" w:ascii="Times New Roman" w:hAnsi="Times New Roman" w:cs="Times New Roman" w:eastAsiaTheme="minorEastAsia"/>
          <w:color w:val="auto"/>
          <w:szCs w:val="21"/>
          <w:highlight w:val="none"/>
        </w:rPr>
        <w:t>（二）《质疑函》的受理和回复</w:t>
      </w:r>
    </w:p>
    <w:p w14:paraId="520C69DA">
      <w:pPr>
        <w:spacing w:line="360" w:lineRule="auto"/>
        <w:ind w:firstLine="480"/>
        <w:rPr>
          <w:rFonts w:hint="default" w:ascii="Times New Roman" w:hAnsi="Times New Roman" w:cs="Times New Roman" w:eastAsiaTheme="minorEastAsia"/>
          <w:color w:val="auto"/>
          <w:szCs w:val="21"/>
          <w:highlight w:val="none"/>
        </w:rPr>
      </w:pPr>
      <w:r>
        <w:rPr>
          <w:rFonts w:hint="default" w:ascii="Times New Roman" w:hAnsi="Times New Roman" w:cs="Times New Roman" w:eastAsiaTheme="minorEastAsia"/>
          <w:color w:val="auto"/>
          <w:szCs w:val="21"/>
          <w:highlight w:val="none"/>
        </w:rPr>
        <w:t>1.《质疑函》须由质疑人的法定代表人或参加本次磋商被授权人送达采购单位和采购代理机构。</w:t>
      </w:r>
    </w:p>
    <w:p w14:paraId="5CE54651">
      <w:pPr>
        <w:spacing w:line="360" w:lineRule="auto"/>
        <w:ind w:firstLine="480"/>
        <w:rPr>
          <w:rFonts w:hint="default" w:ascii="Times New Roman" w:hAnsi="Times New Roman" w:cs="Times New Roman" w:eastAsiaTheme="minorEastAsia"/>
          <w:color w:val="auto"/>
          <w:szCs w:val="21"/>
          <w:highlight w:val="none"/>
        </w:rPr>
      </w:pPr>
      <w:r>
        <w:rPr>
          <w:rFonts w:hint="default" w:ascii="Times New Roman" w:hAnsi="Times New Roman" w:cs="Times New Roman" w:eastAsiaTheme="minorEastAsia"/>
          <w:color w:val="auto"/>
          <w:szCs w:val="21"/>
          <w:highlight w:val="none"/>
        </w:rPr>
        <w:t>2.对符合质疑要求的，采购单位、采购代理机构签收并出具《质疑受理通知书》。在处理过程中，发现需要质疑人进一步补充相关佐证材料的，请质疑人在规定的时间内提供，质疑回复时间相应顺延。质疑人不能按时提供相关佐证材料的，视同放弃质疑。</w:t>
      </w:r>
    </w:p>
    <w:p w14:paraId="79D5D8F3">
      <w:pPr>
        <w:spacing w:line="360" w:lineRule="auto"/>
        <w:ind w:firstLine="480"/>
        <w:rPr>
          <w:rFonts w:hint="default" w:ascii="Times New Roman" w:hAnsi="Times New Roman" w:cs="Times New Roman" w:eastAsiaTheme="minorEastAsia"/>
          <w:color w:val="auto"/>
          <w:szCs w:val="21"/>
          <w:highlight w:val="none"/>
        </w:rPr>
      </w:pPr>
      <w:r>
        <w:rPr>
          <w:rFonts w:hint="default" w:ascii="Times New Roman" w:hAnsi="Times New Roman" w:cs="Times New Roman" w:eastAsiaTheme="minorEastAsia"/>
          <w:color w:val="auto"/>
          <w:szCs w:val="21"/>
          <w:highlight w:val="none"/>
        </w:rPr>
        <w:t>3.对不符合质疑要求的，出具《质疑退回通知书》并提出相关补充材料要求，质疑人未在规定的时间内提供补充佐证材料的，视同放弃质疑。</w:t>
      </w:r>
    </w:p>
    <w:p w14:paraId="05BC9387">
      <w:pPr>
        <w:spacing w:line="360" w:lineRule="auto"/>
        <w:ind w:firstLine="480"/>
        <w:rPr>
          <w:rFonts w:hint="default" w:ascii="Times New Roman" w:hAnsi="Times New Roman" w:cs="Times New Roman" w:eastAsiaTheme="minorEastAsia"/>
          <w:color w:val="auto"/>
          <w:szCs w:val="21"/>
          <w:highlight w:val="none"/>
        </w:rPr>
      </w:pPr>
      <w:r>
        <w:rPr>
          <w:rFonts w:hint="default" w:ascii="Times New Roman" w:hAnsi="Times New Roman" w:cs="Times New Roman" w:eastAsiaTheme="minorEastAsia"/>
          <w:color w:val="auto"/>
          <w:szCs w:val="21"/>
          <w:highlight w:val="none"/>
        </w:rPr>
        <w:t>4.采购单位、采购代理机构负责将质疑人提出的质疑相关材料提供给相关专家或评审小组审核，并将审核意见回复质疑人。</w:t>
      </w:r>
    </w:p>
    <w:p w14:paraId="07888561">
      <w:pPr>
        <w:spacing w:line="360" w:lineRule="auto"/>
        <w:ind w:firstLine="480"/>
        <w:rPr>
          <w:rFonts w:hint="default" w:ascii="Times New Roman" w:hAnsi="Times New Roman" w:cs="Times New Roman" w:eastAsiaTheme="minorEastAsia"/>
          <w:color w:val="auto"/>
          <w:szCs w:val="21"/>
          <w:highlight w:val="none"/>
        </w:rPr>
      </w:pPr>
      <w:r>
        <w:rPr>
          <w:rFonts w:hint="default" w:ascii="Times New Roman" w:hAnsi="Times New Roman" w:cs="Times New Roman" w:eastAsiaTheme="minorEastAsia"/>
          <w:color w:val="auto"/>
          <w:szCs w:val="21"/>
          <w:highlight w:val="none"/>
        </w:rPr>
        <w:t>必要时，可向被质疑人转发《质疑函》及相关佐证材料。被质疑人应当在要求的时间内，以书面形式作出说明，并提交相关证据。被质疑人在规定时间内，无正当理由未提交相关证据的，视同放弃说明权利，认可被质疑事项。</w:t>
      </w:r>
    </w:p>
    <w:p w14:paraId="3E02C20C">
      <w:pPr>
        <w:spacing w:line="360" w:lineRule="auto"/>
        <w:ind w:firstLine="480"/>
        <w:rPr>
          <w:rFonts w:hint="default" w:ascii="Times New Roman" w:hAnsi="Times New Roman" w:cs="Times New Roman" w:eastAsiaTheme="minorEastAsia"/>
          <w:color w:val="auto"/>
          <w:szCs w:val="21"/>
          <w:highlight w:val="none"/>
        </w:rPr>
      </w:pPr>
      <w:r>
        <w:rPr>
          <w:rFonts w:hint="default" w:ascii="Times New Roman" w:hAnsi="Times New Roman" w:cs="Times New Roman" w:eastAsiaTheme="minorEastAsia"/>
          <w:color w:val="auto"/>
          <w:szCs w:val="21"/>
          <w:highlight w:val="none"/>
        </w:rPr>
        <w:t>5.因质疑情况复杂，组织论证或审查时间较长的，采购单位、采购代理机构以书面形式通知质疑人，可适当延长质疑回复处理时间。</w:t>
      </w:r>
    </w:p>
    <w:p w14:paraId="0FE90F42">
      <w:pPr>
        <w:spacing w:line="360" w:lineRule="auto"/>
        <w:ind w:firstLine="480"/>
        <w:rPr>
          <w:rFonts w:hint="default" w:ascii="Times New Roman" w:hAnsi="Times New Roman" w:cs="Times New Roman" w:eastAsiaTheme="minorEastAsia"/>
          <w:color w:val="auto"/>
          <w:szCs w:val="21"/>
          <w:highlight w:val="none"/>
        </w:rPr>
      </w:pPr>
      <w:r>
        <w:rPr>
          <w:rFonts w:hint="default" w:ascii="Times New Roman" w:hAnsi="Times New Roman" w:cs="Times New Roman" w:eastAsiaTheme="minorEastAsia"/>
          <w:color w:val="auto"/>
          <w:szCs w:val="21"/>
          <w:highlight w:val="none"/>
        </w:rPr>
        <w:t>（三）质疑处理</w:t>
      </w:r>
    </w:p>
    <w:p w14:paraId="7768B508">
      <w:pPr>
        <w:spacing w:line="360" w:lineRule="auto"/>
        <w:ind w:firstLine="480"/>
        <w:rPr>
          <w:rFonts w:hint="default" w:ascii="Times New Roman" w:hAnsi="Times New Roman" w:cs="Times New Roman" w:eastAsiaTheme="minorEastAsia"/>
          <w:color w:val="auto"/>
          <w:szCs w:val="21"/>
          <w:highlight w:val="none"/>
        </w:rPr>
      </w:pPr>
      <w:r>
        <w:rPr>
          <w:rFonts w:hint="default" w:ascii="Times New Roman" w:hAnsi="Times New Roman" w:cs="Times New Roman" w:eastAsiaTheme="minorEastAsia"/>
          <w:color w:val="auto"/>
          <w:szCs w:val="21"/>
          <w:highlight w:val="none"/>
        </w:rPr>
        <w:t>1.质疑成立的处理。采购单位或采购代理机构终止采购，并建议有关部门对相关当事人予以处理。</w:t>
      </w:r>
    </w:p>
    <w:p w14:paraId="1AD65EA3">
      <w:pPr>
        <w:spacing w:line="360" w:lineRule="auto"/>
        <w:ind w:firstLine="480"/>
        <w:rPr>
          <w:rFonts w:hint="default" w:ascii="Times New Roman" w:hAnsi="Times New Roman" w:cs="Times New Roman" w:eastAsiaTheme="minorEastAsia"/>
          <w:color w:val="auto"/>
          <w:szCs w:val="21"/>
          <w:highlight w:val="none"/>
        </w:rPr>
      </w:pPr>
      <w:r>
        <w:rPr>
          <w:rFonts w:hint="default" w:ascii="Times New Roman" w:hAnsi="Times New Roman" w:cs="Times New Roman" w:eastAsiaTheme="minorEastAsia"/>
          <w:color w:val="auto"/>
          <w:szCs w:val="21"/>
          <w:highlight w:val="none"/>
        </w:rPr>
        <w:t>2.质疑不成立的处理。</w:t>
      </w:r>
    </w:p>
    <w:p w14:paraId="09DDA573">
      <w:pPr>
        <w:spacing w:line="360" w:lineRule="auto"/>
        <w:ind w:firstLine="480"/>
        <w:rPr>
          <w:rFonts w:hint="default" w:ascii="Times New Roman" w:hAnsi="Times New Roman" w:cs="Times New Roman" w:eastAsiaTheme="minorEastAsia"/>
          <w:color w:val="auto"/>
          <w:szCs w:val="21"/>
          <w:highlight w:val="none"/>
        </w:rPr>
      </w:pPr>
      <w:r>
        <w:rPr>
          <w:rFonts w:hint="default" w:ascii="Times New Roman" w:hAnsi="Times New Roman" w:cs="Times New Roman" w:eastAsiaTheme="minorEastAsia"/>
          <w:color w:val="auto"/>
          <w:szCs w:val="21"/>
          <w:highlight w:val="none"/>
        </w:rPr>
        <w:t>2.1质疑人书面《申请撤回质疑函》的，不作违约处理。</w:t>
      </w:r>
    </w:p>
    <w:p w14:paraId="7BFE9B32">
      <w:pPr>
        <w:spacing w:line="360" w:lineRule="auto"/>
        <w:ind w:firstLine="480"/>
        <w:rPr>
          <w:rFonts w:hint="default" w:ascii="Times New Roman" w:hAnsi="Times New Roman" w:cs="Times New Roman" w:eastAsiaTheme="minorEastAsia"/>
          <w:color w:val="auto"/>
          <w:szCs w:val="21"/>
          <w:highlight w:val="none"/>
        </w:rPr>
      </w:pPr>
      <w:r>
        <w:rPr>
          <w:rFonts w:hint="default" w:ascii="Times New Roman" w:hAnsi="Times New Roman" w:cs="Times New Roman" w:eastAsiaTheme="minorEastAsia"/>
          <w:color w:val="auto"/>
          <w:szCs w:val="21"/>
          <w:highlight w:val="none"/>
        </w:rPr>
        <w:t>2.2质疑人在规定的时间内不配合进行质疑调查处理的，按自动撤回《质疑函》处理。</w:t>
      </w:r>
    </w:p>
    <w:p w14:paraId="24A90E9F">
      <w:pPr>
        <w:spacing w:line="360" w:lineRule="auto"/>
        <w:ind w:firstLine="480"/>
        <w:rPr>
          <w:rFonts w:hint="default" w:ascii="Times New Roman" w:hAnsi="Times New Roman" w:cs="Times New Roman" w:eastAsiaTheme="minorEastAsia"/>
          <w:color w:val="auto"/>
          <w:szCs w:val="21"/>
          <w:highlight w:val="none"/>
        </w:rPr>
      </w:pPr>
      <w:r>
        <w:rPr>
          <w:rFonts w:hint="default" w:ascii="Times New Roman" w:hAnsi="Times New Roman" w:cs="Times New Roman" w:eastAsiaTheme="minorEastAsia"/>
          <w:color w:val="auto"/>
          <w:szCs w:val="21"/>
          <w:highlight w:val="none"/>
        </w:rPr>
        <w:t>2.3质疑人不按《质疑函》格式就提出质疑的，作违约处理。同时，视情列入不良供应商名单。</w:t>
      </w:r>
    </w:p>
    <w:p w14:paraId="3D543A28">
      <w:pPr>
        <w:spacing w:line="360" w:lineRule="auto"/>
        <w:ind w:firstLine="480"/>
        <w:rPr>
          <w:rFonts w:hint="default" w:ascii="Times New Roman" w:hAnsi="Times New Roman" w:cs="Times New Roman" w:eastAsiaTheme="minorEastAsia"/>
          <w:color w:val="auto"/>
          <w:szCs w:val="21"/>
          <w:highlight w:val="none"/>
        </w:rPr>
      </w:pPr>
      <w:r>
        <w:rPr>
          <w:rFonts w:hint="default" w:ascii="Times New Roman" w:hAnsi="Times New Roman" w:cs="Times New Roman" w:eastAsiaTheme="minorEastAsia"/>
          <w:color w:val="auto"/>
          <w:szCs w:val="21"/>
          <w:highlight w:val="none"/>
        </w:rPr>
        <w:t>2.4质疑人虽提供了相关佐证材料，但不能证明其质疑成立的，采购单位或采购代理机构请质疑人补充相关佐证材料，仍不能证明其质疑成立的，作违约处理。并将其列入不良供应商名单。</w:t>
      </w:r>
    </w:p>
    <w:p w14:paraId="7DEC9A04">
      <w:pPr>
        <w:spacing w:line="360" w:lineRule="auto"/>
        <w:ind w:firstLine="480"/>
        <w:rPr>
          <w:rFonts w:hint="default" w:ascii="Times New Roman" w:hAnsi="Times New Roman" w:cs="Times New Roman" w:eastAsiaTheme="minorEastAsia"/>
          <w:color w:val="auto"/>
          <w:szCs w:val="21"/>
          <w:highlight w:val="none"/>
        </w:rPr>
      </w:pPr>
      <w:r>
        <w:rPr>
          <w:rFonts w:hint="default" w:ascii="Times New Roman" w:hAnsi="Times New Roman" w:cs="Times New Roman" w:eastAsiaTheme="minorEastAsia"/>
          <w:color w:val="auto"/>
          <w:szCs w:val="21"/>
          <w:highlight w:val="none"/>
        </w:rPr>
        <w:t>2.5质疑人不能提供相关佐证材料的，采购单位、采购代理机构已指出，质疑人仍然坚持提出质疑的，作违约处理。同时，列入不良供应商名单。</w:t>
      </w:r>
    </w:p>
    <w:p w14:paraId="49ACB034">
      <w:pPr>
        <w:spacing w:line="360" w:lineRule="auto"/>
        <w:ind w:firstLine="480"/>
        <w:rPr>
          <w:rFonts w:hint="default" w:ascii="Times New Roman" w:hAnsi="Times New Roman" w:cs="Times New Roman" w:eastAsiaTheme="minorEastAsia"/>
          <w:color w:val="auto"/>
          <w:szCs w:val="21"/>
          <w:highlight w:val="none"/>
        </w:rPr>
      </w:pPr>
      <w:r>
        <w:rPr>
          <w:rFonts w:hint="default" w:ascii="Times New Roman" w:hAnsi="Times New Roman" w:cs="Times New Roman" w:eastAsiaTheme="minorEastAsia"/>
          <w:color w:val="auto"/>
          <w:szCs w:val="21"/>
          <w:highlight w:val="none"/>
        </w:rPr>
        <w:t>2.6对明显有违事实的、经相关专家或评审小组认定无依据的、经其他供应商举证无依据的质疑，作违约处理，列入不良供应商名单；同时，对其中每一项不成立的质疑给予质疑人1年内禁止参加本区域内的政府采购活动的违约处理，依次类推；视情况在泰州市政府采购网、省、国家级相关媒体予以披露。</w:t>
      </w:r>
    </w:p>
    <w:p w14:paraId="798E64A2">
      <w:pPr>
        <w:spacing w:line="360" w:lineRule="auto"/>
        <w:ind w:firstLine="480"/>
        <w:rPr>
          <w:rFonts w:hint="default" w:ascii="Times New Roman" w:hAnsi="Times New Roman" w:cs="Times New Roman" w:eastAsiaTheme="minorEastAsia"/>
          <w:color w:val="auto"/>
          <w:szCs w:val="21"/>
          <w:highlight w:val="none"/>
        </w:rPr>
      </w:pPr>
      <w:r>
        <w:rPr>
          <w:rFonts w:hint="default" w:ascii="Times New Roman" w:hAnsi="Times New Roman" w:cs="Times New Roman" w:eastAsiaTheme="minorEastAsia"/>
          <w:color w:val="auto"/>
          <w:szCs w:val="21"/>
          <w:highlight w:val="none"/>
        </w:rPr>
        <w:t>2.7质疑人承担使用虚假材料或恶意方式质疑的法律责任。</w:t>
      </w:r>
    </w:p>
    <w:p w14:paraId="7329E9E7">
      <w:pPr>
        <w:spacing w:line="360" w:lineRule="auto"/>
        <w:ind w:firstLine="480"/>
        <w:rPr>
          <w:rFonts w:hint="default" w:ascii="Times New Roman" w:hAnsi="Times New Roman" w:cs="Times New Roman" w:eastAsiaTheme="minorEastAsia"/>
          <w:color w:val="auto"/>
          <w:szCs w:val="21"/>
          <w:highlight w:val="none"/>
        </w:rPr>
      </w:pPr>
      <w:r>
        <w:rPr>
          <w:rFonts w:hint="default" w:ascii="Times New Roman" w:hAnsi="Times New Roman" w:cs="Times New Roman" w:eastAsiaTheme="minorEastAsia"/>
          <w:color w:val="auto"/>
          <w:szCs w:val="21"/>
          <w:highlight w:val="none"/>
        </w:rPr>
        <w:t>3.无佐证材料的举报作违约处理。供应商不得进行不提供相关佐证材料（含无法查实的如宣传册、媒体报道、猜测、推理等）向有关部门的举报，否则作违约处理。同时对其在1至3年内禁止参加由采购单位组织的政府采购活动的违约处理。</w:t>
      </w:r>
    </w:p>
    <w:p w14:paraId="4650BB5A">
      <w:pPr>
        <w:spacing w:line="360" w:lineRule="auto"/>
        <w:ind w:firstLine="480"/>
        <w:rPr>
          <w:rFonts w:hint="default" w:ascii="Times New Roman" w:hAnsi="Times New Roman" w:cs="Times New Roman" w:eastAsiaTheme="minorEastAsia"/>
          <w:color w:val="auto"/>
          <w:szCs w:val="21"/>
          <w:highlight w:val="none"/>
        </w:rPr>
      </w:pPr>
      <w:r>
        <w:rPr>
          <w:rFonts w:hint="default" w:ascii="Times New Roman" w:hAnsi="Times New Roman" w:cs="Times New Roman" w:eastAsiaTheme="minorEastAsia"/>
          <w:color w:val="auto"/>
          <w:szCs w:val="21"/>
          <w:highlight w:val="none"/>
        </w:rPr>
        <w:t>4.投诉不成立的作违约处理。供应商进行质疑后，采购单位回复质疑不成立，供应商仍进行投诉的，并最终投诉不成立的，作违约处理。采购单位有权对其在1至3年内禁止参加由采购单位组织的政府采购活动的违约处理。</w:t>
      </w:r>
    </w:p>
    <w:p w14:paraId="4929639C">
      <w:pPr>
        <w:spacing w:line="360" w:lineRule="auto"/>
        <w:ind w:firstLine="480"/>
        <w:rPr>
          <w:rFonts w:hint="default" w:ascii="Times New Roman" w:hAnsi="Times New Roman" w:cs="Times New Roman" w:eastAsiaTheme="minorEastAsia"/>
          <w:color w:val="auto"/>
          <w:szCs w:val="21"/>
          <w:highlight w:val="none"/>
        </w:rPr>
      </w:pPr>
      <w:r>
        <w:rPr>
          <w:rFonts w:hint="default" w:ascii="Times New Roman" w:hAnsi="Times New Roman" w:cs="Times New Roman" w:eastAsiaTheme="minorEastAsia"/>
          <w:color w:val="auto"/>
          <w:szCs w:val="21"/>
          <w:highlight w:val="none"/>
        </w:rPr>
        <w:t>5.《质疑函》《质疑回复函》，质疑、举报、投诉不成立等相关情况，视情在泰州市政府采购网、省、国家级等相关媒体予以披露，并建议相关政府采购机构对该供应商同步实施1至3年内禁入。</w:t>
      </w:r>
    </w:p>
    <w:p w14:paraId="1E7A5EA7">
      <w:pPr>
        <w:spacing w:line="360" w:lineRule="auto"/>
        <w:ind w:firstLine="480"/>
        <w:rPr>
          <w:rFonts w:hint="default" w:ascii="Times New Roman" w:hAnsi="Times New Roman" w:cs="Times New Roman" w:eastAsiaTheme="minorEastAsia"/>
          <w:b/>
          <w:color w:val="auto"/>
          <w:szCs w:val="21"/>
          <w:highlight w:val="none"/>
        </w:rPr>
      </w:pPr>
      <w:r>
        <w:rPr>
          <w:rFonts w:hint="default" w:ascii="Times New Roman" w:hAnsi="Times New Roman" w:cs="Times New Roman" w:eastAsiaTheme="minorEastAsia"/>
          <w:color w:val="auto"/>
          <w:szCs w:val="21"/>
          <w:highlight w:val="none"/>
        </w:rPr>
        <w:t>6.质疑供应商对采购单位或代理机构的答复不满意或者采购单位或代理机构未在规定的时间内作出答复的，可以在答复期满后15个工作日内向政府采购监督管理部门投诉。</w:t>
      </w:r>
    </w:p>
    <w:p w14:paraId="23B2FE58">
      <w:pPr>
        <w:pStyle w:val="3"/>
        <w:spacing w:line="360" w:lineRule="auto"/>
        <w:rPr>
          <w:rFonts w:hint="default" w:ascii="Times New Roman" w:hAnsi="Times New Roman" w:cs="Times New Roman"/>
          <w:color w:val="auto"/>
          <w:highlight w:val="none"/>
        </w:rPr>
      </w:pPr>
      <w:r>
        <w:rPr>
          <w:rFonts w:hint="default" w:ascii="Times New Roman" w:hAnsi="Times New Roman" w:cs="Times New Roman"/>
          <w:color w:val="auto"/>
          <w:highlight w:val="none"/>
        </w:rPr>
        <w:t>十二、其他事项说明：</w:t>
      </w:r>
    </w:p>
    <w:p w14:paraId="3F40C631">
      <w:pPr>
        <w:spacing w:line="360" w:lineRule="auto"/>
        <w:ind w:firstLine="420"/>
        <w:rPr>
          <w:rFonts w:hint="default" w:ascii="Times New Roman" w:hAnsi="Times New Roman" w:cs="Times New Roman" w:eastAsiaTheme="minorEastAsia"/>
          <w:color w:val="auto"/>
          <w:highlight w:val="none"/>
          <w:lang w:bidi="ar"/>
        </w:rPr>
      </w:pPr>
      <w:r>
        <w:rPr>
          <w:rFonts w:hint="default" w:ascii="Times New Roman" w:hAnsi="Times New Roman" w:cs="Times New Roman" w:eastAsiaTheme="minorEastAsia"/>
          <w:color w:val="auto"/>
          <w:highlight w:val="none"/>
          <w:lang w:bidi="ar"/>
        </w:rPr>
        <w:t>采购项目需要落实的政府采购相关法律法规及政策：</w:t>
      </w:r>
    </w:p>
    <w:p w14:paraId="25B3A4AF">
      <w:pPr>
        <w:spacing w:line="360" w:lineRule="auto"/>
        <w:ind w:firstLine="420"/>
        <w:rPr>
          <w:rFonts w:hint="default" w:ascii="Times New Roman" w:hAnsi="Times New Roman" w:cs="Times New Roman" w:eastAsiaTheme="minorEastAsia"/>
          <w:color w:val="auto"/>
          <w:highlight w:val="none"/>
          <w:lang w:bidi="ar"/>
        </w:rPr>
      </w:pPr>
      <w:r>
        <w:rPr>
          <w:rFonts w:hint="default" w:ascii="Times New Roman" w:hAnsi="Times New Roman" w:cs="Times New Roman" w:eastAsiaTheme="minorEastAsia"/>
          <w:color w:val="auto"/>
          <w:highlight w:val="none"/>
          <w:lang w:bidi="ar"/>
        </w:rPr>
        <w:t>1.《中华人民共和国政府采购法》</w:t>
      </w:r>
    </w:p>
    <w:p w14:paraId="61226F68">
      <w:pPr>
        <w:spacing w:line="360" w:lineRule="auto"/>
        <w:ind w:firstLine="420"/>
        <w:rPr>
          <w:rFonts w:hint="default" w:ascii="Times New Roman" w:hAnsi="Times New Roman" w:cs="Times New Roman" w:eastAsiaTheme="minorEastAsia"/>
          <w:color w:val="auto"/>
          <w:highlight w:val="none"/>
          <w:lang w:bidi="ar"/>
        </w:rPr>
      </w:pPr>
      <w:r>
        <w:rPr>
          <w:rFonts w:hint="default" w:ascii="Times New Roman" w:hAnsi="Times New Roman" w:cs="Times New Roman" w:eastAsiaTheme="minorEastAsia"/>
          <w:color w:val="auto"/>
          <w:highlight w:val="none"/>
          <w:lang w:bidi="ar"/>
        </w:rPr>
        <w:t>2.《中华人民共和国政府采购法实施条例》</w:t>
      </w:r>
    </w:p>
    <w:p w14:paraId="605731DA">
      <w:pPr>
        <w:spacing w:line="360" w:lineRule="auto"/>
        <w:ind w:firstLine="420"/>
        <w:rPr>
          <w:rFonts w:hint="default" w:ascii="Times New Roman" w:hAnsi="Times New Roman" w:cs="Times New Roman" w:eastAsiaTheme="minorEastAsia"/>
          <w:color w:val="auto"/>
          <w:highlight w:val="none"/>
          <w:lang w:bidi="ar"/>
        </w:rPr>
      </w:pPr>
      <w:r>
        <w:rPr>
          <w:rFonts w:hint="default" w:ascii="Times New Roman" w:hAnsi="Times New Roman" w:cs="Times New Roman" w:eastAsiaTheme="minorEastAsia"/>
          <w:color w:val="auto"/>
          <w:highlight w:val="none"/>
          <w:lang w:bidi="ar"/>
        </w:rPr>
        <w:t>3.《政府采购竞争性磋商采购方式管理办法》</w:t>
      </w:r>
    </w:p>
    <w:p w14:paraId="11BABFC6">
      <w:pPr>
        <w:spacing w:line="360" w:lineRule="auto"/>
        <w:ind w:firstLine="420"/>
        <w:rPr>
          <w:rFonts w:hint="default" w:ascii="Times New Roman" w:hAnsi="Times New Roman" w:cs="Times New Roman" w:eastAsiaTheme="minorEastAsia"/>
          <w:color w:val="auto"/>
          <w:highlight w:val="none"/>
          <w:lang w:bidi="ar"/>
          <w14:ligatures w14:val="none"/>
        </w:rPr>
      </w:pPr>
      <w:r>
        <w:rPr>
          <w:rFonts w:hint="default" w:ascii="Times New Roman" w:hAnsi="Times New Roman" w:cs="Times New Roman" w:eastAsiaTheme="minorEastAsia"/>
          <w:color w:val="auto"/>
          <w:highlight w:val="none"/>
          <w:lang w:bidi="ar"/>
        </w:rPr>
        <w:t xml:space="preserve">4.政府采购促进中小企业发展办法的通知--财库〔2020〕46号 </w:t>
      </w:r>
    </w:p>
    <w:p w14:paraId="014BC4F6">
      <w:pPr>
        <w:pBdr>
          <w:top w:val="none" w:color="000000" w:sz="0" w:space="0"/>
          <w:left w:val="none" w:color="000000" w:sz="0" w:space="0"/>
          <w:bottom w:val="none" w:color="000000" w:sz="0" w:space="0"/>
          <w:right w:val="none" w:color="000000" w:sz="0" w:space="0"/>
        </w:pBdr>
        <w:spacing w:line="360" w:lineRule="auto"/>
        <w:ind w:firstLine="420"/>
        <w:rPr>
          <w:rFonts w:hint="default" w:ascii="Times New Roman" w:hAnsi="Times New Roman" w:cs="Times New Roman" w:eastAsiaTheme="minorEastAsia"/>
          <w:color w:val="auto"/>
          <w:highlight w:val="none"/>
          <w:lang w:bidi="ar"/>
          <w14:ligatures w14:val="none"/>
        </w:rPr>
      </w:pPr>
      <w:r>
        <w:rPr>
          <w:rFonts w:hint="default" w:ascii="Times New Roman" w:hAnsi="Times New Roman" w:cs="Times New Roman" w:eastAsiaTheme="minorEastAsia"/>
          <w:color w:val="auto"/>
          <w:highlight w:val="none"/>
          <w:lang w:bidi="ar"/>
        </w:rPr>
        <w:t>4.1本项目专门面向中小企业采购，参加本项目政府采购活动的供应商应当提供的材料：</w:t>
      </w:r>
    </w:p>
    <w:p w14:paraId="76CEC43E">
      <w:pPr>
        <w:pBdr>
          <w:top w:val="none" w:color="000000" w:sz="0" w:space="0"/>
          <w:left w:val="none" w:color="000000" w:sz="0" w:space="0"/>
          <w:bottom w:val="none" w:color="000000" w:sz="0" w:space="0"/>
          <w:right w:val="none" w:color="000000" w:sz="0" w:space="0"/>
        </w:pBdr>
        <w:spacing w:line="360" w:lineRule="auto"/>
        <w:ind w:firstLine="420"/>
        <w:rPr>
          <w:rFonts w:hint="default" w:ascii="Times New Roman" w:hAnsi="Times New Roman" w:cs="Times New Roman" w:eastAsiaTheme="minorEastAsia"/>
          <w:color w:val="auto"/>
          <w:highlight w:val="none"/>
          <w:lang w:bidi="ar"/>
          <w14:ligatures w14:val="none"/>
        </w:rPr>
      </w:pPr>
      <w:r>
        <w:rPr>
          <w:rFonts w:hint="default" w:ascii="Times New Roman" w:hAnsi="Times New Roman" w:cs="Times New Roman" w:eastAsiaTheme="minorEastAsia"/>
          <w:color w:val="auto"/>
          <w:highlight w:val="none"/>
          <w:lang w:bidi="ar"/>
        </w:rPr>
        <w:t>1、供应商为小型企业、微型企业的，提供《中小微企业声明函》。</w:t>
      </w:r>
    </w:p>
    <w:p w14:paraId="4AFBEABA">
      <w:pPr>
        <w:pBdr>
          <w:top w:val="none" w:color="000000" w:sz="0" w:space="0"/>
          <w:left w:val="none" w:color="000000" w:sz="0" w:space="0"/>
          <w:bottom w:val="none" w:color="000000" w:sz="0" w:space="0"/>
          <w:right w:val="none" w:color="000000" w:sz="0" w:space="0"/>
        </w:pBdr>
        <w:spacing w:line="360" w:lineRule="auto"/>
        <w:ind w:firstLine="420"/>
        <w:rPr>
          <w:rFonts w:hint="default" w:ascii="Times New Roman" w:hAnsi="Times New Roman" w:cs="Times New Roman" w:eastAsiaTheme="minorEastAsia"/>
          <w:color w:val="auto"/>
          <w:highlight w:val="none"/>
          <w:lang w:bidi="ar"/>
          <w14:ligatures w14:val="none"/>
        </w:rPr>
      </w:pPr>
      <w:r>
        <w:rPr>
          <w:rFonts w:hint="default" w:ascii="Times New Roman" w:hAnsi="Times New Roman" w:cs="Times New Roman" w:eastAsiaTheme="minorEastAsia"/>
          <w:color w:val="auto"/>
          <w:highlight w:val="none"/>
          <w:lang w:bidi="ar"/>
        </w:rPr>
        <w:t>2、残疾人福利性单位视同小型、微型企业，提供《残疾人福利性单位声明函》。</w:t>
      </w:r>
    </w:p>
    <w:p w14:paraId="4360EDF6">
      <w:pPr>
        <w:pBdr>
          <w:top w:val="none" w:color="000000" w:sz="0" w:space="0"/>
          <w:left w:val="none" w:color="000000" w:sz="0" w:space="0"/>
          <w:bottom w:val="none" w:color="000000" w:sz="0" w:space="0"/>
          <w:right w:val="none" w:color="000000" w:sz="0" w:space="0"/>
        </w:pBdr>
        <w:spacing w:line="360" w:lineRule="auto"/>
        <w:ind w:firstLine="420"/>
        <w:rPr>
          <w:rFonts w:hint="default" w:ascii="Times New Roman" w:hAnsi="Times New Roman" w:cs="Times New Roman" w:eastAsiaTheme="minorEastAsia"/>
          <w:color w:val="auto"/>
          <w:highlight w:val="none"/>
          <w:lang w:bidi="ar"/>
          <w14:ligatures w14:val="none"/>
        </w:rPr>
      </w:pPr>
      <w:r>
        <w:rPr>
          <w:rFonts w:hint="default" w:ascii="Times New Roman" w:hAnsi="Times New Roman" w:cs="Times New Roman" w:eastAsiaTheme="minorEastAsia"/>
          <w:color w:val="auto"/>
          <w:highlight w:val="none"/>
          <w:lang w:bidi="ar"/>
        </w:rPr>
        <w:t>3、符合《关于政府采购支持监狱企业发展有关问题的通知》（财库〔2014〕68号）规定的监狱企业并提供由省级以上监狱管理局、戒毒管理局（含新疆生产建设兵团）出具的属于监狱企业证明文件的，视同小型、微型企业。</w:t>
      </w:r>
    </w:p>
    <w:p w14:paraId="2B33924A">
      <w:pPr>
        <w:pBdr>
          <w:top w:val="none" w:color="000000" w:sz="0" w:space="0"/>
          <w:left w:val="none" w:color="000000" w:sz="0" w:space="0"/>
          <w:bottom w:val="none" w:color="000000" w:sz="0" w:space="0"/>
          <w:right w:val="none" w:color="000000" w:sz="0" w:space="0"/>
        </w:pBdr>
        <w:spacing w:line="360" w:lineRule="auto"/>
        <w:ind w:firstLine="420"/>
        <w:rPr>
          <w:rFonts w:hint="default" w:ascii="Times New Roman" w:hAnsi="Times New Roman" w:cs="Times New Roman" w:eastAsiaTheme="minorEastAsia"/>
          <w:color w:val="auto"/>
          <w:highlight w:val="none"/>
          <w:lang w:bidi="ar"/>
          <w14:ligatures w14:val="none"/>
        </w:rPr>
      </w:pPr>
      <w:r>
        <w:rPr>
          <w:rFonts w:hint="default" w:ascii="Times New Roman" w:hAnsi="Times New Roman" w:cs="Times New Roman" w:eastAsiaTheme="minorEastAsia"/>
          <w:color w:val="auto"/>
          <w:highlight w:val="none"/>
          <w:lang w:bidi="ar"/>
        </w:rPr>
        <w:t>4、供应商按照本办法规定提供声明函内容不实的，属于提供虚假材料谋取中标、成交，依照《中华人民共和国政府采购法》等国家有关规定追究相应责任。</w:t>
      </w:r>
    </w:p>
    <w:p w14:paraId="7B7E76DD">
      <w:pPr>
        <w:spacing w:line="360" w:lineRule="auto"/>
        <w:ind w:firstLine="420"/>
        <w:rPr>
          <w:rFonts w:hint="default" w:ascii="Times New Roman" w:hAnsi="Times New Roman" w:cs="Times New Roman" w:eastAsiaTheme="minorEastAsia"/>
          <w:color w:val="auto"/>
          <w:highlight w:val="none"/>
          <w:lang w:bidi="ar"/>
        </w:rPr>
      </w:pPr>
      <w:r>
        <w:rPr>
          <w:rFonts w:hint="default" w:ascii="Times New Roman" w:hAnsi="Times New Roman" w:cs="Times New Roman" w:eastAsiaTheme="minorEastAsia"/>
          <w:color w:val="auto"/>
          <w:highlight w:val="none"/>
          <w:lang w:bidi="ar"/>
        </w:rPr>
        <w:t>5.《江苏省财政厅关于进一步加大政府采购支持中小企业力度的通知》苏财购〔2022〕45号</w:t>
      </w:r>
    </w:p>
    <w:p w14:paraId="747AED6C">
      <w:pPr>
        <w:spacing w:line="360" w:lineRule="auto"/>
        <w:ind w:firstLine="420"/>
        <w:rPr>
          <w:rFonts w:hint="default" w:ascii="Times New Roman" w:hAnsi="Times New Roman" w:cs="Times New Roman" w:eastAsiaTheme="minorEastAsia"/>
          <w:color w:val="auto"/>
          <w:highlight w:val="none"/>
          <w:lang w:bidi="ar"/>
        </w:rPr>
      </w:pPr>
      <w:r>
        <w:rPr>
          <w:rFonts w:hint="default" w:ascii="Times New Roman" w:hAnsi="Times New Roman" w:cs="Times New Roman" w:eastAsiaTheme="minorEastAsia"/>
          <w:color w:val="auto"/>
          <w:highlight w:val="none"/>
          <w:lang w:bidi="ar"/>
        </w:rPr>
        <w:t>6.根据《江苏省财政厅关于加强政府绿色采购有关事项的通知》（苏财购〔2023〕65号）文件精神，严格落实政府绿色采购的各项要求。</w:t>
      </w:r>
    </w:p>
    <w:p w14:paraId="3539868A">
      <w:pPr>
        <w:spacing w:line="360" w:lineRule="auto"/>
        <w:ind w:firstLine="420"/>
        <w:rPr>
          <w:rFonts w:hint="default" w:ascii="Times New Roman" w:hAnsi="Times New Roman" w:cs="Times New Roman" w:eastAsiaTheme="minorEastAsia"/>
          <w:color w:val="auto"/>
          <w:highlight w:val="none"/>
          <w:lang w:bidi="ar"/>
        </w:rPr>
      </w:pPr>
      <w:r>
        <w:rPr>
          <w:rFonts w:hint="default" w:ascii="Times New Roman" w:hAnsi="Times New Roman" w:cs="Times New Roman" w:eastAsiaTheme="minorEastAsia"/>
          <w:color w:val="auto"/>
          <w:highlight w:val="none"/>
          <w:lang w:bidi="ar"/>
        </w:rPr>
        <w:t>7.节能环保</w:t>
      </w:r>
    </w:p>
    <w:p w14:paraId="348E46B0">
      <w:pPr>
        <w:spacing w:line="360" w:lineRule="auto"/>
        <w:ind w:firstLine="420"/>
        <w:rPr>
          <w:rFonts w:hint="default" w:ascii="Times New Roman" w:hAnsi="Times New Roman" w:cs="Times New Roman" w:eastAsiaTheme="minorEastAsia"/>
          <w:color w:val="auto"/>
          <w:highlight w:val="none"/>
          <w:lang w:bidi="ar"/>
        </w:rPr>
      </w:pPr>
      <w:r>
        <w:rPr>
          <w:rFonts w:hint="default" w:ascii="Times New Roman" w:hAnsi="Times New Roman" w:cs="Times New Roman" w:eastAsiaTheme="minorEastAsia"/>
          <w:color w:val="auto"/>
          <w:highlight w:val="none"/>
          <w:lang w:bidi="ar"/>
        </w:rPr>
        <w:t>本项目中如有涉及节能环保产品要求的，应当按《财政部、发展改革委、生态环境部、市场监管总局关于调整优化节能产品、环境标志产品政府采购执行机制的通知》(财库〔2019〕9号)文件执行。</w:t>
      </w:r>
    </w:p>
    <w:p w14:paraId="191519D5">
      <w:pPr>
        <w:spacing w:line="360" w:lineRule="auto"/>
        <w:ind w:firstLine="420"/>
        <w:rPr>
          <w:rFonts w:hint="default" w:ascii="Times New Roman" w:hAnsi="Times New Roman" w:cs="Times New Roman" w:eastAsiaTheme="minorEastAsia"/>
          <w:color w:val="auto"/>
          <w:highlight w:val="none"/>
          <w:lang w:bidi="ar"/>
        </w:rPr>
      </w:pPr>
      <w:r>
        <w:rPr>
          <w:rFonts w:hint="default" w:ascii="Times New Roman" w:hAnsi="Times New Roman" w:cs="Times New Roman" w:eastAsiaTheme="minorEastAsia"/>
          <w:color w:val="auto"/>
          <w:highlight w:val="none"/>
          <w:lang w:bidi="ar"/>
        </w:rPr>
        <w:t>8.需求标准</w:t>
      </w:r>
    </w:p>
    <w:p w14:paraId="430EA49A">
      <w:pPr>
        <w:spacing w:line="360" w:lineRule="auto"/>
        <w:ind w:firstLine="420"/>
        <w:rPr>
          <w:rFonts w:hint="default" w:ascii="Times New Roman" w:hAnsi="Times New Roman" w:cs="Times New Roman" w:eastAsiaTheme="minorEastAsia"/>
          <w:color w:val="auto"/>
          <w:highlight w:val="none"/>
          <w:lang w:bidi="ar"/>
        </w:rPr>
      </w:pPr>
      <w:r>
        <w:rPr>
          <w:rFonts w:hint="default" w:ascii="Times New Roman" w:hAnsi="Times New Roman" w:cs="Times New Roman" w:eastAsiaTheme="minorEastAsia"/>
          <w:color w:val="auto"/>
          <w:highlight w:val="none"/>
          <w:lang w:bidi="ar"/>
        </w:rPr>
        <w:t>本项目中如有涉及商品包装、快递包装的，应当按《关于印发〈商品包装政府采购需求标准（试行）〉、〈快递包装政府采购需求标准（试行）〉的通知》（财办库〔2020〕123号）文件执行。</w:t>
      </w:r>
    </w:p>
    <w:p w14:paraId="0363E988">
      <w:pPr>
        <w:spacing w:line="360" w:lineRule="auto"/>
        <w:ind w:firstLine="420"/>
        <w:rPr>
          <w:rFonts w:hint="default" w:ascii="Times New Roman" w:hAnsi="Times New Roman" w:cs="Times New Roman" w:eastAsiaTheme="minorEastAsia"/>
          <w:color w:val="auto"/>
          <w:highlight w:val="none"/>
          <w:lang w:bidi="ar"/>
        </w:rPr>
      </w:pPr>
      <w:r>
        <w:rPr>
          <w:rFonts w:hint="default" w:ascii="Times New Roman" w:hAnsi="Times New Roman" w:cs="Times New Roman" w:eastAsiaTheme="minorEastAsia"/>
          <w:color w:val="auto"/>
          <w:highlight w:val="none"/>
          <w:lang w:bidi="ar"/>
        </w:rPr>
        <w:t>本项目中如有涉及采购数据中心相关设备、运维服务的，应当按《关于印发〈绿色数据中心政府采购需求标准（试行）〉的通知》（财办库〔2023〕7号）文件执行。</w:t>
      </w:r>
    </w:p>
    <w:p w14:paraId="10151D12">
      <w:pPr>
        <w:spacing w:line="360" w:lineRule="auto"/>
        <w:ind w:firstLine="420"/>
        <w:rPr>
          <w:rFonts w:hint="default" w:ascii="Times New Roman" w:hAnsi="Times New Roman" w:cs="Times New Roman" w:eastAsiaTheme="minorEastAsia"/>
          <w:color w:val="auto"/>
          <w:highlight w:val="none"/>
          <w:lang w:bidi="ar"/>
        </w:rPr>
      </w:pPr>
      <w:r>
        <w:rPr>
          <w:rFonts w:hint="default" w:ascii="Times New Roman" w:hAnsi="Times New Roman" w:cs="Times New Roman" w:eastAsiaTheme="minorEastAsia"/>
          <w:color w:val="auto"/>
          <w:highlight w:val="none"/>
          <w:lang w:bidi="ar"/>
        </w:rPr>
        <w:t>本项目中如有涉及数据库、操作系统、通用服务器、工作站、一体式计算机、便携式计算机、台式计算机等七种软硬件的，应当按财政部、工信部共同发布数据库、操作系统、通用服务器、工作站、一体式计算机、便携式计算机、台式计算机等七种软硬件需求标准执行。</w:t>
      </w:r>
    </w:p>
    <w:p w14:paraId="793F0D6A">
      <w:pPr>
        <w:spacing w:line="360" w:lineRule="auto"/>
        <w:ind w:firstLine="420"/>
        <w:rPr>
          <w:rFonts w:hint="default" w:ascii="Times New Roman" w:hAnsi="Times New Roman" w:cs="Times New Roman" w:eastAsiaTheme="minorEastAsia"/>
          <w:color w:val="auto"/>
          <w:highlight w:val="none"/>
          <w:lang w:bidi="ar"/>
        </w:rPr>
      </w:pPr>
      <w:r>
        <w:rPr>
          <w:rFonts w:hint="default" w:ascii="Times New Roman" w:hAnsi="Times New Roman" w:cs="Times New Roman" w:eastAsiaTheme="minorEastAsia"/>
          <w:color w:val="auto"/>
          <w:highlight w:val="none"/>
          <w:lang w:bidi="ar"/>
        </w:rPr>
        <w:t>11.中标、成交供应商可以采用电子履约保函形式代替缴纳履约保证金，具体可登录江苏政府采购网的保险保函模块进行办理。</w:t>
      </w:r>
    </w:p>
    <w:p w14:paraId="6AF82F12">
      <w:pPr>
        <w:spacing w:line="360" w:lineRule="auto"/>
        <w:ind w:firstLine="420"/>
        <w:rPr>
          <w:rFonts w:hint="default" w:ascii="Times New Roman" w:hAnsi="Times New Roman" w:cs="Times New Roman" w:eastAsiaTheme="minorEastAsia"/>
          <w:color w:val="auto"/>
          <w:highlight w:val="none"/>
          <w:lang w:bidi="ar"/>
        </w:rPr>
      </w:pPr>
      <w:r>
        <w:rPr>
          <w:rFonts w:hint="default" w:ascii="Times New Roman" w:hAnsi="Times New Roman" w:cs="Times New Roman" w:eastAsiaTheme="minorEastAsia"/>
          <w:color w:val="auto"/>
          <w:highlight w:val="none"/>
          <w:lang w:bidi="ar"/>
        </w:rPr>
        <w:t>12.中标、成交供应商可凭政府采购合同办理融资贷款，详情请见泰州市政府采购网“政采贷”专栏。</w:t>
      </w:r>
    </w:p>
    <w:p w14:paraId="194ECCDB">
      <w:pPr>
        <w:pStyle w:val="3"/>
        <w:spacing w:line="360" w:lineRule="auto"/>
        <w:rPr>
          <w:rFonts w:hint="default" w:ascii="Times New Roman" w:hAnsi="Times New Roman" w:cs="Times New Roman"/>
          <w:color w:val="auto"/>
          <w:highlight w:val="none"/>
        </w:rPr>
      </w:pPr>
      <w:r>
        <w:rPr>
          <w:rFonts w:hint="default" w:ascii="Times New Roman" w:hAnsi="Times New Roman" w:cs="Times New Roman"/>
          <w:color w:val="auto"/>
          <w:highlight w:val="none"/>
        </w:rPr>
        <w:t>十</w:t>
      </w:r>
      <w:r>
        <w:rPr>
          <w:rFonts w:hint="default" w:ascii="Times New Roman" w:hAnsi="Times New Roman" w:cs="Times New Roman"/>
          <w:color w:val="auto"/>
          <w:highlight w:val="none"/>
          <w:lang w:val="en-US" w:eastAsia="zh-CN"/>
        </w:rPr>
        <w:t>三</w:t>
      </w:r>
      <w:r>
        <w:rPr>
          <w:rFonts w:hint="default" w:ascii="Times New Roman" w:hAnsi="Times New Roman" w:cs="Times New Roman"/>
          <w:color w:val="auto"/>
          <w:highlight w:val="none"/>
        </w:rPr>
        <w:t>、采购标的所属行业</w:t>
      </w:r>
    </w:p>
    <w:p w14:paraId="7B093338">
      <w:pPr>
        <w:keepNext w:val="0"/>
        <w:keepLines w:val="0"/>
        <w:pageBreakBefore w:val="0"/>
        <w:pBdr>
          <w:top w:val="none" w:color="000000" w:sz="0" w:space="0"/>
          <w:left w:val="none" w:color="000000" w:sz="0" w:space="0"/>
          <w:bottom w:val="none" w:color="000000" w:sz="0" w:space="0"/>
          <w:right w:val="none" w:color="000000" w:sz="0" w:space="0"/>
        </w:pBdr>
        <w:spacing w:beforeAutospacing="0" w:afterAutospacing="0" w:line="360" w:lineRule="auto"/>
        <w:ind w:firstLine="459"/>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参照《关于印发中小企业划型标准规定的通知》（工信部联企业〔2011〕300号）文件，本项目采购标的所属行业为</w:t>
      </w:r>
      <w:r>
        <w:rPr>
          <w:rFonts w:hint="default" w:ascii="Times New Roman" w:hAnsi="Times New Roman" w:cs="Times New Roman"/>
          <w:color w:val="auto"/>
          <w:sz w:val="21"/>
          <w:szCs w:val="21"/>
          <w:highlight w:val="none"/>
          <w:u w:val="single"/>
        </w:rPr>
        <w:t>其他未列明行业。</w:t>
      </w:r>
    </w:p>
    <w:p w14:paraId="04B6D37B">
      <w:pPr>
        <w:keepNext w:val="0"/>
        <w:keepLines w:val="0"/>
        <w:pageBreakBefore w:val="0"/>
        <w:pBdr>
          <w:top w:val="none" w:color="000000" w:sz="0" w:space="0"/>
          <w:left w:val="none" w:color="000000" w:sz="0" w:space="0"/>
          <w:bottom w:val="none" w:color="000000" w:sz="0" w:space="0"/>
          <w:right w:val="none" w:color="000000" w:sz="0" w:space="0"/>
        </w:pBdr>
        <w:spacing w:beforeAutospacing="0" w:afterAutospacing="0" w:line="360" w:lineRule="auto"/>
        <w:ind w:firstLine="442"/>
        <w:jc w:val="center"/>
        <w:rPr>
          <w:rFonts w:hint="default" w:ascii="Times New Roman" w:hAnsi="Times New Roman" w:cs="Times New Roman"/>
          <w:color w:val="auto"/>
          <w:highlight w:val="none"/>
        </w:rPr>
      </w:pPr>
      <w:r>
        <w:rPr>
          <w:rFonts w:hint="default" w:ascii="Times New Roman" w:hAnsi="Times New Roman" w:cs="Times New Roman"/>
          <w:color w:val="auto"/>
          <w:highlight w:val="none"/>
        </w:rPr>
        <w:br w:type="page" w:clear="all"/>
      </w:r>
    </w:p>
    <w:p w14:paraId="386E2252">
      <w:pPr>
        <w:pStyle w:val="2"/>
        <w:spacing w:line="360" w:lineRule="auto"/>
        <w:rPr>
          <w:rFonts w:hint="default" w:ascii="Times New Roman" w:hAnsi="Times New Roman" w:cs="Times New Roman"/>
          <w:color w:val="auto"/>
          <w:highlight w:val="none"/>
        </w:rPr>
      </w:pPr>
      <w:r>
        <w:rPr>
          <w:rFonts w:hint="default" w:ascii="Times New Roman" w:hAnsi="Times New Roman" w:cs="Times New Roman"/>
          <w:color w:val="auto"/>
          <w:highlight w:val="none"/>
        </w:rPr>
        <w:t>第三章  合同条款及格式</w:t>
      </w:r>
    </w:p>
    <w:p w14:paraId="0B5985FF">
      <w:pPr>
        <w:keepNext w:val="0"/>
        <w:keepLines w:val="0"/>
        <w:pageBreakBefore w:val="0"/>
        <w:pBdr>
          <w:top w:val="none" w:color="000000" w:sz="0" w:space="0"/>
          <w:left w:val="none" w:color="000000" w:sz="0" w:space="0"/>
          <w:bottom w:val="none" w:color="000000" w:sz="0" w:space="0"/>
          <w:right w:val="none" w:color="000000" w:sz="0" w:space="0"/>
        </w:pBdr>
        <w:spacing w:beforeAutospacing="0" w:afterAutospacing="0" w:line="360" w:lineRule="auto"/>
        <w:jc w:val="center"/>
        <w:rPr>
          <w:rFonts w:hint="default" w:ascii="Times New Roman" w:hAnsi="Times New Roman" w:cs="Times New Roman"/>
          <w:color w:val="auto"/>
          <w:highlight w:val="none"/>
        </w:rPr>
      </w:pPr>
      <w:r>
        <w:rPr>
          <w:rFonts w:hint="default" w:ascii="Times New Roman" w:hAnsi="Times New Roman" w:eastAsia="幼圆" w:cs="Times New Roman"/>
          <w:b/>
          <w:color w:val="auto"/>
          <w:sz w:val="24"/>
          <w:highlight w:val="none"/>
        </w:rPr>
        <w:t>（参考文本）</w:t>
      </w:r>
    </w:p>
    <w:p w14:paraId="06DAF5A3">
      <w:pPr>
        <w:keepNext w:val="0"/>
        <w:keepLines w:val="0"/>
        <w:pageBreakBefore w:val="0"/>
        <w:spacing w:beforeAutospacing="0" w:afterAutospacing="0" w:line="360" w:lineRule="auto"/>
        <w:ind w:firstLine="420"/>
        <w:jc w:val="left"/>
        <w:rPr>
          <w:rFonts w:hint="default" w:ascii="Times New Roman" w:hAnsi="Times New Roman" w:cs="Times New Roman" w:eastAsiaTheme="minorEastAsia"/>
          <w:bCs/>
          <w:color w:val="auto"/>
          <w:sz w:val="21"/>
          <w:szCs w:val="21"/>
          <w:highlight w:val="none"/>
        </w:rPr>
      </w:pPr>
      <w:r>
        <w:rPr>
          <w:rFonts w:hint="default" w:ascii="Times New Roman" w:hAnsi="Times New Roman" w:cs="Times New Roman" w:eastAsiaTheme="minorEastAsia"/>
          <w:bCs/>
          <w:color w:val="auto"/>
          <w:sz w:val="21"/>
          <w:szCs w:val="21"/>
          <w:highlight w:val="none"/>
        </w:rPr>
        <w:t>以下为中标后签订本项目合同的通用条款，中标人不得提出实质性的修改，关于专用条款将由采购人与中标人结合本项目具体情况协商后签订。</w:t>
      </w:r>
    </w:p>
    <w:p w14:paraId="4CA3C268">
      <w:pPr>
        <w:keepNext w:val="0"/>
        <w:keepLines w:val="0"/>
        <w:pageBreakBefore w:val="0"/>
        <w:spacing w:beforeAutospacing="0" w:afterAutospacing="0" w:line="360" w:lineRule="auto"/>
        <w:jc w:val="center"/>
        <w:rPr>
          <w:rFonts w:hint="default" w:ascii="Times New Roman" w:hAnsi="Times New Roman" w:cs="Times New Roman" w:eastAsiaTheme="minorEastAsia"/>
          <w:bCs/>
          <w:color w:val="auto"/>
          <w:sz w:val="24"/>
          <w:highlight w:val="none"/>
        </w:rPr>
      </w:pPr>
      <w:r>
        <w:rPr>
          <w:rFonts w:hint="default" w:ascii="Times New Roman" w:hAnsi="Times New Roman" w:cs="Times New Roman" w:eastAsiaTheme="minorEastAsia"/>
          <w:b/>
          <w:color w:val="auto"/>
          <w:sz w:val="24"/>
          <w:highlight w:val="none"/>
        </w:rPr>
        <w:t>政府采购合同</w:t>
      </w:r>
    </w:p>
    <w:p w14:paraId="1BEDD688">
      <w:pPr>
        <w:pStyle w:val="24"/>
        <w:spacing w:line="360" w:lineRule="auto"/>
        <w:ind w:firstLine="480"/>
        <w:jc w:val="left"/>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甲方：</w:t>
      </w:r>
      <w:r>
        <w:rPr>
          <w:rFonts w:hint="default" w:ascii="Times New Roman" w:hAnsi="Times New Roman" w:eastAsia="宋体" w:cs="Times New Roman"/>
          <w:b/>
          <w:color w:val="auto"/>
          <w:sz w:val="21"/>
          <w:szCs w:val="21"/>
          <w:highlight w:val="none"/>
        </w:rPr>
        <w:t>【</w:t>
      </w:r>
      <w:r>
        <w:rPr>
          <w:rFonts w:hint="default" w:ascii="Times New Roman" w:hAnsi="Times New Roman" w:eastAsia="宋体" w:cs="Times New Roman"/>
          <w:bCs/>
          <w:color w:val="auto"/>
          <w:sz w:val="21"/>
          <w:szCs w:val="21"/>
          <w:highlight w:val="none"/>
        </w:rPr>
        <w:t>采购人</w:t>
      </w:r>
      <w:r>
        <w:rPr>
          <w:rFonts w:hint="default" w:ascii="Times New Roman" w:hAnsi="Times New Roman" w:eastAsia="宋体" w:cs="Times New Roman"/>
          <w:b/>
          <w:color w:val="auto"/>
          <w:sz w:val="21"/>
          <w:szCs w:val="21"/>
          <w:highlight w:val="none"/>
        </w:rPr>
        <w:t>】</w:t>
      </w:r>
    </w:p>
    <w:p w14:paraId="50E6F51C">
      <w:pPr>
        <w:pStyle w:val="24"/>
        <w:spacing w:line="360" w:lineRule="auto"/>
        <w:ind w:firstLine="480"/>
        <w:jc w:val="left"/>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乙方：</w:t>
      </w:r>
      <w:r>
        <w:rPr>
          <w:rFonts w:hint="default" w:ascii="Times New Roman" w:hAnsi="Times New Roman" w:eastAsia="宋体" w:cs="Times New Roman"/>
          <w:b/>
          <w:color w:val="auto"/>
          <w:sz w:val="21"/>
          <w:szCs w:val="21"/>
          <w:highlight w:val="none"/>
        </w:rPr>
        <w:t>【</w:t>
      </w:r>
      <w:r>
        <w:rPr>
          <w:rFonts w:hint="default" w:ascii="Times New Roman" w:hAnsi="Times New Roman" w:eastAsia="宋体" w:cs="Times New Roman"/>
          <w:color w:val="auto"/>
          <w:sz w:val="21"/>
          <w:szCs w:val="21"/>
          <w:highlight w:val="none"/>
        </w:rPr>
        <w:t>中标人</w:t>
      </w:r>
      <w:r>
        <w:rPr>
          <w:rFonts w:hint="default" w:ascii="Times New Roman" w:hAnsi="Times New Roman" w:eastAsia="宋体" w:cs="Times New Roman"/>
          <w:b/>
          <w:color w:val="auto"/>
          <w:sz w:val="21"/>
          <w:szCs w:val="21"/>
          <w:highlight w:val="none"/>
        </w:rPr>
        <w:t>】</w:t>
      </w:r>
    </w:p>
    <w:p w14:paraId="158B72D6">
      <w:pPr>
        <w:pStyle w:val="24"/>
        <w:spacing w:line="360" w:lineRule="auto"/>
        <w:ind w:firstLine="480"/>
        <w:jc w:val="left"/>
        <w:rPr>
          <w:rFonts w:hint="default" w:ascii="Times New Roman" w:hAnsi="Times New Roman" w:eastAsia="宋体" w:cs="Times New Roman"/>
          <w:b/>
          <w:color w:val="auto"/>
          <w:sz w:val="21"/>
          <w:szCs w:val="21"/>
          <w:highlight w:val="none"/>
        </w:rPr>
      </w:pPr>
      <w:r>
        <w:rPr>
          <w:rFonts w:hint="default" w:ascii="Times New Roman" w:hAnsi="Times New Roman" w:eastAsia="宋体" w:cs="Times New Roman"/>
          <w:color w:val="auto"/>
          <w:sz w:val="21"/>
          <w:szCs w:val="21"/>
          <w:highlight w:val="none"/>
        </w:rPr>
        <w:t>甲、乙双方根据</w:t>
      </w:r>
      <w:r>
        <w:rPr>
          <w:rFonts w:hint="default" w:ascii="Times New Roman" w:hAnsi="Times New Roman" w:eastAsia="宋体" w:cs="Times New Roman"/>
          <w:b/>
          <w:color w:val="auto"/>
          <w:sz w:val="21"/>
          <w:szCs w:val="21"/>
          <w:highlight w:val="none"/>
        </w:rPr>
        <w:t>【项目名称】</w:t>
      </w:r>
      <w:r>
        <w:rPr>
          <w:rFonts w:hint="default" w:ascii="Times New Roman" w:hAnsi="Times New Roman" w:eastAsia="宋体" w:cs="Times New Roman"/>
          <w:color w:val="auto"/>
          <w:sz w:val="21"/>
          <w:szCs w:val="21"/>
          <w:highlight w:val="none"/>
        </w:rPr>
        <w:t>项目（项目编号：【项目编号】）招标的结果，签订本合同。</w:t>
      </w:r>
    </w:p>
    <w:p w14:paraId="3A118BE1">
      <w:pPr>
        <w:pStyle w:val="24"/>
        <w:spacing w:line="360" w:lineRule="auto"/>
        <w:ind w:firstLine="482"/>
        <w:jc w:val="left"/>
        <w:rPr>
          <w:rFonts w:hint="default" w:ascii="Times New Roman" w:hAnsi="Times New Roman" w:eastAsia="宋体" w:cs="Times New Roman"/>
          <w:b/>
          <w:color w:val="auto"/>
          <w:sz w:val="21"/>
          <w:szCs w:val="21"/>
          <w:highlight w:val="none"/>
        </w:rPr>
      </w:pPr>
      <w:r>
        <w:rPr>
          <w:rFonts w:hint="default" w:ascii="Times New Roman" w:hAnsi="Times New Roman" w:eastAsia="宋体" w:cs="Times New Roman"/>
          <w:b/>
          <w:color w:val="auto"/>
          <w:sz w:val="21"/>
          <w:szCs w:val="21"/>
          <w:highlight w:val="none"/>
        </w:rPr>
        <w:t>一、采购标的</w:t>
      </w:r>
    </w:p>
    <w:p w14:paraId="68383D97">
      <w:pPr>
        <w:pStyle w:val="24"/>
        <w:spacing w:line="360" w:lineRule="auto"/>
        <w:ind w:firstLine="480"/>
        <w:jc w:val="left"/>
        <w:rPr>
          <w:rFonts w:hint="default" w:ascii="Times New Roman" w:hAnsi="Times New Roman" w:eastAsia="宋体" w:cs="Times New Roman"/>
          <w:color w:val="auto"/>
          <w:sz w:val="21"/>
          <w:szCs w:val="21"/>
          <w:highlight w:val="none"/>
          <w:u w:val="single"/>
        </w:rPr>
      </w:pPr>
      <w:r>
        <w:rPr>
          <w:rFonts w:hint="default" w:ascii="Times New Roman" w:hAnsi="Times New Roman" w:eastAsia="宋体" w:cs="Times New Roman"/>
          <w:color w:val="auto"/>
          <w:sz w:val="21"/>
          <w:szCs w:val="21"/>
          <w:highlight w:val="none"/>
        </w:rPr>
        <w:t>1.产品/服务内容：</w:t>
      </w:r>
      <w:r>
        <w:rPr>
          <w:rFonts w:hint="default" w:ascii="Times New Roman" w:hAnsi="Times New Roman" w:eastAsia="宋体" w:cs="Times New Roman"/>
          <w:color w:val="auto"/>
          <w:sz w:val="21"/>
          <w:szCs w:val="21"/>
          <w:highlight w:val="none"/>
          <w:u w:val="single"/>
        </w:rPr>
        <w:t xml:space="preserve">      </w:t>
      </w:r>
      <w:r>
        <w:rPr>
          <w:rFonts w:hint="default" w:ascii="Times New Roman" w:hAnsi="Times New Roman" w:eastAsia="宋体" w:cs="Times New Roman"/>
          <w:color w:val="auto"/>
          <w:sz w:val="21"/>
          <w:szCs w:val="21"/>
          <w:highlight w:val="none"/>
        </w:rPr>
        <w:t>。</w:t>
      </w:r>
    </w:p>
    <w:p w14:paraId="4C5CC919">
      <w:pPr>
        <w:pStyle w:val="24"/>
        <w:spacing w:line="360" w:lineRule="auto"/>
        <w:ind w:firstLine="480"/>
        <w:jc w:val="left"/>
        <w:rPr>
          <w:rFonts w:hint="default" w:ascii="Times New Roman" w:hAnsi="Times New Roman" w:eastAsia="宋体" w:cs="Times New Roman"/>
          <w:color w:val="auto"/>
          <w:sz w:val="21"/>
          <w:szCs w:val="21"/>
          <w:highlight w:val="none"/>
          <w:u w:val="single"/>
        </w:rPr>
      </w:pPr>
      <w:r>
        <w:rPr>
          <w:rFonts w:hint="default" w:ascii="Times New Roman" w:hAnsi="Times New Roman" w:eastAsia="宋体" w:cs="Times New Roman"/>
          <w:color w:val="auto"/>
          <w:sz w:val="21"/>
          <w:szCs w:val="21"/>
          <w:highlight w:val="none"/>
        </w:rPr>
        <w:t>2.服务期限：</w:t>
      </w:r>
      <w:r>
        <w:rPr>
          <w:rFonts w:hint="default" w:ascii="Times New Roman" w:hAnsi="Times New Roman" w:eastAsia="宋体" w:cs="Times New Roman"/>
          <w:color w:val="auto"/>
          <w:sz w:val="21"/>
          <w:szCs w:val="21"/>
          <w:highlight w:val="none"/>
          <w:u w:val="single"/>
        </w:rPr>
        <w:t xml:space="preserve">      </w:t>
      </w:r>
      <w:r>
        <w:rPr>
          <w:rFonts w:hint="default" w:ascii="Times New Roman" w:hAnsi="Times New Roman" w:eastAsia="宋体" w:cs="Times New Roman"/>
          <w:color w:val="auto"/>
          <w:sz w:val="21"/>
          <w:szCs w:val="21"/>
          <w:highlight w:val="none"/>
        </w:rPr>
        <w:t>。</w:t>
      </w:r>
    </w:p>
    <w:p w14:paraId="46A03CFA">
      <w:pPr>
        <w:pStyle w:val="24"/>
        <w:spacing w:line="360" w:lineRule="auto"/>
        <w:ind w:firstLine="480"/>
        <w:jc w:val="left"/>
        <w:rPr>
          <w:rFonts w:hint="default" w:ascii="Times New Roman" w:hAnsi="Times New Roman" w:eastAsia="宋体" w:cs="Times New Roman"/>
          <w:color w:val="auto"/>
          <w:sz w:val="21"/>
          <w:szCs w:val="21"/>
          <w:highlight w:val="none"/>
          <w:u w:val="single"/>
        </w:rPr>
      </w:pPr>
      <w:r>
        <w:rPr>
          <w:rFonts w:hint="default" w:ascii="Times New Roman" w:hAnsi="Times New Roman" w:eastAsia="宋体" w:cs="Times New Roman"/>
          <w:color w:val="auto"/>
          <w:sz w:val="21"/>
          <w:szCs w:val="21"/>
          <w:highlight w:val="none"/>
        </w:rPr>
        <w:t>3.补充条款：</w:t>
      </w:r>
      <w:r>
        <w:rPr>
          <w:rFonts w:hint="default" w:ascii="Times New Roman" w:hAnsi="Times New Roman" w:eastAsia="宋体" w:cs="Times New Roman"/>
          <w:color w:val="auto"/>
          <w:sz w:val="21"/>
          <w:szCs w:val="21"/>
          <w:highlight w:val="none"/>
          <w:u w:val="single"/>
        </w:rPr>
        <w:t xml:space="preserve">      </w:t>
      </w:r>
      <w:r>
        <w:rPr>
          <w:rFonts w:hint="default" w:ascii="Times New Roman" w:hAnsi="Times New Roman" w:eastAsia="宋体" w:cs="Times New Roman"/>
          <w:color w:val="auto"/>
          <w:sz w:val="21"/>
          <w:szCs w:val="21"/>
          <w:highlight w:val="none"/>
        </w:rPr>
        <w:t>。</w:t>
      </w:r>
    </w:p>
    <w:p w14:paraId="35014D23">
      <w:pPr>
        <w:pStyle w:val="24"/>
        <w:spacing w:line="360" w:lineRule="auto"/>
        <w:ind w:firstLine="482"/>
        <w:jc w:val="left"/>
        <w:rPr>
          <w:rFonts w:hint="default" w:ascii="Times New Roman" w:hAnsi="Times New Roman" w:eastAsia="宋体" w:cs="Times New Roman"/>
          <w:b/>
          <w:color w:val="auto"/>
          <w:sz w:val="21"/>
          <w:szCs w:val="21"/>
          <w:highlight w:val="none"/>
        </w:rPr>
      </w:pPr>
      <w:r>
        <w:rPr>
          <w:rFonts w:hint="default" w:ascii="Times New Roman" w:hAnsi="Times New Roman" w:eastAsia="宋体" w:cs="Times New Roman"/>
          <w:b/>
          <w:color w:val="auto"/>
          <w:sz w:val="21"/>
          <w:szCs w:val="21"/>
          <w:highlight w:val="none"/>
        </w:rPr>
        <w:t>二、合同金额</w:t>
      </w:r>
    </w:p>
    <w:p w14:paraId="01E004DD">
      <w:pPr>
        <w:pStyle w:val="24"/>
        <w:spacing w:line="360" w:lineRule="auto"/>
        <w:ind w:firstLine="480"/>
        <w:jc w:val="left"/>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本合同金额为（大写）：_______________元整（¥__________）人民币。</w:t>
      </w:r>
    </w:p>
    <w:p w14:paraId="1EA99414">
      <w:pPr>
        <w:pStyle w:val="24"/>
        <w:spacing w:line="360" w:lineRule="auto"/>
        <w:ind w:firstLine="480"/>
        <w:jc w:val="left"/>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本合同价款包含所有乙方提供合同约定产品和服务的报酬及乙方提供合同中产品和服务所支出的必要费用，甲方在上述合同价款之外不再向乙方支付其他任何费用。</w:t>
      </w:r>
    </w:p>
    <w:p w14:paraId="412F4ED5">
      <w:pPr>
        <w:pStyle w:val="24"/>
        <w:spacing w:line="360" w:lineRule="auto"/>
        <w:ind w:firstLine="482"/>
        <w:jc w:val="left"/>
        <w:rPr>
          <w:rFonts w:hint="default" w:ascii="Times New Roman" w:hAnsi="Times New Roman" w:eastAsia="宋体" w:cs="Times New Roman"/>
          <w:b/>
          <w:color w:val="auto"/>
          <w:sz w:val="21"/>
          <w:szCs w:val="21"/>
          <w:highlight w:val="none"/>
        </w:rPr>
      </w:pPr>
      <w:r>
        <w:rPr>
          <w:rFonts w:hint="default" w:ascii="Times New Roman" w:hAnsi="Times New Roman" w:eastAsia="宋体" w:cs="Times New Roman"/>
          <w:b/>
          <w:color w:val="auto"/>
          <w:sz w:val="21"/>
          <w:szCs w:val="21"/>
          <w:highlight w:val="none"/>
        </w:rPr>
        <w:t>三、技术资料</w:t>
      </w:r>
    </w:p>
    <w:p w14:paraId="3840E950">
      <w:pPr>
        <w:pStyle w:val="24"/>
        <w:spacing w:line="360" w:lineRule="auto"/>
        <w:ind w:firstLine="480"/>
        <w:jc w:val="left"/>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1.乙方应按</w:t>
      </w:r>
      <w:r>
        <w:rPr>
          <w:rFonts w:hint="default" w:ascii="Times New Roman" w:hAnsi="Times New Roman" w:eastAsia="宋体" w:cs="Times New Roman"/>
          <w:color w:val="auto"/>
          <w:sz w:val="21"/>
          <w:szCs w:val="21"/>
          <w:highlight w:val="none"/>
          <w:lang w:eastAsia="zh-CN"/>
        </w:rPr>
        <w:t>磋商文件</w:t>
      </w:r>
      <w:r>
        <w:rPr>
          <w:rFonts w:hint="default" w:ascii="Times New Roman" w:hAnsi="Times New Roman" w:eastAsia="宋体" w:cs="Times New Roman"/>
          <w:color w:val="auto"/>
          <w:sz w:val="21"/>
          <w:szCs w:val="21"/>
          <w:highlight w:val="none"/>
        </w:rPr>
        <w:t>规定的时间向甲方提供有关技术资料。</w:t>
      </w:r>
    </w:p>
    <w:p w14:paraId="66261158">
      <w:pPr>
        <w:pStyle w:val="24"/>
        <w:spacing w:line="360" w:lineRule="auto"/>
        <w:ind w:firstLine="480"/>
        <w:jc w:val="left"/>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2.没有甲方事先书面同意，乙方不得将由甲方提供的有关合同或任何合同条文、规格、计划、图纸、样品或资料提供给予履行本合同无关的任何其他人。即使向履行本合同有关的人员提供，也应注意保密并限于履行合同的必需范围。</w:t>
      </w:r>
    </w:p>
    <w:p w14:paraId="4E279C7C">
      <w:pPr>
        <w:pStyle w:val="24"/>
        <w:spacing w:line="360" w:lineRule="auto"/>
        <w:ind w:firstLine="482"/>
        <w:jc w:val="left"/>
        <w:rPr>
          <w:rFonts w:hint="default" w:ascii="Times New Roman" w:hAnsi="Times New Roman" w:eastAsia="宋体" w:cs="Times New Roman"/>
          <w:b/>
          <w:color w:val="auto"/>
          <w:sz w:val="21"/>
          <w:szCs w:val="21"/>
          <w:highlight w:val="none"/>
        </w:rPr>
      </w:pPr>
      <w:r>
        <w:rPr>
          <w:rFonts w:hint="default" w:ascii="Times New Roman" w:hAnsi="Times New Roman" w:eastAsia="宋体" w:cs="Times New Roman"/>
          <w:b/>
          <w:color w:val="auto"/>
          <w:sz w:val="21"/>
          <w:szCs w:val="21"/>
          <w:highlight w:val="none"/>
        </w:rPr>
        <w:t>四、知识产权</w:t>
      </w:r>
    </w:p>
    <w:p w14:paraId="1E6C18C4">
      <w:pPr>
        <w:spacing w:line="360" w:lineRule="auto"/>
        <w:ind w:firstLine="480"/>
        <w:jc w:val="left"/>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乙方应保证甲方在使用、接受本合同中产品和服务或其任何一部分时不受第三方提出侵犯其专利权、版权、商标权和工业设计权等知识产权的起诉。一旦出现侵权，由乙方负全部责任。</w:t>
      </w:r>
    </w:p>
    <w:p w14:paraId="0F6C1677">
      <w:pPr>
        <w:pStyle w:val="24"/>
        <w:spacing w:line="360" w:lineRule="auto"/>
        <w:ind w:firstLine="482"/>
        <w:jc w:val="left"/>
        <w:rPr>
          <w:rFonts w:hint="default" w:ascii="Times New Roman" w:hAnsi="Times New Roman" w:eastAsia="宋体" w:cs="Times New Roman"/>
          <w:color w:val="auto"/>
          <w:sz w:val="21"/>
          <w:szCs w:val="21"/>
          <w:highlight w:val="none"/>
          <w:u w:val="single"/>
        </w:rPr>
      </w:pPr>
      <w:r>
        <w:rPr>
          <w:rFonts w:hint="default" w:ascii="Times New Roman" w:hAnsi="Times New Roman" w:eastAsia="宋体" w:cs="Times New Roman"/>
          <w:b/>
          <w:color w:val="auto"/>
          <w:sz w:val="21"/>
          <w:szCs w:val="21"/>
          <w:highlight w:val="none"/>
        </w:rPr>
        <w:t>五、产权担保</w:t>
      </w:r>
    </w:p>
    <w:p w14:paraId="713CBD1C">
      <w:pPr>
        <w:pStyle w:val="24"/>
        <w:spacing w:line="360" w:lineRule="auto"/>
        <w:ind w:firstLine="480"/>
        <w:jc w:val="left"/>
        <w:rPr>
          <w:rFonts w:hint="default" w:ascii="Times New Roman" w:hAnsi="Times New Roman" w:eastAsia="宋体" w:cs="Times New Roman"/>
          <w:color w:val="auto"/>
          <w:sz w:val="21"/>
          <w:szCs w:val="21"/>
          <w:highlight w:val="none"/>
          <w:u w:val="single"/>
        </w:rPr>
      </w:pPr>
      <w:r>
        <w:rPr>
          <w:rFonts w:hint="default" w:ascii="Times New Roman" w:hAnsi="Times New Roman" w:eastAsia="宋体" w:cs="Times New Roman"/>
          <w:color w:val="auto"/>
          <w:sz w:val="21"/>
          <w:szCs w:val="21"/>
          <w:highlight w:val="none"/>
        </w:rPr>
        <w:t>乙方保证所交付标的的所有权完全属于乙方且无任何抵押、查封等产权瑕疵。</w:t>
      </w:r>
    </w:p>
    <w:p w14:paraId="03300291">
      <w:pPr>
        <w:pStyle w:val="24"/>
        <w:spacing w:line="360" w:lineRule="auto"/>
        <w:ind w:firstLine="482"/>
        <w:jc w:val="left"/>
        <w:rPr>
          <w:rFonts w:hint="default" w:ascii="Times New Roman" w:hAnsi="Times New Roman" w:eastAsia="宋体" w:cs="Times New Roman"/>
          <w:b/>
          <w:color w:val="auto"/>
          <w:sz w:val="21"/>
          <w:szCs w:val="21"/>
          <w:highlight w:val="none"/>
        </w:rPr>
      </w:pPr>
      <w:r>
        <w:rPr>
          <w:rFonts w:hint="default" w:ascii="Times New Roman" w:hAnsi="Times New Roman" w:eastAsia="宋体" w:cs="Times New Roman"/>
          <w:b/>
          <w:color w:val="auto"/>
          <w:sz w:val="21"/>
          <w:szCs w:val="21"/>
          <w:highlight w:val="none"/>
        </w:rPr>
        <w:t>六、履约保证金</w:t>
      </w:r>
    </w:p>
    <w:p w14:paraId="4093C61F">
      <w:pPr>
        <w:spacing w:line="360" w:lineRule="auto"/>
        <w:ind w:firstLine="480"/>
        <w:jc w:val="left"/>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本项目不收取履约保证金。</w:t>
      </w:r>
    </w:p>
    <w:p w14:paraId="5B94D122">
      <w:pPr>
        <w:pStyle w:val="24"/>
        <w:spacing w:line="360" w:lineRule="auto"/>
        <w:ind w:firstLine="482"/>
        <w:jc w:val="left"/>
        <w:rPr>
          <w:rFonts w:hint="default" w:ascii="Times New Roman" w:hAnsi="Times New Roman" w:eastAsia="宋体" w:cs="Times New Roman"/>
          <w:b/>
          <w:color w:val="auto"/>
          <w:sz w:val="21"/>
          <w:szCs w:val="21"/>
          <w:highlight w:val="none"/>
        </w:rPr>
      </w:pPr>
      <w:r>
        <w:rPr>
          <w:rFonts w:hint="default" w:ascii="Times New Roman" w:hAnsi="Times New Roman" w:eastAsia="宋体" w:cs="Times New Roman"/>
          <w:b/>
          <w:color w:val="auto"/>
          <w:sz w:val="21"/>
          <w:szCs w:val="21"/>
          <w:highlight w:val="none"/>
        </w:rPr>
        <w:t>七、转包或分包</w:t>
      </w:r>
    </w:p>
    <w:p w14:paraId="2CAC9707">
      <w:pPr>
        <w:spacing w:line="360" w:lineRule="auto"/>
        <w:ind w:firstLine="480"/>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rPr>
        <w:t>1.本合同范围内产品或服务，不能转包</w:t>
      </w:r>
      <w:r>
        <w:rPr>
          <w:rFonts w:hint="default" w:ascii="Times New Roman" w:hAnsi="Times New Roman" w:cs="Times New Roman"/>
          <w:color w:val="auto"/>
          <w:sz w:val="21"/>
          <w:szCs w:val="21"/>
          <w:highlight w:val="none"/>
          <w:lang w:eastAsia="zh-CN"/>
        </w:rPr>
        <w:t>、</w:t>
      </w:r>
      <w:r>
        <w:rPr>
          <w:rFonts w:hint="default" w:ascii="Times New Roman" w:hAnsi="Times New Roman" w:cs="Times New Roman"/>
          <w:color w:val="auto"/>
          <w:sz w:val="21"/>
          <w:szCs w:val="21"/>
          <w:highlight w:val="none"/>
          <w:lang w:val="en-US" w:eastAsia="zh-CN"/>
        </w:rPr>
        <w:t>分包。</w:t>
      </w:r>
    </w:p>
    <w:p w14:paraId="74979347">
      <w:pPr>
        <w:pStyle w:val="24"/>
        <w:spacing w:line="360" w:lineRule="auto"/>
        <w:ind w:firstLine="482"/>
        <w:jc w:val="left"/>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b/>
          <w:color w:val="auto"/>
          <w:sz w:val="21"/>
          <w:szCs w:val="21"/>
          <w:highlight w:val="none"/>
        </w:rPr>
        <w:t>八、质保期/服务期</w:t>
      </w:r>
    </w:p>
    <w:p w14:paraId="05F299E8">
      <w:pPr>
        <w:pStyle w:val="24"/>
        <w:spacing w:line="360" w:lineRule="auto"/>
        <w:ind w:firstLine="480"/>
        <w:jc w:val="left"/>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质保期/服务期</w:t>
      </w:r>
      <w:r>
        <w:rPr>
          <w:rFonts w:hint="default" w:ascii="Times New Roman" w:hAnsi="Times New Roman" w:eastAsia="宋体" w:cs="Times New Roman"/>
          <w:color w:val="auto"/>
          <w:sz w:val="21"/>
          <w:szCs w:val="21"/>
          <w:highlight w:val="none"/>
          <w:u w:val="single"/>
        </w:rPr>
        <w:t xml:space="preserve">      </w:t>
      </w:r>
      <w:r>
        <w:rPr>
          <w:rFonts w:hint="default" w:ascii="Times New Roman" w:hAnsi="Times New Roman" w:eastAsia="宋体" w:cs="Times New Roman"/>
          <w:color w:val="auto"/>
          <w:sz w:val="21"/>
          <w:szCs w:val="21"/>
          <w:highlight w:val="none"/>
        </w:rPr>
        <w:t>年。（自项目验收合格之日起计）</w:t>
      </w:r>
    </w:p>
    <w:p w14:paraId="66ABC51E">
      <w:pPr>
        <w:pStyle w:val="24"/>
        <w:spacing w:line="360" w:lineRule="auto"/>
        <w:ind w:firstLine="482"/>
        <w:jc w:val="left"/>
        <w:rPr>
          <w:rFonts w:hint="default" w:ascii="Times New Roman" w:hAnsi="Times New Roman" w:eastAsia="宋体" w:cs="Times New Roman"/>
          <w:b/>
          <w:color w:val="auto"/>
          <w:sz w:val="21"/>
          <w:szCs w:val="21"/>
          <w:highlight w:val="none"/>
        </w:rPr>
      </w:pPr>
      <w:r>
        <w:rPr>
          <w:rFonts w:hint="default" w:ascii="Times New Roman" w:hAnsi="Times New Roman" w:eastAsia="宋体" w:cs="Times New Roman"/>
          <w:b/>
          <w:color w:val="auto"/>
          <w:sz w:val="21"/>
          <w:szCs w:val="21"/>
          <w:highlight w:val="none"/>
        </w:rPr>
        <w:t>九、交付期、交付方式及交付地点</w:t>
      </w:r>
    </w:p>
    <w:p w14:paraId="71EE2B2D">
      <w:pPr>
        <w:pStyle w:val="24"/>
        <w:spacing w:line="360" w:lineRule="auto"/>
        <w:ind w:firstLine="480"/>
        <w:jc w:val="left"/>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bCs/>
          <w:color w:val="auto"/>
          <w:sz w:val="21"/>
          <w:szCs w:val="21"/>
          <w:highlight w:val="none"/>
        </w:rPr>
        <w:t>1.交 付 期：</w:t>
      </w:r>
      <w:r>
        <w:rPr>
          <w:rFonts w:hint="default" w:ascii="Times New Roman" w:hAnsi="Times New Roman" w:eastAsia="宋体" w:cs="Times New Roman"/>
          <w:color w:val="auto"/>
          <w:sz w:val="21"/>
          <w:szCs w:val="21"/>
          <w:highlight w:val="none"/>
        </w:rPr>
        <w:t xml:space="preserve">_________。   </w:t>
      </w:r>
    </w:p>
    <w:p w14:paraId="38DA2E14">
      <w:pPr>
        <w:pStyle w:val="24"/>
        <w:spacing w:line="360" w:lineRule="auto"/>
        <w:ind w:firstLine="480"/>
        <w:jc w:val="left"/>
        <w:rPr>
          <w:rFonts w:hint="default" w:ascii="Times New Roman" w:hAnsi="Times New Roman" w:eastAsia="宋体" w:cs="Times New Roman"/>
          <w:bCs/>
          <w:color w:val="auto"/>
          <w:sz w:val="21"/>
          <w:szCs w:val="21"/>
          <w:highlight w:val="none"/>
        </w:rPr>
      </w:pPr>
      <w:r>
        <w:rPr>
          <w:rFonts w:hint="default" w:ascii="Times New Roman" w:hAnsi="Times New Roman" w:eastAsia="宋体" w:cs="Times New Roman"/>
          <w:bCs/>
          <w:color w:val="auto"/>
          <w:sz w:val="21"/>
          <w:szCs w:val="21"/>
          <w:highlight w:val="none"/>
        </w:rPr>
        <w:t>2.交付方式：</w:t>
      </w:r>
      <w:r>
        <w:rPr>
          <w:rFonts w:hint="default" w:ascii="Times New Roman" w:hAnsi="Times New Roman" w:eastAsia="宋体" w:cs="Times New Roman"/>
          <w:color w:val="auto"/>
          <w:sz w:val="21"/>
          <w:szCs w:val="21"/>
          <w:highlight w:val="none"/>
        </w:rPr>
        <w:t>_________。</w:t>
      </w:r>
    </w:p>
    <w:p w14:paraId="03FF9C18">
      <w:pPr>
        <w:pStyle w:val="24"/>
        <w:spacing w:line="360" w:lineRule="auto"/>
        <w:ind w:firstLine="480"/>
        <w:jc w:val="left"/>
        <w:rPr>
          <w:rFonts w:hint="default" w:ascii="Times New Roman" w:hAnsi="Times New Roman" w:eastAsia="宋体" w:cs="Times New Roman"/>
          <w:b/>
          <w:color w:val="auto"/>
          <w:sz w:val="21"/>
          <w:szCs w:val="21"/>
          <w:highlight w:val="none"/>
        </w:rPr>
      </w:pPr>
      <w:r>
        <w:rPr>
          <w:rFonts w:hint="default" w:ascii="Times New Roman" w:hAnsi="Times New Roman" w:eastAsia="宋体" w:cs="Times New Roman"/>
          <w:bCs/>
          <w:color w:val="auto"/>
          <w:sz w:val="21"/>
          <w:szCs w:val="21"/>
          <w:highlight w:val="none"/>
        </w:rPr>
        <w:t>3.交付地点：</w:t>
      </w:r>
      <w:r>
        <w:rPr>
          <w:rFonts w:hint="default" w:ascii="Times New Roman" w:hAnsi="Times New Roman" w:eastAsia="宋体" w:cs="Times New Roman"/>
          <w:color w:val="auto"/>
          <w:sz w:val="21"/>
          <w:szCs w:val="21"/>
          <w:highlight w:val="none"/>
        </w:rPr>
        <w:t>_________。</w:t>
      </w:r>
    </w:p>
    <w:p w14:paraId="544A08B9">
      <w:pPr>
        <w:pStyle w:val="24"/>
        <w:spacing w:line="360" w:lineRule="auto"/>
        <w:ind w:firstLine="482"/>
        <w:jc w:val="left"/>
        <w:rPr>
          <w:rFonts w:hint="default" w:ascii="Times New Roman" w:hAnsi="Times New Roman" w:eastAsia="宋体" w:cs="Times New Roman"/>
          <w:b/>
          <w:color w:val="auto"/>
          <w:sz w:val="21"/>
          <w:szCs w:val="21"/>
          <w:highlight w:val="none"/>
        </w:rPr>
      </w:pPr>
      <w:r>
        <w:rPr>
          <w:rFonts w:hint="default" w:ascii="Times New Roman" w:hAnsi="Times New Roman" w:eastAsia="宋体" w:cs="Times New Roman"/>
          <w:b/>
          <w:color w:val="auto"/>
          <w:sz w:val="21"/>
          <w:szCs w:val="21"/>
          <w:highlight w:val="none"/>
        </w:rPr>
        <w:t>十、合同款支付</w:t>
      </w:r>
    </w:p>
    <w:p w14:paraId="724FF9D8">
      <w:pPr>
        <w:pStyle w:val="24"/>
        <w:spacing w:line="360" w:lineRule="auto"/>
        <w:ind w:firstLine="480"/>
        <w:jc w:val="left"/>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bCs/>
          <w:color w:val="auto"/>
          <w:sz w:val="21"/>
          <w:szCs w:val="21"/>
          <w:highlight w:val="none"/>
        </w:rPr>
        <w:t>1.付款方式：</w:t>
      </w:r>
      <w:r>
        <w:rPr>
          <w:rFonts w:hint="default" w:ascii="Times New Roman" w:hAnsi="Times New Roman" w:eastAsia="宋体" w:cs="Times New Roman"/>
          <w:color w:val="auto"/>
          <w:sz w:val="21"/>
          <w:szCs w:val="21"/>
          <w:highlight w:val="none"/>
          <w:u w:val="single"/>
        </w:rPr>
        <w:t xml:space="preserve">        </w:t>
      </w:r>
      <w:r>
        <w:rPr>
          <w:rFonts w:hint="default" w:ascii="Times New Roman" w:hAnsi="Times New Roman" w:eastAsia="宋体" w:cs="Times New Roman"/>
          <w:color w:val="auto"/>
          <w:sz w:val="21"/>
          <w:szCs w:val="21"/>
          <w:highlight w:val="none"/>
        </w:rPr>
        <w:t>。</w:t>
      </w:r>
    </w:p>
    <w:p w14:paraId="56432358">
      <w:pPr>
        <w:pStyle w:val="24"/>
        <w:spacing w:line="360" w:lineRule="auto"/>
        <w:ind w:firstLine="480"/>
        <w:jc w:val="left"/>
        <w:rPr>
          <w:rFonts w:hint="default" w:ascii="Times New Roman" w:hAnsi="Times New Roman" w:eastAsia="宋体" w:cs="Times New Roman"/>
          <w:bCs/>
          <w:color w:val="auto"/>
          <w:sz w:val="21"/>
          <w:szCs w:val="21"/>
          <w:highlight w:val="none"/>
        </w:rPr>
      </w:pPr>
      <w:r>
        <w:rPr>
          <w:rFonts w:hint="default" w:ascii="Times New Roman" w:hAnsi="Times New Roman" w:eastAsia="宋体" w:cs="Times New Roman"/>
          <w:bCs/>
          <w:color w:val="auto"/>
          <w:sz w:val="21"/>
          <w:szCs w:val="21"/>
          <w:highlight w:val="none"/>
        </w:rPr>
        <w:t>2.</w:t>
      </w:r>
      <w:r>
        <w:rPr>
          <w:rFonts w:hint="default" w:ascii="Times New Roman" w:hAnsi="Times New Roman" w:eastAsia="宋体" w:cs="Times New Roman"/>
          <w:color w:val="auto"/>
          <w:sz w:val="21"/>
          <w:szCs w:val="21"/>
          <w:highlight w:val="none"/>
        </w:rPr>
        <w:t>当采购数量与实际使用数量不一致时，乙方根据实际使用量提供产品和服务，合同的最终结算金额按实际使用量乘以中标单价进行计算。</w:t>
      </w:r>
    </w:p>
    <w:p w14:paraId="611AEF77">
      <w:pPr>
        <w:spacing w:line="360" w:lineRule="auto"/>
        <w:ind w:firstLine="482"/>
        <w:jc w:val="left"/>
        <w:rPr>
          <w:rFonts w:hint="default" w:ascii="Times New Roman" w:hAnsi="Times New Roman" w:eastAsia="宋体" w:cs="Times New Roman"/>
          <w:b/>
          <w:color w:val="auto"/>
          <w:sz w:val="21"/>
          <w:szCs w:val="21"/>
          <w:highlight w:val="none"/>
        </w:rPr>
      </w:pPr>
      <w:r>
        <w:rPr>
          <w:rFonts w:hint="default" w:ascii="Times New Roman" w:hAnsi="Times New Roman" w:eastAsia="宋体" w:cs="Times New Roman"/>
          <w:b/>
          <w:color w:val="auto"/>
          <w:sz w:val="21"/>
          <w:szCs w:val="21"/>
          <w:highlight w:val="none"/>
        </w:rPr>
        <w:t>十一、税费</w:t>
      </w:r>
    </w:p>
    <w:p w14:paraId="0E1E4A5C">
      <w:pPr>
        <w:spacing w:line="360" w:lineRule="auto"/>
        <w:ind w:firstLine="480"/>
        <w:jc w:val="left"/>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本合同执行中相关的一切税费均由乙方负担。</w:t>
      </w:r>
    </w:p>
    <w:p w14:paraId="2A2D5371">
      <w:pPr>
        <w:pStyle w:val="24"/>
        <w:spacing w:line="360" w:lineRule="auto"/>
        <w:ind w:firstLine="482"/>
        <w:jc w:val="left"/>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b/>
          <w:color w:val="auto"/>
          <w:sz w:val="21"/>
          <w:szCs w:val="21"/>
          <w:highlight w:val="none"/>
        </w:rPr>
        <w:t>十二、质量保证及售后服务</w:t>
      </w:r>
    </w:p>
    <w:p w14:paraId="7B2845D3">
      <w:pPr>
        <w:pStyle w:val="24"/>
        <w:spacing w:line="360" w:lineRule="auto"/>
        <w:ind w:firstLine="480"/>
        <w:jc w:val="left"/>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1.乙方应按</w:t>
      </w:r>
      <w:r>
        <w:rPr>
          <w:rFonts w:hint="default" w:ascii="Times New Roman" w:hAnsi="Times New Roman" w:eastAsia="宋体" w:cs="Times New Roman"/>
          <w:color w:val="auto"/>
          <w:sz w:val="21"/>
          <w:szCs w:val="21"/>
          <w:highlight w:val="none"/>
          <w:lang w:eastAsia="zh-CN"/>
        </w:rPr>
        <w:t>磋商文件</w:t>
      </w:r>
      <w:r>
        <w:rPr>
          <w:rFonts w:hint="default" w:ascii="Times New Roman" w:hAnsi="Times New Roman" w:eastAsia="宋体" w:cs="Times New Roman"/>
          <w:color w:val="auto"/>
          <w:sz w:val="21"/>
          <w:szCs w:val="21"/>
          <w:highlight w:val="none"/>
        </w:rPr>
        <w:t>规定和响应文件承诺的性能、技术要求、质量标准向甲方提供产品或服务。</w:t>
      </w:r>
    </w:p>
    <w:p w14:paraId="3CE39AA3">
      <w:pPr>
        <w:pStyle w:val="24"/>
        <w:spacing w:line="360" w:lineRule="auto"/>
        <w:ind w:firstLine="480"/>
        <w:jc w:val="left"/>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2.乙方提供的产品或服务在质保期内因其本身出现质量问题，根据实际情况，经双方协商，可按以下办法处理：</w:t>
      </w:r>
    </w:p>
    <w:p w14:paraId="7BCCDE81">
      <w:pPr>
        <w:pStyle w:val="24"/>
        <w:spacing w:line="360" w:lineRule="auto"/>
        <w:ind w:firstLine="480"/>
        <w:jc w:val="left"/>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（1）更换：由乙方承担所发生的全部费用。</w:t>
      </w:r>
    </w:p>
    <w:p w14:paraId="0D6A474D">
      <w:pPr>
        <w:pStyle w:val="24"/>
        <w:spacing w:line="360" w:lineRule="auto"/>
        <w:ind w:firstLine="480"/>
        <w:jc w:val="left"/>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（2）合同终止处理：合同终止，并退还甲方支付的合同款，同时应承担由此产生的所有费用，甲方不承担发生任何费用。</w:t>
      </w:r>
    </w:p>
    <w:p w14:paraId="0AA0C2EE">
      <w:pPr>
        <w:pStyle w:val="24"/>
        <w:spacing w:line="360" w:lineRule="auto"/>
        <w:ind w:firstLine="480"/>
        <w:jc w:val="left"/>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3.如在使用过程中发生质量问题，乙方在接到甲方通知后在</w:t>
      </w:r>
      <w:r>
        <w:rPr>
          <w:rFonts w:hint="default" w:ascii="Times New Roman" w:hAnsi="Times New Roman" w:eastAsia="宋体" w:cs="Times New Roman"/>
          <w:color w:val="auto"/>
          <w:sz w:val="21"/>
          <w:szCs w:val="21"/>
          <w:highlight w:val="none"/>
          <w:u w:val="single"/>
        </w:rPr>
        <w:t xml:space="preserve">   </w:t>
      </w:r>
      <w:r>
        <w:rPr>
          <w:rFonts w:hint="default" w:ascii="Times New Roman" w:hAnsi="Times New Roman" w:eastAsia="宋体" w:cs="Times New Roman"/>
          <w:color w:val="auto"/>
          <w:sz w:val="21"/>
          <w:szCs w:val="21"/>
          <w:highlight w:val="none"/>
        </w:rPr>
        <w:t>小时内到达甲方现场。</w:t>
      </w:r>
    </w:p>
    <w:p w14:paraId="3E949098">
      <w:pPr>
        <w:pStyle w:val="24"/>
        <w:spacing w:line="360" w:lineRule="auto"/>
        <w:ind w:firstLine="480"/>
        <w:jc w:val="left"/>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4.在质保期内，乙方应对产品或服务出现的质量及安全问题负责处理解决并承担一切费用。</w:t>
      </w:r>
    </w:p>
    <w:p w14:paraId="213A6436">
      <w:pPr>
        <w:pStyle w:val="24"/>
        <w:spacing w:line="360" w:lineRule="auto"/>
        <w:ind w:firstLine="482"/>
        <w:jc w:val="left"/>
        <w:rPr>
          <w:rFonts w:hint="default" w:ascii="Times New Roman" w:hAnsi="Times New Roman" w:eastAsia="宋体" w:cs="Times New Roman"/>
          <w:b/>
          <w:color w:val="auto"/>
          <w:sz w:val="21"/>
          <w:szCs w:val="21"/>
          <w:highlight w:val="none"/>
        </w:rPr>
      </w:pPr>
      <w:r>
        <w:rPr>
          <w:rFonts w:hint="default" w:ascii="Times New Roman" w:hAnsi="Times New Roman" w:eastAsia="宋体" w:cs="Times New Roman"/>
          <w:b/>
          <w:color w:val="auto"/>
          <w:sz w:val="21"/>
          <w:szCs w:val="21"/>
          <w:highlight w:val="none"/>
        </w:rPr>
        <w:t>十三、验收</w:t>
      </w:r>
    </w:p>
    <w:p w14:paraId="085D23E7">
      <w:pPr>
        <w:pStyle w:val="24"/>
        <w:spacing w:line="360" w:lineRule="auto"/>
        <w:ind w:firstLine="480"/>
        <w:jc w:val="left"/>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1.甲方对乙方提交的产品或服务依据</w:t>
      </w:r>
      <w:r>
        <w:rPr>
          <w:rFonts w:hint="default" w:ascii="Times New Roman" w:hAnsi="Times New Roman" w:eastAsia="宋体" w:cs="Times New Roman"/>
          <w:color w:val="auto"/>
          <w:sz w:val="21"/>
          <w:szCs w:val="21"/>
          <w:highlight w:val="none"/>
          <w:lang w:eastAsia="zh-CN"/>
        </w:rPr>
        <w:t>磋商文件</w:t>
      </w:r>
      <w:r>
        <w:rPr>
          <w:rFonts w:hint="default" w:ascii="Times New Roman" w:hAnsi="Times New Roman" w:eastAsia="宋体" w:cs="Times New Roman"/>
          <w:color w:val="auto"/>
          <w:sz w:val="21"/>
          <w:szCs w:val="21"/>
          <w:highlight w:val="none"/>
        </w:rPr>
        <w:t>上的项目需求要求、乙方响应文件及国家有关质量标准进行验收。</w:t>
      </w:r>
    </w:p>
    <w:p w14:paraId="27D53C67">
      <w:pPr>
        <w:pStyle w:val="24"/>
        <w:spacing w:line="360" w:lineRule="auto"/>
        <w:ind w:firstLine="480"/>
        <w:jc w:val="left"/>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2.乙方交货前应对产品或服务作出全面检查和对验收文件进行整理，并列出清单，作为甲方验收和使用的技术条件依据，检验的结果应随服务一起提交甲方。</w:t>
      </w:r>
    </w:p>
    <w:p w14:paraId="526D4501">
      <w:pPr>
        <w:pStyle w:val="24"/>
        <w:spacing w:line="360" w:lineRule="auto"/>
        <w:ind w:firstLine="480"/>
        <w:jc w:val="left"/>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3.甲方对乙方提供的产品或服务在使用前，乙方需负责培训甲方的使用操作人员，并协助甲方一起试用，直到符合技术要求，甲方才做最终验收。</w:t>
      </w:r>
    </w:p>
    <w:p w14:paraId="64BC017D">
      <w:pPr>
        <w:pStyle w:val="24"/>
        <w:spacing w:line="360" w:lineRule="auto"/>
        <w:ind w:firstLine="480"/>
        <w:jc w:val="left"/>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4.对技术复杂的产品或服务，甲方可请国家认可的专业检测机构参与初步验收及最终验收，并由其出具质量检测报告。</w:t>
      </w:r>
    </w:p>
    <w:p w14:paraId="240EE8AD">
      <w:pPr>
        <w:pStyle w:val="24"/>
        <w:spacing w:line="360" w:lineRule="auto"/>
        <w:ind w:firstLine="480"/>
        <w:jc w:val="left"/>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5.验收时乙方必须在现场，验收完毕后做出验收结果报告；</w:t>
      </w:r>
      <w:r>
        <w:rPr>
          <w:rFonts w:hint="default" w:ascii="Times New Roman" w:hAnsi="Times New Roman" w:eastAsia="宋体" w:cs="Times New Roman"/>
          <w:color w:val="auto"/>
          <w:sz w:val="21"/>
          <w:szCs w:val="21"/>
          <w:highlight w:val="none"/>
          <w:lang w:eastAsia="zh-CN"/>
        </w:rPr>
        <w:t>磋商文件</w:t>
      </w:r>
      <w:r>
        <w:rPr>
          <w:rFonts w:hint="default" w:ascii="Times New Roman" w:hAnsi="Times New Roman" w:eastAsia="宋体" w:cs="Times New Roman"/>
          <w:color w:val="auto"/>
          <w:sz w:val="21"/>
          <w:szCs w:val="21"/>
          <w:highlight w:val="none"/>
        </w:rPr>
        <w:t>规定以外的验收费用由甲乙双方协商解决。</w:t>
      </w:r>
    </w:p>
    <w:p w14:paraId="608C69E4">
      <w:pPr>
        <w:pStyle w:val="24"/>
        <w:spacing w:line="360" w:lineRule="auto"/>
        <w:ind w:firstLine="482"/>
        <w:jc w:val="left"/>
        <w:rPr>
          <w:rFonts w:hint="default" w:ascii="Times New Roman" w:hAnsi="Times New Roman" w:eastAsia="宋体" w:cs="Times New Roman"/>
          <w:b/>
          <w:color w:val="auto"/>
          <w:sz w:val="21"/>
          <w:szCs w:val="21"/>
          <w:highlight w:val="none"/>
        </w:rPr>
      </w:pPr>
      <w:r>
        <w:rPr>
          <w:rFonts w:hint="default" w:ascii="Times New Roman" w:hAnsi="Times New Roman" w:eastAsia="宋体" w:cs="Times New Roman"/>
          <w:b/>
          <w:color w:val="auto"/>
          <w:sz w:val="21"/>
          <w:szCs w:val="21"/>
          <w:highlight w:val="none"/>
        </w:rPr>
        <w:t>十四、合同内容的交付</w:t>
      </w:r>
    </w:p>
    <w:p w14:paraId="536FF107">
      <w:pPr>
        <w:pStyle w:val="24"/>
        <w:spacing w:line="360" w:lineRule="auto"/>
        <w:ind w:firstLine="480"/>
        <w:jc w:val="left"/>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1.乙方应保证合同标的安全运达甲方指定地点。</w:t>
      </w:r>
    </w:p>
    <w:p w14:paraId="704E5771">
      <w:pPr>
        <w:pStyle w:val="24"/>
        <w:spacing w:line="360" w:lineRule="auto"/>
        <w:ind w:firstLine="480"/>
        <w:jc w:val="left"/>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2.使用说明书、质量检验证明书一并提交甲方。</w:t>
      </w:r>
    </w:p>
    <w:p w14:paraId="73D13EA7">
      <w:pPr>
        <w:pStyle w:val="24"/>
        <w:spacing w:line="360" w:lineRule="auto"/>
        <w:ind w:firstLine="480"/>
        <w:jc w:val="left"/>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3.乙方在合同标的交付甲方48小时前通知甲方准备接收。</w:t>
      </w:r>
    </w:p>
    <w:p w14:paraId="2C6CAC31">
      <w:pPr>
        <w:pStyle w:val="24"/>
        <w:spacing w:line="360" w:lineRule="auto"/>
        <w:ind w:firstLine="480"/>
        <w:jc w:val="left"/>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4.合同标的在交付甲方前发生的风险均由乙方负责。</w:t>
      </w:r>
    </w:p>
    <w:p w14:paraId="6127443E">
      <w:pPr>
        <w:pStyle w:val="24"/>
        <w:spacing w:line="360" w:lineRule="auto"/>
        <w:ind w:firstLine="480"/>
        <w:jc w:val="left"/>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5.合同标的在规定的交付期限内由乙方送达甲方指定的地点视为交付，乙方同时需通知甲方已送达。</w:t>
      </w:r>
    </w:p>
    <w:p w14:paraId="7E30DA66">
      <w:pPr>
        <w:pStyle w:val="24"/>
        <w:spacing w:line="360" w:lineRule="auto"/>
        <w:ind w:firstLine="482"/>
        <w:jc w:val="left"/>
        <w:rPr>
          <w:rFonts w:hint="default" w:ascii="Times New Roman" w:hAnsi="Times New Roman" w:eastAsia="宋体" w:cs="Times New Roman"/>
          <w:b/>
          <w:color w:val="auto"/>
          <w:sz w:val="21"/>
          <w:szCs w:val="21"/>
          <w:highlight w:val="none"/>
        </w:rPr>
      </w:pPr>
      <w:r>
        <w:rPr>
          <w:rFonts w:hint="default" w:ascii="Times New Roman" w:hAnsi="Times New Roman" w:eastAsia="宋体" w:cs="Times New Roman"/>
          <w:b/>
          <w:color w:val="auto"/>
          <w:sz w:val="21"/>
          <w:szCs w:val="21"/>
          <w:highlight w:val="none"/>
        </w:rPr>
        <w:t>十五、违约责任</w:t>
      </w:r>
    </w:p>
    <w:p w14:paraId="153EFB8B">
      <w:pPr>
        <w:pStyle w:val="24"/>
        <w:spacing w:line="360" w:lineRule="auto"/>
        <w:ind w:firstLine="480"/>
        <w:jc w:val="left"/>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1.甲方无正当理由拒收的，甲方向乙方偿付拒收货款总值的5%违约金。</w:t>
      </w:r>
    </w:p>
    <w:p w14:paraId="5A8D2607">
      <w:pPr>
        <w:pStyle w:val="24"/>
        <w:spacing w:line="360" w:lineRule="auto"/>
        <w:ind w:firstLine="480"/>
        <w:jc w:val="left"/>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2.甲方无故逾期验收和办理合同款支付手续的，甲方应按逾期付款总额每日万分之五向乙方支付违约金。</w:t>
      </w:r>
    </w:p>
    <w:p w14:paraId="7AC7F25A">
      <w:pPr>
        <w:pStyle w:val="24"/>
        <w:spacing w:line="360" w:lineRule="auto"/>
        <w:ind w:firstLine="480"/>
        <w:jc w:val="left"/>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 xml:space="preserve">3.乙方逾期交付合同标的的，乙方应按逾期交货总额每日千分之六向甲方支付违约金，由甲方从待付合同款中扣除。逾期超过约定日期10个工作日不能交付的，甲方可解除本合同。乙方因逾期交付或因其他违约行为导致甲方解除合同的，乙方应向甲方支付合同总值5%的违约金，如造成甲方损失超过违约金的，超出部分由乙方继续承担赔偿责任。 </w:t>
      </w:r>
    </w:p>
    <w:p w14:paraId="1BF7AC51">
      <w:pPr>
        <w:pStyle w:val="24"/>
        <w:spacing w:line="360" w:lineRule="auto"/>
        <w:ind w:firstLine="480"/>
        <w:jc w:val="left"/>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4.乙方所交的产品或服务不符合项目需求要求、乙方响应文件承诺及国家有关质量标准的，甲方有权拒收，乙方愿意更换但逾期交付的，按乙方逾期交付处理。乙方拒绝更换的，甲方可单方面解除合同，并由乙方赔偿由此造成的甲方全部损失。</w:t>
      </w:r>
    </w:p>
    <w:p w14:paraId="4009744F">
      <w:pPr>
        <w:pStyle w:val="24"/>
        <w:spacing w:line="360" w:lineRule="auto"/>
        <w:ind w:firstLine="482"/>
        <w:jc w:val="left"/>
        <w:rPr>
          <w:rFonts w:hint="default" w:ascii="Times New Roman" w:hAnsi="Times New Roman" w:eastAsia="宋体" w:cs="Times New Roman"/>
          <w:b/>
          <w:color w:val="auto"/>
          <w:sz w:val="21"/>
          <w:szCs w:val="21"/>
          <w:highlight w:val="none"/>
        </w:rPr>
      </w:pPr>
      <w:r>
        <w:rPr>
          <w:rFonts w:hint="default" w:ascii="Times New Roman" w:hAnsi="Times New Roman" w:eastAsia="宋体" w:cs="Times New Roman"/>
          <w:b/>
          <w:color w:val="auto"/>
          <w:sz w:val="21"/>
          <w:szCs w:val="21"/>
          <w:highlight w:val="none"/>
        </w:rPr>
        <w:t>十六、不可抗力事件处理</w:t>
      </w:r>
    </w:p>
    <w:p w14:paraId="71472D20">
      <w:pPr>
        <w:pStyle w:val="24"/>
        <w:spacing w:line="360" w:lineRule="auto"/>
        <w:ind w:firstLine="480"/>
        <w:jc w:val="left"/>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1.在合同有效期内，任何一方因不可抗力事件导致不能履行合同，则合同履行期延长，其延长期与不可抗力影响期相同。</w:t>
      </w:r>
    </w:p>
    <w:p w14:paraId="3E998061">
      <w:pPr>
        <w:pStyle w:val="24"/>
        <w:spacing w:line="360" w:lineRule="auto"/>
        <w:ind w:firstLine="480"/>
        <w:jc w:val="left"/>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2.不可抗力事件发生后，应立即通知对方，并寄送有关权威机构出具的证明。</w:t>
      </w:r>
    </w:p>
    <w:p w14:paraId="66629371">
      <w:pPr>
        <w:pStyle w:val="24"/>
        <w:spacing w:line="360" w:lineRule="auto"/>
        <w:ind w:firstLine="480"/>
        <w:jc w:val="left"/>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3.不可抗力事件延续120天以上，双方应通过友好协商，确定是否继续履行合同。</w:t>
      </w:r>
    </w:p>
    <w:p w14:paraId="2EE2CAFE">
      <w:pPr>
        <w:spacing w:line="360" w:lineRule="auto"/>
        <w:ind w:firstLine="482"/>
        <w:rPr>
          <w:rFonts w:hint="default" w:ascii="Times New Roman" w:hAnsi="Times New Roman" w:eastAsia="宋体" w:cs="Times New Roman"/>
          <w:b/>
          <w:color w:val="auto"/>
          <w:sz w:val="21"/>
          <w:szCs w:val="21"/>
          <w:highlight w:val="none"/>
        </w:rPr>
      </w:pPr>
      <w:r>
        <w:rPr>
          <w:rFonts w:hint="default" w:ascii="Times New Roman" w:hAnsi="Times New Roman" w:eastAsia="宋体" w:cs="Times New Roman"/>
          <w:b/>
          <w:color w:val="auto"/>
          <w:sz w:val="21"/>
          <w:szCs w:val="21"/>
          <w:highlight w:val="none"/>
        </w:rPr>
        <w:t>十七、组成本合同的文件包括：</w:t>
      </w:r>
    </w:p>
    <w:p w14:paraId="0817826F">
      <w:pPr>
        <w:spacing w:line="360" w:lineRule="auto"/>
        <w:ind w:firstLine="480"/>
        <w:rPr>
          <w:rFonts w:hint="default" w:ascii="Times New Roman" w:hAnsi="Times New Roman" w:eastAsia="宋体" w:cs="Times New Roman"/>
          <w:bCs/>
          <w:color w:val="auto"/>
          <w:sz w:val="21"/>
          <w:szCs w:val="21"/>
          <w:highlight w:val="none"/>
        </w:rPr>
      </w:pPr>
      <w:r>
        <w:rPr>
          <w:rFonts w:hint="default" w:ascii="Times New Roman" w:hAnsi="Times New Roman" w:eastAsia="宋体" w:cs="Times New Roman"/>
          <w:bCs/>
          <w:color w:val="auto"/>
          <w:sz w:val="21"/>
          <w:szCs w:val="21"/>
          <w:highlight w:val="none"/>
        </w:rPr>
        <w:t>1.合同通用条款和专用条款；</w:t>
      </w:r>
    </w:p>
    <w:p w14:paraId="2339F2A7">
      <w:pPr>
        <w:spacing w:line="360" w:lineRule="auto"/>
        <w:ind w:firstLine="480"/>
        <w:rPr>
          <w:rFonts w:hint="default" w:ascii="Times New Roman" w:hAnsi="Times New Roman" w:eastAsia="宋体" w:cs="Times New Roman"/>
          <w:bCs/>
          <w:color w:val="auto"/>
          <w:sz w:val="21"/>
          <w:szCs w:val="21"/>
          <w:highlight w:val="none"/>
        </w:rPr>
      </w:pPr>
      <w:r>
        <w:rPr>
          <w:rFonts w:hint="default" w:ascii="Times New Roman" w:hAnsi="Times New Roman" w:eastAsia="宋体" w:cs="Times New Roman"/>
          <w:bCs/>
          <w:color w:val="auto"/>
          <w:sz w:val="21"/>
          <w:szCs w:val="21"/>
          <w:highlight w:val="none"/>
        </w:rPr>
        <w:t>2.</w:t>
      </w:r>
      <w:r>
        <w:rPr>
          <w:rFonts w:hint="default" w:ascii="Times New Roman" w:hAnsi="Times New Roman" w:eastAsia="宋体" w:cs="Times New Roman"/>
          <w:bCs/>
          <w:color w:val="auto"/>
          <w:sz w:val="21"/>
          <w:szCs w:val="21"/>
          <w:highlight w:val="none"/>
          <w:lang w:eastAsia="zh-CN"/>
        </w:rPr>
        <w:t>磋商文件</w:t>
      </w:r>
      <w:r>
        <w:rPr>
          <w:rFonts w:hint="default" w:ascii="Times New Roman" w:hAnsi="Times New Roman" w:eastAsia="宋体" w:cs="Times New Roman"/>
          <w:bCs/>
          <w:color w:val="auto"/>
          <w:sz w:val="21"/>
          <w:szCs w:val="21"/>
          <w:highlight w:val="none"/>
        </w:rPr>
        <w:t>和乙方的</w:t>
      </w:r>
      <w:r>
        <w:rPr>
          <w:rFonts w:hint="default" w:ascii="Times New Roman" w:hAnsi="Times New Roman" w:eastAsia="宋体" w:cs="Times New Roman"/>
          <w:bCs/>
          <w:color w:val="auto"/>
          <w:sz w:val="21"/>
          <w:szCs w:val="21"/>
          <w:highlight w:val="none"/>
          <w:lang w:eastAsia="zh-CN"/>
        </w:rPr>
        <w:t>响应文件</w:t>
      </w:r>
      <w:r>
        <w:rPr>
          <w:rFonts w:hint="default" w:ascii="Times New Roman" w:hAnsi="Times New Roman" w:eastAsia="宋体" w:cs="Times New Roman"/>
          <w:bCs/>
          <w:color w:val="auto"/>
          <w:sz w:val="21"/>
          <w:szCs w:val="21"/>
          <w:highlight w:val="none"/>
        </w:rPr>
        <w:t>；</w:t>
      </w:r>
    </w:p>
    <w:p w14:paraId="7F3537A1">
      <w:pPr>
        <w:spacing w:line="360" w:lineRule="auto"/>
        <w:ind w:firstLine="480"/>
        <w:rPr>
          <w:rFonts w:hint="default" w:ascii="Times New Roman" w:hAnsi="Times New Roman" w:eastAsia="宋体" w:cs="Times New Roman"/>
          <w:bCs/>
          <w:color w:val="auto"/>
          <w:sz w:val="21"/>
          <w:szCs w:val="21"/>
          <w:highlight w:val="none"/>
        </w:rPr>
      </w:pPr>
      <w:r>
        <w:rPr>
          <w:rFonts w:hint="default" w:ascii="Times New Roman" w:hAnsi="Times New Roman" w:eastAsia="宋体" w:cs="Times New Roman"/>
          <w:bCs/>
          <w:color w:val="auto"/>
          <w:sz w:val="21"/>
          <w:szCs w:val="21"/>
          <w:highlight w:val="none"/>
        </w:rPr>
        <w:t>3.中标通知书；</w:t>
      </w:r>
    </w:p>
    <w:p w14:paraId="2250832C">
      <w:pPr>
        <w:spacing w:line="360" w:lineRule="auto"/>
        <w:ind w:firstLine="480"/>
        <w:rPr>
          <w:rFonts w:hint="default" w:ascii="Times New Roman" w:hAnsi="Times New Roman" w:eastAsia="宋体" w:cs="Times New Roman"/>
          <w:bCs/>
          <w:color w:val="auto"/>
          <w:sz w:val="21"/>
          <w:szCs w:val="21"/>
          <w:highlight w:val="none"/>
        </w:rPr>
      </w:pPr>
      <w:r>
        <w:rPr>
          <w:rFonts w:hint="default" w:ascii="Times New Roman" w:hAnsi="Times New Roman" w:eastAsia="宋体" w:cs="Times New Roman"/>
          <w:bCs/>
          <w:color w:val="auto"/>
          <w:sz w:val="21"/>
          <w:szCs w:val="21"/>
          <w:highlight w:val="none"/>
        </w:rPr>
        <w:t>4.甲乙双方商定的其他必要文件。</w:t>
      </w:r>
    </w:p>
    <w:p w14:paraId="2DF9DBB9">
      <w:pPr>
        <w:pStyle w:val="24"/>
        <w:spacing w:line="360" w:lineRule="auto"/>
        <w:ind w:firstLine="480"/>
        <w:jc w:val="left"/>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bCs/>
          <w:color w:val="auto"/>
          <w:sz w:val="21"/>
          <w:szCs w:val="21"/>
          <w:highlight w:val="none"/>
        </w:rPr>
        <w:t>上述合同文件内容互为补充，如有不明确，由甲方负责解释。</w:t>
      </w:r>
    </w:p>
    <w:p w14:paraId="03A3F5C2">
      <w:pPr>
        <w:pStyle w:val="24"/>
        <w:spacing w:line="360" w:lineRule="auto"/>
        <w:ind w:firstLine="482"/>
        <w:jc w:val="left"/>
        <w:rPr>
          <w:rFonts w:hint="default" w:ascii="Times New Roman" w:hAnsi="Times New Roman" w:eastAsia="宋体" w:cs="Times New Roman"/>
          <w:b/>
          <w:color w:val="auto"/>
          <w:sz w:val="21"/>
          <w:szCs w:val="21"/>
          <w:highlight w:val="none"/>
        </w:rPr>
      </w:pPr>
      <w:r>
        <w:rPr>
          <w:rFonts w:hint="default" w:ascii="Times New Roman" w:hAnsi="Times New Roman" w:eastAsia="宋体" w:cs="Times New Roman"/>
          <w:b/>
          <w:color w:val="auto"/>
          <w:sz w:val="21"/>
          <w:szCs w:val="21"/>
          <w:highlight w:val="none"/>
        </w:rPr>
        <w:t>十八、争议解决</w:t>
      </w:r>
    </w:p>
    <w:p w14:paraId="3652C7EF">
      <w:pPr>
        <w:pStyle w:val="24"/>
        <w:spacing w:line="360" w:lineRule="auto"/>
        <w:ind w:firstLine="480"/>
        <w:jc w:val="left"/>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双方在执行合同中所发生的一切争议，应通过协商解决。如协商不成，可向合同签订地法院起诉，合同签订地在此约定为医药高新区（高港区）。</w:t>
      </w:r>
    </w:p>
    <w:p w14:paraId="235BBCE9">
      <w:pPr>
        <w:pStyle w:val="24"/>
        <w:spacing w:line="360" w:lineRule="auto"/>
        <w:ind w:firstLine="482"/>
        <w:jc w:val="left"/>
        <w:rPr>
          <w:rFonts w:hint="default" w:ascii="Times New Roman" w:hAnsi="Times New Roman" w:eastAsia="宋体" w:cs="Times New Roman"/>
          <w:b/>
          <w:color w:val="auto"/>
          <w:sz w:val="21"/>
          <w:szCs w:val="21"/>
          <w:highlight w:val="none"/>
        </w:rPr>
      </w:pPr>
      <w:r>
        <w:rPr>
          <w:rFonts w:hint="default" w:ascii="Times New Roman" w:hAnsi="Times New Roman" w:eastAsia="宋体" w:cs="Times New Roman"/>
          <w:b/>
          <w:color w:val="auto"/>
          <w:sz w:val="21"/>
          <w:szCs w:val="21"/>
          <w:highlight w:val="none"/>
        </w:rPr>
        <w:t>十九、合同生效及其他</w:t>
      </w:r>
    </w:p>
    <w:p w14:paraId="736AC7EB">
      <w:pPr>
        <w:pStyle w:val="24"/>
        <w:spacing w:line="360" w:lineRule="auto"/>
        <w:ind w:firstLine="480"/>
        <w:jc w:val="left"/>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1.合同经双方法定代表人或委托代理人签字并加盖单位公章后生效。</w:t>
      </w:r>
    </w:p>
    <w:p w14:paraId="62B44C5B">
      <w:pPr>
        <w:pStyle w:val="24"/>
        <w:spacing w:line="360" w:lineRule="auto"/>
        <w:ind w:firstLine="480"/>
        <w:jc w:val="left"/>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2.本合同未尽事宜，遵照《中华人民共和国民法典》有关条文执行。</w:t>
      </w:r>
    </w:p>
    <w:p w14:paraId="1ACCF1C0">
      <w:pPr>
        <w:pStyle w:val="24"/>
        <w:spacing w:line="360" w:lineRule="auto"/>
        <w:ind w:firstLine="480"/>
        <w:jc w:val="left"/>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3.本合同正本一式四份，具有同等法律效力，甲乙双方各执二份。</w:t>
      </w:r>
    </w:p>
    <w:p w14:paraId="0D170557">
      <w:pPr>
        <w:pStyle w:val="24"/>
        <w:spacing w:line="360" w:lineRule="auto"/>
        <w:ind w:firstLine="480"/>
        <w:jc w:val="left"/>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 xml:space="preserve">甲方：                                  乙方：                     </w:t>
      </w:r>
    </w:p>
    <w:p w14:paraId="32813847">
      <w:pPr>
        <w:pStyle w:val="24"/>
        <w:spacing w:line="360" w:lineRule="auto"/>
        <w:ind w:firstLine="480"/>
        <w:jc w:val="left"/>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 xml:space="preserve">地址：                                  地址：                     </w:t>
      </w:r>
    </w:p>
    <w:p w14:paraId="41E25A6D">
      <w:pPr>
        <w:pStyle w:val="24"/>
        <w:spacing w:line="360" w:lineRule="auto"/>
        <w:ind w:firstLine="480"/>
        <w:jc w:val="left"/>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 xml:space="preserve">法定代表人：                            法定代表人：               </w:t>
      </w:r>
    </w:p>
    <w:p w14:paraId="54E2AA96">
      <w:pPr>
        <w:pStyle w:val="24"/>
        <w:spacing w:line="360" w:lineRule="auto"/>
        <w:ind w:firstLine="480"/>
        <w:jc w:val="left"/>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 xml:space="preserve">委托代理人：                            委托代理人：           </w:t>
      </w:r>
    </w:p>
    <w:p w14:paraId="61289DBC">
      <w:pPr>
        <w:pStyle w:val="24"/>
        <w:spacing w:line="360" w:lineRule="auto"/>
        <w:ind w:firstLine="480"/>
        <w:jc w:val="left"/>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 xml:space="preserve">电话：                                  电话：                     </w:t>
      </w:r>
    </w:p>
    <w:p w14:paraId="4CE680D7">
      <w:pPr>
        <w:pStyle w:val="24"/>
        <w:spacing w:line="360" w:lineRule="auto"/>
        <w:ind w:firstLine="480"/>
        <w:jc w:val="left"/>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 xml:space="preserve">传真：                                  传真：                     </w:t>
      </w:r>
    </w:p>
    <w:p w14:paraId="398603BD">
      <w:pPr>
        <w:pStyle w:val="24"/>
        <w:spacing w:line="360" w:lineRule="auto"/>
        <w:ind w:firstLine="480"/>
        <w:jc w:val="left"/>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签订日期：      年  月  日</w:t>
      </w:r>
    </w:p>
    <w:p w14:paraId="1660ABEB">
      <w:pPr>
        <w:keepNext w:val="0"/>
        <w:keepLines w:val="0"/>
        <w:pageBreakBefore w:val="0"/>
        <w:pBdr>
          <w:top w:val="none" w:color="000000" w:sz="0" w:space="0"/>
          <w:left w:val="none" w:color="000000" w:sz="0" w:space="0"/>
          <w:bottom w:val="none" w:color="000000" w:sz="0" w:space="0"/>
          <w:right w:val="none" w:color="000000" w:sz="0" w:space="0"/>
        </w:pBdr>
        <w:spacing w:beforeAutospacing="0" w:afterAutospacing="0" w:line="360" w:lineRule="auto"/>
        <w:ind w:firstLine="480"/>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注：甲、乙双方通过苏采云政府采购一体化平台签订电子合同，并加盖电子签章，网址：http://jszfcg.jscz.gov.cn/jszc/login。</w:t>
      </w:r>
    </w:p>
    <w:p w14:paraId="6CD343F6">
      <w:pPr>
        <w:keepNext w:val="0"/>
        <w:keepLines w:val="0"/>
        <w:pageBreakBefore w:val="0"/>
        <w:pBdr>
          <w:top w:val="none" w:color="000000" w:sz="0" w:space="0"/>
          <w:left w:val="none" w:color="000000" w:sz="0" w:space="0"/>
          <w:bottom w:val="none" w:color="000000" w:sz="0" w:space="0"/>
          <w:right w:val="none" w:color="000000" w:sz="0" w:space="0"/>
        </w:pBdr>
        <w:spacing w:beforeAutospacing="0" w:afterAutospacing="0" w:line="360" w:lineRule="auto"/>
        <w:rPr>
          <w:rFonts w:hint="default" w:ascii="Times New Roman" w:hAnsi="Times New Roman" w:cs="Times New Roman"/>
          <w:color w:val="auto"/>
          <w:highlight w:val="none"/>
        </w:rPr>
      </w:pPr>
      <w:r>
        <w:rPr>
          <w:rFonts w:hint="default" w:ascii="Times New Roman" w:hAnsi="Times New Roman" w:cs="Times New Roman"/>
          <w:b/>
          <w:color w:val="auto"/>
          <w:sz w:val="36"/>
          <w:highlight w:val="none"/>
        </w:rPr>
        <w:t> </w:t>
      </w:r>
    </w:p>
    <w:p w14:paraId="0AA490AB">
      <w:pPr>
        <w:pStyle w:val="200"/>
        <w:keepNext w:val="0"/>
        <w:keepLines w:val="0"/>
        <w:pageBreakBefore w:val="0"/>
        <w:spacing w:beforeAutospacing="0" w:afterAutospacing="0" w:line="360" w:lineRule="auto"/>
        <w:rPr>
          <w:rFonts w:hint="default" w:ascii="Times New Roman" w:hAnsi="Times New Roman" w:cs="Times New Roman" w:eastAsiaTheme="minorEastAsia"/>
          <w:color w:val="auto"/>
          <w:highlight w:val="none"/>
        </w:rPr>
      </w:pPr>
    </w:p>
    <w:p w14:paraId="5170222C">
      <w:pPr>
        <w:keepNext w:val="0"/>
        <w:keepLines w:val="0"/>
        <w:pageBreakBefore w:val="0"/>
        <w:spacing w:beforeAutospacing="0" w:afterAutospacing="0" w:line="360" w:lineRule="auto"/>
        <w:rPr>
          <w:rFonts w:hint="default" w:ascii="Times New Roman" w:hAnsi="Times New Roman" w:cs="Times New Roman"/>
          <w:color w:val="auto"/>
          <w:highlight w:val="none"/>
        </w:rPr>
      </w:pPr>
    </w:p>
    <w:p w14:paraId="76FD5BB2">
      <w:pPr>
        <w:spacing w:line="360" w:lineRule="auto"/>
        <w:rPr>
          <w:rFonts w:hint="default" w:ascii="Times New Roman" w:hAnsi="Times New Roman" w:cs="Times New Roman"/>
          <w:color w:val="auto"/>
          <w:highlight w:val="none"/>
        </w:rPr>
      </w:pPr>
      <w:r>
        <w:rPr>
          <w:rFonts w:hint="default" w:ascii="Times New Roman" w:hAnsi="Times New Roman" w:cs="Times New Roman"/>
          <w:color w:val="auto"/>
          <w:highlight w:val="none"/>
        </w:rPr>
        <w:br w:type="page" w:clear="all"/>
      </w:r>
    </w:p>
    <w:p w14:paraId="2830ABEB">
      <w:pPr>
        <w:pStyle w:val="2"/>
        <w:numPr>
          <w:ilvl w:val="0"/>
          <w:numId w:val="1"/>
        </w:numPr>
        <w:spacing w:line="360" w:lineRule="auto"/>
        <w:rPr>
          <w:rFonts w:hint="default" w:ascii="Times New Roman" w:hAnsi="Times New Roman" w:cs="Times New Roman"/>
          <w:color w:val="auto"/>
          <w:highlight w:val="none"/>
        </w:rPr>
      </w:pPr>
      <w:r>
        <w:rPr>
          <w:rFonts w:hint="default" w:ascii="Times New Roman" w:hAnsi="Times New Roman" w:cs="Times New Roman"/>
          <w:color w:val="auto"/>
          <w:highlight w:val="none"/>
        </w:rPr>
        <w:t>项目需求</w:t>
      </w:r>
    </w:p>
    <w:p w14:paraId="30E0B4B7">
      <w:pPr>
        <w:pStyle w:val="2"/>
        <w:numPr>
          <w:ilvl w:val="0"/>
          <w:numId w:val="0"/>
        </w:numPr>
        <w:spacing w:line="360" w:lineRule="auto"/>
        <w:jc w:val="center"/>
        <w:rPr>
          <w:rFonts w:hint="default" w:ascii="Times New Roman" w:hAnsi="Times New Roman" w:cs="Times New Roman"/>
          <w:b/>
          <w:bCs w:val="0"/>
          <w:color w:val="auto"/>
          <w:sz w:val="30"/>
          <w:szCs w:val="30"/>
          <w:highlight w:val="none"/>
        </w:rPr>
      </w:pPr>
      <w:r>
        <w:rPr>
          <w:rFonts w:hint="default" w:ascii="Times New Roman" w:hAnsi="Times New Roman" w:eastAsia="黑体" w:cs="Times New Roman"/>
          <w:b w:val="0"/>
          <w:bCs/>
          <w:color w:val="auto"/>
          <w:sz w:val="30"/>
          <w:szCs w:val="30"/>
          <w:highlight w:val="none"/>
          <w:lang w:val="en-US" w:eastAsia="zh-CN"/>
        </w:rPr>
        <w:t>采购包1：安全标段</w:t>
      </w:r>
    </w:p>
    <w:p w14:paraId="71732A48">
      <w:pPr>
        <w:pStyle w:val="3"/>
        <w:spacing w:line="360" w:lineRule="auto"/>
        <w:rPr>
          <w:rFonts w:hint="default" w:ascii="Times New Roman" w:hAnsi="Times New Roman" w:cs="Times New Roman"/>
          <w:color w:val="auto"/>
          <w:highlight w:val="none"/>
        </w:rPr>
      </w:pPr>
      <w:r>
        <w:rPr>
          <w:rFonts w:hint="default" w:ascii="Times New Roman" w:hAnsi="Times New Roman" w:cs="Times New Roman"/>
          <w:color w:val="auto"/>
          <w:highlight w:val="none"/>
          <w:lang w:val="en-US" w:eastAsia="zh-CN"/>
        </w:rPr>
        <w:t>（一）</w:t>
      </w:r>
      <w:r>
        <w:rPr>
          <w:rFonts w:hint="default" w:ascii="Times New Roman" w:hAnsi="Times New Roman" w:cs="Times New Roman"/>
          <w:color w:val="auto"/>
          <w:highlight w:val="none"/>
        </w:rPr>
        <w:t>工作要求</w:t>
      </w:r>
    </w:p>
    <w:p w14:paraId="78A6109F">
      <w:pPr>
        <w:keepNext w:val="0"/>
        <w:keepLines w:val="0"/>
        <w:pageBreakBefore w:val="0"/>
        <w:widowControl/>
        <w:numPr>
          <w:ilvl w:val="0"/>
          <w:numId w:val="0"/>
        </w:numPr>
        <w:spacing w:line="360" w:lineRule="auto"/>
        <w:ind w:firstLine="420"/>
        <w:outlineLvl w:val="9"/>
        <w:rPr>
          <w:rFonts w:hint="default" w:ascii="Times New Roman" w:hAnsi="Times New Roman" w:eastAsia="宋体" w:cs="Times New Roman"/>
          <w:b w:val="0"/>
          <w:bCs w:val="0"/>
          <w:color w:val="auto"/>
          <w:sz w:val="21"/>
          <w:szCs w:val="21"/>
          <w:highlight w:val="none"/>
          <w:lang w:val="en-US" w:eastAsia="zh-CN" w:bidi="ar-SA"/>
        </w:rPr>
      </w:pPr>
      <w:r>
        <w:rPr>
          <w:rFonts w:hint="default" w:ascii="Times New Roman" w:hAnsi="Times New Roman" w:eastAsia="宋体" w:cs="Times New Roman"/>
          <w:b w:val="0"/>
          <w:bCs w:val="0"/>
          <w:color w:val="auto"/>
          <w:sz w:val="21"/>
          <w:szCs w:val="21"/>
          <w:highlight w:val="none"/>
          <w:lang w:val="en-US" w:eastAsia="zh-CN" w:bidi="ar-SA"/>
        </w:rPr>
        <w:t>1.组建由专业技术人才构成的派驻专家团队，团队共配备6名安全专家。服务期限为两年。</w:t>
      </w:r>
    </w:p>
    <w:p w14:paraId="40140972">
      <w:pPr>
        <w:keepNext w:val="0"/>
        <w:keepLines w:val="0"/>
        <w:pageBreakBefore w:val="0"/>
        <w:widowControl/>
        <w:numPr>
          <w:ilvl w:val="0"/>
          <w:numId w:val="0"/>
        </w:numPr>
        <w:spacing w:line="360" w:lineRule="auto"/>
        <w:ind w:firstLine="420"/>
        <w:outlineLvl w:val="9"/>
        <w:rPr>
          <w:rFonts w:hint="default" w:ascii="Times New Roman" w:hAnsi="Times New Roman" w:eastAsia="宋体" w:cs="Times New Roman"/>
          <w:b w:val="0"/>
          <w:bCs w:val="0"/>
          <w:color w:val="auto"/>
          <w:sz w:val="21"/>
          <w:szCs w:val="21"/>
          <w:highlight w:val="none"/>
          <w:lang w:val="en-US" w:eastAsia="zh-CN" w:bidi="ar-SA"/>
        </w:rPr>
      </w:pPr>
      <w:r>
        <w:rPr>
          <w:rFonts w:hint="default" w:ascii="Times New Roman" w:hAnsi="Times New Roman" w:eastAsia="宋体" w:cs="Times New Roman"/>
          <w:b w:val="0"/>
          <w:bCs w:val="0"/>
          <w:color w:val="auto"/>
          <w:sz w:val="21"/>
          <w:szCs w:val="21"/>
          <w:highlight w:val="none"/>
          <w:lang w:val="en-US" w:eastAsia="zh-CN" w:bidi="ar-SA"/>
        </w:rPr>
        <w:t>专家团队专业与资质需满足以下要求：</w:t>
      </w:r>
    </w:p>
    <w:p w14:paraId="49C3C667">
      <w:pPr>
        <w:keepNext w:val="0"/>
        <w:keepLines w:val="0"/>
        <w:pageBreakBefore w:val="0"/>
        <w:widowControl/>
        <w:numPr>
          <w:ilvl w:val="0"/>
          <w:numId w:val="0"/>
        </w:numPr>
        <w:spacing w:line="360" w:lineRule="auto"/>
        <w:ind w:firstLine="420"/>
        <w:outlineLvl w:val="9"/>
        <w:rPr>
          <w:rFonts w:hint="default" w:ascii="Times New Roman" w:hAnsi="Times New Roman" w:eastAsia="宋体" w:cs="Times New Roman"/>
          <w:b w:val="0"/>
          <w:bCs w:val="0"/>
          <w:color w:val="auto"/>
          <w:sz w:val="21"/>
          <w:szCs w:val="21"/>
          <w:highlight w:val="none"/>
          <w:lang w:val="en-US" w:eastAsia="zh-CN" w:bidi="ar-SA"/>
        </w:rPr>
      </w:pPr>
      <w:r>
        <w:rPr>
          <w:rFonts w:hint="default" w:ascii="Times New Roman" w:hAnsi="Times New Roman" w:cs="Times New Roman"/>
          <w:b w:val="0"/>
          <w:bCs w:val="0"/>
          <w:color w:val="auto"/>
          <w:sz w:val="21"/>
          <w:szCs w:val="21"/>
          <w:highlight w:val="none"/>
          <w:lang w:val="en-US" w:eastAsia="zh-CN" w:bidi="ar-SA"/>
        </w:rPr>
        <w:t>1.</w:t>
      </w:r>
      <w:r>
        <w:rPr>
          <w:rFonts w:hint="default" w:ascii="Times New Roman" w:hAnsi="Times New Roman" w:eastAsia="宋体" w:cs="Times New Roman"/>
          <w:b w:val="0"/>
          <w:bCs w:val="0"/>
          <w:color w:val="auto"/>
          <w:sz w:val="21"/>
          <w:szCs w:val="21"/>
          <w:highlight w:val="none"/>
          <w:lang w:val="en-US" w:eastAsia="zh-CN" w:bidi="ar-SA"/>
        </w:rPr>
        <w:t>驻点专家共6名，具体包括：1.</w:t>
      </w:r>
      <w:r>
        <w:rPr>
          <w:rFonts w:hint="eastAsia" w:ascii="Times New Roman" w:hAnsi="Times New Roman" w:eastAsia="宋体" w:cs="Times New Roman"/>
          <w:b w:val="0"/>
          <w:bCs w:val="0"/>
          <w:color w:val="auto"/>
          <w:sz w:val="21"/>
          <w:szCs w:val="21"/>
          <w:highlight w:val="none"/>
          <w:lang w:val="en-US" w:eastAsia="zh-CN" w:bidi="ar-SA"/>
        </w:rPr>
        <w:t>高级工程师及以上职称(化工类专业)不少于2人，</w:t>
      </w:r>
      <w:r>
        <w:rPr>
          <w:rFonts w:hint="eastAsia" w:ascii="Times New Roman" w:hAnsi="Times New Roman" w:cs="Times New Roman"/>
          <w:b w:val="0"/>
          <w:bCs w:val="0"/>
          <w:color w:val="auto"/>
          <w:sz w:val="21"/>
          <w:szCs w:val="21"/>
          <w:highlight w:val="none"/>
          <w:lang w:val="en-US" w:eastAsia="zh-CN" w:bidi="ar-SA"/>
        </w:rPr>
        <w:t>同时</w:t>
      </w:r>
      <w:r>
        <w:rPr>
          <w:rFonts w:hint="eastAsia" w:ascii="Times New Roman" w:hAnsi="Times New Roman" w:eastAsia="宋体" w:cs="Times New Roman"/>
          <w:b w:val="0"/>
          <w:bCs w:val="0"/>
          <w:color w:val="auto"/>
          <w:sz w:val="21"/>
          <w:szCs w:val="21"/>
          <w:highlight w:val="none"/>
          <w:lang w:val="en-US" w:eastAsia="zh-CN" w:bidi="ar-SA"/>
        </w:rPr>
        <w:t>需列入市级安全生产专家库</w:t>
      </w:r>
      <w:r>
        <w:rPr>
          <w:rFonts w:hint="default" w:ascii="Times New Roman" w:hAnsi="Times New Roman" w:eastAsia="宋体" w:cs="Times New Roman"/>
          <w:b w:val="0"/>
          <w:bCs w:val="0"/>
          <w:color w:val="auto"/>
          <w:sz w:val="21"/>
          <w:szCs w:val="21"/>
          <w:highlight w:val="none"/>
          <w:lang w:val="en-US" w:eastAsia="zh-CN" w:bidi="ar-SA"/>
        </w:rPr>
        <w:t>；2.中级工程师及以上职称(消防方向)不少于1名，或者持有一级注册消防工程师职业资格证书；3.其余人员具备工程师及以上职称(专业不限),或者持有中级注册安全工程师职业资格证书。(备注:一人一证，不重复计算。)</w:t>
      </w:r>
    </w:p>
    <w:p w14:paraId="195B3523">
      <w:pPr>
        <w:keepNext w:val="0"/>
        <w:keepLines w:val="0"/>
        <w:pageBreakBefore w:val="0"/>
        <w:widowControl/>
        <w:numPr>
          <w:ilvl w:val="0"/>
          <w:numId w:val="0"/>
        </w:numPr>
        <w:spacing w:line="360" w:lineRule="auto"/>
        <w:ind w:firstLine="420"/>
        <w:outlineLvl w:val="9"/>
        <w:rPr>
          <w:rFonts w:hint="default" w:ascii="Times New Roman" w:hAnsi="Times New Roman" w:eastAsia="宋体" w:cs="Times New Roman"/>
          <w:b w:val="0"/>
          <w:bCs w:val="0"/>
          <w:color w:val="auto"/>
          <w:sz w:val="21"/>
          <w:szCs w:val="21"/>
          <w:highlight w:val="none"/>
          <w:lang w:val="en-US" w:eastAsia="zh-CN" w:bidi="ar-SA"/>
        </w:rPr>
      </w:pPr>
      <w:r>
        <w:rPr>
          <w:rFonts w:hint="default" w:ascii="Times New Roman" w:hAnsi="Times New Roman" w:eastAsia="宋体" w:cs="Times New Roman"/>
          <w:b w:val="0"/>
          <w:bCs w:val="0"/>
          <w:color w:val="auto"/>
          <w:sz w:val="21"/>
          <w:szCs w:val="21"/>
          <w:highlight w:val="none"/>
          <w:lang w:val="en-US" w:eastAsia="zh-CN" w:bidi="ar-SA"/>
        </w:rPr>
        <w:t>2.坐班专家与园区正常作息时间一致，不得擅自脱岗，专家组成员未经园区同意不得随意中途更换；</w:t>
      </w:r>
    </w:p>
    <w:p w14:paraId="4E54A75C">
      <w:pPr>
        <w:keepNext w:val="0"/>
        <w:keepLines w:val="0"/>
        <w:pageBreakBefore w:val="0"/>
        <w:widowControl/>
        <w:numPr>
          <w:ilvl w:val="0"/>
          <w:numId w:val="0"/>
        </w:numPr>
        <w:spacing w:line="360" w:lineRule="auto"/>
        <w:ind w:firstLine="420"/>
        <w:outlineLvl w:val="9"/>
        <w:rPr>
          <w:rFonts w:hint="default" w:ascii="Times New Roman" w:hAnsi="Times New Roman" w:eastAsia="宋体" w:cs="Times New Roman"/>
          <w:b w:val="0"/>
          <w:bCs w:val="0"/>
          <w:color w:val="auto"/>
          <w:sz w:val="21"/>
          <w:szCs w:val="21"/>
          <w:highlight w:val="none"/>
          <w:lang w:val="en-US" w:eastAsia="zh-CN" w:bidi="ar-SA"/>
        </w:rPr>
      </w:pPr>
      <w:r>
        <w:rPr>
          <w:rFonts w:hint="default" w:ascii="Times New Roman" w:hAnsi="Times New Roman" w:eastAsia="宋体" w:cs="Times New Roman"/>
          <w:b w:val="0"/>
          <w:bCs w:val="0"/>
          <w:color w:val="auto"/>
          <w:sz w:val="21"/>
          <w:szCs w:val="21"/>
          <w:highlight w:val="none"/>
          <w:lang w:val="en-US" w:eastAsia="zh-CN" w:bidi="ar-SA"/>
        </w:rPr>
        <w:t>3.专家组需配备指导服务通勤所用车辆、笔记本电脑等日常办公设备，满足辖区内安全日常指导服务需要；</w:t>
      </w:r>
    </w:p>
    <w:p w14:paraId="459A12A3">
      <w:pPr>
        <w:keepNext w:val="0"/>
        <w:keepLines w:val="0"/>
        <w:pageBreakBefore w:val="0"/>
        <w:widowControl/>
        <w:numPr>
          <w:ilvl w:val="0"/>
          <w:numId w:val="0"/>
        </w:numPr>
        <w:spacing w:line="360" w:lineRule="auto"/>
        <w:ind w:firstLine="420"/>
        <w:outlineLvl w:val="9"/>
        <w:rPr>
          <w:rFonts w:hint="default" w:ascii="Times New Roman" w:hAnsi="Times New Roman" w:eastAsia="宋体" w:cs="Times New Roman"/>
          <w:b w:val="0"/>
          <w:bCs w:val="0"/>
          <w:color w:val="auto"/>
          <w:sz w:val="21"/>
          <w:szCs w:val="21"/>
          <w:highlight w:val="none"/>
          <w:lang w:val="en-US" w:eastAsia="zh-CN" w:bidi="ar-SA"/>
        </w:rPr>
      </w:pPr>
      <w:r>
        <w:rPr>
          <w:rFonts w:hint="default" w:ascii="Times New Roman" w:hAnsi="Times New Roman" w:eastAsia="宋体" w:cs="Times New Roman"/>
          <w:b w:val="0"/>
          <w:bCs w:val="0"/>
          <w:color w:val="auto"/>
          <w:sz w:val="21"/>
          <w:szCs w:val="21"/>
          <w:highlight w:val="none"/>
          <w:lang w:val="en-US" w:eastAsia="zh-CN" w:bidi="ar-SA"/>
        </w:rPr>
        <w:t>4.专家组在对企业开展指导服务、培训等服务的过程中，不得接受企业宴请，不得收受企业礼品、礼金。</w:t>
      </w:r>
    </w:p>
    <w:p w14:paraId="662AD6DB">
      <w:pPr>
        <w:pStyle w:val="3"/>
        <w:spacing w:line="360" w:lineRule="auto"/>
        <w:rPr>
          <w:rFonts w:hint="default" w:ascii="Times New Roman" w:hAnsi="Times New Roman" w:cs="Times New Roman"/>
          <w:color w:val="auto"/>
          <w:highlight w:val="none"/>
          <w:lang w:val="en-US" w:eastAsia="zh-CN"/>
        </w:rPr>
      </w:pPr>
      <w:r>
        <w:rPr>
          <w:rFonts w:hint="default" w:ascii="Times New Roman" w:hAnsi="Times New Roman" w:cs="Times New Roman"/>
          <w:color w:val="auto"/>
          <w:highlight w:val="none"/>
          <w:lang w:val="en-US" w:eastAsia="zh-CN"/>
        </w:rPr>
        <w:t>（二）工作内容</w:t>
      </w:r>
    </w:p>
    <w:p w14:paraId="47ADE265">
      <w:pPr>
        <w:pStyle w:val="5"/>
        <w:spacing w:line="360" w:lineRule="auto"/>
        <w:rPr>
          <w:rFonts w:hint="default" w:ascii="Times New Roman" w:hAnsi="Times New Roman" w:cs="Times New Roman"/>
          <w:color w:val="auto"/>
          <w:highlight w:val="none"/>
          <w:lang w:val="en-US" w:eastAsia="zh-CN"/>
        </w:rPr>
      </w:pPr>
      <w:r>
        <w:rPr>
          <w:rFonts w:hint="default" w:ascii="Times New Roman" w:hAnsi="Times New Roman" w:cs="Times New Roman"/>
          <w:color w:val="auto"/>
          <w:highlight w:val="none"/>
          <w:lang w:val="en-US" w:eastAsia="zh-CN"/>
        </w:rPr>
        <w:t>2.1安全检查</w:t>
      </w:r>
    </w:p>
    <w:p w14:paraId="1BDDABAA">
      <w:pPr>
        <w:keepNext w:val="0"/>
        <w:keepLines w:val="0"/>
        <w:pageBreakBefore w:val="0"/>
        <w:widowControl/>
        <w:spacing w:line="360" w:lineRule="auto"/>
        <w:ind w:left="0" w:firstLine="420"/>
        <w:outlineLvl w:val="9"/>
        <w:rPr>
          <w:rFonts w:hint="default" w:ascii="Times New Roman" w:hAnsi="Times New Roman" w:eastAsia="宋体" w:cs="Times New Roman"/>
          <w:b w:val="0"/>
          <w:bCs w:val="0"/>
          <w:color w:val="auto"/>
          <w:sz w:val="21"/>
          <w:szCs w:val="21"/>
          <w:highlight w:val="none"/>
          <w:lang w:val="en-US" w:eastAsia="zh-CN" w:bidi="ar-SA"/>
        </w:rPr>
      </w:pPr>
      <w:r>
        <w:rPr>
          <w:rFonts w:hint="default" w:ascii="Times New Roman" w:hAnsi="Times New Roman" w:cs="Times New Roman"/>
          <w:b w:val="0"/>
          <w:bCs w:val="0"/>
          <w:color w:val="auto"/>
          <w:sz w:val="21"/>
          <w:szCs w:val="21"/>
          <w:highlight w:val="none"/>
          <w:lang w:val="en-US" w:eastAsia="zh-CN" w:bidi="ar-SA"/>
        </w:rPr>
        <w:t>2.1.1对照园区制定的</w:t>
      </w:r>
      <w:r>
        <w:rPr>
          <w:rFonts w:hint="default" w:ascii="Times New Roman" w:hAnsi="Times New Roman" w:eastAsia="宋体" w:cs="Times New Roman"/>
          <w:b w:val="0"/>
          <w:bCs w:val="0"/>
          <w:color w:val="auto"/>
          <w:sz w:val="21"/>
          <w:szCs w:val="21"/>
          <w:highlight w:val="none"/>
          <w:lang w:val="en-US" w:eastAsia="zh-CN" w:bidi="ar-SA"/>
        </w:rPr>
        <w:t>指导服务计划，开展相应企业的指导服务工作;</w:t>
      </w:r>
    </w:p>
    <w:p w14:paraId="5C528666">
      <w:pPr>
        <w:keepNext w:val="0"/>
        <w:keepLines w:val="0"/>
        <w:pageBreakBefore w:val="0"/>
        <w:widowControl/>
        <w:spacing w:line="360" w:lineRule="auto"/>
        <w:ind w:left="0" w:firstLine="420"/>
        <w:outlineLvl w:val="9"/>
        <w:rPr>
          <w:rFonts w:hint="default" w:ascii="Times New Roman" w:hAnsi="Times New Roman" w:eastAsia="宋体" w:cs="Times New Roman"/>
          <w:b w:val="0"/>
          <w:bCs w:val="0"/>
          <w:color w:val="auto"/>
          <w:sz w:val="21"/>
          <w:szCs w:val="21"/>
          <w:highlight w:val="none"/>
          <w:lang w:val="en-US" w:eastAsia="zh-CN" w:bidi="ar-SA"/>
        </w:rPr>
      </w:pPr>
      <w:r>
        <w:rPr>
          <w:rFonts w:hint="default" w:ascii="Times New Roman" w:hAnsi="Times New Roman" w:cs="Times New Roman"/>
          <w:b w:val="0"/>
          <w:bCs w:val="0"/>
          <w:color w:val="auto"/>
          <w:sz w:val="21"/>
          <w:szCs w:val="21"/>
          <w:highlight w:val="none"/>
          <w:lang w:val="en-US" w:eastAsia="zh-CN" w:bidi="ar-SA"/>
        </w:rPr>
        <w:t>2.1.2</w:t>
      </w:r>
      <w:r>
        <w:rPr>
          <w:rFonts w:hint="default" w:ascii="Times New Roman" w:hAnsi="Times New Roman" w:eastAsia="宋体" w:cs="Times New Roman"/>
          <w:b w:val="0"/>
          <w:bCs w:val="0"/>
          <w:color w:val="auto"/>
          <w:sz w:val="21"/>
          <w:szCs w:val="21"/>
          <w:highlight w:val="none"/>
          <w:lang w:val="en-US" w:eastAsia="zh-CN" w:bidi="ar-SA"/>
        </w:rPr>
        <w:t>对园区所有危化品、化工、医药、重点工贸企业每两个月至少开展一轮安全隐患指导服务；对园区一般工贸、其余行业领域企业每季度至少开展一轮安全隐患指导服务；对所有指导服务情况及时进行数据汇总，形成隐患数据清单，掌握所有指导服务隐患整改闭环情况；</w:t>
      </w:r>
    </w:p>
    <w:p w14:paraId="4E981C1D">
      <w:pPr>
        <w:keepNext w:val="0"/>
        <w:keepLines w:val="0"/>
        <w:pageBreakBefore w:val="0"/>
        <w:widowControl/>
        <w:spacing w:line="360" w:lineRule="auto"/>
        <w:ind w:left="0" w:firstLine="420"/>
        <w:outlineLvl w:val="9"/>
        <w:rPr>
          <w:rFonts w:hint="default" w:ascii="Times New Roman" w:hAnsi="Times New Roman" w:cs="Times New Roman"/>
          <w:b w:val="0"/>
          <w:bCs w:val="0"/>
          <w:color w:val="auto"/>
          <w:sz w:val="21"/>
          <w:szCs w:val="21"/>
          <w:highlight w:val="none"/>
          <w:lang w:val="en-US" w:eastAsia="zh-CN" w:bidi="ar-SA"/>
        </w:rPr>
      </w:pPr>
      <w:r>
        <w:rPr>
          <w:rFonts w:hint="default" w:ascii="Times New Roman" w:hAnsi="Times New Roman" w:cs="Times New Roman"/>
          <w:b w:val="0"/>
          <w:bCs w:val="0"/>
          <w:color w:val="auto"/>
          <w:sz w:val="21"/>
          <w:szCs w:val="21"/>
          <w:highlight w:val="none"/>
          <w:lang w:val="en-US" w:eastAsia="zh-CN" w:bidi="ar-SA"/>
        </w:rPr>
        <w:t>2.1.3编制检查表，制定月度检查计划；检查须提前通知企业。对检查中发现的隐患，必须留下影像资料,对照标准进行分级(可以分为重大隐患、一般隐患),对每个被检查对象的检查与复查均须出具相关工作报告。通过检查，应及时将发现的企业安全薄弱环节告知园区监管人员，配合下发企业提醒函。</w:t>
      </w:r>
    </w:p>
    <w:p w14:paraId="61670683">
      <w:pPr>
        <w:keepNext w:val="0"/>
        <w:keepLines w:val="0"/>
        <w:pageBreakBefore w:val="0"/>
        <w:widowControl/>
        <w:spacing w:line="360" w:lineRule="auto"/>
        <w:ind w:left="0" w:firstLine="420"/>
        <w:outlineLvl w:val="9"/>
        <w:rPr>
          <w:rFonts w:hint="default" w:ascii="Times New Roman" w:hAnsi="Times New Roman" w:cs="Times New Roman"/>
          <w:b w:val="0"/>
          <w:bCs w:val="0"/>
          <w:color w:val="auto"/>
          <w:sz w:val="21"/>
          <w:szCs w:val="21"/>
          <w:highlight w:val="none"/>
          <w:lang w:val="en-US" w:eastAsia="zh-CN" w:bidi="ar-SA"/>
        </w:rPr>
      </w:pPr>
      <w:r>
        <w:rPr>
          <w:rFonts w:hint="default" w:ascii="Times New Roman" w:hAnsi="Times New Roman" w:cs="Times New Roman"/>
          <w:b w:val="0"/>
          <w:bCs w:val="0"/>
          <w:color w:val="auto"/>
          <w:sz w:val="21"/>
          <w:szCs w:val="21"/>
          <w:highlight w:val="none"/>
          <w:lang w:val="en-US" w:eastAsia="zh-CN" w:bidi="ar-SA"/>
        </w:rPr>
        <w:t>2.1.4</w:t>
      </w:r>
      <w:r>
        <w:rPr>
          <w:rFonts w:hint="default" w:ascii="Times New Roman" w:hAnsi="Times New Roman" w:eastAsia="宋体" w:cs="Times New Roman"/>
          <w:b w:val="0"/>
          <w:bCs w:val="0"/>
          <w:color w:val="auto"/>
          <w:sz w:val="21"/>
          <w:szCs w:val="21"/>
          <w:highlight w:val="none"/>
          <w:lang w:val="en-US" w:eastAsia="zh-CN" w:bidi="ar-SA"/>
        </w:rPr>
        <w:t>每年度周期内，邀请不少于三名省级或以上专家对所有危化品(化工)和不少于5家重点工贸企业开展深度</w:t>
      </w:r>
      <w:r>
        <w:rPr>
          <w:rFonts w:hint="default" w:ascii="Times New Roman" w:hAnsi="Times New Roman" w:cs="Times New Roman"/>
          <w:b w:val="0"/>
          <w:bCs w:val="0"/>
          <w:color w:val="auto"/>
          <w:sz w:val="21"/>
          <w:szCs w:val="21"/>
          <w:highlight w:val="none"/>
          <w:lang w:val="en-US" w:eastAsia="zh-CN" w:bidi="ar-SA"/>
        </w:rPr>
        <w:t>安全</w:t>
      </w:r>
      <w:r>
        <w:rPr>
          <w:rFonts w:hint="default" w:ascii="Times New Roman" w:hAnsi="Times New Roman" w:eastAsia="宋体" w:cs="Times New Roman"/>
          <w:b w:val="0"/>
          <w:bCs w:val="0"/>
          <w:color w:val="auto"/>
          <w:sz w:val="21"/>
          <w:szCs w:val="21"/>
          <w:highlight w:val="none"/>
          <w:lang w:val="en-US" w:eastAsia="zh-CN" w:bidi="ar-SA"/>
        </w:rPr>
        <w:t>指导服务；</w:t>
      </w:r>
    </w:p>
    <w:p w14:paraId="48A5443A">
      <w:pPr>
        <w:keepNext w:val="0"/>
        <w:keepLines w:val="0"/>
        <w:pageBreakBefore w:val="0"/>
        <w:widowControl/>
        <w:spacing w:line="360" w:lineRule="auto"/>
        <w:ind w:left="0" w:firstLine="420"/>
        <w:outlineLvl w:val="9"/>
        <w:rPr>
          <w:rFonts w:hint="default" w:ascii="Times New Roman" w:hAnsi="Times New Roman" w:eastAsia="宋体" w:cs="Times New Roman"/>
          <w:b w:val="0"/>
          <w:bCs w:val="0"/>
          <w:color w:val="auto"/>
          <w:sz w:val="21"/>
          <w:szCs w:val="21"/>
          <w:highlight w:val="none"/>
          <w:lang w:val="en-US" w:eastAsia="zh-CN" w:bidi="ar-SA"/>
        </w:rPr>
      </w:pPr>
      <w:r>
        <w:rPr>
          <w:rFonts w:hint="default" w:ascii="Times New Roman" w:hAnsi="Times New Roman" w:eastAsia="宋体" w:cs="Times New Roman"/>
          <w:b w:val="0"/>
          <w:bCs w:val="0"/>
          <w:color w:val="auto"/>
          <w:sz w:val="21"/>
          <w:szCs w:val="21"/>
          <w:highlight w:val="none"/>
          <w:lang w:val="en-US" w:eastAsia="zh-CN" w:bidi="ar-SA"/>
        </w:rPr>
        <w:t>2.</w:t>
      </w:r>
      <w:r>
        <w:rPr>
          <w:rFonts w:hint="default" w:ascii="Times New Roman" w:hAnsi="Times New Roman" w:cs="Times New Roman"/>
          <w:b w:val="0"/>
          <w:bCs w:val="0"/>
          <w:color w:val="auto"/>
          <w:sz w:val="21"/>
          <w:szCs w:val="21"/>
          <w:highlight w:val="none"/>
          <w:lang w:val="en-US" w:eastAsia="zh-CN" w:bidi="ar-SA"/>
        </w:rPr>
        <w:t>1.5</w:t>
      </w:r>
      <w:r>
        <w:rPr>
          <w:rFonts w:hint="default" w:ascii="Times New Roman" w:hAnsi="Times New Roman" w:eastAsia="宋体" w:cs="Times New Roman"/>
          <w:b w:val="0"/>
          <w:bCs w:val="0"/>
          <w:color w:val="auto"/>
          <w:sz w:val="21"/>
          <w:szCs w:val="21"/>
          <w:highlight w:val="none"/>
          <w:lang w:val="en-US" w:eastAsia="zh-CN" w:bidi="ar-SA"/>
        </w:rPr>
        <w:t>每季度对不少于2家企业开展一次“一企一策”深度指导服务</w:t>
      </w:r>
      <w:r>
        <w:rPr>
          <w:rFonts w:hint="default" w:ascii="Times New Roman" w:hAnsi="Times New Roman" w:cs="Times New Roman"/>
          <w:b w:val="0"/>
          <w:bCs w:val="0"/>
          <w:color w:val="auto"/>
          <w:sz w:val="21"/>
          <w:szCs w:val="21"/>
          <w:highlight w:val="none"/>
          <w:lang w:val="en-US" w:eastAsia="zh-CN" w:bidi="ar-SA"/>
        </w:rPr>
        <w:t>，形成“一企一策”报告</w:t>
      </w:r>
      <w:r>
        <w:rPr>
          <w:rFonts w:hint="default" w:ascii="Times New Roman" w:hAnsi="Times New Roman" w:eastAsia="宋体" w:cs="Times New Roman"/>
          <w:b w:val="0"/>
          <w:bCs w:val="0"/>
          <w:color w:val="auto"/>
          <w:sz w:val="21"/>
          <w:szCs w:val="21"/>
          <w:highlight w:val="none"/>
          <w:lang w:val="en-US" w:eastAsia="zh-CN" w:bidi="ar-SA"/>
        </w:rPr>
        <w:t>。</w:t>
      </w:r>
    </w:p>
    <w:p w14:paraId="4C7A224E">
      <w:pPr>
        <w:pStyle w:val="5"/>
        <w:rPr>
          <w:rFonts w:hint="default" w:ascii="Times New Roman" w:hAnsi="Times New Roman" w:cs="Times New Roman"/>
          <w:color w:val="auto"/>
          <w:highlight w:val="none"/>
          <w:lang w:val="en-US" w:eastAsia="zh-CN"/>
        </w:rPr>
      </w:pPr>
      <w:r>
        <w:rPr>
          <w:rFonts w:hint="default" w:ascii="Times New Roman" w:hAnsi="Times New Roman" w:cs="Times New Roman"/>
          <w:color w:val="auto"/>
          <w:highlight w:val="none"/>
          <w:lang w:val="en-US" w:eastAsia="zh-CN"/>
        </w:rPr>
        <w:t>2.2企业提升</w:t>
      </w:r>
    </w:p>
    <w:p w14:paraId="7012678E">
      <w:pPr>
        <w:keepNext w:val="0"/>
        <w:keepLines w:val="0"/>
        <w:pageBreakBefore w:val="0"/>
        <w:widowControl/>
        <w:spacing w:line="360" w:lineRule="auto"/>
        <w:ind w:left="0" w:firstLine="420"/>
        <w:outlineLvl w:val="9"/>
        <w:rPr>
          <w:rFonts w:hint="default" w:ascii="Times New Roman" w:hAnsi="Times New Roman" w:cs="Times New Roman"/>
          <w:b w:val="0"/>
          <w:bCs w:val="0"/>
          <w:color w:val="auto"/>
          <w:sz w:val="21"/>
          <w:szCs w:val="21"/>
          <w:highlight w:val="none"/>
          <w:lang w:val="en-US" w:eastAsia="zh-CN" w:bidi="ar-SA"/>
        </w:rPr>
      </w:pPr>
      <w:r>
        <w:rPr>
          <w:rFonts w:hint="default" w:ascii="Times New Roman" w:hAnsi="Times New Roman" w:cs="Times New Roman"/>
          <w:b w:val="0"/>
          <w:bCs w:val="0"/>
          <w:color w:val="auto"/>
          <w:sz w:val="21"/>
          <w:szCs w:val="21"/>
          <w:highlight w:val="none"/>
          <w:lang w:val="en-US" w:eastAsia="zh-CN" w:bidi="ar-SA"/>
        </w:rPr>
        <w:t>2.2.1为园区企业开展双重预防机制建设、安全标准化体系创建进行验收指导；</w:t>
      </w:r>
    </w:p>
    <w:p w14:paraId="244D21AB">
      <w:pPr>
        <w:keepNext w:val="0"/>
        <w:keepLines w:val="0"/>
        <w:pageBreakBefore w:val="0"/>
        <w:widowControl/>
        <w:spacing w:line="360" w:lineRule="auto"/>
        <w:ind w:left="0" w:firstLine="420"/>
        <w:outlineLvl w:val="9"/>
        <w:rPr>
          <w:rFonts w:hint="default" w:ascii="Times New Roman" w:hAnsi="Times New Roman" w:cs="Times New Roman"/>
          <w:b w:val="0"/>
          <w:bCs w:val="0"/>
          <w:color w:val="auto"/>
          <w:sz w:val="21"/>
          <w:szCs w:val="21"/>
          <w:highlight w:val="none"/>
          <w:lang w:val="en-US" w:eastAsia="zh-CN" w:bidi="ar-SA"/>
        </w:rPr>
      </w:pPr>
      <w:r>
        <w:rPr>
          <w:rFonts w:hint="default" w:ascii="Times New Roman" w:hAnsi="Times New Roman" w:cs="Times New Roman"/>
          <w:b w:val="0"/>
          <w:bCs w:val="0"/>
          <w:color w:val="auto"/>
          <w:sz w:val="21"/>
          <w:szCs w:val="21"/>
          <w:highlight w:val="none"/>
          <w:lang w:val="en-US" w:eastAsia="zh-CN" w:bidi="ar-SA"/>
        </w:rPr>
        <w:t>2.2.2为园区编制年度企业类安全生产宣传培训方案，经批准后组织实施；</w:t>
      </w:r>
    </w:p>
    <w:p w14:paraId="48F2E7BB">
      <w:pPr>
        <w:keepNext w:val="0"/>
        <w:keepLines w:val="0"/>
        <w:pageBreakBefore w:val="0"/>
        <w:widowControl/>
        <w:spacing w:line="360" w:lineRule="auto"/>
        <w:ind w:left="0" w:firstLine="420"/>
        <w:outlineLvl w:val="9"/>
        <w:rPr>
          <w:rFonts w:hint="default" w:ascii="Times New Roman" w:hAnsi="Times New Roman" w:eastAsia="宋体" w:cs="Times New Roman"/>
          <w:b w:val="0"/>
          <w:bCs w:val="0"/>
          <w:color w:val="auto"/>
          <w:sz w:val="21"/>
          <w:szCs w:val="21"/>
          <w:highlight w:val="none"/>
          <w:lang w:val="en-US" w:eastAsia="zh-CN" w:bidi="ar-SA"/>
        </w:rPr>
      </w:pPr>
      <w:r>
        <w:rPr>
          <w:rFonts w:hint="default" w:ascii="Times New Roman" w:hAnsi="Times New Roman" w:cs="Times New Roman"/>
          <w:b w:val="0"/>
          <w:bCs w:val="0"/>
          <w:color w:val="auto"/>
          <w:sz w:val="21"/>
          <w:szCs w:val="21"/>
          <w:highlight w:val="none"/>
          <w:lang w:val="en-US" w:eastAsia="zh-CN" w:bidi="ar-SA"/>
        </w:rPr>
        <w:t>2.2.3</w:t>
      </w:r>
      <w:r>
        <w:rPr>
          <w:rFonts w:hint="default" w:ascii="Times New Roman" w:hAnsi="Times New Roman" w:eastAsia="宋体" w:cs="Times New Roman"/>
          <w:b w:val="0"/>
          <w:bCs w:val="0"/>
          <w:color w:val="auto"/>
          <w:sz w:val="21"/>
          <w:szCs w:val="21"/>
          <w:highlight w:val="none"/>
          <w:lang w:val="en-US" w:eastAsia="zh-CN" w:bidi="ar-SA"/>
        </w:rPr>
        <w:t>每年协助园区组织企业安全专项培训工作不少于6次；</w:t>
      </w:r>
    </w:p>
    <w:p w14:paraId="62E812CD">
      <w:pPr>
        <w:keepNext w:val="0"/>
        <w:keepLines w:val="0"/>
        <w:pageBreakBefore w:val="0"/>
        <w:widowControl/>
        <w:spacing w:line="360" w:lineRule="auto"/>
        <w:ind w:left="0" w:firstLine="420"/>
        <w:outlineLvl w:val="9"/>
        <w:rPr>
          <w:rFonts w:hint="default" w:ascii="Times New Roman" w:hAnsi="Times New Roman" w:eastAsia="宋体" w:cs="Times New Roman"/>
          <w:b w:val="0"/>
          <w:bCs w:val="0"/>
          <w:color w:val="auto"/>
          <w:sz w:val="21"/>
          <w:szCs w:val="21"/>
          <w:highlight w:val="none"/>
          <w:lang w:val="en-US" w:eastAsia="zh-CN" w:bidi="ar-SA"/>
        </w:rPr>
      </w:pPr>
      <w:r>
        <w:rPr>
          <w:rFonts w:hint="default" w:ascii="Times New Roman" w:hAnsi="Times New Roman" w:cs="Times New Roman"/>
          <w:b w:val="0"/>
          <w:bCs w:val="0"/>
          <w:color w:val="auto"/>
          <w:sz w:val="21"/>
          <w:szCs w:val="21"/>
          <w:highlight w:val="none"/>
          <w:lang w:val="en-US" w:eastAsia="zh-CN" w:bidi="ar-SA"/>
        </w:rPr>
        <w:t>2.2.4</w:t>
      </w:r>
      <w:r>
        <w:rPr>
          <w:rFonts w:hint="default" w:ascii="Times New Roman" w:hAnsi="Times New Roman" w:eastAsia="宋体" w:cs="Times New Roman"/>
          <w:b w:val="0"/>
          <w:bCs w:val="0"/>
          <w:color w:val="auto"/>
          <w:sz w:val="21"/>
          <w:szCs w:val="21"/>
          <w:highlight w:val="none"/>
          <w:lang w:val="en-US" w:eastAsia="zh-CN" w:bidi="ar-SA"/>
        </w:rPr>
        <w:t>每年度指导开展不少于1次综合性应急演练，每季度轮流对危化品(化工)、重点工贸企业、社会面小场所、其余行业领域等网格开展1次“双盲演练”;</w:t>
      </w:r>
    </w:p>
    <w:p w14:paraId="0EEB7373">
      <w:pPr>
        <w:pStyle w:val="5"/>
        <w:rPr>
          <w:rFonts w:hint="default" w:ascii="Times New Roman" w:hAnsi="Times New Roman" w:cs="Times New Roman"/>
          <w:color w:val="auto"/>
          <w:highlight w:val="none"/>
          <w:lang w:val="en-US" w:eastAsia="zh-CN"/>
        </w:rPr>
      </w:pPr>
      <w:r>
        <w:rPr>
          <w:rFonts w:hint="default" w:ascii="Times New Roman" w:hAnsi="Times New Roman" w:cs="Times New Roman"/>
          <w:color w:val="auto"/>
          <w:highlight w:val="none"/>
          <w:lang w:val="en-US" w:eastAsia="zh-CN"/>
        </w:rPr>
        <w:t>2.3园区提升</w:t>
      </w:r>
    </w:p>
    <w:p w14:paraId="7CE92D83">
      <w:pPr>
        <w:keepNext w:val="0"/>
        <w:keepLines w:val="0"/>
        <w:pageBreakBefore w:val="0"/>
        <w:widowControl/>
        <w:spacing w:line="360" w:lineRule="auto"/>
        <w:ind w:left="0" w:firstLine="420"/>
        <w:outlineLvl w:val="9"/>
        <w:rPr>
          <w:rFonts w:hint="default" w:ascii="Times New Roman" w:hAnsi="Times New Roman" w:eastAsia="宋体" w:cs="Times New Roman"/>
          <w:b w:val="0"/>
          <w:bCs w:val="0"/>
          <w:color w:val="auto"/>
          <w:sz w:val="21"/>
          <w:szCs w:val="21"/>
          <w:highlight w:val="none"/>
          <w:lang w:val="en-US" w:eastAsia="zh-CN" w:bidi="ar-SA"/>
        </w:rPr>
      </w:pPr>
      <w:r>
        <w:rPr>
          <w:rFonts w:hint="default" w:ascii="Times New Roman" w:hAnsi="Times New Roman" w:cs="Times New Roman"/>
          <w:b w:val="0"/>
          <w:bCs w:val="0"/>
          <w:color w:val="auto"/>
          <w:sz w:val="21"/>
          <w:szCs w:val="21"/>
          <w:highlight w:val="none"/>
          <w:lang w:val="en-US" w:eastAsia="zh-CN" w:bidi="ar-SA"/>
        </w:rPr>
        <w:t>2.3.1</w:t>
      </w:r>
      <w:r>
        <w:rPr>
          <w:rFonts w:hint="default" w:ascii="Times New Roman" w:hAnsi="Times New Roman" w:eastAsia="宋体" w:cs="Times New Roman"/>
          <w:b w:val="0"/>
          <w:bCs w:val="0"/>
          <w:color w:val="auto"/>
          <w:sz w:val="21"/>
          <w:szCs w:val="21"/>
          <w:highlight w:val="none"/>
          <w:lang w:val="en-US" w:eastAsia="zh-CN" w:bidi="ar-SA"/>
        </w:rPr>
        <w:t>结合相关法律法规政策等要求，根据需求对园区管理机构安全监管人员、网格员开展技能培训；</w:t>
      </w:r>
    </w:p>
    <w:p w14:paraId="4BF1A85B">
      <w:pPr>
        <w:keepNext w:val="0"/>
        <w:keepLines w:val="0"/>
        <w:pageBreakBefore w:val="0"/>
        <w:widowControl/>
        <w:spacing w:line="360" w:lineRule="auto"/>
        <w:ind w:left="0" w:firstLine="420"/>
        <w:outlineLvl w:val="9"/>
        <w:rPr>
          <w:rFonts w:hint="default" w:ascii="Times New Roman" w:hAnsi="Times New Roman" w:eastAsia="宋体" w:cs="Times New Roman"/>
          <w:b w:val="0"/>
          <w:bCs w:val="0"/>
          <w:color w:val="auto"/>
          <w:sz w:val="21"/>
          <w:szCs w:val="21"/>
          <w:highlight w:val="none"/>
          <w:lang w:val="en-US" w:eastAsia="zh-CN" w:bidi="ar-SA"/>
        </w:rPr>
      </w:pPr>
      <w:r>
        <w:rPr>
          <w:rFonts w:hint="default" w:ascii="Times New Roman" w:hAnsi="Times New Roman" w:cs="Times New Roman"/>
          <w:b w:val="0"/>
          <w:bCs w:val="0"/>
          <w:color w:val="auto"/>
          <w:sz w:val="21"/>
          <w:szCs w:val="21"/>
          <w:highlight w:val="none"/>
          <w:lang w:val="en-US" w:eastAsia="zh-CN" w:bidi="ar-SA"/>
        </w:rPr>
        <w:t>2.3.2</w:t>
      </w:r>
      <w:r>
        <w:rPr>
          <w:rFonts w:hint="default" w:ascii="Times New Roman" w:hAnsi="Times New Roman" w:eastAsia="宋体" w:cs="Times New Roman"/>
          <w:b w:val="0"/>
          <w:bCs w:val="0"/>
          <w:color w:val="auto"/>
          <w:sz w:val="21"/>
          <w:szCs w:val="21"/>
          <w:highlight w:val="none"/>
          <w:lang w:val="en-US" w:eastAsia="zh-CN" w:bidi="ar-SA"/>
        </w:rPr>
        <w:t>每季度提供园区上季度安全工作总结和下季度风险研判报告，每年年底向园区提供安全总结报告；</w:t>
      </w:r>
    </w:p>
    <w:p w14:paraId="5E324722">
      <w:pPr>
        <w:keepNext w:val="0"/>
        <w:keepLines w:val="0"/>
        <w:pageBreakBefore w:val="0"/>
        <w:widowControl/>
        <w:spacing w:line="360" w:lineRule="auto"/>
        <w:ind w:left="0" w:firstLine="420"/>
        <w:outlineLvl w:val="9"/>
        <w:rPr>
          <w:rFonts w:hint="default" w:ascii="Times New Roman" w:hAnsi="Times New Roman" w:eastAsia="宋体" w:cs="Times New Roman"/>
          <w:b w:val="0"/>
          <w:bCs w:val="0"/>
          <w:color w:val="auto"/>
          <w:sz w:val="21"/>
          <w:szCs w:val="21"/>
          <w:highlight w:val="none"/>
          <w:lang w:val="en-US" w:eastAsia="zh-CN" w:bidi="ar-SA"/>
        </w:rPr>
      </w:pPr>
      <w:r>
        <w:rPr>
          <w:rFonts w:hint="default" w:ascii="Times New Roman" w:hAnsi="Times New Roman" w:cs="Times New Roman"/>
          <w:b w:val="0"/>
          <w:bCs w:val="0"/>
          <w:color w:val="auto"/>
          <w:sz w:val="21"/>
          <w:szCs w:val="21"/>
          <w:highlight w:val="none"/>
          <w:lang w:val="en-US" w:eastAsia="zh-CN" w:bidi="ar-SA"/>
        </w:rPr>
        <w:t>2.3.3</w:t>
      </w:r>
      <w:r>
        <w:rPr>
          <w:rFonts w:hint="default" w:ascii="Times New Roman" w:hAnsi="Times New Roman" w:eastAsia="宋体" w:cs="Times New Roman"/>
          <w:b w:val="0"/>
          <w:bCs w:val="0"/>
          <w:color w:val="auto"/>
          <w:sz w:val="21"/>
          <w:szCs w:val="21"/>
          <w:highlight w:val="none"/>
          <w:lang w:val="en-US" w:eastAsia="zh-CN" w:bidi="ar-SA"/>
        </w:rPr>
        <w:t>重要节假日、重要时段，根据园区要求开展值班值守，并对辖区内企业开展安全巡查；</w:t>
      </w:r>
    </w:p>
    <w:p w14:paraId="42A52E4F">
      <w:pPr>
        <w:keepNext w:val="0"/>
        <w:keepLines w:val="0"/>
        <w:pageBreakBefore w:val="0"/>
        <w:widowControl/>
        <w:spacing w:line="360" w:lineRule="auto"/>
        <w:ind w:left="0" w:firstLine="420"/>
        <w:outlineLvl w:val="9"/>
        <w:rPr>
          <w:rFonts w:hint="default" w:ascii="Times New Roman" w:hAnsi="Times New Roman" w:eastAsia="宋体" w:cs="Times New Roman"/>
          <w:b w:val="0"/>
          <w:bCs w:val="0"/>
          <w:color w:val="auto"/>
          <w:sz w:val="21"/>
          <w:szCs w:val="21"/>
          <w:highlight w:val="none"/>
          <w:lang w:val="en-US" w:eastAsia="zh-CN" w:bidi="ar-SA"/>
        </w:rPr>
      </w:pPr>
      <w:r>
        <w:rPr>
          <w:rFonts w:hint="default" w:ascii="Times New Roman" w:hAnsi="Times New Roman" w:cs="Times New Roman"/>
          <w:b w:val="0"/>
          <w:bCs w:val="0"/>
          <w:color w:val="auto"/>
          <w:sz w:val="21"/>
          <w:szCs w:val="21"/>
          <w:highlight w:val="none"/>
          <w:lang w:val="en-US" w:eastAsia="zh-CN" w:bidi="ar-SA"/>
        </w:rPr>
        <w:t>2.3.4</w:t>
      </w:r>
      <w:r>
        <w:rPr>
          <w:rFonts w:hint="default" w:ascii="Times New Roman" w:hAnsi="Times New Roman" w:eastAsia="宋体" w:cs="Times New Roman"/>
          <w:b w:val="0"/>
          <w:bCs w:val="0"/>
          <w:color w:val="auto"/>
          <w:sz w:val="21"/>
          <w:szCs w:val="21"/>
          <w:highlight w:val="none"/>
          <w:lang w:val="en-US" w:eastAsia="zh-CN" w:bidi="ar-SA"/>
        </w:rPr>
        <w:t>按照园区管理需要，提供包括但不限于专项指导服务、特殊作业复核、事故调查、装置设施拆卸方案审查、开停车方案审查、重点企业“新、改、扩”建项目安全设施设计审查和安全设施竣工验收审查等技术咨询服务，现有专家力量不足，每年度临时增派专家合计不超过20个工作日的，不另行结算费用。</w:t>
      </w:r>
    </w:p>
    <w:p w14:paraId="3E7BC855">
      <w:pPr>
        <w:pStyle w:val="3"/>
        <w:spacing w:line="360" w:lineRule="auto"/>
        <w:rPr>
          <w:rFonts w:hint="default" w:ascii="Times New Roman" w:hAnsi="Times New Roman" w:eastAsia="宋体" w:cs="Times New Roman"/>
          <w:b w:val="0"/>
          <w:bCs w:val="0"/>
          <w:color w:val="auto"/>
          <w:sz w:val="21"/>
          <w:szCs w:val="21"/>
          <w:highlight w:val="none"/>
          <w:lang w:val="en-US" w:eastAsia="zh-CN" w:bidi="ar-SA"/>
        </w:rPr>
      </w:pPr>
      <w:r>
        <w:rPr>
          <w:rFonts w:hint="default" w:ascii="Times New Roman" w:hAnsi="Times New Roman" w:eastAsia="宋体" w:cs="Times New Roman"/>
          <w:b w:val="0"/>
          <w:bCs w:val="0"/>
          <w:color w:val="auto"/>
          <w:sz w:val="21"/>
          <w:szCs w:val="21"/>
          <w:highlight w:val="none"/>
          <w:lang w:val="en-US" w:eastAsia="zh-CN" w:bidi="ar-SA"/>
        </w:rPr>
        <w:t>园区对“安全</w:t>
      </w:r>
      <w:r>
        <w:rPr>
          <w:rFonts w:hint="default" w:ascii="Times New Roman" w:hAnsi="Times New Roman" w:cs="Times New Roman"/>
          <w:b w:val="0"/>
          <w:bCs w:val="0"/>
          <w:color w:val="auto"/>
          <w:sz w:val="21"/>
          <w:szCs w:val="21"/>
          <w:highlight w:val="none"/>
          <w:lang w:val="en-US" w:eastAsia="zh-CN" w:bidi="ar-SA"/>
        </w:rPr>
        <w:t>指导</w:t>
      </w:r>
      <w:r>
        <w:rPr>
          <w:rFonts w:hint="default" w:ascii="Times New Roman" w:hAnsi="Times New Roman" w:eastAsia="宋体" w:cs="Times New Roman"/>
          <w:b w:val="0"/>
          <w:bCs w:val="0"/>
          <w:color w:val="auto"/>
          <w:sz w:val="21"/>
          <w:szCs w:val="21"/>
          <w:highlight w:val="none"/>
          <w:lang w:val="en-US" w:eastAsia="zh-CN" w:bidi="ar-SA"/>
        </w:rPr>
        <w:t>”团队按照上述要求每年度开展周期考核考核要求详服务合同。</w:t>
      </w:r>
    </w:p>
    <w:p w14:paraId="3262048C">
      <w:pPr>
        <w:pStyle w:val="3"/>
        <w:spacing w:line="360" w:lineRule="auto"/>
        <w:rPr>
          <w:rFonts w:hint="default" w:ascii="Times New Roman" w:hAnsi="Times New Roman" w:cs="Times New Roman"/>
          <w:color w:val="auto"/>
          <w:highlight w:val="none"/>
        </w:rPr>
      </w:pPr>
      <w:r>
        <w:rPr>
          <w:rFonts w:hint="default" w:ascii="Times New Roman" w:hAnsi="Times New Roman" w:cs="Times New Roman"/>
          <w:color w:val="auto"/>
          <w:highlight w:val="none"/>
          <w:lang w:eastAsia="zh-CN"/>
        </w:rPr>
        <w:t>（</w:t>
      </w:r>
      <w:r>
        <w:rPr>
          <w:rFonts w:hint="default" w:ascii="Times New Roman" w:hAnsi="Times New Roman" w:cs="Times New Roman"/>
          <w:color w:val="auto"/>
          <w:highlight w:val="none"/>
          <w:lang w:val="en-US" w:eastAsia="zh-CN"/>
        </w:rPr>
        <w:t>三</w:t>
      </w:r>
      <w:r>
        <w:rPr>
          <w:rFonts w:hint="default" w:ascii="Times New Roman" w:hAnsi="Times New Roman" w:cs="Times New Roman"/>
          <w:color w:val="auto"/>
          <w:highlight w:val="none"/>
          <w:lang w:eastAsia="zh-CN"/>
        </w:rPr>
        <w:t>）</w:t>
      </w:r>
      <w:r>
        <w:rPr>
          <w:rFonts w:hint="default" w:ascii="Times New Roman" w:hAnsi="Times New Roman" w:cs="Times New Roman"/>
          <w:color w:val="auto"/>
          <w:highlight w:val="none"/>
        </w:rPr>
        <w:t>督查考核</w:t>
      </w:r>
    </w:p>
    <w:p w14:paraId="3536CA62">
      <w:pPr>
        <w:keepNext w:val="0"/>
        <w:keepLines w:val="0"/>
        <w:pageBreakBefore w:val="0"/>
        <w:widowControl/>
        <w:spacing w:line="360" w:lineRule="auto"/>
        <w:ind w:left="0" w:firstLine="420"/>
        <w:outlineLvl w:val="9"/>
        <w:rPr>
          <w:rFonts w:hint="default" w:ascii="Times New Roman" w:hAnsi="Times New Roman" w:cs="Times New Roman"/>
          <w:b w:val="0"/>
          <w:bCs w:val="0"/>
          <w:color w:val="auto"/>
          <w:sz w:val="21"/>
          <w:szCs w:val="21"/>
          <w:highlight w:val="none"/>
          <w:lang w:val="en-US" w:eastAsia="zh-CN" w:bidi="ar-SA"/>
        </w:rPr>
      </w:pPr>
      <w:r>
        <w:rPr>
          <w:rFonts w:hint="default" w:ascii="Times New Roman" w:hAnsi="Times New Roman" w:cs="Times New Roman"/>
          <w:b w:val="0"/>
          <w:bCs w:val="0"/>
          <w:color w:val="auto"/>
          <w:sz w:val="21"/>
          <w:szCs w:val="21"/>
          <w:highlight w:val="none"/>
          <w:lang w:val="en-US" w:eastAsia="zh-CN" w:bidi="ar-SA"/>
        </w:rPr>
        <w:t>除了严格执行上述工作机制及内容中相关要求外,必须服从园区安全指导服务活动督导小组的督导和考核。以一年为一个考核周期，考核与招投标约定挂钩,考核实行百分制,低于90分的，每少1分，扣合同签约服务费用的2%；低于80分的，园区将终止服务合同，并不予支付剩余未付费用。</w:t>
      </w:r>
    </w:p>
    <w:p w14:paraId="1BAE7CA6">
      <w:pPr>
        <w:keepNext w:val="0"/>
        <w:keepLines w:val="0"/>
        <w:pageBreakBefore w:val="0"/>
        <w:widowControl/>
        <w:spacing w:line="360" w:lineRule="auto"/>
        <w:ind w:left="0" w:firstLine="420"/>
        <w:outlineLvl w:val="9"/>
        <w:rPr>
          <w:rFonts w:hint="default" w:ascii="Times New Roman" w:hAnsi="Times New Roman" w:cs="Times New Roman"/>
          <w:b w:val="0"/>
          <w:bCs w:val="0"/>
          <w:color w:val="auto"/>
          <w:sz w:val="21"/>
          <w:szCs w:val="21"/>
          <w:highlight w:val="none"/>
          <w:lang w:val="en-US" w:eastAsia="zh-CN" w:bidi="ar-SA"/>
        </w:rPr>
      </w:pPr>
      <w:r>
        <w:rPr>
          <w:rFonts w:hint="default" w:ascii="Times New Roman" w:hAnsi="Times New Roman" w:cs="Times New Roman"/>
          <w:b w:val="0"/>
          <w:bCs w:val="0"/>
          <w:color w:val="auto"/>
          <w:sz w:val="21"/>
          <w:szCs w:val="21"/>
          <w:highlight w:val="none"/>
          <w:lang w:val="en-US" w:eastAsia="zh-CN" w:bidi="ar-SA"/>
        </w:rPr>
        <w:t>考核实行百分制，对服务供应商考核不达标项实行扣分制，具体考核内容如下：</w:t>
      </w:r>
    </w:p>
    <w:p w14:paraId="59A37684">
      <w:pPr>
        <w:pStyle w:val="5"/>
        <w:spacing w:line="360" w:lineRule="auto"/>
        <w:rPr>
          <w:rFonts w:hint="default" w:ascii="Times New Roman" w:hAnsi="Times New Roman" w:cs="Times New Roman"/>
          <w:color w:val="auto"/>
          <w:highlight w:val="none"/>
          <w:lang w:val="en-US" w:eastAsia="zh-CN"/>
        </w:rPr>
      </w:pPr>
      <w:r>
        <w:rPr>
          <w:rFonts w:hint="default" w:ascii="Times New Roman" w:hAnsi="Times New Roman" w:cs="Times New Roman"/>
          <w:color w:val="auto"/>
          <w:highlight w:val="none"/>
          <w:lang w:val="en-US" w:eastAsia="zh-CN"/>
        </w:rPr>
        <w:t>1.安全检查</w:t>
      </w:r>
    </w:p>
    <w:p w14:paraId="6A7662C5">
      <w:pPr>
        <w:keepNext w:val="0"/>
        <w:keepLines w:val="0"/>
        <w:pageBreakBefore w:val="0"/>
        <w:widowControl/>
        <w:spacing w:line="360" w:lineRule="auto"/>
        <w:ind w:left="0" w:firstLine="420"/>
        <w:outlineLvl w:val="9"/>
        <w:rPr>
          <w:rFonts w:hint="default" w:ascii="Times New Roman" w:hAnsi="Times New Roman" w:cs="Times New Roman"/>
          <w:b w:val="0"/>
          <w:bCs w:val="0"/>
          <w:color w:val="auto"/>
          <w:sz w:val="21"/>
          <w:szCs w:val="21"/>
          <w:highlight w:val="none"/>
          <w:lang w:val="en-US" w:eastAsia="zh-CN" w:bidi="ar-SA"/>
        </w:rPr>
      </w:pPr>
      <w:r>
        <w:rPr>
          <w:rFonts w:hint="default" w:ascii="Times New Roman" w:hAnsi="Times New Roman" w:cs="Times New Roman"/>
          <w:b w:val="0"/>
          <w:bCs w:val="0"/>
          <w:color w:val="auto"/>
          <w:sz w:val="21"/>
          <w:szCs w:val="21"/>
          <w:highlight w:val="none"/>
          <w:lang w:val="en-US" w:eastAsia="zh-CN" w:bidi="ar-SA"/>
        </w:rPr>
        <w:t>1.1</w:t>
      </w:r>
      <w:r>
        <w:rPr>
          <w:rFonts w:hint="default" w:ascii="Times New Roman" w:hAnsi="Times New Roman" w:eastAsia="宋体" w:cs="Times New Roman"/>
          <w:b w:val="0"/>
          <w:bCs w:val="0"/>
          <w:color w:val="auto"/>
          <w:sz w:val="21"/>
          <w:szCs w:val="21"/>
          <w:highlight w:val="none"/>
          <w:lang w:val="en-US" w:eastAsia="zh-CN" w:bidi="ar-SA"/>
        </w:rPr>
        <w:t>对园区所有危化品、化工、医药、重点工贸企业每两个月至少开展一轮安全隐患指导服务；对园区一般工贸、其余行业领域企业每季度至少开展一轮安全隐患指导服务；对所有指导服务情况及时进行数据汇总，形成隐患数据清单，掌握所有指导服务隐患整改闭环情况</w:t>
      </w:r>
      <w:r>
        <w:rPr>
          <w:rFonts w:hint="default" w:ascii="Times New Roman" w:hAnsi="Times New Roman" w:cs="Times New Roman"/>
          <w:b w:val="0"/>
          <w:bCs w:val="0"/>
          <w:color w:val="auto"/>
          <w:sz w:val="21"/>
          <w:szCs w:val="21"/>
          <w:highlight w:val="none"/>
          <w:lang w:val="en-US" w:eastAsia="zh-CN" w:bidi="ar-SA"/>
        </w:rPr>
        <w:t>。每单位缺少一次，扣0.5分；每有一家未形成隐患数据清单，扣0.5分。</w:t>
      </w:r>
    </w:p>
    <w:p w14:paraId="132A975B">
      <w:pPr>
        <w:keepNext w:val="0"/>
        <w:keepLines w:val="0"/>
        <w:pageBreakBefore w:val="0"/>
        <w:widowControl/>
        <w:spacing w:line="360" w:lineRule="auto"/>
        <w:ind w:left="0" w:firstLine="420"/>
        <w:outlineLvl w:val="9"/>
        <w:rPr>
          <w:rFonts w:hint="default" w:ascii="Times New Roman" w:hAnsi="Times New Roman" w:cs="Times New Roman"/>
          <w:b w:val="0"/>
          <w:bCs w:val="0"/>
          <w:color w:val="auto"/>
          <w:sz w:val="21"/>
          <w:szCs w:val="21"/>
          <w:highlight w:val="none"/>
          <w:lang w:val="en-US" w:eastAsia="zh-CN" w:bidi="ar-SA"/>
        </w:rPr>
      </w:pPr>
      <w:r>
        <w:rPr>
          <w:rFonts w:hint="default" w:ascii="Times New Roman" w:hAnsi="Times New Roman" w:cs="Times New Roman"/>
          <w:b w:val="0"/>
          <w:bCs w:val="0"/>
          <w:color w:val="auto"/>
          <w:sz w:val="21"/>
          <w:szCs w:val="21"/>
          <w:highlight w:val="none"/>
          <w:lang w:val="en-US" w:eastAsia="zh-CN" w:bidi="ar-SA"/>
        </w:rPr>
        <w:t>1.2检查未编制检查表，或未制定检查计划；检查程序不符合要求的；检查中发现的隐患，未留下影像资料；未对每个检查与复查出具相关工作报告的。每出现一例，扣0.5分。</w:t>
      </w:r>
    </w:p>
    <w:p w14:paraId="7E940E18">
      <w:pPr>
        <w:keepNext w:val="0"/>
        <w:keepLines w:val="0"/>
        <w:pageBreakBefore w:val="0"/>
        <w:widowControl/>
        <w:spacing w:line="360" w:lineRule="auto"/>
        <w:ind w:left="0" w:firstLine="420"/>
        <w:outlineLvl w:val="9"/>
        <w:rPr>
          <w:rFonts w:hint="default" w:ascii="Times New Roman" w:hAnsi="Times New Roman" w:cs="Times New Roman"/>
          <w:b w:val="0"/>
          <w:bCs w:val="0"/>
          <w:color w:val="auto"/>
          <w:sz w:val="21"/>
          <w:szCs w:val="21"/>
          <w:highlight w:val="none"/>
          <w:lang w:val="en-US" w:eastAsia="zh-CN" w:bidi="ar-SA"/>
        </w:rPr>
      </w:pPr>
      <w:r>
        <w:rPr>
          <w:rFonts w:hint="default" w:ascii="Times New Roman" w:hAnsi="Times New Roman" w:cs="Times New Roman"/>
          <w:b w:val="0"/>
          <w:bCs w:val="0"/>
          <w:color w:val="auto"/>
          <w:sz w:val="21"/>
          <w:szCs w:val="21"/>
          <w:highlight w:val="none"/>
          <w:lang w:val="en-US" w:eastAsia="zh-CN" w:bidi="ar-SA"/>
        </w:rPr>
        <w:t>1.3</w:t>
      </w:r>
      <w:r>
        <w:rPr>
          <w:rFonts w:hint="default" w:ascii="Times New Roman" w:hAnsi="Times New Roman" w:eastAsia="宋体" w:cs="Times New Roman"/>
          <w:b w:val="0"/>
          <w:bCs w:val="0"/>
          <w:color w:val="auto"/>
          <w:sz w:val="21"/>
          <w:szCs w:val="21"/>
          <w:highlight w:val="none"/>
          <w:lang w:val="en-US" w:eastAsia="zh-CN" w:bidi="ar-SA"/>
        </w:rPr>
        <w:t>每年度周期内，</w:t>
      </w:r>
      <w:r>
        <w:rPr>
          <w:rFonts w:hint="default" w:ascii="Times New Roman" w:hAnsi="Times New Roman" w:cs="Times New Roman"/>
          <w:b w:val="0"/>
          <w:bCs w:val="0"/>
          <w:color w:val="auto"/>
          <w:sz w:val="21"/>
          <w:szCs w:val="21"/>
          <w:highlight w:val="none"/>
          <w:lang w:val="en-US" w:eastAsia="zh-CN" w:bidi="ar-SA"/>
        </w:rPr>
        <w:t>未</w:t>
      </w:r>
      <w:r>
        <w:rPr>
          <w:rFonts w:hint="default" w:ascii="Times New Roman" w:hAnsi="Times New Roman" w:eastAsia="宋体" w:cs="Times New Roman"/>
          <w:b w:val="0"/>
          <w:bCs w:val="0"/>
          <w:color w:val="auto"/>
          <w:sz w:val="21"/>
          <w:szCs w:val="21"/>
          <w:highlight w:val="none"/>
          <w:lang w:val="en-US" w:eastAsia="zh-CN" w:bidi="ar-SA"/>
        </w:rPr>
        <w:t>邀请不少于三名省级或以上专家对所有危化品(化工)和不少于5家重点工贸企业开展深度</w:t>
      </w:r>
      <w:r>
        <w:rPr>
          <w:rFonts w:hint="default" w:ascii="Times New Roman" w:hAnsi="Times New Roman" w:cs="Times New Roman"/>
          <w:b w:val="0"/>
          <w:bCs w:val="0"/>
          <w:color w:val="auto"/>
          <w:sz w:val="21"/>
          <w:szCs w:val="21"/>
          <w:highlight w:val="none"/>
          <w:lang w:val="en-US" w:eastAsia="zh-CN" w:bidi="ar-SA"/>
        </w:rPr>
        <w:t>安全</w:t>
      </w:r>
      <w:r>
        <w:rPr>
          <w:rFonts w:hint="default" w:ascii="Times New Roman" w:hAnsi="Times New Roman" w:eastAsia="宋体" w:cs="Times New Roman"/>
          <w:b w:val="0"/>
          <w:bCs w:val="0"/>
          <w:color w:val="auto"/>
          <w:sz w:val="21"/>
          <w:szCs w:val="21"/>
          <w:highlight w:val="none"/>
          <w:lang w:val="en-US" w:eastAsia="zh-CN" w:bidi="ar-SA"/>
        </w:rPr>
        <w:t>指导服务</w:t>
      </w:r>
      <w:r>
        <w:rPr>
          <w:rFonts w:hint="default" w:ascii="Times New Roman" w:hAnsi="Times New Roman" w:cs="Times New Roman"/>
          <w:b w:val="0"/>
          <w:bCs w:val="0"/>
          <w:color w:val="auto"/>
          <w:sz w:val="21"/>
          <w:szCs w:val="21"/>
          <w:highlight w:val="none"/>
          <w:lang w:val="en-US" w:eastAsia="zh-CN" w:bidi="ar-SA"/>
        </w:rPr>
        <w:t>的，每少1家扣1分。</w:t>
      </w:r>
    </w:p>
    <w:p w14:paraId="771338BA">
      <w:pPr>
        <w:keepNext w:val="0"/>
        <w:keepLines w:val="0"/>
        <w:pageBreakBefore w:val="0"/>
        <w:widowControl/>
        <w:spacing w:line="360" w:lineRule="auto"/>
        <w:ind w:left="0" w:firstLine="420"/>
        <w:outlineLvl w:val="9"/>
        <w:rPr>
          <w:rFonts w:hint="default" w:ascii="Times New Roman" w:hAnsi="Times New Roman" w:cs="Times New Roman"/>
          <w:b w:val="0"/>
          <w:bCs w:val="0"/>
          <w:color w:val="auto"/>
          <w:sz w:val="21"/>
          <w:szCs w:val="21"/>
          <w:highlight w:val="none"/>
          <w:lang w:val="en-US" w:eastAsia="zh-CN" w:bidi="ar-SA"/>
        </w:rPr>
      </w:pPr>
      <w:r>
        <w:rPr>
          <w:rFonts w:hint="default" w:ascii="Times New Roman" w:hAnsi="Times New Roman" w:cs="Times New Roman"/>
          <w:b w:val="0"/>
          <w:bCs w:val="0"/>
          <w:color w:val="auto"/>
          <w:sz w:val="21"/>
          <w:szCs w:val="21"/>
          <w:highlight w:val="none"/>
          <w:lang w:val="en-US" w:eastAsia="zh-CN" w:bidi="ar-SA"/>
        </w:rPr>
        <w:t>每季度未分别对不少于2家企业开展一次“一企一策”深度指导服务，每少一家扣1分。</w:t>
      </w:r>
    </w:p>
    <w:p w14:paraId="0E7CA29F">
      <w:pPr>
        <w:pStyle w:val="5"/>
        <w:spacing w:line="360" w:lineRule="auto"/>
        <w:rPr>
          <w:rFonts w:hint="default" w:ascii="Times New Roman" w:hAnsi="Times New Roman" w:cs="Times New Roman"/>
          <w:color w:val="auto"/>
          <w:highlight w:val="none"/>
          <w:lang w:val="en-US" w:eastAsia="zh-CN"/>
        </w:rPr>
      </w:pPr>
      <w:r>
        <w:rPr>
          <w:rFonts w:hint="default" w:ascii="Times New Roman" w:hAnsi="Times New Roman" w:cs="Times New Roman"/>
          <w:color w:val="auto"/>
          <w:highlight w:val="none"/>
          <w:lang w:val="en-US" w:eastAsia="zh-CN"/>
        </w:rPr>
        <w:t>1.4未按照园区制定的指导服务计划或专项检查指导要求，开展企业指导服务，每</w:t>
      </w:r>
    </w:p>
    <w:p w14:paraId="0D3CAAAC">
      <w:pPr>
        <w:pStyle w:val="5"/>
        <w:spacing w:line="360" w:lineRule="auto"/>
        <w:ind w:left="0" w:firstLine="0"/>
        <w:rPr>
          <w:rFonts w:hint="default" w:ascii="Times New Roman" w:hAnsi="Times New Roman" w:cs="Times New Roman"/>
          <w:color w:val="auto"/>
          <w:highlight w:val="none"/>
          <w:lang w:val="en-US" w:eastAsia="zh-CN"/>
        </w:rPr>
      </w:pPr>
      <w:r>
        <w:rPr>
          <w:rFonts w:hint="default" w:ascii="Times New Roman" w:hAnsi="Times New Roman" w:cs="Times New Roman"/>
          <w:color w:val="auto"/>
          <w:highlight w:val="none"/>
          <w:lang w:val="en-US" w:eastAsia="zh-CN"/>
        </w:rPr>
        <w:t>缺少一次扣0.5分。</w:t>
      </w:r>
    </w:p>
    <w:p w14:paraId="365152F3">
      <w:pPr>
        <w:pStyle w:val="5"/>
        <w:spacing w:line="360" w:lineRule="auto"/>
        <w:rPr>
          <w:rFonts w:hint="default" w:ascii="Times New Roman" w:hAnsi="Times New Roman" w:cs="Times New Roman"/>
          <w:color w:val="auto"/>
          <w:highlight w:val="none"/>
          <w:lang w:val="en-US" w:eastAsia="zh-CN"/>
        </w:rPr>
      </w:pPr>
      <w:r>
        <w:rPr>
          <w:rFonts w:hint="default" w:ascii="Times New Roman" w:hAnsi="Times New Roman" w:cs="Times New Roman"/>
          <w:color w:val="auto"/>
          <w:highlight w:val="none"/>
          <w:lang w:val="en-US" w:eastAsia="zh-CN"/>
        </w:rPr>
        <w:t>2.企业提升</w:t>
      </w:r>
    </w:p>
    <w:p w14:paraId="252BFA6D">
      <w:pPr>
        <w:keepNext w:val="0"/>
        <w:keepLines w:val="0"/>
        <w:pageBreakBefore w:val="0"/>
        <w:widowControl/>
        <w:spacing w:line="360" w:lineRule="auto"/>
        <w:ind w:left="0" w:firstLine="420"/>
        <w:outlineLvl w:val="9"/>
        <w:rPr>
          <w:rFonts w:hint="default" w:ascii="Times New Roman" w:hAnsi="Times New Roman" w:cs="Times New Roman"/>
          <w:b w:val="0"/>
          <w:bCs w:val="0"/>
          <w:color w:val="auto"/>
          <w:sz w:val="21"/>
          <w:szCs w:val="21"/>
          <w:highlight w:val="none"/>
          <w:lang w:val="en-US" w:eastAsia="zh-CN" w:bidi="ar-SA"/>
        </w:rPr>
      </w:pPr>
      <w:r>
        <w:rPr>
          <w:rFonts w:hint="default" w:ascii="Times New Roman" w:hAnsi="Times New Roman" w:cs="Times New Roman"/>
          <w:b w:val="0"/>
          <w:bCs w:val="0"/>
          <w:color w:val="auto"/>
          <w:sz w:val="21"/>
          <w:szCs w:val="21"/>
          <w:highlight w:val="none"/>
          <w:lang w:val="en-US" w:eastAsia="zh-CN" w:bidi="ar-SA"/>
        </w:rPr>
        <w:t>2.1未为园区企业开展双重预防机制建设、安全标准化体系创建进行验收指导的。每出现一例，扣0.5分。</w:t>
      </w:r>
    </w:p>
    <w:p w14:paraId="097A51EB">
      <w:pPr>
        <w:keepNext w:val="0"/>
        <w:keepLines w:val="0"/>
        <w:pageBreakBefore w:val="0"/>
        <w:widowControl/>
        <w:spacing w:line="360" w:lineRule="auto"/>
        <w:ind w:left="0" w:firstLine="420"/>
        <w:outlineLvl w:val="9"/>
        <w:rPr>
          <w:rFonts w:hint="default" w:ascii="Times New Roman" w:hAnsi="Times New Roman" w:cs="Times New Roman"/>
          <w:b w:val="0"/>
          <w:bCs w:val="0"/>
          <w:color w:val="auto"/>
          <w:sz w:val="21"/>
          <w:szCs w:val="21"/>
          <w:highlight w:val="none"/>
          <w:lang w:val="en-US" w:eastAsia="zh-CN" w:bidi="ar-SA"/>
        </w:rPr>
      </w:pPr>
      <w:r>
        <w:rPr>
          <w:rFonts w:hint="default" w:ascii="Times New Roman" w:hAnsi="Times New Roman" w:cs="Times New Roman"/>
          <w:b w:val="0"/>
          <w:bCs w:val="0"/>
          <w:color w:val="auto"/>
          <w:sz w:val="21"/>
          <w:szCs w:val="21"/>
          <w:highlight w:val="none"/>
          <w:lang w:val="en-US" w:eastAsia="zh-CN" w:bidi="ar-SA"/>
        </w:rPr>
        <w:t>2.2未及时为园区编制年度企业类安全生产宣传培训方案的，扣0.5分。</w:t>
      </w:r>
    </w:p>
    <w:p w14:paraId="181744FD">
      <w:pPr>
        <w:keepNext w:val="0"/>
        <w:keepLines w:val="0"/>
        <w:pageBreakBefore w:val="0"/>
        <w:widowControl/>
        <w:spacing w:line="360" w:lineRule="auto"/>
        <w:ind w:left="0" w:firstLine="420"/>
        <w:outlineLvl w:val="9"/>
        <w:rPr>
          <w:rFonts w:hint="default" w:ascii="Times New Roman" w:hAnsi="Times New Roman" w:cs="Times New Roman"/>
          <w:b w:val="0"/>
          <w:bCs w:val="0"/>
          <w:color w:val="auto"/>
          <w:sz w:val="21"/>
          <w:szCs w:val="21"/>
          <w:highlight w:val="none"/>
          <w:lang w:val="en-US" w:eastAsia="zh-CN" w:bidi="ar-SA"/>
        </w:rPr>
      </w:pPr>
      <w:r>
        <w:rPr>
          <w:rFonts w:hint="default" w:ascii="Times New Roman" w:hAnsi="Times New Roman" w:cs="Times New Roman"/>
          <w:b w:val="0"/>
          <w:bCs w:val="0"/>
          <w:color w:val="auto"/>
          <w:sz w:val="21"/>
          <w:szCs w:val="21"/>
          <w:highlight w:val="none"/>
          <w:lang w:val="en-US" w:eastAsia="zh-CN" w:bidi="ar-SA"/>
        </w:rPr>
        <w:t>2.3每年需协助园区组织企业安全专项培训工作不少于6次，每单位缺少一次，扣0.5分。</w:t>
      </w:r>
    </w:p>
    <w:p w14:paraId="74EE09C9">
      <w:pPr>
        <w:keepNext w:val="0"/>
        <w:keepLines w:val="0"/>
        <w:pageBreakBefore w:val="0"/>
        <w:widowControl/>
        <w:spacing w:line="360" w:lineRule="auto"/>
        <w:ind w:left="0" w:firstLine="420"/>
        <w:outlineLvl w:val="9"/>
        <w:rPr>
          <w:rFonts w:hint="default" w:ascii="Times New Roman" w:hAnsi="Times New Roman" w:cs="Times New Roman"/>
          <w:b w:val="0"/>
          <w:bCs w:val="0"/>
          <w:color w:val="auto"/>
          <w:sz w:val="21"/>
          <w:szCs w:val="21"/>
          <w:highlight w:val="none"/>
          <w:lang w:val="en-US" w:eastAsia="zh-CN" w:bidi="ar-SA"/>
        </w:rPr>
      </w:pPr>
      <w:r>
        <w:rPr>
          <w:rFonts w:hint="default" w:ascii="Times New Roman" w:hAnsi="Times New Roman" w:cs="Times New Roman"/>
          <w:b w:val="0"/>
          <w:bCs w:val="0"/>
          <w:color w:val="auto"/>
          <w:sz w:val="21"/>
          <w:szCs w:val="21"/>
          <w:highlight w:val="none"/>
          <w:lang w:val="en-US" w:eastAsia="zh-CN" w:bidi="ar-SA"/>
        </w:rPr>
        <w:t>2.4每年度需组织指导开展不少于1次综合性应急演练，每季度轮流对危化品(化工)、重点工贸企业、社会面小场所、其余行业领域等网格开展1次“双盲演练”；每单位缺少一次，扣1分。</w:t>
      </w:r>
    </w:p>
    <w:p w14:paraId="467E5976">
      <w:pPr>
        <w:pStyle w:val="5"/>
        <w:spacing w:line="360" w:lineRule="auto"/>
        <w:rPr>
          <w:rFonts w:hint="default" w:ascii="Times New Roman" w:hAnsi="Times New Roman" w:cs="Times New Roman"/>
          <w:color w:val="auto"/>
          <w:highlight w:val="none"/>
          <w:lang w:val="en-US" w:eastAsia="zh-CN"/>
        </w:rPr>
      </w:pPr>
      <w:r>
        <w:rPr>
          <w:rFonts w:hint="default" w:ascii="Times New Roman" w:hAnsi="Times New Roman" w:cs="Times New Roman"/>
          <w:color w:val="auto"/>
          <w:highlight w:val="none"/>
          <w:lang w:val="en-US" w:eastAsia="zh-CN"/>
        </w:rPr>
        <w:t>3.园区提升</w:t>
      </w:r>
    </w:p>
    <w:p w14:paraId="27B14813">
      <w:pPr>
        <w:keepNext w:val="0"/>
        <w:keepLines w:val="0"/>
        <w:pageBreakBefore w:val="0"/>
        <w:widowControl/>
        <w:spacing w:line="360" w:lineRule="auto"/>
        <w:ind w:left="0" w:firstLine="420"/>
        <w:outlineLvl w:val="9"/>
        <w:rPr>
          <w:rFonts w:hint="default" w:ascii="Times New Roman" w:hAnsi="Times New Roman" w:cs="Times New Roman"/>
          <w:b w:val="0"/>
          <w:bCs w:val="0"/>
          <w:color w:val="auto"/>
          <w:sz w:val="21"/>
          <w:szCs w:val="21"/>
          <w:highlight w:val="none"/>
          <w:lang w:val="en-US" w:eastAsia="zh-CN" w:bidi="ar-SA"/>
        </w:rPr>
      </w:pPr>
      <w:r>
        <w:rPr>
          <w:rFonts w:hint="default" w:ascii="Times New Roman" w:hAnsi="Times New Roman" w:cs="Times New Roman"/>
          <w:b w:val="0"/>
          <w:bCs w:val="0"/>
          <w:color w:val="auto"/>
          <w:sz w:val="21"/>
          <w:szCs w:val="21"/>
          <w:highlight w:val="none"/>
          <w:lang w:val="en-US" w:eastAsia="zh-CN" w:bidi="ar-SA"/>
        </w:rPr>
        <w:t>3.1未根据需求对园区管理机构安全监管人员、网格员开展技能培训的，扣0.5分。</w:t>
      </w:r>
    </w:p>
    <w:p w14:paraId="26446C7C">
      <w:pPr>
        <w:keepNext w:val="0"/>
        <w:keepLines w:val="0"/>
        <w:pageBreakBefore w:val="0"/>
        <w:widowControl/>
        <w:spacing w:line="360" w:lineRule="auto"/>
        <w:ind w:left="0" w:firstLine="420"/>
        <w:outlineLvl w:val="9"/>
        <w:rPr>
          <w:rFonts w:hint="default" w:ascii="Times New Roman" w:hAnsi="Times New Roman" w:cs="Times New Roman"/>
          <w:b w:val="0"/>
          <w:bCs w:val="0"/>
          <w:color w:val="auto"/>
          <w:sz w:val="21"/>
          <w:szCs w:val="21"/>
          <w:highlight w:val="none"/>
          <w:lang w:val="en-US" w:eastAsia="zh-CN" w:bidi="ar-SA"/>
        </w:rPr>
      </w:pPr>
      <w:r>
        <w:rPr>
          <w:rFonts w:hint="default" w:ascii="Times New Roman" w:hAnsi="Times New Roman" w:cs="Times New Roman"/>
          <w:b w:val="0"/>
          <w:bCs w:val="0"/>
          <w:color w:val="auto"/>
          <w:sz w:val="21"/>
          <w:szCs w:val="21"/>
          <w:highlight w:val="none"/>
          <w:lang w:val="en-US" w:eastAsia="zh-CN" w:bidi="ar-SA"/>
        </w:rPr>
        <w:t>3.2每季度未能为园区提供上季度安全工作总结和下季度风险研判报告的，每出现一例，扣1分。每年年底未向园区提供安全总结报告的。每出现一例，扣2分。</w:t>
      </w:r>
    </w:p>
    <w:p w14:paraId="688315D3">
      <w:pPr>
        <w:keepNext w:val="0"/>
        <w:keepLines w:val="0"/>
        <w:pageBreakBefore w:val="0"/>
        <w:widowControl/>
        <w:spacing w:line="360" w:lineRule="auto"/>
        <w:ind w:left="0" w:firstLine="420"/>
        <w:outlineLvl w:val="9"/>
        <w:rPr>
          <w:rFonts w:hint="default" w:ascii="Times New Roman" w:hAnsi="Times New Roman" w:cs="Times New Roman"/>
          <w:b w:val="0"/>
          <w:bCs w:val="0"/>
          <w:color w:val="auto"/>
          <w:sz w:val="21"/>
          <w:szCs w:val="21"/>
          <w:highlight w:val="none"/>
          <w:lang w:val="en-US" w:eastAsia="zh-CN" w:bidi="ar-SA"/>
        </w:rPr>
      </w:pPr>
      <w:r>
        <w:rPr>
          <w:rFonts w:hint="default" w:ascii="Times New Roman" w:hAnsi="Times New Roman" w:cs="Times New Roman"/>
          <w:b w:val="0"/>
          <w:bCs w:val="0"/>
          <w:color w:val="auto"/>
          <w:sz w:val="21"/>
          <w:szCs w:val="21"/>
          <w:highlight w:val="none"/>
          <w:lang w:val="en-US" w:eastAsia="zh-CN" w:bidi="ar-SA"/>
        </w:rPr>
        <w:t>3.3重要节假日、重要活动期间及重点时段，对辖区内企业开展安全生产飞行检查，根据需要对危化品（化工）企业实行24小时驻厂监督。每未落实一次，扣1分。</w:t>
      </w:r>
    </w:p>
    <w:p w14:paraId="224C97A4">
      <w:pPr>
        <w:keepNext w:val="0"/>
        <w:keepLines w:val="0"/>
        <w:pageBreakBefore w:val="0"/>
        <w:widowControl/>
        <w:spacing w:line="360" w:lineRule="auto"/>
        <w:ind w:left="0" w:firstLine="420"/>
        <w:outlineLvl w:val="9"/>
        <w:rPr>
          <w:rFonts w:hint="default" w:ascii="Times New Roman" w:hAnsi="Times New Roman" w:cs="Times New Roman"/>
          <w:b w:val="0"/>
          <w:bCs w:val="0"/>
          <w:color w:val="auto"/>
          <w:sz w:val="21"/>
          <w:szCs w:val="21"/>
          <w:highlight w:val="none"/>
          <w:lang w:val="en-US" w:eastAsia="zh-CN" w:bidi="ar-SA"/>
        </w:rPr>
      </w:pPr>
      <w:r>
        <w:rPr>
          <w:rFonts w:hint="default" w:ascii="Times New Roman" w:hAnsi="Times New Roman" w:cs="Times New Roman"/>
          <w:b w:val="0"/>
          <w:bCs w:val="0"/>
          <w:color w:val="auto"/>
          <w:sz w:val="21"/>
          <w:szCs w:val="21"/>
          <w:highlight w:val="none"/>
          <w:lang w:val="en-US" w:eastAsia="zh-CN" w:bidi="ar-SA"/>
        </w:rPr>
        <w:t>3.4按照园区管理需要，未提供专项指导服务、特殊作业复核、事故调查、装置设施拆卸方案审查、开停车方案审查、重点企业“新、改、扩”建项目安全设施设计审查和安全设施竣工验收审查等技术咨询服务的。每出现一例，扣2分。</w:t>
      </w:r>
    </w:p>
    <w:p w14:paraId="51D537DE">
      <w:pPr>
        <w:pStyle w:val="5"/>
        <w:spacing w:line="360" w:lineRule="auto"/>
        <w:rPr>
          <w:rFonts w:hint="default" w:ascii="Times New Roman" w:hAnsi="Times New Roman" w:cs="Times New Roman"/>
          <w:color w:val="auto"/>
          <w:highlight w:val="none"/>
        </w:rPr>
      </w:pPr>
      <w:r>
        <w:rPr>
          <w:rFonts w:hint="default" w:ascii="Times New Roman" w:hAnsi="Times New Roman" w:cs="Times New Roman"/>
          <w:color w:val="auto"/>
          <w:highlight w:val="none"/>
        </w:rPr>
        <w:t>4.其他管理：</w:t>
      </w:r>
    </w:p>
    <w:p w14:paraId="214F9A53">
      <w:pPr>
        <w:pStyle w:val="206"/>
        <w:keepNext w:val="0"/>
        <w:keepLines w:val="0"/>
        <w:pageBreakBefore w:val="0"/>
        <w:widowControl w:val="0"/>
        <w:tabs>
          <w:tab w:val="left" w:pos="1602"/>
        </w:tabs>
        <w:spacing w:line="360" w:lineRule="auto"/>
        <w:ind w:firstLine="420"/>
        <w:rPr>
          <w:rFonts w:hint="default" w:ascii="Times New Roman" w:hAnsi="Times New Roman" w:eastAsia="宋体" w:cs="Times New Roman"/>
          <w:b w:val="0"/>
          <w:bCs w:val="0"/>
          <w:color w:val="auto"/>
          <w:sz w:val="21"/>
          <w:szCs w:val="21"/>
          <w:highlight w:val="none"/>
          <w:lang w:val="en-US" w:eastAsia="zh-CN" w:bidi="ar-SA"/>
        </w:rPr>
      </w:pPr>
      <w:r>
        <w:rPr>
          <w:rFonts w:hint="default" w:ascii="Times New Roman" w:hAnsi="Times New Roman" w:eastAsia="宋体" w:cs="Times New Roman"/>
          <w:b w:val="0"/>
          <w:bCs w:val="0"/>
          <w:color w:val="auto"/>
          <w:sz w:val="21"/>
          <w:szCs w:val="21"/>
          <w:highlight w:val="none"/>
          <w:lang w:val="en-US" w:eastAsia="zh-CN" w:bidi="ar-SA"/>
        </w:rPr>
        <w:t>4.1坐班专家与园区正常作息时间一致，如有人员遇特殊情况，须提前一个工作日向园区主管部门请假。凡未提前说明情况，擅自脱岗，有1人次，扣0.5分。</w:t>
      </w:r>
    </w:p>
    <w:p w14:paraId="4DCD9538">
      <w:pPr>
        <w:pStyle w:val="206"/>
        <w:keepNext w:val="0"/>
        <w:keepLines w:val="0"/>
        <w:pageBreakBefore w:val="0"/>
        <w:widowControl w:val="0"/>
        <w:tabs>
          <w:tab w:val="left" w:pos="1723"/>
        </w:tabs>
        <w:spacing w:line="360" w:lineRule="auto"/>
        <w:ind w:firstLine="420"/>
        <w:rPr>
          <w:rFonts w:hint="default" w:ascii="Times New Roman" w:hAnsi="Times New Roman" w:eastAsia="宋体" w:cs="Times New Roman"/>
          <w:b w:val="0"/>
          <w:bCs w:val="0"/>
          <w:color w:val="auto"/>
          <w:sz w:val="21"/>
          <w:szCs w:val="21"/>
          <w:highlight w:val="none"/>
          <w:lang w:val="en-US" w:eastAsia="zh-CN" w:bidi="ar-SA"/>
        </w:rPr>
      </w:pPr>
      <w:r>
        <w:rPr>
          <w:rFonts w:hint="default" w:ascii="Times New Roman" w:hAnsi="Times New Roman" w:eastAsia="宋体" w:cs="Times New Roman"/>
          <w:b w:val="0"/>
          <w:bCs w:val="0"/>
          <w:color w:val="auto"/>
          <w:sz w:val="21"/>
          <w:szCs w:val="21"/>
          <w:highlight w:val="none"/>
          <w:lang w:val="en-US" w:eastAsia="zh-CN" w:bidi="ar-SA"/>
        </w:rPr>
        <w:t>4.2专家组成员未经园区书面同意不得随意中途更换，若出现随意更换情况，有1人次，扣2分。</w:t>
      </w:r>
    </w:p>
    <w:p w14:paraId="1ED7E21A">
      <w:pPr>
        <w:pStyle w:val="206"/>
        <w:keepNext w:val="0"/>
        <w:keepLines w:val="0"/>
        <w:pageBreakBefore w:val="0"/>
        <w:widowControl w:val="0"/>
        <w:tabs>
          <w:tab w:val="left" w:pos="1723"/>
        </w:tabs>
        <w:spacing w:line="360" w:lineRule="auto"/>
        <w:ind w:firstLine="420"/>
        <w:rPr>
          <w:rFonts w:hint="default" w:ascii="Times New Roman" w:hAnsi="Times New Roman" w:eastAsia="宋体" w:cs="Times New Roman"/>
          <w:b w:val="0"/>
          <w:bCs w:val="0"/>
          <w:color w:val="auto"/>
          <w:sz w:val="21"/>
          <w:szCs w:val="21"/>
          <w:highlight w:val="none"/>
          <w:lang w:val="en-US" w:eastAsia="zh-CN" w:bidi="ar-SA"/>
        </w:rPr>
      </w:pPr>
      <w:r>
        <w:rPr>
          <w:rFonts w:hint="default" w:ascii="Times New Roman" w:hAnsi="Times New Roman" w:eastAsia="宋体" w:cs="Times New Roman"/>
          <w:b w:val="0"/>
          <w:bCs w:val="0"/>
          <w:color w:val="auto"/>
          <w:sz w:val="21"/>
          <w:szCs w:val="21"/>
          <w:highlight w:val="none"/>
          <w:lang w:val="en-US" w:eastAsia="zh-CN" w:bidi="ar-SA"/>
        </w:rPr>
        <w:t>4.3专家组在对企业开展的检查及复查过程中，有出具虚假报告的；或者对发现隐患隐瞒不报的情况；或者专家组在对企业开展检查、培训等服务的过程中，出现收受企业礼品的情况；上述情况经核查属实，有1次，扣</w:t>
      </w:r>
      <w:r>
        <w:rPr>
          <w:rFonts w:hint="default" w:ascii="Times New Roman" w:hAnsi="Times New Roman" w:cs="Times New Roman"/>
          <w:b w:val="0"/>
          <w:bCs w:val="0"/>
          <w:color w:val="auto"/>
          <w:sz w:val="21"/>
          <w:szCs w:val="21"/>
          <w:highlight w:val="none"/>
          <w:lang w:val="en-US" w:eastAsia="zh-CN" w:bidi="ar-SA"/>
        </w:rPr>
        <w:t>3</w:t>
      </w:r>
      <w:r>
        <w:rPr>
          <w:rFonts w:hint="default" w:ascii="Times New Roman" w:hAnsi="Times New Roman" w:eastAsia="宋体" w:cs="Times New Roman"/>
          <w:b w:val="0"/>
          <w:bCs w:val="0"/>
          <w:color w:val="auto"/>
          <w:sz w:val="21"/>
          <w:szCs w:val="21"/>
          <w:highlight w:val="none"/>
          <w:lang w:val="en-US" w:eastAsia="zh-CN" w:bidi="ar-SA"/>
        </w:rPr>
        <w:t>分。</w:t>
      </w:r>
    </w:p>
    <w:p w14:paraId="3050E448">
      <w:pPr>
        <w:pStyle w:val="206"/>
        <w:keepNext w:val="0"/>
        <w:keepLines w:val="0"/>
        <w:pageBreakBefore w:val="0"/>
        <w:widowControl w:val="0"/>
        <w:tabs>
          <w:tab w:val="left" w:pos="1723"/>
        </w:tabs>
        <w:spacing w:line="360" w:lineRule="auto"/>
        <w:ind w:firstLine="420"/>
        <w:rPr>
          <w:rFonts w:hint="default" w:ascii="Times New Roman" w:hAnsi="Times New Roman" w:eastAsia="宋体" w:cs="Times New Roman"/>
          <w:b w:val="0"/>
          <w:bCs w:val="0"/>
          <w:color w:val="auto"/>
          <w:sz w:val="21"/>
          <w:szCs w:val="21"/>
          <w:highlight w:val="none"/>
          <w:lang w:val="en-US" w:eastAsia="zh-CN" w:bidi="ar-SA"/>
        </w:rPr>
      </w:pPr>
      <w:r>
        <w:rPr>
          <w:rFonts w:hint="default" w:ascii="Times New Roman" w:hAnsi="Times New Roman" w:eastAsia="宋体" w:cs="Times New Roman"/>
          <w:b w:val="0"/>
          <w:bCs w:val="0"/>
          <w:color w:val="auto"/>
          <w:sz w:val="21"/>
          <w:szCs w:val="21"/>
          <w:highlight w:val="none"/>
          <w:lang w:val="en-US" w:eastAsia="zh-CN" w:bidi="ar-SA"/>
        </w:rPr>
        <w:t>4.4考核周期内，若园区企业发生生产安全事故，经事故调查组事故调查报告认定的事故原因涉及中标单位人员工作失责（隐患排查不及时不彻底、风险辨识不全面的，不包括企业单方人为因素、不可抗力因素等导致的安全事故）。每发生一起一般生产安全事故，扣3分；发生一起较大生产安全事故，扣</w:t>
      </w:r>
      <w:r>
        <w:rPr>
          <w:rFonts w:hint="default" w:ascii="Times New Roman" w:hAnsi="Times New Roman" w:cs="Times New Roman"/>
          <w:b w:val="0"/>
          <w:bCs w:val="0"/>
          <w:color w:val="auto"/>
          <w:sz w:val="21"/>
          <w:szCs w:val="21"/>
          <w:highlight w:val="none"/>
          <w:lang w:val="en-US" w:eastAsia="zh-CN" w:bidi="ar-SA"/>
        </w:rPr>
        <w:t>12</w:t>
      </w:r>
      <w:r>
        <w:rPr>
          <w:rFonts w:hint="default" w:ascii="Times New Roman" w:hAnsi="Times New Roman" w:eastAsia="宋体" w:cs="Times New Roman"/>
          <w:b w:val="0"/>
          <w:bCs w:val="0"/>
          <w:color w:val="auto"/>
          <w:sz w:val="21"/>
          <w:szCs w:val="21"/>
          <w:highlight w:val="none"/>
          <w:lang w:val="en-US" w:eastAsia="zh-CN" w:bidi="ar-SA"/>
        </w:rPr>
        <w:t>分。</w:t>
      </w:r>
    </w:p>
    <w:p w14:paraId="1A2638EB">
      <w:pPr>
        <w:pStyle w:val="3"/>
        <w:spacing w:line="360" w:lineRule="auto"/>
        <w:rPr>
          <w:rFonts w:hint="default" w:ascii="Times New Roman" w:hAnsi="Times New Roman" w:cs="Times New Roman"/>
          <w:color w:val="auto"/>
          <w:highlight w:val="none"/>
        </w:rPr>
      </w:pPr>
      <w:r>
        <w:rPr>
          <w:rFonts w:hint="default" w:ascii="Times New Roman" w:hAnsi="Times New Roman" w:cs="Times New Roman"/>
          <w:color w:val="auto"/>
          <w:highlight w:val="none"/>
          <w:lang w:eastAsia="zh-CN"/>
        </w:rPr>
        <w:t>（</w:t>
      </w:r>
      <w:r>
        <w:rPr>
          <w:rFonts w:hint="default" w:ascii="Times New Roman" w:hAnsi="Times New Roman" w:cs="Times New Roman"/>
          <w:color w:val="auto"/>
          <w:highlight w:val="none"/>
          <w:lang w:val="en-US" w:eastAsia="zh-CN"/>
        </w:rPr>
        <w:t>四</w:t>
      </w:r>
      <w:r>
        <w:rPr>
          <w:rFonts w:hint="default" w:ascii="Times New Roman" w:hAnsi="Times New Roman" w:cs="Times New Roman"/>
          <w:color w:val="auto"/>
          <w:highlight w:val="none"/>
          <w:lang w:eastAsia="zh-CN"/>
        </w:rPr>
        <w:t>）</w:t>
      </w:r>
      <w:r>
        <w:rPr>
          <w:rFonts w:hint="default" w:ascii="Times New Roman" w:hAnsi="Times New Roman" w:cs="Times New Roman"/>
          <w:color w:val="auto"/>
          <w:highlight w:val="none"/>
        </w:rPr>
        <w:t>综合说明其他要求:</w:t>
      </w:r>
    </w:p>
    <w:p w14:paraId="61FE0553">
      <w:pPr>
        <w:pStyle w:val="206"/>
        <w:keepNext w:val="0"/>
        <w:keepLines w:val="0"/>
        <w:pageBreakBefore w:val="0"/>
        <w:widowControl w:val="0"/>
        <w:tabs>
          <w:tab w:val="left" w:pos="1602"/>
        </w:tabs>
        <w:spacing w:line="360" w:lineRule="auto"/>
        <w:ind w:firstLine="420"/>
        <w:rPr>
          <w:rFonts w:hint="default" w:ascii="Times New Roman" w:hAnsi="Times New Roman" w:eastAsia="宋体" w:cs="Times New Roman"/>
          <w:b w:val="0"/>
          <w:bCs w:val="0"/>
          <w:color w:val="auto"/>
          <w:sz w:val="21"/>
          <w:szCs w:val="21"/>
          <w:highlight w:val="none"/>
          <w:lang w:val="en-US" w:eastAsia="zh-CN" w:bidi="ar-SA"/>
        </w:rPr>
      </w:pPr>
      <w:r>
        <w:rPr>
          <w:rFonts w:hint="default" w:ascii="Times New Roman" w:hAnsi="Times New Roman" w:eastAsia="宋体" w:cs="Times New Roman"/>
          <w:b w:val="0"/>
          <w:bCs w:val="0"/>
          <w:color w:val="auto"/>
          <w:sz w:val="21"/>
          <w:szCs w:val="21"/>
          <w:highlight w:val="none"/>
          <w:lang w:val="en-US" w:eastAsia="zh-CN" w:bidi="ar-SA"/>
        </w:rPr>
        <w:t>4.1</w:t>
      </w:r>
      <w:r>
        <w:rPr>
          <w:rFonts w:hint="default" w:ascii="Times New Roman" w:hAnsi="Times New Roman" w:cs="Times New Roman"/>
          <w:b w:val="0"/>
          <w:bCs w:val="0"/>
          <w:color w:val="auto"/>
          <w:sz w:val="21"/>
          <w:szCs w:val="21"/>
          <w:highlight w:val="none"/>
          <w:lang w:val="en-US" w:eastAsia="zh-CN" w:bidi="ar-SA"/>
        </w:rPr>
        <w:t>磋商供应商</w:t>
      </w:r>
      <w:r>
        <w:rPr>
          <w:rFonts w:hint="default" w:ascii="Times New Roman" w:hAnsi="Times New Roman" w:eastAsia="宋体" w:cs="Times New Roman"/>
          <w:b w:val="0"/>
          <w:bCs w:val="0"/>
          <w:color w:val="auto"/>
          <w:sz w:val="21"/>
          <w:szCs w:val="21"/>
          <w:highlight w:val="none"/>
          <w:lang w:val="en-US" w:eastAsia="zh-CN" w:bidi="ar-SA"/>
        </w:rPr>
        <w:t>所提供的服务能够至少达到以上要求,同时明确详细的服务方案。中标单位如在实施的过程中出现错误、误差,须负责及时更正直至招标单位确认合格,中标单位在项目进行过程中产生的任何安全、损坏等责任事故一律由中标单位自行承担。</w:t>
      </w:r>
    </w:p>
    <w:p w14:paraId="11B29782">
      <w:pPr>
        <w:pStyle w:val="206"/>
        <w:keepNext w:val="0"/>
        <w:keepLines w:val="0"/>
        <w:pageBreakBefore w:val="0"/>
        <w:widowControl w:val="0"/>
        <w:tabs>
          <w:tab w:val="left" w:pos="1602"/>
        </w:tabs>
        <w:spacing w:line="360" w:lineRule="auto"/>
        <w:ind w:firstLine="420"/>
        <w:rPr>
          <w:rFonts w:hint="default" w:ascii="Times New Roman" w:hAnsi="Times New Roman" w:eastAsia="宋体" w:cs="Times New Roman"/>
          <w:b w:val="0"/>
          <w:bCs w:val="0"/>
          <w:color w:val="auto"/>
          <w:sz w:val="21"/>
          <w:szCs w:val="21"/>
          <w:highlight w:val="none"/>
          <w:lang w:val="en-US" w:eastAsia="zh-CN" w:bidi="ar-SA"/>
        </w:rPr>
      </w:pPr>
      <w:r>
        <w:rPr>
          <w:rFonts w:hint="default" w:ascii="Times New Roman" w:hAnsi="Times New Roman" w:eastAsia="宋体" w:cs="Times New Roman"/>
          <w:b w:val="0"/>
          <w:bCs w:val="0"/>
          <w:color w:val="auto"/>
          <w:sz w:val="21"/>
          <w:szCs w:val="21"/>
          <w:highlight w:val="none"/>
          <w:lang w:val="en-US" w:eastAsia="zh-CN" w:bidi="ar-SA"/>
        </w:rPr>
        <w:t>4.2</w:t>
      </w:r>
      <w:r>
        <w:rPr>
          <w:rFonts w:hint="default" w:ascii="Times New Roman" w:hAnsi="Times New Roman" w:cs="Times New Roman"/>
          <w:b w:val="0"/>
          <w:bCs w:val="0"/>
          <w:color w:val="auto"/>
          <w:sz w:val="21"/>
          <w:szCs w:val="21"/>
          <w:highlight w:val="none"/>
          <w:lang w:val="en-US" w:eastAsia="zh-CN" w:bidi="ar-SA"/>
        </w:rPr>
        <w:t>磋商供应商</w:t>
      </w:r>
      <w:r>
        <w:rPr>
          <w:rFonts w:hint="default" w:ascii="Times New Roman" w:hAnsi="Times New Roman" w:eastAsia="宋体" w:cs="Times New Roman"/>
          <w:b w:val="0"/>
          <w:bCs w:val="0"/>
          <w:color w:val="auto"/>
          <w:sz w:val="21"/>
          <w:szCs w:val="21"/>
          <w:highlight w:val="none"/>
          <w:lang w:val="en-US" w:eastAsia="zh-CN" w:bidi="ar-SA"/>
        </w:rPr>
        <w:t>必须承诺</w:t>
      </w:r>
      <w:r>
        <w:rPr>
          <w:rFonts w:hint="default" w:ascii="Times New Roman" w:hAnsi="Times New Roman" w:cs="Times New Roman"/>
          <w:b w:val="0"/>
          <w:bCs w:val="0"/>
          <w:color w:val="auto"/>
          <w:sz w:val="21"/>
          <w:szCs w:val="21"/>
          <w:highlight w:val="none"/>
          <w:lang w:val="en-US" w:eastAsia="zh-CN" w:bidi="ar-SA"/>
        </w:rPr>
        <w:t>磋商文件</w:t>
      </w:r>
      <w:r>
        <w:rPr>
          <w:rFonts w:hint="default" w:ascii="Times New Roman" w:hAnsi="Times New Roman" w:eastAsia="宋体" w:cs="Times New Roman"/>
          <w:b w:val="0"/>
          <w:bCs w:val="0"/>
          <w:color w:val="auto"/>
          <w:sz w:val="21"/>
          <w:szCs w:val="21"/>
          <w:highlight w:val="none"/>
          <w:lang w:val="en-US" w:eastAsia="zh-CN" w:bidi="ar-SA"/>
        </w:rPr>
        <w:t>中提出的全部要求,如果其中某些条款不响应时,应在文件中逐条列出,未列出的视同响应。</w:t>
      </w:r>
    </w:p>
    <w:p w14:paraId="7A51FAE8">
      <w:pPr>
        <w:pStyle w:val="206"/>
        <w:keepNext w:val="0"/>
        <w:keepLines w:val="0"/>
        <w:pageBreakBefore w:val="0"/>
        <w:widowControl w:val="0"/>
        <w:tabs>
          <w:tab w:val="left" w:pos="1602"/>
        </w:tabs>
        <w:spacing w:line="360" w:lineRule="auto"/>
        <w:ind w:firstLine="420"/>
        <w:rPr>
          <w:rFonts w:hint="default" w:ascii="Times New Roman" w:hAnsi="Times New Roman" w:eastAsia="宋体" w:cs="Times New Roman"/>
          <w:b w:val="0"/>
          <w:bCs w:val="0"/>
          <w:color w:val="auto"/>
          <w:sz w:val="21"/>
          <w:szCs w:val="21"/>
          <w:highlight w:val="none"/>
          <w:lang w:val="en-US" w:eastAsia="zh-CN" w:bidi="ar-SA"/>
        </w:rPr>
      </w:pPr>
      <w:r>
        <w:rPr>
          <w:rFonts w:hint="default" w:ascii="Times New Roman" w:hAnsi="Times New Roman" w:eastAsia="宋体" w:cs="Times New Roman"/>
          <w:b w:val="0"/>
          <w:bCs w:val="0"/>
          <w:color w:val="auto"/>
          <w:sz w:val="21"/>
          <w:szCs w:val="21"/>
          <w:highlight w:val="none"/>
          <w:lang w:val="en-US" w:eastAsia="zh-CN" w:bidi="ar-SA"/>
        </w:rPr>
        <w:t>4.3</w:t>
      </w:r>
      <w:r>
        <w:rPr>
          <w:rFonts w:hint="default" w:ascii="Times New Roman" w:hAnsi="Times New Roman" w:cs="Times New Roman"/>
          <w:b w:val="0"/>
          <w:bCs w:val="0"/>
          <w:color w:val="auto"/>
          <w:sz w:val="21"/>
          <w:szCs w:val="21"/>
          <w:highlight w:val="none"/>
          <w:lang w:val="en-US" w:eastAsia="zh-CN" w:bidi="ar-SA"/>
        </w:rPr>
        <w:t>磋商文件</w:t>
      </w:r>
      <w:r>
        <w:rPr>
          <w:rFonts w:hint="default" w:ascii="Times New Roman" w:hAnsi="Times New Roman" w:eastAsia="宋体" w:cs="Times New Roman"/>
          <w:b w:val="0"/>
          <w:bCs w:val="0"/>
          <w:color w:val="auto"/>
          <w:sz w:val="21"/>
          <w:szCs w:val="21"/>
          <w:highlight w:val="none"/>
          <w:lang w:val="en-US" w:eastAsia="zh-CN" w:bidi="ar-SA"/>
        </w:rPr>
        <w:t>提出的是最低限度的要求,并未对一切细节作出规定,也未充分引述全部有关标准和规范的条文,投标单位提供的服务成果文件都应符合已颁布的现行中华人民共和国认可的(部颁、行业)标准和国际标准化组织以及等效或更优的其他国家的权威性标准和规范的有关条文。如果这些标准内容有矛盾时,应按最高标准的条款执行。</w:t>
      </w:r>
    </w:p>
    <w:p w14:paraId="0A660C2F">
      <w:pPr>
        <w:pStyle w:val="206"/>
        <w:keepNext w:val="0"/>
        <w:keepLines w:val="0"/>
        <w:pageBreakBefore w:val="0"/>
        <w:widowControl w:val="0"/>
        <w:tabs>
          <w:tab w:val="left" w:pos="1602"/>
        </w:tabs>
        <w:spacing w:line="360" w:lineRule="auto"/>
        <w:ind w:firstLine="420"/>
        <w:rPr>
          <w:rFonts w:hint="default" w:ascii="Times New Roman" w:hAnsi="Times New Roman" w:eastAsia="宋体" w:cs="Times New Roman"/>
          <w:b w:val="0"/>
          <w:bCs w:val="0"/>
          <w:color w:val="auto"/>
          <w:sz w:val="21"/>
          <w:szCs w:val="21"/>
          <w:highlight w:val="none"/>
          <w:lang w:val="en-US" w:eastAsia="zh-CN" w:bidi="ar-SA"/>
        </w:rPr>
      </w:pPr>
      <w:r>
        <w:rPr>
          <w:rFonts w:hint="default" w:ascii="Times New Roman" w:hAnsi="Times New Roman" w:eastAsia="宋体" w:cs="Times New Roman"/>
          <w:b w:val="0"/>
          <w:bCs w:val="0"/>
          <w:color w:val="auto"/>
          <w:sz w:val="21"/>
          <w:szCs w:val="21"/>
          <w:highlight w:val="none"/>
          <w:lang w:val="en-US" w:eastAsia="zh-CN" w:bidi="ar-SA"/>
        </w:rPr>
        <w:t>4.4服务人员条件:</w:t>
      </w:r>
      <w:r>
        <w:rPr>
          <w:rFonts w:hint="default" w:ascii="Times New Roman" w:hAnsi="Times New Roman" w:cs="Times New Roman"/>
          <w:b w:val="0"/>
          <w:bCs w:val="0"/>
          <w:color w:val="auto"/>
          <w:sz w:val="21"/>
          <w:szCs w:val="21"/>
          <w:highlight w:val="none"/>
          <w:lang w:val="en-US" w:eastAsia="zh-CN" w:bidi="ar-SA"/>
        </w:rPr>
        <w:t>响应文件</w:t>
      </w:r>
      <w:r>
        <w:rPr>
          <w:rFonts w:hint="default" w:ascii="Times New Roman" w:hAnsi="Times New Roman" w:eastAsia="宋体" w:cs="Times New Roman"/>
          <w:b w:val="0"/>
          <w:bCs w:val="0"/>
          <w:color w:val="auto"/>
          <w:sz w:val="21"/>
          <w:szCs w:val="21"/>
          <w:highlight w:val="none"/>
          <w:lang w:val="en-US" w:eastAsia="zh-CN" w:bidi="ar-SA"/>
        </w:rPr>
        <w:t>中应提供有关本次采购的所有服务所需人员的配备情况,包括其姓名、年龄、学历、专业、资质、履历、类似系统或项目经验等,</w:t>
      </w:r>
      <w:r>
        <w:rPr>
          <w:rFonts w:hint="default" w:ascii="Times New Roman" w:hAnsi="Times New Roman" w:cs="Times New Roman"/>
          <w:b w:val="0"/>
          <w:bCs w:val="0"/>
          <w:color w:val="auto"/>
          <w:sz w:val="21"/>
          <w:szCs w:val="21"/>
          <w:highlight w:val="none"/>
          <w:lang w:val="en-US" w:eastAsia="zh-CN" w:bidi="ar-SA"/>
        </w:rPr>
        <w:t>响应文件</w:t>
      </w:r>
      <w:r>
        <w:rPr>
          <w:rFonts w:hint="default" w:ascii="Times New Roman" w:hAnsi="Times New Roman" w:eastAsia="宋体" w:cs="Times New Roman"/>
          <w:b w:val="0"/>
          <w:bCs w:val="0"/>
          <w:color w:val="auto"/>
          <w:sz w:val="21"/>
          <w:szCs w:val="21"/>
          <w:highlight w:val="none"/>
          <w:lang w:val="en-US" w:eastAsia="zh-CN" w:bidi="ar-SA"/>
        </w:rPr>
        <w:t>须详细注明该人员在本次项目中所承担的职务和责任(按要求组织工作,保质、保量、按期完成任务,解决由乙方负责的各项事宜)以及服务时间,同时确认所有服务均已包含在合同总价内,并应在合同执行后提供有关上述人员全部履行职责的有效证明,否则视为违约,若该人员因不可抗力无法提供合同中所承诺的服务,投标方应提供同等资质人员替代其执行合同,该人员须获得采购方确认后方可开始工作,由此所引起的一切责任由中标人自负,且所有参加此项工作的人员必须为投标单位签订劳动合同人员。</w:t>
      </w:r>
    </w:p>
    <w:p w14:paraId="0DDD4EDE">
      <w:pPr>
        <w:pStyle w:val="206"/>
        <w:keepNext w:val="0"/>
        <w:keepLines w:val="0"/>
        <w:pageBreakBefore w:val="0"/>
        <w:widowControl w:val="0"/>
        <w:tabs>
          <w:tab w:val="left" w:pos="1602"/>
        </w:tabs>
        <w:spacing w:line="360" w:lineRule="auto"/>
        <w:ind w:firstLine="420"/>
        <w:rPr>
          <w:rFonts w:hint="default" w:ascii="Times New Roman" w:hAnsi="Times New Roman" w:eastAsia="宋体" w:cs="Times New Roman"/>
          <w:b w:val="0"/>
          <w:bCs w:val="0"/>
          <w:color w:val="auto"/>
          <w:sz w:val="21"/>
          <w:szCs w:val="21"/>
          <w:highlight w:val="none"/>
          <w:lang w:val="en-US" w:eastAsia="zh-CN" w:bidi="ar-SA"/>
        </w:rPr>
      </w:pPr>
      <w:r>
        <w:rPr>
          <w:rFonts w:hint="default" w:ascii="Times New Roman" w:hAnsi="Times New Roman" w:eastAsia="宋体" w:cs="Times New Roman"/>
          <w:b w:val="0"/>
          <w:bCs w:val="0"/>
          <w:color w:val="auto"/>
          <w:sz w:val="21"/>
          <w:szCs w:val="21"/>
          <w:highlight w:val="none"/>
          <w:lang w:val="en-US" w:eastAsia="zh-CN" w:bidi="ar-SA"/>
        </w:rPr>
        <w:t>4.5若中标人在服务期间发生下列行为之一的,采购人可解除服务合同,并保留相应损失追偿权。</w:t>
      </w:r>
    </w:p>
    <w:p w14:paraId="2A630F0D">
      <w:pPr>
        <w:pStyle w:val="206"/>
        <w:keepNext w:val="0"/>
        <w:keepLines w:val="0"/>
        <w:pageBreakBefore w:val="0"/>
        <w:widowControl w:val="0"/>
        <w:tabs>
          <w:tab w:val="left" w:pos="1602"/>
        </w:tabs>
        <w:spacing w:line="360" w:lineRule="auto"/>
        <w:ind w:firstLine="420"/>
        <w:rPr>
          <w:rFonts w:hint="default" w:ascii="Times New Roman" w:hAnsi="Times New Roman" w:eastAsia="宋体" w:cs="Times New Roman"/>
          <w:b w:val="0"/>
          <w:bCs w:val="0"/>
          <w:color w:val="auto"/>
          <w:sz w:val="21"/>
          <w:szCs w:val="21"/>
          <w:highlight w:val="none"/>
          <w:lang w:val="en-US" w:eastAsia="zh-CN" w:bidi="ar-SA"/>
        </w:rPr>
      </w:pPr>
      <w:r>
        <w:rPr>
          <w:rFonts w:hint="default" w:ascii="Times New Roman" w:hAnsi="Times New Roman" w:eastAsia="宋体" w:cs="Times New Roman"/>
          <w:b w:val="0"/>
          <w:bCs w:val="0"/>
          <w:color w:val="auto"/>
          <w:sz w:val="21"/>
          <w:szCs w:val="21"/>
          <w:highlight w:val="none"/>
          <w:lang w:val="en-US" w:eastAsia="zh-CN" w:bidi="ar-SA"/>
        </w:rPr>
        <w:t>(1)将承包的服务转包他人:</w:t>
      </w:r>
    </w:p>
    <w:p w14:paraId="49AB0E55">
      <w:pPr>
        <w:pStyle w:val="206"/>
        <w:keepNext w:val="0"/>
        <w:keepLines w:val="0"/>
        <w:pageBreakBefore w:val="0"/>
        <w:widowControl w:val="0"/>
        <w:tabs>
          <w:tab w:val="left" w:pos="1602"/>
        </w:tabs>
        <w:spacing w:line="360" w:lineRule="auto"/>
        <w:ind w:firstLine="420"/>
        <w:rPr>
          <w:rFonts w:hint="default" w:ascii="Times New Roman" w:hAnsi="Times New Roman" w:eastAsia="宋体" w:cs="Times New Roman"/>
          <w:b w:val="0"/>
          <w:bCs w:val="0"/>
          <w:color w:val="auto"/>
          <w:sz w:val="21"/>
          <w:szCs w:val="21"/>
          <w:highlight w:val="none"/>
          <w:lang w:val="en-US" w:eastAsia="zh-CN" w:bidi="ar-SA"/>
        </w:rPr>
      </w:pPr>
      <w:r>
        <w:rPr>
          <w:rFonts w:hint="default" w:ascii="Times New Roman" w:hAnsi="Times New Roman" w:eastAsia="宋体" w:cs="Times New Roman"/>
          <w:b w:val="0"/>
          <w:bCs w:val="0"/>
          <w:color w:val="auto"/>
          <w:sz w:val="21"/>
          <w:szCs w:val="21"/>
          <w:highlight w:val="none"/>
          <w:lang w:val="en-US" w:eastAsia="zh-CN" w:bidi="ar-SA"/>
        </w:rPr>
        <w:t>(2)因自身原因造成安全事故或重大损失:</w:t>
      </w:r>
    </w:p>
    <w:p w14:paraId="46699BAE">
      <w:pPr>
        <w:pStyle w:val="206"/>
        <w:keepNext w:val="0"/>
        <w:keepLines w:val="0"/>
        <w:pageBreakBefore w:val="0"/>
        <w:widowControl w:val="0"/>
        <w:tabs>
          <w:tab w:val="left" w:pos="1602"/>
        </w:tabs>
        <w:spacing w:line="360" w:lineRule="auto"/>
        <w:ind w:firstLine="420"/>
        <w:rPr>
          <w:rFonts w:hint="default" w:ascii="Times New Roman" w:hAnsi="Times New Roman" w:eastAsia="宋体" w:cs="Times New Roman"/>
          <w:b w:val="0"/>
          <w:bCs w:val="0"/>
          <w:color w:val="auto"/>
          <w:sz w:val="21"/>
          <w:szCs w:val="21"/>
          <w:highlight w:val="none"/>
          <w:lang w:val="en-US" w:eastAsia="zh-CN" w:bidi="ar-SA"/>
        </w:rPr>
      </w:pPr>
      <w:r>
        <w:rPr>
          <w:rFonts w:hint="default" w:ascii="Times New Roman" w:hAnsi="Times New Roman" w:eastAsia="宋体" w:cs="Times New Roman"/>
          <w:b w:val="0"/>
          <w:bCs w:val="0"/>
          <w:color w:val="auto"/>
          <w:sz w:val="21"/>
          <w:szCs w:val="21"/>
          <w:highlight w:val="none"/>
          <w:lang w:val="en-US" w:eastAsia="zh-CN" w:bidi="ar-SA"/>
        </w:rPr>
        <w:t>(3)在承诺的期限内不能完成合同规定的工作,或服务有缺陷不予更正的。</w:t>
      </w:r>
    </w:p>
    <w:p w14:paraId="3B171FD0">
      <w:pPr>
        <w:pStyle w:val="206"/>
        <w:keepNext w:val="0"/>
        <w:keepLines w:val="0"/>
        <w:pageBreakBefore w:val="0"/>
        <w:widowControl w:val="0"/>
        <w:tabs>
          <w:tab w:val="left" w:pos="1602"/>
        </w:tabs>
        <w:spacing w:line="360" w:lineRule="auto"/>
        <w:ind w:firstLine="420"/>
        <w:rPr>
          <w:rFonts w:hint="default" w:ascii="Times New Roman" w:hAnsi="Times New Roman" w:eastAsia="宋体" w:cs="Times New Roman"/>
          <w:b w:val="0"/>
          <w:bCs w:val="0"/>
          <w:color w:val="auto"/>
          <w:sz w:val="21"/>
          <w:szCs w:val="21"/>
          <w:highlight w:val="none"/>
          <w:lang w:val="en-US" w:eastAsia="zh-CN" w:bidi="ar-SA"/>
        </w:rPr>
      </w:pPr>
      <w:r>
        <w:rPr>
          <w:rFonts w:hint="default" w:ascii="Times New Roman" w:hAnsi="Times New Roman" w:eastAsia="宋体" w:cs="Times New Roman"/>
          <w:b w:val="0"/>
          <w:bCs w:val="0"/>
          <w:color w:val="auto"/>
          <w:sz w:val="21"/>
          <w:szCs w:val="21"/>
          <w:highlight w:val="none"/>
          <w:lang w:val="en-US" w:eastAsia="zh-CN" w:bidi="ar-SA"/>
        </w:rPr>
        <w:t>4.6在合同履行期间,因中标单位单方终止合同,或因中标单位的过失而终止合同,采购方可重新组织招标。合同期内,如发现中标人有转包行为的,采购方有权终止合同。</w:t>
      </w:r>
    </w:p>
    <w:p w14:paraId="27E5831A">
      <w:pPr>
        <w:pStyle w:val="206"/>
        <w:keepNext w:val="0"/>
        <w:keepLines w:val="0"/>
        <w:pageBreakBefore w:val="0"/>
        <w:widowControl w:val="0"/>
        <w:tabs>
          <w:tab w:val="left" w:pos="1602"/>
        </w:tabs>
        <w:spacing w:line="360" w:lineRule="auto"/>
        <w:ind w:firstLine="420"/>
        <w:rPr>
          <w:rFonts w:hint="default" w:ascii="Times New Roman" w:hAnsi="Times New Roman" w:eastAsia="宋体" w:cs="Times New Roman"/>
          <w:b w:val="0"/>
          <w:bCs w:val="0"/>
          <w:color w:val="auto"/>
          <w:sz w:val="21"/>
          <w:szCs w:val="21"/>
          <w:highlight w:val="none"/>
          <w:lang w:val="en-US" w:eastAsia="zh-CN" w:bidi="ar-SA"/>
        </w:rPr>
      </w:pPr>
      <w:r>
        <w:rPr>
          <w:rFonts w:hint="default" w:ascii="Times New Roman" w:hAnsi="Times New Roman" w:eastAsia="宋体" w:cs="Times New Roman"/>
          <w:b w:val="0"/>
          <w:bCs w:val="0"/>
          <w:color w:val="auto"/>
          <w:sz w:val="21"/>
          <w:szCs w:val="21"/>
          <w:highlight w:val="none"/>
          <w:lang w:val="en-US" w:eastAsia="zh-CN" w:bidi="ar-SA"/>
        </w:rPr>
        <w:t>4.7中标人应保证其所提供服务涉及到的知识产权是合法取得,并享有完整的知识产权,不会因为需方的使用而被责令停止使用、追偿或要求赔偿损失,如出现此情况,一切经济和法律责任均由中标人承担。</w:t>
      </w:r>
    </w:p>
    <w:p w14:paraId="6854B60A">
      <w:pPr>
        <w:pStyle w:val="206"/>
        <w:keepNext w:val="0"/>
        <w:keepLines w:val="0"/>
        <w:pageBreakBefore w:val="0"/>
        <w:widowControl w:val="0"/>
        <w:tabs>
          <w:tab w:val="left" w:pos="1602"/>
        </w:tabs>
        <w:spacing w:line="360" w:lineRule="auto"/>
        <w:ind w:firstLine="420"/>
        <w:rPr>
          <w:rFonts w:hint="default" w:ascii="Times New Roman" w:hAnsi="Times New Roman" w:eastAsia="宋体" w:cs="Times New Roman"/>
          <w:b w:val="0"/>
          <w:bCs w:val="0"/>
          <w:color w:val="auto"/>
          <w:sz w:val="21"/>
          <w:szCs w:val="21"/>
          <w:highlight w:val="none"/>
          <w:lang w:val="en-US" w:eastAsia="zh-CN" w:bidi="ar-SA"/>
        </w:rPr>
      </w:pPr>
      <w:r>
        <w:rPr>
          <w:rFonts w:hint="default" w:ascii="Times New Roman" w:hAnsi="Times New Roman" w:eastAsia="宋体" w:cs="Times New Roman"/>
          <w:b w:val="0"/>
          <w:bCs w:val="0"/>
          <w:color w:val="auto"/>
          <w:sz w:val="21"/>
          <w:szCs w:val="21"/>
          <w:highlight w:val="none"/>
          <w:lang w:val="en-US" w:eastAsia="zh-CN" w:bidi="ar-SA"/>
        </w:rPr>
        <w:t>4.8凡涉及本项目的补充说明和修改,均以政府采购网上发布的信息为准。</w:t>
      </w:r>
    </w:p>
    <w:p w14:paraId="5051F326">
      <w:pPr>
        <w:pStyle w:val="206"/>
        <w:keepNext w:val="0"/>
        <w:keepLines w:val="0"/>
        <w:pageBreakBefore w:val="0"/>
        <w:widowControl w:val="0"/>
        <w:tabs>
          <w:tab w:val="left" w:pos="1602"/>
        </w:tabs>
        <w:spacing w:line="360" w:lineRule="auto"/>
        <w:ind w:firstLine="420"/>
        <w:rPr>
          <w:rFonts w:hint="default" w:ascii="Times New Roman" w:hAnsi="Times New Roman" w:eastAsia="宋体" w:cs="Times New Roman"/>
          <w:b w:val="0"/>
          <w:bCs w:val="0"/>
          <w:color w:val="auto"/>
          <w:sz w:val="21"/>
          <w:szCs w:val="21"/>
          <w:highlight w:val="none"/>
          <w:lang w:val="en-US" w:eastAsia="zh-CN" w:bidi="ar-SA"/>
        </w:rPr>
      </w:pPr>
      <w:r>
        <w:rPr>
          <w:rFonts w:hint="default" w:ascii="Times New Roman" w:hAnsi="Times New Roman" w:eastAsia="宋体" w:cs="Times New Roman"/>
          <w:b w:val="0"/>
          <w:bCs w:val="0"/>
          <w:color w:val="auto"/>
          <w:sz w:val="21"/>
          <w:szCs w:val="21"/>
          <w:highlight w:val="none"/>
          <w:lang w:val="en-US" w:eastAsia="zh-CN" w:bidi="ar-SA"/>
        </w:rPr>
        <w:t>4.9凡项目服务团队中涉及的车辆、办公设备、办公耗材、培训教材、人员的餐饮住宿、驻厂人员补贴费用，由中标单位自行承担。</w:t>
      </w:r>
    </w:p>
    <w:p w14:paraId="25AE4CED">
      <w:pPr>
        <w:pStyle w:val="3"/>
        <w:spacing w:line="360" w:lineRule="auto"/>
        <w:rPr>
          <w:rFonts w:hint="default" w:ascii="Times New Roman" w:hAnsi="Times New Roman" w:cs="Times New Roman"/>
          <w:color w:val="auto"/>
          <w:highlight w:val="none"/>
          <w:lang w:val="en-US" w:eastAsia="zh-CN"/>
        </w:rPr>
      </w:pPr>
      <w:r>
        <w:rPr>
          <w:rFonts w:hint="default" w:ascii="Times New Roman" w:hAnsi="Times New Roman" w:cs="Times New Roman"/>
          <w:color w:val="auto"/>
          <w:highlight w:val="none"/>
          <w:lang w:val="en-US" w:eastAsia="zh-CN"/>
        </w:rPr>
        <w:t>（五）付款方式与履约保证金</w:t>
      </w:r>
    </w:p>
    <w:p w14:paraId="0B6C3E3A">
      <w:pPr>
        <w:pStyle w:val="206"/>
        <w:keepNext w:val="0"/>
        <w:keepLines w:val="0"/>
        <w:pageBreakBefore w:val="0"/>
        <w:widowControl w:val="0"/>
        <w:tabs>
          <w:tab w:val="left" w:pos="1602"/>
        </w:tabs>
        <w:spacing w:line="360" w:lineRule="auto"/>
        <w:ind w:firstLine="420"/>
        <w:rPr>
          <w:rFonts w:hint="default" w:ascii="Times New Roman" w:hAnsi="Times New Roman" w:eastAsia="宋体" w:cs="Times New Roman"/>
          <w:b w:val="0"/>
          <w:bCs w:val="0"/>
          <w:color w:val="auto"/>
          <w:sz w:val="21"/>
          <w:szCs w:val="21"/>
          <w:highlight w:val="none"/>
          <w:lang w:val="en-US" w:eastAsia="zh-CN" w:bidi="ar-SA"/>
        </w:rPr>
      </w:pPr>
      <w:r>
        <w:rPr>
          <w:rFonts w:hint="default" w:ascii="Times New Roman" w:hAnsi="Times New Roman" w:eastAsia="宋体" w:cs="Times New Roman"/>
          <w:b w:val="0"/>
          <w:bCs w:val="0"/>
          <w:color w:val="auto"/>
          <w:sz w:val="21"/>
          <w:szCs w:val="21"/>
          <w:highlight w:val="none"/>
          <w:lang w:val="en-US" w:eastAsia="zh-CN" w:bidi="ar-SA"/>
        </w:rPr>
        <w:t>★1.付款方式：合同签订生效后支付合同金额的10%，服务满一年后支付合同金额的40%，合同履行结束后付清余款（不计息）。</w:t>
      </w:r>
    </w:p>
    <w:p w14:paraId="6274C360">
      <w:pPr>
        <w:pStyle w:val="206"/>
        <w:keepNext w:val="0"/>
        <w:keepLines w:val="0"/>
        <w:pageBreakBefore w:val="0"/>
        <w:widowControl w:val="0"/>
        <w:tabs>
          <w:tab w:val="left" w:pos="1602"/>
        </w:tabs>
        <w:spacing w:line="360" w:lineRule="auto"/>
        <w:ind w:firstLine="420"/>
        <w:rPr>
          <w:rFonts w:hint="default" w:ascii="Times New Roman" w:hAnsi="Times New Roman" w:eastAsia="宋体" w:cs="Times New Roman"/>
          <w:b w:val="0"/>
          <w:bCs w:val="0"/>
          <w:color w:val="auto"/>
          <w:sz w:val="21"/>
          <w:szCs w:val="21"/>
          <w:highlight w:val="none"/>
          <w:lang w:val="en-US" w:eastAsia="zh-CN" w:bidi="ar-SA"/>
        </w:rPr>
      </w:pPr>
      <w:r>
        <w:rPr>
          <w:rFonts w:hint="default" w:ascii="Times New Roman" w:hAnsi="Times New Roman" w:eastAsia="宋体" w:cs="Times New Roman"/>
          <w:b w:val="0"/>
          <w:bCs w:val="0"/>
          <w:color w:val="auto"/>
          <w:sz w:val="21"/>
          <w:szCs w:val="21"/>
          <w:highlight w:val="none"/>
          <w:lang w:val="en-US" w:eastAsia="zh-CN" w:bidi="ar-SA"/>
        </w:rPr>
        <w:t>2.履约保证金：本项目不收取履约保证金。</w:t>
      </w:r>
    </w:p>
    <w:p w14:paraId="47A7F1D1">
      <w:pPr>
        <w:pStyle w:val="3"/>
        <w:spacing w:line="360" w:lineRule="auto"/>
        <w:rPr>
          <w:rFonts w:hint="default" w:ascii="Times New Roman" w:hAnsi="Times New Roman" w:cs="Times New Roman"/>
          <w:color w:val="auto"/>
          <w:highlight w:val="none"/>
          <w:lang w:val="en-US" w:eastAsia="zh-CN"/>
        </w:rPr>
      </w:pPr>
      <w:r>
        <w:rPr>
          <w:rFonts w:hint="default" w:ascii="Times New Roman" w:hAnsi="Times New Roman" w:cs="Times New Roman"/>
          <w:color w:val="auto"/>
          <w:highlight w:val="none"/>
          <w:lang w:val="en-US" w:eastAsia="zh-CN"/>
        </w:rPr>
        <w:t>（六）报价要求</w:t>
      </w:r>
    </w:p>
    <w:p w14:paraId="29BB417B">
      <w:pPr>
        <w:pStyle w:val="206"/>
        <w:keepNext w:val="0"/>
        <w:keepLines w:val="0"/>
        <w:pageBreakBefore w:val="0"/>
        <w:widowControl w:val="0"/>
        <w:tabs>
          <w:tab w:val="left" w:pos="1602"/>
        </w:tabs>
        <w:spacing w:line="360" w:lineRule="auto"/>
        <w:ind w:firstLine="420"/>
        <w:rPr>
          <w:rFonts w:hint="default" w:ascii="Times New Roman" w:hAnsi="Times New Roman" w:eastAsia="宋体" w:cs="Times New Roman"/>
          <w:b w:val="0"/>
          <w:bCs w:val="0"/>
          <w:color w:val="auto"/>
          <w:sz w:val="21"/>
          <w:szCs w:val="21"/>
          <w:highlight w:val="none"/>
          <w:lang w:val="en-US" w:eastAsia="zh-CN" w:bidi="ar-SA"/>
        </w:rPr>
      </w:pPr>
      <w:r>
        <w:rPr>
          <w:rFonts w:hint="default" w:ascii="Times New Roman" w:hAnsi="Times New Roman" w:eastAsia="宋体" w:cs="Times New Roman"/>
          <w:b w:val="0"/>
          <w:bCs w:val="0"/>
          <w:color w:val="auto"/>
          <w:sz w:val="21"/>
          <w:szCs w:val="21"/>
          <w:highlight w:val="none"/>
          <w:lang w:val="en-US" w:eastAsia="zh-CN" w:bidi="ar-SA"/>
        </w:rPr>
        <w:t>本项目采用固定总价，</w:t>
      </w:r>
      <w:r>
        <w:rPr>
          <w:rFonts w:hint="default" w:ascii="Times New Roman" w:hAnsi="Times New Roman" w:cs="Times New Roman"/>
          <w:b w:val="0"/>
          <w:bCs w:val="0"/>
          <w:color w:val="auto"/>
          <w:sz w:val="21"/>
          <w:szCs w:val="21"/>
          <w:highlight w:val="none"/>
          <w:lang w:val="en-US" w:eastAsia="zh-CN" w:bidi="ar-SA"/>
        </w:rPr>
        <w:t>磋商供应商</w:t>
      </w:r>
      <w:r>
        <w:rPr>
          <w:rFonts w:hint="default" w:ascii="Times New Roman" w:hAnsi="Times New Roman" w:eastAsia="宋体" w:cs="Times New Roman"/>
          <w:b w:val="0"/>
          <w:bCs w:val="0"/>
          <w:color w:val="auto"/>
          <w:sz w:val="21"/>
          <w:szCs w:val="21"/>
          <w:highlight w:val="none"/>
          <w:lang w:val="en-US" w:eastAsia="zh-CN" w:bidi="ar-SA"/>
        </w:rPr>
        <w:t>的报价须包括本项目现场调查费、咨询费、踏勘费、人工费、差旅费、招标代理费、印刷装订费、税金等直至提交最终成果过程中所涉及的所有费用。</w:t>
      </w:r>
    </w:p>
    <w:p w14:paraId="41B76ECB">
      <w:pPr>
        <w:pStyle w:val="206"/>
        <w:keepNext w:val="0"/>
        <w:keepLines w:val="0"/>
        <w:pageBreakBefore w:val="0"/>
        <w:widowControl w:val="0"/>
        <w:tabs>
          <w:tab w:val="left" w:pos="1723"/>
        </w:tabs>
        <w:spacing w:line="360" w:lineRule="auto"/>
        <w:ind w:left="0" w:firstLine="0"/>
        <w:jc w:val="center"/>
        <w:rPr>
          <w:rFonts w:hint="default" w:ascii="Times New Roman" w:hAnsi="Times New Roman" w:eastAsia="黑体" w:cs="Times New Roman"/>
          <w:b w:val="0"/>
          <w:bCs/>
          <w:color w:val="auto"/>
          <w:sz w:val="30"/>
          <w:szCs w:val="30"/>
          <w:highlight w:val="none"/>
          <w:lang w:val="en-US" w:eastAsia="zh-CN"/>
        </w:rPr>
      </w:pPr>
    </w:p>
    <w:p w14:paraId="218721C0">
      <w:pPr>
        <w:pStyle w:val="206"/>
        <w:keepNext w:val="0"/>
        <w:keepLines w:val="0"/>
        <w:pageBreakBefore w:val="0"/>
        <w:widowControl w:val="0"/>
        <w:tabs>
          <w:tab w:val="left" w:pos="1723"/>
        </w:tabs>
        <w:spacing w:line="360" w:lineRule="auto"/>
        <w:ind w:left="0" w:firstLine="0"/>
        <w:jc w:val="center"/>
        <w:rPr>
          <w:rFonts w:hint="default" w:ascii="Times New Roman" w:hAnsi="Times New Roman" w:cs="Times New Roman"/>
          <w:color w:val="auto"/>
          <w:highlight w:val="none"/>
          <w:lang w:val="en-US" w:eastAsia="zh-CN"/>
        </w:rPr>
      </w:pPr>
      <w:r>
        <w:rPr>
          <w:rFonts w:hint="default" w:ascii="Times New Roman" w:hAnsi="Times New Roman" w:eastAsia="黑体" w:cs="Times New Roman"/>
          <w:b w:val="0"/>
          <w:bCs/>
          <w:color w:val="auto"/>
          <w:sz w:val="30"/>
          <w:szCs w:val="30"/>
          <w:highlight w:val="none"/>
          <w:lang w:val="en-US" w:eastAsia="zh-CN"/>
        </w:rPr>
        <w:t>采购包2：环保标段</w:t>
      </w:r>
    </w:p>
    <w:p w14:paraId="73208E6A">
      <w:pPr>
        <w:pStyle w:val="3"/>
        <w:spacing w:line="360" w:lineRule="auto"/>
        <w:rPr>
          <w:rFonts w:hint="default" w:ascii="Times New Roman" w:hAnsi="Times New Roman" w:cs="Times New Roman"/>
          <w:color w:val="auto"/>
          <w:highlight w:val="none"/>
        </w:rPr>
      </w:pPr>
      <w:r>
        <w:rPr>
          <w:rFonts w:hint="default" w:ascii="Times New Roman" w:hAnsi="Times New Roman" w:cs="Times New Roman"/>
          <w:color w:val="auto"/>
          <w:highlight w:val="none"/>
          <w:lang w:val="en-US" w:eastAsia="zh-CN"/>
        </w:rPr>
        <w:t>（一）</w:t>
      </w:r>
      <w:r>
        <w:rPr>
          <w:rFonts w:hint="default" w:ascii="Times New Roman" w:hAnsi="Times New Roman" w:cs="Times New Roman"/>
          <w:color w:val="auto"/>
          <w:highlight w:val="none"/>
        </w:rPr>
        <w:t>工作要求</w:t>
      </w:r>
    </w:p>
    <w:p w14:paraId="3405ED61">
      <w:pPr>
        <w:keepNext w:val="0"/>
        <w:keepLines w:val="0"/>
        <w:pageBreakBefore w:val="0"/>
        <w:widowControl/>
        <w:numPr>
          <w:ilvl w:val="0"/>
          <w:numId w:val="0"/>
        </w:numPr>
        <w:spacing w:line="360" w:lineRule="auto"/>
        <w:ind w:firstLine="420"/>
        <w:outlineLvl w:val="9"/>
        <w:rPr>
          <w:rFonts w:hint="default" w:ascii="Times New Roman" w:hAnsi="Times New Roman" w:eastAsia="宋体" w:cs="Times New Roman"/>
          <w:b w:val="0"/>
          <w:bCs w:val="0"/>
          <w:color w:val="auto"/>
          <w:sz w:val="21"/>
          <w:szCs w:val="21"/>
          <w:highlight w:val="none"/>
          <w:lang w:val="en-US" w:eastAsia="zh-CN" w:bidi="ar-SA"/>
        </w:rPr>
      </w:pPr>
      <w:r>
        <w:rPr>
          <w:rFonts w:hint="default" w:ascii="Times New Roman" w:hAnsi="Times New Roman" w:eastAsia="宋体" w:cs="Times New Roman"/>
          <w:b w:val="0"/>
          <w:bCs w:val="0"/>
          <w:color w:val="auto"/>
          <w:sz w:val="21"/>
          <w:szCs w:val="21"/>
          <w:highlight w:val="none"/>
          <w:lang w:val="en-US" w:eastAsia="zh-CN" w:bidi="ar-SA"/>
        </w:rPr>
        <w:t>1.组建由专业技术人才构成的派驻专家团队，团队共配备2名环保专家。服务期限为两年。专家团队专业与资质需满足以下要求：驻点专家共2名，具备中级工程师及以上职称(环境类专业),或者持有注册环保工程师、注册环评工程师(任意一项即可)。</w:t>
      </w:r>
    </w:p>
    <w:p w14:paraId="28DC1370">
      <w:pPr>
        <w:keepNext w:val="0"/>
        <w:keepLines w:val="0"/>
        <w:pageBreakBefore w:val="0"/>
        <w:widowControl/>
        <w:numPr>
          <w:ilvl w:val="0"/>
          <w:numId w:val="0"/>
        </w:numPr>
        <w:spacing w:line="360" w:lineRule="auto"/>
        <w:ind w:firstLine="420"/>
        <w:outlineLvl w:val="9"/>
        <w:rPr>
          <w:rFonts w:hint="default" w:ascii="Times New Roman" w:hAnsi="Times New Roman" w:eastAsia="宋体" w:cs="Times New Roman"/>
          <w:b w:val="0"/>
          <w:bCs w:val="0"/>
          <w:color w:val="auto"/>
          <w:sz w:val="21"/>
          <w:szCs w:val="21"/>
          <w:highlight w:val="none"/>
          <w:lang w:val="en-US" w:eastAsia="zh-CN" w:bidi="ar-SA"/>
        </w:rPr>
      </w:pPr>
      <w:r>
        <w:rPr>
          <w:rFonts w:hint="default" w:ascii="Times New Roman" w:hAnsi="Times New Roman" w:eastAsia="宋体" w:cs="Times New Roman"/>
          <w:b w:val="0"/>
          <w:bCs w:val="0"/>
          <w:color w:val="auto"/>
          <w:sz w:val="21"/>
          <w:szCs w:val="21"/>
          <w:highlight w:val="none"/>
          <w:lang w:val="en-US" w:eastAsia="zh-CN" w:bidi="ar-SA"/>
        </w:rPr>
        <w:t>2.坐班专家与园区正常作息时间一致，不得擅自脱岗，专家组成员未经园区同意不得随意中途更换；</w:t>
      </w:r>
    </w:p>
    <w:p w14:paraId="44F76A47">
      <w:pPr>
        <w:keepNext w:val="0"/>
        <w:keepLines w:val="0"/>
        <w:pageBreakBefore w:val="0"/>
        <w:widowControl/>
        <w:numPr>
          <w:ilvl w:val="0"/>
          <w:numId w:val="0"/>
        </w:numPr>
        <w:spacing w:line="360" w:lineRule="auto"/>
        <w:ind w:firstLine="420"/>
        <w:outlineLvl w:val="9"/>
        <w:rPr>
          <w:rFonts w:hint="default" w:ascii="Times New Roman" w:hAnsi="Times New Roman" w:eastAsia="宋体" w:cs="Times New Roman"/>
          <w:b w:val="0"/>
          <w:bCs w:val="0"/>
          <w:color w:val="auto"/>
          <w:sz w:val="21"/>
          <w:szCs w:val="21"/>
          <w:highlight w:val="none"/>
          <w:lang w:val="en-US" w:eastAsia="zh-CN" w:bidi="ar-SA"/>
        </w:rPr>
      </w:pPr>
      <w:r>
        <w:rPr>
          <w:rFonts w:hint="default" w:ascii="Times New Roman" w:hAnsi="Times New Roman" w:eastAsia="宋体" w:cs="Times New Roman"/>
          <w:b w:val="0"/>
          <w:bCs w:val="0"/>
          <w:color w:val="auto"/>
          <w:sz w:val="21"/>
          <w:szCs w:val="21"/>
          <w:highlight w:val="none"/>
          <w:lang w:val="en-US" w:eastAsia="zh-CN" w:bidi="ar-SA"/>
        </w:rPr>
        <w:t>3.专家组需配备指导服务通勤所用车辆、笔记本电脑等日常办公设备，满足辖区内安全环保日常指导服务需要；</w:t>
      </w:r>
    </w:p>
    <w:p w14:paraId="7F4D7A3A">
      <w:pPr>
        <w:keepNext w:val="0"/>
        <w:keepLines w:val="0"/>
        <w:pageBreakBefore w:val="0"/>
        <w:widowControl/>
        <w:numPr>
          <w:ilvl w:val="0"/>
          <w:numId w:val="0"/>
        </w:numPr>
        <w:spacing w:line="360" w:lineRule="auto"/>
        <w:ind w:firstLine="420"/>
        <w:outlineLvl w:val="9"/>
        <w:rPr>
          <w:rFonts w:hint="default" w:ascii="Times New Roman" w:hAnsi="Times New Roman" w:eastAsia="宋体" w:cs="Times New Roman"/>
          <w:b w:val="0"/>
          <w:bCs w:val="0"/>
          <w:color w:val="auto"/>
          <w:sz w:val="21"/>
          <w:szCs w:val="21"/>
          <w:highlight w:val="none"/>
          <w:lang w:val="en-US" w:eastAsia="zh-CN" w:bidi="ar-SA"/>
        </w:rPr>
      </w:pPr>
      <w:r>
        <w:rPr>
          <w:rFonts w:hint="default" w:ascii="Times New Roman" w:hAnsi="Times New Roman" w:eastAsia="宋体" w:cs="Times New Roman"/>
          <w:b w:val="0"/>
          <w:bCs w:val="0"/>
          <w:color w:val="auto"/>
          <w:sz w:val="21"/>
          <w:szCs w:val="21"/>
          <w:highlight w:val="none"/>
          <w:lang w:val="en-US" w:eastAsia="zh-CN" w:bidi="ar-SA"/>
        </w:rPr>
        <w:t>4.专家组在对企业开展指导服务、培训等服务的过程中，不得接受企业宴请，不得收受企业礼品、礼金。</w:t>
      </w:r>
    </w:p>
    <w:p w14:paraId="78DAA030">
      <w:pPr>
        <w:pStyle w:val="3"/>
        <w:spacing w:line="360" w:lineRule="auto"/>
        <w:rPr>
          <w:rFonts w:hint="default" w:ascii="Times New Roman" w:hAnsi="Times New Roman" w:cs="Times New Roman"/>
          <w:color w:val="auto"/>
          <w:highlight w:val="none"/>
          <w:lang w:val="en-US" w:eastAsia="zh-CN"/>
        </w:rPr>
      </w:pPr>
      <w:r>
        <w:rPr>
          <w:rFonts w:hint="default" w:ascii="Times New Roman" w:hAnsi="Times New Roman" w:cs="Times New Roman"/>
          <w:color w:val="auto"/>
          <w:highlight w:val="none"/>
          <w:lang w:val="en-US" w:eastAsia="zh-CN"/>
        </w:rPr>
        <w:t>（二）工作内容</w:t>
      </w:r>
    </w:p>
    <w:p w14:paraId="36741078">
      <w:pPr>
        <w:pStyle w:val="5"/>
        <w:spacing w:line="360" w:lineRule="auto"/>
        <w:rPr>
          <w:rFonts w:hint="default" w:ascii="Times New Roman" w:hAnsi="Times New Roman" w:cs="Times New Roman"/>
          <w:color w:val="auto"/>
          <w:highlight w:val="none"/>
          <w:lang w:val="en-US" w:eastAsia="zh-CN"/>
        </w:rPr>
      </w:pPr>
      <w:r>
        <w:rPr>
          <w:rFonts w:hint="default" w:ascii="Times New Roman" w:hAnsi="Times New Roman" w:cs="Times New Roman"/>
          <w:color w:val="auto"/>
          <w:highlight w:val="none"/>
          <w:lang w:val="en-US" w:eastAsia="zh-CN"/>
        </w:rPr>
        <w:t>2.1环保检查</w:t>
      </w:r>
    </w:p>
    <w:p w14:paraId="759D40E7">
      <w:pPr>
        <w:keepNext w:val="0"/>
        <w:keepLines w:val="0"/>
        <w:pageBreakBefore w:val="0"/>
        <w:widowControl/>
        <w:spacing w:line="360" w:lineRule="auto"/>
        <w:ind w:left="0" w:firstLine="420"/>
        <w:outlineLvl w:val="9"/>
        <w:rPr>
          <w:rFonts w:hint="default" w:ascii="Times New Roman" w:hAnsi="Times New Roman" w:eastAsia="宋体" w:cs="Times New Roman"/>
          <w:b w:val="0"/>
          <w:bCs w:val="0"/>
          <w:color w:val="auto"/>
          <w:sz w:val="21"/>
          <w:szCs w:val="21"/>
          <w:highlight w:val="none"/>
          <w:lang w:val="en-US" w:eastAsia="zh-CN" w:bidi="ar-SA"/>
        </w:rPr>
      </w:pPr>
      <w:r>
        <w:rPr>
          <w:rFonts w:hint="default" w:ascii="Times New Roman" w:hAnsi="Times New Roman" w:cs="Times New Roman"/>
          <w:b w:val="0"/>
          <w:bCs w:val="0"/>
          <w:color w:val="auto"/>
          <w:sz w:val="21"/>
          <w:szCs w:val="21"/>
          <w:highlight w:val="none"/>
          <w:lang w:val="en-US" w:eastAsia="zh-CN" w:bidi="ar-SA"/>
        </w:rPr>
        <w:t>2.1.1对照园区制定的</w:t>
      </w:r>
      <w:r>
        <w:rPr>
          <w:rFonts w:hint="default" w:ascii="Times New Roman" w:hAnsi="Times New Roman" w:eastAsia="宋体" w:cs="Times New Roman"/>
          <w:b w:val="0"/>
          <w:bCs w:val="0"/>
          <w:color w:val="auto"/>
          <w:sz w:val="21"/>
          <w:szCs w:val="21"/>
          <w:highlight w:val="none"/>
          <w:lang w:val="en-US" w:eastAsia="zh-CN" w:bidi="ar-SA"/>
        </w:rPr>
        <w:t>指导服务计划，开展相应企业的指导服务工作;</w:t>
      </w:r>
    </w:p>
    <w:p w14:paraId="138C587F">
      <w:pPr>
        <w:keepNext w:val="0"/>
        <w:keepLines w:val="0"/>
        <w:pageBreakBefore w:val="0"/>
        <w:widowControl/>
        <w:spacing w:line="360" w:lineRule="auto"/>
        <w:ind w:left="0" w:firstLine="420"/>
        <w:outlineLvl w:val="9"/>
        <w:rPr>
          <w:rFonts w:hint="default" w:ascii="Times New Roman" w:hAnsi="Times New Roman" w:eastAsia="宋体" w:cs="Times New Roman"/>
          <w:b w:val="0"/>
          <w:bCs w:val="0"/>
          <w:color w:val="auto"/>
          <w:sz w:val="21"/>
          <w:szCs w:val="21"/>
          <w:highlight w:val="none"/>
          <w:lang w:val="en-US" w:eastAsia="zh-CN" w:bidi="ar-SA"/>
        </w:rPr>
      </w:pPr>
      <w:r>
        <w:rPr>
          <w:rFonts w:hint="default" w:ascii="Times New Roman" w:hAnsi="Times New Roman" w:cs="Times New Roman"/>
          <w:b w:val="0"/>
          <w:bCs w:val="0"/>
          <w:color w:val="auto"/>
          <w:sz w:val="21"/>
          <w:szCs w:val="21"/>
          <w:highlight w:val="none"/>
          <w:lang w:val="en-US" w:eastAsia="zh-CN" w:bidi="ar-SA"/>
        </w:rPr>
        <w:t>2.1.2</w:t>
      </w:r>
      <w:r>
        <w:rPr>
          <w:rFonts w:hint="default" w:ascii="Times New Roman" w:hAnsi="Times New Roman" w:eastAsia="宋体" w:cs="Times New Roman"/>
          <w:b w:val="0"/>
          <w:bCs w:val="0"/>
          <w:color w:val="auto"/>
          <w:sz w:val="21"/>
          <w:szCs w:val="21"/>
          <w:highlight w:val="none"/>
          <w:lang w:val="en-US" w:eastAsia="zh-CN" w:bidi="ar-SA"/>
        </w:rPr>
        <w:t>对园区企业每</w:t>
      </w:r>
      <w:r>
        <w:rPr>
          <w:rFonts w:hint="default" w:ascii="Times New Roman" w:hAnsi="Times New Roman" w:cs="Times New Roman"/>
          <w:b w:val="0"/>
          <w:bCs w:val="0"/>
          <w:color w:val="auto"/>
          <w:sz w:val="21"/>
          <w:szCs w:val="21"/>
          <w:highlight w:val="none"/>
          <w:lang w:val="en-US" w:eastAsia="zh-CN" w:bidi="ar-SA"/>
        </w:rPr>
        <w:t>季度</w:t>
      </w:r>
      <w:r>
        <w:rPr>
          <w:rFonts w:hint="default" w:ascii="Times New Roman" w:hAnsi="Times New Roman" w:eastAsia="宋体" w:cs="Times New Roman"/>
          <w:b w:val="0"/>
          <w:bCs w:val="0"/>
          <w:color w:val="auto"/>
          <w:sz w:val="21"/>
          <w:szCs w:val="21"/>
          <w:highlight w:val="none"/>
          <w:lang w:val="en-US" w:eastAsia="zh-CN" w:bidi="ar-SA"/>
        </w:rPr>
        <w:t>至少开展一次环保专项指导服务；对所有指导服务情况及时进行数据汇总，形成隐患数据清单，掌握所有指导服务隐患整改闭环情况；</w:t>
      </w:r>
    </w:p>
    <w:p w14:paraId="5E6153B5">
      <w:pPr>
        <w:keepNext w:val="0"/>
        <w:keepLines w:val="0"/>
        <w:pageBreakBefore w:val="0"/>
        <w:widowControl/>
        <w:spacing w:line="360" w:lineRule="auto"/>
        <w:ind w:left="0" w:firstLine="420"/>
        <w:outlineLvl w:val="9"/>
        <w:rPr>
          <w:rFonts w:hint="default" w:ascii="Times New Roman" w:hAnsi="Times New Roman" w:cs="Times New Roman"/>
          <w:b w:val="0"/>
          <w:bCs w:val="0"/>
          <w:color w:val="auto"/>
          <w:sz w:val="21"/>
          <w:szCs w:val="21"/>
          <w:highlight w:val="none"/>
          <w:lang w:val="en-US" w:eastAsia="zh-CN" w:bidi="ar-SA"/>
        </w:rPr>
      </w:pPr>
      <w:r>
        <w:rPr>
          <w:rFonts w:hint="default" w:ascii="Times New Roman" w:hAnsi="Times New Roman" w:cs="Times New Roman"/>
          <w:b w:val="0"/>
          <w:bCs w:val="0"/>
          <w:color w:val="auto"/>
          <w:sz w:val="21"/>
          <w:szCs w:val="21"/>
          <w:highlight w:val="none"/>
          <w:lang w:val="en-US" w:eastAsia="zh-CN" w:bidi="ar-SA"/>
        </w:rPr>
        <w:t>2.1.3编制检查表，制定月度检查计划；检查须提前通知企业。对检查中发现的隐患，必须留下影像资料,对每个被检查对象的检查与复查均须出具相关工作报告。通过检查，应及时将发现的企业环保薄弱环节告知园区监管人员，配合下发企业提醒函。</w:t>
      </w:r>
    </w:p>
    <w:p w14:paraId="3C9C9CFD">
      <w:pPr>
        <w:keepNext w:val="0"/>
        <w:keepLines w:val="0"/>
        <w:pageBreakBefore w:val="0"/>
        <w:widowControl/>
        <w:spacing w:line="360" w:lineRule="auto"/>
        <w:ind w:left="0" w:firstLine="420"/>
        <w:outlineLvl w:val="9"/>
        <w:rPr>
          <w:rFonts w:hint="default" w:ascii="Times New Roman" w:hAnsi="Times New Roman" w:cs="Times New Roman"/>
          <w:b w:val="0"/>
          <w:bCs w:val="0"/>
          <w:color w:val="auto"/>
          <w:sz w:val="21"/>
          <w:szCs w:val="21"/>
          <w:highlight w:val="none"/>
          <w:lang w:val="en-US" w:eastAsia="zh-CN" w:bidi="ar-SA"/>
        </w:rPr>
      </w:pPr>
      <w:r>
        <w:rPr>
          <w:rFonts w:hint="default" w:ascii="Times New Roman" w:hAnsi="Times New Roman" w:cs="Times New Roman"/>
          <w:b w:val="0"/>
          <w:bCs w:val="0"/>
          <w:color w:val="auto"/>
          <w:sz w:val="21"/>
          <w:szCs w:val="21"/>
          <w:highlight w:val="none"/>
          <w:lang w:val="en-US" w:eastAsia="zh-CN" w:bidi="ar-SA"/>
        </w:rPr>
        <w:t>2.1.4对园区内热电、化工、原料药、水处理等重点行业企业，以及其他纳入重点排污单位名录的企业，每半年开展一次深度环保检查，当月开展过深度环保检查的企业不再开展当月常规检查</w:t>
      </w:r>
      <w:r>
        <w:rPr>
          <w:rFonts w:hint="default" w:ascii="Times New Roman" w:hAnsi="Times New Roman" w:eastAsia="宋体" w:cs="Times New Roman"/>
          <w:b w:val="0"/>
          <w:bCs w:val="0"/>
          <w:color w:val="auto"/>
          <w:sz w:val="21"/>
          <w:szCs w:val="21"/>
          <w:highlight w:val="none"/>
          <w:lang w:val="en-US" w:eastAsia="zh-CN" w:bidi="ar-SA"/>
        </w:rPr>
        <w:t>；</w:t>
      </w:r>
    </w:p>
    <w:p w14:paraId="439B4E29">
      <w:pPr>
        <w:keepNext w:val="0"/>
        <w:keepLines w:val="0"/>
        <w:pageBreakBefore w:val="0"/>
        <w:widowControl/>
        <w:spacing w:line="360" w:lineRule="auto"/>
        <w:ind w:left="0" w:firstLine="420"/>
        <w:outlineLvl w:val="9"/>
        <w:rPr>
          <w:rFonts w:hint="default" w:ascii="Times New Roman" w:hAnsi="Times New Roman" w:eastAsia="宋体" w:cs="Times New Roman"/>
          <w:b w:val="0"/>
          <w:bCs w:val="0"/>
          <w:color w:val="auto"/>
          <w:sz w:val="21"/>
          <w:szCs w:val="21"/>
          <w:highlight w:val="none"/>
          <w:lang w:val="en-US" w:eastAsia="zh-CN" w:bidi="ar-SA"/>
        </w:rPr>
      </w:pPr>
      <w:r>
        <w:rPr>
          <w:rFonts w:hint="default" w:ascii="Times New Roman" w:hAnsi="Times New Roman" w:eastAsia="宋体" w:cs="Times New Roman"/>
          <w:b w:val="0"/>
          <w:bCs w:val="0"/>
          <w:color w:val="auto"/>
          <w:sz w:val="21"/>
          <w:szCs w:val="21"/>
          <w:highlight w:val="none"/>
          <w:lang w:val="en-US" w:eastAsia="zh-CN" w:bidi="ar-SA"/>
        </w:rPr>
        <w:t>2.</w:t>
      </w:r>
      <w:r>
        <w:rPr>
          <w:rFonts w:hint="default" w:ascii="Times New Roman" w:hAnsi="Times New Roman" w:cs="Times New Roman"/>
          <w:b w:val="0"/>
          <w:bCs w:val="0"/>
          <w:color w:val="auto"/>
          <w:sz w:val="21"/>
          <w:szCs w:val="21"/>
          <w:highlight w:val="none"/>
          <w:lang w:val="en-US" w:eastAsia="zh-CN" w:bidi="ar-SA"/>
        </w:rPr>
        <w:t>1.5</w:t>
      </w:r>
      <w:r>
        <w:rPr>
          <w:rFonts w:hint="default" w:ascii="Times New Roman" w:hAnsi="Times New Roman" w:eastAsia="宋体" w:cs="Times New Roman"/>
          <w:b w:val="0"/>
          <w:bCs w:val="0"/>
          <w:color w:val="auto"/>
          <w:sz w:val="21"/>
          <w:szCs w:val="21"/>
          <w:highlight w:val="none"/>
          <w:lang w:val="en-US" w:eastAsia="zh-CN" w:bidi="ar-SA"/>
        </w:rPr>
        <w:t>每季度环保方面分别对不少于2家企业开展一次“一企一策”深度指导服务</w:t>
      </w:r>
      <w:r>
        <w:rPr>
          <w:rFonts w:hint="default" w:ascii="Times New Roman" w:hAnsi="Times New Roman" w:cs="Times New Roman"/>
          <w:b w:val="0"/>
          <w:bCs w:val="0"/>
          <w:color w:val="auto"/>
          <w:sz w:val="21"/>
          <w:szCs w:val="21"/>
          <w:highlight w:val="none"/>
          <w:lang w:val="en-US" w:eastAsia="zh-CN" w:bidi="ar-SA"/>
        </w:rPr>
        <w:t>，形成“一企一策”报告</w:t>
      </w:r>
      <w:r>
        <w:rPr>
          <w:rFonts w:hint="default" w:ascii="Times New Roman" w:hAnsi="Times New Roman" w:eastAsia="宋体" w:cs="Times New Roman"/>
          <w:b w:val="0"/>
          <w:bCs w:val="0"/>
          <w:color w:val="auto"/>
          <w:sz w:val="21"/>
          <w:szCs w:val="21"/>
          <w:highlight w:val="none"/>
          <w:lang w:val="en-US" w:eastAsia="zh-CN" w:bidi="ar-SA"/>
        </w:rPr>
        <w:t>。</w:t>
      </w:r>
    </w:p>
    <w:p w14:paraId="17035FFE">
      <w:pPr>
        <w:pStyle w:val="5"/>
        <w:rPr>
          <w:rFonts w:hint="default" w:ascii="Times New Roman" w:hAnsi="Times New Roman" w:cs="Times New Roman"/>
          <w:color w:val="auto"/>
          <w:highlight w:val="none"/>
          <w:lang w:val="en-US" w:eastAsia="zh-CN"/>
        </w:rPr>
      </w:pPr>
      <w:r>
        <w:rPr>
          <w:rFonts w:hint="default" w:ascii="Times New Roman" w:hAnsi="Times New Roman" w:cs="Times New Roman"/>
          <w:color w:val="auto"/>
          <w:highlight w:val="none"/>
          <w:lang w:val="en-US" w:eastAsia="zh-CN"/>
        </w:rPr>
        <w:t>2.2企业提升</w:t>
      </w:r>
    </w:p>
    <w:p w14:paraId="43D5D5C8">
      <w:pPr>
        <w:keepNext w:val="0"/>
        <w:keepLines w:val="0"/>
        <w:pageBreakBefore w:val="0"/>
        <w:widowControl/>
        <w:spacing w:line="360" w:lineRule="auto"/>
        <w:ind w:left="0" w:firstLine="420"/>
        <w:outlineLvl w:val="9"/>
        <w:rPr>
          <w:rFonts w:hint="default" w:ascii="Times New Roman" w:hAnsi="Times New Roman" w:eastAsia="宋体" w:cs="Times New Roman"/>
          <w:b w:val="0"/>
          <w:bCs w:val="0"/>
          <w:color w:val="auto"/>
          <w:sz w:val="21"/>
          <w:szCs w:val="21"/>
          <w:highlight w:val="none"/>
          <w:lang w:val="en-US" w:eastAsia="zh-CN" w:bidi="ar-SA"/>
        </w:rPr>
      </w:pPr>
      <w:r>
        <w:rPr>
          <w:rFonts w:hint="default" w:ascii="Times New Roman" w:hAnsi="Times New Roman" w:cs="Times New Roman"/>
          <w:b w:val="0"/>
          <w:bCs w:val="0"/>
          <w:color w:val="auto"/>
          <w:sz w:val="21"/>
          <w:szCs w:val="21"/>
          <w:highlight w:val="none"/>
          <w:lang w:val="en-US" w:eastAsia="zh-CN" w:bidi="ar-SA"/>
        </w:rPr>
        <w:t>2.2.1</w:t>
      </w:r>
      <w:r>
        <w:rPr>
          <w:rFonts w:hint="default" w:ascii="Times New Roman" w:hAnsi="Times New Roman" w:eastAsia="宋体" w:cs="Times New Roman"/>
          <w:b w:val="0"/>
          <w:bCs w:val="0"/>
          <w:color w:val="auto"/>
          <w:sz w:val="21"/>
          <w:szCs w:val="21"/>
          <w:highlight w:val="none"/>
          <w:lang w:val="en-US" w:eastAsia="zh-CN" w:bidi="ar-SA"/>
        </w:rPr>
        <w:t>每年协助园区组织企业环保专项培训不少于2次；</w:t>
      </w:r>
    </w:p>
    <w:p w14:paraId="609199DB">
      <w:pPr>
        <w:keepNext w:val="0"/>
        <w:keepLines w:val="0"/>
        <w:pageBreakBefore w:val="0"/>
        <w:widowControl/>
        <w:spacing w:line="360" w:lineRule="auto"/>
        <w:ind w:left="0" w:firstLine="420"/>
        <w:outlineLvl w:val="9"/>
        <w:rPr>
          <w:rFonts w:hint="default" w:ascii="Times New Roman" w:hAnsi="Times New Roman" w:eastAsia="宋体" w:cs="Times New Roman"/>
          <w:b w:val="0"/>
          <w:bCs w:val="0"/>
          <w:color w:val="auto"/>
          <w:sz w:val="21"/>
          <w:szCs w:val="21"/>
          <w:highlight w:val="none"/>
          <w:lang w:val="en-US" w:eastAsia="zh-CN" w:bidi="ar-SA"/>
        </w:rPr>
      </w:pPr>
      <w:r>
        <w:rPr>
          <w:rFonts w:hint="default" w:ascii="Times New Roman" w:hAnsi="Times New Roman" w:cs="Times New Roman"/>
          <w:b w:val="0"/>
          <w:bCs w:val="0"/>
          <w:color w:val="auto"/>
          <w:sz w:val="21"/>
          <w:szCs w:val="21"/>
          <w:highlight w:val="none"/>
          <w:lang w:val="en-US" w:eastAsia="zh-CN" w:bidi="ar-SA"/>
        </w:rPr>
        <w:t>2.2.2</w:t>
      </w:r>
      <w:r>
        <w:rPr>
          <w:rFonts w:hint="default" w:ascii="Times New Roman" w:hAnsi="Times New Roman" w:eastAsia="宋体" w:cs="Times New Roman"/>
          <w:b w:val="0"/>
          <w:bCs w:val="0"/>
          <w:color w:val="auto"/>
          <w:sz w:val="21"/>
          <w:szCs w:val="21"/>
          <w:highlight w:val="none"/>
          <w:lang w:val="en-US" w:eastAsia="zh-CN" w:bidi="ar-SA"/>
        </w:rPr>
        <w:t>每年度指导</w:t>
      </w:r>
      <w:r>
        <w:rPr>
          <w:rFonts w:hint="default" w:ascii="Times New Roman" w:hAnsi="Times New Roman" w:cs="Times New Roman"/>
          <w:b w:val="0"/>
          <w:bCs w:val="0"/>
          <w:color w:val="auto"/>
          <w:sz w:val="21"/>
          <w:szCs w:val="21"/>
          <w:highlight w:val="none"/>
          <w:lang w:val="en-US" w:eastAsia="zh-CN" w:bidi="ar-SA"/>
        </w:rPr>
        <w:t>园区</w:t>
      </w:r>
      <w:r>
        <w:rPr>
          <w:rFonts w:hint="default" w:ascii="Times New Roman" w:hAnsi="Times New Roman" w:eastAsia="宋体" w:cs="Times New Roman"/>
          <w:b w:val="0"/>
          <w:bCs w:val="0"/>
          <w:color w:val="auto"/>
          <w:sz w:val="21"/>
          <w:szCs w:val="21"/>
          <w:highlight w:val="none"/>
          <w:lang w:val="en-US" w:eastAsia="zh-CN" w:bidi="ar-SA"/>
        </w:rPr>
        <w:t>开展不少于1次</w:t>
      </w:r>
      <w:r>
        <w:rPr>
          <w:rFonts w:hint="default" w:ascii="Times New Roman" w:hAnsi="Times New Roman" w:cs="Times New Roman"/>
          <w:b w:val="0"/>
          <w:bCs w:val="0"/>
          <w:color w:val="auto"/>
          <w:sz w:val="21"/>
          <w:szCs w:val="21"/>
          <w:highlight w:val="none"/>
          <w:lang w:val="en-US" w:eastAsia="zh-CN" w:bidi="ar-SA"/>
        </w:rPr>
        <w:t>环保专项或综合应急演练。</w:t>
      </w:r>
    </w:p>
    <w:p w14:paraId="63E3BBB0">
      <w:pPr>
        <w:pStyle w:val="5"/>
        <w:rPr>
          <w:rFonts w:hint="default" w:ascii="Times New Roman" w:hAnsi="Times New Roman" w:cs="Times New Roman"/>
          <w:color w:val="auto"/>
          <w:highlight w:val="none"/>
          <w:lang w:val="en-US" w:eastAsia="zh-CN"/>
        </w:rPr>
      </w:pPr>
      <w:r>
        <w:rPr>
          <w:rFonts w:hint="default" w:ascii="Times New Roman" w:hAnsi="Times New Roman" w:cs="Times New Roman"/>
          <w:color w:val="auto"/>
          <w:highlight w:val="none"/>
          <w:lang w:val="en-US" w:eastAsia="zh-CN"/>
        </w:rPr>
        <w:t>2.3园区提升</w:t>
      </w:r>
    </w:p>
    <w:p w14:paraId="62C7B890">
      <w:pPr>
        <w:keepNext w:val="0"/>
        <w:keepLines w:val="0"/>
        <w:pageBreakBefore w:val="0"/>
        <w:widowControl/>
        <w:spacing w:line="360" w:lineRule="auto"/>
        <w:ind w:left="0" w:firstLine="420"/>
        <w:outlineLvl w:val="9"/>
        <w:rPr>
          <w:rFonts w:hint="default" w:ascii="Times New Roman" w:hAnsi="Times New Roman" w:eastAsia="宋体" w:cs="Times New Roman"/>
          <w:b w:val="0"/>
          <w:bCs w:val="0"/>
          <w:color w:val="auto"/>
          <w:sz w:val="21"/>
          <w:szCs w:val="21"/>
          <w:highlight w:val="none"/>
          <w:lang w:val="en-US" w:eastAsia="zh-CN" w:bidi="ar-SA"/>
        </w:rPr>
      </w:pPr>
      <w:r>
        <w:rPr>
          <w:rFonts w:hint="default" w:ascii="Times New Roman" w:hAnsi="Times New Roman" w:cs="Times New Roman"/>
          <w:b w:val="0"/>
          <w:bCs w:val="0"/>
          <w:color w:val="auto"/>
          <w:sz w:val="21"/>
          <w:szCs w:val="21"/>
          <w:highlight w:val="none"/>
          <w:lang w:val="en-US" w:eastAsia="zh-CN" w:bidi="ar-SA"/>
        </w:rPr>
        <w:t>2.3.1</w:t>
      </w:r>
      <w:r>
        <w:rPr>
          <w:rFonts w:hint="default" w:ascii="Times New Roman" w:hAnsi="Times New Roman" w:eastAsia="宋体" w:cs="Times New Roman"/>
          <w:b w:val="0"/>
          <w:bCs w:val="0"/>
          <w:color w:val="auto"/>
          <w:sz w:val="21"/>
          <w:szCs w:val="21"/>
          <w:highlight w:val="none"/>
          <w:lang w:val="en-US" w:eastAsia="zh-CN" w:bidi="ar-SA"/>
        </w:rPr>
        <w:t>结合相关法律法规、污染防治技术政策等要求，根据需求对园区管理机构环保监管人员开展技能培训；</w:t>
      </w:r>
    </w:p>
    <w:p w14:paraId="634AA7DF">
      <w:pPr>
        <w:keepNext w:val="0"/>
        <w:keepLines w:val="0"/>
        <w:pageBreakBefore w:val="0"/>
        <w:widowControl/>
        <w:spacing w:line="360" w:lineRule="auto"/>
        <w:ind w:left="0" w:firstLine="420"/>
        <w:outlineLvl w:val="9"/>
        <w:rPr>
          <w:rFonts w:hint="default" w:ascii="Times New Roman" w:hAnsi="Times New Roman" w:eastAsia="宋体" w:cs="Times New Roman"/>
          <w:b w:val="0"/>
          <w:bCs w:val="0"/>
          <w:color w:val="auto"/>
          <w:sz w:val="21"/>
          <w:szCs w:val="21"/>
          <w:highlight w:val="none"/>
          <w:lang w:val="en-US" w:eastAsia="zh-CN" w:bidi="ar-SA"/>
        </w:rPr>
      </w:pPr>
      <w:r>
        <w:rPr>
          <w:rFonts w:hint="default" w:ascii="Times New Roman" w:hAnsi="Times New Roman" w:cs="Times New Roman"/>
          <w:b w:val="0"/>
          <w:bCs w:val="0"/>
          <w:color w:val="auto"/>
          <w:sz w:val="21"/>
          <w:szCs w:val="21"/>
          <w:highlight w:val="none"/>
          <w:lang w:val="en-US" w:eastAsia="zh-CN" w:bidi="ar-SA"/>
        </w:rPr>
        <w:t>2.3.2</w:t>
      </w:r>
      <w:r>
        <w:rPr>
          <w:rFonts w:hint="default" w:ascii="Times New Roman" w:hAnsi="Times New Roman" w:eastAsia="宋体" w:cs="Times New Roman"/>
          <w:b w:val="0"/>
          <w:bCs w:val="0"/>
          <w:color w:val="auto"/>
          <w:sz w:val="21"/>
          <w:szCs w:val="21"/>
          <w:highlight w:val="none"/>
          <w:lang w:val="en-US" w:eastAsia="zh-CN" w:bidi="ar-SA"/>
        </w:rPr>
        <w:t>每</w:t>
      </w:r>
      <w:r>
        <w:rPr>
          <w:rFonts w:hint="default" w:ascii="Times New Roman" w:hAnsi="Times New Roman" w:cs="Times New Roman"/>
          <w:b w:val="0"/>
          <w:bCs w:val="0"/>
          <w:color w:val="auto"/>
          <w:sz w:val="21"/>
          <w:szCs w:val="21"/>
          <w:highlight w:val="none"/>
          <w:lang w:val="en-US" w:eastAsia="zh-CN" w:bidi="ar-SA"/>
        </w:rPr>
        <w:t>半年</w:t>
      </w:r>
      <w:r>
        <w:rPr>
          <w:rFonts w:hint="default" w:ascii="Times New Roman" w:hAnsi="Times New Roman" w:eastAsia="宋体" w:cs="Times New Roman"/>
          <w:b w:val="0"/>
          <w:bCs w:val="0"/>
          <w:color w:val="auto"/>
          <w:sz w:val="21"/>
          <w:szCs w:val="21"/>
          <w:highlight w:val="none"/>
          <w:lang w:val="en-US" w:eastAsia="zh-CN" w:bidi="ar-SA"/>
        </w:rPr>
        <w:t>向园区提供环保总结报告；</w:t>
      </w:r>
    </w:p>
    <w:p w14:paraId="6CE13B24">
      <w:pPr>
        <w:keepNext w:val="0"/>
        <w:keepLines w:val="0"/>
        <w:pageBreakBefore w:val="0"/>
        <w:widowControl/>
        <w:spacing w:line="360" w:lineRule="auto"/>
        <w:ind w:left="0" w:firstLine="420"/>
        <w:outlineLvl w:val="9"/>
        <w:rPr>
          <w:rFonts w:hint="default" w:ascii="Times New Roman" w:hAnsi="Times New Roman" w:eastAsia="宋体" w:cs="Times New Roman"/>
          <w:b w:val="0"/>
          <w:bCs w:val="0"/>
          <w:color w:val="auto"/>
          <w:sz w:val="21"/>
          <w:szCs w:val="21"/>
          <w:highlight w:val="none"/>
          <w:lang w:val="en-US" w:eastAsia="zh-CN" w:bidi="ar-SA"/>
        </w:rPr>
      </w:pPr>
      <w:r>
        <w:rPr>
          <w:rFonts w:hint="default" w:ascii="Times New Roman" w:hAnsi="Times New Roman" w:cs="Times New Roman"/>
          <w:b w:val="0"/>
          <w:bCs w:val="0"/>
          <w:color w:val="auto"/>
          <w:sz w:val="21"/>
          <w:szCs w:val="21"/>
          <w:highlight w:val="none"/>
          <w:lang w:val="en-US" w:eastAsia="zh-CN" w:bidi="ar-SA"/>
        </w:rPr>
        <w:t>2.3.3</w:t>
      </w:r>
      <w:r>
        <w:rPr>
          <w:rFonts w:hint="default" w:ascii="Times New Roman" w:hAnsi="Times New Roman" w:eastAsia="宋体" w:cs="Times New Roman"/>
          <w:b w:val="0"/>
          <w:bCs w:val="0"/>
          <w:color w:val="auto"/>
          <w:sz w:val="21"/>
          <w:szCs w:val="21"/>
          <w:highlight w:val="none"/>
          <w:lang w:val="en-US" w:eastAsia="zh-CN" w:bidi="ar-SA"/>
        </w:rPr>
        <w:t>重要节假日、重要时段，根据园区要求开展值班值守，并对辖区内企业开展环保巡查；</w:t>
      </w:r>
    </w:p>
    <w:p w14:paraId="13783742">
      <w:pPr>
        <w:keepNext w:val="0"/>
        <w:keepLines w:val="0"/>
        <w:pageBreakBefore w:val="0"/>
        <w:widowControl/>
        <w:spacing w:line="360" w:lineRule="auto"/>
        <w:ind w:left="0" w:firstLine="420"/>
        <w:outlineLvl w:val="9"/>
        <w:rPr>
          <w:rFonts w:hint="default" w:ascii="Times New Roman" w:hAnsi="Times New Roman" w:eastAsia="宋体" w:cs="Times New Roman"/>
          <w:b w:val="0"/>
          <w:bCs w:val="0"/>
          <w:color w:val="auto"/>
          <w:sz w:val="21"/>
          <w:szCs w:val="21"/>
          <w:highlight w:val="none"/>
          <w:lang w:val="en-US" w:eastAsia="zh-CN" w:bidi="ar-SA"/>
        </w:rPr>
      </w:pPr>
      <w:r>
        <w:rPr>
          <w:rFonts w:hint="default" w:ascii="Times New Roman" w:hAnsi="Times New Roman" w:cs="Times New Roman"/>
          <w:b w:val="0"/>
          <w:bCs w:val="0"/>
          <w:color w:val="auto"/>
          <w:sz w:val="21"/>
          <w:szCs w:val="21"/>
          <w:highlight w:val="none"/>
          <w:lang w:val="en-US" w:eastAsia="zh-CN" w:bidi="ar-SA"/>
        </w:rPr>
        <w:t>2.3.4</w:t>
      </w:r>
      <w:r>
        <w:rPr>
          <w:rFonts w:hint="default" w:ascii="Times New Roman" w:hAnsi="Times New Roman" w:eastAsia="宋体" w:cs="Times New Roman"/>
          <w:b w:val="0"/>
          <w:bCs w:val="0"/>
          <w:color w:val="auto"/>
          <w:sz w:val="21"/>
          <w:szCs w:val="21"/>
          <w:highlight w:val="none"/>
          <w:lang w:val="en-US" w:eastAsia="zh-CN" w:bidi="ar-SA"/>
        </w:rPr>
        <w:t>按照园区管理需要，提供包括但不限于专项指导服务、“新、改、扩”建项目</w:t>
      </w:r>
      <w:r>
        <w:rPr>
          <w:rFonts w:hint="default" w:ascii="Times New Roman" w:hAnsi="Times New Roman" w:cs="Times New Roman"/>
          <w:b w:val="0"/>
          <w:bCs w:val="0"/>
          <w:color w:val="auto"/>
          <w:sz w:val="21"/>
          <w:szCs w:val="21"/>
          <w:highlight w:val="none"/>
          <w:lang w:val="en-US" w:eastAsia="zh-CN" w:bidi="ar-SA"/>
        </w:rPr>
        <w:t>环评等</w:t>
      </w:r>
      <w:r>
        <w:rPr>
          <w:rFonts w:hint="default" w:ascii="Times New Roman" w:hAnsi="Times New Roman" w:eastAsia="宋体" w:cs="Times New Roman"/>
          <w:b w:val="0"/>
          <w:bCs w:val="0"/>
          <w:color w:val="auto"/>
          <w:sz w:val="21"/>
          <w:szCs w:val="21"/>
          <w:highlight w:val="none"/>
          <w:lang w:val="en-US" w:eastAsia="zh-CN" w:bidi="ar-SA"/>
        </w:rPr>
        <w:t>咨询服务，现有专家力量不足，每年度临时增派专家合计不超过20个工作日的，不另行结算费用。</w:t>
      </w:r>
    </w:p>
    <w:p w14:paraId="6238BB55">
      <w:pPr>
        <w:pStyle w:val="3"/>
        <w:spacing w:line="360" w:lineRule="auto"/>
        <w:rPr>
          <w:rFonts w:hint="default" w:ascii="Times New Roman" w:hAnsi="Times New Roman" w:eastAsia="宋体" w:cs="Times New Roman"/>
          <w:b w:val="0"/>
          <w:bCs w:val="0"/>
          <w:color w:val="auto"/>
          <w:sz w:val="21"/>
          <w:szCs w:val="21"/>
          <w:highlight w:val="none"/>
          <w:lang w:val="en-US" w:eastAsia="zh-CN" w:bidi="ar-SA"/>
        </w:rPr>
      </w:pPr>
      <w:r>
        <w:rPr>
          <w:rFonts w:hint="default" w:ascii="Times New Roman" w:hAnsi="Times New Roman" w:eastAsia="宋体" w:cs="Times New Roman"/>
          <w:b w:val="0"/>
          <w:bCs w:val="0"/>
          <w:color w:val="auto"/>
          <w:sz w:val="21"/>
          <w:szCs w:val="21"/>
          <w:highlight w:val="none"/>
          <w:lang w:val="en-US" w:eastAsia="zh-CN" w:bidi="ar-SA"/>
        </w:rPr>
        <w:t>园区对“环保</w:t>
      </w:r>
      <w:r>
        <w:rPr>
          <w:rFonts w:hint="default" w:ascii="Times New Roman" w:hAnsi="Times New Roman" w:cs="Times New Roman"/>
          <w:b w:val="0"/>
          <w:bCs w:val="0"/>
          <w:color w:val="auto"/>
          <w:sz w:val="21"/>
          <w:szCs w:val="21"/>
          <w:highlight w:val="none"/>
          <w:lang w:val="en-US" w:eastAsia="zh-CN" w:bidi="ar-SA"/>
        </w:rPr>
        <w:t>指导</w:t>
      </w:r>
      <w:r>
        <w:rPr>
          <w:rFonts w:hint="default" w:ascii="Times New Roman" w:hAnsi="Times New Roman" w:eastAsia="宋体" w:cs="Times New Roman"/>
          <w:b w:val="0"/>
          <w:bCs w:val="0"/>
          <w:color w:val="auto"/>
          <w:sz w:val="21"/>
          <w:szCs w:val="21"/>
          <w:highlight w:val="none"/>
          <w:lang w:val="en-US" w:eastAsia="zh-CN" w:bidi="ar-SA"/>
        </w:rPr>
        <w:t>”团队按照上述要求每年度开展周期考核</w:t>
      </w:r>
      <w:r>
        <w:rPr>
          <w:rFonts w:hint="default" w:ascii="Times New Roman" w:hAnsi="Times New Roman" w:cs="Times New Roman"/>
          <w:b w:val="0"/>
          <w:bCs w:val="0"/>
          <w:color w:val="auto"/>
          <w:sz w:val="21"/>
          <w:szCs w:val="21"/>
          <w:highlight w:val="none"/>
          <w:lang w:val="en-US" w:eastAsia="zh-CN" w:bidi="ar-SA"/>
        </w:rPr>
        <w:t>，</w:t>
      </w:r>
      <w:r>
        <w:rPr>
          <w:rFonts w:hint="default" w:ascii="Times New Roman" w:hAnsi="Times New Roman" w:eastAsia="宋体" w:cs="Times New Roman"/>
          <w:b w:val="0"/>
          <w:bCs w:val="0"/>
          <w:color w:val="auto"/>
          <w:sz w:val="21"/>
          <w:szCs w:val="21"/>
          <w:highlight w:val="none"/>
          <w:lang w:val="en-US" w:eastAsia="zh-CN" w:bidi="ar-SA"/>
        </w:rPr>
        <w:t>考核要求详服务合同。</w:t>
      </w:r>
    </w:p>
    <w:p w14:paraId="6C75DE3C">
      <w:pPr>
        <w:pStyle w:val="3"/>
        <w:spacing w:line="360" w:lineRule="auto"/>
        <w:rPr>
          <w:rFonts w:hint="default" w:ascii="Times New Roman" w:hAnsi="Times New Roman" w:cs="Times New Roman"/>
          <w:color w:val="auto"/>
          <w:highlight w:val="none"/>
        </w:rPr>
      </w:pPr>
      <w:r>
        <w:rPr>
          <w:rFonts w:hint="default" w:ascii="Times New Roman" w:hAnsi="Times New Roman" w:cs="Times New Roman"/>
          <w:color w:val="auto"/>
          <w:highlight w:val="none"/>
          <w:lang w:eastAsia="zh-CN"/>
        </w:rPr>
        <w:t>（</w:t>
      </w:r>
      <w:r>
        <w:rPr>
          <w:rFonts w:hint="default" w:ascii="Times New Roman" w:hAnsi="Times New Roman" w:cs="Times New Roman"/>
          <w:color w:val="auto"/>
          <w:highlight w:val="none"/>
          <w:lang w:val="en-US" w:eastAsia="zh-CN"/>
        </w:rPr>
        <w:t>三</w:t>
      </w:r>
      <w:r>
        <w:rPr>
          <w:rFonts w:hint="default" w:ascii="Times New Roman" w:hAnsi="Times New Roman" w:cs="Times New Roman"/>
          <w:color w:val="auto"/>
          <w:highlight w:val="none"/>
          <w:lang w:eastAsia="zh-CN"/>
        </w:rPr>
        <w:t>）</w:t>
      </w:r>
      <w:r>
        <w:rPr>
          <w:rFonts w:hint="default" w:ascii="Times New Roman" w:hAnsi="Times New Roman" w:cs="Times New Roman"/>
          <w:color w:val="auto"/>
          <w:highlight w:val="none"/>
        </w:rPr>
        <w:t>督查考核</w:t>
      </w:r>
    </w:p>
    <w:p w14:paraId="36753CCC">
      <w:pPr>
        <w:keepNext w:val="0"/>
        <w:keepLines w:val="0"/>
        <w:pageBreakBefore w:val="0"/>
        <w:widowControl/>
        <w:spacing w:line="360" w:lineRule="auto"/>
        <w:ind w:left="0" w:firstLine="420"/>
        <w:outlineLvl w:val="9"/>
        <w:rPr>
          <w:rFonts w:hint="default" w:ascii="Times New Roman" w:hAnsi="Times New Roman" w:cs="Times New Roman"/>
          <w:b w:val="0"/>
          <w:bCs w:val="0"/>
          <w:color w:val="auto"/>
          <w:sz w:val="21"/>
          <w:szCs w:val="21"/>
          <w:highlight w:val="none"/>
          <w:lang w:val="en-US" w:eastAsia="zh-CN" w:bidi="ar-SA"/>
        </w:rPr>
      </w:pPr>
      <w:r>
        <w:rPr>
          <w:rFonts w:hint="default" w:ascii="Times New Roman" w:hAnsi="Times New Roman" w:cs="Times New Roman"/>
          <w:b w:val="0"/>
          <w:bCs w:val="0"/>
          <w:color w:val="auto"/>
          <w:sz w:val="21"/>
          <w:szCs w:val="21"/>
          <w:highlight w:val="none"/>
          <w:lang w:val="en-US" w:eastAsia="zh-CN" w:bidi="ar-SA"/>
        </w:rPr>
        <w:t>除了严格执行上述工作机制及内容中相关要求外,必须服从园区环保指导服务活动督导小组的督导和考核。以一年为一个考核周期，考核与招投标约定挂钩,考核实行百分制,低于90分的，每少1分，扣合同签约服务费用的2%；低于80分的，园区将终止服务合同，并不予支付剩余未付费用。</w:t>
      </w:r>
    </w:p>
    <w:p w14:paraId="21DD20B2">
      <w:pPr>
        <w:keepNext w:val="0"/>
        <w:keepLines w:val="0"/>
        <w:pageBreakBefore w:val="0"/>
        <w:widowControl/>
        <w:spacing w:line="360" w:lineRule="auto"/>
        <w:ind w:left="0" w:firstLine="420"/>
        <w:outlineLvl w:val="9"/>
        <w:rPr>
          <w:rFonts w:hint="default" w:ascii="Times New Roman" w:hAnsi="Times New Roman" w:cs="Times New Roman"/>
          <w:b w:val="0"/>
          <w:bCs w:val="0"/>
          <w:color w:val="auto"/>
          <w:sz w:val="21"/>
          <w:szCs w:val="21"/>
          <w:highlight w:val="none"/>
          <w:lang w:val="en-US" w:eastAsia="zh-CN" w:bidi="ar-SA"/>
        </w:rPr>
      </w:pPr>
      <w:r>
        <w:rPr>
          <w:rFonts w:hint="default" w:ascii="Times New Roman" w:hAnsi="Times New Roman" w:cs="Times New Roman"/>
          <w:b w:val="0"/>
          <w:bCs w:val="0"/>
          <w:color w:val="auto"/>
          <w:sz w:val="21"/>
          <w:szCs w:val="21"/>
          <w:highlight w:val="none"/>
          <w:lang w:val="en-US" w:eastAsia="zh-CN" w:bidi="ar-SA"/>
        </w:rPr>
        <w:t>考核实行百分制，对服务供应商考核不达标项实行扣分制，具体考核内容如下：</w:t>
      </w:r>
    </w:p>
    <w:p w14:paraId="01508708">
      <w:pPr>
        <w:pStyle w:val="5"/>
        <w:spacing w:line="360" w:lineRule="auto"/>
        <w:rPr>
          <w:rFonts w:hint="default" w:ascii="Times New Roman" w:hAnsi="Times New Roman" w:cs="Times New Roman"/>
          <w:color w:val="auto"/>
          <w:highlight w:val="none"/>
          <w:lang w:val="en-US" w:eastAsia="zh-CN"/>
        </w:rPr>
      </w:pPr>
      <w:r>
        <w:rPr>
          <w:rFonts w:hint="default" w:ascii="Times New Roman" w:hAnsi="Times New Roman" w:cs="Times New Roman"/>
          <w:color w:val="auto"/>
          <w:highlight w:val="none"/>
          <w:lang w:val="en-US" w:eastAsia="zh-CN"/>
        </w:rPr>
        <w:t>1.环保检查</w:t>
      </w:r>
    </w:p>
    <w:p w14:paraId="62A4629E">
      <w:pPr>
        <w:keepNext w:val="0"/>
        <w:keepLines w:val="0"/>
        <w:pageBreakBefore w:val="0"/>
        <w:widowControl/>
        <w:spacing w:line="360" w:lineRule="auto"/>
        <w:ind w:left="0" w:firstLine="420"/>
        <w:outlineLvl w:val="9"/>
        <w:rPr>
          <w:rFonts w:hint="default" w:ascii="Times New Roman" w:hAnsi="Times New Roman" w:cs="Times New Roman"/>
          <w:b w:val="0"/>
          <w:bCs w:val="0"/>
          <w:color w:val="auto"/>
          <w:sz w:val="21"/>
          <w:szCs w:val="21"/>
          <w:highlight w:val="none"/>
          <w:lang w:val="en-US" w:eastAsia="zh-CN" w:bidi="ar-SA"/>
        </w:rPr>
      </w:pPr>
      <w:r>
        <w:rPr>
          <w:rFonts w:hint="default" w:ascii="Times New Roman" w:hAnsi="Times New Roman" w:cs="Times New Roman"/>
          <w:b w:val="0"/>
          <w:bCs w:val="0"/>
          <w:color w:val="auto"/>
          <w:sz w:val="21"/>
          <w:szCs w:val="21"/>
          <w:highlight w:val="none"/>
          <w:lang w:val="en-US" w:eastAsia="zh-CN" w:bidi="ar-SA"/>
        </w:rPr>
        <w:t>1.1</w:t>
      </w:r>
      <w:r>
        <w:rPr>
          <w:rFonts w:hint="default" w:ascii="Times New Roman" w:hAnsi="Times New Roman" w:eastAsia="宋体" w:cs="Times New Roman"/>
          <w:b w:val="0"/>
          <w:bCs w:val="0"/>
          <w:color w:val="auto"/>
          <w:sz w:val="21"/>
          <w:szCs w:val="21"/>
          <w:highlight w:val="none"/>
          <w:lang w:val="en-US" w:eastAsia="zh-CN" w:bidi="ar-SA"/>
        </w:rPr>
        <w:t>对园区企业每</w:t>
      </w:r>
      <w:r>
        <w:rPr>
          <w:rFonts w:hint="default" w:ascii="Times New Roman" w:hAnsi="Times New Roman" w:cs="Times New Roman"/>
          <w:b w:val="0"/>
          <w:bCs w:val="0"/>
          <w:color w:val="auto"/>
          <w:sz w:val="21"/>
          <w:szCs w:val="21"/>
          <w:highlight w:val="none"/>
          <w:lang w:val="en-US" w:eastAsia="zh-CN" w:bidi="ar-SA"/>
        </w:rPr>
        <w:t>季度</w:t>
      </w:r>
      <w:r>
        <w:rPr>
          <w:rFonts w:hint="default" w:ascii="Times New Roman" w:hAnsi="Times New Roman" w:eastAsia="宋体" w:cs="Times New Roman"/>
          <w:b w:val="0"/>
          <w:bCs w:val="0"/>
          <w:color w:val="auto"/>
          <w:sz w:val="21"/>
          <w:szCs w:val="21"/>
          <w:highlight w:val="none"/>
          <w:lang w:val="en-US" w:eastAsia="zh-CN" w:bidi="ar-SA"/>
        </w:rPr>
        <w:t>至少开展一次环保专项指导服务；对所有指导服务情况及时进行数据汇总，形成隐患数据清单，掌握所有指导服务隐患整改闭环情况</w:t>
      </w:r>
      <w:r>
        <w:rPr>
          <w:rFonts w:hint="default" w:ascii="Times New Roman" w:hAnsi="Times New Roman" w:cs="Times New Roman"/>
          <w:b w:val="0"/>
          <w:bCs w:val="0"/>
          <w:color w:val="auto"/>
          <w:sz w:val="21"/>
          <w:szCs w:val="21"/>
          <w:highlight w:val="none"/>
          <w:lang w:val="en-US" w:eastAsia="zh-CN" w:bidi="ar-SA"/>
        </w:rPr>
        <w:t>。每单位缺少一次，扣0.5分；每有一家未形成隐患数据清单，扣0.5分。</w:t>
      </w:r>
    </w:p>
    <w:p w14:paraId="753029A9">
      <w:pPr>
        <w:keepNext w:val="0"/>
        <w:keepLines w:val="0"/>
        <w:pageBreakBefore w:val="0"/>
        <w:widowControl/>
        <w:spacing w:line="360" w:lineRule="auto"/>
        <w:ind w:left="0" w:firstLine="420"/>
        <w:outlineLvl w:val="9"/>
        <w:rPr>
          <w:rFonts w:hint="default" w:ascii="Times New Roman" w:hAnsi="Times New Roman" w:cs="Times New Roman"/>
          <w:b w:val="0"/>
          <w:bCs w:val="0"/>
          <w:color w:val="auto"/>
          <w:sz w:val="21"/>
          <w:szCs w:val="21"/>
          <w:highlight w:val="none"/>
          <w:lang w:val="en-US" w:eastAsia="zh-CN" w:bidi="ar-SA"/>
        </w:rPr>
      </w:pPr>
      <w:r>
        <w:rPr>
          <w:rFonts w:hint="default" w:ascii="Times New Roman" w:hAnsi="Times New Roman" w:cs="Times New Roman"/>
          <w:b w:val="0"/>
          <w:bCs w:val="0"/>
          <w:color w:val="auto"/>
          <w:sz w:val="21"/>
          <w:szCs w:val="21"/>
          <w:highlight w:val="none"/>
          <w:lang w:val="en-US" w:eastAsia="zh-CN" w:bidi="ar-SA"/>
        </w:rPr>
        <w:t>1.2检查未编制检查表，或未制定检查计划；检查程序不符合要求的；检查中发现的隐患，未留下影像资料；未对每个检查与复查出具相关工作报告的。每出现一例，扣0.5分。</w:t>
      </w:r>
    </w:p>
    <w:p w14:paraId="32508601">
      <w:pPr>
        <w:keepNext w:val="0"/>
        <w:keepLines w:val="0"/>
        <w:pageBreakBefore w:val="0"/>
        <w:widowControl/>
        <w:spacing w:line="360" w:lineRule="auto"/>
        <w:ind w:left="0" w:firstLine="420"/>
        <w:outlineLvl w:val="9"/>
        <w:rPr>
          <w:rFonts w:hint="default" w:ascii="Times New Roman" w:hAnsi="Times New Roman" w:cs="Times New Roman"/>
          <w:b w:val="0"/>
          <w:bCs w:val="0"/>
          <w:color w:val="auto"/>
          <w:sz w:val="21"/>
          <w:szCs w:val="21"/>
          <w:highlight w:val="none"/>
          <w:lang w:val="en-US" w:eastAsia="zh-CN" w:bidi="ar-SA"/>
        </w:rPr>
      </w:pPr>
      <w:r>
        <w:rPr>
          <w:rFonts w:hint="default" w:ascii="Times New Roman" w:hAnsi="Times New Roman" w:cs="Times New Roman"/>
          <w:b w:val="0"/>
          <w:bCs w:val="0"/>
          <w:color w:val="auto"/>
          <w:sz w:val="21"/>
          <w:szCs w:val="21"/>
          <w:highlight w:val="none"/>
          <w:lang w:val="en-US" w:eastAsia="zh-CN" w:bidi="ar-SA"/>
        </w:rPr>
        <w:t>1.3对园区内热电、化工、原料药、水处理等重点行业企业及其他纳入重点排污单位名录的企业，未按要求每半年开展一次深度环保检查的，每缺少一家次扣0.5分；每季度未分别对不少于2家企业开展"一企一策"深度指导服务的，每少一家扣1分。</w:t>
      </w:r>
    </w:p>
    <w:p w14:paraId="75A5246E">
      <w:pPr>
        <w:pStyle w:val="5"/>
        <w:spacing w:line="360" w:lineRule="auto"/>
        <w:rPr>
          <w:rFonts w:hint="default" w:ascii="Times New Roman" w:hAnsi="Times New Roman" w:cs="Times New Roman"/>
          <w:color w:val="auto"/>
          <w:highlight w:val="none"/>
          <w:lang w:val="en-US" w:eastAsia="zh-CN"/>
        </w:rPr>
      </w:pPr>
      <w:r>
        <w:rPr>
          <w:rFonts w:hint="default" w:ascii="Times New Roman" w:hAnsi="Times New Roman" w:cs="Times New Roman"/>
          <w:color w:val="auto"/>
          <w:highlight w:val="none"/>
          <w:lang w:val="en-US" w:eastAsia="zh-CN"/>
        </w:rPr>
        <w:t>1.4未按照园区制定的指导服务计划或专项检查指导要求，开展企业指导服务，每</w:t>
      </w:r>
    </w:p>
    <w:p w14:paraId="565F61B9">
      <w:pPr>
        <w:pStyle w:val="5"/>
        <w:spacing w:line="360" w:lineRule="auto"/>
        <w:ind w:left="0" w:firstLine="0"/>
        <w:rPr>
          <w:rFonts w:hint="default" w:ascii="Times New Roman" w:hAnsi="Times New Roman" w:cs="Times New Roman"/>
          <w:color w:val="auto"/>
          <w:highlight w:val="none"/>
          <w:lang w:val="en-US" w:eastAsia="zh-CN"/>
        </w:rPr>
      </w:pPr>
      <w:r>
        <w:rPr>
          <w:rFonts w:hint="default" w:ascii="Times New Roman" w:hAnsi="Times New Roman" w:cs="Times New Roman"/>
          <w:color w:val="auto"/>
          <w:highlight w:val="none"/>
          <w:lang w:val="en-US" w:eastAsia="zh-CN"/>
        </w:rPr>
        <w:t>缺少一次扣0.5分。</w:t>
      </w:r>
    </w:p>
    <w:p w14:paraId="5667F2BC">
      <w:pPr>
        <w:pStyle w:val="5"/>
        <w:spacing w:line="360" w:lineRule="auto"/>
        <w:rPr>
          <w:rFonts w:hint="default" w:ascii="Times New Roman" w:hAnsi="Times New Roman" w:cs="Times New Roman"/>
          <w:color w:val="auto"/>
          <w:highlight w:val="none"/>
          <w:lang w:val="en-US" w:eastAsia="zh-CN"/>
        </w:rPr>
      </w:pPr>
      <w:r>
        <w:rPr>
          <w:rFonts w:hint="default" w:ascii="Times New Roman" w:hAnsi="Times New Roman" w:cs="Times New Roman"/>
          <w:color w:val="auto"/>
          <w:highlight w:val="none"/>
          <w:lang w:val="en-US" w:eastAsia="zh-CN"/>
        </w:rPr>
        <w:t>2.企业提升</w:t>
      </w:r>
    </w:p>
    <w:p w14:paraId="19BA4696">
      <w:pPr>
        <w:keepNext w:val="0"/>
        <w:keepLines w:val="0"/>
        <w:pageBreakBefore w:val="0"/>
        <w:widowControl/>
        <w:spacing w:line="360" w:lineRule="auto"/>
        <w:ind w:left="0" w:firstLine="420"/>
        <w:outlineLvl w:val="9"/>
        <w:rPr>
          <w:rFonts w:hint="default" w:ascii="Times New Roman" w:hAnsi="Times New Roman" w:cs="Times New Roman"/>
          <w:b w:val="0"/>
          <w:bCs w:val="0"/>
          <w:color w:val="auto"/>
          <w:sz w:val="21"/>
          <w:szCs w:val="21"/>
          <w:highlight w:val="none"/>
          <w:lang w:val="en-US" w:eastAsia="zh-CN" w:bidi="ar-SA"/>
        </w:rPr>
      </w:pPr>
      <w:r>
        <w:rPr>
          <w:rFonts w:hint="default" w:ascii="Times New Roman" w:hAnsi="Times New Roman" w:cs="Times New Roman"/>
          <w:b w:val="0"/>
          <w:bCs w:val="0"/>
          <w:color w:val="auto"/>
          <w:sz w:val="21"/>
          <w:szCs w:val="21"/>
          <w:highlight w:val="none"/>
          <w:lang w:val="en-US" w:eastAsia="zh-CN" w:bidi="ar-SA"/>
        </w:rPr>
        <w:t>2.1每年需协助园区组织企业环保专项培训不少于2次；每缺少一次，扣0.5分。</w:t>
      </w:r>
    </w:p>
    <w:p w14:paraId="03E254C0">
      <w:pPr>
        <w:keepNext w:val="0"/>
        <w:keepLines w:val="0"/>
        <w:pageBreakBefore w:val="0"/>
        <w:widowControl/>
        <w:spacing w:line="360" w:lineRule="auto"/>
        <w:ind w:left="0" w:firstLine="420"/>
        <w:outlineLvl w:val="9"/>
        <w:rPr>
          <w:rFonts w:hint="default" w:ascii="Times New Roman" w:hAnsi="Times New Roman" w:cs="Times New Roman"/>
          <w:b w:val="0"/>
          <w:bCs w:val="0"/>
          <w:color w:val="auto"/>
          <w:sz w:val="21"/>
          <w:szCs w:val="21"/>
          <w:highlight w:val="none"/>
          <w:lang w:val="en-US" w:eastAsia="zh-CN" w:bidi="ar-SA"/>
        </w:rPr>
      </w:pPr>
      <w:r>
        <w:rPr>
          <w:rFonts w:hint="default" w:ascii="Times New Roman" w:hAnsi="Times New Roman" w:cs="Times New Roman"/>
          <w:b w:val="0"/>
          <w:bCs w:val="0"/>
          <w:color w:val="auto"/>
          <w:sz w:val="21"/>
          <w:szCs w:val="21"/>
          <w:highlight w:val="none"/>
          <w:lang w:val="en-US" w:eastAsia="zh-CN" w:bidi="ar-SA"/>
        </w:rPr>
        <w:t>2.2每年度需组织指导开展不少于1次环保专项或综合性应急演练，缺少一次，扣1分。</w:t>
      </w:r>
    </w:p>
    <w:p w14:paraId="2382D76B">
      <w:pPr>
        <w:pStyle w:val="5"/>
        <w:spacing w:line="360" w:lineRule="auto"/>
        <w:rPr>
          <w:rFonts w:hint="default" w:ascii="Times New Roman" w:hAnsi="Times New Roman" w:cs="Times New Roman"/>
          <w:color w:val="auto"/>
          <w:highlight w:val="none"/>
          <w:lang w:val="en-US" w:eastAsia="zh-CN"/>
        </w:rPr>
      </w:pPr>
      <w:r>
        <w:rPr>
          <w:rFonts w:hint="default" w:ascii="Times New Roman" w:hAnsi="Times New Roman" w:cs="Times New Roman"/>
          <w:color w:val="auto"/>
          <w:highlight w:val="none"/>
          <w:lang w:val="en-US" w:eastAsia="zh-CN"/>
        </w:rPr>
        <w:t>3.园区提升</w:t>
      </w:r>
    </w:p>
    <w:p w14:paraId="7016BCD0">
      <w:pPr>
        <w:keepNext w:val="0"/>
        <w:keepLines w:val="0"/>
        <w:pageBreakBefore w:val="0"/>
        <w:widowControl/>
        <w:spacing w:line="360" w:lineRule="auto"/>
        <w:ind w:left="0" w:firstLine="420"/>
        <w:outlineLvl w:val="9"/>
        <w:rPr>
          <w:rFonts w:hint="default" w:ascii="Times New Roman" w:hAnsi="Times New Roman" w:cs="Times New Roman"/>
          <w:b w:val="0"/>
          <w:bCs w:val="0"/>
          <w:color w:val="auto"/>
          <w:sz w:val="21"/>
          <w:szCs w:val="21"/>
          <w:highlight w:val="none"/>
          <w:lang w:val="en-US" w:eastAsia="zh-CN" w:bidi="ar-SA"/>
        </w:rPr>
      </w:pPr>
      <w:r>
        <w:rPr>
          <w:rFonts w:hint="default" w:ascii="Times New Roman" w:hAnsi="Times New Roman" w:cs="Times New Roman"/>
          <w:b w:val="0"/>
          <w:bCs w:val="0"/>
          <w:color w:val="auto"/>
          <w:sz w:val="21"/>
          <w:szCs w:val="21"/>
          <w:highlight w:val="none"/>
          <w:lang w:val="en-US" w:eastAsia="zh-CN" w:bidi="ar-SA"/>
        </w:rPr>
        <w:t>3.1未根据需求对园区管理机构环保监管人员开展培训的，扣0.5分。</w:t>
      </w:r>
    </w:p>
    <w:p w14:paraId="5E43D903">
      <w:pPr>
        <w:keepNext w:val="0"/>
        <w:keepLines w:val="0"/>
        <w:pageBreakBefore w:val="0"/>
        <w:widowControl/>
        <w:spacing w:line="360" w:lineRule="auto"/>
        <w:ind w:left="0" w:firstLine="420"/>
        <w:outlineLvl w:val="9"/>
        <w:rPr>
          <w:rFonts w:hint="default" w:ascii="Times New Roman" w:hAnsi="Times New Roman" w:cs="Times New Roman"/>
          <w:b w:val="0"/>
          <w:bCs w:val="0"/>
          <w:color w:val="auto"/>
          <w:sz w:val="21"/>
          <w:szCs w:val="21"/>
          <w:highlight w:val="none"/>
          <w:lang w:val="en-US" w:eastAsia="zh-CN" w:bidi="ar-SA"/>
        </w:rPr>
      </w:pPr>
      <w:r>
        <w:rPr>
          <w:rFonts w:hint="default" w:ascii="Times New Roman" w:hAnsi="Times New Roman" w:cs="Times New Roman"/>
          <w:b w:val="0"/>
          <w:bCs w:val="0"/>
          <w:color w:val="auto"/>
          <w:sz w:val="21"/>
          <w:szCs w:val="21"/>
          <w:highlight w:val="none"/>
          <w:lang w:val="en-US" w:eastAsia="zh-CN" w:bidi="ar-SA"/>
        </w:rPr>
        <w:t>3.2每半年未能向园区提供环保半年工作总结报告的。每缺少一次，扣2分。</w:t>
      </w:r>
    </w:p>
    <w:p w14:paraId="0EE7F763">
      <w:pPr>
        <w:keepNext w:val="0"/>
        <w:keepLines w:val="0"/>
        <w:pageBreakBefore w:val="0"/>
        <w:widowControl/>
        <w:spacing w:line="360" w:lineRule="auto"/>
        <w:ind w:left="0" w:firstLine="420"/>
        <w:outlineLvl w:val="9"/>
        <w:rPr>
          <w:rFonts w:hint="default" w:ascii="Times New Roman" w:hAnsi="Times New Roman" w:cs="Times New Roman"/>
          <w:b w:val="0"/>
          <w:bCs w:val="0"/>
          <w:color w:val="auto"/>
          <w:sz w:val="21"/>
          <w:szCs w:val="21"/>
          <w:highlight w:val="none"/>
          <w:lang w:val="en-US" w:eastAsia="zh-CN" w:bidi="ar-SA"/>
        </w:rPr>
      </w:pPr>
      <w:r>
        <w:rPr>
          <w:rFonts w:hint="default" w:ascii="Times New Roman" w:hAnsi="Times New Roman" w:cs="Times New Roman"/>
          <w:b w:val="0"/>
          <w:bCs w:val="0"/>
          <w:color w:val="auto"/>
          <w:sz w:val="21"/>
          <w:szCs w:val="21"/>
          <w:highlight w:val="none"/>
          <w:lang w:val="en-US" w:eastAsia="zh-CN" w:bidi="ar-SA"/>
        </w:rPr>
        <w:t>3.3按照园区管理需要，未提供专项指导服务、“新、改、扩”建项目环评等技术咨询服务的。每出现一例，扣0.5分。</w:t>
      </w:r>
    </w:p>
    <w:p w14:paraId="6B047BEA">
      <w:pPr>
        <w:pStyle w:val="5"/>
        <w:spacing w:line="360" w:lineRule="auto"/>
        <w:rPr>
          <w:rFonts w:hint="default" w:ascii="Times New Roman" w:hAnsi="Times New Roman" w:cs="Times New Roman"/>
          <w:color w:val="auto"/>
          <w:highlight w:val="none"/>
        </w:rPr>
      </w:pPr>
      <w:r>
        <w:rPr>
          <w:rFonts w:hint="default" w:ascii="Times New Roman" w:hAnsi="Times New Roman" w:cs="Times New Roman"/>
          <w:color w:val="auto"/>
          <w:highlight w:val="none"/>
        </w:rPr>
        <w:t>4.其他管理：</w:t>
      </w:r>
    </w:p>
    <w:p w14:paraId="152383FA">
      <w:pPr>
        <w:pStyle w:val="206"/>
        <w:keepNext w:val="0"/>
        <w:keepLines w:val="0"/>
        <w:pageBreakBefore w:val="0"/>
        <w:widowControl w:val="0"/>
        <w:tabs>
          <w:tab w:val="left" w:pos="1602"/>
        </w:tabs>
        <w:spacing w:line="360" w:lineRule="auto"/>
        <w:ind w:firstLine="420"/>
        <w:rPr>
          <w:rFonts w:hint="default" w:ascii="Times New Roman" w:hAnsi="Times New Roman" w:eastAsia="宋体" w:cs="Times New Roman"/>
          <w:b w:val="0"/>
          <w:bCs w:val="0"/>
          <w:color w:val="auto"/>
          <w:sz w:val="21"/>
          <w:szCs w:val="21"/>
          <w:highlight w:val="none"/>
          <w:lang w:val="en-US" w:eastAsia="zh-CN" w:bidi="ar-SA"/>
        </w:rPr>
      </w:pPr>
      <w:r>
        <w:rPr>
          <w:rFonts w:hint="default" w:ascii="Times New Roman" w:hAnsi="Times New Roman" w:eastAsia="宋体" w:cs="Times New Roman"/>
          <w:b w:val="0"/>
          <w:bCs w:val="0"/>
          <w:color w:val="auto"/>
          <w:sz w:val="21"/>
          <w:szCs w:val="21"/>
          <w:highlight w:val="none"/>
          <w:lang w:val="en-US" w:eastAsia="zh-CN" w:bidi="ar-SA"/>
        </w:rPr>
        <w:t>4.1坐班专家与园区正常作息时间一致，如有人员遇特殊情况，须提前一个工作日向园区主管部门请假。凡未提前说明情况，擅自脱岗，有1人次，扣0.5分。</w:t>
      </w:r>
    </w:p>
    <w:p w14:paraId="4CE525AE">
      <w:pPr>
        <w:pStyle w:val="206"/>
        <w:keepNext w:val="0"/>
        <w:keepLines w:val="0"/>
        <w:pageBreakBefore w:val="0"/>
        <w:widowControl w:val="0"/>
        <w:tabs>
          <w:tab w:val="left" w:pos="1723"/>
        </w:tabs>
        <w:spacing w:line="360" w:lineRule="auto"/>
        <w:ind w:firstLine="420"/>
        <w:rPr>
          <w:rFonts w:hint="default" w:ascii="Times New Roman" w:hAnsi="Times New Roman" w:eastAsia="宋体" w:cs="Times New Roman"/>
          <w:b w:val="0"/>
          <w:bCs w:val="0"/>
          <w:color w:val="auto"/>
          <w:sz w:val="21"/>
          <w:szCs w:val="21"/>
          <w:highlight w:val="none"/>
          <w:lang w:val="en-US" w:eastAsia="zh-CN" w:bidi="ar-SA"/>
        </w:rPr>
      </w:pPr>
      <w:r>
        <w:rPr>
          <w:rFonts w:hint="default" w:ascii="Times New Roman" w:hAnsi="Times New Roman" w:eastAsia="宋体" w:cs="Times New Roman"/>
          <w:b w:val="0"/>
          <w:bCs w:val="0"/>
          <w:color w:val="auto"/>
          <w:sz w:val="21"/>
          <w:szCs w:val="21"/>
          <w:highlight w:val="none"/>
          <w:lang w:val="en-US" w:eastAsia="zh-CN" w:bidi="ar-SA"/>
        </w:rPr>
        <w:t>4.2专家组成员未经园区书面同意不得随意中途更换，若出现随意更换情况，有1人次，扣2分。</w:t>
      </w:r>
    </w:p>
    <w:p w14:paraId="77182EFE">
      <w:pPr>
        <w:pStyle w:val="206"/>
        <w:keepNext w:val="0"/>
        <w:keepLines w:val="0"/>
        <w:pageBreakBefore w:val="0"/>
        <w:widowControl w:val="0"/>
        <w:tabs>
          <w:tab w:val="left" w:pos="1723"/>
        </w:tabs>
        <w:spacing w:line="360" w:lineRule="auto"/>
        <w:ind w:firstLine="420"/>
        <w:rPr>
          <w:rFonts w:hint="default" w:ascii="Times New Roman" w:hAnsi="Times New Roman" w:eastAsia="宋体" w:cs="Times New Roman"/>
          <w:b w:val="0"/>
          <w:bCs w:val="0"/>
          <w:color w:val="auto"/>
          <w:sz w:val="21"/>
          <w:szCs w:val="21"/>
          <w:highlight w:val="none"/>
          <w:lang w:val="en-US" w:eastAsia="zh-CN" w:bidi="ar-SA"/>
        </w:rPr>
      </w:pPr>
      <w:r>
        <w:rPr>
          <w:rFonts w:hint="default" w:ascii="Times New Roman" w:hAnsi="Times New Roman" w:eastAsia="宋体" w:cs="Times New Roman"/>
          <w:b w:val="0"/>
          <w:bCs w:val="0"/>
          <w:color w:val="auto"/>
          <w:sz w:val="21"/>
          <w:szCs w:val="21"/>
          <w:highlight w:val="none"/>
          <w:lang w:val="en-US" w:eastAsia="zh-CN" w:bidi="ar-SA"/>
        </w:rPr>
        <w:t>4.3专家组在对企业开展的检查及复查过程中，有出具虚假报告的；或者对发现隐患隐瞒不报的情况；或者专家组在对企业开展检查、培训等服务的过程中，出现收受企业礼品的情况；上述情况经核查属实，有1次，扣</w:t>
      </w:r>
      <w:r>
        <w:rPr>
          <w:rFonts w:hint="default" w:ascii="Times New Roman" w:hAnsi="Times New Roman" w:cs="Times New Roman"/>
          <w:b w:val="0"/>
          <w:bCs w:val="0"/>
          <w:color w:val="auto"/>
          <w:sz w:val="21"/>
          <w:szCs w:val="21"/>
          <w:highlight w:val="none"/>
          <w:lang w:val="en-US" w:eastAsia="zh-CN" w:bidi="ar-SA"/>
        </w:rPr>
        <w:t>3</w:t>
      </w:r>
      <w:r>
        <w:rPr>
          <w:rFonts w:hint="default" w:ascii="Times New Roman" w:hAnsi="Times New Roman" w:eastAsia="宋体" w:cs="Times New Roman"/>
          <w:b w:val="0"/>
          <w:bCs w:val="0"/>
          <w:color w:val="auto"/>
          <w:sz w:val="21"/>
          <w:szCs w:val="21"/>
          <w:highlight w:val="none"/>
          <w:lang w:val="en-US" w:eastAsia="zh-CN" w:bidi="ar-SA"/>
        </w:rPr>
        <w:t>分。</w:t>
      </w:r>
    </w:p>
    <w:p w14:paraId="13D486B2">
      <w:pPr>
        <w:pStyle w:val="206"/>
        <w:keepNext w:val="0"/>
        <w:keepLines w:val="0"/>
        <w:pageBreakBefore w:val="0"/>
        <w:widowControl w:val="0"/>
        <w:tabs>
          <w:tab w:val="left" w:pos="1723"/>
        </w:tabs>
        <w:spacing w:line="360" w:lineRule="auto"/>
        <w:ind w:firstLine="420"/>
        <w:rPr>
          <w:rFonts w:hint="default" w:ascii="Times New Roman" w:hAnsi="Times New Roman" w:eastAsia="宋体" w:cs="Times New Roman"/>
          <w:b w:val="0"/>
          <w:bCs w:val="0"/>
          <w:color w:val="auto"/>
          <w:sz w:val="21"/>
          <w:szCs w:val="21"/>
          <w:highlight w:val="none"/>
          <w:lang w:val="en-US" w:eastAsia="zh-CN" w:bidi="ar-SA"/>
        </w:rPr>
      </w:pPr>
      <w:r>
        <w:rPr>
          <w:rFonts w:hint="default" w:ascii="Times New Roman" w:hAnsi="Times New Roman" w:eastAsia="宋体" w:cs="Times New Roman"/>
          <w:b w:val="0"/>
          <w:bCs w:val="0"/>
          <w:color w:val="auto"/>
          <w:sz w:val="21"/>
          <w:szCs w:val="21"/>
          <w:highlight w:val="none"/>
          <w:lang w:val="en-US" w:eastAsia="zh-CN" w:bidi="ar-SA"/>
        </w:rPr>
        <w:t>4.4考核周期内，若园区企业发生突发环境事故，经事故调查组事故调查报告认定的事故原因涉及中标单位人员工作失责（隐患排查不及时不彻底、风险辨识不全面的，不包括企业单方人为因素、不可抗力因素等导致的突发环境事故）。每发生一起</w:t>
      </w:r>
      <w:r>
        <w:rPr>
          <w:rFonts w:hint="default" w:ascii="Times New Roman" w:hAnsi="Times New Roman" w:cs="Times New Roman"/>
          <w:b w:val="0"/>
          <w:bCs w:val="0"/>
          <w:color w:val="auto"/>
          <w:sz w:val="21"/>
          <w:szCs w:val="21"/>
          <w:highlight w:val="none"/>
          <w:lang w:val="en-US" w:eastAsia="zh-CN" w:bidi="ar-SA"/>
        </w:rPr>
        <w:t>一般</w:t>
      </w:r>
      <w:r>
        <w:rPr>
          <w:rFonts w:hint="default" w:ascii="Times New Roman" w:hAnsi="Times New Roman" w:eastAsia="宋体" w:cs="Times New Roman"/>
          <w:b w:val="0"/>
          <w:bCs w:val="0"/>
          <w:color w:val="auto"/>
          <w:sz w:val="21"/>
          <w:szCs w:val="21"/>
          <w:highlight w:val="none"/>
          <w:lang w:val="en-US" w:eastAsia="zh-CN" w:bidi="ar-SA"/>
        </w:rPr>
        <w:t>突发环境事故，扣3分；发生一起较大突发环境事故，扣</w:t>
      </w:r>
      <w:r>
        <w:rPr>
          <w:rFonts w:hint="default" w:ascii="Times New Roman" w:hAnsi="Times New Roman" w:cs="Times New Roman"/>
          <w:b w:val="0"/>
          <w:bCs w:val="0"/>
          <w:color w:val="auto"/>
          <w:sz w:val="21"/>
          <w:szCs w:val="21"/>
          <w:highlight w:val="none"/>
          <w:lang w:val="en-US" w:eastAsia="zh-CN" w:bidi="ar-SA"/>
        </w:rPr>
        <w:t>12</w:t>
      </w:r>
      <w:r>
        <w:rPr>
          <w:rFonts w:hint="default" w:ascii="Times New Roman" w:hAnsi="Times New Roman" w:eastAsia="宋体" w:cs="Times New Roman"/>
          <w:b w:val="0"/>
          <w:bCs w:val="0"/>
          <w:color w:val="auto"/>
          <w:sz w:val="21"/>
          <w:szCs w:val="21"/>
          <w:highlight w:val="none"/>
          <w:lang w:val="en-US" w:eastAsia="zh-CN" w:bidi="ar-SA"/>
        </w:rPr>
        <w:t>分。</w:t>
      </w:r>
    </w:p>
    <w:p w14:paraId="68151EDA">
      <w:pPr>
        <w:pStyle w:val="3"/>
        <w:spacing w:line="360" w:lineRule="auto"/>
        <w:rPr>
          <w:rFonts w:hint="default" w:ascii="Times New Roman" w:hAnsi="Times New Roman" w:cs="Times New Roman"/>
          <w:color w:val="auto"/>
          <w:highlight w:val="none"/>
        </w:rPr>
      </w:pPr>
      <w:r>
        <w:rPr>
          <w:rFonts w:hint="default" w:ascii="Times New Roman" w:hAnsi="Times New Roman" w:cs="Times New Roman"/>
          <w:color w:val="auto"/>
          <w:highlight w:val="none"/>
          <w:lang w:eastAsia="zh-CN"/>
        </w:rPr>
        <w:t>（</w:t>
      </w:r>
      <w:r>
        <w:rPr>
          <w:rFonts w:hint="default" w:ascii="Times New Roman" w:hAnsi="Times New Roman" w:cs="Times New Roman"/>
          <w:color w:val="auto"/>
          <w:highlight w:val="none"/>
          <w:lang w:val="en-US" w:eastAsia="zh-CN"/>
        </w:rPr>
        <w:t>四</w:t>
      </w:r>
      <w:r>
        <w:rPr>
          <w:rFonts w:hint="default" w:ascii="Times New Roman" w:hAnsi="Times New Roman" w:cs="Times New Roman"/>
          <w:color w:val="auto"/>
          <w:highlight w:val="none"/>
          <w:lang w:eastAsia="zh-CN"/>
        </w:rPr>
        <w:t>）</w:t>
      </w:r>
      <w:r>
        <w:rPr>
          <w:rFonts w:hint="default" w:ascii="Times New Roman" w:hAnsi="Times New Roman" w:cs="Times New Roman"/>
          <w:color w:val="auto"/>
          <w:highlight w:val="none"/>
        </w:rPr>
        <w:t>综合说明其他要求:</w:t>
      </w:r>
    </w:p>
    <w:p w14:paraId="304ADD86">
      <w:pPr>
        <w:pStyle w:val="206"/>
        <w:keepNext w:val="0"/>
        <w:keepLines w:val="0"/>
        <w:pageBreakBefore w:val="0"/>
        <w:widowControl w:val="0"/>
        <w:tabs>
          <w:tab w:val="left" w:pos="1602"/>
        </w:tabs>
        <w:spacing w:line="360" w:lineRule="auto"/>
        <w:ind w:firstLine="420"/>
        <w:rPr>
          <w:rFonts w:hint="default" w:ascii="Times New Roman" w:hAnsi="Times New Roman" w:eastAsia="宋体" w:cs="Times New Roman"/>
          <w:b w:val="0"/>
          <w:bCs w:val="0"/>
          <w:color w:val="auto"/>
          <w:sz w:val="21"/>
          <w:szCs w:val="21"/>
          <w:highlight w:val="none"/>
          <w:lang w:val="en-US" w:eastAsia="zh-CN" w:bidi="ar-SA"/>
        </w:rPr>
      </w:pPr>
      <w:r>
        <w:rPr>
          <w:rFonts w:hint="default" w:ascii="Times New Roman" w:hAnsi="Times New Roman" w:eastAsia="宋体" w:cs="Times New Roman"/>
          <w:b w:val="0"/>
          <w:bCs w:val="0"/>
          <w:color w:val="auto"/>
          <w:sz w:val="21"/>
          <w:szCs w:val="21"/>
          <w:highlight w:val="none"/>
          <w:lang w:val="en-US" w:eastAsia="zh-CN" w:bidi="ar-SA"/>
        </w:rPr>
        <w:t>4.1</w:t>
      </w:r>
      <w:r>
        <w:rPr>
          <w:rFonts w:hint="default" w:ascii="Times New Roman" w:hAnsi="Times New Roman" w:cs="Times New Roman"/>
          <w:b w:val="0"/>
          <w:bCs w:val="0"/>
          <w:color w:val="auto"/>
          <w:sz w:val="21"/>
          <w:szCs w:val="21"/>
          <w:highlight w:val="none"/>
          <w:lang w:val="en-US" w:eastAsia="zh-CN" w:bidi="ar-SA"/>
        </w:rPr>
        <w:t>磋商供应商</w:t>
      </w:r>
      <w:r>
        <w:rPr>
          <w:rFonts w:hint="default" w:ascii="Times New Roman" w:hAnsi="Times New Roman" w:eastAsia="宋体" w:cs="Times New Roman"/>
          <w:b w:val="0"/>
          <w:bCs w:val="0"/>
          <w:color w:val="auto"/>
          <w:sz w:val="21"/>
          <w:szCs w:val="21"/>
          <w:highlight w:val="none"/>
          <w:lang w:val="en-US" w:eastAsia="zh-CN" w:bidi="ar-SA"/>
        </w:rPr>
        <w:t>所提供的服务能够至少达到以上要求,同时明确详细的服务方案。中标单位如在实施的过程中出现错误、误差,须负责及时更正直至招标单位确认合格,中标单位在项目进行过程中产生的任何安全、损坏等责任事故一律由中标单位自行承担。</w:t>
      </w:r>
    </w:p>
    <w:p w14:paraId="595E7318">
      <w:pPr>
        <w:pStyle w:val="206"/>
        <w:keepNext w:val="0"/>
        <w:keepLines w:val="0"/>
        <w:pageBreakBefore w:val="0"/>
        <w:widowControl w:val="0"/>
        <w:tabs>
          <w:tab w:val="left" w:pos="1602"/>
        </w:tabs>
        <w:spacing w:line="360" w:lineRule="auto"/>
        <w:ind w:firstLine="420"/>
        <w:rPr>
          <w:rFonts w:hint="default" w:ascii="Times New Roman" w:hAnsi="Times New Roman" w:eastAsia="宋体" w:cs="Times New Roman"/>
          <w:b w:val="0"/>
          <w:bCs w:val="0"/>
          <w:color w:val="auto"/>
          <w:sz w:val="21"/>
          <w:szCs w:val="21"/>
          <w:highlight w:val="none"/>
          <w:lang w:val="en-US" w:eastAsia="zh-CN" w:bidi="ar-SA"/>
        </w:rPr>
      </w:pPr>
      <w:r>
        <w:rPr>
          <w:rFonts w:hint="default" w:ascii="Times New Roman" w:hAnsi="Times New Roman" w:eastAsia="宋体" w:cs="Times New Roman"/>
          <w:b w:val="0"/>
          <w:bCs w:val="0"/>
          <w:color w:val="auto"/>
          <w:sz w:val="21"/>
          <w:szCs w:val="21"/>
          <w:highlight w:val="none"/>
          <w:lang w:val="en-US" w:eastAsia="zh-CN" w:bidi="ar-SA"/>
        </w:rPr>
        <w:t>4.2</w:t>
      </w:r>
      <w:r>
        <w:rPr>
          <w:rFonts w:hint="default" w:ascii="Times New Roman" w:hAnsi="Times New Roman" w:cs="Times New Roman"/>
          <w:b w:val="0"/>
          <w:bCs w:val="0"/>
          <w:color w:val="auto"/>
          <w:sz w:val="21"/>
          <w:szCs w:val="21"/>
          <w:highlight w:val="none"/>
          <w:lang w:val="en-US" w:eastAsia="zh-CN" w:bidi="ar-SA"/>
        </w:rPr>
        <w:t>磋商供应商</w:t>
      </w:r>
      <w:r>
        <w:rPr>
          <w:rFonts w:hint="default" w:ascii="Times New Roman" w:hAnsi="Times New Roman" w:eastAsia="宋体" w:cs="Times New Roman"/>
          <w:b w:val="0"/>
          <w:bCs w:val="0"/>
          <w:color w:val="auto"/>
          <w:sz w:val="21"/>
          <w:szCs w:val="21"/>
          <w:highlight w:val="none"/>
          <w:lang w:val="en-US" w:eastAsia="zh-CN" w:bidi="ar-SA"/>
        </w:rPr>
        <w:t>必须承诺</w:t>
      </w:r>
      <w:r>
        <w:rPr>
          <w:rFonts w:hint="default" w:ascii="Times New Roman" w:hAnsi="Times New Roman" w:cs="Times New Roman"/>
          <w:b w:val="0"/>
          <w:bCs w:val="0"/>
          <w:color w:val="auto"/>
          <w:sz w:val="21"/>
          <w:szCs w:val="21"/>
          <w:highlight w:val="none"/>
          <w:lang w:val="en-US" w:eastAsia="zh-CN" w:bidi="ar-SA"/>
        </w:rPr>
        <w:t>磋商文件</w:t>
      </w:r>
      <w:r>
        <w:rPr>
          <w:rFonts w:hint="default" w:ascii="Times New Roman" w:hAnsi="Times New Roman" w:eastAsia="宋体" w:cs="Times New Roman"/>
          <w:b w:val="0"/>
          <w:bCs w:val="0"/>
          <w:color w:val="auto"/>
          <w:sz w:val="21"/>
          <w:szCs w:val="21"/>
          <w:highlight w:val="none"/>
          <w:lang w:val="en-US" w:eastAsia="zh-CN" w:bidi="ar-SA"/>
        </w:rPr>
        <w:t>中提出的全部要求,如果其中某些条款不响应时,应在文件中逐条列出,未列出的视同响应。</w:t>
      </w:r>
    </w:p>
    <w:p w14:paraId="7D979C50">
      <w:pPr>
        <w:pStyle w:val="206"/>
        <w:keepNext w:val="0"/>
        <w:keepLines w:val="0"/>
        <w:pageBreakBefore w:val="0"/>
        <w:widowControl w:val="0"/>
        <w:tabs>
          <w:tab w:val="left" w:pos="1602"/>
        </w:tabs>
        <w:spacing w:line="360" w:lineRule="auto"/>
        <w:ind w:firstLine="420"/>
        <w:rPr>
          <w:rFonts w:hint="default" w:ascii="Times New Roman" w:hAnsi="Times New Roman" w:eastAsia="宋体" w:cs="Times New Roman"/>
          <w:b w:val="0"/>
          <w:bCs w:val="0"/>
          <w:color w:val="auto"/>
          <w:sz w:val="21"/>
          <w:szCs w:val="21"/>
          <w:highlight w:val="none"/>
          <w:lang w:val="en-US" w:eastAsia="zh-CN" w:bidi="ar-SA"/>
        </w:rPr>
      </w:pPr>
      <w:r>
        <w:rPr>
          <w:rFonts w:hint="default" w:ascii="Times New Roman" w:hAnsi="Times New Roman" w:eastAsia="宋体" w:cs="Times New Roman"/>
          <w:b w:val="0"/>
          <w:bCs w:val="0"/>
          <w:color w:val="auto"/>
          <w:sz w:val="21"/>
          <w:szCs w:val="21"/>
          <w:highlight w:val="none"/>
          <w:lang w:val="en-US" w:eastAsia="zh-CN" w:bidi="ar-SA"/>
        </w:rPr>
        <w:t>4.3</w:t>
      </w:r>
      <w:r>
        <w:rPr>
          <w:rFonts w:hint="default" w:ascii="Times New Roman" w:hAnsi="Times New Roman" w:cs="Times New Roman"/>
          <w:b w:val="0"/>
          <w:bCs w:val="0"/>
          <w:color w:val="auto"/>
          <w:sz w:val="21"/>
          <w:szCs w:val="21"/>
          <w:highlight w:val="none"/>
          <w:lang w:val="en-US" w:eastAsia="zh-CN" w:bidi="ar-SA"/>
        </w:rPr>
        <w:t>磋商文件</w:t>
      </w:r>
      <w:r>
        <w:rPr>
          <w:rFonts w:hint="default" w:ascii="Times New Roman" w:hAnsi="Times New Roman" w:eastAsia="宋体" w:cs="Times New Roman"/>
          <w:b w:val="0"/>
          <w:bCs w:val="0"/>
          <w:color w:val="auto"/>
          <w:sz w:val="21"/>
          <w:szCs w:val="21"/>
          <w:highlight w:val="none"/>
          <w:lang w:val="en-US" w:eastAsia="zh-CN" w:bidi="ar-SA"/>
        </w:rPr>
        <w:t>提出的是最低限度的要求,并未对一切细节作出规定,也未充分引述全部有关标准和规范的条文,投标单位提供的服务成果文件都应符合已颁布的现行中华人民共和国认可的(部颁、行业)标准和国际标准化组织以及等效或更优的其他国家的权威性标准和规范的有关条文。如果这些标准内容有矛盾时,应按最高标准的条款执行。</w:t>
      </w:r>
    </w:p>
    <w:p w14:paraId="5E71A347">
      <w:pPr>
        <w:pStyle w:val="206"/>
        <w:keepNext w:val="0"/>
        <w:keepLines w:val="0"/>
        <w:pageBreakBefore w:val="0"/>
        <w:widowControl w:val="0"/>
        <w:tabs>
          <w:tab w:val="left" w:pos="1602"/>
        </w:tabs>
        <w:spacing w:line="360" w:lineRule="auto"/>
        <w:ind w:firstLine="420"/>
        <w:rPr>
          <w:rFonts w:hint="default" w:ascii="Times New Roman" w:hAnsi="Times New Roman" w:eastAsia="宋体" w:cs="Times New Roman"/>
          <w:b w:val="0"/>
          <w:bCs w:val="0"/>
          <w:color w:val="auto"/>
          <w:sz w:val="21"/>
          <w:szCs w:val="21"/>
          <w:highlight w:val="none"/>
          <w:lang w:val="en-US" w:eastAsia="zh-CN" w:bidi="ar-SA"/>
        </w:rPr>
      </w:pPr>
      <w:r>
        <w:rPr>
          <w:rFonts w:hint="default" w:ascii="Times New Roman" w:hAnsi="Times New Roman" w:eastAsia="宋体" w:cs="Times New Roman"/>
          <w:b w:val="0"/>
          <w:bCs w:val="0"/>
          <w:color w:val="auto"/>
          <w:sz w:val="21"/>
          <w:szCs w:val="21"/>
          <w:highlight w:val="none"/>
          <w:lang w:val="en-US" w:eastAsia="zh-CN" w:bidi="ar-SA"/>
        </w:rPr>
        <w:t>4.4服务人员条件:</w:t>
      </w:r>
      <w:r>
        <w:rPr>
          <w:rFonts w:hint="default" w:ascii="Times New Roman" w:hAnsi="Times New Roman" w:cs="Times New Roman"/>
          <w:b w:val="0"/>
          <w:bCs w:val="0"/>
          <w:color w:val="auto"/>
          <w:sz w:val="21"/>
          <w:szCs w:val="21"/>
          <w:highlight w:val="none"/>
          <w:lang w:val="en-US" w:eastAsia="zh-CN" w:bidi="ar-SA"/>
        </w:rPr>
        <w:t>响应文件</w:t>
      </w:r>
      <w:r>
        <w:rPr>
          <w:rFonts w:hint="default" w:ascii="Times New Roman" w:hAnsi="Times New Roman" w:eastAsia="宋体" w:cs="Times New Roman"/>
          <w:b w:val="0"/>
          <w:bCs w:val="0"/>
          <w:color w:val="auto"/>
          <w:sz w:val="21"/>
          <w:szCs w:val="21"/>
          <w:highlight w:val="none"/>
          <w:lang w:val="en-US" w:eastAsia="zh-CN" w:bidi="ar-SA"/>
        </w:rPr>
        <w:t>中应提供有关本次采购的所有服务所需人员的配备情况,包括其姓名、年龄、学历、专业、资质、履历、类似系统或项目经验等,</w:t>
      </w:r>
      <w:r>
        <w:rPr>
          <w:rFonts w:hint="default" w:ascii="Times New Roman" w:hAnsi="Times New Roman" w:cs="Times New Roman"/>
          <w:b w:val="0"/>
          <w:bCs w:val="0"/>
          <w:color w:val="auto"/>
          <w:sz w:val="21"/>
          <w:szCs w:val="21"/>
          <w:highlight w:val="none"/>
          <w:lang w:val="en-US" w:eastAsia="zh-CN" w:bidi="ar-SA"/>
        </w:rPr>
        <w:t>响应文件</w:t>
      </w:r>
      <w:r>
        <w:rPr>
          <w:rFonts w:hint="default" w:ascii="Times New Roman" w:hAnsi="Times New Roman" w:eastAsia="宋体" w:cs="Times New Roman"/>
          <w:b w:val="0"/>
          <w:bCs w:val="0"/>
          <w:color w:val="auto"/>
          <w:sz w:val="21"/>
          <w:szCs w:val="21"/>
          <w:highlight w:val="none"/>
          <w:lang w:val="en-US" w:eastAsia="zh-CN" w:bidi="ar-SA"/>
        </w:rPr>
        <w:t>须详细注明该人员在本次项目中所承担的职务和责任(按要求组织工作,保质、保量、按期完成任务,解决由乙方负责的各项事宜)以及服务时间,同时确认所有服务均已包含在合同总价内,并应在合同执行后提供有关上述人员全部履行职责的有效证明,否则视为违约,若该人员因不可抗力无法提供合同中所承诺的服务,投标方应提供同等资质人员替代其执行合同,该人员须获得采购方确认后方可开始工作,由此所引起的一切责任由中标人自负,且所有参加此项工作的人员必须为投标单位签订劳动合同人员。</w:t>
      </w:r>
    </w:p>
    <w:p w14:paraId="7E894297">
      <w:pPr>
        <w:pStyle w:val="206"/>
        <w:keepNext w:val="0"/>
        <w:keepLines w:val="0"/>
        <w:pageBreakBefore w:val="0"/>
        <w:widowControl w:val="0"/>
        <w:tabs>
          <w:tab w:val="left" w:pos="1602"/>
        </w:tabs>
        <w:spacing w:line="360" w:lineRule="auto"/>
        <w:ind w:firstLine="420"/>
        <w:rPr>
          <w:rFonts w:hint="default" w:ascii="Times New Roman" w:hAnsi="Times New Roman" w:eastAsia="宋体" w:cs="Times New Roman"/>
          <w:b w:val="0"/>
          <w:bCs w:val="0"/>
          <w:color w:val="auto"/>
          <w:sz w:val="21"/>
          <w:szCs w:val="21"/>
          <w:highlight w:val="none"/>
          <w:lang w:val="en-US" w:eastAsia="zh-CN" w:bidi="ar-SA"/>
        </w:rPr>
      </w:pPr>
      <w:r>
        <w:rPr>
          <w:rFonts w:hint="default" w:ascii="Times New Roman" w:hAnsi="Times New Roman" w:eastAsia="宋体" w:cs="Times New Roman"/>
          <w:b w:val="0"/>
          <w:bCs w:val="0"/>
          <w:color w:val="auto"/>
          <w:sz w:val="21"/>
          <w:szCs w:val="21"/>
          <w:highlight w:val="none"/>
          <w:lang w:val="en-US" w:eastAsia="zh-CN" w:bidi="ar-SA"/>
        </w:rPr>
        <w:t>4.5若中标人在服务期间发生下列行为之一的,采购人可解除服务合同,并保留相应损失追偿权。</w:t>
      </w:r>
    </w:p>
    <w:p w14:paraId="766F4064">
      <w:pPr>
        <w:pStyle w:val="206"/>
        <w:keepNext w:val="0"/>
        <w:keepLines w:val="0"/>
        <w:pageBreakBefore w:val="0"/>
        <w:widowControl w:val="0"/>
        <w:tabs>
          <w:tab w:val="left" w:pos="1602"/>
        </w:tabs>
        <w:spacing w:line="360" w:lineRule="auto"/>
        <w:ind w:firstLine="420"/>
        <w:rPr>
          <w:rFonts w:hint="default" w:ascii="Times New Roman" w:hAnsi="Times New Roman" w:eastAsia="宋体" w:cs="Times New Roman"/>
          <w:b w:val="0"/>
          <w:bCs w:val="0"/>
          <w:color w:val="auto"/>
          <w:sz w:val="21"/>
          <w:szCs w:val="21"/>
          <w:highlight w:val="none"/>
          <w:lang w:val="en-US" w:eastAsia="zh-CN" w:bidi="ar-SA"/>
        </w:rPr>
      </w:pPr>
      <w:r>
        <w:rPr>
          <w:rFonts w:hint="default" w:ascii="Times New Roman" w:hAnsi="Times New Roman" w:eastAsia="宋体" w:cs="Times New Roman"/>
          <w:b w:val="0"/>
          <w:bCs w:val="0"/>
          <w:color w:val="auto"/>
          <w:sz w:val="21"/>
          <w:szCs w:val="21"/>
          <w:highlight w:val="none"/>
          <w:lang w:val="en-US" w:eastAsia="zh-CN" w:bidi="ar-SA"/>
        </w:rPr>
        <w:t>(1)将承包的服务转包他人:</w:t>
      </w:r>
    </w:p>
    <w:p w14:paraId="1A9A9727">
      <w:pPr>
        <w:pStyle w:val="206"/>
        <w:keepNext w:val="0"/>
        <w:keepLines w:val="0"/>
        <w:pageBreakBefore w:val="0"/>
        <w:widowControl w:val="0"/>
        <w:tabs>
          <w:tab w:val="left" w:pos="1602"/>
        </w:tabs>
        <w:spacing w:line="360" w:lineRule="auto"/>
        <w:ind w:firstLine="420"/>
        <w:rPr>
          <w:rFonts w:hint="default" w:ascii="Times New Roman" w:hAnsi="Times New Roman" w:eastAsia="宋体" w:cs="Times New Roman"/>
          <w:b w:val="0"/>
          <w:bCs w:val="0"/>
          <w:color w:val="auto"/>
          <w:sz w:val="21"/>
          <w:szCs w:val="21"/>
          <w:highlight w:val="none"/>
          <w:lang w:val="en-US" w:eastAsia="zh-CN" w:bidi="ar-SA"/>
        </w:rPr>
      </w:pPr>
      <w:r>
        <w:rPr>
          <w:rFonts w:hint="default" w:ascii="Times New Roman" w:hAnsi="Times New Roman" w:eastAsia="宋体" w:cs="Times New Roman"/>
          <w:b w:val="0"/>
          <w:bCs w:val="0"/>
          <w:color w:val="auto"/>
          <w:sz w:val="21"/>
          <w:szCs w:val="21"/>
          <w:highlight w:val="none"/>
          <w:lang w:val="en-US" w:eastAsia="zh-CN" w:bidi="ar-SA"/>
        </w:rPr>
        <w:t>(2)因自身原因造成安全事故或重大损失:</w:t>
      </w:r>
    </w:p>
    <w:p w14:paraId="04BDCB04">
      <w:pPr>
        <w:pStyle w:val="206"/>
        <w:keepNext w:val="0"/>
        <w:keepLines w:val="0"/>
        <w:pageBreakBefore w:val="0"/>
        <w:widowControl w:val="0"/>
        <w:tabs>
          <w:tab w:val="left" w:pos="1602"/>
        </w:tabs>
        <w:spacing w:line="360" w:lineRule="auto"/>
        <w:ind w:firstLine="420"/>
        <w:rPr>
          <w:rFonts w:hint="default" w:ascii="Times New Roman" w:hAnsi="Times New Roman" w:eastAsia="宋体" w:cs="Times New Roman"/>
          <w:b w:val="0"/>
          <w:bCs w:val="0"/>
          <w:color w:val="auto"/>
          <w:sz w:val="21"/>
          <w:szCs w:val="21"/>
          <w:highlight w:val="none"/>
          <w:lang w:val="en-US" w:eastAsia="zh-CN" w:bidi="ar-SA"/>
        </w:rPr>
      </w:pPr>
      <w:r>
        <w:rPr>
          <w:rFonts w:hint="default" w:ascii="Times New Roman" w:hAnsi="Times New Roman" w:eastAsia="宋体" w:cs="Times New Roman"/>
          <w:b w:val="0"/>
          <w:bCs w:val="0"/>
          <w:color w:val="auto"/>
          <w:sz w:val="21"/>
          <w:szCs w:val="21"/>
          <w:highlight w:val="none"/>
          <w:lang w:val="en-US" w:eastAsia="zh-CN" w:bidi="ar-SA"/>
        </w:rPr>
        <w:t>(3)在承诺的期限内不能完成合同规定的工作,或服务有缺陷不予更正的。</w:t>
      </w:r>
    </w:p>
    <w:p w14:paraId="0969D75E">
      <w:pPr>
        <w:pStyle w:val="206"/>
        <w:keepNext w:val="0"/>
        <w:keepLines w:val="0"/>
        <w:pageBreakBefore w:val="0"/>
        <w:widowControl w:val="0"/>
        <w:tabs>
          <w:tab w:val="left" w:pos="1602"/>
        </w:tabs>
        <w:spacing w:line="360" w:lineRule="auto"/>
        <w:ind w:firstLine="420"/>
        <w:rPr>
          <w:rFonts w:hint="default" w:ascii="Times New Roman" w:hAnsi="Times New Roman" w:eastAsia="宋体" w:cs="Times New Roman"/>
          <w:b w:val="0"/>
          <w:bCs w:val="0"/>
          <w:color w:val="auto"/>
          <w:sz w:val="21"/>
          <w:szCs w:val="21"/>
          <w:highlight w:val="none"/>
          <w:lang w:val="en-US" w:eastAsia="zh-CN" w:bidi="ar-SA"/>
        </w:rPr>
      </w:pPr>
      <w:r>
        <w:rPr>
          <w:rFonts w:hint="default" w:ascii="Times New Roman" w:hAnsi="Times New Roman" w:eastAsia="宋体" w:cs="Times New Roman"/>
          <w:b w:val="0"/>
          <w:bCs w:val="0"/>
          <w:color w:val="auto"/>
          <w:sz w:val="21"/>
          <w:szCs w:val="21"/>
          <w:highlight w:val="none"/>
          <w:lang w:val="en-US" w:eastAsia="zh-CN" w:bidi="ar-SA"/>
        </w:rPr>
        <w:t>4.6在合同履行期间,因中标单位单方终止合同,或因中标单位的过失而终止合同,采购方可重新组织招标。合同期内,如发现中标人有转包行为的,采购方有权终止合同。</w:t>
      </w:r>
    </w:p>
    <w:p w14:paraId="754D185D">
      <w:pPr>
        <w:pStyle w:val="206"/>
        <w:keepNext w:val="0"/>
        <w:keepLines w:val="0"/>
        <w:pageBreakBefore w:val="0"/>
        <w:widowControl w:val="0"/>
        <w:tabs>
          <w:tab w:val="left" w:pos="1602"/>
        </w:tabs>
        <w:spacing w:line="360" w:lineRule="auto"/>
        <w:ind w:firstLine="420"/>
        <w:rPr>
          <w:rFonts w:hint="default" w:ascii="Times New Roman" w:hAnsi="Times New Roman" w:eastAsia="宋体" w:cs="Times New Roman"/>
          <w:b w:val="0"/>
          <w:bCs w:val="0"/>
          <w:color w:val="auto"/>
          <w:sz w:val="21"/>
          <w:szCs w:val="21"/>
          <w:highlight w:val="none"/>
          <w:lang w:val="en-US" w:eastAsia="zh-CN" w:bidi="ar-SA"/>
        </w:rPr>
      </w:pPr>
      <w:r>
        <w:rPr>
          <w:rFonts w:hint="default" w:ascii="Times New Roman" w:hAnsi="Times New Roman" w:eastAsia="宋体" w:cs="Times New Roman"/>
          <w:b w:val="0"/>
          <w:bCs w:val="0"/>
          <w:color w:val="auto"/>
          <w:sz w:val="21"/>
          <w:szCs w:val="21"/>
          <w:highlight w:val="none"/>
          <w:lang w:val="en-US" w:eastAsia="zh-CN" w:bidi="ar-SA"/>
        </w:rPr>
        <w:t>4.7中标人应保证其所提供服务涉及到的知识产权是合法取得,并享有完整的知识产权,不会因为需方的使用而被责令停止使用、追偿或要求赔偿损失,如出现此情况,一切经济和法律责任均由中标人承担。</w:t>
      </w:r>
    </w:p>
    <w:p w14:paraId="38823101">
      <w:pPr>
        <w:pStyle w:val="206"/>
        <w:keepNext w:val="0"/>
        <w:keepLines w:val="0"/>
        <w:pageBreakBefore w:val="0"/>
        <w:widowControl w:val="0"/>
        <w:tabs>
          <w:tab w:val="left" w:pos="1602"/>
        </w:tabs>
        <w:spacing w:line="360" w:lineRule="auto"/>
        <w:ind w:firstLine="420"/>
        <w:rPr>
          <w:rFonts w:hint="default" w:ascii="Times New Roman" w:hAnsi="Times New Roman" w:eastAsia="宋体" w:cs="Times New Roman"/>
          <w:b w:val="0"/>
          <w:bCs w:val="0"/>
          <w:color w:val="auto"/>
          <w:sz w:val="21"/>
          <w:szCs w:val="21"/>
          <w:highlight w:val="none"/>
          <w:lang w:val="en-US" w:eastAsia="zh-CN" w:bidi="ar-SA"/>
        </w:rPr>
      </w:pPr>
      <w:r>
        <w:rPr>
          <w:rFonts w:hint="default" w:ascii="Times New Roman" w:hAnsi="Times New Roman" w:eastAsia="宋体" w:cs="Times New Roman"/>
          <w:b w:val="0"/>
          <w:bCs w:val="0"/>
          <w:color w:val="auto"/>
          <w:sz w:val="21"/>
          <w:szCs w:val="21"/>
          <w:highlight w:val="none"/>
          <w:lang w:val="en-US" w:eastAsia="zh-CN" w:bidi="ar-SA"/>
        </w:rPr>
        <w:t>4.8凡涉及本项目的补充说明和修改,均以政府采购网上发布的信息为准。</w:t>
      </w:r>
    </w:p>
    <w:p w14:paraId="4275C9AB">
      <w:pPr>
        <w:pStyle w:val="206"/>
        <w:keepNext w:val="0"/>
        <w:keepLines w:val="0"/>
        <w:pageBreakBefore w:val="0"/>
        <w:widowControl w:val="0"/>
        <w:tabs>
          <w:tab w:val="left" w:pos="1602"/>
        </w:tabs>
        <w:spacing w:line="360" w:lineRule="auto"/>
        <w:ind w:firstLine="420"/>
        <w:rPr>
          <w:rFonts w:hint="default" w:ascii="Times New Roman" w:hAnsi="Times New Roman" w:eastAsia="宋体" w:cs="Times New Roman"/>
          <w:b w:val="0"/>
          <w:bCs w:val="0"/>
          <w:color w:val="auto"/>
          <w:sz w:val="21"/>
          <w:szCs w:val="21"/>
          <w:highlight w:val="none"/>
          <w:lang w:val="en-US" w:eastAsia="zh-CN" w:bidi="ar-SA"/>
        </w:rPr>
      </w:pPr>
      <w:r>
        <w:rPr>
          <w:rFonts w:hint="default" w:ascii="Times New Roman" w:hAnsi="Times New Roman" w:eastAsia="宋体" w:cs="Times New Roman"/>
          <w:b w:val="0"/>
          <w:bCs w:val="0"/>
          <w:color w:val="auto"/>
          <w:sz w:val="21"/>
          <w:szCs w:val="21"/>
          <w:highlight w:val="none"/>
          <w:lang w:val="en-US" w:eastAsia="zh-CN" w:bidi="ar-SA"/>
        </w:rPr>
        <w:t>4.9凡项目服务团队中涉及的车辆、办公设备、办公耗材、培训教材、人员的餐饮住宿、驻厂人员补贴费用，由中标单位自行承担。</w:t>
      </w:r>
    </w:p>
    <w:p w14:paraId="51CD66C7">
      <w:pPr>
        <w:pStyle w:val="3"/>
        <w:spacing w:line="360" w:lineRule="auto"/>
        <w:rPr>
          <w:rFonts w:hint="default" w:ascii="Times New Roman" w:hAnsi="Times New Roman" w:cs="Times New Roman"/>
          <w:color w:val="auto"/>
          <w:highlight w:val="none"/>
          <w:lang w:val="en-US" w:eastAsia="zh-CN"/>
        </w:rPr>
      </w:pPr>
      <w:r>
        <w:rPr>
          <w:rFonts w:hint="default" w:ascii="Times New Roman" w:hAnsi="Times New Roman" w:cs="Times New Roman"/>
          <w:color w:val="auto"/>
          <w:highlight w:val="none"/>
          <w:lang w:val="en-US" w:eastAsia="zh-CN"/>
        </w:rPr>
        <w:t>（五）付款方式与履约保证金</w:t>
      </w:r>
    </w:p>
    <w:p w14:paraId="0B1DDED1">
      <w:pPr>
        <w:pStyle w:val="206"/>
        <w:keepNext w:val="0"/>
        <w:keepLines w:val="0"/>
        <w:pageBreakBefore w:val="0"/>
        <w:widowControl w:val="0"/>
        <w:tabs>
          <w:tab w:val="left" w:pos="1602"/>
        </w:tabs>
        <w:spacing w:line="360" w:lineRule="auto"/>
        <w:ind w:firstLine="420"/>
        <w:rPr>
          <w:rFonts w:hint="default" w:ascii="Times New Roman" w:hAnsi="Times New Roman" w:eastAsia="宋体" w:cs="Times New Roman"/>
          <w:b w:val="0"/>
          <w:bCs w:val="0"/>
          <w:color w:val="auto"/>
          <w:sz w:val="21"/>
          <w:szCs w:val="21"/>
          <w:highlight w:val="none"/>
          <w:lang w:val="en-US" w:eastAsia="zh-CN" w:bidi="ar-SA"/>
        </w:rPr>
      </w:pPr>
      <w:r>
        <w:rPr>
          <w:rFonts w:hint="default" w:ascii="Times New Roman" w:hAnsi="Times New Roman" w:eastAsia="宋体" w:cs="Times New Roman"/>
          <w:b w:val="0"/>
          <w:bCs w:val="0"/>
          <w:color w:val="auto"/>
          <w:sz w:val="21"/>
          <w:szCs w:val="21"/>
          <w:highlight w:val="none"/>
          <w:lang w:val="en-US" w:eastAsia="zh-CN" w:bidi="ar-SA"/>
        </w:rPr>
        <w:t>★1.付款方式：合同签订生效后支付合同金额的10%，服务满一年后支付合同金额的40%，合同履行结束后付清余款（不计息）。</w:t>
      </w:r>
    </w:p>
    <w:p w14:paraId="1CA0A1D5">
      <w:pPr>
        <w:pStyle w:val="206"/>
        <w:keepNext w:val="0"/>
        <w:keepLines w:val="0"/>
        <w:pageBreakBefore w:val="0"/>
        <w:widowControl w:val="0"/>
        <w:tabs>
          <w:tab w:val="left" w:pos="1602"/>
        </w:tabs>
        <w:spacing w:line="360" w:lineRule="auto"/>
        <w:ind w:firstLine="420"/>
        <w:rPr>
          <w:rFonts w:hint="default" w:ascii="Times New Roman" w:hAnsi="Times New Roman" w:eastAsia="宋体" w:cs="Times New Roman"/>
          <w:b w:val="0"/>
          <w:bCs w:val="0"/>
          <w:color w:val="auto"/>
          <w:sz w:val="21"/>
          <w:szCs w:val="21"/>
          <w:highlight w:val="none"/>
          <w:lang w:val="en-US" w:eastAsia="zh-CN" w:bidi="ar-SA"/>
        </w:rPr>
      </w:pPr>
      <w:r>
        <w:rPr>
          <w:rFonts w:hint="default" w:ascii="Times New Roman" w:hAnsi="Times New Roman" w:eastAsia="宋体" w:cs="Times New Roman"/>
          <w:b w:val="0"/>
          <w:bCs w:val="0"/>
          <w:color w:val="auto"/>
          <w:sz w:val="21"/>
          <w:szCs w:val="21"/>
          <w:highlight w:val="none"/>
          <w:lang w:val="en-US" w:eastAsia="zh-CN" w:bidi="ar-SA"/>
        </w:rPr>
        <w:t>2.履约保证金：本项目不收取履约保证金。</w:t>
      </w:r>
    </w:p>
    <w:p w14:paraId="0BE4469F">
      <w:pPr>
        <w:pStyle w:val="3"/>
        <w:spacing w:line="360" w:lineRule="auto"/>
        <w:rPr>
          <w:rFonts w:hint="default" w:ascii="Times New Roman" w:hAnsi="Times New Roman" w:cs="Times New Roman"/>
          <w:color w:val="auto"/>
          <w:highlight w:val="none"/>
          <w:lang w:val="en-US" w:eastAsia="zh-CN"/>
        </w:rPr>
      </w:pPr>
      <w:r>
        <w:rPr>
          <w:rFonts w:hint="default" w:ascii="Times New Roman" w:hAnsi="Times New Roman" w:cs="Times New Roman"/>
          <w:color w:val="auto"/>
          <w:highlight w:val="none"/>
          <w:lang w:val="en-US" w:eastAsia="zh-CN"/>
        </w:rPr>
        <w:t>（六）报价要求</w:t>
      </w:r>
    </w:p>
    <w:p w14:paraId="400A52A6">
      <w:pPr>
        <w:pStyle w:val="206"/>
        <w:keepNext w:val="0"/>
        <w:keepLines w:val="0"/>
        <w:pageBreakBefore w:val="0"/>
        <w:widowControl w:val="0"/>
        <w:tabs>
          <w:tab w:val="left" w:pos="1602"/>
        </w:tabs>
        <w:spacing w:line="360" w:lineRule="auto"/>
        <w:ind w:firstLine="420"/>
        <w:rPr>
          <w:rFonts w:hint="default" w:ascii="Times New Roman" w:hAnsi="Times New Roman" w:eastAsia="宋体" w:cs="Times New Roman"/>
          <w:b w:val="0"/>
          <w:bCs w:val="0"/>
          <w:color w:val="auto"/>
          <w:sz w:val="21"/>
          <w:szCs w:val="21"/>
          <w:highlight w:val="none"/>
          <w:lang w:val="en-US" w:eastAsia="zh-CN" w:bidi="ar-SA"/>
        </w:rPr>
      </w:pPr>
      <w:r>
        <w:rPr>
          <w:rFonts w:hint="default" w:ascii="Times New Roman" w:hAnsi="Times New Roman" w:eastAsia="宋体" w:cs="Times New Roman"/>
          <w:b w:val="0"/>
          <w:bCs w:val="0"/>
          <w:color w:val="auto"/>
          <w:sz w:val="21"/>
          <w:szCs w:val="21"/>
          <w:highlight w:val="none"/>
          <w:lang w:val="en-US" w:eastAsia="zh-CN" w:bidi="ar-SA"/>
        </w:rPr>
        <w:t>本项目采用固定总价，</w:t>
      </w:r>
      <w:r>
        <w:rPr>
          <w:rFonts w:hint="default" w:ascii="Times New Roman" w:hAnsi="Times New Roman" w:cs="Times New Roman"/>
          <w:b w:val="0"/>
          <w:bCs w:val="0"/>
          <w:color w:val="auto"/>
          <w:sz w:val="21"/>
          <w:szCs w:val="21"/>
          <w:highlight w:val="none"/>
          <w:lang w:val="en-US" w:eastAsia="zh-CN" w:bidi="ar-SA"/>
        </w:rPr>
        <w:t>磋商供应商</w:t>
      </w:r>
      <w:r>
        <w:rPr>
          <w:rFonts w:hint="default" w:ascii="Times New Roman" w:hAnsi="Times New Roman" w:eastAsia="宋体" w:cs="Times New Roman"/>
          <w:b w:val="0"/>
          <w:bCs w:val="0"/>
          <w:color w:val="auto"/>
          <w:sz w:val="21"/>
          <w:szCs w:val="21"/>
          <w:highlight w:val="none"/>
          <w:lang w:val="en-US" w:eastAsia="zh-CN" w:bidi="ar-SA"/>
        </w:rPr>
        <w:t>的报价须包括本项目现场调查费、咨询费、踏勘费、人工费、差旅费、招标代理费、印刷装订费、税金等直至提交最终成果过程中所涉及的所有费用。</w:t>
      </w:r>
    </w:p>
    <w:p w14:paraId="3E6AA34C">
      <w:pPr>
        <w:pStyle w:val="13"/>
        <w:keepNext w:val="0"/>
        <w:keepLines w:val="0"/>
        <w:pageBreakBefore w:val="0"/>
        <w:widowControl w:val="0"/>
        <w:spacing w:line="360" w:lineRule="auto"/>
        <w:rPr>
          <w:rFonts w:hint="default" w:ascii="Times New Roman" w:hAnsi="Times New Roman" w:eastAsia="宋体" w:cs="Times New Roman"/>
          <w:b w:val="0"/>
          <w:bCs w:val="0"/>
          <w:color w:val="auto"/>
          <w:sz w:val="24"/>
          <w:szCs w:val="24"/>
          <w:highlight w:val="none"/>
          <w:lang w:val="en-US" w:eastAsia="zh-CN" w:bidi="ar-SA"/>
        </w:rPr>
      </w:pPr>
    </w:p>
    <w:p w14:paraId="2814C575">
      <w:pPr>
        <w:rPr>
          <w:rFonts w:hint="default" w:ascii="Times New Roman" w:hAnsi="Times New Roman" w:cs="Times New Roman"/>
          <w:color w:val="auto"/>
          <w:highlight w:val="none"/>
        </w:rPr>
      </w:pPr>
      <w:r>
        <w:rPr>
          <w:rFonts w:hint="default" w:ascii="Times New Roman" w:hAnsi="Times New Roman" w:cs="Times New Roman"/>
          <w:color w:val="auto"/>
          <w:highlight w:val="none"/>
        </w:rPr>
        <w:br w:type="page" w:clear="all"/>
      </w:r>
    </w:p>
    <w:p w14:paraId="027D44D4">
      <w:pPr>
        <w:pStyle w:val="2"/>
        <w:rPr>
          <w:rFonts w:hint="default" w:ascii="Times New Roman" w:hAnsi="Times New Roman" w:cs="Times New Roman"/>
          <w:color w:val="auto"/>
          <w:highlight w:val="none"/>
        </w:rPr>
      </w:pPr>
      <w:r>
        <w:rPr>
          <w:rFonts w:hint="default" w:ascii="Times New Roman" w:hAnsi="Times New Roman" w:cs="Times New Roman"/>
          <w:color w:val="auto"/>
          <w:highlight w:val="none"/>
        </w:rPr>
        <w:t>第五章 评审方法和评审标准</w:t>
      </w:r>
    </w:p>
    <w:p w14:paraId="0CB4FCA9">
      <w:pPr>
        <w:spacing w:line="360" w:lineRule="auto"/>
        <w:ind w:firstLine="482"/>
        <w:rPr>
          <w:rFonts w:hint="default" w:ascii="Times New Roman" w:hAnsi="Times New Roman" w:cs="Times New Roman" w:eastAsiaTheme="minorEastAsia"/>
          <w:b/>
          <w:color w:val="auto"/>
          <w:szCs w:val="21"/>
          <w:highlight w:val="none"/>
        </w:rPr>
      </w:pPr>
      <w:r>
        <w:rPr>
          <w:rFonts w:hint="default" w:ascii="Times New Roman" w:hAnsi="Times New Roman" w:cs="Times New Roman" w:eastAsiaTheme="minorEastAsia"/>
          <w:b/>
          <w:color w:val="auto"/>
          <w:szCs w:val="21"/>
          <w:highlight w:val="none"/>
        </w:rPr>
        <w:t>一、磋商模式</w:t>
      </w:r>
    </w:p>
    <w:p w14:paraId="1D154134">
      <w:pPr>
        <w:spacing w:line="360" w:lineRule="auto"/>
        <w:ind w:firstLine="480"/>
        <w:rPr>
          <w:rFonts w:hint="default" w:ascii="Times New Roman" w:hAnsi="Times New Roman" w:cs="Times New Roman" w:eastAsiaTheme="minorEastAsia"/>
          <w:color w:val="auto"/>
          <w:szCs w:val="21"/>
          <w:highlight w:val="none"/>
        </w:rPr>
      </w:pPr>
      <w:r>
        <w:rPr>
          <w:rFonts w:hint="default" w:ascii="Times New Roman" w:hAnsi="Times New Roman" w:cs="Times New Roman" w:eastAsiaTheme="minorEastAsia"/>
          <w:color w:val="auto"/>
          <w:szCs w:val="21"/>
          <w:highlight w:val="none"/>
        </w:rPr>
        <w:t>不见面远程磋商模式：开标当天各供应商在各自地点通过“苏采云”系统及时登录“不见面开标大厅”，参加磋商活动。</w:t>
      </w:r>
    </w:p>
    <w:p w14:paraId="1FA0F5B3">
      <w:pPr>
        <w:spacing w:line="360" w:lineRule="auto"/>
        <w:ind w:firstLine="482"/>
        <w:rPr>
          <w:rFonts w:hint="default" w:ascii="Times New Roman" w:hAnsi="Times New Roman" w:cs="Times New Roman" w:eastAsiaTheme="minorEastAsia"/>
          <w:b/>
          <w:color w:val="auto"/>
          <w:szCs w:val="21"/>
          <w:highlight w:val="none"/>
        </w:rPr>
      </w:pPr>
      <w:r>
        <w:rPr>
          <w:rFonts w:hint="default" w:ascii="Times New Roman" w:hAnsi="Times New Roman" w:cs="Times New Roman" w:eastAsiaTheme="minorEastAsia"/>
          <w:b/>
          <w:color w:val="auto"/>
          <w:szCs w:val="21"/>
          <w:highlight w:val="none"/>
        </w:rPr>
        <w:t>二、磋商组织及磋商小组职责</w:t>
      </w:r>
    </w:p>
    <w:p w14:paraId="0274F34E">
      <w:pPr>
        <w:spacing w:line="360" w:lineRule="auto"/>
        <w:ind w:firstLine="480"/>
        <w:rPr>
          <w:rFonts w:hint="default" w:ascii="Times New Roman" w:hAnsi="Times New Roman" w:cs="Times New Roman" w:eastAsiaTheme="minorEastAsia"/>
          <w:color w:val="auto"/>
          <w:szCs w:val="21"/>
          <w:highlight w:val="none"/>
        </w:rPr>
      </w:pPr>
      <w:r>
        <w:rPr>
          <w:rFonts w:hint="default" w:ascii="Times New Roman" w:hAnsi="Times New Roman" w:cs="Times New Roman" w:eastAsiaTheme="minorEastAsia"/>
          <w:color w:val="auto"/>
          <w:szCs w:val="21"/>
          <w:highlight w:val="none"/>
        </w:rPr>
        <w:t>1.本次竞争性磋商依据《中华人民共和国政府采购法》《政府采购竞争性磋商采购方式管理暂行办法》及有关法规成立磋商小组。磋商小组由采购人代表和评审专家共5人及以上单数组成。</w:t>
      </w:r>
    </w:p>
    <w:p w14:paraId="03580BDF">
      <w:pPr>
        <w:spacing w:line="360" w:lineRule="auto"/>
        <w:ind w:firstLine="480"/>
        <w:rPr>
          <w:rFonts w:hint="default" w:ascii="Times New Roman" w:hAnsi="Times New Roman" w:cs="Times New Roman" w:eastAsiaTheme="minorEastAsia"/>
          <w:color w:val="auto"/>
          <w:szCs w:val="21"/>
          <w:highlight w:val="none"/>
        </w:rPr>
      </w:pPr>
      <w:r>
        <w:rPr>
          <w:rFonts w:hint="default" w:ascii="Times New Roman" w:hAnsi="Times New Roman" w:cs="Times New Roman" w:eastAsiaTheme="minorEastAsia"/>
          <w:color w:val="auto"/>
          <w:szCs w:val="21"/>
          <w:highlight w:val="none"/>
        </w:rPr>
        <w:t>2.磋商小组的职责：</w:t>
      </w:r>
    </w:p>
    <w:p w14:paraId="7C34D96C">
      <w:pPr>
        <w:spacing w:line="360" w:lineRule="auto"/>
        <w:ind w:firstLine="480"/>
        <w:rPr>
          <w:rFonts w:hint="default" w:ascii="Times New Roman" w:hAnsi="Times New Roman" w:cs="Times New Roman" w:eastAsiaTheme="minorEastAsia"/>
          <w:color w:val="auto"/>
          <w:szCs w:val="21"/>
          <w:highlight w:val="none"/>
        </w:rPr>
      </w:pPr>
      <w:r>
        <w:rPr>
          <w:rFonts w:hint="default" w:ascii="Times New Roman" w:hAnsi="Times New Roman" w:cs="Times New Roman" w:eastAsiaTheme="minorEastAsia"/>
          <w:color w:val="auto"/>
          <w:szCs w:val="21"/>
          <w:highlight w:val="none"/>
        </w:rPr>
        <w:t>（1）磋商小组成员应当按照客观、公正、审慎的原则，根据磋商文件规定的评审程序、评审方法和评审标准进行独立评审。未实质性响应磋商文件的响应文件按无效响应处理，磋商小组应当告知提交响应文件的供应商。</w:t>
      </w:r>
    </w:p>
    <w:p w14:paraId="25E557AF">
      <w:pPr>
        <w:spacing w:line="360" w:lineRule="auto"/>
        <w:ind w:firstLine="480"/>
        <w:rPr>
          <w:rFonts w:hint="default" w:ascii="Times New Roman" w:hAnsi="Times New Roman" w:cs="Times New Roman" w:eastAsiaTheme="minorEastAsia"/>
          <w:color w:val="auto"/>
          <w:szCs w:val="21"/>
          <w:highlight w:val="none"/>
        </w:rPr>
      </w:pPr>
      <w:r>
        <w:rPr>
          <w:rFonts w:hint="default" w:ascii="Times New Roman" w:hAnsi="Times New Roman" w:cs="Times New Roman" w:eastAsiaTheme="minorEastAsia"/>
          <w:color w:val="auto"/>
          <w:szCs w:val="21"/>
          <w:highlight w:val="none"/>
        </w:rPr>
        <w:t>（2）磋商文件内容违反国家有关强制性规定的，磋商小组应当停止评审并向采购人或者采购代理机构说明情况。</w:t>
      </w:r>
    </w:p>
    <w:p w14:paraId="03128C04">
      <w:pPr>
        <w:spacing w:line="360" w:lineRule="auto"/>
        <w:ind w:firstLine="480"/>
        <w:rPr>
          <w:rFonts w:hint="default" w:ascii="Times New Roman" w:hAnsi="Times New Roman" w:cs="Times New Roman" w:eastAsiaTheme="minorEastAsia"/>
          <w:color w:val="auto"/>
          <w:szCs w:val="21"/>
          <w:highlight w:val="none"/>
        </w:rPr>
      </w:pPr>
      <w:r>
        <w:rPr>
          <w:rFonts w:hint="default" w:ascii="Times New Roman" w:hAnsi="Times New Roman" w:cs="Times New Roman" w:eastAsiaTheme="minorEastAsia"/>
          <w:color w:val="auto"/>
          <w:szCs w:val="21"/>
          <w:highlight w:val="none"/>
        </w:rPr>
        <w:t>（3）磋商小组成员应当遵守评审工作纪律，不得泄露评审情况和评审中获悉的商业秘密，对个人的评审意见承担法律责任。</w:t>
      </w:r>
    </w:p>
    <w:p w14:paraId="0DB37AC6">
      <w:pPr>
        <w:spacing w:line="360" w:lineRule="auto"/>
        <w:ind w:firstLine="480"/>
        <w:rPr>
          <w:rFonts w:hint="default" w:ascii="Times New Roman" w:hAnsi="Times New Roman" w:cs="Times New Roman" w:eastAsiaTheme="minorEastAsia"/>
          <w:color w:val="auto"/>
          <w:szCs w:val="21"/>
          <w:highlight w:val="none"/>
        </w:rPr>
      </w:pPr>
      <w:r>
        <w:rPr>
          <w:rFonts w:hint="default" w:ascii="Times New Roman" w:hAnsi="Times New Roman" w:cs="Times New Roman" w:eastAsiaTheme="minorEastAsia"/>
          <w:color w:val="auto"/>
          <w:szCs w:val="21"/>
          <w:highlight w:val="none"/>
        </w:rPr>
        <w:t>（4）磋商小组成员在评审过程中发现供应商有行贿、提供虚假材料或者串通等违法行为的，应当及时向财政部门报告。</w:t>
      </w:r>
    </w:p>
    <w:p w14:paraId="7CF81826">
      <w:pPr>
        <w:spacing w:line="360" w:lineRule="auto"/>
        <w:ind w:firstLine="480"/>
        <w:rPr>
          <w:rFonts w:hint="default" w:ascii="Times New Roman" w:hAnsi="Times New Roman" w:cs="Times New Roman" w:eastAsiaTheme="minorEastAsia"/>
          <w:color w:val="auto"/>
          <w:szCs w:val="21"/>
          <w:highlight w:val="none"/>
        </w:rPr>
      </w:pPr>
      <w:r>
        <w:rPr>
          <w:rFonts w:hint="default" w:ascii="Times New Roman" w:hAnsi="Times New Roman" w:cs="Times New Roman" w:eastAsiaTheme="minorEastAsia"/>
          <w:color w:val="auto"/>
          <w:szCs w:val="21"/>
          <w:highlight w:val="none"/>
        </w:rPr>
        <w:t>（5）磋商小组成员在评审过程中受到非法干涉的，应当及时向财政、监察等部门举报。</w:t>
      </w:r>
    </w:p>
    <w:p w14:paraId="7E2866B9">
      <w:pPr>
        <w:spacing w:line="360" w:lineRule="auto"/>
        <w:ind w:firstLine="480"/>
        <w:rPr>
          <w:rFonts w:hint="default" w:ascii="Times New Roman" w:hAnsi="Times New Roman" w:cs="Times New Roman" w:eastAsiaTheme="minorEastAsia"/>
          <w:color w:val="auto"/>
          <w:szCs w:val="21"/>
          <w:highlight w:val="none"/>
        </w:rPr>
      </w:pPr>
      <w:r>
        <w:rPr>
          <w:rFonts w:hint="default" w:ascii="Times New Roman" w:hAnsi="Times New Roman" w:cs="Times New Roman" w:eastAsiaTheme="minorEastAsia"/>
          <w:color w:val="auto"/>
          <w:szCs w:val="21"/>
          <w:highlight w:val="none"/>
        </w:rPr>
        <w:t>（6）配合采购单位答复供应商提出的质疑；配合财政部门的投诉处理和监督检查工作。</w:t>
      </w:r>
    </w:p>
    <w:p w14:paraId="43876B09">
      <w:pPr>
        <w:spacing w:line="360" w:lineRule="auto"/>
        <w:ind w:firstLine="480"/>
        <w:rPr>
          <w:rFonts w:hint="default" w:ascii="Times New Roman" w:hAnsi="Times New Roman" w:cs="Times New Roman" w:eastAsiaTheme="minorEastAsia"/>
          <w:color w:val="auto"/>
          <w:szCs w:val="21"/>
          <w:highlight w:val="none"/>
        </w:rPr>
      </w:pPr>
      <w:r>
        <w:rPr>
          <w:rFonts w:hint="default" w:ascii="Times New Roman" w:hAnsi="Times New Roman" w:cs="Times New Roman" w:eastAsiaTheme="minorEastAsia"/>
          <w:color w:val="auto"/>
          <w:szCs w:val="21"/>
          <w:highlight w:val="none"/>
        </w:rPr>
        <w:t>3.评审有关记录由磋商小组成员签名，存档备查。</w:t>
      </w:r>
    </w:p>
    <w:p w14:paraId="22A8A4E6">
      <w:pPr>
        <w:spacing w:line="360" w:lineRule="auto"/>
        <w:ind w:firstLine="482"/>
        <w:rPr>
          <w:rFonts w:hint="default" w:ascii="Times New Roman" w:hAnsi="Times New Roman" w:cs="Times New Roman" w:eastAsiaTheme="minorEastAsia"/>
          <w:b/>
          <w:color w:val="auto"/>
          <w:szCs w:val="21"/>
          <w:highlight w:val="none"/>
        </w:rPr>
      </w:pPr>
      <w:r>
        <w:rPr>
          <w:rFonts w:hint="default" w:ascii="Times New Roman" w:hAnsi="Times New Roman" w:cs="Times New Roman" w:eastAsiaTheme="minorEastAsia"/>
          <w:b/>
          <w:color w:val="auto"/>
          <w:szCs w:val="21"/>
          <w:highlight w:val="none"/>
        </w:rPr>
        <w:t>三、评审步骤</w:t>
      </w:r>
    </w:p>
    <w:p w14:paraId="73BCFE34">
      <w:pPr>
        <w:spacing w:line="360" w:lineRule="auto"/>
        <w:ind w:firstLine="480"/>
        <w:rPr>
          <w:rFonts w:hint="default" w:ascii="Times New Roman" w:hAnsi="Times New Roman" w:cs="Times New Roman" w:eastAsiaTheme="minorEastAsia"/>
          <w:color w:val="auto"/>
          <w:szCs w:val="21"/>
          <w:highlight w:val="none"/>
        </w:rPr>
      </w:pPr>
      <w:r>
        <w:rPr>
          <w:rFonts w:hint="default" w:ascii="Times New Roman" w:hAnsi="Times New Roman" w:cs="Times New Roman" w:eastAsiaTheme="minorEastAsia"/>
          <w:color w:val="auto"/>
          <w:szCs w:val="21"/>
          <w:highlight w:val="none"/>
          <w:lang w:val="zh-CN"/>
        </w:rPr>
        <w:t>第一阶段：</w:t>
      </w:r>
      <w:r>
        <w:rPr>
          <w:rFonts w:hint="default" w:ascii="Times New Roman" w:hAnsi="Times New Roman" w:cs="Times New Roman" w:eastAsiaTheme="minorEastAsia"/>
          <w:color w:val="auto"/>
          <w:szCs w:val="21"/>
          <w:highlight w:val="none"/>
        </w:rPr>
        <w:t>采购人代表</w:t>
      </w:r>
      <w:r>
        <w:rPr>
          <w:rFonts w:hint="default" w:ascii="Times New Roman" w:hAnsi="Times New Roman" w:cs="Times New Roman" w:eastAsiaTheme="minorEastAsia"/>
          <w:color w:val="auto"/>
          <w:szCs w:val="21"/>
          <w:highlight w:val="none"/>
          <w:lang w:val="zh-CN"/>
        </w:rPr>
        <w:t>对每个供应商的资格进行审查。</w:t>
      </w:r>
      <w:r>
        <w:rPr>
          <w:rFonts w:hint="default" w:ascii="Times New Roman" w:hAnsi="Times New Roman" w:cs="Times New Roman" w:eastAsiaTheme="minorEastAsia"/>
          <w:color w:val="auto"/>
          <w:szCs w:val="21"/>
          <w:highlight w:val="none"/>
        </w:rPr>
        <w:t>供应商资格不合格的，其响应文件判定为无效响应文件。</w:t>
      </w:r>
    </w:p>
    <w:p w14:paraId="11377500">
      <w:pPr>
        <w:spacing w:line="360" w:lineRule="auto"/>
        <w:ind w:firstLine="480"/>
        <w:rPr>
          <w:rFonts w:hint="default" w:ascii="Times New Roman" w:hAnsi="Times New Roman" w:cs="Times New Roman" w:eastAsiaTheme="minorEastAsia"/>
          <w:color w:val="auto"/>
          <w:szCs w:val="21"/>
          <w:highlight w:val="none"/>
        </w:rPr>
      </w:pPr>
      <w:r>
        <w:rPr>
          <w:rFonts w:hint="default" w:ascii="Times New Roman" w:hAnsi="Times New Roman" w:cs="Times New Roman" w:eastAsiaTheme="minorEastAsia"/>
          <w:color w:val="auto"/>
          <w:szCs w:val="21"/>
          <w:highlight w:val="none"/>
          <w:lang w:val="zh-CN"/>
        </w:rPr>
        <w:t>第二阶段：</w:t>
      </w:r>
      <w:r>
        <w:rPr>
          <w:rFonts w:hint="default" w:ascii="Times New Roman" w:hAnsi="Times New Roman" w:cs="Times New Roman" w:eastAsiaTheme="minorEastAsia"/>
          <w:color w:val="auto"/>
          <w:szCs w:val="21"/>
          <w:highlight w:val="none"/>
        </w:rPr>
        <w:t>依据磋商文件的规定，由磋商小组</w:t>
      </w:r>
      <w:r>
        <w:rPr>
          <w:rFonts w:hint="default" w:ascii="Times New Roman" w:hAnsi="Times New Roman" w:cs="Times New Roman" w:eastAsiaTheme="minorEastAsia"/>
          <w:color w:val="auto"/>
          <w:szCs w:val="21"/>
          <w:highlight w:val="none"/>
          <w:lang w:val="zh-CN"/>
        </w:rPr>
        <w:t>对每个符合资格要求的供应商</w:t>
      </w:r>
      <w:r>
        <w:rPr>
          <w:rFonts w:hint="default" w:ascii="Times New Roman" w:hAnsi="Times New Roman" w:cs="Times New Roman" w:eastAsiaTheme="minorEastAsia"/>
          <w:color w:val="auto"/>
          <w:szCs w:val="21"/>
          <w:highlight w:val="none"/>
        </w:rPr>
        <w:t xml:space="preserve">从响应文件的有效性、完整性和对磋商文件的响应程度进行审查，以确定是否对磋商文件的实质性要求作出响应。未通过符合性审查的响应文件，将被判定为不满足磋商文件实质性要求。 </w:t>
      </w:r>
    </w:p>
    <w:p w14:paraId="386BC0DB">
      <w:pPr>
        <w:spacing w:line="360" w:lineRule="auto"/>
        <w:ind w:firstLine="480"/>
        <w:rPr>
          <w:rFonts w:hint="default" w:ascii="Times New Roman" w:hAnsi="Times New Roman" w:cs="Times New Roman" w:eastAsiaTheme="minorEastAsia"/>
          <w:color w:val="auto"/>
          <w:szCs w:val="21"/>
          <w:highlight w:val="none"/>
        </w:rPr>
      </w:pPr>
      <w:r>
        <w:rPr>
          <w:rFonts w:hint="default" w:ascii="Times New Roman" w:hAnsi="Times New Roman" w:cs="Times New Roman" w:eastAsiaTheme="minorEastAsia"/>
          <w:color w:val="auto"/>
          <w:szCs w:val="21"/>
          <w:highlight w:val="none"/>
          <w:lang w:val="zh-CN"/>
        </w:rPr>
        <w:t>第三阶段：</w:t>
      </w:r>
      <w:r>
        <w:rPr>
          <w:rFonts w:hint="default" w:ascii="Times New Roman" w:hAnsi="Times New Roman" w:cs="Times New Roman" w:eastAsiaTheme="minorEastAsia"/>
          <w:color w:val="auto"/>
          <w:szCs w:val="21"/>
          <w:highlight w:val="none"/>
        </w:rPr>
        <w:t>磋商小组与通过符合性审查的供应商单一分别进行磋商。单一分别磋商结束后，系统进入商务技术响应文件评审。</w:t>
      </w:r>
    </w:p>
    <w:p w14:paraId="24735257">
      <w:pPr>
        <w:spacing w:line="360" w:lineRule="auto"/>
        <w:ind w:firstLine="480"/>
        <w:rPr>
          <w:rFonts w:hint="default" w:ascii="Times New Roman" w:hAnsi="Times New Roman" w:cs="Times New Roman" w:eastAsiaTheme="minorEastAsia"/>
          <w:color w:val="auto"/>
          <w:szCs w:val="21"/>
          <w:highlight w:val="none"/>
        </w:rPr>
      </w:pPr>
      <w:r>
        <w:rPr>
          <w:rFonts w:hint="default" w:ascii="Times New Roman" w:hAnsi="Times New Roman" w:cs="Times New Roman" w:eastAsiaTheme="minorEastAsia"/>
          <w:color w:val="auto"/>
          <w:szCs w:val="21"/>
          <w:highlight w:val="none"/>
          <w:lang w:val="zh-CN"/>
        </w:rPr>
        <w:t>第</w:t>
      </w:r>
      <w:r>
        <w:rPr>
          <w:rFonts w:hint="default" w:ascii="Times New Roman" w:hAnsi="Times New Roman" w:cs="Times New Roman" w:eastAsiaTheme="minorEastAsia"/>
          <w:color w:val="auto"/>
          <w:szCs w:val="21"/>
          <w:highlight w:val="none"/>
        </w:rPr>
        <w:t>四</w:t>
      </w:r>
      <w:r>
        <w:rPr>
          <w:rFonts w:hint="default" w:ascii="Times New Roman" w:hAnsi="Times New Roman" w:cs="Times New Roman" w:eastAsiaTheme="minorEastAsia"/>
          <w:color w:val="auto"/>
          <w:szCs w:val="21"/>
          <w:highlight w:val="none"/>
          <w:lang w:val="zh-CN"/>
        </w:rPr>
        <w:t>阶段：</w:t>
      </w:r>
      <w:r>
        <w:rPr>
          <w:rFonts w:hint="default" w:ascii="Times New Roman" w:hAnsi="Times New Roman" w:cs="Times New Roman" w:eastAsiaTheme="minorEastAsia"/>
          <w:color w:val="auto"/>
          <w:szCs w:val="21"/>
          <w:highlight w:val="none"/>
        </w:rPr>
        <w:t>系统商务技术响应文件评审结束后，进入最后报价环节，供应商在系统规定的时间内完成最终报价后，磋商小组对响应报价的供应商进行价格部分评审</w:t>
      </w:r>
      <w:r>
        <w:rPr>
          <w:rFonts w:hint="default" w:ascii="Times New Roman" w:hAnsi="Times New Roman" w:cs="Times New Roman" w:eastAsiaTheme="minorEastAsia"/>
          <w:color w:val="auto"/>
          <w:szCs w:val="21"/>
          <w:highlight w:val="none"/>
          <w:lang w:val="zh-CN"/>
        </w:rPr>
        <w:t>。</w:t>
      </w:r>
    </w:p>
    <w:p w14:paraId="4E04D358">
      <w:pPr>
        <w:spacing w:line="360" w:lineRule="auto"/>
        <w:ind w:firstLine="482"/>
        <w:rPr>
          <w:rFonts w:hint="default" w:ascii="Times New Roman" w:hAnsi="Times New Roman" w:cs="Times New Roman" w:eastAsiaTheme="minorEastAsia"/>
          <w:b/>
          <w:color w:val="auto"/>
          <w:szCs w:val="21"/>
          <w:highlight w:val="none"/>
        </w:rPr>
      </w:pPr>
      <w:r>
        <w:rPr>
          <w:rFonts w:hint="default" w:ascii="Times New Roman" w:hAnsi="Times New Roman" w:cs="Times New Roman" w:eastAsiaTheme="minorEastAsia"/>
          <w:b/>
          <w:color w:val="auto"/>
          <w:szCs w:val="21"/>
          <w:highlight w:val="none"/>
        </w:rPr>
        <w:t>四、磋商程序</w:t>
      </w:r>
    </w:p>
    <w:p w14:paraId="54983071">
      <w:pPr>
        <w:spacing w:line="360" w:lineRule="auto"/>
        <w:ind w:firstLine="480"/>
        <w:rPr>
          <w:rFonts w:hint="default" w:ascii="Times New Roman" w:hAnsi="Times New Roman" w:cs="Times New Roman" w:eastAsiaTheme="minorEastAsia"/>
          <w:color w:val="auto"/>
          <w:szCs w:val="21"/>
          <w:highlight w:val="none"/>
        </w:rPr>
      </w:pPr>
      <w:r>
        <w:rPr>
          <w:rFonts w:hint="default" w:ascii="Times New Roman" w:hAnsi="Times New Roman" w:cs="Times New Roman" w:eastAsiaTheme="minorEastAsia"/>
          <w:color w:val="auto"/>
          <w:szCs w:val="21"/>
          <w:highlight w:val="none"/>
        </w:rPr>
        <w:t>1.对于通过资格审查和符合性审查的供应商，磋商小组将集中与单一供应商分别进行磋商。磋商小组通过苏采云系统向供应商发布“磋商函”，供应商应当按照要求在苏采云系统提交“磋商响应函”并加盖CA电子公章。</w:t>
      </w:r>
    </w:p>
    <w:p w14:paraId="404B23E4">
      <w:pPr>
        <w:spacing w:line="360" w:lineRule="auto"/>
        <w:ind w:firstLine="480"/>
        <w:rPr>
          <w:rFonts w:hint="default" w:ascii="Times New Roman" w:hAnsi="Times New Roman" w:cs="Times New Roman" w:eastAsiaTheme="minorEastAsia"/>
          <w:color w:val="auto"/>
          <w:szCs w:val="21"/>
          <w:highlight w:val="none"/>
        </w:rPr>
      </w:pPr>
      <w:r>
        <w:rPr>
          <w:rFonts w:hint="default" w:ascii="Times New Roman" w:hAnsi="Times New Roman" w:cs="Times New Roman" w:eastAsiaTheme="minorEastAsia"/>
          <w:color w:val="auto"/>
          <w:szCs w:val="21"/>
          <w:highlight w:val="none"/>
        </w:rPr>
        <w:t>在磋商过程中，磋商小组可能根据磋商文件和磋商情况实质性变动的内容有：</w:t>
      </w:r>
      <w:r>
        <w:rPr>
          <w:rFonts w:hint="default" w:ascii="Times New Roman" w:hAnsi="Times New Roman" w:cs="Times New Roman" w:eastAsiaTheme="minorEastAsia"/>
          <w:b/>
          <w:bCs/>
          <w:color w:val="auto"/>
          <w:szCs w:val="21"/>
          <w:highlight w:val="none"/>
        </w:rPr>
        <w:t>采购需求中的技术、服务要求以及合同草案条款</w:t>
      </w:r>
      <w:r>
        <w:rPr>
          <w:rFonts w:hint="default" w:ascii="Times New Roman" w:hAnsi="Times New Roman" w:cs="Times New Roman" w:eastAsiaTheme="minorEastAsia"/>
          <w:color w:val="auto"/>
          <w:szCs w:val="21"/>
          <w:highlight w:val="none"/>
        </w:rPr>
        <w:t>。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p>
    <w:p w14:paraId="467BA9BC">
      <w:pPr>
        <w:spacing w:line="360" w:lineRule="auto"/>
        <w:ind w:firstLine="480"/>
        <w:rPr>
          <w:rFonts w:hint="default" w:ascii="Times New Roman" w:hAnsi="Times New Roman" w:cs="Times New Roman" w:eastAsiaTheme="minorEastAsia"/>
          <w:color w:val="auto"/>
          <w:szCs w:val="21"/>
          <w:highlight w:val="none"/>
        </w:rPr>
      </w:pPr>
      <w:r>
        <w:rPr>
          <w:rFonts w:hint="default" w:ascii="Times New Roman" w:hAnsi="Times New Roman" w:cs="Times New Roman" w:eastAsiaTheme="minorEastAsia"/>
          <w:color w:val="auto"/>
          <w:szCs w:val="21"/>
          <w:highlight w:val="none"/>
        </w:rPr>
        <w:t>2.磋商文件能够详细列明采购标的的技术、服务要求的，磋商结束后，磋商小组将在苏采云系统向所有实质性响应的供应商发布“最后报价要求函”及最后报价格式表，要求所有实质性响应的供应商在规定时间内提交最后报价。</w:t>
      </w:r>
    </w:p>
    <w:p w14:paraId="3707072E">
      <w:pPr>
        <w:spacing w:line="360" w:lineRule="auto"/>
        <w:ind w:firstLine="480"/>
        <w:rPr>
          <w:rFonts w:hint="default" w:ascii="Times New Roman" w:hAnsi="Times New Roman" w:cs="Times New Roman" w:eastAsiaTheme="minorEastAsia"/>
          <w:color w:val="auto"/>
          <w:szCs w:val="21"/>
          <w:highlight w:val="none"/>
        </w:rPr>
      </w:pPr>
      <w:r>
        <w:rPr>
          <w:rFonts w:hint="default" w:ascii="Times New Roman" w:hAnsi="Times New Roman" w:cs="Times New Roman" w:eastAsiaTheme="minorEastAsia"/>
          <w:color w:val="auto"/>
          <w:szCs w:val="21"/>
          <w:highlight w:val="none"/>
        </w:rPr>
        <w:t>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布“最后报价要求函”及最后报价格式表，要求其在</w:t>
      </w:r>
      <w:r>
        <w:rPr>
          <w:rFonts w:hint="default" w:ascii="Times New Roman" w:hAnsi="Times New Roman" w:cs="Times New Roman" w:eastAsiaTheme="minorEastAsia"/>
          <w:b/>
          <w:bCs/>
          <w:color w:val="auto"/>
          <w:szCs w:val="21"/>
          <w:highlight w:val="none"/>
        </w:rPr>
        <w:t>15分钟内</w:t>
      </w:r>
      <w:r>
        <w:rPr>
          <w:rFonts w:hint="default" w:ascii="Times New Roman" w:hAnsi="Times New Roman" w:cs="Times New Roman" w:eastAsiaTheme="minorEastAsia"/>
          <w:color w:val="auto"/>
          <w:szCs w:val="21"/>
          <w:highlight w:val="none"/>
        </w:rPr>
        <w:t>提交最后报价。</w:t>
      </w:r>
    </w:p>
    <w:p w14:paraId="1CE871D4">
      <w:pPr>
        <w:spacing w:line="360" w:lineRule="auto"/>
        <w:ind w:firstLine="480"/>
        <w:rPr>
          <w:rFonts w:hint="default" w:ascii="Times New Roman" w:hAnsi="Times New Roman" w:cs="Times New Roman" w:eastAsiaTheme="minorEastAsia"/>
          <w:color w:val="auto"/>
          <w:szCs w:val="21"/>
          <w:highlight w:val="none"/>
        </w:rPr>
      </w:pPr>
      <w:r>
        <w:rPr>
          <w:rFonts w:hint="default" w:ascii="Times New Roman" w:hAnsi="Times New Roman" w:cs="Times New Roman" w:eastAsiaTheme="minorEastAsia"/>
          <w:color w:val="auto"/>
          <w:szCs w:val="21"/>
          <w:highlight w:val="none"/>
        </w:rPr>
        <w:t>最后报价是供应商响应文件的有效组成部分，提交最后报价的供应商不得少于3家。符合《政府采购竞争性磋商采购方式管理暂行办法》第三条第一款第四项及《财政部关于竞争性磋商采购方式管理暂行办法有关问题的补充通知》（财库〔2015〕124号）规定情形的，提交最后报价的供应商可以为2家。</w:t>
      </w:r>
    </w:p>
    <w:p w14:paraId="1408B7FC">
      <w:pPr>
        <w:spacing w:line="360" w:lineRule="auto"/>
        <w:ind w:firstLine="480"/>
        <w:rPr>
          <w:rFonts w:hint="default" w:ascii="Times New Roman" w:hAnsi="Times New Roman" w:cs="Times New Roman" w:eastAsiaTheme="minorEastAsia"/>
          <w:color w:val="auto"/>
          <w:szCs w:val="21"/>
          <w:highlight w:val="none"/>
        </w:rPr>
      </w:pPr>
      <w:r>
        <w:rPr>
          <w:rFonts w:hint="default" w:ascii="Times New Roman" w:hAnsi="Times New Roman" w:cs="Times New Roman" w:eastAsiaTheme="minorEastAsia"/>
          <w:color w:val="auto"/>
          <w:szCs w:val="21"/>
          <w:highlight w:val="none"/>
        </w:rPr>
        <w:t>3.供应商未在磋商小组规定的时间内在苏采云系统中提交最后报价的视为放弃磋商，其响应文件按无效响应处理，最后报价格式表须加盖CA电子公章，否则视为未提交最后报价。已提交响应文件的供应商，在提交最后报价之前，可以根据磋商情况退出磋商，并在苏采云系统中提交“退出磋商函”并加盖CA电子公章。</w:t>
      </w:r>
    </w:p>
    <w:p w14:paraId="06BAE22B">
      <w:pPr>
        <w:spacing w:line="360" w:lineRule="auto"/>
        <w:ind w:firstLine="480"/>
        <w:rPr>
          <w:rFonts w:hint="default" w:ascii="Times New Roman" w:hAnsi="Times New Roman" w:cs="Times New Roman" w:eastAsiaTheme="minorEastAsia"/>
          <w:color w:val="auto"/>
          <w:szCs w:val="21"/>
          <w:highlight w:val="none"/>
        </w:rPr>
      </w:pPr>
      <w:r>
        <w:rPr>
          <w:rFonts w:hint="default" w:ascii="Times New Roman" w:hAnsi="Times New Roman" w:cs="Times New Roman" w:eastAsiaTheme="minorEastAsia"/>
          <w:color w:val="auto"/>
          <w:szCs w:val="21"/>
          <w:highlight w:val="none"/>
        </w:rPr>
        <w:t>4.除非在磋商中磋商小组对采购需求中的技术、服务要求以及合同草案条款做了实质性变更，</w:t>
      </w:r>
      <w:r>
        <w:rPr>
          <w:rFonts w:hint="default" w:ascii="Times New Roman" w:hAnsi="Times New Roman" w:cs="Times New Roman" w:eastAsiaTheme="minorEastAsia"/>
          <w:b/>
          <w:bCs/>
          <w:color w:val="auto"/>
          <w:szCs w:val="21"/>
          <w:highlight w:val="none"/>
        </w:rPr>
        <w:t>否则采购单位不接受供应商高于自己前一轮的磋商报价</w:t>
      </w:r>
      <w:r>
        <w:rPr>
          <w:rFonts w:hint="default" w:ascii="Times New Roman" w:hAnsi="Times New Roman" w:cs="Times New Roman" w:eastAsiaTheme="minorEastAsia"/>
          <w:color w:val="auto"/>
          <w:szCs w:val="21"/>
          <w:highlight w:val="none"/>
        </w:rPr>
        <w:t>。</w:t>
      </w:r>
    </w:p>
    <w:p w14:paraId="2F89D585">
      <w:pPr>
        <w:spacing w:line="360" w:lineRule="auto"/>
        <w:ind w:firstLine="480"/>
        <w:rPr>
          <w:rFonts w:hint="default" w:ascii="Times New Roman" w:hAnsi="Times New Roman" w:cs="Times New Roman" w:eastAsiaTheme="minorEastAsia"/>
          <w:color w:val="auto"/>
          <w:szCs w:val="21"/>
          <w:highlight w:val="none"/>
        </w:rPr>
      </w:pPr>
      <w:r>
        <w:rPr>
          <w:rFonts w:hint="default" w:ascii="Times New Roman" w:hAnsi="Times New Roman" w:cs="Times New Roman" w:eastAsiaTheme="minorEastAsia"/>
          <w:color w:val="auto"/>
          <w:szCs w:val="21"/>
          <w:highlight w:val="none"/>
        </w:rPr>
        <w:t>5.在磋商中，磋商的任何一方不得透露与磋商有关的其他响应磋商的供应商的技术资料、价格及其他信息。</w:t>
      </w:r>
    </w:p>
    <w:p w14:paraId="2394C9CC">
      <w:pPr>
        <w:spacing w:line="360" w:lineRule="auto"/>
        <w:ind w:firstLine="480"/>
        <w:rPr>
          <w:rFonts w:hint="default" w:ascii="Times New Roman" w:hAnsi="Times New Roman" w:cs="Times New Roman" w:eastAsiaTheme="minorEastAsia"/>
          <w:color w:val="auto"/>
          <w:szCs w:val="21"/>
          <w:highlight w:val="none"/>
        </w:rPr>
      </w:pPr>
      <w:r>
        <w:rPr>
          <w:rFonts w:hint="default" w:ascii="Times New Roman" w:hAnsi="Times New Roman" w:cs="Times New Roman" w:eastAsiaTheme="minorEastAsia"/>
          <w:color w:val="auto"/>
          <w:szCs w:val="21"/>
          <w:highlight w:val="none"/>
        </w:rPr>
        <w:t>6.在磋商评审过程中，磋商小组认为供应商的报价明显低于其他通过符合性审查供应商的报价，有可能影响产品质量或者不能诚信履约的，应当要求其在30分钟内提供书面说明，必要时提交相关证明材料；供应商不能证明其报价合理性的，磋商小组应当将其作为无效响应处理。</w:t>
      </w:r>
    </w:p>
    <w:p w14:paraId="0F8679CF">
      <w:pPr>
        <w:spacing w:line="360" w:lineRule="auto"/>
        <w:ind w:firstLine="482"/>
        <w:rPr>
          <w:rFonts w:hint="default" w:ascii="Times New Roman" w:hAnsi="Times New Roman" w:cs="Times New Roman" w:eastAsiaTheme="minorEastAsia"/>
          <w:b/>
          <w:color w:val="auto"/>
          <w:szCs w:val="21"/>
          <w:highlight w:val="none"/>
        </w:rPr>
      </w:pPr>
      <w:r>
        <w:rPr>
          <w:rFonts w:hint="default" w:ascii="Times New Roman" w:hAnsi="Times New Roman" w:cs="Times New Roman" w:eastAsiaTheme="minorEastAsia"/>
          <w:b/>
          <w:color w:val="auto"/>
          <w:szCs w:val="21"/>
          <w:highlight w:val="none"/>
        </w:rPr>
        <w:t>五、磋商评定结果的方法</w:t>
      </w:r>
    </w:p>
    <w:p w14:paraId="4C41B2CB">
      <w:pPr>
        <w:spacing w:line="360" w:lineRule="auto"/>
        <w:ind w:firstLine="480"/>
        <w:rPr>
          <w:rFonts w:hint="default" w:ascii="Times New Roman" w:hAnsi="Times New Roman" w:cs="Times New Roman" w:eastAsiaTheme="minorEastAsia"/>
          <w:color w:val="auto"/>
          <w:szCs w:val="21"/>
          <w:highlight w:val="none"/>
        </w:rPr>
      </w:pPr>
      <w:r>
        <w:rPr>
          <w:rFonts w:hint="default" w:ascii="Times New Roman" w:hAnsi="Times New Roman" w:cs="Times New Roman" w:eastAsiaTheme="minorEastAsia"/>
          <w:color w:val="auto"/>
          <w:szCs w:val="21"/>
          <w:highlight w:val="none"/>
        </w:rPr>
        <w:t>1.</w:t>
      </w:r>
      <w:r>
        <w:rPr>
          <w:rFonts w:hint="default" w:ascii="Times New Roman" w:hAnsi="Times New Roman" w:cs="Times New Roman" w:eastAsiaTheme="minorEastAsia"/>
          <w:b/>
          <w:color w:val="auto"/>
          <w:szCs w:val="21"/>
          <w:highlight w:val="none"/>
          <w:u w:val="single"/>
        </w:rPr>
        <w:t>经磋商确定最终采购需求和提交最后报价的供应商后，</w:t>
      </w:r>
      <w:r>
        <w:rPr>
          <w:rFonts w:hint="default" w:ascii="Times New Roman" w:hAnsi="Times New Roman" w:cs="Times New Roman" w:eastAsiaTheme="minorEastAsia"/>
          <w:color w:val="auto"/>
          <w:szCs w:val="21"/>
          <w:highlight w:val="none"/>
        </w:rPr>
        <w:t>由磋商小组采用综合评分法</w:t>
      </w:r>
      <w:r>
        <w:rPr>
          <w:rFonts w:hint="default" w:ascii="Times New Roman" w:hAnsi="Times New Roman" w:cs="Times New Roman" w:eastAsiaTheme="minorEastAsia"/>
          <w:b/>
          <w:color w:val="auto"/>
          <w:szCs w:val="21"/>
          <w:highlight w:val="none"/>
          <w:u w:val="single"/>
        </w:rPr>
        <w:t>对提交最后报价的供应商的响应文件和最后报价</w:t>
      </w:r>
      <w:r>
        <w:rPr>
          <w:rFonts w:hint="default" w:ascii="Times New Roman" w:hAnsi="Times New Roman" w:cs="Times New Roman" w:eastAsiaTheme="minorEastAsia"/>
          <w:color w:val="auto"/>
          <w:szCs w:val="21"/>
          <w:highlight w:val="none"/>
        </w:rPr>
        <w:t>进行综合评分。综合评分法，是指响应文件满足磋商文件全部实质性要求且按评审因素的量化指标评审得分最高的供应商为成交候选供应商的评审方法。</w:t>
      </w:r>
    </w:p>
    <w:p w14:paraId="779C2759">
      <w:pPr>
        <w:spacing w:line="360" w:lineRule="auto"/>
        <w:ind w:firstLine="480"/>
        <w:rPr>
          <w:rFonts w:hint="default" w:ascii="Times New Roman" w:hAnsi="Times New Roman" w:cs="Times New Roman" w:eastAsiaTheme="minorEastAsia"/>
          <w:color w:val="auto"/>
          <w:szCs w:val="21"/>
          <w:highlight w:val="none"/>
        </w:rPr>
      </w:pPr>
      <w:r>
        <w:rPr>
          <w:rFonts w:hint="default" w:ascii="Times New Roman" w:hAnsi="Times New Roman" w:cs="Times New Roman" w:eastAsiaTheme="minorEastAsia"/>
          <w:color w:val="auto"/>
          <w:szCs w:val="21"/>
          <w:highlight w:val="none"/>
        </w:rPr>
        <w:t>2.评审时，磋商小组各成员应当独立对每个有效响应的文件进行评价、打分，然后汇总每个供应商每项评分因素的得分（计算结果均四舍五入保留两位小数）。</w:t>
      </w:r>
    </w:p>
    <w:p w14:paraId="0A264965">
      <w:pPr>
        <w:spacing w:line="360" w:lineRule="auto"/>
        <w:ind w:firstLine="480"/>
        <w:rPr>
          <w:rFonts w:hint="default" w:ascii="Times New Roman" w:hAnsi="Times New Roman" w:cs="Times New Roman" w:eastAsiaTheme="minorEastAsia"/>
          <w:color w:val="auto"/>
          <w:szCs w:val="21"/>
          <w:highlight w:val="none"/>
        </w:rPr>
      </w:pPr>
      <w:r>
        <w:rPr>
          <w:rFonts w:hint="default" w:ascii="Times New Roman" w:hAnsi="Times New Roman" w:cs="Times New Roman" w:eastAsiaTheme="minorEastAsia"/>
          <w:color w:val="auto"/>
          <w:szCs w:val="21"/>
          <w:highlight w:val="none"/>
        </w:rPr>
        <w:t xml:space="preserve">3.本次项目磋商的商务技术和报价评审总分值为100分。 </w:t>
      </w:r>
    </w:p>
    <w:p w14:paraId="0F4B6794">
      <w:pPr>
        <w:spacing w:line="360" w:lineRule="auto"/>
        <w:ind w:firstLine="480"/>
        <w:rPr>
          <w:rFonts w:hint="default" w:ascii="Times New Roman" w:hAnsi="Times New Roman" w:cs="Times New Roman" w:eastAsiaTheme="minorEastAsia"/>
          <w:color w:val="auto"/>
          <w:szCs w:val="21"/>
          <w:highlight w:val="none"/>
        </w:rPr>
      </w:pPr>
      <w:r>
        <w:rPr>
          <w:rFonts w:hint="default" w:ascii="Times New Roman" w:hAnsi="Times New Roman" w:cs="Times New Roman" w:eastAsiaTheme="minorEastAsia"/>
          <w:color w:val="auto"/>
          <w:szCs w:val="21"/>
          <w:highlight w:val="none"/>
        </w:rPr>
        <w:t>4.商务技术分按算术平均值计算，分值四舍五入保留两位小数。</w:t>
      </w:r>
    </w:p>
    <w:p w14:paraId="3E4B680B">
      <w:pPr>
        <w:spacing w:line="360" w:lineRule="auto"/>
        <w:ind w:firstLine="480"/>
        <w:rPr>
          <w:rFonts w:hint="default" w:ascii="Times New Roman" w:hAnsi="Times New Roman" w:cs="Times New Roman" w:eastAsiaTheme="minorEastAsia"/>
          <w:color w:val="auto"/>
          <w:szCs w:val="21"/>
          <w:highlight w:val="none"/>
        </w:rPr>
      </w:pPr>
      <w:r>
        <w:rPr>
          <w:rFonts w:hint="default" w:ascii="Times New Roman" w:hAnsi="Times New Roman" w:cs="Times New Roman" w:eastAsiaTheme="minorEastAsia"/>
          <w:color w:val="auto"/>
          <w:szCs w:val="21"/>
          <w:highlight w:val="none"/>
        </w:rPr>
        <w:t>5.报价分统一采用低价优先法计算直接取得，与商务技术分相加为供应商的综合得分（四舍五入保留两位小数）。</w:t>
      </w:r>
    </w:p>
    <w:p w14:paraId="1ACA495E">
      <w:pPr>
        <w:spacing w:line="360" w:lineRule="auto"/>
        <w:ind w:firstLine="480"/>
        <w:rPr>
          <w:rFonts w:hint="default" w:ascii="Times New Roman" w:hAnsi="Times New Roman" w:cs="Times New Roman" w:eastAsiaTheme="minorEastAsia"/>
          <w:color w:val="auto"/>
          <w:szCs w:val="21"/>
          <w:highlight w:val="none"/>
        </w:rPr>
      </w:pPr>
      <w:r>
        <w:rPr>
          <w:rFonts w:hint="default" w:ascii="Times New Roman" w:hAnsi="Times New Roman" w:cs="Times New Roman" w:eastAsiaTheme="minorEastAsia"/>
          <w:color w:val="auto"/>
          <w:szCs w:val="21"/>
          <w:highlight w:val="none"/>
        </w:rPr>
        <w:t>6.综合得分最高的供应商推荐为项目预成交人并出具评审磋商报告。</w:t>
      </w:r>
    </w:p>
    <w:p w14:paraId="3A51592A">
      <w:pPr>
        <w:spacing w:line="360" w:lineRule="auto"/>
        <w:ind w:firstLine="480"/>
        <w:rPr>
          <w:rFonts w:hint="default" w:ascii="Times New Roman" w:hAnsi="Times New Roman" w:cs="Times New Roman" w:eastAsiaTheme="minorEastAsia"/>
          <w:color w:val="auto"/>
          <w:szCs w:val="21"/>
          <w:highlight w:val="none"/>
        </w:rPr>
      </w:pPr>
      <w:r>
        <w:rPr>
          <w:rFonts w:hint="default" w:ascii="Times New Roman" w:hAnsi="Times New Roman" w:cs="Times New Roman" w:eastAsiaTheme="minorEastAsia"/>
          <w:color w:val="auto"/>
          <w:szCs w:val="21"/>
          <w:highlight w:val="none"/>
        </w:rPr>
        <w:t xml:space="preserve">7.确定成交候选人的特殊情况处理： </w:t>
      </w:r>
    </w:p>
    <w:p w14:paraId="188227C8">
      <w:pPr>
        <w:spacing w:line="360" w:lineRule="auto"/>
        <w:ind w:firstLine="480"/>
        <w:rPr>
          <w:rFonts w:hint="default" w:ascii="Times New Roman" w:hAnsi="Times New Roman" w:cs="Times New Roman" w:eastAsiaTheme="minorEastAsia"/>
          <w:color w:val="auto"/>
          <w:szCs w:val="21"/>
          <w:highlight w:val="none"/>
        </w:rPr>
      </w:pPr>
      <w:r>
        <w:rPr>
          <w:rFonts w:hint="default" w:ascii="Times New Roman" w:hAnsi="Times New Roman" w:cs="Times New Roman" w:eastAsiaTheme="minorEastAsia"/>
          <w:color w:val="auto"/>
          <w:szCs w:val="21"/>
          <w:highlight w:val="none"/>
        </w:rPr>
        <w:t>（1）若总分相同，则按最终报价响应得分高者优先成交。</w:t>
      </w:r>
    </w:p>
    <w:p w14:paraId="5DC87580">
      <w:pPr>
        <w:spacing w:line="360" w:lineRule="auto"/>
        <w:ind w:firstLine="480"/>
        <w:rPr>
          <w:rFonts w:hint="default" w:ascii="Times New Roman" w:hAnsi="Times New Roman" w:cs="Times New Roman" w:eastAsiaTheme="minorEastAsia"/>
          <w:color w:val="auto"/>
          <w:szCs w:val="21"/>
          <w:highlight w:val="none"/>
        </w:rPr>
      </w:pPr>
      <w:r>
        <w:rPr>
          <w:rFonts w:hint="default" w:ascii="Times New Roman" w:hAnsi="Times New Roman" w:cs="Times New Roman" w:eastAsiaTheme="minorEastAsia"/>
          <w:color w:val="auto"/>
          <w:szCs w:val="21"/>
          <w:highlight w:val="none"/>
        </w:rPr>
        <w:t>（2）若总分且最终报价响应得分相同，则采取现场抽签的方式确定（供应商的抽签顺序分别为各供应商递交响应文件签到顺序号）。</w:t>
      </w:r>
    </w:p>
    <w:p w14:paraId="7A92C154">
      <w:pPr>
        <w:spacing w:line="360" w:lineRule="auto"/>
        <w:ind w:firstLine="480"/>
        <w:rPr>
          <w:rFonts w:hint="default" w:ascii="Times New Roman" w:hAnsi="Times New Roman" w:cs="Times New Roman" w:eastAsiaTheme="minorEastAsia"/>
          <w:color w:val="auto"/>
          <w:szCs w:val="21"/>
          <w:highlight w:val="none"/>
        </w:rPr>
      </w:pPr>
      <w:r>
        <w:rPr>
          <w:rFonts w:hint="default" w:ascii="Times New Roman" w:hAnsi="Times New Roman" w:cs="Times New Roman" w:eastAsiaTheme="minorEastAsia"/>
          <w:color w:val="auto"/>
          <w:szCs w:val="21"/>
          <w:highlight w:val="none"/>
        </w:rPr>
        <w:t>8.磋商评审时，评委对评审的细则若有争议，由磋商小组集体讨论确定，并对未尽情况有最终解释权。</w:t>
      </w:r>
    </w:p>
    <w:p w14:paraId="1CC38764">
      <w:pPr>
        <w:keepNext w:val="0"/>
        <w:keepLines w:val="0"/>
        <w:pageBreakBefore w:val="0"/>
        <w:pBdr>
          <w:top w:val="none" w:color="000000" w:sz="0" w:space="0"/>
          <w:left w:val="none" w:color="000000" w:sz="0" w:space="0"/>
          <w:bottom w:val="none" w:color="000000" w:sz="0" w:space="0"/>
          <w:right w:val="none" w:color="000000" w:sz="0" w:space="0"/>
        </w:pBdr>
        <w:spacing w:beforeAutospacing="0" w:afterAutospacing="0" w:line="360" w:lineRule="auto"/>
        <w:ind w:firstLine="480"/>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一、本项目采用综合评分法进行评审。磋商小组仅对确定为实质上响应磋商文件要求的响应文件进行评价和比较。由磋商小组采用综合评分法对提交最后报价的供应商的响应文件和最后报价进行综合评分。综合评分法，是指响应文件满足磋商文件全部要求且按照按评审因素的量化指标评审得分最高的供应商为成交候选供应商的评审方法。</w:t>
      </w:r>
    </w:p>
    <w:p w14:paraId="3E74F18E">
      <w:pPr>
        <w:keepNext w:val="0"/>
        <w:keepLines w:val="0"/>
        <w:pageBreakBefore w:val="0"/>
        <w:pBdr>
          <w:top w:val="none" w:color="000000" w:sz="0" w:space="0"/>
          <w:left w:val="none" w:color="000000" w:sz="0" w:space="0"/>
          <w:bottom w:val="none" w:color="000000" w:sz="0" w:space="0"/>
          <w:right w:val="none" w:color="000000" w:sz="0" w:space="0"/>
        </w:pBdr>
        <w:spacing w:beforeAutospacing="0" w:afterAutospacing="0" w:line="360" w:lineRule="auto"/>
        <w:ind w:firstLine="480"/>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二、磋商小组将依据下列评标标准进行评审，本评标标准的总分为100分。按评审后得分由高到低顺序排列，得分相同的，按投标报价由低到高顺序排列，得分且投标报价相同的，按技术指标优劣顺序排列。</w:t>
      </w:r>
    </w:p>
    <w:p w14:paraId="57EED76C">
      <w:pPr>
        <w:rPr>
          <w:rFonts w:hint="default" w:ascii="Times New Roman" w:hAnsi="Times New Roman" w:eastAsia="宋体" w:cs="Times New Roman"/>
          <w:color w:val="auto"/>
          <w:sz w:val="21"/>
          <w:szCs w:val="21"/>
          <w:highlight w:val="none"/>
          <w:lang w:val="en-US" w:eastAsia="zh-CN" w:bidi="ar-SA"/>
        </w:rPr>
      </w:pPr>
    </w:p>
    <w:p w14:paraId="398E12C1">
      <w:pPr>
        <w:rPr>
          <w:rFonts w:hint="default" w:ascii="Times New Roman" w:hAnsi="Times New Roman" w:eastAsia="宋体" w:cs="Times New Roman"/>
          <w:color w:val="auto"/>
          <w:sz w:val="21"/>
          <w:szCs w:val="21"/>
          <w:highlight w:val="none"/>
          <w:lang w:val="en-US" w:eastAsia="zh-CN" w:bidi="ar-SA"/>
        </w:rPr>
      </w:pPr>
    </w:p>
    <w:p w14:paraId="78BA376A">
      <w:pPr>
        <w:rPr>
          <w:rFonts w:hint="default" w:ascii="Times New Roman" w:hAnsi="Times New Roman" w:eastAsia="宋体" w:cs="Times New Roman"/>
          <w:color w:val="auto"/>
          <w:sz w:val="21"/>
          <w:szCs w:val="21"/>
          <w:highlight w:val="none"/>
          <w:lang w:val="en-US" w:eastAsia="zh-CN" w:bidi="ar-SA"/>
        </w:rPr>
      </w:pPr>
    </w:p>
    <w:p w14:paraId="0E4ED479">
      <w:pPr>
        <w:rPr>
          <w:rFonts w:hint="default" w:ascii="Times New Roman" w:hAnsi="Times New Roman" w:eastAsia="宋体" w:cs="Times New Roman"/>
          <w:color w:val="auto"/>
          <w:sz w:val="21"/>
          <w:szCs w:val="21"/>
          <w:highlight w:val="none"/>
          <w:lang w:val="en-US" w:eastAsia="zh-CN" w:bidi="ar-SA"/>
        </w:rPr>
      </w:pPr>
    </w:p>
    <w:p w14:paraId="025EAECE">
      <w:pPr>
        <w:rPr>
          <w:rFonts w:hint="default" w:ascii="Times New Roman" w:hAnsi="Times New Roman" w:eastAsia="宋体" w:cs="Times New Roman"/>
          <w:color w:val="auto"/>
          <w:sz w:val="21"/>
          <w:szCs w:val="21"/>
          <w:highlight w:val="none"/>
          <w:lang w:val="en-US" w:eastAsia="zh-CN" w:bidi="ar-SA"/>
        </w:rPr>
      </w:pPr>
    </w:p>
    <w:p w14:paraId="2F547D7F">
      <w:pPr>
        <w:rPr>
          <w:rFonts w:hint="default" w:ascii="Times New Roman" w:hAnsi="Times New Roman" w:eastAsia="宋体" w:cs="Times New Roman"/>
          <w:color w:val="auto"/>
          <w:sz w:val="21"/>
          <w:szCs w:val="21"/>
          <w:highlight w:val="none"/>
          <w:lang w:val="en-US" w:eastAsia="zh-CN" w:bidi="ar-SA"/>
        </w:rPr>
      </w:pPr>
    </w:p>
    <w:p w14:paraId="470F2929">
      <w:pPr>
        <w:rPr>
          <w:rFonts w:hint="default" w:ascii="Times New Roman" w:hAnsi="Times New Roman" w:eastAsia="宋体" w:cs="Times New Roman"/>
          <w:color w:val="auto"/>
          <w:sz w:val="21"/>
          <w:szCs w:val="21"/>
          <w:highlight w:val="none"/>
          <w:lang w:val="en-US" w:eastAsia="zh-CN" w:bidi="ar-SA"/>
        </w:rPr>
      </w:pPr>
    </w:p>
    <w:p w14:paraId="50889540">
      <w:pPr>
        <w:rPr>
          <w:rFonts w:hint="default" w:ascii="Times New Roman" w:hAnsi="Times New Roman" w:eastAsia="宋体" w:cs="Times New Roman"/>
          <w:color w:val="auto"/>
          <w:sz w:val="21"/>
          <w:szCs w:val="21"/>
          <w:highlight w:val="none"/>
          <w:lang w:val="en-US" w:eastAsia="zh-CN" w:bidi="ar-SA"/>
        </w:rPr>
      </w:pPr>
    </w:p>
    <w:p w14:paraId="37857C3D">
      <w:pPr>
        <w:rPr>
          <w:rFonts w:hint="default" w:ascii="Times New Roman" w:hAnsi="Times New Roman" w:eastAsia="宋体" w:cs="Times New Roman"/>
          <w:color w:val="auto"/>
          <w:sz w:val="21"/>
          <w:szCs w:val="21"/>
          <w:highlight w:val="none"/>
          <w:lang w:val="en-US" w:eastAsia="zh-CN" w:bidi="ar-SA"/>
        </w:rPr>
      </w:pPr>
    </w:p>
    <w:p w14:paraId="5CC4D1D0">
      <w:pPr>
        <w:rPr>
          <w:rFonts w:hint="default" w:ascii="Times New Roman" w:hAnsi="Times New Roman" w:eastAsia="宋体" w:cs="Times New Roman"/>
          <w:color w:val="auto"/>
          <w:sz w:val="21"/>
          <w:szCs w:val="21"/>
          <w:highlight w:val="none"/>
          <w:lang w:val="en-US" w:eastAsia="zh-CN" w:bidi="ar-SA"/>
        </w:rPr>
      </w:pPr>
    </w:p>
    <w:p w14:paraId="4AD9AA56">
      <w:pPr>
        <w:rPr>
          <w:rFonts w:hint="default" w:ascii="Times New Roman" w:hAnsi="Times New Roman" w:eastAsia="宋体" w:cs="Times New Roman"/>
          <w:color w:val="auto"/>
          <w:sz w:val="21"/>
          <w:szCs w:val="21"/>
          <w:highlight w:val="none"/>
          <w:lang w:val="en-US" w:eastAsia="zh-CN" w:bidi="ar-SA"/>
        </w:rPr>
      </w:pPr>
    </w:p>
    <w:p w14:paraId="18C0A51C">
      <w:pPr>
        <w:rPr>
          <w:rFonts w:hint="default" w:ascii="Times New Roman" w:hAnsi="Times New Roman" w:eastAsia="宋体" w:cs="Times New Roman"/>
          <w:color w:val="auto"/>
          <w:sz w:val="21"/>
          <w:szCs w:val="21"/>
          <w:highlight w:val="none"/>
          <w:lang w:val="en-US" w:eastAsia="zh-CN" w:bidi="ar-SA"/>
        </w:rPr>
      </w:pPr>
    </w:p>
    <w:p w14:paraId="6B5026D1">
      <w:pPr>
        <w:rPr>
          <w:rFonts w:hint="default" w:ascii="Times New Roman" w:hAnsi="Times New Roman" w:eastAsia="宋体" w:cs="Times New Roman"/>
          <w:color w:val="auto"/>
          <w:sz w:val="21"/>
          <w:szCs w:val="21"/>
          <w:highlight w:val="none"/>
          <w:lang w:val="en-US" w:eastAsia="zh-CN" w:bidi="ar-SA"/>
        </w:rPr>
      </w:pPr>
    </w:p>
    <w:p w14:paraId="7E0AE0BE">
      <w:pPr>
        <w:rPr>
          <w:rFonts w:hint="default" w:ascii="Times New Roman" w:hAnsi="Times New Roman" w:eastAsia="宋体" w:cs="Times New Roman"/>
          <w:color w:val="auto"/>
          <w:sz w:val="21"/>
          <w:szCs w:val="21"/>
          <w:highlight w:val="none"/>
          <w:lang w:val="en-US" w:eastAsia="zh-CN" w:bidi="ar-SA"/>
        </w:rPr>
      </w:pPr>
    </w:p>
    <w:p w14:paraId="0C09C6D3">
      <w:pPr>
        <w:rPr>
          <w:rFonts w:hint="default" w:ascii="Times New Roman" w:hAnsi="Times New Roman" w:eastAsia="宋体" w:cs="Times New Roman"/>
          <w:color w:val="auto"/>
          <w:sz w:val="21"/>
          <w:szCs w:val="21"/>
          <w:highlight w:val="none"/>
          <w:lang w:val="en-US" w:eastAsia="zh-CN" w:bidi="ar-SA"/>
        </w:rPr>
      </w:pPr>
    </w:p>
    <w:p w14:paraId="3F9E411F">
      <w:pPr>
        <w:rPr>
          <w:rFonts w:hint="default" w:ascii="Times New Roman" w:hAnsi="Times New Roman" w:eastAsia="宋体" w:cs="Times New Roman"/>
          <w:color w:val="auto"/>
          <w:sz w:val="21"/>
          <w:szCs w:val="21"/>
          <w:highlight w:val="none"/>
          <w:lang w:val="en-US" w:eastAsia="zh-CN" w:bidi="ar-SA"/>
        </w:rPr>
      </w:pPr>
    </w:p>
    <w:p w14:paraId="227C27CA">
      <w:pPr>
        <w:rPr>
          <w:rFonts w:hint="default" w:ascii="Times New Roman" w:hAnsi="Times New Roman" w:eastAsia="宋体" w:cs="Times New Roman"/>
          <w:color w:val="auto"/>
          <w:sz w:val="21"/>
          <w:szCs w:val="21"/>
          <w:highlight w:val="none"/>
          <w:lang w:val="en-US" w:eastAsia="zh-CN" w:bidi="ar-SA"/>
        </w:rPr>
      </w:pPr>
    </w:p>
    <w:p w14:paraId="44806898">
      <w:pPr>
        <w:rPr>
          <w:rFonts w:hint="default" w:ascii="Times New Roman" w:hAnsi="Times New Roman" w:eastAsia="宋体" w:cs="Times New Roman"/>
          <w:color w:val="auto"/>
          <w:sz w:val="21"/>
          <w:szCs w:val="21"/>
          <w:highlight w:val="none"/>
          <w:lang w:val="en-US" w:eastAsia="zh-CN" w:bidi="ar-SA"/>
        </w:rPr>
      </w:pPr>
    </w:p>
    <w:p w14:paraId="56B17CB4">
      <w:pPr>
        <w:keepNext/>
        <w:keepLines/>
        <w:pageBreakBefore w:val="0"/>
        <w:widowControl w:val="0"/>
        <w:spacing w:line="360" w:lineRule="auto"/>
        <w:jc w:val="center"/>
        <w:rPr>
          <w:rFonts w:hint="default" w:ascii="Times New Roman" w:hAnsi="Times New Roman" w:eastAsia="宋体" w:cs="Times New Roman"/>
          <w:b/>
          <w:bCs/>
          <w:color w:val="auto"/>
          <w:sz w:val="24"/>
          <w:szCs w:val="24"/>
          <w:highlight w:val="none"/>
          <w:lang w:val="en-US" w:eastAsia="zh-CN" w:bidi="ar-SA"/>
        </w:rPr>
      </w:pPr>
      <w:r>
        <w:rPr>
          <w:rFonts w:hint="default" w:ascii="Times New Roman" w:hAnsi="Times New Roman" w:eastAsia="宋体" w:cs="Times New Roman"/>
          <w:b/>
          <w:bCs/>
          <w:color w:val="auto"/>
          <w:sz w:val="24"/>
          <w:szCs w:val="24"/>
          <w:highlight w:val="none"/>
          <w:lang w:val="en-US" w:eastAsia="zh-CN" w:bidi="ar-SA"/>
        </w:rPr>
        <w:t>采购包1：安全标段评分标准</w:t>
      </w:r>
    </w:p>
    <w:tbl>
      <w:tblPr>
        <w:tblStyle w:val="217"/>
        <w:tblW w:w="970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192"/>
        <w:gridCol w:w="2089"/>
        <w:gridCol w:w="6423"/>
      </w:tblGrid>
      <w:tr w14:paraId="14CA601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cantSplit/>
          <w:trHeight w:val="624" w:hRule="atLeast"/>
          <w:jc w:val="center"/>
        </w:trPr>
        <w:tc>
          <w:tcPr>
            <w:tcW w:w="1192" w:type="dxa"/>
            <w:noWrap w:val="0"/>
            <w:vAlign w:val="bottom"/>
          </w:tcPr>
          <w:p w14:paraId="5D104177">
            <w:pPr>
              <w:pStyle w:val="216"/>
              <w:keepNext/>
              <w:keepLines/>
              <w:pageBreakBefore w:val="0"/>
              <w:widowControl w:val="0"/>
              <w:spacing w:line="360" w:lineRule="auto"/>
              <w:ind w:right="100"/>
              <w:jc w:val="center"/>
              <w:rPr>
                <w:rFonts w:hint="default" w:ascii="Times New Roman" w:hAnsi="Times New Roman" w:eastAsia="宋体" w:cs="Times New Roman"/>
                <w:b/>
                <w:color w:val="auto"/>
                <w:sz w:val="21"/>
                <w:szCs w:val="21"/>
                <w:highlight w:val="none"/>
                <w:lang w:val="en-US" w:eastAsia="zh-CN"/>
              </w:rPr>
            </w:pPr>
            <w:r>
              <w:rPr>
                <w:rFonts w:hint="default" w:ascii="Times New Roman" w:hAnsi="Times New Roman" w:eastAsia="宋体" w:cs="Times New Roman"/>
                <w:b/>
                <w:color w:val="auto"/>
                <w:sz w:val="21"/>
                <w:szCs w:val="21"/>
                <w:highlight w:val="none"/>
              </w:rPr>
              <w:t>评</w:t>
            </w:r>
            <w:r>
              <w:rPr>
                <w:rFonts w:hint="default" w:ascii="Times New Roman" w:hAnsi="Times New Roman" w:eastAsia="宋体" w:cs="Times New Roman"/>
                <w:b/>
                <w:color w:val="auto"/>
                <w:sz w:val="21"/>
                <w:szCs w:val="21"/>
                <w:highlight w:val="none"/>
                <w:lang w:val="en-US" w:eastAsia="zh-CN"/>
              </w:rPr>
              <w:t>分项</w:t>
            </w:r>
          </w:p>
        </w:tc>
        <w:tc>
          <w:tcPr>
            <w:tcW w:w="2089" w:type="dxa"/>
            <w:noWrap w:val="0"/>
            <w:vAlign w:val="bottom"/>
          </w:tcPr>
          <w:p w14:paraId="2A501D7D">
            <w:pPr>
              <w:pStyle w:val="216"/>
              <w:keepNext/>
              <w:keepLines/>
              <w:pageBreakBefore w:val="0"/>
              <w:widowControl w:val="0"/>
              <w:spacing w:line="360" w:lineRule="auto"/>
              <w:ind w:right="140"/>
              <w:jc w:val="center"/>
              <w:rPr>
                <w:rFonts w:hint="default" w:ascii="Times New Roman" w:hAnsi="Times New Roman" w:eastAsia="宋体" w:cs="Times New Roman"/>
                <w:b/>
                <w:color w:val="auto"/>
                <w:sz w:val="21"/>
                <w:szCs w:val="21"/>
                <w:highlight w:val="none"/>
              </w:rPr>
            </w:pPr>
            <w:r>
              <w:rPr>
                <w:rFonts w:hint="default" w:ascii="Times New Roman" w:hAnsi="Times New Roman" w:eastAsia="宋体" w:cs="Times New Roman"/>
                <w:b/>
                <w:color w:val="auto"/>
                <w:sz w:val="21"/>
                <w:szCs w:val="21"/>
                <w:highlight w:val="none"/>
              </w:rPr>
              <w:t>评审因素</w:t>
            </w:r>
          </w:p>
        </w:tc>
        <w:tc>
          <w:tcPr>
            <w:tcW w:w="6423" w:type="dxa"/>
            <w:noWrap w:val="0"/>
            <w:vAlign w:val="bottom"/>
          </w:tcPr>
          <w:p w14:paraId="5DE7B343">
            <w:pPr>
              <w:pStyle w:val="216"/>
              <w:keepNext/>
              <w:keepLines/>
              <w:pageBreakBefore w:val="0"/>
              <w:widowControl w:val="0"/>
              <w:spacing w:line="360" w:lineRule="auto"/>
              <w:ind w:right="1538"/>
              <w:jc w:val="center"/>
              <w:rPr>
                <w:rFonts w:hint="default" w:ascii="Times New Roman" w:hAnsi="Times New Roman" w:eastAsia="宋体" w:cs="Times New Roman"/>
                <w:b/>
                <w:color w:val="auto"/>
                <w:sz w:val="21"/>
                <w:szCs w:val="21"/>
                <w:highlight w:val="none"/>
              </w:rPr>
            </w:pPr>
            <w:r>
              <w:rPr>
                <w:rFonts w:hint="default" w:ascii="Times New Roman" w:hAnsi="Times New Roman" w:eastAsia="宋体" w:cs="Times New Roman"/>
                <w:b/>
                <w:color w:val="auto"/>
                <w:sz w:val="21"/>
                <w:szCs w:val="21"/>
                <w:highlight w:val="none"/>
              </w:rPr>
              <w:t>评分标准说明</w:t>
            </w:r>
          </w:p>
        </w:tc>
      </w:tr>
      <w:tr w14:paraId="0492B9E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cantSplit/>
          <w:trHeight w:val="1590" w:hRule="atLeast"/>
          <w:jc w:val="center"/>
        </w:trPr>
        <w:tc>
          <w:tcPr>
            <w:tcW w:w="1192" w:type="dxa"/>
            <w:noWrap w:val="0"/>
            <w:vAlign w:val="center"/>
          </w:tcPr>
          <w:p w14:paraId="4BDF9184">
            <w:pPr>
              <w:pStyle w:val="216"/>
              <w:keepNext/>
              <w:keepLines/>
              <w:pageBreakBefore w:val="0"/>
              <w:widowControl w:val="0"/>
              <w:spacing w:line="380" w:lineRule="exact"/>
              <w:jc w:val="center"/>
              <w:rPr>
                <w:rFonts w:hint="default" w:ascii="Times New Roman" w:hAnsi="Times New Roman" w:eastAsia="宋体" w:cs="Times New Roman"/>
                <w:b/>
                <w:color w:val="auto"/>
                <w:sz w:val="21"/>
                <w:szCs w:val="21"/>
                <w:highlight w:val="none"/>
              </w:rPr>
            </w:pPr>
          </w:p>
          <w:p w14:paraId="52C77BAD">
            <w:pPr>
              <w:pStyle w:val="216"/>
              <w:keepNext/>
              <w:keepLines/>
              <w:pageBreakBefore w:val="0"/>
              <w:widowControl w:val="0"/>
              <w:spacing w:line="380" w:lineRule="exact"/>
              <w:ind w:right="140"/>
              <w:jc w:val="center"/>
              <w:rPr>
                <w:rFonts w:hint="default" w:ascii="Times New Roman" w:hAnsi="Times New Roman" w:eastAsia="宋体" w:cs="Times New Roman"/>
                <w:b/>
                <w:color w:val="auto"/>
                <w:sz w:val="21"/>
                <w:szCs w:val="21"/>
                <w:highlight w:val="none"/>
              </w:rPr>
            </w:pPr>
            <w:r>
              <w:rPr>
                <w:rFonts w:hint="default" w:ascii="Times New Roman" w:hAnsi="Times New Roman" w:eastAsia="宋体" w:cs="Times New Roman"/>
                <w:b/>
                <w:color w:val="auto"/>
                <w:sz w:val="21"/>
                <w:szCs w:val="21"/>
                <w:highlight w:val="none"/>
              </w:rPr>
              <w:t>投标</w:t>
            </w:r>
          </w:p>
          <w:p w14:paraId="1205FEC1">
            <w:pPr>
              <w:pStyle w:val="216"/>
              <w:keepNext/>
              <w:keepLines/>
              <w:pageBreakBefore w:val="0"/>
              <w:widowControl w:val="0"/>
              <w:spacing w:line="380" w:lineRule="exact"/>
              <w:ind w:right="140"/>
              <w:jc w:val="center"/>
              <w:rPr>
                <w:rFonts w:hint="default" w:ascii="Times New Roman" w:hAnsi="Times New Roman" w:eastAsia="宋体" w:cs="Times New Roman"/>
                <w:b/>
                <w:color w:val="auto"/>
                <w:sz w:val="21"/>
                <w:szCs w:val="21"/>
                <w:highlight w:val="none"/>
              </w:rPr>
            </w:pPr>
            <w:r>
              <w:rPr>
                <w:rFonts w:hint="default" w:ascii="Times New Roman" w:hAnsi="Times New Roman" w:eastAsia="宋体" w:cs="Times New Roman"/>
                <w:b/>
                <w:color w:val="auto"/>
                <w:sz w:val="21"/>
                <w:szCs w:val="21"/>
                <w:highlight w:val="none"/>
              </w:rPr>
              <w:t>报价</w:t>
            </w:r>
          </w:p>
          <w:p w14:paraId="76E61297">
            <w:pPr>
              <w:pStyle w:val="216"/>
              <w:keepNext/>
              <w:keepLines/>
              <w:pageBreakBefore w:val="0"/>
              <w:widowControl w:val="0"/>
              <w:spacing w:line="380" w:lineRule="exact"/>
              <w:ind w:right="-15"/>
              <w:jc w:val="center"/>
              <w:rPr>
                <w:rFonts w:hint="default" w:ascii="Times New Roman" w:hAnsi="Times New Roman" w:eastAsia="宋体" w:cs="Times New Roman"/>
                <w:b/>
                <w:color w:val="auto"/>
                <w:sz w:val="21"/>
                <w:szCs w:val="21"/>
                <w:highlight w:val="none"/>
              </w:rPr>
            </w:pPr>
            <w:r>
              <w:rPr>
                <w:rFonts w:hint="default" w:ascii="Times New Roman" w:hAnsi="Times New Roman" w:eastAsia="宋体" w:cs="Times New Roman"/>
                <w:b/>
                <w:color w:val="auto"/>
                <w:sz w:val="21"/>
                <w:szCs w:val="21"/>
                <w:highlight w:val="none"/>
              </w:rPr>
              <w:t>（</w:t>
            </w:r>
            <w:r>
              <w:rPr>
                <w:rFonts w:hint="default" w:ascii="Times New Roman" w:hAnsi="Times New Roman" w:cs="Times New Roman"/>
                <w:b/>
                <w:color w:val="auto"/>
                <w:sz w:val="21"/>
                <w:szCs w:val="21"/>
                <w:highlight w:val="none"/>
                <w:lang w:val="en-US" w:eastAsia="zh-CN"/>
              </w:rPr>
              <w:t>30</w:t>
            </w:r>
            <w:r>
              <w:rPr>
                <w:rFonts w:hint="default" w:ascii="Times New Roman" w:hAnsi="Times New Roman" w:eastAsia="宋体" w:cs="Times New Roman"/>
                <w:b/>
                <w:color w:val="auto"/>
                <w:spacing w:val="-27"/>
                <w:sz w:val="21"/>
                <w:szCs w:val="21"/>
                <w:highlight w:val="none"/>
              </w:rPr>
              <w:t>分</w:t>
            </w:r>
            <w:r>
              <w:rPr>
                <w:rFonts w:hint="default" w:ascii="Times New Roman" w:hAnsi="Times New Roman" w:eastAsia="宋体" w:cs="Times New Roman"/>
                <w:b/>
                <w:color w:val="auto"/>
                <w:sz w:val="21"/>
                <w:szCs w:val="21"/>
                <w:highlight w:val="none"/>
              </w:rPr>
              <w:t>）</w:t>
            </w:r>
          </w:p>
        </w:tc>
        <w:tc>
          <w:tcPr>
            <w:tcW w:w="2089" w:type="dxa"/>
            <w:noWrap w:val="0"/>
            <w:vAlign w:val="center"/>
          </w:tcPr>
          <w:p w14:paraId="32C503CE">
            <w:pPr>
              <w:pStyle w:val="216"/>
              <w:keepNext/>
              <w:keepLines/>
              <w:pageBreakBefore w:val="0"/>
              <w:widowControl w:val="0"/>
              <w:spacing w:line="380" w:lineRule="exact"/>
              <w:jc w:val="center"/>
              <w:rPr>
                <w:rFonts w:hint="default" w:ascii="Times New Roman" w:hAnsi="Times New Roman" w:eastAsia="宋体" w:cs="Times New Roman"/>
                <w:b/>
                <w:color w:val="auto"/>
                <w:sz w:val="21"/>
                <w:szCs w:val="21"/>
                <w:highlight w:val="none"/>
              </w:rPr>
            </w:pPr>
          </w:p>
          <w:p w14:paraId="3DACB4DB">
            <w:pPr>
              <w:pStyle w:val="216"/>
              <w:keepNext/>
              <w:keepLines/>
              <w:pageBreakBefore w:val="0"/>
              <w:widowControl w:val="0"/>
              <w:spacing w:line="380" w:lineRule="exact"/>
              <w:ind w:right="140"/>
              <w:jc w:val="center"/>
              <w:rPr>
                <w:rFonts w:hint="default" w:ascii="Times New Roman" w:hAnsi="Times New Roman" w:eastAsia="宋体" w:cs="Times New Roman"/>
                <w:b/>
                <w:bCs w:val="0"/>
                <w:color w:val="auto"/>
                <w:sz w:val="21"/>
                <w:szCs w:val="21"/>
                <w:highlight w:val="none"/>
              </w:rPr>
            </w:pPr>
            <w:r>
              <w:rPr>
                <w:rFonts w:hint="default" w:ascii="Times New Roman" w:hAnsi="Times New Roman" w:eastAsia="宋体" w:cs="Times New Roman"/>
                <w:b/>
                <w:bCs w:val="0"/>
                <w:color w:val="auto"/>
                <w:sz w:val="21"/>
                <w:szCs w:val="21"/>
                <w:highlight w:val="none"/>
              </w:rPr>
              <w:t>报价</w:t>
            </w:r>
          </w:p>
          <w:p w14:paraId="500915B5">
            <w:pPr>
              <w:pStyle w:val="216"/>
              <w:keepNext/>
              <w:keepLines/>
              <w:pageBreakBefore w:val="0"/>
              <w:widowControl w:val="0"/>
              <w:spacing w:line="380" w:lineRule="exact"/>
              <w:ind w:right="140"/>
              <w:jc w:val="center"/>
              <w:rPr>
                <w:rFonts w:hint="default" w:ascii="Times New Roman" w:hAnsi="Times New Roman" w:eastAsia="宋体" w:cs="Times New Roman"/>
                <w:color w:val="auto"/>
                <w:sz w:val="21"/>
                <w:szCs w:val="21"/>
                <w:highlight w:val="none"/>
                <w:lang w:eastAsia="zh-CN"/>
              </w:rPr>
            </w:pPr>
            <w:r>
              <w:rPr>
                <w:rFonts w:hint="default" w:ascii="Times New Roman" w:hAnsi="Times New Roman" w:eastAsia="宋体" w:cs="Times New Roman"/>
                <w:b/>
                <w:bCs w:val="0"/>
                <w:color w:val="auto"/>
                <w:sz w:val="21"/>
                <w:szCs w:val="21"/>
                <w:highlight w:val="none"/>
                <w:lang w:eastAsia="zh-CN"/>
              </w:rPr>
              <w:t>（</w:t>
            </w:r>
            <w:r>
              <w:rPr>
                <w:rFonts w:hint="default" w:ascii="Times New Roman" w:hAnsi="Times New Roman" w:cs="Times New Roman"/>
                <w:b/>
                <w:bCs w:val="0"/>
                <w:color w:val="auto"/>
                <w:sz w:val="21"/>
                <w:szCs w:val="21"/>
                <w:highlight w:val="none"/>
                <w:lang w:val="en-US" w:eastAsia="zh-CN"/>
              </w:rPr>
              <w:t>30</w:t>
            </w:r>
            <w:r>
              <w:rPr>
                <w:rFonts w:hint="default" w:ascii="Times New Roman" w:hAnsi="Times New Roman" w:eastAsia="宋体" w:cs="Times New Roman"/>
                <w:b/>
                <w:bCs w:val="0"/>
                <w:color w:val="auto"/>
                <w:sz w:val="21"/>
                <w:szCs w:val="21"/>
                <w:highlight w:val="none"/>
              </w:rPr>
              <w:t>分</w:t>
            </w:r>
            <w:r>
              <w:rPr>
                <w:rFonts w:hint="default" w:ascii="Times New Roman" w:hAnsi="Times New Roman" w:eastAsia="宋体" w:cs="Times New Roman"/>
                <w:b/>
                <w:bCs w:val="0"/>
                <w:color w:val="auto"/>
                <w:sz w:val="21"/>
                <w:szCs w:val="21"/>
                <w:highlight w:val="none"/>
                <w:lang w:eastAsia="zh-CN"/>
              </w:rPr>
              <w:t>）</w:t>
            </w:r>
          </w:p>
        </w:tc>
        <w:tc>
          <w:tcPr>
            <w:tcW w:w="6423" w:type="dxa"/>
            <w:noWrap w:val="0"/>
            <w:vAlign w:val="center"/>
          </w:tcPr>
          <w:p w14:paraId="0159653E">
            <w:pPr>
              <w:keepNext/>
              <w:keepLines/>
              <w:pageBreakBefore w:val="0"/>
              <w:widowControl w:val="0"/>
              <w:spacing w:line="380" w:lineRule="exact"/>
              <w:ind w:firstLine="482"/>
              <w:rPr>
                <w:rFonts w:hint="default" w:ascii="Times New Roman" w:hAnsi="Times New Roman" w:eastAsia="宋体" w:cs="Times New Roman"/>
                <w:color w:val="auto"/>
                <w:spacing w:val="6"/>
                <w:sz w:val="21"/>
                <w:szCs w:val="21"/>
                <w:highlight w:val="none"/>
              </w:rPr>
            </w:pPr>
            <w:r>
              <w:rPr>
                <w:rFonts w:hint="default" w:ascii="Times New Roman" w:hAnsi="Times New Roman" w:eastAsia="宋体" w:cs="Times New Roman"/>
                <w:color w:val="auto"/>
                <w:spacing w:val="6"/>
                <w:sz w:val="21"/>
                <w:szCs w:val="21"/>
                <w:highlight w:val="none"/>
              </w:rPr>
              <w:t>采用低价优先法计算，即满足</w:t>
            </w:r>
            <w:r>
              <w:rPr>
                <w:rFonts w:hint="default" w:ascii="Times New Roman" w:hAnsi="Times New Roman" w:eastAsia="宋体" w:cs="Times New Roman"/>
                <w:color w:val="auto"/>
                <w:spacing w:val="6"/>
                <w:sz w:val="21"/>
                <w:szCs w:val="21"/>
                <w:highlight w:val="none"/>
                <w:lang w:eastAsia="zh-CN"/>
              </w:rPr>
              <w:t>磋商文件</w:t>
            </w:r>
            <w:r>
              <w:rPr>
                <w:rFonts w:hint="default" w:ascii="Times New Roman" w:hAnsi="Times New Roman" w:eastAsia="宋体" w:cs="Times New Roman"/>
                <w:color w:val="auto"/>
                <w:spacing w:val="6"/>
                <w:sz w:val="21"/>
                <w:szCs w:val="21"/>
                <w:highlight w:val="none"/>
              </w:rPr>
              <w:t>要求且投标价格最低的投标报价为评标基准价，其价格分为满分。其他</w:t>
            </w:r>
            <w:r>
              <w:rPr>
                <w:rFonts w:hint="default" w:ascii="Times New Roman" w:hAnsi="Times New Roman" w:eastAsia="宋体" w:cs="Times New Roman"/>
                <w:color w:val="auto"/>
                <w:spacing w:val="6"/>
                <w:sz w:val="21"/>
                <w:szCs w:val="21"/>
                <w:highlight w:val="none"/>
                <w:lang w:eastAsia="zh-CN"/>
              </w:rPr>
              <w:t>磋商供应商</w:t>
            </w:r>
            <w:r>
              <w:rPr>
                <w:rFonts w:hint="default" w:ascii="Times New Roman" w:hAnsi="Times New Roman" w:eastAsia="宋体" w:cs="Times New Roman"/>
                <w:color w:val="auto"/>
                <w:spacing w:val="6"/>
                <w:sz w:val="21"/>
                <w:szCs w:val="21"/>
                <w:highlight w:val="none"/>
              </w:rPr>
              <w:t>的价格分统一按照下列公式计算：</w:t>
            </w:r>
          </w:p>
          <w:p w14:paraId="6A35F36B">
            <w:pPr>
              <w:keepNext/>
              <w:keepLines/>
              <w:pageBreakBefore w:val="0"/>
              <w:widowControl w:val="0"/>
              <w:spacing w:line="380" w:lineRule="exact"/>
              <w:ind w:firstLine="482"/>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pacing w:val="6"/>
                <w:sz w:val="21"/>
                <w:szCs w:val="21"/>
                <w:highlight w:val="none"/>
              </w:rPr>
              <w:t>投标报价得分=（评标基准价/投标报价）×</w:t>
            </w:r>
            <w:r>
              <w:rPr>
                <w:rFonts w:hint="default" w:ascii="Times New Roman" w:hAnsi="Times New Roman" w:cs="Times New Roman"/>
                <w:color w:val="auto"/>
                <w:spacing w:val="6"/>
                <w:sz w:val="21"/>
                <w:szCs w:val="21"/>
                <w:highlight w:val="none"/>
                <w:lang w:val="en-US" w:eastAsia="zh-CN"/>
              </w:rPr>
              <w:t>30</w:t>
            </w:r>
            <w:r>
              <w:rPr>
                <w:rFonts w:hint="default" w:ascii="Times New Roman" w:hAnsi="Times New Roman" w:eastAsia="宋体" w:cs="Times New Roman"/>
                <w:color w:val="auto"/>
                <w:spacing w:val="6"/>
                <w:sz w:val="21"/>
                <w:szCs w:val="21"/>
                <w:highlight w:val="none"/>
              </w:rPr>
              <w:t>分</w:t>
            </w:r>
          </w:p>
        </w:tc>
      </w:tr>
      <w:tr w14:paraId="28AC9D1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cantSplit/>
          <w:trHeight w:val="2152" w:hRule="atLeast"/>
          <w:jc w:val="center"/>
        </w:trPr>
        <w:tc>
          <w:tcPr>
            <w:tcW w:w="1192" w:type="dxa"/>
            <w:vMerge w:val="restart"/>
            <w:noWrap w:val="0"/>
            <w:vAlign w:val="center"/>
          </w:tcPr>
          <w:p w14:paraId="72038708">
            <w:pPr>
              <w:pStyle w:val="216"/>
              <w:keepNext/>
              <w:keepLines/>
              <w:pageBreakBefore w:val="0"/>
              <w:widowControl w:val="0"/>
              <w:spacing w:line="380" w:lineRule="exact"/>
              <w:jc w:val="center"/>
              <w:rPr>
                <w:rFonts w:hint="default" w:ascii="Times New Roman" w:hAnsi="Times New Roman" w:eastAsia="宋体" w:cs="Times New Roman"/>
                <w:b/>
                <w:color w:val="auto"/>
                <w:sz w:val="21"/>
                <w:szCs w:val="21"/>
                <w:highlight w:val="none"/>
              </w:rPr>
            </w:pPr>
            <w:r>
              <w:rPr>
                <w:rFonts w:hint="default" w:ascii="Times New Roman" w:hAnsi="Times New Roman" w:eastAsia="宋体" w:cs="Times New Roman"/>
                <w:b/>
                <w:color w:val="auto"/>
                <w:sz w:val="21"/>
                <w:szCs w:val="21"/>
                <w:highlight w:val="none"/>
              </w:rPr>
              <w:t>商务</w:t>
            </w:r>
          </w:p>
          <w:p w14:paraId="63B56FB2">
            <w:pPr>
              <w:pStyle w:val="216"/>
              <w:keepNext/>
              <w:keepLines/>
              <w:pageBreakBefore w:val="0"/>
              <w:widowControl w:val="0"/>
              <w:spacing w:line="380" w:lineRule="exact"/>
              <w:jc w:val="center"/>
              <w:rPr>
                <w:rFonts w:hint="default" w:ascii="Times New Roman" w:hAnsi="Times New Roman" w:eastAsia="宋体" w:cs="Times New Roman"/>
                <w:b/>
                <w:color w:val="auto"/>
                <w:sz w:val="21"/>
                <w:szCs w:val="21"/>
                <w:highlight w:val="none"/>
              </w:rPr>
            </w:pPr>
            <w:r>
              <w:rPr>
                <w:rFonts w:hint="default" w:ascii="Times New Roman" w:hAnsi="Times New Roman" w:eastAsia="宋体" w:cs="Times New Roman"/>
                <w:b/>
                <w:color w:val="auto"/>
                <w:sz w:val="21"/>
                <w:szCs w:val="21"/>
                <w:highlight w:val="none"/>
              </w:rPr>
              <w:t>部分</w:t>
            </w:r>
          </w:p>
          <w:p w14:paraId="59A567B7">
            <w:pPr>
              <w:pStyle w:val="216"/>
              <w:keepNext/>
              <w:keepLines/>
              <w:pageBreakBefore w:val="0"/>
              <w:widowControl w:val="0"/>
              <w:spacing w:line="380" w:lineRule="exact"/>
              <w:ind w:right="-15"/>
              <w:jc w:val="center"/>
              <w:rPr>
                <w:rFonts w:hint="default" w:ascii="Times New Roman" w:hAnsi="Times New Roman" w:eastAsia="宋体" w:cs="Times New Roman"/>
                <w:b/>
                <w:color w:val="auto"/>
                <w:sz w:val="21"/>
                <w:szCs w:val="21"/>
                <w:highlight w:val="none"/>
              </w:rPr>
            </w:pPr>
            <w:r>
              <w:rPr>
                <w:rFonts w:hint="default" w:ascii="Times New Roman" w:hAnsi="Times New Roman" w:eastAsia="宋体" w:cs="Times New Roman"/>
                <w:b/>
                <w:color w:val="auto"/>
                <w:sz w:val="21"/>
                <w:szCs w:val="21"/>
                <w:highlight w:val="none"/>
              </w:rPr>
              <w:t>（</w:t>
            </w:r>
            <w:r>
              <w:rPr>
                <w:rFonts w:hint="default" w:ascii="Times New Roman" w:hAnsi="Times New Roman" w:eastAsia="宋体" w:cs="Times New Roman"/>
                <w:b/>
                <w:color w:val="auto"/>
                <w:sz w:val="21"/>
                <w:szCs w:val="21"/>
                <w:highlight w:val="none"/>
                <w:lang w:val="en-US" w:eastAsia="zh-CN"/>
              </w:rPr>
              <w:t>4</w:t>
            </w:r>
            <w:r>
              <w:rPr>
                <w:rFonts w:hint="default" w:ascii="Times New Roman" w:hAnsi="Times New Roman" w:cs="Times New Roman"/>
                <w:b/>
                <w:color w:val="auto"/>
                <w:sz w:val="21"/>
                <w:szCs w:val="21"/>
                <w:highlight w:val="none"/>
                <w:lang w:val="en-US" w:eastAsia="zh-CN"/>
              </w:rPr>
              <w:t>0</w:t>
            </w:r>
            <w:r>
              <w:rPr>
                <w:rFonts w:hint="default" w:ascii="Times New Roman" w:hAnsi="Times New Roman" w:eastAsia="宋体" w:cs="Times New Roman"/>
                <w:b/>
                <w:color w:val="auto"/>
                <w:sz w:val="21"/>
                <w:szCs w:val="21"/>
                <w:highlight w:val="none"/>
              </w:rPr>
              <w:t>分）</w:t>
            </w:r>
          </w:p>
        </w:tc>
        <w:tc>
          <w:tcPr>
            <w:tcW w:w="2089" w:type="dxa"/>
            <w:noWrap w:val="0"/>
            <w:vAlign w:val="center"/>
          </w:tcPr>
          <w:p w14:paraId="1C2BCD48">
            <w:pPr>
              <w:pStyle w:val="216"/>
              <w:keepNext/>
              <w:keepLines/>
              <w:pageBreakBefore w:val="0"/>
              <w:widowControl w:val="0"/>
              <w:spacing w:before="134" w:line="380" w:lineRule="exact"/>
              <w:ind w:left="135" w:right="117"/>
              <w:jc w:val="center"/>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企业资质实力</w:t>
            </w:r>
          </w:p>
          <w:p w14:paraId="37AC3997">
            <w:pPr>
              <w:pStyle w:val="216"/>
              <w:keepNext/>
              <w:keepLines/>
              <w:pageBreakBefore w:val="0"/>
              <w:widowControl w:val="0"/>
              <w:spacing w:line="380" w:lineRule="exact"/>
              <w:ind w:right="140"/>
              <w:jc w:val="center"/>
              <w:rPr>
                <w:rFonts w:hint="default" w:ascii="Times New Roman" w:hAnsi="Times New Roman" w:eastAsia="宋体" w:cs="Times New Roman"/>
                <w:b/>
                <w:bCs w:val="0"/>
                <w:color w:val="auto"/>
                <w:sz w:val="21"/>
                <w:szCs w:val="21"/>
                <w:highlight w:val="none"/>
                <w:lang w:eastAsia="zh-CN"/>
              </w:rPr>
            </w:pPr>
            <w:r>
              <w:rPr>
                <w:rFonts w:hint="default" w:ascii="Times New Roman" w:hAnsi="Times New Roman" w:eastAsia="宋体" w:cs="Times New Roman"/>
                <w:color w:val="auto"/>
                <w:sz w:val="21"/>
                <w:szCs w:val="21"/>
                <w:highlight w:val="none"/>
                <w:lang w:eastAsia="zh-CN"/>
              </w:rPr>
              <w:t>（</w:t>
            </w:r>
            <w:r>
              <w:rPr>
                <w:rFonts w:hint="eastAsia" w:cs="Times New Roman"/>
                <w:color w:val="auto"/>
                <w:sz w:val="21"/>
                <w:szCs w:val="21"/>
                <w:highlight w:val="none"/>
                <w:lang w:val="en-US" w:eastAsia="zh-CN"/>
              </w:rPr>
              <w:t>4</w:t>
            </w:r>
            <w:r>
              <w:rPr>
                <w:rFonts w:hint="default" w:ascii="Times New Roman" w:hAnsi="Times New Roman" w:eastAsia="宋体" w:cs="Times New Roman"/>
                <w:color w:val="auto"/>
                <w:sz w:val="21"/>
                <w:szCs w:val="21"/>
                <w:highlight w:val="none"/>
              </w:rPr>
              <w:t>分</w:t>
            </w:r>
            <w:r>
              <w:rPr>
                <w:rFonts w:hint="default" w:ascii="Times New Roman" w:hAnsi="Times New Roman" w:eastAsia="宋体" w:cs="Times New Roman"/>
                <w:color w:val="auto"/>
                <w:sz w:val="21"/>
                <w:szCs w:val="21"/>
                <w:highlight w:val="none"/>
                <w:lang w:eastAsia="zh-CN"/>
              </w:rPr>
              <w:t>）</w:t>
            </w:r>
          </w:p>
        </w:tc>
        <w:tc>
          <w:tcPr>
            <w:tcW w:w="6423" w:type="dxa"/>
            <w:noWrap w:val="0"/>
            <w:vAlign w:val="center"/>
          </w:tcPr>
          <w:p w14:paraId="151CC198">
            <w:pPr>
              <w:pStyle w:val="216"/>
              <w:keepNext/>
              <w:keepLines/>
              <w:pageBreakBefore w:val="0"/>
              <w:widowControl w:val="0"/>
              <w:spacing w:line="380" w:lineRule="exact"/>
              <w:ind w:right="87" w:firstLine="420"/>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lang w:eastAsia="zh-CN"/>
              </w:rPr>
              <w:t>供应商</w:t>
            </w:r>
            <w:r>
              <w:rPr>
                <w:rFonts w:hint="default" w:ascii="Times New Roman" w:hAnsi="Times New Roman" w:eastAsia="宋体" w:cs="Times New Roman"/>
                <w:color w:val="auto"/>
                <w:sz w:val="21"/>
                <w:szCs w:val="21"/>
                <w:highlight w:val="none"/>
              </w:rPr>
              <w:t>具备下列资质：</w:t>
            </w:r>
          </w:p>
          <w:p w14:paraId="28CF3F9E">
            <w:pPr>
              <w:pStyle w:val="216"/>
              <w:keepNext/>
              <w:keepLines/>
              <w:pageBreakBefore w:val="0"/>
              <w:widowControl w:val="0"/>
              <w:spacing w:line="380" w:lineRule="exact"/>
              <w:ind w:right="87" w:firstLine="420"/>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lang w:val="en-US" w:eastAsia="zh-CN" w:bidi="ar-SA"/>
              </w:rPr>
              <w:t>①</w:t>
            </w:r>
            <w:r>
              <w:rPr>
                <w:rFonts w:hint="default" w:ascii="Times New Roman" w:hAnsi="Times New Roman" w:eastAsia="宋体" w:cs="Times New Roman"/>
                <w:color w:val="auto"/>
                <w:sz w:val="21"/>
                <w:szCs w:val="21"/>
                <w:highlight w:val="none"/>
              </w:rPr>
              <w:t>安全评价机构资质</w:t>
            </w:r>
            <w:r>
              <w:rPr>
                <w:rFonts w:hint="default" w:ascii="Times New Roman" w:hAnsi="Times New Roman" w:cs="Times New Roman"/>
                <w:color w:val="auto"/>
                <w:sz w:val="21"/>
                <w:szCs w:val="21"/>
                <w:highlight w:val="none"/>
                <w:lang w:eastAsia="zh-CN"/>
              </w:rPr>
              <w:t>，</w:t>
            </w:r>
            <w:r>
              <w:rPr>
                <w:rFonts w:hint="default" w:ascii="Times New Roman" w:hAnsi="Times New Roman" w:eastAsia="宋体" w:cs="Times New Roman"/>
                <w:color w:val="auto"/>
                <w:sz w:val="21"/>
                <w:szCs w:val="21"/>
                <w:highlight w:val="none"/>
              </w:rPr>
              <w:t>得</w:t>
            </w:r>
            <w:r>
              <w:rPr>
                <w:rFonts w:hint="eastAsia" w:cs="Times New Roman"/>
                <w:color w:val="auto"/>
                <w:sz w:val="21"/>
                <w:szCs w:val="21"/>
                <w:highlight w:val="none"/>
                <w:lang w:val="en-US" w:eastAsia="zh-CN"/>
              </w:rPr>
              <w:t>2</w:t>
            </w:r>
            <w:r>
              <w:rPr>
                <w:rFonts w:hint="default" w:ascii="Times New Roman" w:hAnsi="Times New Roman" w:eastAsia="宋体" w:cs="Times New Roman"/>
                <w:color w:val="auto"/>
                <w:sz w:val="21"/>
                <w:szCs w:val="21"/>
                <w:highlight w:val="none"/>
              </w:rPr>
              <w:t>分；</w:t>
            </w:r>
          </w:p>
          <w:p w14:paraId="15514742">
            <w:pPr>
              <w:pStyle w:val="216"/>
              <w:keepNext/>
              <w:keepLines/>
              <w:pageBreakBefore w:val="0"/>
              <w:widowControl w:val="0"/>
              <w:spacing w:line="380" w:lineRule="exact"/>
              <w:ind w:right="87" w:firstLine="420"/>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b w:val="0"/>
                <w:bCs w:val="0"/>
                <w:color w:val="auto"/>
                <w:sz w:val="21"/>
                <w:szCs w:val="21"/>
                <w:highlight w:val="none"/>
                <w:lang w:val="en-US" w:eastAsia="zh-CN" w:bidi="ar-SA"/>
              </w:rPr>
              <w:t>②</w:t>
            </w:r>
            <w:r>
              <w:rPr>
                <w:rFonts w:hint="default" w:ascii="Times New Roman" w:hAnsi="Times New Roman" w:eastAsia="宋体" w:cs="Times New Roman"/>
                <w:color w:val="auto"/>
                <w:sz w:val="21"/>
                <w:szCs w:val="21"/>
                <w:highlight w:val="none"/>
              </w:rPr>
              <w:t>提供由认证资格单位认证且在有效期内的</w:t>
            </w:r>
            <w:r>
              <w:rPr>
                <w:rFonts w:hint="default" w:ascii="Times New Roman" w:hAnsi="Times New Roman" w:eastAsia="宋体" w:cs="Times New Roman"/>
                <w:color w:val="auto"/>
                <w:spacing w:val="20"/>
                <w:sz w:val="21"/>
                <w:szCs w:val="21"/>
                <w:highlight w:val="none"/>
              </w:rPr>
              <w:t>IS</w:t>
            </w:r>
            <w:r>
              <w:rPr>
                <w:rFonts w:hint="default" w:ascii="Times New Roman" w:hAnsi="Times New Roman" w:eastAsia="宋体" w:cs="Times New Roman"/>
                <w:color w:val="auto"/>
                <w:spacing w:val="20"/>
                <w:sz w:val="21"/>
                <w:szCs w:val="21"/>
                <w:highlight w:val="none"/>
                <w:lang w:val="en-US" w:eastAsia="zh-CN"/>
              </w:rPr>
              <w:t>O</w:t>
            </w:r>
            <w:r>
              <w:rPr>
                <w:rFonts w:hint="default" w:ascii="Times New Roman" w:hAnsi="Times New Roman" w:eastAsia="宋体" w:cs="Times New Roman"/>
                <w:color w:val="auto"/>
                <w:spacing w:val="20"/>
                <w:sz w:val="21"/>
                <w:szCs w:val="21"/>
                <w:highlight w:val="none"/>
              </w:rPr>
              <w:t>9001</w:t>
            </w:r>
            <w:r>
              <w:rPr>
                <w:rFonts w:hint="default" w:ascii="Times New Roman" w:hAnsi="Times New Roman" w:eastAsia="宋体" w:cs="Times New Roman"/>
                <w:color w:val="auto"/>
                <w:sz w:val="21"/>
                <w:szCs w:val="21"/>
                <w:highlight w:val="none"/>
              </w:rPr>
              <w:t>质量管理体系、</w:t>
            </w:r>
            <w:r>
              <w:rPr>
                <w:rFonts w:hint="default" w:ascii="Times New Roman" w:hAnsi="Times New Roman" w:eastAsia="宋体" w:cs="Times New Roman"/>
                <w:color w:val="auto"/>
                <w:spacing w:val="20"/>
                <w:sz w:val="21"/>
                <w:szCs w:val="21"/>
                <w:highlight w:val="none"/>
              </w:rPr>
              <w:t>IISO45001</w:t>
            </w:r>
            <w:r>
              <w:rPr>
                <w:rFonts w:hint="default" w:ascii="Times New Roman" w:hAnsi="Times New Roman" w:eastAsia="宋体" w:cs="Times New Roman"/>
                <w:color w:val="auto"/>
                <w:sz w:val="21"/>
                <w:szCs w:val="21"/>
                <w:highlight w:val="none"/>
              </w:rPr>
              <w:t>职业健康安全管理体系认证证书，</w:t>
            </w:r>
            <w:r>
              <w:rPr>
                <w:rFonts w:hint="default" w:ascii="Times New Roman" w:hAnsi="Times New Roman" w:cs="Times New Roman"/>
                <w:color w:val="auto"/>
                <w:sz w:val="21"/>
                <w:szCs w:val="21"/>
                <w:highlight w:val="none"/>
                <w:lang w:val="en-US" w:eastAsia="zh-CN"/>
              </w:rPr>
              <w:t>每提供一个得1分；</w:t>
            </w:r>
          </w:p>
          <w:p w14:paraId="7BCBDDAF">
            <w:pPr>
              <w:pStyle w:val="216"/>
              <w:keepNext/>
              <w:keepLines/>
              <w:pageBreakBefore w:val="0"/>
              <w:widowControl w:val="0"/>
              <w:spacing w:line="380" w:lineRule="exact"/>
              <w:ind w:right="87" w:firstLine="420"/>
              <w:rPr>
                <w:rFonts w:hint="default" w:ascii="Times New Roman" w:hAnsi="Times New Roman" w:eastAsia="宋体" w:cs="Times New Roman"/>
                <w:b/>
                <w:bCs/>
                <w:color w:val="auto"/>
                <w:sz w:val="21"/>
                <w:szCs w:val="21"/>
                <w:highlight w:val="none"/>
                <w:lang w:val="en-US" w:eastAsia="zh-CN"/>
              </w:rPr>
            </w:pPr>
            <w:r>
              <w:rPr>
                <w:rFonts w:hint="default" w:ascii="Times New Roman" w:hAnsi="Times New Roman" w:eastAsia="宋体" w:cs="Times New Roman"/>
                <w:color w:val="auto"/>
                <w:sz w:val="21"/>
                <w:szCs w:val="21"/>
                <w:highlight w:val="none"/>
              </w:rPr>
              <w:t>本项最高得</w:t>
            </w:r>
            <w:r>
              <w:rPr>
                <w:rFonts w:hint="eastAsia" w:cs="Times New Roman"/>
                <w:color w:val="auto"/>
                <w:sz w:val="21"/>
                <w:szCs w:val="21"/>
                <w:highlight w:val="none"/>
                <w:lang w:val="en-US" w:eastAsia="zh-CN"/>
              </w:rPr>
              <w:t>4</w:t>
            </w:r>
            <w:r>
              <w:rPr>
                <w:rFonts w:hint="default" w:ascii="Times New Roman" w:hAnsi="Times New Roman" w:eastAsia="宋体" w:cs="Times New Roman"/>
                <w:color w:val="auto"/>
                <w:sz w:val="21"/>
                <w:szCs w:val="21"/>
                <w:highlight w:val="none"/>
              </w:rPr>
              <w:t>分。</w:t>
            </w:r>
          </w:p>
          <w:p w14:paraId="7A5378AE">
            <w:pPr>
              <w:keepNext/>
              <w:keepLines/>
              <w:pageBreakBefore w:val="0"/>
              <w:widowControl w:val="0"/>
              <w:spacing w:line="380" w:lineRule="exact"/>
              <w:ind w:firstLine="480"/>
              <w:rPr>
                <w:rFonts w:hint="default" w:ascii="Times New Roman" w:hAnsi="Times New Roman" w:eastAsia="宋体" w:cs="Times New Roman"/>
                <w:b/>
                <w:bCs/>
                <w:color w:val="auto"/>
                <w:sz w:val="21"/>
                <w:szCs w:val="21"/>
                <w:highlight w:val="none"/>
                <w:lang w:val="en-US" w:eastAsia="zh-CN"/>
              </w:rPr>
            </w:pPr>
          </w:p>
          <w:p w14:paraId="226F4596">
            <w:pPr>
              <w:keepNext/>
              <w:keepLines/>
              <w:pageBreakBefore w:val="0"/>
              <w:widowControl w:val="0"/>
              <w:spacing w:line="380" w:lineRule="exact"/>
              <w:ind w:firstLine="480"/>
              <w:rPr>
                <w:rFonts w:hint="default" w:ascii="Times New Roman" w:hAnsi="Times New Roman" w:eastAsia="宋体" w:cs="Times New Roman"/>
                <w:color w:val="auto"/>
                <w:spacing w:val="6"/>
                <w:sz w:val="21"/>
                <w:szCs w:val="21"/>
                <w:highlight w:val="none"/>
              </w:rPr>
            </w:pPr>
            <w:r>
              <w:rPr>
                <w:rFonts w:hint="default" w:ascii="Times New Roman" w:hAnsi="Times New Roman" w:eastAsia="宋体" w:cs="Times New Roman"/>
                <w:b/>
                <w:bCs/>
                <w:color w:val="auto"/>
                <w:sz w:val="21"/>
                <w:szCs w:val="21"/>
                <w:highlight w:val="none"/>
                <w:lang w:val="en-US" w:eastAsia="zh-CN"/>
              </w:rPr>
              <w:t>备注：</w:t>
            </w:r>
            <w:r>
              <w:rPr>
                <w:rFonts w:hint="default" w:ascii="Times New Roman" w:hAnsi="Times New Roman" w:eastAsia="宋体" w:cs="Times New Roman"/>
                <w:b/>
                <w:bCs/>
                <w:color w:val="auto"/>
                <w:sz w:val="21"/>
                <w:szCs w:val="21"/>
                <w:highlight w:val="none"/>
              </w:rPr>
              <w:t>提供证书复印件并加盖</w:t>
            </w:r>
            <w:r>
              <w:rPr>
                <w:rFonts w:hint="default" w:ascii="Times New Roman" w:hAnsi="Times New Roman" w:eastAsia="宋体" w:cs="Times New Roman"/>
                <w:b/>
                <w:bCs/>
                <w:color w:val="auto"/>
                <w:sz w:val="21"/>
                <w:szCs w:val="21"/>
                <w:highlight w:val="none"/>
                <w:lang w:val="en-US" w:eastAsia="zh-CN"/>
              </w:rPr>
              <w:t>响应</w:t>
            </w:r>
            <w:r>
              <w:rPr>
                <w:rFonts w:hint="default" w:ascii="Times New Roman" w:hAnsi="Times New Roman" w:eastAsia="宋体" w:cs="Times New Roman"/>
                <w:b/>
                <w:bCs/>
                <w:color w:val="auto"/>
                <w:sz w:val="21"/>
                <w:szCs w:val="21"/>
                <w:highlight w:val="none"/>
              </w:rPr>
              <w:t>单位公章，否则不得分</w:t>
            </w:r>
            <w:r>
              <w:rPr>
                <w:rFonts w:hint="default" w:ascii="Times New Roman" w:hAnsi="Times New Roman" w:eastAsia="宋体" w:cs="Times New Roman"/>
                <w:b/>
                <w:bCs/>
                <w:color w:val="auto"/>
                <w:sz w:val="21"/>
                <w:szCs w:val="21"/>
                <w:highlight w:val="none"/>
                <w:lang w:eastAsia="zh-CN"/>
              </w:rPr>
              <w:t>。</w:t>
            </w:r>
          </w:p>
        </w:tc>
      </w:tr>
      <w:tr w14:paraId="73C7039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452" w:hRule="atLeast"/>
          <w:jc w:val="center"/>
        </w:trPr>
        <w:tc>
          <w:tcPr>
            <w:tcW w:w="1192" w:type="dxa"/>
            <w:vMerge w:val="continue"/>
            <w:noWrap w:val="0"/>
            <w:vAlign w:val="center"/>
          </w:tcPr>
          <w:p w14:paraId="1BCFE518">
            <w:pPr>
              <w:pStyle w:val="216"/>
              <w:keepNext/>
              <w:keepLines/>
              <w:pageBreakBefore w:val="0"/>
              <w:widowControl w:val="0"/>
              <w:spacing w:line="380" w:lineRule="exact"/>
              <w:ind w:right="-15"/>
              <w:jc w:val="center"/>
              <w:rPr>
                <w:rFonts w:hint="default" w:ascii="Times New Roman" w:hAnsi="Times New Roman" w:eastAsia="宋体" w:cs="Times New Roman"/>
                <w:b/>
                <w:color w:val="auto"/>
                <w:sz w:val="21"/>
                <w:szCs w:val="21"/>
                <w:highlight w:val="none"/>
              </w:rPr>
            </w:pPr>
          </w:p>
        </w:tc>
        <w:tc>
          <w:tcPr>
            <w:tcW w:w="2089" w:type="dxa"/>
            <w:noWrap w:val="0"/>
            <w:vAlign w:val="center"/>
          </w:tcPr>
          <w:p w14:paraId="2592C527">
            <w:pPr>
              <w:pStyle w:val="216"/>
              <w:keepNext/>
              <w:keepLines/>
              <w:pageBreakBefore w:val="0"/>
              <w:widowControl w:val="0"/>
              <w:spacing w:before="134" w:line="380" w:lineRule="exact"/>
              <w:ind w:left="135" w:right="117"/>
              <w:jc w:val="center"/>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企业相关服务业绩</w:t>
            </w:r>
          </w:p>
          <w:p w14:paraId="49A25A34">
            <w:pPr>
              <w:pStyle w:val="216"/>
              <w:keepNext/>
              <w:keepLines/>
              <w:pageBreakBefore w:val="0"/>
              <w:widowControl w:val="0"/>
              <w:spacing w:line="380" w:lineRule="exact"/>
              <w:ind w:right="140"/>
              <w:jc w:val="center"/>
              <w:rPr>
                <w:rFonts w:hint="default" w:ascii="Times New Roman" w:hAnsi="Times New Roman" w:eastAsia="宋体" w:cs="Times New Roman"/>
                <w:color w:val="auto"/>
                <w:sz w:val="21"/>
                <w:szCs w:val="21"/>
                <w:highlight w:val="none"/>
                <w:lang w:eastAsia="zh-CN"/>
              </w:rPr>
            </w:pPr>
            <w:r>
              <w:rPr>
                <w:rFonts w:hint="default" w:ascii="Times New Roman" w:hAnsi="Times New Roman" w:eastAsia="宋体" w:cs="Times New Roman"/>
                <w:color w:val="auto"/>
                <w:sz w:val="21"/>
                <w:szCs w:val="21"/>
                <w:highlight w:val="none"/>
                <w:lang w:eastAsia="zh-CN"/>
              </w:rPr>
              <w:t>（</w:t>
            </w:r>
            <w:r>
              <w:rPr>
                <w:rFonts w:hint="default" w:ascii="Times New Roman" w:hAnsi="Times New Roman" w:eastAsia="宋体" w:cs="Times New Roman"/>
                <w:color w:val="auto"/>
                <w:sz w:val="21"/>
                <w:szCs w:val="21"/>
                <w:highlight w:val="none"/>
              </w:rPr>
              <w:t>1</w:t>
            </w:r>
            <w:r>
              <w:rPr>
                <w:rFonts w:hint="default" w:ascii="Times New Roman" w:hAnsi="Times New Roman" w:eastAsia="宋体" w:cs="Times New Roman"/>
                <w:color w:val="auto"/>
                <w:sz w:val="21"/>
                <w:szCs w:val="21"/>
                <w:highlight w:val="none"/>
                <w:lang w:val="en-US" w:eastAsia="zh-CN"/>
              </w:rPr>
              <w:t>2</w:t>
            </w:r>
            <w:r>
              <w:rPr>
                <w:rFonts w:hint="default" w:ascii="Times New Roman" w:hAnsi="Times New Roman" w:eastAsia="宋体" w:cs="Times New Roman"/>
                <w:color w:val="auto"/>
                <w:sz w:val="21"/>
                <w:szCs w:val="21"/>
                <w:highlight w:val="none"/>
              </w:rPr>
              <w:t>分</w:t>
            </w:r>
            <w:r>
              <w:rPr>
                <w:rFonts w:hint="default" w:ascii="Times New Roman" w:hAnsi="Times New Roman" w:eastAsia="宋体" w:cs="Times New Roman"/>
                <w:color w:val="auto"/>
                <w:sz w:val="21"/>
                <w:szCs w:val="21"/>
                <w:highlight w:val="none"/>
                <w:lang w:eastAsia="zh-CN"/>
              </w:rPr>
              <w:t>）</w:t>
            </w:r>
          </w:p>
        </w:tc>
        <w:tc>
          <w:tcPr>
            <w:tcW w:w="6423" w:type="dxa"/>
            <w:noWrap w:val="0"/>
            <w:vAlign w:val="center"/>
          </w:tcPr>
          <w:p w14:paraId="5D73609E">
            <w:pPr>
              <w:pStyle w:val="216"/>
              <w:keepNext/>
              <w:keepLines/>
              <w:pageBreakBefore w:val="0"/>
              <w:widowControl w:val="0"/>
              <w:numPr>
                <w:ilvl w:val="0"/>
                <w:numId w:val="0"/>
              </w:numPr>
              <w:spacing w:line="380" w:lineRule="exact"/>
              <w:ind w:firstLine="420"/>
              <w:rPr>
                <w:rFonts w:hint="default" w:ascii="Times New Roman" w:hAnsi="Times New Roman"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rPr>
              <w:t>自202</w:t>
            </w:r>
            <w:r>
              <w:rPr>
                <w:rFonts w:hint="default" w:ascii="Times New Roman" w:hAnsi="Times New Roman" w:cs="Times New Roman"/>
                <w:color w:val="auto"/>
                <w:sz w:val="21"/>
                <w:szCs w:val="21"/>
                <w:highlight w:val="none"/>
                <w:lang w:val="en-US" w:eastAsia="zh-CN"/>
              </w:rPr>
              <w:t>2</w:t>
            </w:r>
            <w:r>
              <w:rPr>
                <w:rFonts w:hint="default" w:ascii="Times New Roman" w:hAnsi="Times New Roman" w:eastAsia="宋体" w:cs="Times New Roman"/>
                <w:color w:val="auto"/>
                <w:sz w:val="21"/>
                <w:szCs w:val="21"/>
                <w:highlight w:val="none"/>
              </w:rPr>
              <w:t>年1月1日起（以合同签订日期为准），供应商承接过政府单位、应急管理部门</w:t>
            </w:r>
            <w:r>
              <w:rPr>
                <w:rFonts w:hint="default" w:ascii="Times New Roman" w:hAnsi="Times New Roman" w:cs="Times New Roman"/>
                <w:color w:val="auto"/>
                <w:sz w:val="21"/>
                <w:szCs w:val="21"/>
                <w:highlight w:val="none"/>
                <w:lang w:val="en-US" w:eastAsia="zh-CN"/>
              </w:rPr>
              <w:t>等项目的：</w:t>
            </w:r>
          </w:p>
          <w:p w14:paraId="0BBDB705">
            <w:pPr>
              <w:pStyle w:val="216"/>
              <w:keepNext/>
              <w:keepLines/>
              <w:pageBreakBefore w:val="0"/>
              <w:widowControl w:val="0"/>
              <w:numPr>
                <w:ilvl w:val="0"/>
                <w:numId w:val="0"/>
              </w:numPr>
              <w:spacing w:line="380" w:lineRule="exact"/>
              <w:ind w:firstLine="420"/>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lang w:val="en-US" w:eastAsia="zh-CN" w:bidi="ar-SA"/>
              </w:rPr>
              <w:t>①</w:t>
            </w:r>
            <w:r>
              <w:rPr>
                <w:rFonts w:hint="default" w:ascii="Times New Roman" w:hAnsi="Times New Roman" w:cs="Times New Roman"/>
                <w:color w:val="auto"/>
                <w:sz w:val="21"/>
                <w:szCs w:val="21"/>
                <w:highlight w:val="none"/>
                <w:lang w:val="en-US" w:eastAsia="zh-CN" w:bidi="ar-SA"/>
              </w:rPr>
              <w:t>承接过年度性（合同服务期超过一年（含））的</w:t>
            </w:r>
            <w:r>
              <w:rPr>
                <w:rFonts w:hint="default" w:ascii="Times New Roman" w:hAnsi="Times New Roman" w:cs="Times New Roman"/>
                <w:color w:val="auto"/>
                <w:sz w:val="21"/>
                <w:szCs w:val="21"/>
                <w:highlight w:val="none"/>
                <w:lang w:val="en-US" w:eastAsia="zh-CN"/>
              </w:rPr>
              <w:t>“</w:t>
            </w:r>
            <w:r>
              <w:rPr>
                <w:rFonts w:hint="default" w:ascii="Times New Roman" w:hAnsi="Times New Roman" w:eastAsia="宋体" w:cs="Times New Roman"/>
                <w:color w:val="auto"/>
                <w:sz w:val="21"/>
                <w:szCs w:val="21"/>
                <w:highlight w:val="none"/>
              </w:rPr>
              <w:t>安全</w:t>
            </w:r>
            <w:r>
              <w:rPr>
                <w:rFonts w:hint="default" w:ascii="Times New Roman" w:hAnsi="Times New Roman" w:cs="Times New Roman"/>
                <w:color w:val="auto"/>
                <w:sz w:val="21"/>
                <w:szCs w:val="21"/>
                <w:highlight w:val="none"/>
                <w:lang w:val="en-US" w:eastAsia="zh-CN"/>
              </w:rPr>
              <w:t>管家</w:t>
            </w:r>
            <w:r>
              <w:rPr>
                <w:rFonts w:hint="default" w:ascii="Times New Roman" w:hAnsi="Times New Roman" w:cs="Times New Roman"/>
                <w:color w:val="auto"/>
                <w:sz w:val="21"/>
                <w:szCs w:val="21"/>
                <w:highlight w:val="none"/>
                <w:lang w:eastAsia="zh-CN"/>
              </w:rPr>
              <w:t>（</w:t>
            </w:r>
            <w:r>
              <w:rPr>
                <w:rFonts w:hint="default" w:ascii="Times New Roman" w:hAnsi="Times New Roman" w:cs="Times New Roman"/>
                <w:color w:val="auto"/>
                <w:sz w:val="21"/>
                <w:szCs w:val="21"/>
                <w:highlight w:val="none"/>
                <w:lang w:val="en-US" w:eastAsia="zh-CN"/>
              </w:rPr>
              <w:t>或指导</w:t>
            </w:r>
            <w:r>
              <w:rPr>
                <w:rFonts w:hint="default" w:ascii="Times New Roman" w:hAnsi="Times New Roman" w:cs="Times New Roman"/>
                <w:color w:val="auto"/>
                <w:sz w:val="21"/>
                <w:szCs w:val="21"/>
                <w:highlight w:val="none"/>
                <w:lang w:eastAsia="zh-CN"/>
              </w:rPr>
              <w:t>）</w:t>
            </w:r>
            <w:r>
              <w:rPr>
                <w:rFonts w:hint="default" w:ascii="Times New Roman" w:hAnsi="Times New Roman" w:cs="Times New Roman"/>
                <w:color w:val="auto"/>
                <w:sz w:val="21"/>
                <w:szCs w:val="21"/>
                <w:highlight w:val="none"/>
                <w:lang w:val="en-US" w:eastAsia="zh-CN"/>
              </w:rPr>
              <w:t>”类似</w:t>
            </w:r>
            <w:r>
              <w:rPr>
                <w:rFonts w:hint="default" w:ascii="Times New Roman" w:hAnsi="Times New Roman" w:eastAsia="宋体" w:cs="Times New Roman"/>
                <w:color w:val="auto"/>
                <w:sz w:val="21"/>
                <w:szCs w:val="21"/>
                <w:highlight w:val="none"/>
              </w:rPr>
              <w:t>服务项目业绩</w:t>
            </w:r>
            <w:r>
              <w:rPr>
                <w:rFonts w:hint="default" w:ascii="Times New Roman" w:hAnsi="Times New Roman" w:cs="Times New Roman"/>
                <w:color w:val="auto"/>
                <w:sz w:val="21"/>
                <w:szCs w:val="21"/>
                <w:highlight w:val="none"/>
                <w:lang w:eastAsia="zh-CN"/>
              </w:rPr>
              <w:t>的</w:t>
            </w:r>
            <w:r>
              <w:rPr>
                <w:rFonts w:hint="default" w:ascii="Times New Roman" w:hAnsi="Times New Roman" w:eastAsia="宋体" w:cs="Times New Roman"/>
                <w:color w:val="auto"/>
                <w:sz w:val="21"/>
                <w:szCs w:val="21"/>
                <w:highlight w:val="none"/>
              </w:rPr>
              <w:t>，每提供1</w:t>
            </w:r>
            <w:r>
              <w:rPr>
                <w:rFonts w:hint="default" w:ascii="Times New Roman" w:hAnsi="Times New Roman" w:cs="Times New Roman"/>
                <w:color w:val="auto"/>
                <w:sz w:val="21"/>
                <w:szCs w:val="21"/>
                <w:highlight w:val="none"/>
                <w:lang w:val="en-US" w:eastAsia="zh-CN"/>
              </w:rPr>
              <w:t>例</w:t>
            </w:r>
            <w:r>
              <w:rPr>
                <w:rFonts w:hint="default" w:ascii="Times New Roman" w:hAnsi="Times New Roman" w:eastAsia="宋体" w:cs="Times New Roman"/>
                <w:color w:val="auto"/>
                <w:sz w:val="21"/>
                <w:szCs w:val="21"/>
                <w:highlight w:val="none"/>
              </w:rPr>
              <w:t>得</w:t>
            </w:r>
            <w:r>
              <w:rPr>
                <w:rFonts w:hint="default" w:ascii="Times New Roman" w:hAnsi="Times New Roman" w:cs="Times New Roman"/>
                <w:color w:val="auto"/>
                <w:sz w:val="21"/>
                <w:szCs w:val="21"/>
                <w:highlight w:val="none"/>
                <w:lang w:val="en-US" w:eastAsia="zh-CN"/>
              </w:rPr>
              <w:t>3</w:t>
            </w:r>
            <w:r>
              <w:rPr>
                <w:rFonts w:hint="default" w:ascii="Times New Roman" w:hAnsi="Times New Roman" w:eastAsia="宋体" w:cs="Times New Roman"/>
                <w:color w:val="auto"/>
                <w:sz w:val="21"/>
                <w:szCs w:val="21"/>
                <w:highlight w:val="none"/>
              </w:rPr>
              <w:t>分</w:t>
            </w:r>
            <w:r>
              <w:rPr>
                <w:rFonts w:hint="default" w:ascii="Times New Roman" w:hAnsi="Times New Roman" w:cs="Times New Roman"/>
                <w:color w:val="auto"/>
                <w:sz w:val="21"/>
                <w:szCs w:val="21"/>
                <w:highlight w:val="none"/>
                <w:lang w:eastAsia="zh-CN"/>
              </w:rPr>
              <w:t>。</w:t>
            </w:r>
            <w:r>
              <w:rPr>
                <w:rFonts w:hint="default" w:ascii="Times New Roman" w:hAnsi="Times New Roman" w:eastAsia="宋体" w:cs="Times New Roman"/>
                <w:color w:val="auto"/>
                <w:sz w:val="21"/>
                <w:szCs w:val="21"/>
                <w:highlight w:val="none"/>
              </w:rPr>
              <w:t>最高得</w:t>
            </w:r>
            <w:r>
              <w:rPr>
                <w:rFonts w:hint="default" w:ascii="Times New Roman" w:hAnsi="Times New Roman" w:cs="Times New Roman"/>
                <w:color w:val="auto"/>
                <w:sz w:val="21"/>
                <w:szCs w:val="21"/>
                <w:highlight w:val="none"/>
                <w:lang w:val="en-US" w:eastAsia="zh-CN"/>
              </w:rPr>
              <w:t>9</w:t>
            </w:r>
            <w:r>
              <w:rPr>
                <w:rFonts w:hint="default" w:ascii="Times New Roman" w:hAnsi="Times New Roman" w:eastAsia="宋体" w:cs="Times New Roman"/>
                <w:color w:val="auto"/>
                <w:sz w:val="21"/>
                <w:szCs w:val="21"/>
                <w:highlight w:val="none"/>
              </w:rPr>
              <w:t>分。</w:t>
            </w:r>
          </w:p>
          <w:p w14:paraId="530C409F">
            <w:pPr>
              <w:pStyle w:val="216"/>
              <w:keepNext/>
              <w:keepLines/>
              <w:pageBreakBefore w:val="0"/>
              <w:widowControl w:val="0"/>
              <w:numPr>
                <w:ilvl w:val="0"/>
                <w:numId w:val="0"/>
              </w:numPr>
              <w:spacing w:line="380" w:lineRule="exact"/>
              <w:ind w:firstLine="420"/>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b w:val="0"/>
                <w:bCs w:val="0"/>
                <w:color w:val="auto"/>
                <w:sz w:val="21"/>
                <w:szCs w:val="21"/>
                <w:highlight w:val="none"/>
                <w:lang w:val="en-US" w:eastAsia="zh-CN" w:bidi="ar-SA"/>
              </w:rPr>
              <w:t>②</w:t>
            </w:r>
            <w:r>
              <w:rPr>
                <w:rFonts w:hint="default" w:ascii="Times New Roman" w:hAnsi="Times New Roman" w:cs="Times New Roman"/>
                <w:b w:val="0"/>
                <w:bCs w:val="0"/>
                <w:color w:val="auto"/>
                <w:sz w:val="21"/>
                <w:szCs w:val="21"/>
                <w:highlight w:val="none"/>
                <w:lang w:val="en-US" w:eastAsia="zh-CN" w:bidi="ar-SA"/>
              </w:rPr>
              <w:t>承接过短期性、阶段性（</w:t>
            </w:r>
            <w:r>
              <w:rPr>
                <w:rFonts w:hint="default" w:ascii="Times New Roman" w:hAnsi="Times New Roman" w:cs="Times New Roman"/>
                <w:color w:val="auto"/>
                <w:sz w:val="21"/>
                <w:szCs w:val="21"/>
                <w:highlight w:val="none"/>
                <w:lang w:val="en-US" w:eastAsia="zh-CN" w:bidi="ar-SA"/>
              </w:rPr>
              <w:t>合同服务期不超过半年</w:t>
            </w:r>
            <w:r>
              <w:rPr>
                <w:rFonts w:hint="default" w:ascii="Times New Roman" w:hAnsi="Times New Roman" w:cs="Times New Roman"/>
                <w:b w:val="0"/>
                <w:bCs w:val="0"/>
                <w:color w:val="auto"/>
                <w:sz w:val="21"/>
                <w:szCs w:val="21"/>
                <w:highlight w:val="none"/>
                <w:lang w:val="en-US" w:eastAsia="zh-CN" w:bidi="ar-SA"/>
              </w:rPr>
              <w:t>）</w:t>
            </w:r>
            <w:r>
              <w:rPr>
                <w:rFonts w:hint="default" w:ascii="Times New Roman" w:hAnsi="Times New Roman" w:eastAsia="宋体" w:cs="Times New Roman"/>
                <w:color w:val="auto"/>
                <w:sz w:val="21"/>
                <w:szCs w:val="21"/>
                <w:highlight w:val="none"/>
              </w:rPr>
              <w:t>安全</w:t>
            </w:r>
            <w:r>
              <w:rPr>
                <w:rFonts w:hint="default" w:ascii="Times New Roman" w:hAnsi="Times New Roman" w:cs="Times New Roman"/>
                <w:color w:val="auto"/>
                <w:sz w:val="21"/>
                <w:szCs w:val="21"/>
                <w:highlight w:val="none"/>
                <w:lang w:val="en-US" w:eastAsia="zh-CN"/>
              </w:rPr>
              <w:t>方面的服务项目，如</w:t>
            </w:r>
            <w:r>
              <w:rPr>
                <w:rFonts w:hint="default" w:ascii="Times New Roman" w:hAnsi="Times New Roman" w:eastAsia="宋体" w:cs="Times New Roman"/>
                <w:color w:val="auto"/>
                <w:sz w:val="21"/>
                <w:szCs w:val="21"/>
                <w:highlight w:val="none"/>
              </w:rPr>
              <w:t>创建</w:t>
            </w:r>
            <w:r>
              <w:rPr>
                <w:rFonts w:hint="default" w:ascii="Times New Roman" w:hAnsi="Times New Roman" w:cs="Times New Roman"/>
                <w:color w:val="auto"/>
                <w:sz w:val="21"/>
                <w:szCs w:val="21"/>
                <w:highlight w:val="none"/>
                <w:lang w:val="en-US" w:eastAsia="zh-CN"/>
              </w:rPr>
              <w:t>类</w:t>
            </w:r>
            <w:r>
              <w:rPr>
                <w:rFonts w:hint="default" w:ascii="Times New Roman" w:hAnsi="Times New Roman" w:cs="Times New Roman"/>
                <w:color w:val="auto"/>
                <w:sz w:val="21"/>
                <w:szCs w:val="21"/>
                <w:highlight w:val="none"/>
                <w:lang w:eastAsia="zh-CN"/>
              </w:rPr>
              <w:t>、</w:t>
            </w:r>
            <w:r>
              <w:rPr>
                <w:rFonts w:hint="default" w:ascii="Times New Roman" w:hAnsi="Times New Roman" w:eastAsia="宋体" w:cs="Times New Roman"/>
                <w:color w:val="auto"/>
                <w:sz w:val="21"/>
                <w:szCs w:val="21"/>
                <w:highlight w:val="none"/>
              </w:rPr>
              <w:t>咨询</w:t>
            </w:r>
            <w:r>
              <w:rPr>
                <w:rFonts w:hint="default" w:ascii="Times New Roman" w:hAnsi="Times New Roman" w:cs="Times New Roman"/>
                <w:color w:val="auto"/>
                <w:sz w:val="21"/>
                <w:szCs w:val="21"/>
                <w:highlight w:val="none"/>
                <w:lang w:val="en-US" w:eastAsia="zh-CN"/>
              </w:rPr>
              <w:t>类</w:t>
            </w:r>
            <w:r>
              <w:rPr>
                <w:rFonts w:hint="default" w:ascii="Times New Roman" w:hAnsi="Times New Roman" w:eastAsia="宋体" w:cs="Times New Roman"/>
                <w:color w:val="auto"/>
                <w:sz w:val="21"/>
                <w:szCs w:val="21"/>
                <w:highlight w:val="none"/>
              </w:rPr>
              <w:t>、风险评估</w:t>
            </w:r>
            <w:r>
              <w:rPr>
                <w:rFonts w:hint="default" w:ascii="Times New Roman" w:hAnsi="Times New Roman" w:cs="Times New Roman"/>
                <w:color w:val="auto"/>
                <w:sz w:val="21"/>
                <w:szCs w:val="21"/>
                <w:highlight w:val="none"/>
                <w:lang w:val="en-US" w:eastAsia="zh-CN"/>
              </w:rPr>
              <w:t>类</w:t>
            </w:r>
            <w:r>
              <w:rPr>
                <w:rFonts w:hint="default" w:ascii="Times New Roman" w:hAnsi="Times New Roman" w:eastAsia="宋体" w:cs="Times New Roman"/>
                <w:color w:val="auto"/>
                <w:sz w:val="21"/>
                <w:szCs w:val="21"/>
                <w:highlight w:val="none"/>
              </w:rPr>
              <w:t>、专项整治</w:t>
            </w:r>
            <w:r>
              <w:rPr>
                <w:rFonts w:hint="default" w:ascii="Times New Roman" w:hAnsi="Times New Roman" w:cs="Times New Roman"/>
                <w:color w:val="auto"/>
                <w:sz w:val="21"/>
                <w:szCs w:val="21"/>
                <w:highlight w:val="none"/>
                <w:lang w:val="en-US" w:eastAsia="zh-CN"/>
              </w:rPr>
              <w:t>类</w:t>
            </w:r>
            <w:r>
              <w:rPr>
                <w:rFonts w:hint="default" w:ascii="Times New Roman" w:hAnsi="Times New Roman" w:eastAsia="宋体" w:cs="Times New Roman"/>
                <w:color w:val="auto"/>
                <w:sz w:val="21"/>
                <w:szCs w:val="21"/>
                <w:highlight w:val="none"/>
              </w:rPr>
              <w:t>等</w:t>
            </w:r>
            <w:r>
              <w:rPr>
                <w:rFonts w:hint="default" w:ascii="Times New Roman" w:hAnsi="Times New Roman" w:cs="Times New Roman"/>
                <w:color w:val="auto"/>
                <w:sz w:val="21"/>
                <w:szCs w:val="21"/>
                <w:highlight w:val="none"/>
                <w:lang w:val="en-US" w:eastAsia="zh-CN"/>
              </w:rPr>
              <w:t>服务</w:t>
            </w:r>
            <w:r>
              <w:rPr>
                <w:rFonts w:hint="default" w:ascii="Times New Roman" w:hAnsi="Times New Roman" w:eastAsia="宋体" w:cs="Times New Roman"/>
                <w:color w:val="auto"/>
                <w:sz w:val="21"/>
                <w:szCs w:val="21"/>
                <w:highlight w:val="none"/>
              </w:rPr>
              <w:t>业绩的，每提供</w:t>
            </w:r>
            <w:r>
              <w:rPr>
                <w:rFonts w:hint="default" w:ascii="Times New Roman" w:hAnsi="Times New Roman" w:cs="Times New Roman"/>
                <w:color w:val="auto"/>
                <w:sz w:val="21"/>
                <w:szCs w:val="21"/>
                <w:highlight w:val="none"/>
                <w:lang w:val="en-US" w:eastAsia="zh-CN"/>
              </w:rPr>
              <w:t>一例</w:t>
            </w:r>
            <w:r>
              <w:rPr>
                <w:rFonts w:hint="default" w:ascii="Times New Roman" w:hAnsi="Times New Roman" w:eastAsia="宋体" w:cs="Times New Roman"/>
                <w:color w:val="auto"/>
                <w:sz w:val="21"/>
                <w:szCs w:val="21"/>
                <w:highlight w:val="none"/>
              </w:rPr>
              <w:t>得</w:t>
            </w:r>
            <w:r>
              <w:rPr>
                <w:rFonts w:hint="default" w:ascii="Times New Roman" w:hAnsi="Times New Roman" w:cs="Times New Roman"/>
                <w:color w:val="auto"/>
                <w:sz w:val="21"/>
                <w:szCs w:val="21"/>
                <w:highlight w:val="none"/>
                <w:lang w:val="en-US" w:eastAsia="zh-CN"/>
              </w:rPr>
              <w:t>1</w:t>
            </w:r>
            <w:r>
              <w:rPr>
                <w:rFonts w:hint="default" w:ascii="Times New Roman" w:hAnsi="Times New Roman" w:eastAsia="宋体" w:cs="Times New Roman"/>
                <w:color w:val="auto"/>
                <w:sz w:val="21"/>
                <w:szCs w:val="21"/>
                <w:highlight w:val="none"/>
              </w:rPr>
              <w:t>分</w:t>
            </w:r>
            <w:r>
              <w:rPr>
                <w:rFonts w:hint="default" w:ascii="Times New Roman" w:hAnsi="Times New Roman" w:cs="Times New Roman"/>
                <w:color w:val="auto"/>
                <w:sz w:val="21"/>
                <w:szCs w:val="21"/>
                <w:highlight w:val="none"/>
                <w:lang w:eastAsia="zh-CN"/>
              </w:rPr>
              <w:t>。</w:t>
            </w:r>
            <w:r>
              <w:rPr>
                <w:rFonts w:hint="default" w:ascii="Times New Roman" w:hAnsi="Times New Roman" w:eastAsia="宋体" w:cs="Times New Roman"/>
                <w:color w:val="auto"/>
                <w:sz w:val="21"/>
                <w:szCs w:val="21"/>
                <w:highlight w:val="none"/>
              </w:rPr>
              <w:t>最高得</w:t>
            </w:r>
            <w:r>
              <w:rPr>
                <w:rFonts w:hint="default" w:ascii="Times New Roman" w:hAnsi="Times New Roman" w:cs="Times New Roman"/>
                <w:color w:val="auto"/>
                <w:sz w:val="21"/>
                <w:szCs w:val="21"/>
                <w:highlight w:val="none"/>
                <w:lang w:val="en-US" w:eastAsia="zh-CN"/>
              </w:rPr>
              <w:t>3</w:t>
            </w:r>
            <w:r>
              <w:rPr>
                <w:rFonts w:hint="default" w:ascii="Times New Roman" w:hAnsi="Times New Roman" w:eastAsia="宋体" w:cs="Times New Roman"/>
                <w:color w:val="auto"/>
                <w:sz w:val="21"/>
                <w:szCs w:val="21"/>
                <w:highlight w:val="none"/>
              </w:rPr>
              <w:t>分。</w:t>
            </w:r>
          </w:p>
          <w:p w14:paraId="16E7E3CE">
            <w:pPr>
              <w:pStyle w:val="216"/>
              <w:keepNext/>
              <w:keepLines/>
              <w:pageBreakBefore w:val="0"/>
              <w:widowControl w:val="0"/>
              <w:spacing w:line="380" w:lineRule="exact"/>
              <w:ind w:left="108" w:firstLine="420"/>
              <w:rPr>
                <w:rFonts w:hint="default" w:ascii="Times New Roman" w:hAnsi="Times New Roman" w:cs="Times New Roman"/>
                <w:color w:val="auto"/>
                <w:sz w:val="21"/>
                <w:szCs w:val="21"/>
                <w:highlight w:val="none"/>
                <w:lang w:val="en-US" w:eastAsia="zh-CN"/>
              </w:rPr>
            </w:pPr>
            <w:r>
              <w:rPr>
                <w:rFonts w:hint="default" w:ascii="Times New Roman" w:hAnsi="Times New Roman" w:cs="Times New Roman"/>
                <w:color w:val="auto"/>
                <w:sz w:val="21"/>
                <w:szCs w:val="21"/>
                <w:highlight w:val="none"/>
                <w:lang w:val="en-US" w:eastAsia="zh-CN"/>
              </w:rPr>
              <w:t>本项最高得12分。</w:t>
            </w:r>
          </w:p>
          <w:p w14:paraId="4D0FC8CF">
            <w:pPr>
              <w:keepNext/>
              <w:keepLines/>
              <w:pageBreakBefore w:val="0"/>
              <w:widowControl w:val="0"/>
              <w:spacing w:line="380" w:lineRule="exact"/>
              <w:ind w:firstLine="480"/>
              <w:rPr>
                <w:rFonts w:hint="default" w:ascii="Times New Roman" w:hAnsi="Times New Roman" w:cs="Times New Roman"/>
                <w:b/>
                <w:bCs/>
                <w:color w:val="auto"/>
                <w:sz w:val="21"/>
                <w:szCs w:val="21"/>
                <w:highlight w:val="none"/>
                <w:lang w:val="en-US" w:eastAsia="zh-CN"/>
              </w:rPr>
            </w:pPr>
          </w:p>
          <w:p w14:paraId="69AAA7AB">
            <w:pPr>
              <w:keepNext/>
              <w:keepLines/>
              <w:pageBreakBefore w:val="0"/>
              <w:widowControl w:val="0"/>
              <w:spacing w:line="380" w:lineRule="exact"/>
              <w:ind w:firstLine="480"/>
              <w:rPr>
                <w:rFonts w:hint="default" w:ascii="Times New Roman" w:hAnsi="Times New Roman" w:eastAsia="宋体" w:cs="Times New Roman"/>
                <w:b/>
                <w:bCs/>
                <w:color w:val="auto"/>
                <w:sz w:val="21"/>
                <w:szCs w:val="21"/>
                <w:highlight w:val="none"/>
                <w:lang w:val="en-US" w:eastAsia="zh-CN"/>
              </w:rPr>
            </w:pPr>
            <w:r>
              <w:rPr>
                <w:rFonts w:hint="default" w:ascii="Times New Roman" w:hAnsi="Times New Roman" w:cs="Times New Roman"/>
                <w:b/>
                <w:bCs/>
                <w:color w:val="auto"/>
                <w:sz w:val="21"/>
                <w:szCs w:val="21"/>
                <w:highlight w:val="none"/>
                <w:lang w:val="en-US" w:eastAsia="zh-CN"/>
              </w:rPr>
              <w:t>备注：业绩不重复计算。响应</w:t>
            </w:r>
            <w:r>
              <w:rPr>
                <w:rFonts w:hint="default" w:ascii="Times New Roman" w:hAnsi="Times New Roman" w:eastAsia="宋体" w:cs="Times New Roman"/>
                <w:b/>
                <w:bCs/>
                <w:color w:val="auto"/>
                <w:sz w:val="21"/>
                <w:szCs w:val="21"/>
                <w:highlight w:val="none"/>
              </w:rPr>
              <w:t>材料需提供相关业绩</w:t>
            </w:r>
            <w:r>
              <w:rPr>
                <w:rFonts w:hint="default" w:ascii="Times New Roman" w:hAnsi="Times New Roman" w:cs="Times New Roman"/>
                <w:b/>
                <w:bCs/>
                <w:color w:val="auto"/>
                <w:sz w:val="21"/>
                <w:szCs w:val="21"/>
                <w:highlight w:val="none"/>
                <w:lang w:val="en-US" w:eastAsia="zh-CN"/>
              </w:rPr>
              <w:t>的中标（成交）</w:t>
            </w:r>
            <w:r>
              <w:rPr>
                <w:rFonts w:hint="eastAsia" w:cs="Times New Roman"/>
                <w:b/>
                <w:bCs/>
                <w:color w:val="auto"/>
                <w:sz w:val="21"/>
                <w:szCs w:val="21"/>
                <w:highlight w:val="none"/>
                <w:lang w:val="en-US" w:eastAsia="zh-CN"/>
              </w:rPr>
              <w:t>材料（通知书或公示）</w:t>
            </w:r>
            <w:r>
              <w:rPr>
                <w:rFonts w:hint="default" w:ascii="Times New Roman" w:hAnsi="Times New Roman" w:cs="Times New Roman"/>
                <w:b/>
                <w:bCs/>
                <w:color w:val="auto"/>
                <w:sz w:val="21"/>
                <w:szCs w:val="21"/>
                <w:highlight w:val="none"/>
                <w:lang w:val="en-US" w:eastAsia="zh-CN"/>
              </w:rPr>
              <w:t>和合同等</w:t>
            </w:r>
            <w:r>
              <w:rPr>
                <w:rFonts w:hint="default" w:ascii="Times New Roman" w:hAnsi="Times New Roman" w:eastAsia="宋体" w:cs="Times New Roman"/>
                <w:b/>
                <w:bCs/>
                <w:color w:val="auto"/>
                <w:sz w:val="21"/>
                <w:szCs w:val="21"/>
                <w:highlight w:val="none"/>
              </w:rPr>
              <w:t>复印件</w:t>
            </w:r>
            <w:r>
              <w:rPr>
                <w:rFonts w:hint="default" w:ascii="Times New Roman" w:hAnsi="Times New Roman" w:eastAsia="宋体" w:cs="Times New Roman"/>
                <w:b/>
                <w:bCs/>
                <w:color w:val="auto"/>
                <w:sz w:val="21"/>
                <w:szCs w:val="21"/>
                <w:highlight w:val="none"/>
                <w:lang w:val="en-US" w:eastAsia="zh-CN"/>
              </w:rPr>
              <w:t>加盖</w:t>
            </w:r>
            <w:r>
              <w:rPr>
                <w:rFonts w:hint="default" w:ascii="Times New Roman" w:hAnsi="Times New Roman" w:cs="Times New Roman"/>
                <w:b/>
                <w:bCs/>
                <w:color w:val="auto"/>
                <w:sz w:val="21"/>
                <w:szCs w:val="21"/>
                <w:highlight w:val="none"/>
                <w:lang w:val="en-US" w:eastAsia="zh-CN"/>
              </w:rPr>
              <w:t>响应</w:t>
            </w:r>
            <w:r>
              <w:rPr>
                <w:rFonts w:hint="default" w:ascii="Times New Roman" w:hAnsi="Times New Roman" w:eastAsia="宋体" w:cs="Times New Roman"/>
                <w:b/>
                <w:bCs/>
                <w:color w:val="auto"/>
                <w:sz w:val="21"/>
                <w:szCs w:val="21"/>
                <w:highlight w:val="none"/>
              </w:rPr>
              <w:t>单位</w:t>
            </w:r>
            <w:r>
              <w:rPr>
                <w:rFonts w:hint="default" w:ascii="Times New Roman" w:hAnsi="Times New Roman" w:eastAsia="宋体" w:cs="Times New Roman"/>
                <w:b/>
                <w:bCs/>
                <w:color w:val="auto"/>
                <w:sz w:val="21"/>
                <w:szCs w:val="21"/>
                <w:highlight w:val="none"/>
                <w:lang w:val="en-US" w:eastAsia="zh-CN"/>
              </w:rPr>
              <w:t>公章</w:t>
            </w:r>
            <w:r>
              <w:rPr>
                <w:rFonts w:hint="default" w:ascii="Times New Roman" w:hAnsi="Times New Roman" w:cs="Times New Roman"/>
                <w:b/>
                <w:bCs/>
                <w:color w:val="auto"/>
                <w:sz w:val="21"/>
                <w:szCs w:val="21"/>
                <w:highlight w:val="none"/>
                <w:lang w:val="en-US" w:eastAsia="zh-CN"/>
              </w:rPr>
              <w:t>。</w:t>
            </w:r>
            <w:r>
              <w:rPr>
                <w:rFonts w:hint="default" w:ascii="Times New Roman" w:hAnsi="Times New Roman" w:eastAsia="宋体" w:cs="Times New Roman"/>
                <w:b/>
                <w:bCs/>
                <w:color w:val="auto"/>
                <w:sz w:val="21"/>
                <w:szCs w:val="21"/>
                <w:highlight w:val="none"/>
              </w:rPr>
              <w:t>原件备查。</w:t>
            </w:r>
          </w:p>
        </w:tc>
      </w:tr>
      <w:tr w14:paraId="517EC42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0" w:hRule="atLeast"/>
          <w:jc w:val="center"/>
        </w:trPr>
        <w:tc>
          <w:tcPr>
            <w:tcW w:w="1192" w:type="dxa"/>
            <w:vMerge w:val="continue"/>
            <w:noWrap w:val="0"/>
            <w:vAlign w:val="center"/>
          </w:tcPr>
          <w:p w14:paraId="7CEF2502">
            <w:pPr>
              <w:pStyle w:val="216"/>
              <w:keepNext/>
              <w:keepLines/>
              <w:pageBreakBefore w:val="0"/>
              <w:widowControl w:val="0"/>
              <w:spacing w:line="380" w:lineRule="exact"/>
              <w:ind w:right="-15"/>
              <w:jc w:val="center"/>
              <w:rPr>
                <w:rFonts w:hint="default" w:ascii="Times New Roman" w:hAnsi="Times New Roman" w:eastAsia="宋体" w:cs="Times New Roman"/>
                <w:b/>
                <w:color w:val="auto"/>
                <w:sz w:val="21"/>
                <w:szCs w:val="21"/>
                <w:highlight w:val="none"/>
              </w:rPr>
            </w:pPr>
          </w:p>
        </w:tc>
        <w:tc>
          <w:tcPr>
            <w:tcW w:w="2089" w:type="dxa"/>
            <w:noWrap w:val="0"/>
            <w:vAlign w:val="center"/>
          </w:tcPr>
          <w:p w14:paraId="74F854D5">
            <w:pPr>
              <w:pStyle w:val="216"/>
              <w:keepNext/>
              <w:keepLines/>
              <w:pageBreakBefore w:val="0"/>
              <w:widowControl w:val="0"/>
              <w:spacing w:before="2" w:line="380" w:lineRule="exact"/>
              <w:jc w:val="center"/>
              <w:rPr>
                <w:rFonts w:hint="default" w:ascii="Times New Roman" w:hAnsi="Times New Roman" w:eastAsia="宋体" w:cs="Times New Roman"/>
                <w:b/>
                <w:color w:val="auto"/>
                <w:sz w:val="21"/>
                <w:szCs w:val="21"/>
                <w:highlight w:val="none"/>
                <w:lang w:val="en-US" w:eastAsia="zh-CN"/>
              </w:rPr>
            </w:pPr>
            <w:r>
              <w:rPr>
                <w:rFonts w:hint="default" w:ascii="Times New Roman" w:hAnsi="Times New Roman" w:eastAsia="宋体" w:cs="Times New Roman"/>
                <w:b/>
                <w:color w:val="auto"/>
                <w:sz w:val="21"/>
                <w:szCs w:val="21"/>
                <w:highlight w:val="none"/>
                <w:lang w:val="en-US" w:eastAsia="zh-CN"/>
              </w:rPr>
              <w:t>人员配置</w:t>
            </w:r>
          </w:p>
          <w:p w14:paraId="3BB01214">
            <w:pPr>
              <w:pStyle w:val="216"/>
              <w:keepNext/>
              <w:keepLines/>
              <w:pageBreakBefore w:val="0"/>
              <w:widowControl w:val="0"/>
              <w:spacing w:line="380" w:lineRule="exact"/>
              <w:ind w:right="140"/>
              <w:jc w:val="center"/>
              <w:rPr>
                <w:rFonts w:hint="default" w:ascii="Times New Roman" w:hAnsi="Times New Roman" w:eastAsia="宋体" w:cs="Times New Roman"/>
                <w:b/>
                <w:bCs w:val="0"/>
                <w:color w:val="auto"/>
                <w:sz w:val="21"/>
                <w:szCs w:val="21"/>
                <w:highlight w:val="none"/>
                <w:lang w:eastAsia="zh-CN"/>
              </w:rPr>
            </w:pPr>
            <w:r>
              <w:rPr>
                <w:rFonts w:hint="default" w:ascii="Times New Roman" w:hAnsi="Times New Roman" w:cs="Times New Roman"/>
                <w:b/>
                <w:bCs w:val="0"/>
                <w:color w:val="auto"/>
                <w:sz w:val="21"/>
                <w:szCs w:val="21"/>
                <w:highlight w:val="none"/>
                <w:lang w:eastAsia="zh-CN"/>
              </w:rPr>
              <w:t>（</w:t>
            </w:r>
            <w:r>
              <w:rPr>
                <w:rFonts w:hint="default" w:ascii="Times New Roman" w:hAnsi="Times New Roman" w:cs="Times New Roman"/>
                <w:b/>
                <w:bCs w:val="0"/>
                <w:color w:val="auto"/>
                <w:sz w:val="21"/>
                <w:szCs w:val="21"/>
                <w:highlight w:val="none"/>
                <w:lang w:val="en-US" w:eastAsia="zh-CN"/>
              </w:rPr>
              <w:t>2</w:t>
            </w:r>
            <w:r>
              <w:rPr>
                <w:rFonts w:hint="eastAsia" w:cs="Times New Roman"/>
                <w:b/>
                <w:bCs w:val="0"/>
                <w:color w:val="auto"/>
                <w:sz w:val="21"/>
                <w:szCs w:val="21"/>
                <w:highlight w:val="none"/>
                <w:lang w:val="en-US" w:eastAsia="zh-CN"/>
              </w:rPr>
              <w:t>4</w:t>
            </w:r>
            <w:r>
              <w:rPr>
                <w:rFonts w:hint="default" w:ascii="Times New Roman" w:hAnsi="Times New Roman" w:cs="Times New Roman"/>
                <w:b/>
                <w:bCs w:val="0"/>
                <w:color w:val="auto"/>
                <w:sz w:val="21"/>
                <w:szCs w:val="21"/>
                <w:highlight w:val="none"/>
                <w:lang w:val="en-US" w:eastAsia="zh-CN"/>
              </w:rPr>
              <w:t>分</w:t>
            </w:r>
            <w:r>
              <w:rPr>
                <w:rFonts w:hint="default" w:ascii="Times New Roman" w:hAnsi="Times New Roman" w:cs="Times New Roman"/>
                <w:b/>
                <w:bCs w:val="0"/>
                <w:color w:val="auto"/>
                <w:sz w:val="21"/>
                <w:szCs w:val="21"/>
                <w:highlight w:val="none"/>
                <w:lang w:eastAsia="zh-CN"/>
              </w:rPr>
              <w:t>）</w:t>
            </w:r>
          </w:p>
        </w:tc>
        <w:tc>
          <w:tcPr>
            <w:tcW w:w="6423" w:type="dxa"/>
            <w:noWrap w:val="0"/>
            <w:vAlign w:val="center"/>
          </w:tcPr>
          <w:p w14:paraId="7D4A44B6">
            <w:pPr>
              <w:pStyle w:val="216"/>
              <w:keepNext/>
              <w:keepLines/>
              <w:pageBreakBefore w:val="0"/>
              <w:widowControl w:val="0"/>
              <w:spacing w:line="380" w:lineRule="exact"/>
              <w:ind w:right="87" w:firstLine="420"/>
              <w:rPr>
                <w:rFonts w:hint="default" w:ascii="Times New Roman" w:hAnsi="Times New Roman"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组建由专业技术人才构成的拟派驻本项目的专家团队，团队共配备6名安全专家（须为本次项目驻点服务人员）</w:t>
            </w:r>
            <w:r>
              <w:rPr>
                <w:rFonts w:hint="default" w:ascii="Times New Roman" w:hAnsi="Times New Roman" w:cs="Times New Roman"/>
                <w:color w:val="auto"/>
                <w:sz w:val="21"/>
                <w:szCs w:val="21"/>
                <w:highlight w:val="none"/>
                <w:lang w:val="en-US" w:eastAsia="zh-CN"/>
              </w:rPr>
              <w:t>，</w:t>
            </w:r>
            <w:r>
              <w:rPr>
                <w:rFonts w:hint="default" w:ascii="Times New Roman" w:hAnsi="Times New Roman" w:eastAsia="宋体" w:cs="Times New Roman"/>
                <w:b w:val="0"/>
                <w:bCs w:val="0"/>
                <w:color w:val="auto"/>
                <w:sz w:val="21"/>
                <w:szCs w:val="21"/>
                <w:highlight w:val="none"/>
                <w:lang w:val="en-US" w:eastAsia="zh-CN" w:bidi="ar-SA"/>
              </w:rPr>
              <w:t>具体包括：1.高级工程师及以上职称(化工类专业)不少于</w:t>
            </w:r>
            <w:r>
              <w:rPr>
                <w:rFonts w:hint="eastAsia" w:cs="Times New Roman"/>
                <w:b w:val="0"/>
                <w:bCs w:val="0"/>
                <w:color w:val="auto"/>
                <w:sz w:val="21"/>
                <w:szCs w:val="21"/>
                <w:highlight w:val="none"/>
                <w:lang w:val="en-US" w:eastAsia="zh-CN" w:bidi="ar-SA"/>
              </w:rPr>
              <w:t>2</w:t>
            </w:r>
            <w:r>
              <w:rPr>
                <w:rFonts w:hint="default" w:ascii="Times New Roman" w:hAnsi="Times New Roman" w:eastAsia="宋体" w:cs="Times New Roman"/>
                <w:b w:val="0"/>
                <w:bCs w:val="0"/>
                <w:color w:val="auto"/>
                <w:sz w:val="21"/>
                <w:szCs w:val="21"/>
                <w:highlight w:val="none"/>
                <w:lang w:val="en-US" w:eastAsia="zh-CN" w:bidi="ar-SA"/>
              </w:rPr>
              <w:t>人</w:t>
            </w:r>
            <w:r>
              <w:rPr>
                <w:rFonts w:hint="default" w:ascii="Times New Roman" w:hAnsi="Times New Roman" w:eastAsia="宋体" w:cs="Times New Roman"/>
                <w:color w:val="auto"/>
                <w:sz w:val="21"/>
                <w:szCs w:val="21"/>
                <w:highlight w:val="none"/>
                <w:lang w:val="en-US" w:eastAsia="zh-CN"/>
              </w:rPr>
              <w:t>，</w:t>
            </w:r>
            <w:r>
              <w:rPr>
                <w:rFonts w:hint="eastAsia" w:ascii="Times New Roman" w:hAnsi="Times New Roman" w:eastAsia="宋体" w:cs="Times New Roman"/>
                <w:color w:val="auto"/>
                <w:sz w:val="21"/>
                <w:szCs w:val="21"/>
                <w:highlight w:val="none"/>
                <w:lang w:val="en-US" w:eastAsia="zh-CN"/>
              </w:rPr>
              <w:t>同时需列入市级安全生产专家库要求</w:t>
            </w:r>
            <w:r>
              <w:rPr>
                <w:rFonts w:hint="default" w:ascii="Times New Roman" w:hAnsi="Times New Roman" w:eastAsia="宋体" w:cs="Times New Roman"/>
                <w:color w:val="auto"/>
                <w:sz w:val="21"/>
                <w:szCs w:val="21"/>
                <w:highlight w:val="none"/>
                <w:lang w:val="en-US" w:eastAsia="zh-CN"/>
              </w:rPr>
              <w:t>；2.中级工程师</w:t>
            </w:r>
            <w:r>
              <w:rPr>
                <w:rFonts w:hint="default" w:ascii="Times New Roman" w:hAnsi="Times New Roman" w:eastAsia="宋体" w:cs="Times New Roman"/>
                <w:b w:val="0"/>
                <w:bCs w:val="0"/>
                <w:color w:val="auto"/>
                <w:sz w:val="21"/>
                <w:szCs w:val="21"/>
                <w:highlight w:val="none"/>
                <w:lang w:val="en-US" w:eastAsia="zh-CN" w:bidi="ar-SA"/>
              </w:rPr>
              <w:t>及以上职称(消防方向)不少于1名，或者持有一级注册消防工程师职业资格证书；3.其余人员具备工程师及以上职称(专业不限),或者持有中级注册安全工程师职业资格证书。(备注:一人一证，不重复计算。)</w:t>
            </w:r>
            <w:r>
              <w:rPr>
                <w:rFonts w:hint="default" w:ascii="Times New Roman" w:hAnsi="Times New Roman" w:eastAsia="宋体" w:cs="Times New Roman"/>
                <w:color w:val="auto"/>
                <w:sz w:val="21"/>
                <w:szCs w:val="21"/>
                <w:highlight w:val="none"/>
                <w:lang w:val="en-US" w:eastAsia="zh-CN"/>
              </w:rPr>
              <w:t xml:space="preserve"> </w:t>
            </w:r>
            <w:r>
              <w:rPr>
                <w:rFonts w:hint="default" w:ascii="Times New Roman" w:hAnsi="Times New Roman" w:cs="Times New Roman"/>
                <w:color w:val="auto"/>
                <w:sz w:val="21"/>
                <w:szCs w:val="21"/>
                <w:highlight w:val="none"/>
                <w:lang w:val="en-US" w:eastAsia="zh-CN"/>
              </w:rPr>
              <w:t xml:space="preserve">  </w:t>
            </w:r>
          </w:p>
          <w:p w14:paraId="7B332A30">
            <w:pPr>
              <w:pStyle w:val="216"/>
              <w:keepNext/>
              <w:keepLines/>
              <w:pageBreakBefore w:val="0"/>
              <w:widowControl w:val="0"/>
              <w:numPr>
                <w:ilvl w:val="0"/>
                <w:numId w:val="0"/>
              </w:numPr>
              <w:spacing w:line="380" w:lineRule="exact"/>
              <w:ind w:right="87" w:firstLine="422"/>
              <w:rPr>
                <w:rFonts w:hint="default" w:ascii="Times New Roman" w:hAnsi="Times New Roman" w:eastAsia="宋体" w:cs="Times New Roman"/>
                <w:b/>
                <w:bCs/>
                <w:color w:val="auto"/>
                <w:sz w:val="21"/>
                <w:szCs w:val="21"/>
                <w:highlight w:val="none"/>
                <w:lang w:val="en-US" w:eastAsia="zh-CN"/>
              </w:rPr>
            </w:pPr>
            <w:r>
              <w:rPr>
                <w:rFonts w:hint="default" w:ascii="Times New Roman" w:hAnsi="Times New Roman" w:eastAsia="宋体" w:cs="Times New Roman"/>
                <w:b/>
                <w:bCs/>
                <w:color w:val="auto"/>
                <w:sz w:val="21"/>
                <w:szCs w:val="21"/>
                <w:highlight w:val="none"/>
                <w:lang w:val="en-US" w:eastAsia="zh-CN"/>
              </w:rPr>
              <w:t>上述条件任何一项未达到，本项不得分。</w:t>
            </w:r>
          </w:p>
          <w:p w14:paraId="6E3D1A22">
            <w:pPr>
              <w:pStyle w:val="216"/>
              <w:keepNext/>
              <w:keepLines/>
              <w:pageBreakBefore w:val="0"/>
              <w:widowControl w:val="0"/>
              <w:numPr>
                <w:ilvl w:val="0"/>
                <w:numId w:val="0"/>
              </w:numPr>
              <w:spacing w:line="380" w:lineRule="exact"/>
              <w:ind w:right="87" w:firstLine="420"/>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①具备化工类高级工程师</w:t>
            </w:r>
            <w:r>
              <w:rPr>
                <w:rFonts w:hint="eastAsia" w:cs="Times New Roman"/>
                <w:color w:val="auto"/>
                <w:sz w:val="21"/>
                <w:szCs w:val="21"/>
                <w:highlight w:val="none"/>
                <w:lang w:val="en-US" w:eastAsia="zh-CN"/>
              </w:rPr>
              <w:t>及以上</w:t>
            </w:r>
            <w:r>
              <w:rPr>
                <w:rFonts w:hint="default" w:ascii="Times New Roman" w:hAnsi="Times New Roman" w:eastAsia="宋体" w:cs="Times New Roman"/>
                <w:color w:val="auto"/>
                <w:sz w:val="21"/>
                <w:szCs w:val="21"/>
                <w:highlight w:val="none"/>
                <w:lang w:val="en-US" w:eastAsia="zh-CN"/>
              </w:rPr>
              <w:t>职称，且相关工作从业年限超过8年的人员，每人得</w:t>
            </w:r>
            <w:r>
              <w:rPr>
                <w:rFonts w:hint="eastAsia" w:cs="Times New Roman"/>
                <w:color w:val="auto"/>
                <w:sz w:val="21"/>
                <w:szCs w:val="21"/>
                <w:highlight w:val="none"/>
                <w:lang w:val="en-US" w:eastAsia="zh-CN"/>
              </w:rPr>
              <w:t>4</w:t>
            </w:r>
            <w:r>
              <w:rPr>
                <w:rFonts w:hint="default" w:ascii="Times New Roman" w:hAnsi="Times New Roman" w:eastAsia="宋体" w:cs="Times New Roman"/>
                <w:color w:val="auto"/>
                <w:sz w:val="21"/>
                <w:szCs w:val="21"/>
                <w:highlight w:val="none"/>
                <w:lang w:val="en-US" w:eastAsia="zh-CN"/>
              </w:rPr>
              <w:t>分；</w:t>
            </w:r>
          </w:p>
          <w:p w14:paraId="2335CB09">
            <w:pPr>
              <w:pStyle w:val="216"/>
              <w:keepNext/>
              <w:keepLines/>
              <w:pageBreakBefore w:val="0"/>
              <w:widowControl w:val="0"/>
              <w:numPr>
                <w:ilvl w:val="0"/>
                <w:numId w:val="0"/>
              </w:numPr>
              <w:spacing w:line="380" w:lineRule="exact"/>
              <w:ind w:right="87" w:firstLine="420"/>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②具备消防类高级工程师及以上职称，每人得</w:t>
            </w:r>
            <w:r>
              <w:rPr>
                <w:rFonts w:hint="eastAsia" w:cs="Times New Roman"/>
                <w:color w:val="auto"/>
                <w:sz w:val="21"/>
                <w:szCs w:val="21"/>
                <w:highlight w:val="none"/>
                <w:lang w:val="en-US" w:eastAsia="zh-CN"/>
              </w:rPr>
              <w:t>4</w:t>
            </w:r>
            <w:r>
              <w:rPr>
                <w:rFonts w:hint="default" w:ascii="Times New Roman" w:hAnsi="Times New Roman" w:eastAsia="宋体" w:cs="Times New Roman"/>
                <w:color w:val="auto"/>
                <w:sz w:val="21"/>
                <w:szCs w:val="21"/>
                <w:highlight w:val="none"/>
                <w:lang w:val="en-US" w:eastAsia="zh-CN"/>
              </w:rPr>
              <w:t>分；</w:t>
            </w:r>
          </w:p>
          <w:p w14:paraId="6AE5AA8C">
            <w:pPr>
              <w:pStyle w:val="216"/>
              <w:keepNext/>
              <w:keepLines/>
              <w:pageBreakBefore w:val="0"/>
              <w:widowControl w:val="0"/>
              <w:numPr>
                <w:ilvl w:val="0"/>
                <w:numId w:val="0"/>
              </w:numPr>
              <w:spacing w:line="380" w:lineRule="exact"/>
              <w:ind w:right="87" w:firstLine="420"/>
              <w:rPr>
                <w:rFonts w:hint="default" w:ascii="Times New Roman" w:hAnsi="Times New Roman" w:eastAsia="宋体" w:cs="Times New Roman"/>
                <w:color w:val="auto"/>
                <w:sz w:val="21"/>
                <w:szCs w:val="21"/>
                <w:highlight w:val="none"/>
                <w:lang w:val="en-US" w:eastAsia="zh-CN"/>
              </w:rPr>
            </w:pPr>
            <w:r>
              <w:rPr>
                <w:rFonts w:hint="eastAsia" w:cs="Times New Roman"/>
                <w:color w:val="auto"/>
                <w:sz w:val="21"/>
                <w:szCs w:val="21"/>
                <w:highlight w:val="none"/>
                <w:lang w:val="en-US" w:eastAsia="zh-CN"/>
              </w:rPr>
              <w:t>③</w:t>
            </w:r>
            <w:r>
              <w:rPr>
                <w:rFonts w:hint="default" w:ascii="Times New Roman" w:hAnsi="Times New Roman" w:eastAsia="宋体" w:cs="Times New Roman"/>
                <w:color w:val="auto"/>
                <w:sz w:val="21"/>
                <w:szCs w:val="21"/>
                <w:highlight w:val="none"/>
                <w:lang w:val="en-US" w:eastAsia="zh-CN"/>
              </w:rPr>
              <w:t>具备消防类中级工程师职称，或者持有一级注册消防工程师职业资格证书，每人得</w:t>
            </w:r>
            <w:r>
              <w:rPr>
                <w:rFonts w:hint="default" w:ascii="Times New Roman" w:hAnsi="Times New Roman" w:cs="Times New Roman"/>
                <w:color w:val="auto"/>
                <w:sz w:val="21"/>
                <w:szCs w:val="21"/>
                <w:highlight w:val="none"/>
                <w:lang w:val="en-US" w:eastAsia="zh-CN"/>
              </w:rPr>
              <w:t>2</w:t>
            </w:r>
            <w:r>
              <w:rPr>
                <w:rFonts w:hint="default" w:ascii="Times New Roman" w:hAnsi="Times New Roman" w:eastAsia="宋体" w:cs="Times New Roman"/>
                <w:color w:val="auto"/>
                <w:sz w:val="21"/>
                <w:szCs w:val="21"/>
                <w:highlight w:val="none"/>
                <w:lang w:val="en-US" w:eastAsia="zh-CN"/>
              </w:rPr>
              <w:t>分；</w:t>
            </w:r>
          </w:p>
          <w:p w14:paraId="4A9B823D">
            <w:pPr>
              <w:pStyle w:val="216"/>
              <w:keepNext/>
              <w:keepLines/>
              <w:pageBreakBefore w:val="0"/>
              <w:widowControl w:val="0"/>
              <w:numPr>
                <w:ilvl w:val="0"/>
                <w:numId w:val="0"/>
              </w:numPr>
              <w:spacing w:line="380" w:lineRule="exact"/>
              <w:ind w:right="87" w:firstLine="420"/>
              <w:rPr>
                <w:rFonts w:hint="default" w:ascii="Times New Roman" w:hAnsi="Times New Roman" w:eastAsia="宋体" w:cs="Times New Roman"/>
                <w:color w:val="auto"/>
                <w:sz w:val="21"/>
                <w:szCs w:val="21"/>
                <w:highlight w:val="none"/>
                <w:lang w:val="en-US" w:eastAsia="zh-CN"/>
              </w:rPr>
            </w:pPr>
            <w:r>
              <w:rPr>
                <w:rFonts w:hint="eastAsia" w:cs="Times New Roman"/>
                <w:color w:val="auto"/>
                <w:sz w:val="21"/>
                <w:szCs w:val="21"/>
                <w:highlight w:val="none"/>
                <w:lang w:val="en-US" w:eastAsia="zh-CN"/>
              </w:rPr>
              <w:t>④</w:t>
            </w:r>
            <w:r>
              <w:rPr>
                <w:rFonts w:hint="default" w:ascii="Times New Roman" w:hAnsi="Times New Roman" w:eastAsia="宋体" w:cs="Times New Roman"/>
                <w:color w:val="auto"/>
                <w:sz w:val="21"/>
                <w:szCs w:val="21"/>
                <w:highlight w:val="none"/>
                <w:lang w:val="en-US" w:eastAsia="zh-CN"/>
              </w:rPr>
              <w:t>具备工程师及以上职称(专业不限),或者持有中级注册安全工程师职业资格证书，每人得2分。</w:t>
            </w:r>
          </w:p>
          <w:p w14:paraId="4080387A">
            <w:pPr>
              <w:pStyle w:val="216"/>
              <w:keepNext/>
              <w:keepLines/>
              <w:pageBreakBefore w:val="0"/>
              <w:widowControl w:val="0"/>
              <w:numPr>
                <w:ilvl w:val="0"/>
                <w:numId w:val="0"/>
              </w:numPr>
              <w:spacing w:line="380" w:lineRule="exact"/>
              <w:ind w:right="85" w:firstLine="422"/>
              <w:rPr>
                <w:rFonts w:hint="default" w:ascii="Times New Roman" w:hAnsi="Times New Roman" w:eastAsia="宋体" w:cs="Times New Roman"/>
                <w:b/>
                <w:bCs/>
                <w:color w:val="auto"/>
                <w:sz w:val="21"/>
                <w:szCs w:val="21"/>
                <w:highlight w:val="none"/>
                <w:lang w:val="en-US" w:eastAsia="zh-CN"/>
              </w:rPr>
            </w:pPr>
            <w:r>
              <w:rPr>
                <w:rFonts w:hint="default" w:ascii="Times New Roman" w:hAnsi="Times New Roman" w:eastAsia="宋体" w:cs="Times New Roman"/>
                <w:b/>
                <w:bCs/>
                <w:color w:val="auto"/>
                <w:sz w:val="21"/>
                <w:szCs w:val="21"/>
                <w:highlight w:val="none"/>
                <w:lang w:val="en-US" w:eastAsia="zh-CN"/>
              </w:rPr>
              <w:t>本项最高得2</w:t>
            </w:r>
            <w:r>
              <w:rPr>
                <w:rFonts w:hint="eastAsia" w:cs="Times New Roman"/>
                <w:b/>
                <w:bCs/>
                <w:color w:val="auto"/>
                <w:sz w:val="21"/>
                <w:szCs w:val="21"/>
                <w:highlight w:val="none"/>
                <w:lang w:val="en-US" w:eastAsia="zh-CN"/>
              </w:rPr>
              <w:t>4</w:t>
            </w:r>
            <w:r>
              <w:rPr>
                <w:rFonts w:hint="default" w:ascii="Times New Roman" w:hAnsi="Times New Roman" w:eastAsia="宋体" w:cs="Times New Roman"/>
                <w:b/>
                <w:bCs/>
                <w:color w:val="auto"/>
                <w:sz w:val="21"/>
                <w:szCs w:val="21"/>
                <w:highlight w:val="none"/>
                <w:lang w:val="en-US" w:eastAsia="zh-CN"/>
              </w:rPr>
              <w:t>分。</w:t>
            </w:r>
          </w:p>
          <w:p w14:paraId="4262044C">
            <w:pPr>
              <w:pStyle w:val="216"/>
              <w:keepNext/>
              <w:keepLines/>
              <w:pageBreakBefore w:val="0"/>
              <w:widowControl w:val="0"/>
              <w:numPr>
                <w:ilvl w:val="0"/>
                <w:numId w:val="0"/>
              </w:numPr>
              <w:spacing w:line="380" w:lineRule="exact"/>
              <w:ind w:right="85"/>
              <w:rPr>
                <w:rFonts w:hint="default" w:ascii="Times New Roman" w:hAnsi="Times New Roman" w:eastAsia="宋体" w:cs="Times New Roman"/>
                <w:b/>
                <w:bCs/>
                <w:color w:val="auto"/>
                <w:sz w:val="21"/>
                <w:szCs w:val="21"/>
                <w:highlight w:val="none"/>
                <w:lang w:val="en-US" w:eastAsia="zh-CN"/>
              </w:rPr>
            </w:pPr>
          </w:p>
          <w:p w14:paraId="0A2B992A">
            <w:pPr>
              <w:pStyle w:val="216"/>
              <w:keepNext/>
              <w:keepLines/>
              <w:pageBreakBefore w:val="0"/>
              <w:widowControl w:val="0"/>
              <w:numPr>
                <w:ilvl w:val="0"/>
                <w:numId w:val="0"/>
              </w:numPr>
              <w:spacing w:line="380" w:lineRule="exact"/>
              <w:ind w:right="85" w:firstLine="422"/>
              <w:rPr>
                <w:rFonts w:hint="default" w:ascii="Times New Roman" w:hAnsi="Times New Roman" w:eastAsia="宋体" w:cs="Times New Roman"/>
                <w:b/>
                <w:bCs/>
                <w:color w:val="auto"/>
                <w:sz w:val="21"/>
                <w:szCs w:val="21"/>
                <w:highlight w:val="none"/>
                <w:lang w:val="en-US" w:eastAsia="zh-CN"/>
              </w:rPr>
            </w:pPr>
            <w:r>
              <w:rPr>
                <w:rFonts w:hint="default" w:ascii="Times New Roman" w:hAnsi="Times New Roman" w:eastAsia="宋体" w:cs="Times New Roman"/>
                <w:b/>
                <w:bCs/>
                <w:color w:val="auto"/>
                <w:sz w:val="21"/>
                <w:szCs w:val="21"/>
                <w:highlight w:val="none"/>
                <w:lang w:val="en-US" w:eastAsia="zh-CN"/>
              </w:rPr>
              <w:t>备注：1.以上人员一人一证，不重复计算【同一人同时持有多个符合要求的证书或职称，仅按最高分值计一次，不重复计分、不累计】。</w:t>
            </w:r>
          </w:p>
          <w:p w14:paraId="72F127CD">
            <w:pPr>
              <w:pStyle w:val="216"/>
              <w:keepNext/>
              <w:keepLines/>
              <w:pageBreakBefore w:val="0"/>
              <w:widowControl w:val="0"/>
              <w:numPr>
                <w:ilvl w:val="0"/>
                <w:numId w:val="0"/>
              </w:numPr>
              <w:spacing w:line="380" w:lineRule="exact"/>
              <w:ind w:right="85"/>
              <w:rPr>
                <w:rFonts w:hint="default" w:ascii="Times New Roman" w:hAnsi="Times New Roman" w:eastAsia="宋体" w:cs="Times New Roman"/>
                <w:color w:val="auto"/>
                <w:spacing w:val="6"/>
                <w:sz w:val="21"/>
                <w:szCs w:val="21"/>
                <w:highlight w:val="none"/>
              </w:rPr>
            </w:pPr>
            <w:r>
              <w:rPr>
                <w:rFonts w:hint="default" w:ascii="Times New Roman" w:hAnsi="Times New Roman" w:eastAsia="宋体" w:cs="Times New Roman"/>
                <w:b/>
                <w:bCs/>
                <w:color w:val="auto"/>
                <w:sz w:val="21"/>
                <w:szCs w:val="21"/>
                <w:highlight w:val="none"/>
                <w:lang w:val="en-US" w:eastAsia="zh-CN"/>
              </w:rPr>
              <w:t>2.响应材料中需提供人员有效身份证复印件、职称证书或职业资格证书复印件、其他相关证明材料（若有），以及供应商近三个月内任意一个月为其缴纳社保的证明材料复印件（退休人员提供与公司签定的劳务合同复印件）。所提供的复印件材料加盖响应单位公章，否则不得分。</w:t>
            </w:r>
          </w:p>
        </w:tc>
      </w:tr>
      <w:tr w14:paraId="70D0396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0" w:hRule="atLeast"/>
          <w:jc w:val="center"/>
        </w:trPr>
        <w:tc>
          <w:tcPr>
            <w:tcW w:w="1192" w:type="dxa"/>
            <w:vMerge w:val="restart"/>
            <w:noWrap w:val="0"/>
            <w:vAlign w:val="center"/>
          </w:tcPr>
          <w:p w14:paraId="6314D4EA">
            <w:pPr>
              <w:pStyle w:val="216"/>
              <w:keepNext/>
              <w:keepLines/>
              <w:pageBreakBefore w:val="0"/>
              <w:widowControl w:val="0"/>
              <w:spacing w:before="1" w:line="380" w:lineRule="exact"/>
              <w:ind w:left="107" w:right="165"/>
              <w:jc w:val="center"/>
              <w:rPr>
                <w:rFonts w:hint="default" w:ascii="Times New Roman" w:hAnsi="Times New Roman" w:eastAsia="宋体" w:cs="Times New Roman"/>
                <w:b/>
                <w:color w:val="auto"/>
                <w:sz w:val="21"/>
                <w:szCs w:val="21"/>
                <w:highlight w:val="none"/>
              </w:rPr>
            </w:pPr>
            <w:r>
              <w:rPr>
                <w:rFonts w:hint="default" w:ascii="Times New Roman" w:hAnsi="Times New Roman" w:eastAsia="宋体" w:cs="Times New Roman"/>
                <w:b/>
                <w:color w:val="auto"/>
                <w:sz w:val="21"/>
                <w:szCs w:val="21"/>
                <w:highlight w:val="none"/>
              </w:rPr>
              <w:t>技术</w:t>
            </w:r>
          </w:p>
          <w:p w14:paraId="43EB1867">
            <w:pPr>
              <w:pStyle w:val="216"/>
              <w:keepNext/>
              <w:keepLines/>
              <w:pageBreakBefore w:val="0"/>
              <w:widowControl w:val="0"/>
              <w:spacing w:before="1" w:line="380" w:lineRule="exact"/>
              <w:ind w:left="107" w:right="165"/>
              <w:jc w:val="center"/>
              <w:rPr>
                <w:rFonts w:hint="default" w:ascii="Times New Roman" w:hAnsi="Times New Roman" w:eastAsia="宋体" w:cs="Times New Roman"/>
                <w:b/>
                <w:color w:val="auto"/>
                <w:sz w:val="21"/>
                <w:szCs w:val="21"/>
                <w:highlight w:val="none"/>
              </w:rPr>
            </w:pPr>
            <w:r>
              <w:rPr>
                <w:rFonts w:hint="default" w:ascii="Times New Roman" w:hAnsi="Times New Roman" w:eastAsia="宋体" w:cs="Times New Roman"/>
                <w:b/>
                <w:color w:val="auto"/>
                <w:sz w:val="21"/>
                <w:szCs w:val="21"/>
                <w:highlight w:val="none"/>
              </w:rPr>
              <w:t>部分</w:t>
            </w:r>
          </w:p>
          <w:p w14:paraId="6502A6C4">
            <w:pPr>
              <w:pStyle w:val="216"/>
              <w:keepNext/>
              <w:keepLines/>
              <w:pageBreakBefore w:val="0"/>
              <w:widowControl w:val="0"/>
              <w:spacing w:before="1" w:line="380" w:lineRule="exact"/>
              <w:ind w:left="107" w:right="165"/>
              <w:jc w:val="center"/>
              <w:rPr>
                <w:rFonts w:hint="default" w:ascii="Times New Roman" w:hAnsi="Times New Roman" w:eastAsia="宋体" w:cs="Times New Roman"/>
                <w:b/>
                <w:color w:val="auto"/>
                <w:sz w:val="21"/>
                <w:szCs w:val="21"/>
                <w:highlight w:val="none"/>
              </w:rPr>
            </w:pPr>
            <w:r>
              <w:rPr>
                <w:rFonts w:hint="default" w:ascii="Times New Roman" w:hAnsi="Times New Roman" w:eastAsia="宋体" w:cs="Times New Roman"/>
                <w:b/>
                <w:color w:val="auto"/>
                <w:sz w:val="21"/>
                <w:szCs w:val="21"/>
                <w:highlight w:val="none"/>
              </w:rPr>
              <w:t>（</w:t>
            </w:r>
            <w:r>
              <w:rPr>
                <w:rFonts w:hint="default" w:ascii="Times New Roman" w:hAnsi="Times New Roman" w:cs="Times New Roman"/>
                <w:b/>
                <w:color w:val="auto"/>
                <w:sz w:val="21"/>
                <w:szCs w:val="21"/>
                <w:highlight w:val="none"/>
                <w:lang w:val="en-US" w:eastAsia="zh-CN"/>
              </w:rPr>
              <w:t>30</w:t>
            </w:r>
            <w:r>
              <w:rPr>
                <w:rFonts w:hint="default" w:ascii="Times New Roman" w:hAnsi="Times New Roman" w:eastAsia="宋体" w:cs="Times New Roman"/>
                <w:b/>
                <w:color w:val="auto"/>
                <w:sz w:val="21"/>
                <w:szCs w:val="21"/>
                <w:highlight w:val="none"/>
              </w:rPr>
              <w:t>分）</w:t>
            </w:r>
          </w:p>
        </w:tc>
        <w:tc>
          <w:tcPr>
            <w:tcW w:w="2089" w:type="dxa"/>
            <w:noWrap w:val="0"/>
            <w:vAlign w:val="center"/>
          </w:tcPr>
          <w:p w14:paraId="5E300E3E">
            <w:pPr>
              <w:pStyle w:val="216"/>
              <w:keepNext/>
              <w:keepLines/>
              <w:pageBreakBefore w:val="0"/>
              <w:widowControl w:val="0"/>
              <w:spacing w:before="143" w:line="380" w:lineRule="exact"/>
              <w:ind w:right="140"/>
              <w:jc w:val="center"/>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人员组织、驻点保障与专项应急保障方案</w:t>
            </w:r>
          </w:p>
          <w:p w14:paraId="5C70E848">
            <w:pPr>
              <w:pStyle w:val="216"/>
              <w:keepNext/>
              <w:keepLines/>
              <w:pageBreakBefore w:val="0"/>
              <w:widowControl w:val="0"/>
              <w:spacing w:before="143" w:line="380" w:lineRule="exact"/>
              <w:ind w:right="140"/>
              <w:jc w:val="center"/>
              <w:rPr>
                <w:rFonts w:hint="default" w:ascii="Times New Roman" w:hAnsi="Times New Roman" w:eastAsia="宋体" w:cs="Times New Roman"/>
                <w:b/>
                <w:color w:val="auto"/>
                <w:sz w:val="21"/>
                <w:szCs w:val="21"/>
                <w:highlight w:val="none"/>
                <w:lang w:eastAsia="zh-CN"/>
              </w:rPr>
            </w:pPr>
            <w:r>
              <w:rPr>
                <w:rFonts w:hint="default" w:ascii="Times New Roman" w:hAnsi="Times New Roman" w:eastAsia="宋体" w:cs="Times New Roman"/>
                <w:color w:val="auto"/>
                <w:sz w:val="21"/>
                <w:szCs w:val="21"/>
                <w:highlight w:val="none"/>
              </w:rPr>
              <w:t>（</w:t>
            </w:r>
            <w:r>
              <w:rPr>
                <w:rFonts w:hint="default" w:ascii="Times New Roman" w:hAnsi="Times New Roman" w:cs="Times New Roman"/>
                <w:color w:val="auto"/>
                <w:sz w:val="21"/>
                <w:szCs w:val="21"/>
                <w:highlight w:val="none"/>
                <w:lang w:val="en-US" w:eastAsia="zh-CN"/>
              </w:rPr>
              <w:t>9</w:t>
            </w:r>
            <w:r>
              <w:rPr>
                <w:rFonts w:hint="default" w:ascii="Times New Roman" w:hAnsi="Times New Roman" w:eastAsia="宋体" w:cs="Times New Roman"/>
                <w:color w:val="auto"/>
                <w:sz w:val="21"/>
                <w:szCs w:val="21"/>
                <w:highlight w:val="none"/>
              </w:rPr>
              <w:t>分</w:t>
            </w:r>
            <w:r>
              <w:rPr>
                <w:rFonts w:hint="default" w:ascii="Times New Roman" w:hAnsi="Times New Roman" w:eastAsia="宋体" w:cs="Times New Roman"/>
                <w:color w:val="auto"/>
                <w:sz w:val="21"/>
                <w:szCs w:val="21"/>
                <w:highlight w:val="none"/>
                <w:lang w:eastAsia="zh-CN"/>
              </w:rPr>
              <w:t>）</w:t>
            </w:r>
          </w:p>
        </w:tc>
        <w:tc>
          <w:tcPr>
            <w:tcW w:w="6423" w:type="dxa"/>
            <w:noWrap w:val="0"/>
            <w:vAlign w:val="center"/>
          </w:tcPr>
          <w:p w14:paraId="041E1DC2">
            <w:pPr>
              <w:keepNext w:val="0"/>
              <w:keepLines/>
              <w:pageBreakBefore w:val="0"/>
              <w:widowControl w:val="0"/>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firstLine="444"/>
              <w:jc w:val="left"/>
              <w:rPr>
                <w:rFonts w:hint="default" w:ascii="Times New Roman" w:hAnsi="Times New Roman" w:eastAsia="宋体" w:cs="Times New Roman"/>
                <w:color w:val="auto"/>
                <w:spacing w:val="6"/>
                <w:sz w:val="21"/>
                <w:szCs w:val="21"/>
                <w:highlight w:val="none"/>
              </w:rPr>
            </w:pPr>
            <w:r>
              <w:rPr>
                <w:rFonts w:hint="default" w:ascii="Times New Roman" w:hAnsi="Times New Roman" w:eastAsia="宋体" w:cs="Times New Roman"/>
                <w:color w:val="auto"/>
                <w:spacing w:val="6"/>
                <w:sz w:val="21"/>
                <w:szCs w:val="21"/>
                <w:highlight w:val="none"/>
                <w:lang w:val="en-US" w:eastAsia="zh-CN"/>
              </w:rPr>
              <w:t>供应商提供的</w:t>
            </w:r>
            <w:r>
              <w:rPr>
                <w:rFonts w:hint="default" w:ascii="Times New Roman" w:hAnsi="Times New Roman" w:eastAsia="宋体" w:cs="Times New Roman"/>
                <w:color w:val="auto"/>
                <w:sz w:val="21"/>
                <w:szCs w:val="21"/>
                <w:highlight w:val="none"/>
              </w:rPr>
              <w:t>人员组织、驻点保障与专项应急保障方案</w:t>
            </w:r>
            <w:r>
              <w:rPr>
                <w:rFonts w:hint="default" w:ascii="Times New Roman" w:hAnsi="Times New Roman" w:eastAsia="宋体" w:cs="Times New Roman"/>
                <w:color w:val="auto"/>
                <w:spacing w:val="6"/>
                <w:sz w:val="21"/>
                <w:szCs w:val="21"/>
                <w:highlight w:val="none"/>
              </w:rPr>
              <w:t>内容是否完整、合理</w:t>
            </w:r>
            <w:r>
              <w:rPr>
                <w:rFonts w:hint="default" w:ascii="Times New Roman" w:hAnsi="Times New Roman" w:cs="Times New Roman"/>
                <w:color w:val="auto"/>
                <w:spacing w:val="6"/>
                <w:sz w:val="21"/>
                <w:szCs w:val="21"/>
                <w:highlight w:val="none"/>
                <w:lang w:eastAsia="zh-CN"/>
              </w:rPr>
              <w:t>，</w:t>
            </w:r>
            <w:r>
              <w:rPr>
                <w:rFonts w:hint="default" w:ascii="Times New Roman" w:hAnsi="Times New Roman" w:cs="Times New Roman"/>
                <w:color w:val="auto"/>
                <w:spacing w:val="6"/>
                <w:sz w:val="21"/>
                <w:szCs w:val="21"/>
                <w:highlight w:val="none"/>
                <w:lang w:val="en-US" w:eastAsia="zh-CN"/>
              </w:rPr>
              <w:t>内容是否包括：1.</w:t>
            </w:r>
            <w:r>
              <w:rPr>
                <w:rFonts w:hint="default" w:ascii="Times New Roman" w:hAnsi="Times New Roman" w:eastAsia="宋体" w:cs="Times New Roman"/>
                <w:color w:val="auto"/>
                <w:spacing w:val="6"/>
                <w:sz w:val="21"/>
                <w:szCs w:val="21"/>
                <w:highlight w:val="none"/>
              </w:rPr>
              <w:t>人员驻点要求：明确 6 名派驻安全专家姓名、岗位分工、到岗排班、请假替补机制，承诺未经园区许可不得随意更换人员，列明服务所需车辆、笔记本电脑等办公设备配置及保障措施；</w:t>
            </w:r>
            <w:r>
              <w:rPr>
                <w:rFonts w:hint="default" w:ascii="Times New Roman" w:hAnsi="Times New Roman" w:cs="Times New Roman"/>
                <w:color w:val="auto"/>
                <w:spacing w:val="6"/>
                <w:sz w:val="21"/>
                <w:szCs w:val="21"/>
                <w:highlight w:val="none"/>
                <w:lang w:val="en-US" w:eastAsia="zh-CN"/>
              </w:rPr>
              <w:t>2.</w:t>
            </w:r>
            <w:r>
              <w:rPr>
                <w:rFonts w:hint="default" w:ascii="Times New Roman" w:hAnsi="Times New Roman" w:eastAsia="宋体" w:cs="Times New Roman"/>
                <w:color w:val="auto"/>
                <w:spacing w:val="6"/>
                <w:sz w:val="21"/>
                <w:szCs w:val="21"/>
                <w:highlight w:val="none"/>
              </w:rPr>
              <w:t>专项应急保障要求：针对</w:t>
            </w:r>
            <w:r>
              <w:rPr>
                <w:rFonts w:hint="default" w:ascii="Times New Roman" w:hAnsi="Times New Roman" w:eastAsia="宋体" w:cs="Times New Roman"/>
                <w:b w:val="0"/>
                <w:bCs w:val="0"/>
                <w:color w:val="auto"/>
                <w:sz w:val="21"/>
                <w:szCs w:val="21"/>
                <w:highlight w:val="none"/>
                <w:lang w:val="en-US" w:eastAsia="zh-CN" w:bidi="ar-SA"/>
              </w:rPr>
              <w:t>指导服务、特殊作业复核、事故调查、装置设施拆卸方案审查、开停车方案审查、重点企业“新、改、扩”建项目安全设施设计审查和安全设施竣工验收审查</w:t>
            </w:r>
            <w:r>
              <w:rPr>
                <w:rFonts w:hint="default" w:ascii="Times New Roman" w:hAnsi="Times New Roman" w:eastAsia="宋体" w:cs="Times New Roman"/>
                <w:color w:val="auto"/>
                <w:spacing w:val="6"/>
                <w:sz w:val="21"/>
                <w:szCs w:val="21"/>
                <w:highlight w:val="none"/>
              </w:rPr>
              <w:t>设置专项流程，明确年度 20 个工作日内临时增派专家快速响应机制，重要节假日、重点时段值守安排详实可行；</w:t>
            </w:r>
          </w:p>
          <w:p w14:paraId="1DDB86E3">
            <w:pPr>
              <w:keepNext/>
              <w:keepLines/>
              <w:pageBreakBefore w:val="0"/>
              <w:widowControl w:val="0"/>
              <w:numPr>
                <w:ilvl w:val="0"/>
                <w:numId w:val="0"/>
              </w:numPr>
              <w:spacing w:line="380" w:lineRule="exact"/>
              <w:ind w:left="0" w:firstLine="444"/>
              <w:rPr>
                <w:rFonts w:hint="default" w:ascii="Times New Roman" w:hAnsi="Times New Roman" w:eastAsia="宋体" w:cs="Times New Roman"/>
                <w:color w:val="auto"/>
                <w:spacing w:val="6"/>
                <w:sz w:val="21"/>
                <w:szCs w:val="21"/>
                <w:highlight w:val="none"/>
                <w:lang w:val="en-US" w:eastAsia="zh-CN" w:bidi="ar-SA"/>
              </w:rPr>
            </w:pPr>
            <w:r>
              <w:rPr>
                <w:rFonts w:hint="default" w:ascii="Times New Roman" w:hAnsi="Times New Roman" w:eastAsia="宋体" w:cs="Times New Roman"/>
                <w:color w:val="auto"/>
                <w:spacing w:val="6"/>
                <w:sz w:val="21"/>
                <w:szCs w:val="21"/>
                <w:highlight w:val="none"/>
                <w:lang w:val="en-US" w:eastAsia="zh-CN" w:bidi="ar-SA"/>
              </w:rPr>
              <w:t>①内容全面，实施方案科学合理的，得</w:t>
            </w:r>
            <w:r>
              <w:rPr>
                <w:rFonts w:hint="default" w:ascii="Times New Roman" w:hAnsi="Times New Roman" w:cs="Times New Roman"/>
                <w:color w:val="auto"/>
                <w:spacing w:val="6"/>
                <w:sz w:val="21"/>
                <w:szCs w:val="21"/>
                <w:highlight w:val="none"/>
                <w:lang w:val="en-US" w:eastAsia="zh-CN" w:bidi="ar-SA"/>
              </w:rPr>
              <w:t>9</w:t>
            </w:r>
            <w:r>
              <w:rPr>
                <w:rFonts w:hint="default" w:ascii="Times New Roman" w:hAnsi="Times New Roman" w:eastAsia="宋体" w:cs="Times New Roman"/>
                <w:color w:val="auto"/>
                <w:spacing w:val="6"/>
                <w:sz w:val="21"/>
                <w:szCs w:val="21"/>
                <w:highlight w:val="none"/>
                <w:lang w:val="en-US" w:eastAsia="zh-CN" w:bidi="ar-SA"/>
              </w:rPr>
              <w:t>分；</w:t>
            </w:r>
          </w:p>
          <w:p w14:paraId="740BB903">
            <w:pPr>
              <w:keepNext/>
              <w:keepLines/>
              <w:pageBreakBefore w:val="0"/>
              <w:widowControl w:val="0"/>
              <w:numPr>
                <w:ilvl w:val="0"/>
                <w:numId w:val="0"/>
              </w:numPr>
              <w:spacing w:line="380" w:lineRule="exact"/>
              <w:ind w:left="0" w:firstLine="444"/>
              <w:rPr>
                <w:rFonts w:hint="default" w:ascii="Times New Roman" w:hAnsi="Times New Roman" w:eastAsia="宋体" w:cs="Times New Roman"/>
                <w:color w:val="auto"/>
                <w:spacing w:val="6"/>
                <w:sz w:val="21"/>
                <w:szCs w:val="21"/>
                <w:highlight w:val="none"/>
                <w:lang w:val="en-US" w:eastAsia="zh-CN" w:bidi="ar-SA"/>
              </w:rPr>
            </w:pPr>
            <w:r>
              <w:rPr>
                <w:rFonts w:hint="default" w:ascii="Times New Roman" w:hAnsi="Times New Roman" w:eastAsia="宋体" w:cs="Times New Roman"/>
                <w:color w:val="auto"/>
                <w:spacing w:val="6"/>
                <w:sz w:val="21"/>
                <w:szCs w:val="21"/>
                <w:highlight w:val="none"/>
                <w:lang w:val="en-US" w:eastAsia="zh-CN" w:bidi="ar-SA"/>
              </w:rPr>
              <w:t>②内容较全面，实施方案较合理的，得</w:t>
            </w:r>
            <w:r>
              <w:rPr>
                <w:rFonts w:hint="default" w:ascii="Times New Roman" w:hAnsi="Times New Roman" w:cs="Times New Roman"/>
                <w:color w:val="auto"/>
                <w:spacing w:val="6"/>
                <w:sz w:val="21"/>
                <w:szCs w:val="21"/>
                <w:highlight w:val="none"/>
                <w:lang w:val="en-US" w:eastAsia="zh-CN" w:bidi="ar-SA"/>
              </w:rPr>
              <w:t>7</w:t>
            </w:r>
            <w:r>
              <w:rPr>
                <w:rFonts w:hint="default" w:ascii="Times New Roman" w:hAnsi="Times New Roman" w:eastAsia="宋体" w:cs="Times New Roman"/>
                <w:color w:val="auto"/>
                <w:spacing w:val="6"/>
                <w:sz w:val="21"/>
                <w:szCs w:val="21"/>
                <w:highlight w:val="none"/>
                <w:lang w:val="en-US" w:eastAsia="zh-CN" w:bidi="ar-SA"/>
              </w:rPr>
              <w:t>分；</w:t>
            </w:r>
          </w:p>
          <w:p w14:paraId="391E25C3">
            <w:pPr>
              <w:keepNext/>
              <w:keepLines/>
              <w:pageBreakBefore w:val="0"/>
              <w:widowControl w:val="0"/>
              <w:numPr>
                <w:ilvl w:val="0"/>
                <w:numId w:val="0"/>
              </w:numPr>
              <w:spacing w:line="380" w:lineRule="exact"/>
              <w:ind w:left="0" w:firstLine="444"/>
              <w:rPr>
                <w:rFonts w:hint="default" w:ascii="Times New Roman" w:hAnsi="Times New Roman" w:eastAsia="宋体" w:cs="Times New Roman"/>
                <w:color w:val="auto"/>
                <w:spacing w:val="6"/>
                <w:sz w:val="21"/>
                <w:szCs w:val="21"/>
                <w:highlight w:val="none"/>
                <w:lang w:val="en-US" w:eastAsia="zh-CN" w:bidi="ar-SA"/>
              </w:rPr>
            </w:pPr>
            <w:r>
              <w:rPr>
                <w:rFonts w:hint="default" w:ascii="Times New Roman" w:hAnsi="Times New Roman" w:eastAsia="宋体" w:cs="Times New Roman"/>
                <w:color w:val="auto"/>
                <w:spacing w:val="6"/>
                <w:sz w:val="21"/>
                <w:szCs w:val="21"/>
                <w:highlight w:val="none"/>
                <w:lang w:val="en-US" w:eastAsia="zh-CN" w:bidi="ar-SA"/>
              </w:rPr>
              <w:t>③内容一般，实施方案一般的，得</w:t>
            </w:r>
            <w:r>
              <w:rPr>
                <w:rFonts w:hint="default" w:ascii="Times New Roman" w:hAnsi="Times New Roman" w:cs="Times New Roman"/>
                <w:color w:val="auto"/>
                <w:spacing w:val="6"/>
                <w:sz w:val="21"/>
                <w:szCs w:val="21"/>
                <w:highlight w:val="none"/>
                <w:lang w:val="en-US" w:eastAsia="zh-CN" w:bidi="ar-SA"/>
              </w:rPr>
              <w:t>5</w:t>
            </w:r>
            <w:r>
              <w:rPr>
                <w:rFonts w:hint="default" w:ascii="Times New Roman" w:hAnsi="Times New Roman" w:eastAsia="宋体" w:cs="Times New Roman"/>
                <w:color w:val="auto"/>
                <w:spacing w:val="6"/>
                <w:sz w:val="21"/>
                <w:szCs w:val="21"/>
                <w:highlight w:val="none"/>
                <w:lang w:val="en-US" w:eastAsia="zh-CN" w:bidi="ar-SA"/>
              </w:rPr>
              <w:t>分；</w:t>
            </w:r>
          </w:p>
          <w:p w14:paraId="6EF868C0">
            <w:pPr>
              <w:keepNext/>
              <w:keepLines/>
              <w:pageBreakBefore w:val="0"/>
              <w:widowControl w:val="0"/>
              <w:numPr>
                <w:ilvl w:val="0"/>
                <w:numId w:val="0"/>
              </w:numPr>
              <w:spacing w:line="380" w:lineRule="exact"/>
              <w:ind w:left="0" w:firstLine="444"/>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pacing w:val="6"/>
                <w:sz w:val="21"/>
                <w:szCs w:val="21"/>
                <w:highlight w:val="none"/>
                <w:lang w:val="en-US" w:eastAsia="zh-CN" w:bidi="ar-SA"/>
              </w:rPr>
              <w:t>④内容较差，仅为通用检查方案，未体现本项目特点，得0分。</w:t>
            </w:r>
          </w:p>
        </w:tc>
      </w:tr>
      <w:tr w14:paraId="74CEB1D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0" w:hRule="atLeast"/>
          <w:jc w:val="center"/>
        </w:trPr>
        <w:tc>
          <w:tcPr>
            <w:tcW w:w="1192" w:type="dxa"/>
            <w:vMerge w:val="continue"/>
            <w:noWrap w:val="0"/>
            <w:vAlign w:val="center"/>
          </w:tcPr>
          <w:p w14:paraId="4D692B6A">
            <w:pPr>
              <w:pStyle w:val="216"/>
              <w:keepNext/>
              <w:keepLines/>
              <w:pageBreakBefore w:val="0"/>
              <w:widowControl w:val="0"/>
              <w:spacing w:before="1" w:line="380" w:lineRule="exact"/>
              <w:ind w:right="165"/>
              <w:jc w:val="center"/>
              <w:rPr>
                <w:rFonts w:hint="default" w:ascii="Times New Roman" w:hAnsi="Times New Roman" w:eastAsia="宋体" w:cs="Times New Roman"/>
                <w:b/>
                <w:color w:val="auto"/>
                <w:sz w:val="21"/>
                <w:szCs w:val="21"/>
                <w:highlight w:val="none"/>
              </w:rPr>
            </w:pPr>
          </w:p>
        </w:tc>
        <w:tc>
          <w:tcPr>
            <w:tcW w:w="2089" w:type="dxa"/>
            <w:shd w:val="clear" w:color="auto" w:fill="auto"/>
            <w:noWrap w:val="0"/>
            <w:vAlign w:val="center"/>
          </w:tcPr>
          <w:p w14:paraId="03C55512">
            <w:pPr>
              <w:pStyle w:val="216"/>
              <w:keepNext/>
              <w:keepLines/>
              <w:pageBreakBefore w:val="0"/>
              <w:widowControl w:val="0"/>
              <w:spacing w:line="380" w:lineRule="exact"/>
              <w:ind w:right="117"/>
              <w:jc w:val="center"/>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安全指导服务</w:t>
            </w:r>
          </w:p>
          <w:p w14:paraId="25B963D1">
            <w:pPr>
              <w:pStyle w:val="216"/>
              <w:keepNext/>
              <w:keepLines/>
              <w:pageBreakBefore w:val="0"/>
              <w:widowControl w:val="0"/>
              <w:spacing w:line="380" w:lineRule="exact"/>
              <w:ind w:right="117"/>
              <w:jc w:val="center"/>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实施方案</w:t>
            </w:r>
          </w:p>
          <w:p w14:paraId="22705DE9">
            <w:pPr>
              <w:pStyle w:val="216"/>
              <w:keepNext/>
              <w:keepLines/>
              <w:pageBreakBefore w:val="0"/>
              <w:widowControl w:val="0"/>
              <w:spacing w:line="380" w:lineRule="exact"/>
              <w:ind w:right="117"/>
              <w:jc w:val="center"/>
              <w:rPr>
                <w:rFonts w:hint="default" w:ascii="Times New Roman" w:hAnsi="Times New Roman" w:eastAsia="宋体" w:cs="Times New Roman"/>
                <w:color w:val="auto"/>
                <w:sz w:val="21"/>
                <w:szCs w:val="21"/>
                <w:highlight w:val="none"/>
                <w:lang w:val="en-US" w:eastAsia="zh-CN" w:bidi="ar-SA"/>
              </w:rPr>
            </w:pPr>
            <w:r>
              <w:rPr>
                <w:rFonts w:hint="default" w:ascii="Times New Roman" w:hAnsi="Times New Roman" w:eastAsia="宋体" w:cs="Times New Roman"/>
                <w:color w:val="auto"/>
                <w:sz w:val="21"/>
                <w:szCs w:val="21"/>
                <w:highlight w:val="none"/>
              </w:rPr>
              <w:t>（</w:t>
            </w:r>
            <w:r>
              <w:rPr>
                <w:rFonts w:hint="default" w:ascii="Times New Roman" w:hAnsi="Times New Roman" w:cs="Times New Roman"/>
                <w:color w:val="auto"/>
                <w:sz w:val="21"/>
                <w:szCs w:val="21"/>
                <w:highlight w:val="none"/>
                <w:lang w:val="en-US" w:eastAsia="zh-CN"/>
              </w:rPr>
              <w:t>7</w:t>
            </w:r>
            <w:r>
              <w:rPr>
                <w:rFonts w:hint="default" w:ascii="Times New Roman" w:hAnsi="Times New Roman" w:eastAsia="宋体" w:cs="Times New Roman"/>
                <w:color w:val="auto"/>
                <w:sz w:val="21"/>
                <w:szCs w:val="21"/>
                <w:highlight w:val="none"/>
              </w:rPr>
              <w:t>分）</w:t>
            </w:r>
          </w:p>
        </w:tc>
        <w:tc>
          <w:tcPr>
            <w:tcW w:w="6423" w:type="dxa"/>
            <w:noWrap w:val="0"/>
            <w:vAlign w:val="center"/>
          </w:tcPr>
          <w:p w14:paraId="56372292">
            <w:pPr>
              <w:keepNext/>
              <w:keepLines/>
              <w:pageBreakBefore w:val="0"/>
              <w:widowControl w:val="0"/>
              <w:spacing w:line="380" w:lineRule="exact"/>
              <w:ind w:firstLine="480"/>
              <w:rPr>
                <w:rFonts w:hint="default" w:ascii="Times New Roman" w:hAnsi="Times New Roman" w:eastAsia="宋体" w:cs="Times New Roman"/>
                <w:color w:val="auto"/>
                <w:spacing w:val="6"/>
                <w:sz w:val="21"/>
                <w:szCs w:val="21"/>
                <w:highlight w:val="none"/>
              </w:rPr>
            </w:pPr>
            <w:r>
              <w:rPr>
                <w:rFonts w:hint="default" w:ascii="Times New Roman" w:hAnsi="Times New Roman" w:eastAsia="宋体" w:cs="Times New Roman"/>
                <w:color w:val="auto"/>
                <w:spacing w:val="6"/>
                <w:sz w:val="21"/>
                <w:szCs w:val="21"/>
                <w:highlight w:val="none"/>
                <w:lang w:val="en-US" w:eastAsia="zh-CN"/>
              </w:rPr>
              <w:t>供应商提供的安全指导服务实施方案是否根据园区的实际需求，提出具有针对性的服务内容，内容是否包括按企业类型（危化品、化工、医药、重点工贸、一般工贸、其他行业）制定差异化巡查频次和检查重点、隐患清单建立、整改闭环跟踪、数据汇总上报机制、“一企一策”及深度指导服务等，内容是否全面，实施方案是否科学、合理。</w:t>
            </w:r>
          </w:p>
          <w:p w14:paraId="25D6D406">
            <w:pPr>
              <w:keepNext/>
              <w:keepLines/>
              <w:pageBreakBefore w:val="0"/>
              <w:widowControl w:val="0"/>
              <w:numPr>
                <w:ilvl w:val="0"/>
                <w:numId w:val="0"/>
              </w:numPr>
              <w:spacing w:line="380" w:lineRule="exact"/>
              <w:ind w:left="0" w:firstLine="444"/>
              <w:rPr>
                <w:rFonts w:hint="default" w:ascii="Times New Roman" w:hAnsi="Times New Roman" w:eastAsia="宋体" w:cs="Times New Roman"/>
                <w:color w:val="auto"/>
                <w:spacing w:val="6"/>
                <w:sz w:val="21"/>
                <w:szCs w:val="21"/>
                <w:highlight w:val="none"/>
              </w:rPr>
            </w:pPr>
            <w:r>
              <w:rPr>
                <w:rFonts w:hint="default" w:ascii="Times New Roman" w:hAnsi="Times New Roman" w:eastAsia="宋体" w:cs="Times New Roman"/>
                <w:color w:val="auto"/>
                <w:spacing w:val="6"/>
                <w:sz w:val="21"/>
                <w:szCs w:val="21"/>
                <w:highlight w:val="none"/>
                <w:lang w:val="en-US" w:eastAsia="zh-CN" w:bidi="ar-SA"/>
              </w:rPr>
              <w:t>①</w:t>
            </w:r>
            <w:r>
              <w:rPr>
                <w:rFonts w:hint="default" w:ascii="Times New Roman" w:hAnsi="Times New Roman" w:eastAsia="宋体" w:cs="Times New Roman"/>
                <w:color w:val="auto"/>
                <w:spacing w:val="6"/>
                <w:sz w:val="21"/>
                <w:szCs w:val="21"/>
                <w:highlight w:val="none"/>
                <w:lang w:val="en-US" w:eastAsia="zh-CN"/>
              </w:rPr>
              <w:t>内容全面，实施方案科学合理的，得</w:t>
            </w:r>
            <w:r>
              <w:rPr>
                <w:rFonts w:hint="default" w:ascii="Times New Roman" w:hAnsi="Times New Roman" w:cs="Times New Roman"/>
                <w:color w:val="auto"/>
                <w:spacing w:val="6"/>
                <w:sz w:val="21"/>
                <w:szCs w:val="21"/>
                <w:highlight w:val="none"/>
                <w:lang w:val="en-US" w:eastAsia="zh-CN"/>
              </w:rPr>
              <w:t>7</w:t>
            </w:r>
            <w:r>
              <w:rPr>
                <w:rFonts w:hint="default" w:ascii="Times New Roman" w:hAnsi="Times New Roman" w:eastAsia="宋体" w:cs="Times New Roman"/>
                <w:color w:val="auto"/>
                <w:spacing w:val="6"/>
                <w:sz w:val="21"/>
                <w:szCs w:val="21"/>
                <w:highlight w:val="none"/>
                <w:lang w:val="en-US" w:eastAsia="zh-CN"/>
              </w:rPr>
              <w:t>分；</w:t>
            </w:r>
          </w:p>
          <w:p w14:paraId="16EE33B9">
            <w:pPr>
              <w:keepNext/>
              <w:keepLines/>
              <w:pageBreakBefore w:val="0"/>
              <w:widowControl w:val="0"/>
              <w:numPr>
                <w:ilvl w:val="0"/>
                <w:numId w:val="0"/>
              </w:numPr>
              <w:spacing w:line="380" w:lineRule="exact"/>
              <w:ind w:left="0" w:firstLine="444"/>
              <w:rPr>
                <w:rFonts w:hint="default" w:ascii="Times New Roman" w:hAnsi="Times New Roman" w:eastAsia="宋体" w:cs="Times New Roman"/>
                <w:color w:val="auto"/>
                <w:spacing w:val="6"/>
                <w:sz w:val="21"/>
                <w:szCs w:val="21"/>
                <w:highlight w:val="none"/>
              </w:rPr>
            </w:pPr>
            <w:r>
              <w:rPr>
                <w:rFonts w:hint="default" w:ascii="Times New Roman" w:hAnsi="Times New Roman" w:eastAsia="宋体" w:cs="Times New Roman"/>
                <w:color w:val="auto"/>
                <w:spacing w:val="6"/>
                <w:sz w:val="21"/>
                <w:szCs w:val="21"/>
                <w:highlight w:val="none"/>
                <w:lang w:val="en-US" w:eastAsia="zh-CN" w:bidi="ar-SA"/>
              </w:rPr>
              <w:t>②</w:t>
            </w:r>
            <w:r>
              <w:rPr>
                <w:rFonts w:hint="default" w:ascii="Times New Roman" w:hAnsi="Times New Roman" w:eastAsia="宋体" w:cs="Times New Roman"/>
                <w:color w:val="auto"/>
                <w:spacing w:val="6"/>
                <w:sz w:val="21"/>
                <w:szCs w:val="21"/>
                <w:highlight w:val="none"/>
                <w:lang w:val="en-US" w:eastAsia="zh-CN"/>
              </w:rPr>
              <w:t>内容较全面，实施方案较合理的，得</w:t>
            </w:r>
            <w:r>
              <w:rPr>
                <w:rFonts w:hint="default" w:ascii="Times New Roman" w:hAnsi="Times New Roman" w:cs="Times New Roman"/>
                <w:color w:val="auto"/>
                <w:spacing w:val="6"/>
                <w:sz w:val="21"/>
                <w:szCs w:val="21"/>
                <w:highlight w:val="none"/>
                <w:lang w:val="en-US" w:eastAsia="zh-CN"/>
              </w:rPr>
              <w:t>5</w:t>
            </w:r>
            <w:r>
              <w:rPr>
                <w:rFonts w:hint="default" w:ascii="Times New Roman" w:hAnsi="Times New Roman" w:eastAsia="宋体" w:cs="Times New Roman"/>
                <w:color w:val="auto"/>
                <w:spacing w:val="6"/>
                <w:sz w:val="21"/>
                <w:szCs w:val="21"/>
                <w:highlight w:val="none"/>
                <w:lang w:val="en-US" w:eastAsia="zh-CN"/>
              </w:rPr>
              <w:t>分；</w:t>
            </w:r>
          </w:p>
          <w:p w14:paraId="4C1E690F">
            <w:pPr>
              <w:keepNext/>
              <w:keepLines/>
              <w:pageBreakBefore w:val="0"/>
              <w:widowControl w:val="0"/>
              <w:numPr>
                <w:ilvl w:val="0"/>
                <w:numId w:val="0"/>
              </w:numPr>
              <w:spacing w:line="380" w:lineRule="exact"/>
              <w:ind w:left="0" w:firstLine="444"/>
              <w:rPr>
                <w:rFonts w:hint="default" w:ascii="Times New Roman" w:hAnsi="Times New Roman" w:eastAsia="宋体" w:cs="Times New Roman"/>
                <w:color w:val="auto"/>
                <w:spacing w:val="6"/>
                <w:sz w:val="21"/>
                <w:szCs w:val="21"/>
                <w:highlight w:val="none"/>
              </w:rPr>
            </w:pPr>
            <w:r>
              <w:rPr>
                <w:rFonts w:hint="default" w:ascii="Times New Roman" w:hAnsi="Times New Roman" w:eastAsia="宋体" w:cs="Times New Roman"/>
                <w:color w:val="auto"/>
                <w:spacing w:val="6"/>
                <w:sz w:val="21"/>
                <w:szCs w:val="21"/>
                <w:highlight w:val="none"/>
                <w:lang w:val="en-US" w:eastAsia="zh-CN" w:bidi="ar-SA"/>
              </w:rPr>
              <w:t>③</w:t>
            </w:r>
            <w:r>
              <w:rPr>
                <w:rFonts w:hint="default" w:ascii="Times New Roman" w:hAnsi="Times New Roman" w:eastAsia="宋体" w:cs="Times New Roman"/>
                <w:color w:val="auto"/>
                <w:spacing w:val="6"/>
                <w:sz w:val="21"/>
                <w:szCs w:val="21"/>
                <w:highlight w:val="none"/>
                <w:lang w:val="en-US" w:eastAsia="zh-CN"/>
              </w:rPr>
              <w:t>内容一般，实施方案一般的，得</w:t>
            </w:r>
            <w:r>
              <w:rPr>
                <w:rFonts w:hint="default" w:ascii="Times New Roman" w:hAnsi="Times New Roman" w:cs="Times New Roman"/>
                <w:color w:val="auto"/>
                <w:spacing w:val="6"/>
                <w:sz w:val="21"/>
                <w:szCs w:val="21"/>
                <w:highlight w:val="none"/>
                <w:lang w:val="en-US" w:eastAsia="zh-CN"/>
              </w:rPr>
              <w:t>3</w:t>
            </w:r>
            <w:r>
              <w:rPr>
                <w:rFonts w:hint="default" w:ascii="Times New Roman" w:hAnsi="Times New Roman" w:eastAsia="宋体" w:cs="Times New Roman"/>
                <w:color w:val="auto"/>
                <w:spacing w:val="6"/>
                <w:sz w:val="21"/>
                <w:szCs w:val="21"/>
                <w:highlight w:val="none"/>
                <w:lang w:val="en-US" w:eastAsia="zh-CN"/>
              </w:rPr>
              <w:t>分；</w:t>
            </w:r>
          </w:p>
          <w:p w14:paraId="48FD1404">
            <w:pPr>
              <w:keepNext/>
              <w:keepLines/>
              <w:pageBreakBefore w:val="0"/>
              <w:widowControl w:val="0"/>
              <w:numPr>
                <w:ilvl w:val="0"/>
                <w:numId w:val="0"/>
              </w:numPr>
              <w:spacing w:line="380" w:lineRule="exact"/>
              <w:ind w:left="0" w:firstLine="444"/>
              <w:rPr>
                <w:rFonts w:hint="default" w:ascii="Times New Roman" w:hAnsi="Times New Roman" w:eastAsia="宋体" w:cs="Times New Roman"/>
                <w:color w:val="auto"/>
                <w:spacing w:val="6"/>
                <w:sz w:val="21"/>
                <w:szCs w:val="21"/>
                <w:highlight w:val="none"/>
              </w:rPr>
            </w:pPr>
            <w:r>
              <w:rPr>
                <w:rFonts w:hint="default" w:ascii="Times New Roman" w:hAnsi="Times New Roman" w:eastAsia="宋体" w:cs="Times New Roman"/>
                <w:color w:val="auto"/>
                <w:spacing w:val="6"/>
                <w:sz w:val="21"/>
                <w:szCs w:val="21"/>
                <w:highlight w:val="none"/>
                <w:lang w:val="en-US" w:eastAsia="zh-CN" w:bidi="ar-SA"/>
              </w:rPr>
              <w:t>④</w:t>
            </w:r>
            <w:r>
              <w:rPr>
                <w:rFonts w:hint="default" w:ascii="Times New Roman" w:hAnsi="Times New Roman" w:eastAsia="宋体" w:cs="Times New Roman"/>
                <w:color w:val="auto"/>
                <w:spacing w:val="6"/>
                <w:sz w:val="21"/>
                <w:szCs w:val="21"/>
                <w:highlight w:val="none"/>
                <w:lang w:val="en-US" w:eastAsia="zh-CN"/>
              </w:rPr>
              <w:t>内容较差，仅为通用检查方案，未体现本项目特点，得0分。</w:t>
            </w:r>
          </w:p>
        </w:tc>
      </w:tr>
      <w:tr w14:paraId="1DB8F5A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0" w:hRule="atLeast"/>
          <w:jc w:val="center"/>
        </w:trPr>
        <w:tc>
          <w:tcPr>
            <w:tcW w:w="1192" w:type="dxa"/>
            <w:vMerge w:val="continue"/>
            <w:noWrap w:val="0"/>
            <w:vAlign w:val="center"/>
          </w:tcPr>
          <w:p w14:paraId="750FD085">
            <w:pPr>
              <w:pStyle w:val="216"/>
              <w:keepNext/>
              <w:keepLines/>
              <w:pageBreakBefore w:val="0"/>
              <w:widowControl w:val="0"/>
              <w:spacing w:before="1" w:line="380" w:lineRule="exact"/>
              <w:ind w:right="165"/>
              <w:jc w:val="center"/>
              <w:rPr>
                <w:rFonts w:hint="default" w:ascii="Times New Roman" w:hAnsi="Times New Roman" w:eastAsia="宋体" w:cs="Times New Roman"/>
                <w:b/>
                <w:color w:val="auto"/>
                <w:sz w:val="21"/>
                <w:szCs w:val="21"/>
                <w:highlight w:val="none"/>
              </w:rPr>
            </w:pPr>
          </w:p>
        </w:tc>
        <w:tc>
          <w:tcPr>
            <w:tcW w:w="2089" w:type="dxa"/>
            <w:shd w:val="clear" w:color="auto" w:fill="auto"/>
            <w:noWrap w:val="0"/>
            <w:vAlign w:val="center"/>
          </w:tcPr>
          <w:p w14:paraId="6935A211">
            <w:pPr>
              <w:pStyle w:val="216"/>
              <w:keepNext/>
              <w:keepLines/>
              <w:pageBreakBefore w:val="0"/>
              <w:widowControl w:val="0"/>
              <w:spacing w:line="380" w:lineRule="exact"/>
              <w:ind w:right="117"/>
              <w:jc w:val="center"/>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培训与应急</w:t>
            </w:r>
          </w:p>
          <w:p w14:paraId="240C21A5">
            <w:pPr>
              <w:pStyle w:val="216"/>
              <w:keepNext/>
              <w:keepLines/>
              <w:pageBreakBefore w:val="0"/>
              <w:widowControl w:val="0"/>
              <w:spacing w:line="380" w:lineRule="exact"/>
              <w:ind w:right="117"/>
              <w:jc w:val="center"/>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演练方案</w:t>
            </w:r>
          </w:p>
          <w:p w14:paraId="2EC010A0">
            <w:pPr>
              <w:pStyle w:val="216"/>
              <w:keepNext/>
              <w:keepLines/>
              <w:pageBreakBefore w:val="0"/>
              <w:widowControl w:val="0"/>
              <w:spacing w:line="380" w:lineRule="exact"/>
              <w:ind w:right="117"/>
              <w:jc w:val="center"/>
              <w:rPr>
                <w:rFonts w:hint="default" w:ascii="Times New Roman" w:hAnsi="Times New Roman" w:eastAsia="宋体" w:cs="Times New Roman"/>
                <w:color w:val="auto"/>
                <w:sz w:val="21"/>
                <w:szCs w:val="21"/>
                <w:highlight w:val="none"/>
                <w:lang w:val="en-US" w:eastAsia="zh-CN" w:bidi="ar-SA"/>
              </w:rPr>
            </w:pPr>
            <w:r>
              <w:rPr>
                <w:rFonts w:hint="default" w:ascii="Times New Roman" w:hAnsi="Times New Roman" w:eastAsia="宋体" w:cs="Times New Roman"/>
                <w:color w:val="auto"/>
                <w:sz w:val="21"/>
                <w:szCs w:val="21"/>
                <w:highlight w:val="none"/>
              </w:rPr>
              <w:t>（</w:t>
            </w:r>
            <w:r>
              <w:rPr>
                <w:rFonts w:hint="default" w:ascii="Times New Roman" w:hAnsi="Times New Roman" w:cs="Times New Roman"/>
                <w:color w:val="auto"/>
                <w:sz w:val="21"/>
                <w:szCs w:val="21"/>
                <w:highlight w:val="none"/>
                <w:lang w:val="en-US" w:eastAsia="zh-CN"/>
              </w:rPr>
              <w:t>7</w:t>
            </w:r>
            <w:r>
              <w:rPr>
                <w:rFonts w:hint="default" w:ascii="Times New Roman" w:hAnsi="Times New Roman" w:eastAsia="宋体" w:cs="Times New Roman"/>
                <w:color w:val="auto"/>
                <w:sz w:val="21"/>
                <w:szCs w:val="21"/>
                <w:highlight w:val="none"/>
              </w:rPr>
              <w:t>分）</w:t>
            </w:r>
          </w:p>
        </w:tc>
        <w:tc>
          <w:tcPr>
            <w:tcW w:w="6423" w:type="dxa"/>
            <w:noWrap w:val="0"/>
            <w:vAlign w:val="center"/>
          </w:tcPr>
          <w:p w14:paraId="43653C33">
            <w:pPr>
              <w:keepNext/>
              <w:keepLines/>
              <w:pageBreakBefore w:val="0"/>
              <w:widowControl w:val="0"/>
              <w:spacing w:line="380" w:lineRule="exact"/>
              <w:ind w:firstLine="444"/>
              <w:rPr>
                <w:rFonts w:hint="default" w:ascii="Times New Roman" w:hAnsi="Times New Roman" w:eastAsia="宋体" w:cs="Times New Roman"/>
                <w:color w:val="auto"/>
                <w:spacing w:val="6"/>
                <w:sz w:val="21"/>
                <w:szCs w:val="21"/>
                <w:highlight w:val="none"/>
              </w:rPr>
            </w:pPr>
            <w:r>
              <w:rPr>
                <w:rFonts w:hint="default" w:ascii="Times New Roman" w:hAnsi="Times New Roman" w:eastAsia="宋体" w:cs="Times New Roman"/>
                <w:color w:val="auto"/>
                <w:spacing w:val="6"/>
                <w:sz w:val="21"/>
                <w:szCs w:val="21"/>
                <w:highlight w:val="none"/>
                <w:lang w:val="en-US" w:eastAsia="zh-CN"/>
              </w:rPr>
              <w:t>供应商提供的培训与应急演练方案是否符合项目实际需求，内容是否包括安全培训≥6次/年</w:t>
            </w:r>
            <w:r>
              <w:rPr>
                <w:rFonts w:hint="default" w:ascii="Times New Roman" w:hAnsi="Times New Roman" w:cs="Times New Roman"/>
                <w:color w:val="auto"/>
                <w:spacing w:val="6"/>
                <w:sz w:val="21"/>
                <w:szCs w:val="21"/>
                <w:highlight w:val="none"/>
                <w:lang w:val="en-US" w:eastAsia="zh-CN"/>
              </w:rPr>
              <w:t>，</w:t>
            </w:r>
            <w:r>
              <w:rPr>
                <w:rFonts w:hint="default" w:ascii="Times New Roman" w:hAnsi="Times New Roman" w:eastAsia="宋体" w:cs="Times New Roman"/>
                <w:color w:val="auto"/>
                <w:spacing w:val="6"/>
                <w:sz w:val="21"/>
                <w:szCs w:val="21"/>
                <w:highlight w:val="none"/>
                <w:lang w:val="en-US" w:eastAsia="zh-CN"/>
              </w:rPr>
              <w:t>且明确培训主题、对象及课时安排，综合应急演练≥1次/年，“双盲演练”每季度覆盖不同网格且有演练脚本和总结机制，对园区监管人员、网格员技能培训设有专门课程设计等，内容是否全面，方案是否科学、合理。</w:t>
            </w:r>
          </w:p>
          <w:p w14:paraId="6BBBCF66">
            <w:pPr>
              <w:keepNext/>
              <w:keepLines/>
              <w:pageBreakBefore w:val="0"/>
              <w:widowControl w:val="0"/>
              <w:numPr>
                <w:ilvl w:val="0"/>
                <w:numId w:val="0"/>
              </w:numPr>
              <w:spacing w:line="380" w:lineRule="exact"/>
              <w:ind w:left="0" w:firstLine="444"/>
              <w:rPr>
                <w:rFonts w:hint="default" w:ascii="Times New Roman" w:hAnsi="Times New Roman" w:eastAsia="宋体" w:cs="Times New Roman"/>
                <w:color w:val="auto"/>
                <w:spacing w:val="6"/>
                <w:sz w:val="21"/>
                <w:szCs w:val="21"/>
                <w:highlight w:val="none"/>
              </w:rPr>
            </w:pPr>
            <w:r>
              <w:rPr>
                <w:rFonts w:hint="default" w:ascii="Times New Roman" w:hAnsi="Times New Roman" w:eastAsia="宋体" w:cs="Times New Roman"/>
                <w:color w:val="auto"/>
                <w:spacing w:val="6"/>
                <w:sz w:val="21"/>
                <w:szCs w:val="21"/>
                <w:highlight w:val="none"/>
                <w:lang w:val="en-US" w:eastAsia="zh-CN" w:bidi="ar-SA"/>
              </w:rPr>
              <w:t>①</w:t>
            </w:r>
            <w:r>
              <w:rPr>
                <w:rFonts w:hint="default" w:ascii="Times New Roman" w:hAnsi="Times New Roman" w:eastAsia="宋体" w:cs="Times New Roman"/>
                <w:color w:val="auto"/>
                <w:spacing w:val="6"/>
                <w:sz w:val="21"/>
                <w:szCs w:val="21"/>
                <w:highlight w:val="none"/>
                <w:lang w:val="en-US" w:eastAsia="zh-CN"/>
              </w:rPr>
              <w:t>内容全面，实施方案科学合理的，得</w:t>
            </w:r>
            <w:r>
              <w:rPr>
                <w:rFonts w:hint="default" w:ascii="Times New Roman" w:hAnsi="Times New Roman" w:cs="Times New Roman"/>
                <w:color w:val="auto"/>
                <w:spacing w:val="6"/>
                <w:sz w:val="21"/>
                <w:szCs w:val="21"/>
                <w:highlight w:val="none"/>
                <w:lang w:val="en-US" w:eastAsia="zh-CN"/>
              </w:rPr>
              <w:t>7</w:t>
            </w:r>
            <w:r>
              <w:rPr>
                <w:rFonts w:hint="default" w:ascii="Times New Roman" w:hAnsi="Times New Roman" w:eastAsia="宋体" w:cs="Times New Roman"/>
                <w:color w:val="auto"/>
                <w:spacing w:val="6"/>
                <w:sz w:val="21"/>
                <w:szCs w:val="21"/>
                <w:highlight w:val="none"/>
                <w:lang w:val="en-US" w:eastAsia="zh-CN"/>
              </w:rPr>
              <w:t>分；</w:t>
            </w:r>
          </w:p>
          <w:p w14:paraId="31A6DD42">
            <w:pPr>
              <w:keepNext/>
              <w:keepLines/>
              <w:pageBreakBefore w:val="0"/>
              <w:widowControl w:val="0"/>
              <w:numPr>
                <w:ilvl w:val="0"/>
                <w:numId w:val="0"/>
              </w:numPr>
              <w:spacing w:line="380" w:lineRule="exact"/>
              <w:ind w:left="0" w:firstLine="444"/>
              <w:rPr>
                <w:rFonts w:hint="default" w:ascii="Times New Roman" w:hAnsi="Times New Roman" w:eastAsia="宋体" w:cs="Times New Roman"/>
                <w:color w:val="auto"/>
                <w:spacing w:val="6"/>
                <w:sz w:val="21"/>
                <w:szCs w:val="21"/>
                <w:highlight w:val="none"/>
              </w:rPr>
            </w:pPr>
            <w:r>
              <w:rPr>
                <w:rFonts w:hint="default" w:ascii="Times New Roman" w:hAnsi="Times New Roman" w:eastAsia="宋体" w:cs="Times New Roman"/>
                <w:color w:val="auto"/>
                <w:spacing w:val="6"/>
                <w:sz w:val="21"/>
                <w:szCs w:val="21"/>
                <w:highlight w:val="none"/>
                <w:lang w:val="en-US" w:eastAsia="zh-CN" w:bidi="ar-SA"/>
              </w:rPr>
              <w:t>②</w:t>
            </w:r>
            <w:r>
              <w:rPr>
                <w:rFonts w:hint="default" w:ascii="Times New Roman" w:hAnsi="Times New Roman" w:eastAsia="宋体" w:cs="Times New Roman"/>
                <w:color w:val="auto"/>
                <w:spacing w:val="6"/>
                <w:sz w:val="21"/>
                <w:szCs w:val="21"/>
                <w:highlight w:val="none"/>
                <w:lang w:val="en-US" w:eastAsia="zh-CN"/>
              </w:rPr>
              <w:t>内容较全面，实施方案较合理的，得</w:t>
            </w:r>
            <w:r>
              <w:rPr>
                <w:rFonts w:hint="default" w:ascii="Times New Roman" w:hAnsi="Times New Roman" w:cs="Times New Roman"/>
                <w:color w:val="auto"/>
                <w:spacing w:val="6"/>
                <w:sz w:val="21"/>
                <w:szCs w:val="21"/>
                <w:highlight w:val="none"/>
                <w:lang w:val="en-US" w:eastAsia="zh-CN"/>
              </w:rPr>
              <w:t>5</w:t>
            </w:r>
            <w:r>
              <w:rPr>
                <w:rFonts w:hint="default" w:ascii="Times New Roman" w:hAnsi="Times New Roman" w:eastAsia="宋体" w:cs="Times New Roman"/>
                <w:color w:val="auto"/>
                <w:spacing w:val="6"/>
                <w:sz w:val="21"/>
                <w:szCs w:val="21"/>
                <w:highlight w:val="none"/>
                <w:lang w:val="en-US" w:eastAsia="zh-CN"/>
              </w:rPr>
              <w:t>分；</w:t>
            </w:r>
          </w:p>
          <w:p w14:paraId="4C73BF91">
            <w:pPr>
              <w:keepNext/>
              <w:keepLines/>
              <w:pageBreakBefore w:val="0"/>
              <w:widowControl w:val="0"/>
              <w:numPr>
                <w:ilvl w:val="0"/>
                <w:numId w:val="0"/>
              </w:numPr>
              <w:spacing w:line="380" w:lineRule="exact"/>
              <w:ind w:left="0" w:firstLine="444"/>
              <w:rPr>
                <w:rFonts w:hint="default" w:ascii="Times New Roman" w:hAnsi="Times New Roman" w:eastAsia="宋体" w:cs="Times New Roman"/>
                <w:color w:val="auto"/>
                <w:spacing w:val="6"/>
                <w:sz w:val="21"/>
                <w:szCs w:val="21"/>
                <w:highlight w:val="none"/>
              </w:rPr>
            </w:pPr>
            <w:r>
              <w:rPr>
                <w:rFonts w:hint="default" w:ascii="Times New Roman" w:hAnsi="Times New Roman" w:eastAsia="宋体" w:cs="Times New Roman"/>
                <w:color w:val="auto"/>
                <w:spacing w:val="6"/>
                <w:sz w:val="21"/>
                <w:szCs w:val="21"/>
                <w:highlight w:val="none"/>
                <w:lang w:val="en-US" w:eastAsia="zh-CN" w:bidi="ar-SA"/>
              </w:rPr>
              <w:t>③</w:t>
            </w:r>
            <w:r>
              <w:rPr>
                <w:rFonts w:hint="default" w:ascii="Times New Roman" w:hAnsi="Times New Roman" w:eastAsia="宋体" w:cs="Times New Roman"/>
                <w:color w:val="auto"/>
                <w:spacing w:val="6"/>
                <w:sz w:val="21"/>
                <w:szCs w:val="21"/>
                <w:highlight w:val="none"/>
                <w:lang w:val="en-US" w:eastAsia="zh-CN"/>
              </w:rPr>
              <w:t>内容一般，实施方案一般的，得</w:t>
            </w:r>
            <w:r>
              <w:rPr>
                <w:rFonts w:hint="default" w:ascii="Times New Roman" w:hAnsi="Times New Roman" w:cs="Times New Roman"/>
                <w:color w:val="auto"/>
                <w:spacing w:val="6"/>
                <w:sz w:val="21"/>
                <w:szCs w:val="21"/>
                <w:highlight w:val="none"/>
                <w:lang w:val="en-US" w:eastAsia="zh-CN"/>
              </w:rPr>
              <w:t>3</w:t>
            </w:r>
            <w:r>
              <w:rPr>
                <w:rFonts w:hint="default" w:ascii="Times New Roman" w:hAnsi="Times New Roman" w:eastAsia="宋体" w:cs="Times New Roman"/>
                <w:color w:val="auto"/>
                <w:spacing w:val="6"/>
                <w:sz w:val="21"/>
                <w:szCs w:val="21"/>
                <w:highlight w:val="none"/>
                <w:lang w:val="en-US" w:eastAsia="zh-CN"/>
              </w:rPr>
              <w:t>分；</w:t>
            </w:r>
          </w:p>
          <w:p w14:paraId="39D7D991">
            <w:pPr>
              <w:keepNext/>
              <w:keepLines/>
              <w:pageBreakBefore w:val="0"/>
              <w:widowControl w:val="0"/>
              <w:numPr>
                <w:ilvl w:val="0"/>
                <w:numId w:val="0"/>
              </w:numPr>
              <w:spacing w:line="380" w:lineRule="exact"/>
              <w:ind w:left="0" w:firstLine="444"/>
              <w:rPr>
                <w:rFonts w:hint="default" w:ascii="Times New Roman" w:hAnsi="Times New Roman" w:eastAsia="宋体" w:cs="Times New Roman"/>
                <w:color w:val="auto"/>
                <w:spacing w:val="6"/>
                <w:sz w:val="21"/>
                <w:szCs w:val="21"/>
                <w:highlight w:val="none"/>
              </w:rPr>
            </w:pPr>
            <w:r>
              <w:rPr>
                <w:rFonts w:hint="default" w:ascii="Times New Roman" w:hAnsi="Times New Roman" w:eastAsia="宋体" w:cs="Times New Roman"/>
                <w:color w:val="auto"/>
                <w:spacing w:val="6"/>
                <w:sz w:val="21"/>
                <w:szCs w:val="21"/>
                <w:highlight w:val="none"/>
                <w:lang w:val="en-US" w:eastAsia="zh-CN" w:bidi="ar-SA"/>
              </w:rPr>
              <w:t>④</w:t>
            </w:r>
            <w:r>
              <w:rPr>
                <w:rFonts w:hint="default" w:ascii="Times New Roman" w:hAnsi="Times New Roman" w:eastAsia="宋体" w:cs="Times New Roman"/>
                <w:color w:val="auto"/>
                <w:spacing w:val="6"/>
                <w:sz w:val="21"/>
                <w:szCs w:val="21"/>
                <w:highlight w:val="none"/>
                <w:lang w:val="en-US" w:eastAsia="zh-CN"/>
              </w:rPr>
              <w:t>内容较差，仅有次数承诺，无实施方案的，得0分。</w:t>
            </w:r>
          </w:p>
        </w:tc>
      </w:tr>
      <w:tr w14:paraId="230FE8E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0" w:hRule="atLeast"/>
          <w:jc w:val="center"/>
        </w:trPr>
        <w:tc>
          <w:tcPr>
            <w:tcW w:w="1192" w:type="dxa"/>
            <w:vMerge w:val="continue"/>
            <w:noWrap w:val="0"/>
            <w:vAlign w:val="center"/>
          </w:tcPr>
          <w:p w14:paraId="667A8C60">
            <w:pPr>
              <w:pStyle w:val="216"/>
              <w:keepNext/>
              <w:keepLines/>
              <w:pageBreakBefore w:val="0"/>
              <w:widowControl w:val="0"/>
              <w:spacing w:before="1" w:line="380" w:lineRule="exact"/>
              <w:ind w:right="165"/>
              <w:jc w:val="center"/>
              <w:rPr>
                <w:rFonts w:hint="default" w:ascii="Times New Roman" w:hAnsi="Times New Roman" w:eastAsia="宋体" w:cs="Times New Roman"/>
                <w:b/>
                <w:color w:val="auto"/>
                <w:sz w:val="21"/>
                <w:szCs w:val="21"/>
                <w:highlight w:val="none"/>
              </w:rPr>
            </w:pPr>
          </w:p>
        </w:tc>
        <w:tc>
          <w:tcPr>
            <w:tcW w:w="2089" w:type="dxa"/>
            <w:shd w:val="clear" w:color="auto" w:fill="auto"/>
            <w:noWrap w:val="0"/>
            <w:vAlign w:val="center"/>
          </w:tcPr>
          <w:p w14:paraId="786A3B63">
            <w:pPr>
              <w:pStyle w:val="216"/>
              <w:keepNext/>
              <w:keepLines/>
              <w:pageBreakBefore w:val="0"/>
              <w:widowControl w:val="0"/>
              <w:spacing w:line="380" w:lineRule="exact"/>
              <w:ind w:right="117"/>
              <w:jc w:val="center"/>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成果交付与运行</w:t>
            </w:r>
          </w:p>
          <w:p w14:paraId="38171091">
            <w:pPr>
              <w:pStyle w:val="216"/>
              <w:keepNext/>
              <w:keepLines/>
              <w:pageBreakBefore w:val="0"/>
              <w:widowControl w:val="0"/>
              <w:spacing w:line="380" w:lineRule="exact"/>
              <w:ind w:right="117"/>
              <w:jc w:val="center"/>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分析机制</w:t>
            </w:r>
          </w:p>
          <w:p w14:paraId="6060B9A1">
            <w:pPr>
              <w:pStyle w:val="216"/>
              <w:keepNext/>
              <w:keepLines/>
              <w:pageBreakBefore w:val="0"/>
              <w:widowControl w:val="0"/>
              <w:spacing w:line="380" w:lineRule="exact"/>
              <w:ind w:right="117"/>
              <w:jc w:val="center"/>
              <w:rPr>
                <w:rFonts w:hint="default" w:ascii="Times New Roman" w:hAnsi="Times New Roman" w:eastAsia="宋体" w:cs="Times New Roman"/>
                <w:color w:val="auto"/>
                <w:sz w:val="21"/>
                <w:szCs w:val="21"/>
                <w:highlight w:val="none"/>
                <w:lang w:val="en-US" w:eastAsia="zh-CN" w:bidi="ar-SA"/>
              </w:rPr>
            </w:pPr>
            <w:r>
              <w:rPr>
                <w:rFonts w:hint="default" w:ascii="Times New Roman" w:hAnsi="Times New Roman" w:eastAsia="宋体" w:cs="Times New Roman"/>
                <w:color w:val="auto"/>
                <w:sz w:val="21"/>
                <w:szCs w:val="21"/>
                <w:highlight w:val="none"/>
              </w:rPr>
              <w:t>（</w:t>
            </w:r>
            <w:r>
              <w:rPr>
                <w:rFonts w:hint="default" w:ascii="Times New Roman" w:hAnsi="Times New Roman" w:cs="Times New Roman"/>
                <w:color w:val="auto"/>
                <w:sz w:val="21"/>
                <w:szCs w:val="21"/>
                <w:highlight w:val="none"/>
                <w:lang w:val="en-US" w:eastAsia="zh-CN"/>
              </w:rPr>
              <w:t>7</w:t>
            </w:r>
            <w:r>
              <w:rPr>
                <w:rFonts w:hint="default" w:ascii="Times New Roman" w:hAnsi="Times New Roman" w:eastAsia="宋体" w:cs="Times New Roman"/>
                <w:color w:val="auto"/>
                <w:sz w:val="21"/>
                <w:szCs w:val="21"/>
                <w:highlight w:val="none"/>
              </w:rPr>
              <w:t>分）</w:t>
            </w:r>
          </w:p>
        </w:tc>
        <w:tc>
          <w:tcPr>
            <w:tcW w:w="6423" w:type="dxa"/>
            <w:noWrap w:val="0"/>
            <w:vAlign w:val="center"/>
          </w:tcPr>
          <w:p w14:paraId="64503429">
            <w:pPr>
              <w:keepNext/>
              <w:keepLines/>
              <w:pageBreakBefore w:val="0"/>
              <w:widowControl w:val="0"/>
              <w:spacing w:line="380" w:lineRule="exact"/>
              <w:ind w:firstLine="480"/>
              <w:rPr>
                <w:rFonts w:hint="default" w:ascii="Times New Roman" w:hAnsi="Times New Roman" w:eastAsia="宋体" w:cs="Times New Roman"/>
                <w:color w:val="auto"/>
                <w:spacing w:val="6"/>
                <w:sz w:val="21"/>
                <w:szCs w:val="21"/>
                <w:highlight w:val="none"/>
              </w:rPr>
            </w:pPr>
            <w:r>
              <w:rPr>
                <w:rFonts w:hint="default" w:ascii="Times New Roman" w:hAnsi="Times New Roman" w:eastAsia="宋体" w:cs="Times New Roman"/>
                <w:color w:val="auto"/>
                <w:spacing w:val="6"/>
                <w:sz w:val="21"/>
                <w:szCs w:val="21"/>
                <w:highlight w:val="none"/>
                <w:lang w:val="en-US" w:eastAsia="zh-CN"/>
              </w:rPr>
              <w:t>供应商提供的成果交付与运行分析机制是否完善，内容是否包括明确每季度安全工作总结、下季度风险研判报告的内容框架，年度安全总结报告有固定模板和交付时间，建立隐患数据分析、风险预警及向园区提出管理建议的机制等，内容是否全面，机制是否科学、合理。</w:t>
            </w:r>
          </w:p>
          <w:p w14:paraId="34893082">
            <w:pPr>
              <w:keepNext/>
              <w:keepLines/>
              <w:pageBreakBefore w:val="0"/>
              <w:widowControl w:val="0"/>
              <w:numPr>
                <w:ilvl w:val="0"/>
                <w:numId w:val="0"/>
              </w:numPr>
              <w:spacing w:line="380" w:lineRule="exact"/>
              <w:ind w:left="0" w:firstLine="444"/>
              <w:rPr>
                <w:rFonts w:hint="default" w:ascii="Times New Roman" w:hAnsi="Times New Roman" w:eastAsia="宋体" w:cs="Times New Roman"/>
                <w:color w:val="auto"/>
                <w:spacing w:val="6"/>
                <w:sz w:val="21"/>
                <w:szCs w:val="21"/>
                <w:highlight w:val="none"/>
              </w:rPr>
            </w:pPr>
            <w:r>
              <w:rPr>
                <w:rFonts w:hint="default" w:ascii="Times New Roman" w:hAnsi="Times New Roman" w:eastAsia="宋体" w:cs="Times New Roman"/>
                <w:color w:val="auto"/>
                <w:spacing w:val="6"/>
                <w:sz w:val="21"/>
                <w:szCs w:val="21"/>
                <w:highlight w:val="none"/>
                <w:lang w:val="en-US" w:eastAsia="zh-CN" w:bidi="ar-SA"/>
              </w:rPr>
              <w:t>①</w:t>
            </w:r>
            <w:r>
              <w:rPr>
                <w:rFonts w:hint="default" w:ascii="Times New Roman" w:hAnsi="Times New Roman" w:eastAsia="宋体" w:cs="Times New Roman"/>
                <w:color w:val="auto"/>
                <w:spacing w:val="6"/>
                <w:sz w:val="21"/>
                <w:szCs w:val="21"/>
                <w:highlight w:val="none"/>
                <w:lang w:val="en-US" w:eastAsia="zh-CN"/>
              </w:rPr>
              <w:t>内容全面，机制科学合理的，得</w:t>
            </w:r>
            <w:r>
              <w:rPr>
                <w:rFonts w:hint="default" w:ascii="Times New Roman" w:hAnsi="Times New Roman" w:cs="Times New Roman"/>
                <w:color w:val="auto"/>
                <w:spacing w:val="6"/>
                <w:sz w:val="21"/>
                <w:szCs w:val="21"/>
                <w:highlight w:val="none"/>
                <w:lang w:val="en-US" w:eastAsia="zh-CN"/>
              </w:rPr>
              <w:t>7</w:t>
            </w:r>
            <w:r>
              <w:rPr>
                <w:rFonts w:hint="default" w:ascii="Times New Roman" w:hAnsi="Times New Roman" w:eastAsia="宋体" w:cs="Times New Roman"/>
                <w:color w:val="auto"/>
                <w:spacing w:val="6"/>
                <w:sz w:val="21"/>
                <w:szCs w:val="21"/>
                <w:highlight w:val="none"/>
                <w:lang w:val="en-US" w:eastAsia="zh-CN"/>
              </w:rPr>
              <w:t>分；</w:t>
            </w:r>
          </w:p>
          <w:p w14:paraId="5C91A2FC">
            <w:pPr>
              <w:keepNext/>
              <w:keepLines/>
              <w:pageBreakBefore w:val="0"/>
              <w:widowControl w:val="0"/>
              <w:numPr>
                <w:ilvl w:val="0"/>
                <w:numId w:val="0"/>
              </w:numPr>
              <w:spacing w:line="380" w:lineRule="exact"/>
              <w:ind w:left="0" w:firstLine="444"/>
              <w:rPr>
                <w:rFonts w:hint="default" w:ascii="Times New Roman" w:hAnsi="Times New Roman" w:eastAsia="宋体" w:cs="Times New Roman"/>
                <w:color w:val="auto"/>
                <w:spacing w:val="6"/>
                <w:sz w:val="21"/>
                <w:szCs w:val="21"/>
                <w:highlight w:val="none"/>
              </w:rPr>
            </w:pPr>
            <w:r>
              <w:rPr>
                <w:rFonts w:hint="default" w:ascii="Times New Roman" w:hAnsi="Times New Roman" w:eastAsia="宋体" w:cs="Times New Roman"/>
                <w:color w:val="auto"/>
                <w:spacing w:val="6"/>
                <w:sz w:val="21"/>
                <w:szCs w:val="21"/>
                <w:highlight w:val="none"/>
                <w:lang w:val="en-US" w:eastAsia="zh-CN" w:bidi="ar-SA"/>
              </w:rPr>
              <w:t>②</w:t>
            </w:r>
            <w:r>
              <w:rPr>
                <w:rFonts w:hint="default" w:ascii="Times New Roman" w:hAnsi="Times New Roman" w:eastAsia="宋体" w:cs="Times New Roman"/>
                <w:color w:val="auto"/>
                <w:spacing w:val="6"/>
                <w:sz w:val="21"/>
                <w:szCs w:val="21"/>
                <w:highlight w:val="none"/>
                <w:lang w:val="en-US" w:eastAsia="zh-CN"/>
              </w:rPr>
              <w:t>内容较全面，机制较合理的，得</w:t>
            </w:r>
            <w:r>
              <w:rPr>
                <w:rFonts w:hint="default" w:ascii="Times New Roman" w:hAnsi="Times New Roman" w:cs="Times New Roman"/>
                <w:color w:val="auto"/>
                <w:spacing w:val="6"/>
                <w:sz w:val="21"/>
                <w:szCs w:val="21"/>
                <w:highlight w:val="none"/>
                <w:lang w:val="en-US" w:eastAsia="zh-CN"/>
              </w:rPr>
              <w:t>5</w:t>
            </w:r>
            <w:r>
              <w:rPr>
                <w:rFonts w:hint="default" w:ascii="Times New Roman" w:hAnsi="Times New Roman" w:eastAsia="宋体" w:cs="Times New Roman"/>
                <w:color w:val="auto"/>
                <w:spacing w:val="6"/>
                <w:sz w:val="21"/>
                <w:szCs w:val="21"/>
                <w:highlight w:val="none"/>
                <w:lang w:val="en-US" w:eastAsia="zh-CN"/>
              </w:rPr>
              <w:t>分；</w:t>
            </w:r>
          </w:p>
          <w:p w14:paraId="212FB2CC">
            <w:pPr>
              <w:keepNext/>
              <w:keepLines/>
              <w:pageBreakBefore w:val="0"/>
              <w:widowControl w:val="0"/>
              <w:numPr>
                <w:ilvl w:val="0"/>
                <w:numId w:val="0"/>
              </w:numPr>
              <w:spacing w:line="380" w:lineRule="exact"/>
              <w:ind w:left="0" w:firstLine="444"/>
              <w:rPr>
                <w:rFonts w:hint="default" w:ascii="Times New Roman" w:hAnsi="Times New Roman" w:eastAsia="宋体" w:cs="Times New Roman"/>
                <w:color w:val="auto"/>
                <w:spacing w:val="6"/>
                <w:sz w:val="21"/>
                <w:szCs w:val="21"/>
                <w:highlight w:val="none"/>
              </w:rPr>
            </w:pPr>
            <w:r>
              <w:rPr>
                <w:rFonts w:hint="default" w:ascii="Times New Roman" w:hAnsi="Times New Roman" w:eastAsia="宋体" w:cs="Times New Roman"/>
                <w:color w:val="auto"/>
                <w:spacing w:val="6"/>
                <w:sz w:val="21"/>
                <w:szCs w:val="21"/>
                <w:highlight w:val="none"/>
                <w:lang w:val="en-US" w:eastAsia="zh-CN" w:bidi="ar-SA"/>
              </w:rPr>
              <w:t>③</w:t>
            </w:r>
            <w:r>
              <w:rPr>
                <w:rFonts w:hint="default" w:ascii="Times New Roman" w:hAnsi="Times New Roman" w:eastAsia="宋体" w:cs="Times New Roman"/>
                <w:color w:val="auto"/>
                <w:spacing w:val="6"/>
                <w:sz w:val="21"/>
                <w:szCs w:val="21"/>
                <w:highlight w:val="none"/>
                <w:lang w:val="en-US" w:eastAsia="zh-CN"/>
              </w:rPr>
              <w:t>内容一般，机制一般的，得</w:t>
            </w:r>
            <w:r>
              <w:rPr>
                <w:rFonts w:hint="default" w:ascii="Times New Roman" w:hAnsi="Times New Roman" w:cs="Times New Roman"/>
                <w:color w:val="auto"/>
                <w:spacing w:val="6"/>
                <w:sz w:val="21"/>
                <w:szCs w:val="21"/>
                <w:highlight w:val="none"/>
                <w:lang w:val="en-US" w:eastAsia="zh-CN"/>
              </w:rPr>
              <w:t>3</w:t>
            </w:r>
            <w:r>
              <w:rPr>
                <w:rFonts w:hint="default" w:ascii="Times New Roman" w:hAnsi="Times New Roman" w:eastAsia="宋体" w:cs="Times New Roman"/>
                <w:color w:val="auto"/>
                <w:spacing w:val="6"/>
                <w:sz w:val="21"/>
                <w:szCs w:val="21"/>
                <w:highlight w:val="none"/>
                <w:lang w:val="en-US" w:eastAsia="zh-CN"/>
              </w:rPr>
              <w:t>分；</w:t>
            </w:r>
          </w:p>
          <w:p w14:paraId="3C30C9F2">
            <w:pPr>
              <w:keepNext/>
              <w:keepLines/>
              <w:pageBreakBefore w:val="0"/>
              <w:widowControl w:val="0"/>
              <w:numPr>
                <w:ilvl w:val="0"/>
                <w:numId w:val="0"/>
              </w:numPr>
              <w:spacing w:line="380" w:lineRule="exact"/>
              <w:ind w:left="0" w:firstLine="444"/>
              <w:rPr>
                <w:rFonts w:hint="default" w:ascii="Times New Roman" w:hAnsi="Times New Roman" w:eastAsia="宋体" w:cs="Times New Roman"/>
                <w:color w:val="auto"/>
                <w:spacing w:val="6"/>
                <w:sz w:val="21"/>
                <w:szCs w:val="21"/>
                <w:highlight w:val="none"/>
              </w:rPr>
            </w:pPr>
            <w:r>
              <w:rPr>
                <w:rFonts w:hint="default" w:ascii="Times New Roman" w:hAnsi="Times New Roman" w:eastAsia="宋体" w:cs="Times New Roman"/>
                <w:color w:val="auto"/>
                <w:spacing w:val="6"/>
                <w:sz w:val="21"/>
                <w:szCs w:val="21"/>
                <w:highlight w:val="none"/>
                <w:lang w:val="en-US" w:eastAsia="zh-CN" w:bidi="ar-SA"/>
              </w:rPr>
              <w:t>④</w:t>
            </w:r>
            <w:r>
              <w:rPr>
                <w:rFonts w:hint="default" w:ascii="Times New Roman" w:hAnsi="Times New Roman" w:eastAsia="宋体" w:cs="Times New Roman"/>
                <w:color w:val="auto"/>
                <w:spacing w:val="6"/>
                <w:sz w:val="21"/>
                <w:szCs w:val="21"/>
                <w:highlight w:val="none"/>
                <w:lang w:val="en-US" w:eastAsia="zh-CN"/>
              </w:rPr>
              <w:t>内容较差，仅简单列举交付物名称的，得0分。</w:t>
            </w:r>
          </w:p>
        </w:tc>
      </w:tr>
      <w:tr w14:paraId="3C087B3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0" w:hRule="atLeast"/>
          <w:jc w:val="center"/>
        </w:trPr>
        <w:tc>
          <w:tcPr>
            <w:tcW w:w="1192" w:type="dxa"/>
            <w:noWrap w:val="0"/>
            <w:vAlign w:val="center"/>
          </w:tcPr>
          <w:p w14:paraId="6772DF0E">
            <w:pPr>
              <w:pStyle w:val="216"/>
              <w:keepNext/>
              <w:keepLines/>
              <w:pageBreakBefore w:val="0"/>
              <w:widowControl w:val="0"/>
              <w:spacing w:before="1" w:line="380" w:lineRule="exact"/>
              <w:ind w:left="107" w:right="165"/>
              <w:jc w:val="center"/>
              <w:rPr>
                <w:rFonts w:hint="default" w:ascii="Times New Roman" w:hAnsi="Times New Roman" w:eastAsia="宋体" w:cs="Times New Roman"/>
                <w:b/>
                <w:color w:val="auto"/>
                <w:sz w:val="21"/>
                <w:szCs w:val="21"/>
                <w:highlight w:val="none"/>
              </w:rPr>
            </w:pPr>
          </w:p>
        </w:tc>
        <w:tc>
          <w:tcPr>
            <w:tcW w:w="8512" w:type="dxa"/>
            <w:gridSpan w:val="2"/>
            <w:shd w:val="clear" w:color="auto" w:fill="auto"/>
            <w:noWrap w:val="0"/>
            <w:vAlign w:val="top"/>
          </w:tcPr>
          <w:p w14:paraId="2D8DDB37">
            <w:pPr>
              <w:pStyle w:val="216"/>
              <w:keepNext/>
              <w:keepLines/>
              <w:pageBreakBefore w:val="0"/>
              <w:widowControl w:val="0"/>
              <w:spacing w:before="22" w:line="380" w:lineRule="exact"/>
              <w:ind w:right="89"/>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备注：</w:t>
            </w:r>
          </w:p>
          <w:p w14:paraId="0033CFD2">
            <w:pPr>
              <w:pStyle w:val="216"/>
              <w:keepNext/>
              <w:keepLines/>
              <w:pageBreakBefore w:val="0"/>
              <w:widowControl w:val="0"/>
              <w:spacing w:before="22" w:line="380" w:lineRule="exact"/>
              <w:ind w:left="109" w:right="89" w:firstLine="420"/>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1.每部分的得分保留小数点后两位,合计得分保留小数点后两位。</w:t>
            </w:r>
          </w:p>
          <w:p w14:paraId="7340428B">
            <w:pPr>
              <w:pStyle w:val="216"/>
              <w:keepNext/>
              <w:keepLines/>
              <w:pageBreakBefore w:val="0"/>
              <w:widowControl w:val="0"/>
              <w:spacing w:line="380" w:lineRule="exact"/>
              <w:ind w:left="109" w:right="89" w:firstLine="420"/>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2.针对评分标准中评分的每一条,</w:t>
            </w:r>
            <w:r>
              <w:rPr>
                <w:rFonts w:hint="default" w:ascii="Times New Roman" w:hAnsi="Times New Roman" w:eastAsia="宋体" w:cs="Times New Roman"/>
                <w:color w:val="auto"/>
                <w:sz w:val="21"/>
                <w:szCs w:val="21"/>
                <w:highlight w:val="none"/>
                <w:lang w:eastAsia="zh-CN"/>
              </w:rPr>
              <w:t>磋商供应商</w:t>
            </w:r>
            <w:r>
              <w:rPr>
                <w:rFonts w:hint="default" w:ascii="Times New Roman" w:hAnsi="Times New Roman" w:eastAsia="宋体" w:cs="Times New Roman"/>
                <w:color w:val="auto"/>
                <w:sz w:val="21"/>
                <w:szCs w:val="21"/>
                <w:highlight w:val="none"/>
              </w:rPr>
              <w:t>在</w:t>
            </w:r>
            <w:r>
              <w:rPr>
                <w:rFonts w:hint="default" w:ascii="Times New Roman" w:hAnsi="Times New Roman" w:eastAsia="宋体" w:cs="Times New Roman"/>
                <w:color w:val="auto"/>
                <w:sz w:val="21"/>
                <w:szCs w:val="21"/>
                <w:highlight w:val="none"/>
                <w:lang w:eastAsia="zh-CN"/>
              </w:rPr>
              <w:t>响应文件</w:t>
            </w:r>
            <w:r>
              <w:rPr>
                <w:rFonts w:hint="default" w:ascii="Times New Roman" w:hAnsi="Times New Roman" w:eastAsia="宋体" w:cs="Times New Roman"/>
                <w:color w:val="auto"/>
                <w:sz w:val="21"/>
                <w:szCs w:val="21"/>
                <w:highlight w:val="none"/>
              </w:rPr>
              <w:t>中均应提供相关资料并作出相应说明供评委评判,不提供相关资料的视为不具备该项得分的条件,对于有原件备查要求的,相关原件或公证件必须在投标截止时间前与</w:t>
            </w:r>
            <w:r>
              <w:rPr>
                <w:rFonts w:hint="default" w:ascii="Times New Roman" w:hAnsi="Times New Roman" w:eastAsia="宋体" w:cs="Times New Roman"/>
                <w:color w:val="auto"/>
                <w:sz w:val="21"/>
                <w:szCs w:val="21"/>
                <w:highlight w:val="none"/>
                <w:lang w:eastAsia="zh-CN"/>
              </w:rPr>
              <w:t>响应文件</w:t>
            </w:r>
            <w:r>
              <w:rPr>
                <w:rFonts w:hint="default" w:ascii="Times New Roman" w:hAnsi="Times New Roman" w:eastAsia="宋体" w:cs="Times New Roman"/>
                <w:color w:val="auto"/>
                <w:sz w:val="21"/>
                <w:szCs w:val="21"/>
                <w:highlight w:val="none"/>
              </w:rPr>
              <w:t>同时提交给现场工作人员以供评标委员会核实,否则对应评分项目不得分。</w:t>
            </w:r>
          </w:p>
        </w:tc>
      </w:tr>
    </w:tbl>
    <w:p w14:paraId="6B2CCB49">
      <w:pPr>
        <w:rPr>
          <w:rFonts w:hint="default" w:ascii="Times New Roman" w:hAnsi="Times New Roman" w:cs="Times New Roman"/>
          <w:color w:val="auto"/>
          <w:highlight w:val="none"/>
        </w:rPr>
      </w:pPr>
    </w:p>
    <w:p w14:paraId="011D46DA">
      <w:pPr>
        <w:pStyle w:val="196"/>
        <w:rPr>
          <w:rFonts w:hint="default" w:ascii="Times New Roman" w:hAnsi="Times New Roman" w:cs="Times New Roman"/>
          <w:color w:val="auto"/>
          <w:highlight w:val="none"/>
          <w:lang w:val="en-US" w:eastAsia="zh-CN"/>
        </w:rPr>
      </w:pPr>
    </w:p>
    <w:p w14:paraId="37CF65DF">
      <w:pPr>
        <w:keepNext/>
        <w:keepLines/>
        <w:pageBreakBefore w:val="0"/>
        <w:widowControl w:val="0"/>
        <w:spacing w:line="360" w:lineRule="auto"/>
        <w:jc w:val="center"/>
        <w:rPr>
          <w:rFonts w:hint="default" w:ascii="Times New Roman" w:hAnsi="Times New Roman" w:cs="Times New Roman"/>
          <w:b/>
          <w:bCs/>
          <w:color w:val="auto"/>
          <w:sz w:val="24"/>
          <w:szCs w:val="32"/>
          <w:highlight w:val="none"/>
          <w:lang w:val="en-US" w:eastAsia="zh-CN"/>
        </w:rPr>
      </w:pPr>
      <w:r>
        <w:rPr>
          <w:rFonts w:hint="default" w:ascii="Times New Roman" w:hAnsi="Times New Roman" w:cs="Times New Roman"/>
          <w:b/>
          <w:bCs/>
          <w:color w:val="auto"/>
          <w:sz w:val="24"/>
          <w:szCs w:val="32"/>
          <w:highlight w:val="none"/>
          <w:lang w:val="en-US" w:eastAsia="zh-CN"/>
        </w:rPr>
        <w:t>采购包2：环保标段评分标准</w:t>
      </w:r>
    </w:p>
    <w:tbl>
      <w:tblPr>
        <w:tblStyle w:val="217"/>
        <w:tblW w:w="9786"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563"/>
        <w:gridCol w:w="1710"/>
        <w:gridCol w:w="6513"/>
      </w:tblGrid>
      <w:tr w14:paraId="617536E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4" w:hRule="atLeast"/>
          <w:jc w:val="center"/>
        </w:trPr>
        <w:tc>
          <w:tcPr>
            <w:tcW w:w="1563" w:type="dxa"/>
            <w:noWrap w:val="0"/>
            <w:vAlign w:val="bottom"/>
          </w:tcPr>
          <w:p w14:paraId="1705BB58">
            <w:pPr>
              <w:pStyle w:val="216"/>
              <w:keepNext/>
              <w:keepLines w:val="0"/>
              <w:pageBreakBefore w:val="0"/>
              <w:spacing w:line="360" w:lineRule="auto"/>
              <w:ind w:right="100"/>
              <w:jc w:val="center"/>
              <w:rPr>
                <w:rFonts w:hint="default" w:ascii="Times New Roman" w:hAnsi="Times New Roman" w:eastAsia="宋体" w:cs="Times New Roman"/>
                <w:b/>
                <w:color w:val="auto"/>
                <w:sz w:val="21"/>
                <w:szCs w:val="21"/>
                <w:highlight w:val="none"/>
                <w:lang w:val="en-US" w:eastAsia="zh-CN"/>
              </w:rPr>
            </w:pPr>
            <w:r>
              <w:rPr>
                <w:rFonts w:hint="default" w:ascii="Times New Roman" w:hAnsi="Times New Roman" w:eastAsia="宋体" w:cs="Times New Roman"/>
                <w:b/>
                <w:color w:val="auto"/>
                <w:sz w:val="21"/>
                <w:szCs w:val="21"/>
                <w:highlight w:val="none"/>
              </w:rPr>
              <w:t>评</w:t>
            </w:r>
            <w:r>
              <w:rPr>
                <w:rFonts w:hint="default" w:ascii="Times New Roman" w:hAnsi="Times New Roman" w:eastAsia="宋体" w:cs="Times New Roman"/>
                <w:b/>
                <w:color w:val="auto"/>
                <w:sz w:val="21"/>
                <w:szCs w:val="21"/>
                <w:highlight w:val="none"/>
                <w:lang w:val="en-US" w:eastAsia="zh-CN"/>
              </w:rPr>
              <w:t>分项</w:t>
            </w:r>
          </w:p>
        </w:tc>
        <w:tc>
          <w:tcPr>
            <w:tcW w:w="1710" w:type="dxa"/>
            <w:noWrap w:val="0"/>
            <w:vAlign w:val="bottom"/>
          </w:tcPr>
          <w:p w14:paraId="2DE37CE6">
            <w:pPr>
              <w:pStyle w:val="216"/>
              <w:keepNext/>
              <w:keepLines w:val="0"/>
              <w:pageBreakBefore w:val="0"/>
              <w:spacing w:line="360" w:lineRule="auto"/>
              <w:ind w:right="140"/>
              <w:jc w:val="center"/>
              <w:rPr>
                <w:rFonts w:hint="default" w:ascii="Times New Roman" w:hAnsi="Times New Roman" w:eastAsia="宋体" w:cs="Times New Roman"/>
                <w:b/>
                <w:color w:val="auto"/>
                <w:sz w:val="21"/>
                <w:szCs w:val="21"/>
                <w:highlight w:val="none"/>
              </w:rPr>
            </w:pPr>
            <w:r>
              <w:rPr>
                <w:rFonts w:hint="default" w:ascii="Times New Roman" w:hAnsi="Times New Roman" w:eastAsia="宋体" w:cs="Times New Roman"/>
                <w:b/>
                <w:color w:val="auto"/>
                <w:sz w:val="21"/>
                <w:szCs w:val="21"/>
                <w:highlight w:val="none"/>
              </w:rPr>
              <w:t>评审因素</w:t>
            </w:r>
          </w:p>
        </w:tc>
        <w:tc>
          <w:tcPr>
            <w:tcW w:w="6513" w:type="dxa"/>
            <w:noWrap w:val="0"/>
            <w:vAlign w:val="bottom"/>
          </w:tcPr>
          <w:p w14:paraId="03C1DA4A">
            <w:pPr>
              <w:pStyle w:val="216"/>
              <w:keepNext/>
              <w:keepLines w:val="0"/>
              <w:pageBreakBefore w:val="0"/>
              <w:spacing w:line="360" w:lineRule="auto"/>
              <w:ind w:right="1538"/>
              <w:jc w:val="center"/>
              <w:rPr>
                <w:rFonts w:hint="default" w:ascii="Times New Roman" w:hAnsi="Times New Roman" w:eastAsia="宋体" w:cs="Times New Roman"/>
                <w:b/>
                <w:color w:val="auto"/>
                <w:sz w:val="21"/>
                <w:szCs w:val="21"/>
                <w:highlight w:val="none"/>
              </w:rPr>
            </w:pPr>
            <w:r>
              <w:rPr>
                <w:rFonts w:hint="default" w:ascii="Times New Roman" w:hAnsi="Times New Roman" w:eastAsia="宋体" w:cs="Times New Roman"/>
                <w:b/>
                <w:color w:val="auto"/>
                <w:sz w:val="21"/>
                <w:szCs w:val="21"/>
                <w:highlight w:val="none"/>
              </w:rPr>
              <w:t>评分标准说明</w:t>
            </w:r>
          </w:p>
        </w:tc>
      </w:tr>
      <w:tr w14:paraId="68C86A1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710" w:hRule="atLeast"/>
          <w:jc w:val="center"/>
        </w:trPr>
        <w:tc>
          <w:tcPr>
            <w:tcW w:w="1563" w:type="dxa"/>
            <w:noWrap w:val="0"/>
            <w:vAlign w:val="center"/>
          </w:tcPr>
          <w:p w14:paraId="5BDAB80C">
            <w:pPr>
              <w:pStyle w:val="216"/>
              <w:keepNext/>
              <w:keepLines w:val="0"/>
              <w:pageBreakBefore w:val="0"/>
              <w:spacing w:line="380" w:lineRule="exact"/>
              <w:jc w:val="center"/>
              <w:rPr>
                <w:rFonts w:hint="default" w:ascii="Times New Roman" w:hAnsi="Times New Roman" w:eastAsia="宋体" w:cs="Times New Roman"/>
                <w:b/>
                <w:color w:val="auto"/>
                <w:sz w:val="21"/>
                <w:szCs w:val="21"/>
                <w:highlight w:val="none"/>
              </w:rPr>
            </w:pPr>
          </w:p>
          <w:p w14:paraId="37D8DE22">
            <w:pPr>
              <w:pStyle w:val="216"/>
              <w:keepNext/>
              <w:keepLines w:val="0"/>
              <w:pageBreakBefore w:val="0"/>
              <w:spacing w:line="380" w:lineRule="exact"/>
              <w:ind w:right="140"/>
              <w:jc w:val="center"/>
              <w:rPr>
                <w:rFonts w:hint="default" w:ascii="Times New Roman" w:hAnsi="Times New Roman" w:eastAsia="宋体" w:cs="Times New Roman"/>
                <w:b/>
                <w:color w:val="auto"/>
                <w:sz w:val="21"/>
                <w:szCs w:val="21"/>
                <w:highlight w:val="none"/>
              </w:rPr>
            </w:pPr>
            <w:r>
              <w:rPr>
                <w:rFonts w:hint="default" w:ascii="Times New Roman" w:hAnsi="Times New Roman" w:eastAsia="宋体" w:cs="Times New Roman"/>
                <w:b/>
                <w:color w:val="auto"/>
                <w:sz w:val="21"/>
                <w:szCs w:val="21"/>
                <w:highlight w:val="none"/>
              </w:rPr>
              <w:t>投标</w:t>
            </w:r>
          </w:p>
          <w:p w14:paraId="30AC8C2E">
            <w:pPr>
              <w:pStyle w:val="216"/>
              <w:keepNext/>
              <w:keepLines w:val="0"/>
              <w:pageBreakBefore w:val="0"/>
              <w:spacing w:line="380" w:lineRule="exact"/>
              <w:ind w:right="140"/>
              <w:jc w:val="center"/>
              <w:rPr>
                <w:rFonts w:hint="default" w:ascii="Times New Roman" w:hAnsi="Times New Roman" w:eastAsia="宋体" w:cs="Times New Roman"/>
                <w:b/>
                <w:color w:val="auto"/>
                <w:sz w:val="21"/>
                <w:szCs w:val="21"/>
                <w:highlight w:val="none"/>
              </w:rPr>
            </w:pPr>
            <w:r>
              <w:rPr>
                <w:rFonts w:hint="default" w:ascii="Times New Roman" w:hAnsi="Times New Roman" w:eastAsia="宋体" w:cs="Times New Roman"/>
                <w:b/>
                <w:color w:val="auto"/>
                <w:sz w:val="21"/>
                <w:szCs w:val="21"/>
                <w:highlight w:val="none"/>
              </w:rPr>
              <w:t>报价</w:t>
            </w:r>
          </w:p>
          <w:p w14:paraId="2D8EA808">
            <w:pPr>
              <w:pStyle w:val="216"/>
              <w:keepNext/>
              <w:keepLines w:val="0"/>
              <w:pageBreakBefore w:val="0"/>
              <w:spacing w:line="380" w:lineRule="exact"/>
              <w:ind w:right="-15"/>
              <w:jc w:val="center"/>
              <w:rPr>
                <w:rFonts w:hint="default" w:ascii="Times New Roman" w:hAnsi="Times New Roman" w:eastAsia="宋体" w:cs="Times New Roman"/>
                <w:b/>
                <w:color w:val="auto"/>
                <w:sz w:val="21"/>
                <w:szCs w:val="21"/>
                <w:highlight w:val="none"/>
              </w:rPr>
            </w:pPr>
            <w:r>
              <w:rPr>
                <w:rFonts w:hint="default" w:ascii="Times New Roman" w:hAnsi="Times New Roman" w:eastAsia="宋体" w:cs="Times New Roman"/>
                <w:b/>
                <w:color w:val="auto"/>
                <w:sz w:val="21"/>
                <w:szCs w:val="21"/>
                <w:highlight w:val="none"/>
              </w:rPr>
              <w:t>（</w:t>
            </w:r>
            <w:r>
              <w:rPr>
                <w:rFonts w:hint="default" w:ascii="Times New Roman" w:hAnsi="Times New Roman" w:cs="Times New Roman"/>
                <w:b/>
                <w:color w:val="auto"/>
                <w:sz w:val="21"/>
                <w:szCs w:val="21"/>
                <w:highlight w:val="none"/>
                <w:lang w:val="en-US" w:eastAsia="zh-CN"/>
              </w:rPr>
              <w:t>30</w:t>
            </w:r>
            <w:r>
              <w:rPr>
                <w:rFonts w:hint="default" w:ascii="Times New Roman" w:hAnsi="Times New Roman" w:eastAsia="宋体" w:cs="Times New Roman"/>
                <w:b/>
                <w:color w:val="auto"/>
                <w:spacing w:val="-27"/>
                <w:sz w:val="21"/>
                <w:szCs w:val="21"/>
                <w:highlight w:val="none"/>
              </w:rPr>
              <w:t>分</w:t>
            </w:r>
            <w:r>
              <w:rPr>
                <w:rFonts w:hint="default" w:ascii="Times New Roman" w:hAnsi="Times New Roman" w:eastAsia="宋体" w:cs="Times New Roman"/>
                <w:b/>
                <w:color w:val="auto"/>
                <w:sz w:val="21"/>
                <w:szCs w:val="21"/>
                <w:highlight w:val="none"/>
              </w:rPr>
              <w:t>）</w:t>
            </w:r>
          </w:p>
        </w:tc>
        <w:tc>
          <w:tcPr>
            <w:tcW w:w="1710" w:type="dxa"/>
            <w:noWrap w:val="0"/>
            <w:vAlign w:val="center"/>
          </w:tcPr>
          <w:p w14:paraId="05143CA6">
            <w:pPr>
              <w:pStyle w:val="216"/>
              <w:keepNext/>
              <w:keepLines w:val="0"/>
              <w:pageBreakBefore w:val="0"/>
              <w:spacing w:line="380" w:lineRule="exact"/>
              <w:jc w:val="center"/>
              <w:rPr>
                <w:rFonts w:hint="default" w:ascii="Times New Roman" w:hAnsi="Times New Roman" w:eastAsia="宋体" w:cs="Times New Roman"/>
                <w:b/>
                <w:color w:val="auto"/>
                <w:sz w:val="21"/>
                <w:szCs w:val="21"/>
                <w:highlight w:val="none"/>
              </w:rPr>
            </w:pPr>
          </w:p>
          <w:p w14:paraId="211CF1BC">
            <w:pPr>
              <w:pStyle w:val="216"/>
              <w:keepNext/>
              <w:keepLines w:val="0"/>
              <w:pageBreakBefore w:val="0"/>
              <w:spacing w:line="380" w:lineRule="exact"/>
              <w:ind w:right="140"/>
              <w:jc w:val="center"/>
              <w:rPr>
                <w:rFonts w:hint="default" w:ascii="Times New Roman" w:hAnsi="Times New Roman" w:eastAsia="宋体" w:cs="Times New Roman"/>
                <w:b/>
                <w:bCs w:val="0"/>
                <w:color w:val="auto"/>
                <w:sz w:val="21"/>
                <w:szCs w:val="21"/>
                <w:highlight w:val="none"/>
              </w:rPr>
            </w:pPr>
            <w:r>
              <w:rPr>
                <w:rFonts w:hint="default" w:ascii="Times New Roman" w:hAnsi="Times New Roman" w:eastAsia="宋体" w:cs="Times New Roman"/>
                <w:b/>
                <w:bCs w:val="0"/>
                <w:color w:val="auto"/>
                <w:sz w:val="21"/>
                <w:szCs w:val="21"/>
                <w:highlight w:val="none"/>
              </w:rPr>
              <w:t>报价</w:t>
            </w:r>
          </w:p>
          <w:p w14:paraId="6FC42DFE">
            <w:pPr>
              <w:pStyle w:val="216"/>
              <w:keepNext/>
              <w:keepLines w:val="0"/>
              <w:pageBreakBefore w:val="0"/>
              <w:spacing w:line="380" w:lineRule="exact"/>
              <w:ind w:right="140"/>
              <w:jc w:val="center"/>
              <w:rPr>
                <w:rFonts w:hint="default" w:ascii="Times New Roman" w:hAnsi="Times New Roman" w:eastAsia="宋体" w:cs="Times New Roman"/>
                <w:color w:val="auto"/>
                <w:sz w:val="21"/>
                <w:szCs w:val="21"/>
                <w:highlight w:val="none"/>
                <w:lang w:eastAsia="zh-CN"/>
              </w:rPr>
            </w:pPr>
            <w:r>
              <w:rPr>
                <w:rFonts w:hint="default" w:ascii="Times New Roman" w:hAnsi="Times New Roman" w:eastAsia="宋体" w:cs="Times New Roman"/>
                <w:b/>
                <w:bCs w:val="0"/>
                <w:color w:val="auto"/>
                <w:sz w:val="21"/>
                <w:szCs w:val="21"/>
                <w:highlight w:val="none"/>
                <w:lang w:eastAsia="zh-CN"/>
              </w:rPr>
              <w:t>（</w:t>
            </w:r>
            <w:r>
              <w:rPr>
                <w:rFonts w:hint="default" w:ascii="Times New Roman" w:hAnsi="Times New Roman" w:cs="Times New Roman"/>
                <w:b/>
                <w:bCs w:val="0"/>
                <w:color w:val="auto"/>
                <w:sz w:val="21"/>
                <w:szCs w:val="21"/>
                <w:highlight w:val="none"/>
                <w:lang w:val="en-US" w:eastAsia="zh-CN"/>
              </w:rPr>
              <w:t>30</w:t>
            </w:r>
            <w:r>
              <w:rPr>
                <w:rFonts w:hint="default" w:ascii="Times New Roman" w:hAnsi="Times New Roman" w:eastAsia="宋体" w:cs="Times New Roman"/>
                <w:b/>
                <w:bCs w:val="0"/>
                <w:color w:val="auto"/>
                <w:sz w:val="21"/>
                <w:szCs w:val="21"/>
                <w:highlight w:val="none"/>
              </w:rPr>
              <w:t>分</w:t>
            </w:r>
            <w:r>
              <w:rPr>
                <w:rFonts w:hint="default" w:ascii="Times New Roman" w:hAnsi="Times New Roman" w:eastAsia="宋体" w:cs="Times New Roman"/>
                <w:b/>
                <w:bCs w:val="0"/>
                <w:color w:val="auto"/>
                <w:sz w:val="21"/>
                <w:szCs w:val="21"/>
                <w:highlight w:val="none"/>
                <w:lang w:eastAsia="zh-CN"/>
              </w:rPr>
              <w:t>）</w:t>
            </w:r>
          </w:p>
        </w:tc>
        <w:tc>
          <w:tcPr>
            <w:tcW w:w="6513" w:type="dxa"/>
            <w:noWrap w:val="0"/>
            <w:vAlign w:val="center"/>
          </w:tcPr>
          <w:p w14:paraId="0C8BCACA">
            <w:pPr>
              <w:keepNext/>
              <w:keepLines w:val="0"/>
              <w:pageBreakBefore w:val="0"/>
              <w:widowControl/>
              <w:spacing w:line="380" w:lineRule="exact"/>
              <w:ind w:firstLine="480"/>
              <w:rPr>
                <w:rFonts w:hint="default" w:ascii="Times New Roman" w:hAnsi="Times New Roman" w:eastAsia="宋体" w:cs="Times New Roman"/>
                <w:color w:val="auto"/>
                <w:spacing w:val="6"/>
                <w:sz w:val="21"/>
                <w:szCs w:val="21"/>
                <w:highlight w:val="none"/>
              </w:rPr>
            </w:pPr>
            <w:r>
              <w:rPr>
                <w:rFonts w:hint="default" w:ascii="Times New Roman" w:hAnsi="Times New Roman" w:eastAsia="宋体" w:cs="Times New Roman"/>
                <w:color w:val="auto"/>
                <w:spacing w:val="6"/>
                <w:sz w:val="21"/>
                <w:szCs w:val="21"/>
                <w:highlight w:val="none"/>
              </w:rPr>
              <w:t>采用低价优先法计算，即满足</w:t>
            </w:r>
            <w:r>
              <w:rPr>
                <w:rFonts w:hint="default" w:ascii="Times New Roman" w:hAnsi="Times New Roman" w:eastAsia="宋体" w:cs="Times New Roman"/>
                <w:color w:val="auto"/>
                <w:spacing w:val="6"/>
                <w:sz w:val="21"/>
                <w:szCs w:val="21"/>
                <w:highlight w:val="none"/>
                <w:lang w:eastAsia="zh-CN"/>
              </w:rPr>
              <w:t>磋商文件</w:t>
            </w:r>
            <w:r>
              <w:rPr>
                <w:rFonts w:hint="default" w:ascii="Times New Roman" w:hAnsi="Times New Roman" w:eastAsia="宋体" w:cs="Times New Roman"/>
                <w:color w:val="auto"/>
                <w:spacing w:val="6"/>
                <w:sz w:val="21"/>
                <w:szCs w:val="21"/>
                <w:highlight w:val="none"/>
              </w:rPr>
              <w:t>要求且投标价格最低的投标报价为评标基准价，其价格分为满分。其他</w:t>
            </w:r>
            <w:r>
              <w:rPr>
                <w:rFonts w:hint="default" w:ascii="Times New Roman" w:hAnsi="Times New Roman" w:eastAsia="宋体" w:cs="Times New Roman"/>
                <w:color w:val="auto"/>
                <w:spacing w:val="6"/>
                <w:sz w:val="21"/>
                <w:szCs w:val="21"/>
                <w:highlight w:val="none"/>
                <w:lang w:eastAsia="zh-CN"/>
              </w:rPr>
              <w:t>磋商供应商</w:t>
            </w:r>
            <w:r>
              <w:rPr>
                <w:rFonts w:hint="default" w:ascii="Times New Roman" w:hAnsi="Times New Roman" w:eastAsia="宋体" w:cs="Times New Roman"/>
                <w:color w:val="auto"/>
                <w:spacing w:val="6"/>
                <w:sz w:val="21"/>
                <w:szCs w:val="21"/>
                <w:highlight w:val="none"/>
              </w:rPr>
              <w:t>的价格分统一按照下列公式计算：</w:t>
            </w:r>
          </w:p>
          <w:p w14:paraId="33DB9A2D">
            <w:pPr>
              <w:keepNext/>
              <w:keepLines w:val="0"/>
              <w:pageBreakBefore w:val="0"/>
              <w:widowControl/>
              <w:spacing w:line="380" w:lineRule="exact"/>
              <w:ind w:firstLine="480"/>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pacing w:val="6"/>
                <w:sz w:val="21"/>
                <w:szCs w:val="21"/>
                <w:highlight w:val="none"/>
              </w:rPr>
              <w:t>投标报价得分=（评标基准价/投标报价）×</w:t>
            </w:r>
            <w:r>
              <w:rPr>
                <w:rFonts w:hint="default" w:ascii="Times New Roman" w:hAnsi="Times New Roman" w:cs="Times New Roman"/>
                <w:color w:val="auto"/>
                <w:spacing w:val="6"/>
                <w:sz w:val="21"/>
                <w:szCs w:val="21"/>
                <w:highlight w:val="none"/>
                <w:lang w:val="en-US" w:eastAsia="zh-CN"/>
              </w:rPr>
              <w:t>30</w:t>
            </w:r>
            <w:r>
              <w:rPr>
                <w:rFonts w:hint="default" w:ascii="Times New Roman" w:hAnsi="Times New Roman" w:eastAsia="宋体" w:cs="Times New Roman"/>
                <w:color w:val="auto"/>
                <w:spacing w:val="6"/>
                <w:sz w:val="21"/>
                <w:szCs w:val="21"/>
                <w:highlight w:val="none"/>
              </w:rPr>
              <w:t>分</w:t>
            </w:r>
          </w:p>
        </w:tc>
      </w:tr>
      <w:tr w14:paraId="184008D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0" w:hRule="atLeast"/>
          <w:jc w:val="center"/>
        </w:trPr>
        <w:tc>
          <w:tcPr>
            <w:tcW w:w="1563" w:type="dxa"/>
            <w:vMerge w:val="restart"/>
            <w:noWrap w:val="0"/>
            <w:vAlign w:val="center"/>
          </w:tcPr>
          <w:p w14:paraId="01C1B921">
            <w:pPr>
              <w:pStyle w:val="216"/>
              <w:keepNext/>
              <w:keepLines w:val="0"/>
              <w:pageBreakBefore w:val="0"/>
              <w:spacing w:line="380" w:lineRule="exact"/>
              <w:jc w:val="center"/>
              <w:rPr>
                <w:rFonts w:hint="default" w:ascii="Times New Roman" w:hAnsi="Times New Roman" w:eastAsia="宋体" w:cs="Times New Roman"/>
                <w:b/>
                <w:color w:val="auto"/>
                <w:sz w:val="21"/>
                <w:szCs w:val="21"/>
                <w:highlight w:val="none"/>
              </w:rPr>
            </w:pPr>
            <w:r>
              <w:rPr>
                <w:rFonts w:hint="default" w:ascii="Times New Roman" w:hAnsi="Times New Roman" w:eastAsia="宋体" w:cs="Times New Roman"/>
                <w:b/>
                <w:color w:val="auto"/>
                <w:sz w:val="21"/>
                <w:szCs w:val="21"/>
                <w:highlight w:val="none"/>
              </w:rPr>
              <w:t>商务</w:t>
            </w:r>
          </w:p>
          <w:p w14:paraId="7332284C">
            <w:pPr>
              <w:pStyle w:val="216"/>
              <w:keepNext/>
              <w:keepLines w:val="0"/>
              <w:pageBreakBefore w:val="0"/>
              <w:spacing w:line="380" w:lineRule="exact"/>
              <w:jc w:val="center"/>
              <w:rPr>
                <w:rFonts w:hint="default" w:ascii="Times New Roman" w:hAnsi="Times New Roman" w:eastAsia="宋体" w:cs="Times New Roman"/>
                <w:b/>
                <w:color w:val="auto"/>
                <w:sz w:val="21"/>
                <w:szCs w:val="21"/>
                <w:highlight w:val="none"/>
              </w:rPr>
            </w:pPr>
            <w:r>
              <w:rPr>
                <w:rFonts w:hint="default" w:ascii="Times New Roman" w:hAnsi="Times New Roman" w:eastAsia="宋体" w:cs="Times New Roman"/>
                <w:b/>
                <w:color w:val="auto"/>
                <w:sz w:val="21"/>
                <w:szCs w:val="21"/>
                <w:highlight w:val="none"/>
              </w:rPr>
              <w:t>部分</w:t>
            </w:r>
          </w:p>
          <w:p w14:paraId="1E109868">
            <w:pPr>
              <w:pStyle w:val="216"/>
              <w:keepNext/>
              <w:keepLines w:val="0"/>
              <w:pageBreakBefore w:val="0"/>
              <w:spacing w:line="380" w:lineRule="exact"/>
              <w:ind w:right="-15"/>
              <w:jc w:val="center"/>
              <w:rPr>
                <w:rFonts w:hint="default" w:ascii="Times New Roman" w:hAnsi="Times New Roman" w:eastAsia="宋体" w:cs="Times New Roman"/>
                <w:b/>
                <w:color w:val="auto"/>
                <w:sz w:val="21"/>
                <w:szCs w:val="21"/>
                <w:highlight w:val="none"/>
              </w:rPr>
            </w:pPr>
            <w:r>
              <w:rPr>
                <w:rFonts w:hint="default" w:ascii="Times New Roman" w:hAnsi="Times New Roman" w:eastAsia="宋体" w:cs="Times New Roman"/>
                <w:b/>
                <w:color w:val="auto"/>
                <w:sz w:val="21"/>
                <w:szCs w:val="21"/>
                <w:highlight w:val="none"/>
              </w:rPr>
              <w:t>（</w:t>
            </w:r>
            <w:r>
              <w:rPr>
                <w:rFonts w:hint="default" w:ascii="Times New Roman" w:hAnsi="Times New Roman" w:cs="Times New Roman"/>
                <w:b/>
                <w:color w:val="auto"/>
                <w:sz w:val="21"/>
                <w:szCs w:val="21"/>
                <w:highlight w:val="none"/>
                <w:lang w:val="en-US" w:eastAsia="zh-CN"/>
              </w:rPr>
              <w:t>30</w:t>
            </w:r>
            <w:r>
              <w:rPr>
                <w:rFonts w:hint="default" w:ascii="Times New Roman" w:hAnsi="Times New Roman" w:eastAsia="宋体" w:cs="Times New Roman"/>
                <w:b/>
                <w:color w:val="auto"/>
                <w:sz w:val="21"/>
                <w:szCs w:val="21"/>
                <w:highlight w:val="none"/>
              </w:rPr>
              <w:t>分）</w:t>
            </w:r>
          </w:p>
        </w:tc>
        <w:tc>
          <w:tcPr>
            <w:tcW w:w="1710" w:type="dxa"/>
            <w:noWrap w:val="0"/>
            <w:vAlign w:val="center"/>
          </w:tcPr>
          <w:p w14:paraId="79E02775">
            <w:pPr>
              <w:pStyle w:val="216"/>
              <w:keepNext/>
              <w:keepLines w:val="0"/>
              <w:pageBreakBefore w:val="0"/>
              <w:spacing w:before="134" w:line="380" w:lineRule="exact"/>
              <w:ind w:left="135" w:right="117"/>
              <w:jc w:val="center"/>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企业资质实力</w:t>
            </w:r>
          </w:p>
          <w:p w14:paraId="0CDEC222">
            <w:pPr>
              <w:pStyle w:val="216"/>
              <w:keepNext/>
              <w:keepLines w:val="0"/>
              <w:pageBreakBefore w:val="0"/>
              <w:spacing w:line="380" w:lineRule="exact"/>
              <w:ind w:right="140"/>
              <w:jc w:val="center"/>
              <w:rPr>
                <w:rFonts w:hint="default" w:ascii="Times New Roman" w:hAnsi="Times New Roman" w:eastAsia="宋体" w:cs="Times New Roman"/>
                <w:b/>
                <w:bCs w:val="0"/>
                <w:color w:val="auto"/>
                <w:sz w:val="21"/>
                <w:szCs w:val="21"/>
                <w:highlight w:val="none"/>
                <w:lang w:eastAsia="zh-CN"/>
              </w:rPr>
            </w:pPr>
            <w:r>
              <w:rPr>
                <w:rFonts w:hint="default" w:ascii="Times New Roman" w:hAnsi="Times New Roman" w:eastAsia="宋体" w:cs="Times New Roman"/>
                <w:color w:val="auto"/>
                <w:sz w:val="21"/>
                <w:szCs w:val="21"/>
                <w:highlight w:val="none"/>
                <w:lang w:eastAsia="zh-CN"/>
              </w:rPr>
              <w:t>（</w:t>
            </w:r>
            <w:r>
              <w:rPr>
                <w:rFonts w:hint="default" w:ascii="Times New Roman" w:hAnsi="Times New Roman" w:cs="Times New Roman"/>
                <w:color w:val="auto"/>
                <w:sz w:val="21"/>
                <w:szCs w:val="21"/>
                <w:highlight w:val="none"/>
                <w:lang w:val="en-US" w:eastAsia="zh-CN"/>
              </w:rPr>
              <w:t>6</w:t>
            </w:r>
            <w:r>
              <w:rPr>
                <w:rFonts w:hint="default" w:ascii="Times New Roman" w:hAnsi="Times New Roman" w:eastAsia="宋体" w:cs="Times New Roman"/>
                <w:color w:val="auto"/>
                <w:sz w:val="21"/>
                <w:szCs w:val="21"/>
                <w:highlight w:val="none"/>
              </w:rPr>
              <w:t>分</w:t>
            </w:r>
            <w:r>
              <w:rPr>
                <w:rFonts w:hint="default" w:ascii="Times New Roman" w:hAnsi="Times New Roman" w:eastAsia="宋体" w:cs="Times New Roman"/>
                <w:color w:val="auto"/>
                <w:sz w:val="21"/>
                <w:szCs w:val="21"/>
                <w:highlight w:val="none"/>
                <w:lang w:eastAsia="zh-CN"/>
              </w:rPr>
              <w:t>）</w:t>
            </w:r>
          </w:p>
        </w:tc>
        <w:tc>
          <w:tcPr>
            <w:tcW w:w="6513" w:type="dxa"/>
            <w:noWrap w:val="0"/>
            <w:vAlign w:val="center"/>
          </w:tcPr>
          <w:p w14:paraId="7A92B53B">
            <w:pPr>
              <w:pStyle w:val="216"/>
              <w:keepNext/>
              <w:keepLines w:val="0"/>
              <w:pageBreakBefore w:val="0"/>
              <w:spacing w:line="380" w:lineRule="exact"/>
              <w:ind w:right="87" w:firstLine="420"/>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lang w:eastAsia="zh-CN"/>
              </w:rPr>
              <w:t>供应商</w:t>
            </w:r>
            <w:r>
              <w:rPr>
                <w:rFonts w:hint="default" w:ascii="Times New Roman" w:hAnsi="Times New Roman" w:eastAsia="宋体" w:cs="Times New Roman"/>
                <w:color w:val="auto"/>
                <w:sz w:val="21"/>
                <w:szCs w:val="21"/>
                <w:highlight w:val="none"/>
              </w:rPr>
              <w:t>具备下列资质：</w:t>
            </w:r>
          </w:p>
          <w:p w14:paraId="3246D42D">
            <w:pPr>
              <w:pStyle w:val="216"/>
              <w:keepNext/>
              <w:keepLines w:val="0"/>
              <w:pageBreakBefore w:val="0"/>
              <w:numPr>
                <w:ilvl w:val="0"/>
                <w:numId w:val="0"/>
              </w:numPr>
              <w:spacing w:line="380" w:lineRule="exact"/>
              <w:ind w:left="0" w:right="87" w:firstLine="420"/>
              <w:rPr>
                <w:rFonts w:hint="default" w:ascii="Times New Roman" w:hAnsi="Times New Roman" w:eastAsia="宋体" w:cs="Times New Roman"/>
                <w:b w:val="0"/>
                <w:bCs w:val="0"/>
                <w:color w:val="auto"/>
                <w:sz w:val="21"/>
                <w:szCs w:val="21"/>
                <w:highlight w:val="none"/>
                <w:lang w:val="en-US" w:eastAsia="zh-CN" w:bidi="ar-SA"/>
              </w:rPr>
            </w:pPr>
            <w:r>
              <w:rPr>
                <w:rFonts w:hint="default" w:ascii="Times New Roman" w:hAnsi="Times New Roman" w:eastAsia="宋体" w:cs="Times New Roman"/>
                <w:color w:val="auto"/>
                <w:sz w:val="21"/>
                <w:szCs w:val="21"/>
                <w:highlight w:val="none"/>
              </w:rPr>
              <w:t>提供由认证资格单位认证且在有效期内的</w:t>
            </w:r>
            <w:r>
              <w:rPr>
                <w:rFonts w:hint="default" w:ascii="Times New Roman" w:hAnsi="Times New Roman" w:eastAsia="宋体" w:cs="Times New Roman"/>
                <w:color w:val="auto"/>
                <w:spacing w:val="20"/>
                <w:sz w:val="21"/>
                <w:szCs w:val="21"/>
                <w:highlight w:val="none"/>
              </w:rPr>
              <w:t>IS</w:t>
            </w:r>
            <w:r>
              <w:rPr>
                <w:rFonts w:hint="default" w:ascii="Times New Roman" w:hAnsi="Times New Roman" w:eastAsia="宋体" w:cs="Times New Roman"/>
                <w:color w:val="auto"/>
                <w:spacing w:val="20"/>
                <w:sz w:val="21"/>
                <w:szCs w:val="21"/>
                <w:highlight w:val="none"/>
                <w:lang w:val="en-US" w:eastAsia="zh-CN"/>
              </w:rPr>
              <w:t>O</w:t>
            </w:r>
            <w:r>
              <w:rPr>
                <w:rFonts w:hint="default" w:ascii="Times New Roman" w:hAnsi="Times New Roman" w:eastAsia="宋体" w:cs="Times New Roman"/>
                <w:color w:val="auto"/>
                <w:spacing w:val="20"/>
                <w:sz w:val="21"/>
                <w:szCs w:val="21"/>
                <w:highlight w:val="none"/>
              </w:rPr>
              <w:t>9001</w:t>
            </w:r>
            <w:r>
              <w:rPr>
                <w:rFonts w:hint="default" w:ascii="Times New Roman" w:hAnsi="Times New Roman" w:eastAsia="宋体" w:cs="Times New Roman"/>
                <w:color w:val="auto"/>
                <w:sz w:val="21"/>
                <w:szCs w:val="21"/>
                <w:highlight w:val="none"/>
              </w:rPr>
              <w:t>质量管理体系、、</w:t>
            </w:r>
            <w:r>
              <w:rPr>
                <w:rFonts w:hint="default" w:ascii="Times New Roman" w:hAnsi="Times New Roman" w:eastAsia="宋体" w:cs="Times New Roman"/>
                <w:color w:val="auto"/>
                <w:spacing w:val="20"/>
                <w:sz w:val="21"/>
                <w:szCs w:val="21"/>
                <w:highlight w:val="none"/>
              </w:rPr>
              <w:t>ISO14001</w:t>
            </w:r>
            <w:r>
              <w:rPr>
                <w:rFonts w:hint="default" w:ascii="Times New Roman" w:hAnsi="Times New Roman" w:eastAsia="宋体" w:cs="Times New Roman"/>
                <w:color w:val="auto"/>
                <w:sz w:val="21"/>
                <w:szCs w:val="21"/>
                <w:highlight w:val="none"/>
              </w:rPr>
              <w:t>环境管理体系、</w:t>
            </w:r>
            <w:r>
              <w:rPr>
                <w:rFonts w:hint="default" w:ascii="Times New Roman" w:hAnsi="Times New Roman" w:eastAsia="宋体" w:cs="Times New Roman"/>
                <w:color w:val="auto"/>
                <w:spacing w:val="20"/>
                <w:sz w:val="21"/>
                <w:szCs w:val="21"/>
                <w:highlight w:val="none"/>
              </w:rPr>
              <w:t>ISO45001</w:t>
            </w:r>
            <w:r>
              <w:rPr>
                <w:rFonts w:hint="default" w:ascii="Times New Roman" w:hAnsi="Times New Roman" w:eastAsia="宋体" w:cs="Times New Roman"/>
                <w:color w:val="auto"/>
                <w:sz w:val="21"/>
                <w:szCs w:val="21"/>
                <w:highlight w:val="none"/>
              </w:rPr>
              <w:t>职业健康安全管理体系认证证书，每有一个得</w:t>
            </w:r>
            <w:r>
              <w:rPr>
                <w:rFonts w:hint="eastAsia" w:cs="Times New Roman"/>
                <w:color w:val="auto"/>
                <w:sz w:val="21"/>
                <w:szCs w:val="21"/>
                <w:highlight w:val="none"/>
                <w:lang w:val="en-US" w:eastAsia="zh-CN"/>
              </w:rPr>
              <w:t>2</w:t>
            </w:r>
            <w:r>
              <w:rPr>
                <w:rFonts w:hint="default" w:ascii="Times New Roman" w:hAnsi="Times New Roman" w:eastAsia="宋体" w:cs="Times New Roman"/>
                <w:color w:val="auto"/>
                <w:sz w:val="21"/>
                <w:szCs w:val="21"/>
                <w:highlight w:val="none"/>
              </w:rPr>
              <w:t>分</w:t>
            </w:r>
            <w:r>
              <w:rPr>
                <w:rFonts w:hint="default" w:ascii="Times New Roman" w:hAnsi="Times New Roman" w:cs="Times New Roman"/>
                <w:color w:val="auto"/>
                <w:sz w:val="21"/>
                <w:szCs w:val="21"/>
                <w:highlight w:val="none"/>
                <w:lang w:eastAsia="zh-CN"/>
              </w:rPr>
              <w:t>；</w:t>
            </w:r>
          </w:p>
          <w:p w14:paraId="03D04872">
            <w:pPr>
              <w:pStyle w:val="216"/>
              <w:keepNext/>
              <w:keepLines w:val="0"/>
              <w:pageBreakBefore w:val="0"/>
              <w:spacing w:line="380" w:lineRule="exact"/>
              <w:ind w:right="87" w:firstLine="420"/>
              <w:rPr>
                <w:rFonts w:hint="default" w:ascii="Times New Roman" w:hAnsi="Times New Roman" w:eastAsia="宋体" w:cs="Times New Roman"/>
                <w:b/>
                <w:bCs/>
                <w:color w:val="auto"/>
                <w:sz w:val="21"/>
                <w:szCs w:val="21"/>
                <w:highlight w:val="none"/>
                <w:lang w:val="en-US" w:eastAsia="zh-CN"/>
              </w:rPr>
            </w:pPr>
            <w:r>
              <w:rPr>
                <w:rFonts w:hint="default" w:ascii="Times New Roman" w:hAnsi="Times New Roman" w:eastAsia="宋体" w:cs="Times New Roman"/>
                <w:color w:val="auto"/>
                <w:sz w:val="21"/>
                <w:szCs w:val="21"/>
                <w:highlight w:val="none"/>
              </w:rPr>
              <w:t>本项最高得</w:t>
            </w:r>
            <w:r>
              <w:rPr>
                <w:rFonts w:hint="default" w:ascii="Times New Roman" w:hAnsi="Times New Roman" w:cs="Times New Roman"/>
                <w:color w:val="auto"/>
                <w:sz w:val="21"/>
                <w:szCs w:val="21"/>
                <w:highlight w:val="none"/>
                <w:lang w:val="en-US" w:eastAsia="zh-CN"/>
              </w:rPr>
              <w:t>6</w:t>
            </w:r>
            <w:r>
              <w:rPr>
                <w:rFonts w:hint="default" w:ascii="Times New Roman" w:hAnsi="Times New Roman" w:eastAsia="宋体" w:cs="Times New Roman"/>
                <w:color w:val="auto"/>
                <w:sz w:val="21"/>
                <w:szCs w:val="21"/>
                <w:highlight w:val="none"/>
              </w:rPr>
              <w:t>分。</w:t>
            </w:r>
          </w:p>
          <w:p w14:paraId="1945E8B0">
            <w:pPr>
              <w:keepNext/>
              <w:keepLines w:val="0"/>
              <w:pageBreakBefore w:val="0"/>
              <w:widowControl/>
              <w:spacing w:line="380" w:lineRule="exact"/>
              <w:ind w:firstLine="480"/>
              <w:rPr>
                <w:rFonts w:hint="default" w:ascii="Times New Roman" w:hAnsi="Times New Roman" w:eastAsia="宋体" w:cs="Times New Roman"/>
                <w:color w:val="auto"/>
                <w:spacing w:val="6"/>
                <w:sz w:val="21"/>
                <w:szCs w:val="21"/>
                <w:highlight w:val="none"/>
              </w:rPr>
            </w:pPr>
            <w:r>
              <w:rPr>
                <w:rFonts w:hint="default" w:ascii="Times New Roman" w:hAnsi="Times New Roman" w:eastAsia="宋体" w:cs="Times New Roman"/>
                <w:b/>
                <w:bCs/>
                <w:color w:val="auto"/>
                <w:sz w:val="21"/>
                <w:szCs w:val="21"/>
                <w:highlight w:val="none"/>
                <w:lang w:val="en-US" w:eastAsia="zh-CN"/>
              </w:rPr>
              <w:t>备注：</w:t>
            </w:r>
            <w:r>
              <w:rPr>
                <w:rFonts w:hint="default" w:ascii="Times New Roman" w:hAnsi="Times New Roman" w:eastAsia="宋体" w:cs="Times New Roman"/>
                <w:b/>
                <w:bCs/>
                <w:color w:val="auto"/>
                <w:sz w:val="21"/>
                <w:szCs w:val="21"/>
                <w:highlight w:val="none"/>
              </w:rPr>
              <w:t>提供证书复印件并加盖</w:t>
            </w:r>
            <w:r>
              <w:rPr>
                <w:rFonts w:hint="default" w:ascii="Times New Roman" w:hAnsi="Times New Roman" w:eastAsia="宋体" w:cs="Times New Roman"/>
                <w:b/>
                <w:bCs/>
                <w:color w:val="auto"/>
                <w:sz w:val="21"/>
                <w:szCs w:val="21"/>
                <w:highlight w:val="none"/>
                <w:lang w:val="en-US" w:eastAsia="zh-CN"/>
              </w:rPr>
              <w:t>响应</w:t>
            </w:r>
            <w:r>
              <w:rPr>
                <w:rFonts w:hint="default" w:ascii="Times New Roman" w:hAnsi="Times New Roman" w:eastAsia="宋体" w:cs="Times New Roman"/>
                <w:b/>
                <w:bCs/>
                <w:color w:val="auto"/>
                <w:sz w:val="21"/>
                <w:szCs w:val="21"/>
                <w:highlight w:val="none"/>
              </w:rPr>
              <w:t>单位公章，否则不得分</w:t>
            </w:r>
            <w:r>
              <w:rPr>
                <w:rFonts w:hint="default" w:ascii="Times New Roman" w:hAnsi="Times New Roman" w:eastAsia="宋体" w:cs="Times New Roman"/>
                <w:b/>
                <w:bCs/>
                <w:color w:val="auto"/>
                <w:sz w:val="21"/>
                <w:szCs w:val="21"/>
                <w:highlight w:val="none"/>
                <w:lang w:eastAsia="zh-CN"/>
              </w:rPr>
              <w:t>。</w:t>
            </w:r>
          </w:p>
        </w:tc>
      </w:tr>
      <w:tr w14:paraId="07992B3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0" w:hRule="atLeast"/>
          <w:jc w:val="center"/>
        </w:trPr>
        <w:tc>
          <w:tcPr>
            <w:tcW w:w="1563" w:type="dxa"/>
            <w:vMerge w:val="continue"/>
            <w:noWrap w:val="0"/>
            <w:vAlign w:val="center"/>
          </w:tcPr>
          <w:p w14:paraId="1D46E6A7">
            <w:pPr>
              <w:pStyle w:val="216"/>
              <w:keepNext/>
              <w:keepLines w:val="0"/>
              <w:pageBreakBefore w:val="0"/>
              <w:spacing w:line="380" w:lineRule="exact"/>
              <w:ind w:right="-15"/>
              <w:jc w:val="center"/>
              <w:rPr>
                <w:rFonts w:hint="default" w:ascii="Times New Roman" w:hAnsi="Times New Roman" w:eastAsia="宋体" w:cs="Times New Roman"/>
                <w:b/>
                <w:color w:val="auto"/>
                <w:sz w:val="21"/>
                <w:szCs w:val="21"/>
                <w:highlight w:val="none"/>
              </w:rPr>
            </w:pPr>
          </w:p>
        </w:tc>
        <w:tc>
          <w:tcPr>
            <w:tcW w:w="1710" w:type="dxa"/>
            <w:noWrap w:val="0"/>
            <w:vAlign w:val="center"/>
          </w:tcPr>
          <w:p w14:paraId="7FCED846">
            <w:pPr>
              <w:pStyle w:val="216"/>
              <w:keepNext/>
              <w:keepLines w:val="0"/>
              <w:pageBreakBefore w:val="0"/>
              <w:spacing w:before="134" w:line="380" w:lineRule="exact"/>
              <w:ind w:left="135" w:right="117"/>
              <w:jc w:val="center"/>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企业相关</w:t>
            </w:r>
          </w:p>
          <w:p w14:paraId="684F5F4B">
            <w:pPr>
              <w:pStyle w:val="216"/>
              <w:keepNext/>
              <w:keepLines w:val="0"/>
              <w:pageBreakBefore w:val="0"/>
              <w:spacing w:before="134" w:line="380" w:lineRule="exact"/>
              <w:ind w:left="135" w:right="117"/>
              <w:jc w:val="center"/>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服务业绩</w:t>
            </w:r>
          </w:p>
          <w:p w14:paraId="26A9DEE7">
            <w:pPr>
              <w:pStyle w:val="216"/>
              <w:keepNext/>
              <w:keepLines w:val="0"/>
              <w:pageBreakBefore w:val="0"/>
              <w:spacing w:line="380" w:lineRule="exact"/>
              <w:ind w:right="140"/>
              <w:jc w:val="center"/>
              <w:rPr>
                <w:rFonts w:hint="default" w:ascii="Times New Roman" w:hAnsi="Times New Roman" w:eastAsia="宋体" w:cs="Times New Roman"/>
                <w:color w:val="auto"/>
                <w:sz w:val="21"/>
                <w:szCs w:val="21"/>
                <w:highlight w:val="none"/>
                <w:lang w:eastAsia="zh-CN"/>
              </w:rPr>
            </w:pPr>
            <w:r>
              <w:rPr>
                <w:rFonts w:hint="default" w:ascii="Times New Roman" w:hAnsi="Times New Roman" w:eastAsia="宋体" w:cs="Times New Roman"/>
                <w:color w:val="auto"/>
                <w:sz w:val="21"/>
                <w:szCs w:val="21"/>
                <w:highlight w:val="none"/>
                <w:lang w:eastAsia="zh-CN"/>
              </w:rPr>
              <w:t>（</w:t>
            </w:r>
            <w:r>
              <w:rPr>
                <w:rFonts w:hint="default" w:ascii="Times New Roman" w:hAnsi="Times New Roman" w:eastAsia="宋体" w:cs="Times New Roman"/>
                <w:color w:val="auto"/>
                <w:sz w:val="21"/>
                <w:szCs w:val="21"/>
                <w:highlight w:val="none"/>
              </w:rPr>
              <w:t>1</w:t>
            </w:r>
            <w:r>
              <w:rPr>
                <w:rFonts w:hint="default" w:ascii="Times New Roman" w:hAnsi="Times New Roman" w:cs="Times New Roman"/>
                <w:color w:val="auto"/>
                <w:sz w:val="21"/>
                <w:szCs w:val="21"/>
                <w:highlight w:val="none"/>
                <w:lang w:val="en-US" w:eastAsia="zh-CN"/>
              </w:rPr>
              <w:t>2</w:t>
            </w:r>
            <w:r>
              <w:rPr>
                <w:rFonts w:hint="default" w:ascii="Times New Roman" w:hAnsi="Times New Roman" w:eastAsia="宋体" w:cs="Times New Roman"/>
                <w:color w:val="auto"/>
                <w:sz w:val="21"/>
                <w:szCs w:val="21"/>
                <w:highlight w:val="none"/>
              </w:rPr>
              <w:t>分</w:t>
            </w:r>
            <w:r>
              <w:rPr>
                <w:rFonts w:hint="default" w:ascii="Times New Roman" w:hAnsi="Times New Roman" w:eastAsia="宋体" w:cs="Times New Roman"/>
                <w:color w:val="auto"/>
                <w:sz w:val="21"/>
                <w:szCs w:val="21"/>
                <w:highlight w:val="none"/>
                <w:lang w:eastAsia="zh-CN"/>
              </w:rPr>
              <w:t>）</w:t>
            </w:r>
          </w:p>
        </w:tc>
        <w:tc>
          <w:tcPr>
            <w:tcW w:w="6513" w:type="dxa"/>
            <w:noWrap w:val="0"/>
            <w:vAlign w:val="center"/>
          </w:tcPr>
          <w:p w14:paraId="43EF8D77">
            <w:pPr>
              <w:pStyle w:val="216"/>
              <w:keepNext/>
              <w:keepLines w:val="0"/>
              <w:pageBreakBefore w:val="0"/>
              <w:numPr>
                <w:ilvl w:val="0"/>
                <w:numId w:val="0"/>
              </w:numPr>
              <w:spacing w:line="380" w:lineRule="exact"/>
              <w:ind w:firstLine="420"/>
              <w:rPr>
                <w:rFonts w:hint="default" w:ascii="Times New Roman" w:hAnsi="Times New Roman"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rPr>
              <w:t>自202</w:t>
            </w:r>
            <w:r>
              <w:rPr>
                <w:rFonts w:hint="default" w:ascii="Times New Roman" w:hAnsi="Times New Roman" w:cs="Times New Roman"/>
                <w:color w:val="auto"/>
                <w:sz w:val="21"/>
                <w:szCs w:val="21"/>
                <w:highlight w:val="none"/>
                <w:lang w:val="en-US" w:eastAsia="zh-CN"/>
              </w:rPr>
              <w:t>2</w:t>
            </w:r>
            <w:r>
              <w:rPr>
                <w:rFonts w:hint="default" w:ascii="Times New Roman" w:hAnsi="Times New Roman" w:eastAsia="宋体" w:cs="Times New Roman"/>
                <w:color w:val="auto"/>
                <w:sz w:val="21"/>
                <w:szCs w:val="21"/>
                <w:highlight w:val="none"/>
              </w:rPr>
              <w:t>年1月1日起（以合同签订日期为准），供应商承接过政府单位、生态环境</w:t>
            </w:r>
            <w:r>
              <w:rPr>
                <w:rFonts w:hint="default" w:ascii="Times New Roman" w:hAnsi="Times New Roman" w:cs="Times New Roman"/>
                <w:color w:val="auto"/>
                <w:sz w:val="21"/>
                <w:szCs w:val="21"/>
                <w:highlight w:val="none"/>
                <w:lang w:val="en-US" w:eastAsia="zh-CN"/>
              </w:rPr>
              <w:t>部门以下项目的：</w:t>
            </w:r>
          </w:p>
          <w:p w14:paraId="48272D9C">
            <w:pPr>
              <w:pStyle w:val="216"/>
              <w:keepNext/>
              <w:keepLines w:val="0"/>
              <w:pageBreakBefore w:val="0"/>
              <w:numPr>
                <w:ilvl w:val="0"/>
                <w:numId w:val="0"/>
              </w:numPr>
              <w:spacing w:line="380" w:lineRule="exact"/>
              <w:ind w:firstLine="420"/>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lang w:val="en-US" w:eastAsia="zh-CN" w:bidi="ar-SA"/>
              </w:rPr>
              <w:t>①</w:t>
            </w:r>
            <w:r>
              <w:rPr>
                <w:rFonts w:hint="default" w:ascii="Times New Roman" w:hAnsi="Times New Roman" w:cs="Times New Roman"/>
                <w:color w:val="auto"/>
                <w:sz w:val="21"/>
                <w:szCs w:val="21"/>
                <w:highlight w:val="none"/>
                <w:lang w:val="en-US" w:eastAsia="zh-CN" w:bidi="ar-SA"/>
              </w:rPr>
              <w:t>承接过年度性（合同服务期超过一年（含））的</w:t>
            </w:r>
            <w:r>
              <w:rPr>
                <w:rFonts w:hint="default" w:ascii="Times New Roman" w:hAnsi="Times New Roman" w:cs="Times New Roman"/>
                <w:color w:val="auto"/>
                <w:sz w:val="21"/>
                <w:szCs w:val="21"/>
                <w:highlight w:val="none"/>
                <w:lang w:eastAsia="zh-CN"/>
              </w:rPr>
              <w:t>“</w:t>
            </w:r>
            <w:r>
              <w:rPr>
                <w:rFonts w:hint="default" w:ascii="Times New Roman" w:hAnsi="Times New Roman" w:eastAsia="宋体" w:cs="Times New Roman"/>
                <w:color w:val="auto"/>
                <w:sz w:val="21"/>
                <w:szCs w:val="21"/>
                <w:highlight w:val="none"/>
              </w:rPr>
              <w:t>环保管家</w:t>
            </w:r>
            <w:r>
              <w:rPr>
                <w:rFonts w:hint="default" w:ascii="Times New Roman" w:hAnsi="Times New Roman" w:cs="Times New Roman"/>
                <w:color w:val="auto"/>
                <w:sz w:val="21"/>
                <w:szCs w:val="21"/>
                <w:highlight w:val="none"/>
                <w:lang w:eastAsia="zh-CN"/>
              </w:rPr>
              <w:t>（</w:t>
            </w:r>
            <w:r>
              <w:rPr>
                <w:rFonts w:hint="default" w:ascii="Times New Roman" w:hAnsi="Times New Roman" w:cs="Times New Roman"/>
                <w:color w:val="auto"/>
                <w:sz w:val="21"/>
                <w:szCs w:val="21"/>
                <w:highlight w:val="none"/>
                <w:lang w:val="en-US" w:eastAsia="zh-CN"/>
              </w:rPr>
              <w:t>或指导</w:t>
            </w:r>
            <w:r>
              <w:rPr>
                <w:rFonts w:hint="default" w:ascii="Times New Roman" w:hAnsi="Times New Roman" w:cs="Times New Roman"/>
                <w:color w:val="auto"/>
                <w:sz w:val="21"/>
                <w:szCs w:val="21"/>
                <w:highlight w:val="none"/>
                <w:lang w:eastAsia="zh-CN"/>
              </w:rPr>
              <w:t>）</w:t>
            </w:r>
            <w:r>
              <w:rPr>
                <w:rFonts w:hint="default" w:ascii="Times New Roman" w:hAnsi="Times New Roman" w:cs="Times New Roman"/>
                <w:color w:val="auto"/>
                <w:sz w:val="21"/>
                <w:szCs w:val="21"/>
                <w:highlight w:val="none"/>
                <w:lang w:val="en-US" w:eastAsia="zh-CN"/>
              </w:rPr>
              <w:t>”类似</w:t>
            </w:r>
            <w:r>
              <w:rPr>
                <w:rFonts w:hint="default" w:ascii="Times New Roman" w:hAnsi="Times New Roman" w:eastAsia="宋体" w:cs="Times New Roman"/>
                <w:color w:val="auto"/>
                <w:sz w:val="21"/>
                <w:szCs w:val="21"/>
                <w:highlight w:val="none"/>
              </w:rPr>
              <w:t>服务项目业绩</w:t>
            </w:r>
            <w:r>
              <w:rPr>
                <w:rFonts w:hint="default" w:ascii="Times New Roman" w:hAnsi="Times New Roman" w:cs="Times New Roman"/>
                <w:color w:val="auto"/>
                <w:sz w:val="21"/>
                <w:szCs w:val="21"/>
                <w:highlight w:val="none"/>
                <w:lang w:eastAsia="zh-CN"/>
              </w:rPr>
              <w:t>的</w:t>
            </w:r>
            <w:r>
              <w:rPr>
                <w:rFonts w:hint="default" w:ascii="Times New Roman" w:hAnsi="Times New Roman" w:eastAsia="宋体" w:cs="Times New Roman"/>
                <w:color w:val="auto"/>
                <w:sz w:val="21"/>
                <w:szCs w:val="21"/>
                <w:highlight w:val="none"/>
              </w:rPr>
              <w:t>，每提供1</w:t>
            </w:r>
            <w:r>
              <w:rPr>
                <w:rFonts w:hint="default" w:ascii="Times New Roman" w:hAnsi="Times New Roman" w:cs="Times New Roman"/>
                <w:color w:val="auto"/>
                <w:sz w:val="21"/>
                <w:szCs w:val="21"/>
                <w:highlight w:val="none"/>
                <w:lang w:val="en-US" w:eastAsia="zh-CN"/>
              </w:rPr>
              <w:t>例</w:t>
            </w:r>
            <w:r>
              <w:rPr>
                <w:rFonts w:hint="default" w:ascii="Times New Roman" w:hAnsi="Times New Roman" w:eastAsia="宋体" w:cs="Times New Roman"/>
                <w:color w:val="auto"/>
                <w:sz w:val="21"/>
                <w:szCs w:val="21"/>
                <w:highlight w:val="none"/>
              </w:rPr>
              <w:t>得</w:t>
            </w:r>
            <w:r>
              <w:rPr>
                <w:rFonts w:hint="default" w:ascii="Times New Roman" w:hAnsi="Times New Roman" w:cs="Times New Roman"/>
                <w:color w:val="auto"/>
                <w:sz w:val="21"/>
                <w:szCs w:val="21"/>
                <w:highlight w:val="none"/>
                <w:lang w:val="en-US" w:eastAsia="zh-CN"/>
              </w:rPr>
              <w:t>3</w:t>
            </w:r>
            <w:r>
              <w:rPr>
                <w:rFonts w:hint="default" w:ascii="Times New Roman" w:hAnsi="Times New Roman" w:eastAsia="宋体" w:cs="Times New Roman"/>
                <w:color w:val="auto"/>
                <w:sz w:val="21"/>
                <w:szCs w:val="21"/>
                <w:highlight w:val="none"/>
              </w:rPr>
              <w:t>分</w:t>
            </w:r>
            <w:r>
              <w:rPr>
                <w:rFonts w:hint="default" w:ascii="Times New Roman" w:hAnsi="Times New Roman" w:cs="Times New Roman"/>
                <w:color w:val="auto"/>
                <w:sz w:val="21"/>
                <w:szCs w:val="21"/>
                <w:highlight w:val="none"/>
                <w:lang w:eastAsia="zh-CN"/>
              </w:rPr>
              <w:t>。</w:t>
            </w:r>
            <w:r>
              <w:rPr>
                <w:rFonts w:hint="default" w:ascii="Times New Roman" w:hAnsi="Times New Roman" w:eastAsia="宋体" w:cs="Times New Roman"/>
                <w:color w:val="auto"/>
                <w:sz w:val="21"/>
                <w:szCs w:val="21"/>
                <w:highlight w:val="none"/>
              </w:rPr>
              <w:t>最高得</w:t>
            </w:r>
            <w:r>
              <w:rPr>
                <w:rFonts w:hint="default" w:ascii="Times New Roman" w:hAnsi="Times New Roman" w:cs="Times New Roman"/>
                <w:color w:val="auto"/>
                <w:sz w:val="21"/>
                <w:szCs w:val="21"/>
                <w:highlight w:val="none"/>
                <w:lang w:val="en-US" w:eastAsia="zh-CN"/>
              </w:rPr>
              <w:t>9</w:t>
            </w:r>
            <w:r>
              <w:rPr>
                <w:rFonts w:hint="default" w:ascii="Times New Roman" w:hAnsi="Times New Roman" w:eastAsia="宋体" w:cs="Times New Roman"/>
                <w:color w:val="auto"/>
                <w:sz w:val="21"/>
                <w:szCs w:val="21"/>
                <w:highlight w:val="none"/>
              </w:rPr>
              <w:t>分。</w:t>
            </w:r>
          </w:p>
          <w:p w14:paraId="0560AEC9">
            <w:pPr>
              <w:pStyle w:val="216"/>
              <w:keepNext/>
              <w:keepLines w:val="0"/>
              <w:pageBreakBefore w:val="0"/>
              <w:numPr>
                <w:ilvl w:val="0"/>
                <w:numId w:val="0"/>
              </w:numPr>
              <w:spacing w:line="380" w:lineRule="exact"/>
              <w:ind w:firstLine="420"/>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b w:val="0"/>
                <w:bCs w:val="0"/>
                <w:color w:val="auto"/>
                <w:sz w:val="21"/>
                <w:szCs w:val="21"/>
                <w:highlight w:val="none"/>
                <w:lang w:val="en-US" w:eastAsia="zh-CN" w:bidi="ar-SA"/>
              </w:rPr>
              <w:t>②</w:t>
            </w:r>
            <w:r>
              <w:rPr>
                <w:rFonts w:hint="default" w:ascii="Times New Roman" w:hAnsi="Times New Roman" w:cs="Times New Roman"/>
                <w:b w:val="0"/>
                <w:bCs w:val="0"/>
                <w:color w:val="auto"/>
                <w:sz w:val="21"/>
                <w:szCs w:val="21"/>
                <w:highlight w:val="none"/>
                <w:lang w:val="en-US" w:eastAsia="zh-CN" w:bidi="ar-SA"/>
              </w:rPr>
              <w:t>承接过短期性、阶段性（</w:t>
            </w:r>
            <w:r>
              <w:rPr>
                <w:rFonts w:hint="default" w:ascii="Times New Roman" w:hAnsi="Times New Roman" w:cs="Times New Roman"/>
                <w:color w:val="auto"/>
                <w:sz w:val="21"/>
                <w:szCs w:val="21"/>
                <w:highlight w:val="none"/>
                <w:lang w:val="en-US" w:eastAsia="zh-CN" w:bidi="ar-SA"/>
              </w:rPr>
              <w:t>合同服务期不超过半年</w:t>
            </w:r>
            <w:r>
              <w:rPr>
                <w:rFonts w:hint="default" w:ascii="Times New Roman" w:hAnsi="Times New Roman" w:cs="Times New Roman"/>
                <w:b w:val="0"/>
                <w:bCs w:val="0"/>
                <w:color w:val="auto"/>
                <w:sz w:val="21"/>
                <w:szCs w:val="21"/>
                <w:highlight w:val="none"/>
                <w:lang w:val="en-US" w:eastAsia="zh-CN" w:bidi="ar-SA"/>
              </w:rPr>
              <w:t>）</w:t>
            </w:r>
            <w:r>
              <w:rPr>
                <w:rFonts w:hint="default" w:ascii="Times New Roman" w:hAnsi="Times New Roman" w:eastAsia="宋体" w:cs="Times New Roman"/>
                <w:color w:val="auto"/>
                <w:sz w:val="21"/>
                <w:szCs w:val="21"/>
                <w:highlight w:val="none"/>
              </w:rPr>
              <w:t>环保</w:t>
            </w:r>
            <w:r>
              <w:rPr>
                <w:rFonts w:hint="default" w:ascii="Times New Roman" w:hAnsi="Times New Roman" w:cs="Times New Roman"/>
                <w:color w:val="auto"/>
                <w:sz w:val="21"/>
                <w:szCs w:val="21"/>
                <w:highlight w:val="none"/>
                <w:lang w:val="en-US" w:eastAsia="zh-CN"/>
              </w:rPr>
              <w:t>方面的服务项目，如</w:t>
            </w:r>
            <w:r>
              <w:rPr>
                <w:rFonts w:hint="default" w:ascii="Times New Roman" w:hAnsi="Times New Roman" w:eastAsia="宋体" w:cs="Times New Roman"/>
                <w:color w:val="auto"/>
                <w:sz w:val="21"/>
                <w:szCs w:val="21"/>
                <w:highlight w:val="none"/>
              </w:rPr>
              <w:t>创建</w:t>
            </w:r>
            <w:r>
              <w:rPr>
                <w:rFonts w:hint="default" w:ascii="Times New Roman" w:hAnsi="Times New Roman" w:cs="Times New Roman"/>
                <w:color w:val="auto"/>
                <w:sz w:val="21"/>
                <w:szCs w:val="21"/>
                <w:highlight w:val="none"/>
                <w:lang w:val="en-US" w:eastAsia="zh-CN"/>
              </w:rPr>
              <w:t>类</w:t>
            </w:r>
            <w:r>
              <w:rPr>
                <w:rFonts w:hint="default" w:ascii="Times New Roman" w:hAnsi="Times New Roman" w:cs="Times New Roman"/>
                <w:color w:val="auto"/>
                <w:sz w:val="21"/>
                <w:szCs w:val="21"/>
                <w:highlight w:val="none"/>
                <w:lang w:eastAsia="zh-CN"/>
              </w:rPr>
              <w:t>、</w:t>
            </w:r>
            <w:r>
              <w:rPr>
                <w:rFonts w:hint="default" w:ascii="Times New Roman" w:hAnsi="Times New Roman" w:eastAsia="宋体" w:cs="Times New Roman"/>
                <w:color w:val="auto"/>
                <w:sz w:val="21"/>
                <w:szCs w:val="21"/>
                <w:highlight w:val="none"/>
              </w:rPr>
              <w:t>咨询</w:t>
            </w:r>
            <w:r>
              <w:rPr>
                <w:rFonts w:hint="default" w:ascii="Times New Roman" w:hAnsi="Times New Roman" w:cs="Times New Roman"/>
                <w:color w:val="auto"/>
                <w:sz w:val="21"/>
                <w:szCs w:val="21"/>
                <w:highlight w:val="none"/>
                <w:lang w:val="en-US" w:eastAsia="zh-CN"/>
              </w:rPr>
              <w:t>类</w:t>
            </w:r>
            <w:r>
              <w:rPr>
                <w:rFonts w:hint="default" w:ascii="Times New Roman" w:hAnsi="Times New Roman" w:eastAsia="宋体" w:cs="Times New Roman"/>
                <w:color w:val="auto"/>
                <w:sz w:val="21"/>
                <w:szCs w:val="21"/>
                <w:highlight w:val="none"/>
              </w:rPr>
              <w:t>、风险评估</w:t>
            </w:r>
            <w:r>
              <w:rPr>
                <w:rFonts w:hint="default" w:ascii="Times New Roman" w:hAnsi="Times New Roman" w:cs="Times New Roman"/>
                <w:color w:val="auto"/>
                <w:sz w:val="21"/>
                <w:szCs w:val="21"/>
                <w:highlight w:val="none"/>
                <w:lang w:val="en-US" w:eastAsia="zh-CN"/>
              </w:rPr>
              <w:t>类</w:t>
            </w:r>
            <w:r>
              <w:rPr>
                <w:rFonts w:hint="default" w:ascii="Times New Roman" w:hAnsi="Times New Roman" w:eastAsia="宋体" w:cs="Times New Roman"/>
                <w:color w:val="auto"/>
                <w:sz w:val="21"/>
                <w:szCs w:val="21"/>
                <w:highlight w:val="none"/>
              </w:rPr>
              <w:t>、专项整治</w:t>
            </w:r>
            <w:r>
              <w:rPr>
                <w:rFonts w:hint="default" w:ascii="Times New Roman" w:hAnsi="Times New Roman" w:cs="Times New Roman"/>
                <w:color w:val="auto"/>
                <w:sz w:val="21"/>
                <w:szCs w:val="21"/>
                <w:highlight w:val="none"/>
                <w:lang w:val="en-US" w:eastAsia="zh-CN"/>
              </w:rPr>
              <w:t>类</w:t>
            </w:r>
            <w:r>
              <w:rPr>
                <w:rFonts w:hint="default" w:ascii="Times New Roman" w:hAnsi="Times New Roman" w:eastAsia="宋体" w:cs="Times New Roman"/>
                <w:color w:val="auto"/>
                <w:sz w:val="21"/>
                <w:szCs w:val="21"/>
                <w:highlight w:val="none"/>
              </w:rPr>
              <w:t>等</w:t>
            </w:r>
            <w:r>
              <w:rPr>
                <w:rFonts w:hint="default" w:ascii="Times New Roman" w:hAnsi="Times New Roman" w:cs="Times New Roman"/>
                <w:color w:val="auto"/>
                <w:sz w:val="21"/>
                <w:szCs w:val="21"/>
                <w:highlight w:val="none"/>
                <w:lang w:val="en-US" w:eastAsia="zh-CN"/>
              </w:rPr>
              <w:t>服务</w:t>
            </w:r>
            <w:r>
              <w:rPr>
                <w:rFonts w:hint="default" w:ascii="Times New Roman" w:hAnsi="Times New Roman" w:eastAsia="宋体" w:cs="Times New Roman"/>
                <w:color w:val="auto"/>
                <w:sz w:val="21"/>
                <w:szCs w:val="21"/>
                <w:highlight w:val="none"/>
              </w:rPr>
              <w:t>业绩的，每提供</w:t>
            </w:r>
            <w:r>
              <w:rPr>
                <w:rFonts w:hint="default" w:ascii="Times New Roman" w:hAnsi="Times New Roman" w:cs="Times New Roman"/>
                <w:color w:val="auto"/>
                <w:sz w:val="21"/>
                <w:szCs w:val="21"/>
                <w:highlight w:val="none"/>
                <w:lang w:val="en-US" w:eastAsia="zh-CN"/>
              </w:rPr>
              <w:t>一例</w:t>
            </w:r>
            <w:r>
              <w:rPr>
                <w:rFonts w:hint="default" w:ascii="Times New Roman" w:hAnsi="Times New Roman" w:eastAsia="宋体" w:cs="Times New Roman"/>
                <w:color w:val="auto"/>
                <w:sz w:val="21"/>
                <w:szCs w:val="21"/>
                <w:highlight w:val="none"/>
              </w:rPr>
              <w:t>得</w:t>
            </w:r>
            <w:r>
              <w:rPr>
                <w:rFonts w:hint="default" w:ascii="Times New Roman" w:hAnsi="Times New Roman" w:cs="Times New Roman"/>
                <w:color w:val="auto"/>
                <w:sz w:val="21"/>
                <w:szCs w:val="21"/>
                <w:highlight w:val="none"/>
                <w:lang w:val="en-US" w:eastAsia="zh-CN"/>
              </w:rPr>
              <w:t>1</w:t>
            </w:r>
            <w:r>
              <w:rPr>
                <w:rFonts w:hint="default" w:ascii="Times New Roman" w:hAnsi="Times New Roman" w:eastAsia="宋体" w:cs="Times New Roman"/>
                <w:color w:val="auto"/>
                <w:sz w:val="21"/>
                <w:szCs w:val="21"/>
                <w:highlight w:val="none"/>
              </w:rPr>
              <w:t>分</w:t>
            </w:r>
            <w:r>
              <w:rPr>
                <w:rFonts w:hint="default" w:ascii="Times New Roman" w:hAnsi="Times New Roman" w:cs="Times New Roman"/>
                <w:color w:val="auto"/>
                <w:sz w:val="21"/>
                <w:szCs w:val="21"/>
                <w:highlight w:val="none"/>
                <w:lang w:eastAsia="zh-CN"/>
              </w:rPr>
              <w:t>。</w:t>
            </w:r>
            <w:r>
              <w:rPr>
                <w:rFonts w:hint="default" w:ascii="Times New Roman" w:hAnsi="Times New Roman" w:eastAsia="宋体" w:cs="Times New Roman"/>
                <w:color w:val="auto"/>
                <w:sz w:val="21"/>
                <w:szCs w:val="21"/>
                <w:highlight w:val="none"/>
              </w:rPr>
              <w:t>最高得</w:t>
            </w:r>
            <w:r>
              <w:rPr>
                <w:rFonts w:hint="default" w:ascii="Times New Roman" w:hAnsi="Times New Roman" w:cs="Times New Roman"/>
                <w:color w:val="auto"/>
                <w:sz w:val="21"/>
                <w:szCs w:val="21"/>
                <w:highlight w:val="none"/>
                <w:lang w:val="en-US" w:eastAsia="zh-CN"/>
              </w:rPr>
              <w:t>3</w:t>
            </w:r>
            <w:r>
              <w:rPr>
                <w:rFonts w:hint="default" w:ascii="Times New Roman" w:hAnsi="Times New Roman" w:eastAsia="宋体" w:cs="Times New Roman"/>
                <w:color w:val="auto"/>
                <w:sz w:val="21"/>
                <w:szCs w:val="21"/>
                <w:highlight w:val="none"/>
              </w:rPr>
              <w:t>分。</w:t>
            </w:r>
          </w:p>
          <w:p w14:paraId="254E16EB">
            <w:pPr>
              <w:pStyle w:val="216"/>
              <w:keepNext/>
              <w:keepLines w:val="0"/>
              <w:pageBreakBefore w:val="0"/>
              <w:spacing w:line="380" w:lineRule="exact"/>
              <w:ind w:left="108" w:firstLine="420"/>
              <w:rPr>
                <w:rFonts w:hint="default" w:ascii="Times New Roman" w:hAnsi="Times New Roman" w:cs="Times New Roman"/>
                <w:color w:val="auto"/>
                <w:sz w:val="21"/>
                <w:szCs w:val="21"/>
                <w:highlight w:val="none"/>
                <w:lang w:val="en-US" w:eastAsia="zh-CN"/>
              </w:rPr>
            </w:pPr>
            <w:r>
              <w:rPr>
                <w:rFonts w:hint="default" w:ascii="Times New Roman" w:hAnsi="Times New Roman" w:cs="Times New Roman"/>
                <w:color w:val="auto"/>
                <w:sz w:val="21"/>
                <w:szCs w:val="21"/>
                <w:highlight w:val="none"/>
                <w:lang w:val="en-US" w:eastAsia="zh-CN"/>
              </w:rPr>
              <w:t>本项最高得12分。</w:t>
            </w:r>
          </w:p>
          <w:p w14:paraId="42C45B62">
            <w:pPr>
              <w:keepNext/>
              <w:keepLines w:val="0"/>
              <w:pageBreakBefore w:val="0"/>
              <w:widowControl/>
              <w:spacing w:line="380" w:lineRule="exact"/>
              <w:ind w:firstLine="480"/>
              <w:rPr>
                <w:rFonts w:hint="default" w:ascii="Times New Roman" w:hAnsi="Times New Roman" w:cs="Times New Roman"/>
                <w:b/>
                <w:bCs/>
                <w:color w:val="auto"/>
                <w:sz w:val="21"/>
                <w:szCs w:val="21"/>
                <w:highlight w:val="none"/>
                <w:lang w:val="en-US" w:eastAsia="zh-CN"/>
              </w:rPr>
            </w:pPr>
          </w:p>
          <w:p w14:paraId="5B61E399">
            <w:pPr>
              <w:keepNext/>
              <w:keepLines w:val="0"/>
              <w:pageBreakBefore w:val="0"/>
              <w:widowControl/>
              <w:spacing w:line="380" w:lineRule="exact"/>
              <w:ind w:firstLine="480"/>
              <w:rPr>
                <w:rFonts w:hint="default" w:ascii="Times New Roman" w:hAnsi="Times New Roman" w:eastAsia="宋体" w:cs="Times New Roman"/>
                <w:b/>
                <w:bCs/>
                <w:color w:val="auto"/>
                <w:sz w:val="21"/>
                <w:szCs w:val="21"/>
                <w:highlight w:val="none"/>
                <w:lang w:val="en-US" w:eastAsia="zh-CN"/>
              </w:rPr>
            </w:pPr>
            <w:r>
              <w:rPr>
                <w:rFonts w:hint="default" w:ascii="Times New Roman" w:hAnsi="Times New Roman" w:cs="Times New Roman"/>
                <w:b/>
                <w:bCs/>
                <w:color w:val="auto"/>
                <w:sz w:val="21"/>
                <w:szCs w:val="21"/>
                <w:highlight w:val="none"/>
                <w:lang w:val="en-US" w:eastAsia="zh-CN"/>
              </w:rPr>
              <w:t>备注：业绩不重复计算。响应</w:t>
            </w:r>
            <w:r>
              <w:rPr>
                <w:rFonts w:hint="default" w:ascii="Times New Roman" w:hAnsi="Times New Roman" w:eastAsia="宋体" w:cs="Times New Roman"/>
                <w:b/>
                <w:bCs/>
                <w:color w:val="auto"/>
                <w:sz w:val="21"/>
                <w:szCs w:val="21"/>
                <w:highlight w:val="none"/>
              </w:rPr>
              <w:t>材料需提供相关业绩</w:t>
            </w:r>
            <w:r>
              <w:rPr>
                <w:rFonts w:hint="default" w:ascii="Times New Roman" w:hAnsi="Times New Roman" w:cs="Times New Roman"/>
                <w:b/>
                <w:bCs/>
                <w:color w:val="auto"/>
                <w:sz w:val="21"/>
                <w:szCs w:val="21"/>
                <w:highlight w:val="none"/>
                <w:lang w:val="en-US" w:eastAsia="zh-CN"/>
              </w:rPr>
              <w:t>的中标（成交）</w:t>
            </w:r>
            <w:r>
              <w:rPr>
                <w:rFonts w:hint="eastAsia" w:cs="Times New Roman"/>
                <w:b/>
                <w:bCs/>
                <w:color w:val="auto"/>
                <w:sz w:val="21"/>
                <w:szCs w:val="21"/>
                <w:highlight w:val="none"/>
                <w:lang w:val="en-US" w:eastAsia="zh-CN"/>
              </w:rPr>
              <w:t>材料（通知书或公示）</w:t>
            </w:r>
            <w:r>
              <w:rPr>
                <w:rFonts w:hint="default" w:ascii="Times New Roman" w:hAnsi="Times New Roman" w:cs="Times New Roman"/>
                <w:b/>
                <w:bCs/>
                <w:color w:val="auto"/>
                <w:sz w:val="21"/>
                <w:szCs w:val="21"/>
                <w:highlight w:val="none"/>
                <w:lang w:val="en-US" w:eastAsia="zh-CN"/>
              </w:rPr>
              <w:t>和合同等</w:t>
            </w:r>
            <w:r>
              <w:rPr>
                <w:rFonts w:hint="default" w:ascii="Times New Roman" w:hAnsi="Times New Roman" w:eastAsia="宋体" w:cs="Times New Roman"/>
                <w:b/>
                <w:bCs/>
                <w:color w:val="auto"/>
                <w:sz w:val="21"/>
                <w:szCs w:val="21"/>
                <w:highlight w:val="none"/>
              </w:rPr>
              <w:t>复印件</w:t>
            </w:r>
            <w:r>
              <w:rPr>
                <w:rFonts w:hint="default" w:ascii="Times New Roman" w:hAnsi="Times New Roman" w:eastAsia="宋体" w:cs="Times New Roman"/>
                <w:b/>
                <w:bCs/>
                <w:color w:val="auto"/>
                <w:sz w:val="21"/>
                <w:szCs w:val="21"/>
                <w:highlight w:val="none"/>
                <w:lang w:val="en-US" w:eastAsia="zh-CN"/>
              </w:rPr>
              <w:t>加盖</w:t>
            </w:r>
            <w:r>
              <w:rPr>
                <w:rFonts w:hint="default" w:ascii="Times New Roman" w:hAnsi="Times New Roman" w:cs="Times New Roman"/>
                <w:b/>
                <w:bCs/>
                <w:color w:val="auto"/>
                <w:sz w:val="21"/>
                <w:szCs w:val="21"/>
                <w:highlight w:val="none"/>
                <w:lang w:val="en-US" w:eastAsia="zh-CN"/>
              </w:rPr>
              <w:t>响应</w:t>
            </w:r>
            <w:r>
              <w:rPr>
                <w:rFonts w:hint="default" w:ascii="Times New Roman" w:hAnsi="Times New Roman" w:eastAsia="宋体" w:cs="Times New Roman"/>
                <w:b/>
                <w:bCs/>
                <w:color w:val="auto"/>
                <w:sz w:val="21"/>
                <w:szCs w:val="21"/>
                <w:highlight w:val="none"/>
              </w:rPr>
              <w:t>单位</w:t>
            </w:r>
            <w:r>
              <w:rPr>
                <w:rFonts w:hint="default" w:ascii="Times New Roman" w:hAnsi="Times New Roman" w:eastAsia="宋体" w:cs="Times New Roman"/>
                <w:b/>
                <w:bCs/>
                <w:color w:val="auto"/>
                <w:sz w:val="21"/>
                <w:szCs w:val="21"/>
                <w:highlight w:val="none"/>
                <w:lang w:val="en-US" w:eastAsia="zh-CN"/>
              </w:rPr>
              <w:t>公章</w:t>
            </w:r>
            <w:r>
              <w:rPr>
                <w:rFonts w:hint="default" w:ascii="Times New Roman" w:hAnsi="Times New Roman" w:cs="Times New Roman"/>
                <w:b/>
                <w:bCs/>
                <w:color w:val="auto"/>
                <w:sz w:val="21"/>
                <w:szCs w:val="21"/>
                <w:highlight w:val="none"/>
                <w:lang w:val="en-US" w:eastAsia="zh-CN"/>
              </w:rPr>
              <w:t>。</w:t>
            </w:r>
            <w:r>
              <w:rPr>
                <w:rFonts w:hint="default" w:ascii="Times New Roman" w:hAnsi="Times New Roman" w:eastAsia="宋体" w:cs="Times New Roman"/>
                <w:b/>
                <w:bCs/>
                <w:color w:val="auto"/>
                <w:sz w:val="21"/>
                <w:szCs w:val="21"/>
                <w:highlight w:val="none"/>
              </w:rPr>
              <w:t>原件备查。</w:t>
            </w:r>
          </w:p>
        </w:tc>
      </w:tr>
      <w:tr w14:paraId="14AE923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0" w:hRule="atLeast"/>
          <w:jc w:val="center"/>
        </w:trPr>
        <w:tc>
          <w:tcPr>
            <w:tcW w:w="1563" w:type="dxa"/>
            <w:vMerge w:val="continue"/>
            <w:noWrap w:val="0"/>
            <w:vAlign w:val="center"/>
          </w:tcPr>
          <w:p w14:paraId="6836E4C9">
            <w:pPr>
              <w:pStyle w:val="216"/>
              <w:keepNext/>
              <w:keepLines w:val="0"/>
              <w:pageBreakBefore w:val="0"/>
              <w:spacing w:line="380" w:lineRule="exact"/>
              <w:ind w:right="-15"/>
              <w:jc w:val="center"/>
              <w:rPr>
                <w:rFonts w:hint="default" w:ascii="Times New Roman" w:hAnsi="Times New Roman" w:eastAsia="宋体" w:cs="Times New Roman"/>
                <w:b/>
                <w:color w:val="auto"/>
                <w:sz w:val="21"/>
                <w:szCs w:val="21"/>
                <w:highlight w:val="none"/>
              </w:rPr>
            </w:pPr>
          </w:p>
        </w:tc>
        <w:tc>
          <w:tcPr>
            <w:tcW w:w="1710" w:type="dxa"/>
            <w:noWrap w:val="0"/>
            <w:vAlign w:val="center"/>
          </w:tcPr>
          <w:p w14:paraId="0D681BA5">
            <w:pPr>
              <w:pStyle w:val="216"/>
              <w:keepNext/>
              <w:keepLines w:val="0"/>
              <w:pageBreakBefore w:val="0"/>
              <w:spacing w:before="2" w:line="380" w:lineRule="exact"/>
              <w:jc w:val="center"/>
              <w:rPr>
                <w:rFonts w:hint="default" w:ascii="Times New Roman" w:hAnsi="Times New Roman" w:eastAsia="宋体" w:cs="Times New Roman"/>
                <w:b/>
                <w:color w:val="auto"/>
                <w:sz w:val="21"/>
                <w:szCs w:val="21"/>
                <w:highlight w:val="none"/>
                <w:lang w:val="en-US" w:eastAsia="zh-CN"/>
              </w:rPr>
            </w:pPr>
            <w:r>
              <w:rPr>
                <w:rFonts w:hint="default" w:ascii="Times New Roman" w:hAnsi="Times New Roman" w:eastAsia="宋体" w:cs="Times New Roman"/>
                <w:b/>
                <w:color w:val="auto"/>
                <w:sz w:val="21"/>
                <w:szCs w:val="21"/>
                <w:highlight w:val="none"/>
                <w:lang w:val="en-US" w:eastAsia="zh-CN"/>
              </w:rPr>
              <w:t>人员配置</w:t>
            </w:r>
          </w:p>
          <w:p w14:paraId="52C01515">
            <w:pPr>
              <w:pStyle w:val="216"/>
              <w:keepNext/>
              <w:keepLines w:val="0"/>
              <w:pageBreakBefore w:val="0"/>
              <w:spacing w:line="380" w:lineRule="exact"/>
              <w:ind w:right="140"/>
              <w:jc w:val="center"/>
              <w:rPr>
                <w:rFonts w:hint="default" w:ascii="Times New Roman" w:hAnsi="Times New Roman" w:eastAsia="宋体" w:cs="Times New Roman"/>
                <w:b/>
                <w:bCs w:val="0"/>
                <w:color w:val="auto"/>
                <w:sz w:val="21"/>
                <w:szCs w:val="21"/>
                <w:highlight w:val="none"/>
                <w:lang w:eastAsia="zh-CN"/>
              </w:rPr>
            </w:pPr>
            <w:r>
              <w:rPr>
                <w:rFonts w:hint="default" w:ascii="Times New Roman" w:hAnsi="Times New Roman" w:cs="Times New Roman"/>
                <w:b/>
                <w:bCs w:val="0"/>
                <w:color w:val="auto"/>
                <w:sz w:val="21"/>
                <w:szCs w:val="21"/>
                <w:highlight w:val="none"/>
                <w:lang w:eastAsia="zh-CN"/>
              </w:rPr>
              <w:t>（</w:t>
            </w:r>
            <w:r>
              <w:rPr>
                <w:rFonts w:hint="default" w:ascii="Times New Roman" w:hAnsi="Times New Roman" w:cs="Times New Roman"/>
                <w:b/>
                <w:bCs w:val="0"/>
                <w:color w:val="auto"/>
                <w:sz w:val="21"/>
                <w:szCs w:val="21"/>
                <w:highlight w:val="none"/>
                <w:lang w:val="en-US" w:eastAsia="zh-CN"/>
              </w:rPr>
              <w:t>12分</w:t>
            </w:r>
            <w:r>
              <w:rPr>
                <w:rFonts w:hint="default" w:ascii="Times New Roman" w:hAnsi="Times New Roman" w:cs="Times New Roman"/>
                <w:b/>
                <w:bCs w:val="0"/>
                <w:color w:val="auto"/>
                <w:sz w:val="21"/>
                <w:szCs w:val="21"/>
                <w:highlight w:val="none"/>
                <w:lang w:eastAsia="zh-CN"/>
              </w:rPr>
              <w:t>）</w:t>
            </w:r>
          </w:p>
        </w:tc>
        <w:tc>
          <w:tcPr>
            <w:tcW w:w="6513" w:type="dxa"/>
            <w:noWrap w:val="0"/>
            <w:vAlign w:val="center"/>
          </w:tcPr>
          <w:p w14:paraId="21F1DACB">
            <w:pPr>
              <w:keepNext w:val="0"/>
              <w:keepLines w:val="0"/>
              <w:pageBreakBefore w:val="0"/>
              <w:widowControl/>
              <w:numPr>
                <w:ilvl w:val="0"/>
                <w:numId w:val="0"/>
              </w:numPr>
              <w:spacing w:line="360" w:lineRule="auto"/>
              <w:ind w:firstLine="420"/>
              <w:outlineLvl w:val="9"/>
              <w:rPr>
                <w:rFonts w:hint="default" w:ascii="Times New Roman" w:hAnsi="Times New Roman"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组建由专业技术人才构成的拟派驻本项目的专家团队，团队共配备2名环保专家（须为本次项目驻点服务人员）</w:t>
            </w:r>
            <w:r>
              <w:rPr>
                <w:rFonts w:hint="default" w:ascii="Times New Roman" w:hAnsi="Times New Roman" w:cs="Times New Roman"/>
                <w:color w:val="auto"/>
                <w:sz w:val="21"/>
                <w:szCs w:val="21"/>
                <w:highlight w:val="none"/>
                <w:lang w:val="en-US" w:eastAsia="zh-CN"/>
              </w:rPr>
              <w:t>，具体</w:t>
            </w:r>
            <w:r>
              <w:rPr>
                <w:rFonts w:hint="default" w:ascii="Times New Roman" w:hAnsi="Times New Roman" w:eastAsia="宋体" w:cs="Times New Roman"/>
                <w:b w:val="0"/>
                <w:bCs w:val="0"/>
                <w:color w:val="auto"/>
                <w:sz w:val="21"/>
                <w:szCs w:val="21"/>
                <w:highlight w:val="none"/>
                <w:lang w:val="en-US" w:eastAsia="zh-CN" w:bidi="ar-SA"/>
              </w:rPr>
              <w:t>要求：具备中级工程师及以上职称(环境类专业)</w:t>
            </w:r>
            <w:r>
              <w:rPr>
                <w:rFonts w:hint="default" w:ascii="Times New Roman" w:hAnsi="Times New Roman" w:cs="Times New Roman"/>
                <w:b w:val="0"/>
                <w:bCs w:val="0"/>
                <w:color w:val="auto"/>
                <w:sz w:val="21"/>
                <w:szCs w:val="21"/>
                <w:highlight w:val="none"/>
                <w:lang w:val="en-US" w:eastAsia="zh-CN" w:bidi="ar-SA"/>
              </w:rPr>
              <w:t>，</w:t>
            </w:r>
            <w:r>
              <w:rPr>
                <w:rFonts w:hint="default" w:ascii="Times New Roman" w:hAnsi="Times New Roman" w:eastAsia="宋体" w:cs="Times New Roman"/>
                <w:b w:val="0"/>
                <w:bCs w:val="0"/>
                <w:color w:val="auto"/>
                <w:sz w:val="21"/>
                <w:szCs w:val="21"/>
                <w:highlight w:val="none"/>
                <w:lang w:val="en-US" w:eastAsia="zh-CN" w:bidi="ar-SA"/>
              </w:rPr>
              <w:t>或者持有注册环保工程师、注册环评工程师(任意一项即可)。</w:t>
            </w:r>
            <w:r>
              <w:rPr>
                <w:rFonts w:hint="default" w:ascii="Times New Roman" w:hAnsi="Times New Roman" w:eastAsia="宋体" w:cs="Times New Roman"/>
                <w:color w:val="auto"/>
                <w:sz w:val="21"/>
                <w:szCs w:val="21"/>
                <w:highlight w:val="none"/>
                <w:lang w:val="en-US" w:eastAsia="zh-CN"/>
              </w:rPr>
              <w:t xml:space="preserve"> </w:t>
            </w:r>
            <w:r>
              <w:rPr>
                <w:rFonts w:hint="default" w:ascii="Times New Roman" w:hAnsi="Times New Roman" w:cs="Times New Roman"/>
                <w:color w:val="auto"/>
                <w:sz w:val="21"/>
                <w:szCs w:val="21"/>
                <w:highlight w:val="none"/>
                <w:lang w:val="en-US" w:eastAsia="zh-CN"/>
              </w:rPr>
              <w:t xml:space="preserve">  </w:t>
            </w:r>
          </w:p>
          <w:p w14:paraId="76C15527">
            <w:pPr>
              <w:pStyle w:val="216"/>
              <w:keepNext/>
              <w:keepLines w:val="0"/>
              <w:pageBreakBefore w:val="0"/>
              <w:numPr>
                <w:ilvl w:val="0"/>
                <w:numId w:val="0"/>
              </w:numPr>
              <w:spacing w:line="380" w:lineRule="exact"/>
              <w:ind w:right="87" w:firstLine="422"/>
              <w:rPr>
                <w:rFonts w:hint="default" w:ascii="Times New Roman" w:hAnsi="Times New Roman" w:eastAsia="宋体" w:cs="Times New Roman"/>
                <w:b/>
                <w:bCs/>
                <w:color w:val="auto"/>
                <w:sz w:val="21"/>
                <w:szCs w:val="21"/>
                <w:highlight w:val="none"/>
                <w:lang w:val="en-US" w:eastAsia="zh-CN"/>
              </w:rPr>
            </w:pPr>
            <w:r>
              <w:rPr>
                <w:rFonts w:hint="default" w:ascii="Times New Roman" w:hAnsi="Times New Roman" w:eastAsia="宋体" w:cs="Times New Roman"/>
                <w:b/>
                <w:bCs/>
                <w:color w:val="auto"/>
                <w:sz w:val="21"/>
                <w:szCs w:val="21"/>
                <w:highlight w:val="none"/>
                <w:lang w:val="en-US" w:eastAsia="zh-CN"/>
              </w:rPr>
              <w:t>上述条件任何一项未达到，本项不得分。</w:t>
            </w:r>
          </w:p>
          <w:p w14:paraId="29E99C96">
            <w:pPr>
              <w:pStyle w:val="216"/>
              <w:keepNext/>
              <w:keepLines w:val="0"/>
              <w:pageBreakBefore w:val="0"/>
              <w:numPr>
                <w:ilvl w:val="0"/>
                <w:numId w:val="0"/>
              </w:numPr>
              <w:spacing w:line="380" w:lineRule="exact"/>
              <w:ind w:firstLine="420"/>
              <w:rPr>
                <w:rFonts w:hint="default" w:ascii="Times New Roman" w:hAnsi="Times New Roman" w:eastAsia="宋体" w:cs="Times New Roman"/>
                <w:color w:val="auto"/>
                <w:sz w:val="21"/>
                <w:szCs w:val="21"/>
                <w:highlight w:val="none"/>
                <w:lang w:val="en-US" w:eastAsia="zh-CN" w:bidi="ar-SA"/>
              </w:rPr>
            </w:pPr>
          </w:p>
          <w:p w14:paraId="3CEAF97C">
            <w:pPr>
              <w:pStyle w:val="216"/>
              <w:keepNext/>
              <w:keepLines w:val="0"/>
              <w:pageBreakBefore w:val="0"/>
              <w:numPr>
                <w:ilvl w:val="0"/>
                <w:numId w:val="0"/>
              </w:numPr>
              <w:spacing w:line="380" w:lineRule="exact"/>
              <w:ind w:firstLine="420"/>
              <w:rPr>
                <w:rFonts w:hint="default" w:ascii="Times New Roman" w:hAnsi="Times New Roman" w:eastAsia="宋体" w:cs="Times New Roman"/>
                <w:color w:val="auto"/>
                <w:sz w:val="21"/>
                <w:szCs w:val="21"/>
                <w:highlight w:val="none"/>
                <w:lang w:val="en-US" w:eastAsia="zh-CN" w:bidi="ar-SA"/>
              </w:rPr>
            </w:pPr>
            <w:r>
              <w:rPr>
                <w:rFonts w:hint="default" w:ascii="Times New Roman" w:hAnsi="Times New Roman" w:eastAsia="宋体" w:cs="Times New Roman"/>
                <w:color w:val="auto"/>
                <w:sz w:val="21"/>
                <w:szCs w:val="21"/>
                <w:highlight w:val="none"/>
                <w:lang w:val="en-US" w:eastAsia="zh-CN" w:bidi="ar-SA"/>
              </w:rPr>
              <w:t>①具备环境类高级工程师及以上职称，每人得</w:t>
            </w:r>
            <w:r>
              <w:rPr>
                <w:rFonts w:hint="default" w:ascii="Times New Roman" w:hAnsi="Times New Roman" w:cs="Times New Roman"/>
                <w:color w:val="auto"/>
                <w:sz w:val="21"/>
                <w:szCs w:val="21"/>
                <w:highlight w:val="none"/>
                <w:lang w:val="en-US" w:eastAsia="zh-CN" w:bidi="ar-SA"/>
              </w:rPr>
              <w:t>6</w:t>
            </w:r>
            <w:r>
              <w:rPr>
                <w:rFonts w:hint="default" w:ascii="Times New Roman" w:hAnsi="Times New Roman" w:eastAsia="宋体" w:cs="Times New Roman"/>
                <w:color w:val="auto"/>
                <w:sz w:val="21"/>
                <w:szCs w:val="21"/>
                <w:highlight w:val="none"/>
                <w:lang w:val="en-US" w:eastAsia="zh-CN" w:bidi="ar-SA"/>
              </w:rPr>
              <w:t>分；</w:t>
            </w:r>
          </w:p>
          <w:p w14:paraId="17FC580B">
            <w:pPr>
              <w:pStyle w:val="216"/>
              <w:keepNext/>
              <w:keepLines w:val="0"/>
              <w:pageBreakBefore w:val="0"/>
              <w:numPr>
                <w:ilvl w:val="0"/>
                <w:numId w:val="0"/>
              </w:numPr>
              <w:spacing w:line="380" w:lineRule="exact"/>
              <w:ind w:firstLine="420"/>
              <w:rPr>
                <w:rFonts w:hint="default" w:ascii="Times New Roman" w:hAnsi="Times New Roman" w:eastAsia="宋体" w:cs="Times New Roman"/>
                <w:color w:val="auto"/>
                <w:sz w:val="21"/>
                <w:szCs w:val="21"/>
                <w:highlight w:val="none"/>
                <w:lang w:val="en-US" w:eastAsia="zh-CN" w:bidi="ar-SA"/>
              </w:rPr>
            </w:pPr>
            <w:r>
              <w:rPr>
                <w:rFonts w:hint="default" w:ascii="Times New Roman" w:hAnsi="Times New Roman" w:eastAsia="宋体" w:cs="Times New Roman"/>
                <w:color w:val="auto"/>
                <w:sz w:val="21"/>
                <w:szCs w:val="21"/>
                <w:highlight w:val="none"/>
                <w:lang w:val="en-US" w:eastAsia="zh-CN" w:bidi="ar-SA"/>
              </w:rPr>
              <w:t>②具备环境类中级工程师职称</w:t>
            </w:r>
            <w:r>
              <w:rPr>
                <w:rFonts w:hint="default" w:ascii="Times New Roman" w:hAnsi="Times New Roman" w:cs="Times New Roman"/>
                <w:color w:val="auto"/>
                <w:sz w:val="21"/>
                <w:szCs w:val="21"/>
                <w:highlight w:val="none"/>
                <w:lang w:val="en-US" w:eastAsia="zh-CN" w:bidi="ar-SA"/>
              </w:rPr>
              <w:t>，</w:t>
            </w:r>
            <w:r>
              <w:rPr>
                <w:rFonts w:hint="default" w:ascii="Times New Roman" w:hAnsi="Times New Roman" w:eastAsia="宋体" w:cs="Times New Roman"/>
                <w:color w:val="auto"/>
                <w:sz w:val="21"/>
                <w:szCs w:val="21"/>
                <w:highlight w:val="none"/>
                <w:lang w:val="en-US" w:eastAsia="zh-CN" w:bidi="ar-SA"/>
              </w:rPr>
              <w:t>或者持有注册环保工程师、注册环评工程师(任意一项即可)，每人得</w:t>
            </w:r>
            <w:r>
              <w:rPr>
                <w:rFonts w:hint="eastAsia" w:cs="Times New Roman"/>
                <w:color w:val="auto"/>
                <w:sz w:val="21"/>
                <w:szCs w:val="21"/>
                <w:highlight w:val="none"/>
                <w:lang w:val="en-US" w:eastAsia="zh-CN" w:bidi="ar-SA"/>
              </w:rPr>
              <w:t>3</w:t>
            </w:r>
            <w:r>
              <w:rPr>
                <w:rFonts w:hint="default" w:ascii="Times New Roman" w:hAnsi="Times New Roman" w:eastAsia="宋体" w:cs="Times New Roman"/>
                <w:color w:val="auto"/>
                <w:sz w:val="21"/>
                <w:szCs w:val="21"/>
                <w:highlight w:val="none"/>
                <w:lang w:val="en-US" w:eastAsia="zh-CN" w:bidi="ar-SA"/>
              </w:rPr>
              <w:t>分。</w:t>
            </w:r>
          </w:p>
          <w:p w14:paraId="4AD54525">
            <w:pPr>
              <w:pStyle w:val="216"/>
              <w:keepNext/>
              <w:keepLines w:val="0"/>
              <w:pageBreakBefore w:val="0"/>
              <w:widowControl/>
              <w:numPr>
                <w:ilvl w:val="0"/>
                <w:numId w:val="0"/>
              </w:numPr>
              <w:spacing w:line="380" w:lineRule="exact"/>
              <w:ind w:right="85" w:firstLine="422"/>
              <w:rPr>
                <w:rFonts w:hint="default" w:ascii="Times New Roman" w:hAnsi="Times New Roman" w:eastAsia="宋体" w:cs="Times New Roman"/>
                <w:b/>
                <w:bCs/>
                <w:color w:val="auto"/>
                <w:sz w:val="21"/>
                <w:szCs w:val="21"/>
                <w:highlight w:val="none"/>
                <w:lang w:val="en-US" w:eastAsia="zh-CN"/>
              </w:rPr>
            </w:pPr>
            <w:r>
              <w:rPr>
                <w:rFonts w:hint="default" w:ascii="Times New Roman" w:hAnsi="Times New Roman" w:eastAsia="宋体" w:cs="Times New Roman"/>
                <w:b/>
                <w:bCs/>
                <w:color w:val="auto"/>
                <w:sz w:val="21"/>
                <w:szCs w:val="21"/>
                <w:highlight w:val="none"/>
                <w:lang w:val="en-US" w:eastAsia="zh-CN"/>
              </w:rPr>
              <w:t>本项最高得</w:t>
            </w:r>
            <w:r>
              <w:rPr>
                <w:rFonts w:hint="default" w:ascii="Times New Roman" w:hAnsi="Times New Roman" w:cs="Times New Roman"/>
                <w:b/>
                <w:bCs/>
                <w:color w:val="auto"/>
                <w:sz w:val="21"/>
                <w:szCs w:val="21"/>
                <w:highlight w:val="none"/>
                <w:lang w:val="en-US" w:eastAsia="zh-CN"/>
              </w:rPr>
              <w:t>12</w:t>
            </w:r>
            <w:r>
              <w:rPr>
                <w:rFonts w:hint="default" w:ascii="Times New Roman" w:hAnsi="Times New Roman" w:eastAsia="宋体" w:cs="Times New Roman"/>
                <w:b/>
                <w:bCs/>
                <w:color w:val="auto"/>
                <w:sz w:val="21"/>
                <w:szCs w:val="21"/>
                <w:highlight w:val="none"/>
                <w:lang w:val="en-US" w:eastAsia="zh-CN"/>
              </w:rPr>
              <w:t>分。</w:t>
            </w:r>
          </w:p>
          <w:p w14:paraId="6F882AD6">
            <w:pPr>
              <w:pStyle w:val="216"/>
              <w:keepNext/>
              <w:keepLines w:val="0"/>
              <w:pageBreakBefore w:val="0"/>
              <w:widowControl/>
              <w:numPr>
                <w:ilvl w:val="0"/>
                <w:numId w:val="0"/>
              </w:numPr>
              <w:spacing w:line="380" w:lineRule="exact"/>
              <w:ind w:right="85"/>
              <w:rPr>
                <w:rFonts w:hint="default" w:ascii="Times New Roman" w:hAnsi="Times New Roman" w:eastAsia="宋体" w:cs="Times New Roman"/>
                <w:b/>
                <w:bCs/>
                <w:color w:val="auto"/>
                <w:sz w:val="21"/>
                <w:szCs w:val="21"/>
                <w:highlight w:val="none"/>
                <w:lang w:val="en-US" w:eastAsia="zh-CN"/>
              </w:rPr>
            </w:pPr>
          </w:p>
          <w:p w14:paraId="2DEE9C6A">
            <w:pPr>
              <w:pStyle w:val="216"/>
              <w:keepNext/>
              <w:keepLines w:val="0"/>
              <w:pageBreakBefore w:val="0"/>
              <w:widowControl/>
              <w:numPr>
                <w:ilvl w:val="0"/>
                <w:numId w:val="0"/>
              </w:numPr>
              <w:spacing w:line="380" w:lineRule="exact"/>
              <w:ind w:right="85" w:firstLine="422"/>
              <w:rPr>
                <w:rFonts w:hint="default" w:ascii="Times New Roman" w:hAnsi="Times New Roman" w:eastAsia="宋体" w:cs="Times New Roman"/>
                <w:b/>
                <w:bCs/>
                <w:color w:val="auto"/>
                <w:sz w:val="21"/>
                <w:szCs w:val="21"/>
                <w:highlight w:val="none"/>
                <w:lang w:val="en-US" w:eastAsia="zh-CN"/>
              </w:rPr>
            </w:pPr>
            <w:r>
              <w:rPr>
                <w:rFonts w:hint="default" w:ascii="Times New Roman" w:hAnsi="Times New Roman" w:eastAsia="宋体" w:cs="Times New Roman"/>
                <w:b/>
                <w:bCs/>
                <w:color w:val="auto"/>
                <w:sz w:val="21"/>
                <w:szCs w:val="21"/>
                <w:highlight w:val="none"/>
                <w:lang w:val="en-US" w:eastAsia="zh-CN"/>
              </w:rPr>
              <w:t>备注：1.以上人员一人一证，不重复计算【同一人同时持有多个符合要求的证书或职称，仅按最高分值计一次，不重复计分、不累计】。</w:t>
            </w:r>
          </w:p>
          <w:p w14:paraId="51A3B5B1">
            <w:pPr>
              <w:pStyle w:val="216"/>
              <w:keepNext/>
              <w:keepLines w:val="0"/>
              <w:pageBreakBefore w:val="0"/>
              <w:widowControl/>
              <w:numPr>
                <w:ilvl w:val="0"/>
                <w:numId w:val="0"/>
              </w:numPr>
              <w:spacing w:line="380" w:lineRule="exact"/>
              <w:ind w:right="85"/>
              <w:rPr>
                <w:rFonts w:hint="default" w:ascii="Times New Roman" w:hAnsi="Times New Roman" w:eastAsia="宋体" w:cs="Times New Roman"/>
                <w:color w:val="auto"/>
                <w:spacing w:val="6"/>
                <w:sz w:val="21"/>
                <w:szCs w:val="21"/>
                <w:highlight w:val="none"/>
              </w:rPr>
            </w:pPr>
            <w:r>
              <w:rPr>
                <w:rFonts w:hint="default" w:ascii="Times New Roman" w:hAnsi="Times New Roman" w:eastAsia="宋体" w:cs="Times New Roman"/>
                <w:b/>
                <w:bCs/>
                <w:color w:val="auto"/>
                <w:sz w:val="21"/>
                <w:szCs w:val="21"/>
                <w:highlight w:val="none"/>
                <w:lang w:val="en-US" w:eastAsia="zh-CN"/>
              </w:rPr>
              <w:t>2.响应材料中需提供人员有效身份证复印件、职称证书或职业资格证书复印件、其他相关证明材料（若有），以及供应商近三个月内任意一个月为其缴纳社保的证明材料复印件（退休人员提供与公司签定的劳务合同复印件）。所提供的复印件材料加盖响应单位公章，否则不得分。</w:t>
            </w:r>
          </w:p>
        </w:tc>
      </w:tr>
      <w:tr w14:paraId="412B9A7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267" w:hRule="atLeast"/>
          <w:jc w:val="center"/>
        </w:trPr>
        <w:tc>
          <w:tcPr>
            <w:tcW w:w="1563" w:type="dxa"/>
            <w:vMerge w:val="restart"/>
            <w:noWrap w:val="0"/>
            <w:vAlign w:val="center"/>
          </w:tcPr>
          <w:p w14:paraId="6E840B64">
            <w:pPr>
              <w:pStyle w:val="216"/>
              <w:keepNext/>
              <w:keepLines w:val="0"/>
              <w:pageBreakBefore w:val="0"/>
              <w:spacing w:before="1" w:line="380" w:lineRule="exact"/>
              <w:ind w:left="107" w:right="165"/>
              <w:jc w:val="center"/>
              <w:rPr>
                <w:rFonts w:hint="default" w:ascii="Times New Roman" w:hAnsi="Times New Roman" w:eastAsia="宋体" w:cs="Times New Roman"/>
                <w:b/>
                <w:color w:val="auto"/>
                <w:sz w:val="21"/>
                <w:szCs w:val="21"/>
                <w:highlight w:val="none"/>
              </w:rPr>
            </w:pPr>
            <w:r>
              <w:rPr>
                <w:rFonts w:hint="default" w:ascii="Times New Roman" w:hAnsi="Times New Roman" w:eastAsia="宋体" w:cs="Times New Roman"/>
                <w:b/>
                <w:color w:val="auto"/>
                <w:sz w:val="21"/>
                <w:szCs w:val="21"/>
                <w:highlight w:val="none"/>
              </w:rPr>
              <w:t>技术</w:t>
            </w:r>
          </w:p>
          <w:p w14:paraId="096F6BA1">
            <w:pPr>
              <w:pStyle w:val="216"/>
              <w:keepNext/>
              <w:keepLines w:val="0"/>
              <w:pageBreakBefore w:val="0"/>
              <w:spacing w:before="1" w:line="380" w:lineRule="exact"/>
              <w:ind w:left="107" w:right="165"/>
              <w:jc w:val="center"/>
              <w:rPr>
                <w:rFonts w:hint="default" w:ascii="Times New Roman" w:hAnsi="Times New Roman" w:eastAsia="宋体" w:cs="Times New Roman"/>
                <w:b/>
                <w:color w:val="auto"/>
                <w:sz w:val="21"/>
                <w:szCs w:val="21"/>
                <w:highlight w:val="none"/>
              </w:rPr>
            </w:pPr>
            <w:r>
              <w:rPr>
                <w:rFonts w:hint="default" w:ascii="Times New Roman" w:hAnsi="Times New Roman" w:eastAsia="宋体" w:cs="Times New Roman"/>
                <w:b/>
                <w:color w:val="auto"/>
                <w:sz w:val="21"/>
                <w:szCs w:val="21"/>
                <w:highlight w:val="none"/>
              </w:rPr>
              <w:t>部分</w:t>
            </w:r>
          </w:p>
          <w:p w14:paraId="65898519">
            <w:pPr>
              <w:pStyle w:val="216"/>
              <w:keepNext/>
              <w:keepLines w:val="0"/>
              <w:pageBreakBefore w:val="0"/>
              <w:spacing w:before="1" w:line="380" w:lineRule="exact"/>
              <w:ind w:left="107" w:right="165"/>
              <w:jc w:val="center"/>
              <w:rPr>
                <w:rFonts w:hint="default" w:ascii="Times New Roman" w:hAnsi="Times New Roman" w:eastAsia="宋体" w:cs="Times New Roman"/>
                <w:b/>
                <w:color w:val="auto"/>
                <w:sz w:val="21"/>
                <w:szCs w:val="21"/>
                <w:highlight w:val="none"/>
              </w:rPr>
            </w:pPr>
            <w:r>
              <w:rPr>
                <w:rFonts w:hint="default" w:ascii="Times New Roman" w:hAnsi="Times New Roman" w:eastAsia="宋体" w:cs="Times New Roman"/>
                <w:b/>
                <w:color w:val="auto"/>
                <w:sz w:val="21"/>
                <w:szCs w:val="21"/>
                <w:highlight w:val="none"/>
              </w:rPr>
              <w:t>（</w:t>
            </w:r>
            <w:r>
              <w:rPr>
                <w:rFonts w:hint="default" w:ascii="Times New Roman" w:hAnsi="Times New Roman" w:cs="Times New Roman"/>
                <w:b/>
                <w:color w:val="auto"/>
                <w:sz w:val="21"/>
                <w:szCs w:val="21"/>
                <w:highlight w:val="none"/>
                <w:lang w:val="en-US" w:eastAsia="zh-CN"/>
              </w:rPr>
              <w:t>40</w:t>
            </w:r>
            <w:r>
              <w:rPr>
                <w:rFonts w:hint="default" w:ascii="Times New Roman" w:hAnsi="Times New Roman" w:eastAsia="宋体" w:cs="Times New Roman"/>
                <w:b/>
                <w:color w:val="auto"/>
                <w:sz w:val="21"/>
                <w:szCs w:val="21"/>
                <w:highlight w:val="none"/>
              </w:rPr>
              <w:t>分）</w:t>
            </w:r>
          </w:p>
        </w:tc>
        <w:tc>
          <w:tcPr>
            <w:tcW w:w="1710" w:type="dxa"/>
            <w:noWrap w:val="0"/>
            <w:vAlign w:val="center"/>
          </w:tcPr>
          <w:p w14:paraId="67CC8833">
            <w:pPr>
              <w:pStyle w:val="216"/>
              <w:keepNext/>
              <w:keepLines w:val="0"/>
              <w:pageBreakBefore w:val="0"/>
              <w:spacing w:before="143" w:line="380" w:lineRule="exact"/>
              <w:ind w:right="140"/>
              <w:jc w:val="center"/>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人员组织、驻点保障与专项应急保障方案</w:t>
            </w:r>
          </w:p>
          <w:p w14:paraId="38C8FF25">
            <w:pPr>
              <w:pStyle w:val="216"/>
              <w:keepNext/>
              <w:keepLines w:val="0"/>
              <w:pageBreakBefore w:val="0"/>
              <w:spacing w:before="143" w:line="380" w:lineRule="exact"/>
              <w:ind w:right="140"/>
              <w:jc w:val="center"/>
              <w:rPr>
                <w:rFonts w:hint="default" w:ascii="Times New Roman" w:hAnsi="Times New Roman" w:eastAsia="宋体" w:cs="Times New Roman"/>
                <w:b/>
                <w:color w:val="auto"/>
                <w:sz w:val="21"/>
                <w:szCs w:val="21"/>
                <w:highlight w:val="none"/>
                <w:lang w:eastAsia="zh-CN"/>
              </w:rPr>
            </w:pPr>
            <w:r>
              <w:rPr>
                <w:rFonts w:hint="default" w:ascii="Times New Roman" w:hAnsi="Times New Roman" w:eastAsia="宋体" w:cs="Times New Roman"/>
                <w:color w:val="auto"/>
                <w:sz w:val="21"/>
                <w:szCs w:val="21"/>
                <w:highlight w:val="none"/>
              </w:rPr>
              <w:t>（</w:t>
            </w:r>
            <w:r>
              <w:rPr>
                <w:rFonts w:hint="default" w:ascii="Times New Roman" w:hAnsi="Times New Roman" w:cs="Times New Roman"/>
                <w:color w:val="auto"/>
                <w:sz w:val="21"/>
                <w:szCs w:val="21"/>
                <w:highlight w:val="none"/>
                <w:lang w:val="en-US" w:eastAsia="zh-CN"/>
              </w:rPr>
              <w:t>12</w:t>
            </w:r>
            <w:r>
              <w:rPr>
                <w:rFonts w:hint="default" w:ascii="Times New Roman" w:hAnsi="Times New Roman" w:eastAsia="宋体" w:cs="Times New Roman"/>
                <w:color w:val="auto"/>
                <w:sz w:val="21"/>
                <w:szCs w:val="21"/>
                <w:highlight w:val="none"/>
              </w:rPr>
              <w:t>分</w:t>
            </w:r>
            <w:r>
              <w:rPr>
                <w:rFonts w:hint="default" w:ascii="Times New Roman" w:hAnsi="Times New Roman" w:eastAsia="宋体" w:cs="Times New Roman"/>
                <w:color w:val="auto"/>
                <w:sz w:val="21"/>
                <w:szCs w:val="21"/>
                <w:highlight w:val="none"/>
                <w:lang w:eastAsia="zh-CN"/>
              </w:rPr>
              <w:t>）</w:t>
            </w:r>
          </w:p>
        </w:tc>
        <w:tc>
          <w:tcPr>
            <w:tcW w:w="6513" w:type="dxa"/>
            <w:noWrap w:val="0"/>
            <w:vAlign w:val="center"/>
          </w:tcPr>
          <w:p w14:paraId="43BC4C0D">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firstLine="444"/>
              <w:jc w:val="left"/>
              <w:rPr>
                <w:rFonts w:hint="default" w:ascii="Times New Roman" w:hAnsi="Times New Roman" w:eastAsia="宋体" w:cs="Times New Roman"/>
                <w:color w:val="auto"/>
                <w:spacing w:val="6"/>
                <w:sz w:val="21"/>
                <w:szCs w:val="21"/>
                <w:highlight w:val="none"/>
              </w:rPr>
            </w:pPr>
            <w:r>
              <w:rPr>
                <w:rFonts w:hint="default" w:ascii="Times New Roman" w:hAnsi="Times New Roman" w:eastAsia="宋体" w:cs="Times New Roman"/>
                <w:color w:val="auto"/>
                <w:spacing w:val="6"/>
                <w:sz w:val="21"/>
                <w:szCs w:val="21"/>
                <w:highlight w:val="none"/>
                <w:lang w:val="en-US" w:eastAsia="zh-CN"/>
              </w:rPr>
              <w:t>供应商提供的</w:t>
            </w:r>
            <w:r>
              <w:rPr>
                <w:rFonts w:hint="default" w:ascii="Times New Roman" w:hAnsi="Times New Roman" w:eastAsia="宋体" w:cs="Times New Roman"/>
                <w:color w:val="auto"/>
                <w:sz w:val="21"/>
                <w:szCs w:val="21"/>
                <w:highlight w:val="none"/>
              </w:rPr>
              <w:t>人员组织、驻点保障与专项应急保障方案</w:t>
            </w:r>
            <w:r>
              <w:rPr>
                <w:rFonts w:hint="default" w:ascii="Times New Roman" w:hAnsi="Times New Roman" w:eastAsia="宋体" w:cs="Times New Roman"/>
                <w:color w:val="auto"/>
                <w:spacing w:val="6"/>
                <w:sz w:val="21"/>
                <w:szCs w:val="21"/>
                <w:highlight w:val="none"/>
              </w:rPr>
              <w:t>内容是否完整、合理</w:t>
            </w:r>
            <w:r>
              <w:rPr>
                <w:rFonts w:hint="default" w:ascii="Times New Roman" w:hAnsi="Times New Roman" w:cs="Times New Roman"/>
                <w:color w:val="auto"/>
                <w:spacing w:val="6"/>
                <w:sz w:val="21"/>
                <w:szCs w:val="21"/>
                <w:highlight w:val="none"/>
                <w:lang w:eastAsia="zh-CN"/>
              </w:rPr>
              <w:t>，</w:t>
            </w:r>
            <w:r>
              <w:rPr>
                <w:rFonts w:hint="default" w:ascii="Times New Roman" w:hAnsi="Times New Roman" w:cs="Times New Roman"/>
                <w:color w:val="auto"/>
                <w:spacing w:val="6"/>
                <w:sz w:val="21"/>
                <w:szCs w:val="21"/>
                <w:highlight w:val="none"/>
                <w:lang w:val="en-US" w:eastAsia="zh-CN"/>
              </w:rPr>
              <w:t>内容是否包括：1.</w:t>
            </w:r>
            <w:r>
              <w:rPr>
                <w:rFonts w:hint="default" w:ascii="Times New Roman" w:hAnsi="Times New Roman" w:eastAsia="宋体" w:cs="Times New Roman"/>
                <w:color w:val="auto"/>
                <w:spacing w:val="6"/>
                <w:sz w:val="21"/>
                <w:szCs w:val="21"/>
                <w:highlight w:val="none"/>
              </w:rPr>
              <w:t>人员驻点要求：明确</w:t>
            </w:r>
            <w:r>
              <w:rPr>
                <w:rFonts w:hint="default" w:ascii="Times New Roman" w:hAnsi="Times New Roman" w:cs="Times New Roman"/>
                <w:color w:val="auto"/>
                <w:spacing w:val="6"/>
                <w:sz w:val="21"/>
                <w:szCs w:val="21"/>
                <w:highlight w:val="none"/>
                <w:lang w:val="en-US" w:eastAsia="zh-CN"/>
              </w:rPr>
              <w:t>2</w:t>
            </w:r>
            <w:r>
              <w:rPr>
                <w:rFonts w:hint="default" w:ascii="Times New Roman" w:hAnsi="Times New Roman" w:eastAsia="宋体" w:cs="Times New Roman"/>
                <w:color w:val="auto"/>
                <w:spacing w:val="6"/>
                <w:sz w:val="21"/>
                <w:szCs w:val="21"/>
                <w:highlight w:val="none"/>
              </w:rPr>
              <w:t>名派驻</w:t>
            </w:r>
            <w:r>
              <w:rPr>
                <w:rFonts w:hint="default" w:ascii="Times New Roman" w:hAnsi="Times New Roman" w:cs="Times New Roman"/>
                <w:color w:val="auto"/>
                <w:spacing w:val="6"/>
                <w:sz w:val="21"/>
                <w:szCs w:val="21"/>
                <w:highlight w:val="none"/>
                <w:lang w:val="en-US" w:eastAsia="zh-CN"/>
              </w:rPr>
              <w:t>环保</w:t>
            </w:r>
            <w:r>
              <w:rPr>
                <w:rFonts w:hint="default" w:ascii="Times New Roman" w:hAnsi="Times New Roman" w:eastAsia="宋体" w:cs="Times New Roman"/>
                <w:color w:val="auto"/>
                <w:spacing w:val="6"/>
                <w:sz w:val="21"/>
                <w:szCs w:val="21"/>
                <w:highlight w:val="none"/>
              </w:rPr>
              <w:t>专家姓名、岗位分工、到岗排班、请假替补机制，承诺未经园区许可不得随意更换人员，列明服务所需车辆、笔记本电脑等办公设备配置及保障措施；</w:t>
            </w:r>
            <w:r>
              <w:rPr>
                <w:rFonts w:hint="default" w:ascii="Times New Roman" w:hAnsi="Times New Roman" w:cs="Times New Roman"/>
                <w:color w:val="auto"/>
                <w:spacing w:val="6"/>
                <w:sz w:val="21"/>
                <w:szCs w:val="21"/>
                <w:highlight w:val="none"/>
                <w:lang w:val="en-US" w:eastAsia="zh-CN"/>
              </w:rPr>
              <w:t>2.</w:t>
            </w:r>
            <w:r>
              <w:rPr>
                <w:rFonts w:hint="default" w:ascii="Times New Roman" w:hAnsi="Times New Roman" w:eastAsia="宋体" w:cs="Times New Roman"/>
                <w:color w:val="auto"/>
                <w:spacing w:val="6"/>
                <w:sz w:val="21"/>
                <w:szCs w:val="21"/>
                <w:highlight w:val="none"/>
              </w:rPr>
              <w:t>专项应急保障要求：针对</w:t>
            </w:r>
            <w:r>
              <w:rPr>
                <w:rFonts w:hint="default" w:ascii="Times New Roman" w:hAnsi="Times New Roman" w:eastAsia="宋体" w:cs="Times New Roman"/>
                <w:b w:val="0"/>
                <w:bCs w:val="0"/>
                <w:color w:val="auto"/>
                <w:sz w:val="21"/>
                <w:szCs w:val="21"/>
                <w:highlight w:val="none"/>
                <w:lang w:val="en-US" w:eastAsia="zh-CN" w:bidi="ar-SA"/>
              </w:rPr>
              <w:t>指导服务、“新、改、扩”建项目</w:t>
            </w:r>
            <w:r>
              <w:rPr>
                <w:rFonts w:hint="default" w:ascii="Times New Roman" w:hAnsi="Times New Roman" w:cs="Times New Roman"/>
                <w:b w:val="0"/>
                <w:bCs w:val="0"/>
                <w:color w:val="auto"/>
                <w:sz w:val="21"/>
                <w:szCs w:val="21"/>
                <w:highlight w:val="none"/>
                <w:lang w:val="en-US" w:eastAsia="zh-CN" w:bidi="ar-SA"/>
              </w:rPr>
              <w:t>环评等</w:t>
            </w:r>
            <w:r>
              <w:rPr>
                <w:rFonts w:hint="default" w:ascii="Times New Roman" w:hAnsi="Times New Roman" w:eastAsia="宋体" w:cs="Times New Roman"/>
                <w:b w:val="0"/>
                <w:bCs w:val="0"/>
                <w:color w:val="auto"/>
                <w:sz w:val="21"/>
                <w:szCs w:val="21"/>
                <w:highlight w:val="none"/>
                <w:lang w:val="en-US" w:eastAsia="zh-CN" w:bidi="ar-SA"/>
              </w:rPr>
              <w:t>咨询服务</w:t>
            </w:r>
            <w:r>
              <w:rPr>
                <w:rFonts w:hint="default" w:ascii="Times New Roman" w:hAnsi="Times New Roman" w:eastAsia="宋体" w:cs="Times New Roman"/>
                <w:color w:val="auto"/>
                <w:spacing w:val="6"/>
                <w:sz w:val="21"/>
                <w:szCs w:val="21"/>
                <w:highlight w:val="none"/>
              </w:rPr>
              <w:t>设置专项流程，明确年度20个工作日内临时增派专家快速响应机制，重要节假日、重点时段值守安排详实可行；</w:t>
            </w:r>
          </w:p>
          <w:p w14:paraId="123DFED8">
            <w:pPr>
              <w:keepNext/>
              <w:keepLines w:val="0"/>
              <w:pageBreakBefore w:val="0"/>
              <w:widowControl/>
              <w:numPr>
                <w:ilvl w:val="0"/>
                <w:numId w:val="0"/>
              </w:numPr>
              <w:spacing w:line="380" w:lineRule="exact"/>
              <w:ind w:left="0" w:firstLine="444"/>
              <w:rPr>
                <w:rFonts w:hint="default" w:ascii="Times New Roman" w:hAnsi="Times New Roman" w:eastAsia="宋体" w:cs="Times New Roman"/>
                <w:color w:val="auto"/>
                <w:spacing w:val="6"/>
                <w:sz w:val="21"/>
                <w:szCs w:val="21"/>
                <w:highlight w:val="none"/>
                <w:lang w:val="en-US" w:eastAsia="zh-CN" w:bidi="ar-SA"/>
              </w:rPr>
            </w:pPr>
            <w:r>
              <w:rPr>
                <w:rFonts w:hint="default" w:ascii="Times New Roman" w:hAnsi="Times New Roman" w:eastAsia="宋体" w:cs="Times New Roman"/>
                <w:color w:val="auto"/>
                <w:spacing w:val="6"/>
                <w:sz w:val="21"/>
                <w:szCs w:val="21"/>
                <w:highlight w:val="none"/>
                <w:lang w:val="en-US" w:eastAsia="zh-CN" w:bidi="ar-SA"/>
              </w:rPr>
              <w:t>①内容全面，实施方案科学合理的，得1</w:t>
            </w:r>
            <w:r>
              <w:rPr>
                <w:rFonts w:hint="default" w:ascii="Times New Roman" w:hAnsi="Times New Roman" w:cs="Times New Roman"/>
                <w:color w:val="auto"/>
                <w:spacing w:val="6"/>
                <w:sz w:val="21"/>
                <w:szCs w:val="21"/>
                <w:highlight w:val="none"/>
                <w:lang w:val="en-US" w:eastAsia="zh-CN" w:bidi="ar-SA"/>
              </w:rPr>
              <w:t>2</w:t>
            </w:r>
            <w:r>
              <w:rPr>
                <w:rFonts w:hint="default" w:ascii="Times New Roman" w:hAnsi="Times New Roman" w:eastAsia="宋体" w:cs="Times New Roman"/>
                <w:color w:val="auto"/>
                <w:spacing w:val="6"/>
                <w:sz w:val="21"/>
                <w:szCs w:val="21"/>
                <w:highlight w:val="none"/>
                <w:lang w:val="en-US" w:eastAsia="zh-CN" w:bidi="ar-SA"/>
              </w:rPr>
              <w:t>分；</w:t>
            </w:r>
          </w:p>
          <w:p w14:paraId="212B998E">
            <w:pPr>
              <w:keepNext/>
              <w:keepLines w:val="0"/>
              <w:pageBreakBefore w:val="0"/>
              <w:widowControl/>
              <w:numPr>
                <w:ilvl w:val="0"/>
                <w:numId w:val="0"/>
              </w:numPr>
              <w:spacing w:line="380" w:lineRule="exact"/>
              <w:ind w:left="0" w:firstLine="444"/>
              <w:rPr>
                <w:rFonts w:hint="default" w:ascii="Times New Roman" w:hAnsi="Times New Roman" w:eastAsia="宋体" w:cs="Times New Roman"/>
                <w:color w:val="auto"/>
                <w:spacing w:val="6"/>
                <w:sz w:val="21"/>
                <w:szCs w:val="21"/>
                <w:highlight w:val="none"/>
                <w:lang w:val="en-US" w:eastAsia="zh-CN" w:bidi="ar-SA"/>
              </w:rPr>
            </w:pPr>
            <w:r>
              <w:rPr>
                <w:rFonts w:hint="default" w:ascii="Times New Roman" w:hAnsi="Times New Roman" w:eastAsia="宋体" w:cs="Times New Roman"/>
                <w:color w:val="auto"/>
                <w:spacing w:val="6"/>
                <w:sz w:val="21"/>
                <w:szCs w:val="21"/>
                <w:highlight w:val="none"/>
                <w:lang w:val="en-US" w:eastAsia="zh-CN" w:bidi="ar-SA"/>
              </w:rPr>
              <w:t>②内容较全面，实施方案较合理的，得</w:t>
            </w:r>
            <w:r>
              <w:rPr>
                <w:rFonts w:hint="default" w:ascii="Times New Roman" w:hAnsi="Times New Roman" w:cs="Times New Roman"/>
                <w:color w:val="auto"/>
                <w:spacing w:val="6"/>
                <w:sz w:val="21"/>
                <w:szCs w:val="21"/>
                <w:highlight w:val="none"/>
                <w:lang w:val="en-US" w:eastAsia="zh-CN" w:bidi="ar-SA"/>
              </w:rPr>
              <w:t>9</w:t>
            </w:r>
            <w:r>
              <w:rPr>
                <w:rFonts w:hint="default" w:ascii="Times New Roman" w:hAnsi="Times New Roman" w:eastAsia="宋体" w:cs="Times New Roman"/>
                <w:color w:val="auto"/>
                <w:spacing w:val="6"/>
                <w:sz w:val="21"/>
                <w:szCs w:val="21"/>
                <w:highlight w:val="none"/>
                <w:lang w:val="en-US" w:eastAsia="zh-CN" w:bidi="ar-SA"/>
              </w:rPr>
              <w:t>分；</w:t>
            </w:r>
          </w:p>
          <w:p w14:paraId="1712CB9F">
            <w:pPr>
              <w:keepNext/>
              <w:keepLines w:val="0"/>
              <w:pageBreakBefore w:val="0"/>
              <w:widowControl/>
              <w:numPr>
                <w:ilvl w:val="0"/>
                <w:numId w:val="0"/>
              </w:numPr>
              <w:spacing w:line="380" w:lineRule="exact"/>
              <w:ind w:left="0" w:firstLine="444"/>
              <w:rPr>
                <w:rFonts w:hint="default" w:ascii="Times New Roman" w:hAnsi="Times New Roman" w:eastAsia="宋体" w:cs="Times New Roman"/>
                <w:color w:val="auto"/>
                <w:spacing w:val="6"/>
                <w:sz w:val="21"/>
                <w:szCs w:val="21"/>
                <w:highlight w:val="none"/>
                <w:lang w:val="en-US" w:eastAsia="zh-CN" w:bidi="ar-SA"/>
              </w:rPr>
            </w:pPr>
            <w:r>
              <w:rPr>
                <w:rFonts w:hint="default" w:ascii="Times New Roman" w:hAnsi="Times New Roman" w:eastAsia="宋体" w:cs="Times New Roman"/>
                <w:color w:val="auto"/>
                <w:spacing w:val="6"/>
                <w:sz w:val="21"/>
                <w:szCs w:val="21"/>
                <w:highlight w:val="none"/>
                <w:lang w:val="en-US" w:eastAsia="zh-CN" w:bidi="ar-SA"/>
              </w:rPr>
              <w:t>③内容一般，实施方案一般的，得</w:t>
            </w:r>
            <w:r>
              <w:rPr>
                <w:rFonts w:hint="default" w:ascii="Times New Roman" w:hAnsi="Times New Roman" w:cs="Times New Roman"/>
                <w:color w:val="auto"/>
                <w:spacing w:val="6"/>
                <w:sz w:val="21"/>
                <w:szCs w:val="21"/>
                <w:highlight w:val="none"/>
                <w:lang w:val="en-US" w:eastAsia="zh-CN" w:bidi="ar-SA"/>
              </w:rPr>
              <w:t>6</w:t>
            </w:r>
            <w:r>
              <w:rPr>
                <w:rFonts w:hint="default" w:ascii="Times New Roman" w:hAnsi="Times New Roman" w:eastAsia="宋体" w:cs="Times New Roman"/>
                <w:color w:val="auto"/>
                <w:spacing w:val="6"/>
                <w:sz w:val="21"/>
                <w:szCs w:val="21"/>
                <w:highlight w:val="none"/>
                <w:lang w:val="en-US" w:eastAsia="zh-CN" w:bidi="ar-SA"/>
              </w:rPr>
              <w:t>分；</w:t>
            </w:r>
          </w:p>
          <w:p w14:paraId="4E843CDB">
            <w:pPr>
              <w:keepNext/>
              <w:keepLines w:val="0"/>
              <w:pageBreakBefore w:val="0"/>
              <w:widowControl/>
              <w:numPr>
                <w:ilvl w:val="0"/>
                <w:numId w:val="0"/>
              </w:numPr>
              <w:spacing w:line="380" w:lineRule="exact"/>
              <w:ind w:left="0" w:firstLine="444"/>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pacing w:val="6"/>
                <w:sz w:val="21"/>
                <w:szCs w:val="21"/>
                <w:highlight w:val="none"/>
                <w:lang w:val="en-US" w:eastAsia="zh-CN" w:bidi="ar-SA"/>
              </w:rPr>
              <w:t>④内容较差，仅为通用检查方案，未体现本项目特点，得0分。</w:t>
            </w:r>
          </w:p>
        </w:tc>
      </w:tr>
      <w:tr w14:paraId="584030C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199" w:hRule="atLeast"/>
          <w:jc w:val="center"/>
        </w:trPr>
        <w:tc>
          <w:tcPr>
            <w:tcW w:w="1563" w:type="dxa"/>
            <w:vMerge w:val="continue"/>
            <w:noWrap w:val="0"/>
            <w:vAlign w:val="center"/>
          </w:tcPr>
          <w:p w14:paraId="5FEB6B53">
            <w:pPr>
              <w:pStyle w:val="216"/>
              <w:keepNext/>
              <w:keepLines w:val="0"/>
              <w:pageBreakBefore w:val="0"/>
              <w:spacing w:before="1" w:line="380" w:lineRule="exact"/>
              <w:ind w:right="165"/>
              <w:jc w:val="center"/>
              <w:rPr>
                <w:rFonts w:hint="default" w:ascii="Times New Roman" w:hAnsi="Times New Roman" w:eastAsia="宋体" w:cs="Times New Roman"/>
                <w:b/>
                <w:color w:val="auto"/>
                <w:sz w:val="21"/>
                <w:szCs w:val="21"/>
                <w:highlight w:val="none"/>
              </w:rPr>
            </w:pPr>
          </w:p>
        </w:tc>
        <w:tc>
          <w:tcPr>
            <w:tcW w:w="1710" w:type="dxa"/>
            <w:shd w:val="clear" w:color="auto" w:fill="auto"/>
            <w:noWrap w:val="0"/>
            <w:vAlign w:val="center"/>
          </w:tcPr>
          <w:p w14:paraId="5D9E13CD">
            <w:pPr>
              <w:pStyle w:val="216"/>
              <w:keepNext/>
              <w:keepLines w:val="0"/>
              <w:pageBreakBefore w:val="0"/>
              <w:spacing w:line="380" w:lineRule="exact"/>
              <w:ind w:right="117"/>
              <w:jc w:val="center"/>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环保指导服务</w:t>
            </w:r>
          </w:p>
          <w:p w14:paraId="4559DCE6">
            <w:pPr>
              <w:pStyle w:val="216"/>
              <w:keepNext/>
              <w:keepLines w:val="0"/>
              <w:pageBreakBefore w:val="0"/>
              <w:spacing w:line="380" w:lineRule="exact"/>
              <w:ind w:right="117"/>
              <w:jc w:val="center"/>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实施方案</w:t>
            </w:r>
          </w:p>
          <w:p w14:paraId="2AEBD890">
            <w:pPr>
              <w:pStyle w:val="216"/>
              <w:keepNext/>
              <w:keepLines w:val="0"/>
              <w:pageBreakBefore w:val="0"/>
              <w:spacing w:line="380" w:lineRule="exact"/>
              <w:ind w:right="117"/>
              <w:jc w:val="center"/>
              <w:rPr>
                <w:rFonts w:hint="default" w:ascii="Times New Roman" w:hAnsi="Times New Roman" w:eastAsia="宋体" w:cs="Times New Roman"/>
                <w:color w:val="auto"/>
                <w:sz w:val="21"/>
                <w:szCs w:val="21"/>
                <w:highlight w:val="none"/>
                <w:lang w:val="en-US" w:eastAsia="zh-CN" w:bidi="ar-SA"/>
              </w:rPr>
            </w:pPr>
            <w:r>
              <w:rPr>
                <w:rFonts w:hint="default" w:ascii="Times New Roman" w:hAnsi="Times New Roman" w:eastAsia="宋体" w:cs="Times New Roman"/>
                <w:color w:val="auto"/>
                <w:sz w:val="21"/>
                <w:szCs w:val="21"/>
                <w:highlight w:val="none"/>
              </w:rPr>
              <w:t>（</w:t>
            </w:r>
            <w:r>
              <w:rPr>
                <w:rFonts w:hint="default" w:ascii="Times New Roman" w:hAnsi="Times New Roman" w:cs="Times New Roman"/>
                <w:color w:val="auto"/>
                <w:sz w:val="21"/>
                <w:szCs w:val="21"/>
                <w:highlight w:val="none"/>
                <w:lang w:val="en-US" w:eastAsia="zh-CN"/>
              </w:rPr>
              <w:t>10</w:t>
            </w:r>
            <w:r>
              <w:rPr>
                <w:rFonts w:hint="default" w:ascii="Times New Roman" w:hAnsi="Times New Roman" w:eastAsia="宋体" w:cs="Times New Roman"/>
                <w:color w:val="auto"/>
                <w:sz w:val="21"/>
                <w:szCs w:val="21"/>
                <w:highlight w:val="none"/>
              </w:rPr>
              <w:t>分）</w:t>
            </w:r>
          </w:p>
        </w:tc>
        <w:tc>
          <w:tcPr>
            <w:tcW w:w="6513" w:type="dxa"/>
            <w:noWrap w:val="0"/>
            <w:vAlign w:val="center"/>
          </w:tcPr>
          <w:p w14:paraId="4DBE1661">
            <w:pPr>
              <w:keepNext/>
              <w:keepLines w:val="0"/>
              <w:pageBreakBefore w:val="0"/>
              <w:widowControl/>
              <w:spacing w:line="380" w:lineRule="exact"/>
              <w:ind w:firstLine="480"/>
              <w:rPr>
                <w:rFonts w:hint="default" w:ascii="Times New Roman" w:hAnsi="Times New Roman" w:eastAsia="宋体" w:cs="Times New Roman"/>
                <w:color w:val="auto"/>
                <w:spacing w:val="6"/>
                <w:sz w:val="21"/>
                <w:szCs w:val="21"/>
                <w:highlight w:val="none"/>
              </w:rPr>
            </w:pPr>
            <w:r>
              <w:rPr>
                <w:rFonts w:hint="default" w:ascii="Times New Roman" w:hAnsi="Times New Roman" w:eastAsia="宋体" w:cs="Times New Roman"/>
                <w:color w:val="auto"/>
                <w:spacing w:val="6"/>
                <w:sz w:val="21"/>
                <w:szCs w:val="21"/>
                <w:highlight w:val="none"/>
                <w:lang w:val="en-US" w:eastAsia="zh-CN"/>
              </w:rPr>
              <w:t>供应商提供的环保指导服务实施方案是否根据园区的实际需求，提出具有针对性的服务内容，内容是否包括按企业类型制定差异化巡查频次（所有企业每季度≥1次），对热电、化工、原料药、水处理等重点行业企业及重点排污单位名录企业每半年开展1次深度环保检查（当月已开展深度检查的不重复开展常规检查），检查表编制与月度计划制定，隐患影像留存，检查与复查报告出具，"一企一策"深度指导服务（每季度≥2家），隐患数据清单建立、整改闭环跟踪、数据汇总上报机制等。</w:t>
            </w:r>
          </w:p>
          <w:p w14:paraId="376947E0">
            <w:pPr>
              <w:keepNext/>
              <w:keepLines w:val="0"/>
              <w:pageBreakBefore w:val="0"/>
              <w:widowControl/>
              <w:numPr>
                <w:ilvl w:val="0"/>
                <w:numId w:val="0"/>
              </w:numPr>
              <w:spacing w:line="380" w:lineRule="exact"/>
              <w:ind w:left="0" w:firstLine="444"/>
              <w:rPr>
                <w:rFonts w:hint="default" w:ascii="Times New Roman" w:hAnsi="Times New Roman" w:eastAsia="宋体" w:cs="Times New Roman"/>
                <w:color w:val="auto"/>
                <w:spacing w:val="6"/>
                <w:sz w:val="21"/>
                <w:szCs w:val="21"/>
                <w:highlight w:val="none"/>
              </w:rPr>
            </w:pPr>
            <w:r>
              <w:rPr>
                <w:rFonts w:hint="default" w:ascii="Times New Roman" w:hAnsi="Times New Roman" w:eastAsia="宋体" w:cs="Times New Roman"/>
                <w:color w:val="auto"/>
                <w:spacing w:val="6"/>
                <w:sz w:val="21"/>
                <w:szCs w:val="21"/>
                <w:highlight w:val="none"/>
                <w:lang w:val="en-US" w:eastAsia="zh-CN" w:bidi="ar-SA"/>
              </w:rPr>
              <w:t>①</w:t>
            </w:r>
            <w:r>
              <w:rPr>
                <w:rFonts w:hint="default" w:ascii="Times New Roman" w:hAnsi="Times New Roman" w:eastAsia="宋体" w:cs="Times New Roman"/>
                <w:color w:val="auto"/>
                <w:spacing w:val="6"/>
                <w:sz w:val="21"/>
                <w:szCs w:val="21"/>
                <w:highlight w:val="none"/>
                <w:lang w:val="en-US" w:eastAsia="zh-CN"/>
              </w:rPr>
              <w:t>内容全面，实施方案科学合理的，得</w:t>
            </w:r>
            <w:r>
              <w:rPr>
                <w:rFonts w:hint="default" w:ascii="Times New Roman" w:hAnsi="Times New Roman" w:cs="Times New Roman"/>
                <w:color w:val="auto"/>
                <w:spacing w:val="6"/>
                <w:sz w:val="21"/>
                <w:szCs w:val="21"/>
                <w:highlight w:val="none"/>
                <w:lang w:val="en-US" w:eastAsia="zh-CN"/>
              </w:rPr>
              <w:t>10</w:t>
            </w:r>
            <w:r>
              <w:rPr>
                <w:rFonts w:hint="default" w:ascii="Times New Roman" w:hAnsi="Times New Roman" w:eastAsia="宋体" w:cs="Times New Roman"/>
                <w:color w:val="auto"/>
                <w:spacing w:val="6"/>
                <w:sz w:val="21"/>
                <w:szCs w:val="21"/>
                <w:highlight w:val="none"/>
                <w:lang w:val="en-US" w:eastAsia="zh-CN"/>
              </w:rPr>
              <w:t>分；</w:t>
            </w:r>
          </w:p>
          <w:p w14:paraId="3C328B38">
            <w:pPr>
              <w:keepNext/>
              <w:keepLines w:val="0"/>
              <w:pageBreakBefore w:val="0"/>
              <w:widowControl/>
              <w:numPr>
                <w:ilvl w:val="0"/>
                <w:numId w:val="0"/>
              </w:numPr>
              <w:spacing w:line="380" w:lineRule="exact"/>
              <w:ind w:left="0" w:firstLine="444"/>
              <w:rPr>
                <w:rFonts w:hint="default" w:ascii="Times New Roman" w:hAnsi="Times New Roman" w:eastAsia="宋体" w:cs="Times New Roman"/>
                <w:color w:val="auto"/>
                <w:spacing w:val="6"/>
                <w:sz w:val="21"/>
                <w:szCs w:val="21"/>
                <w:highlight w:val="none"/>
              </w:rPr>
            </w:pPr>
            <w:r>
              <w:rPr>
                <w:rFonts w:hint="default" w:ascii="Times New Roman" w:hAnsi="Times New Roman" w:eastAsia="宋体" w:cs="Times New Roman"/>
                <w:color w:val="auto"/>
                <w:spacing w:val="6"/>
                <w:sz w:val="21"/>
                <w:szCs w:val="21"/>
                <w:highlight w:val="none"/>
                <w:lang w:val="en-US" w:eastAsia="zh-CN" w:bidi="ar-SA"/>
              </w:rPr>
              <w:t>②</w:t>
            </w:r>
            <w:r>
              <w:rPr>
                <w:rFonts w:hint="default" w:ascii="Times New Roman" w:hAnsi="Times New Roman" w:eastAsia="宋体" w:cs="Times New Roman"/>
                <w:color w:val="auto"/>
                <w:spacing w:val="6"/>
                <w:sz w:val="21"/>
                <w:szCs w:val="21"/>
                <w:highlight w:val="none"/>
                <w:lang w:val="en-US" w:eastAsia="zh-CN"/>
              </w:rPr>
              <w:t>内容较全面，实施方案较合理的，得</w:t>
            </w:r>
            <w:r>
              <w:rPr>
                <w:rFonts w:hint="default" w:ascii="Times New Roman" w:hAnsi="Times New Roman" w:cs="Times New Roman"/>
                <w:color w:val="auto"/>
                <w:spacing w:val="6"/>
                <w:sz w:val="21"/>
                <w:szCs w:val="21"/>
                <w:highlight w:val="none"/>
                <w:lang w:val="en-US" w:eastAsia="zh-CN"/>
              </w:rPr>
              <w:t>8</w:t>
            </w:r>
            <w:r>
              <w:rPr>
                <w:rFonts w:hint="default" w:ascii="Times New Roman" w:hAnsi="Times New Roman" w:eastAsia="宋体" w:cs="Times New Roman"/>
                <w:color w:val="auto"/>
                <w:spacing w:val="6"/>
                <w:sz w:val="21"/>
                <w:szCs w:val="21"/>
                <w:highlight w:val="none"/>
                <w:lang w:val="en-US" w:eastAsia="zh-CN"/>
              </w:rPr>
              <w:t>分；</w:t>
            </w:r>
          </w:p>
          <w:p w14:paraId="61E22F2D">
            <w:pPr>
              <w:keepNext/>
              <w:keepLines w:val="0"/>
              <w:pageBreakBefore w:val="0"/>
              <w:widowControl/>
              <w:numPr>
                <w:ilvl w:val="0"/>
                <w:numId w:val="0"/>
              </w:numPr>
              <w:spacing w:line="380" w:lineRule="exact"/>
              <w:ind w:left="0" w:firstLine="444"/>
              <w:rPr>
                <w:rFonts w:hint="default" w:ascii="Times New Roman" w:hAnsi="Times New Roman" w:eastAsia="宋体" w:cs="Times New Roman"/>
                <w:color w:val="auto"/>
                <w:spacing w:val="6"/>
                <w:sz w:val="21"/>
                <w:szCs w:val="21"/>
                <w:highlight w:val="none"/>
              </w:rPr>
            </w:pPr>
            <w:r>
              <w:rPr>
                <w:rFonts w:hint="default" w:ascii="Times New Roman" w:hAnsi="Times New Roman" w:eastAsia="宋体" w:cs="Times New Roman"/>
                <w:color w:val="auto"/>
                <w:spacing w:val="6"/>
                <w:sz w:val="21"/>
                <w:szCs w:val="21"/>
                <w:highlight w:val="none"/>
                <w:lang w:val="en-US" w:eastAsia="zh-CN" w:bidi="ar-SA"/>
              </w:rPr>
              <w:t>③</w:t>
            </w:r>
            <w:r>
              <w:rPr>
                <w:rFonts w:hint="default" w:ascii="Times New Roman" w:hAnsi="Times New Roman" w:eastAsia="宋体" w:cs="Times New Roman"/>
                <w:color w:val="auto"/>
                <w:spacing w:val="6"/>
                <w:sz w:val="21"/>
                <w:szCs w:val="21"/>
                <w:highlight w:val="none"/>
                <w:lang w:val="en-US" w:eastAsia="zh-CN"/>
              </w:rPr>
              <w:t>内容一般，实施方案一般的，得</w:t>
            </w:r>
            <w:r>
              <w:rPr>
                <w:rFonts w:hint="default" w:ascii="Times New Roman" w:hAnsi="Times New Roman" w:cs="Times New Roman"/>
                <w:color w:val="auto"/>
                <w:spacing w:val="6"/>
                <w:sz w:val="21"/>
                <w:szCs w:val="21"/>
                <w:highlight w:val="none"/>
                <w:lang w:val="en-US" w:eastAsia="zh-CN"/>
              </w:rPr>
              <w:t>6</w:t>
            </w:r>
            <w:r>
              <w:rPr>
                <w:rFonts w:hint="default" w:ascii="Times New Roman" w:hAnsi="Times New Roman" w:eastAsia="宋体" w:cs="Times New Roman"/>
                <w:color w:val="auto"/>
                <w:spacing w:val="6"/>
                <w:sz w:val="21"/>
                <w:szCs w:val="21"/>
                <w:highlight w:val="none"/>
                <w:lang w:val="en-US" w:eastAsia="zh-CN"/>
              </w:rPr>
              <w:t>分；</w:t>
            </w:r>
          </w:p>
          <w:p w14:paraId="3813F49D">
            <w:pPr>
              <w:keepNext/>
              <w:keepLines w:val="0"/>
              <w:pageBreakBefore w:val="0"/>
              <w:widowControl/>
              <w:numPr>
                <w:ilvl w:val="0"/>
                <w:numId w:val="0"/>
              </w:numPr>
              <w:spacing w:line="380" w:lineRule="exact"/>
              <w:ind w:left="0" w:firstLine="444"/>
              <w:rPr>
                <w:rFonts w:hint="default" w:ascii="Times New Roman" w:hAnsi="Times New Roman" w:eastAsia="宋体" w:cs="Times New Roman"/>
                <w:color w:val="auto"/>
                <w:spacing w:val="6"/>
                <w:sz w:val="21"/>
                <w:szCs w:val="21"/>
                <w:highlight w:val="none"/>
              </w:rPr>
            </w:pPr>
            <w:r>
              <w:rPr>
                <w:rFonts w:hint="default" w:ascii="Times New Roman" w:hAnsi="Times New Roman" w:eastAsia="宋体" w:cs="Times New Roman"/>
                <w:color w:val="auto"/>
                <w:spacing w:val="6"/>
                <w:sz w:val="21"/>
                <w:szCs w:val="21"/>
                <w:highlight w:val="none"/>
                <w:lang w:val="en-US" w:eastAsia="zh-CN" w:bidi="ar-SA"/>
              </w:rPr>
              <w:t>④</w:t>
            </w:r>
            <w:r>
              <w:rPr>
                <w:rFonts w:hint="default" w:ascii="Times New Roman" w:hAnsi="Times New Roman" w:eastAsia="宋体" w:cs="Times New Roman"/>
                <w:color w:val="auto"/>
                <w:spacing w:val="6"/>
                <w:sz w:val="21"/>
                <w:szCs w:val="21"/>
                <w:highlight w:val="none"/>
                <w:lang w:val="en-US" w:eastAsia="zh-CN"/>
              </w:rPr>
              <w:t>内容较差，仅为通用检查方案，未体现本项目特点，得0分。</w:t>
            </w:r>
          </w:p>
        </w:tc>
      </w:tr>
      <w:tr w14:paraId="7E96963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61" w:hRule="atLeast"/>
          <w:jc w:val="center"/>
        </w:trPr>
        <w:tc>
          <w:tcPr>
            <w:tcW w:w="1563" w:type="dxa"/>
            <w:vMerge w:val="continue"/>
            <w:noWrap w:val="0"/>
            <w:vAlign w:val="center"/>
          </w:tcPr>
          <w:p w14:paraId="14588B29">
            <w:pPr>
              <w:pStyle w:val="216"/>
              <w:keepNext/>
              <w:keepLines w:val="0"/>
              <w:pageBreakBefore w:val="0"/>
              <w:spacing w:before="1" w:line="380" w:lineRule="exact"/>
              <w:ind w:right="165"/>
              <w:jc w:val="center"/>
              <w:rPr>
                <w:rFonts w:hint="default" w:ascii="Times New Roman" w:hAnsi="Times New Roman" w:eastAsia="宋体" w:cs="Times New Roman"/>
                <w:b/>
                <w:color w:val="auto"/>
                <w:sz w:val="21"/>
                <w:szCs w:val="21"/>
                <w:highlight w:val="none"/>
              </w:rPr>
            </w:pPr>
          </w:p>
        </w:tc>
        <w:tc>
          <w:tcPr>
            <w:tcW w:w="1710" w:type="dxa"/>
            <w:shd w:val="clear" w:color="auto" w:fill="auto"/>
            <w:noWrap w:val="0"/>
            <w:vAlign w:val="center"/>
          </w:tcPr>
          <w:p w14:paraId="20F0DC87">
            <w:pPr>
              <w:pStyle w:val="216"/>
              <w:keepNext/>
              <w:keepLines w:val="0"/>
              <w:pageBreakBefore w:val="0"/>
              <w:spacing w:line="380" w:lineRule="exact"/>
              <w:ind w:right="117"/>
              <w:jc w:val="center"/>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培训与应急</w:t>
            </w:r>
          </w:p>
          <w:p w14:paraId="11625D0D">
            <w:pPr>
              <w:pStyle w:val="216"/>
              <w:keepNext/>
              <w:keepLines w:val="0"/>
              <w:pageBreakBefore w:val="0"/>
              <w:spacing w:line="380" w:lineRule="exact"/>
              <w:ind w:right="117"/>
              <w:jc w:val="center"/>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演练方案</w:t>
            </w:r>
          </w:p>
          <w:p w14:paraId="1280B604">
            <w:pPr>
              <w:pStyle w:val="216"/>
              <w:keepNext/>
              <w:keepLines w:val="0"/>
              <w:pageBreakBefore w:val="0"/>
              <w:spacing w:line="380" w:lineRule="exact"/>
              <w:ind w:right="117"/>
              <w:jc w:val="center"/>
              <w:rPr>
                <w:rFonts w:hint="default" w:ascii="Times New Roman" w:hAnsi="Times New Roman" w:eastAsia="宋体" w:cs="Times New Roman"/>
                <w:color w:val="auto"/>
                <w:sz w:val="21"/>
                <w:szCs w:val="21"/>
                <w:highlight w:val="none"/>
                <w:lang w:val="en-US" w:eastAsia="zh-CN" w:bidi="ar-SA"/>
              </w:rPr>
            </w:pPr>
            <w:r>
              <w:rPr>
                <w:rFonts w:hint="default" w:ascii="Times New Roman" w:hAnsi="Times New Roman" w:eastAsia="宋体" w:cs="Times New Roman"/>
                <w:color w:val="auto"/>
                <w:sz w:val="21"/>
                <w:szCs w:val="21"/>
                <w:highlight w:val="none"/>
              </w:rPr>
              <w:t>（</w:t>
            </w:r>
            <w:r>
              <w:rPr>
                <w:rFonts w:hint="default" w:ascii="Times New Roman" w:hAnsi="Times New Roman" w:cs="Times New Roman"/>
                <w:color w:val="auto"/>
                <w:sz w:val="21"/>
                <w:szCs w:val="21"/>
                <w:highlight w:val="none"/>
                <w:lang w:val="en-US" w:eastAsia="zh-CN"/>
              </w:rPr>
              <w:t>10</w:t>
            </w:r>
            <w:r>
              <w:rPr>
                <w:rFonts w:hint="default" w:ascii="Times New Roman" w:hAnsi="Times New Roman" w:eastAsia="宋体" w:cs="Times New Roman"/>
                <w:color w:val="auto"/>
                <w:sz w:val="21"/>
                <w:szCs w:val="21"/>
                <w:highlight w:val="none"/>
              </w:rPr>
              <w:t>分）</w:t>
            </w:r>
          </w:p>
        </w:tc>
        <w:tc>
          <w:tcPr>
            <w:tcW w:w="6513" w:type="dxa"/>
            <w:noWrap w:val="0"/>
            <w:vAlign w:val="center"/>
          </w:tcPr>
          <w:p w14:paraId="620127AC">
            <w:pPr>
              <w:keepNext/>
              <w:keepLines w:val="0"/>
              <w:pageBreakBefore w:val="0"/>
              <w:widowControl/>
              <w:spacing w:line="380" w:lineRule="exact"/>
              <w:ind w:firstLine="444"/>
              <w:rPr>
                <w:rFonts w:hint="default" w:ascii="Times New Roman" w:hAnsi="Times New Roman" w:eastAsia="宋体" w:cs="Times New Roman"/>
                <w:color w:val="auto"/>
                <w:spacing w:val="6"/>
                <w:sz w:val="21"/>
                <w:szCs w:val="21"/>
                <w:highlight w:val="none"/>
              </w:rPr>
            </w:pPr>
            <w:r>
              <w:rPr>
                <w:rFonts w:hint="default" w:ascii="Times New Roman" w:hAnsi="Times New Roman" w:eastAsia="宋体" w:cs="Times New Roman"/>
                <w:color w:val="auto"/>
                <w:spacing w:val="6"/>
                <w:sz w:val="21"/>
                <w:szCs w:val="21"/>
                <w:highlight w:val="none"/>
                <w:lang w:val="en-US" w:eastAsia="zh-CN"/>
              </w:rPr>
              <w:t>供应商提供的培训与应急演练方案是否符合项目实际需求，内容是否包括年度环保专项培训≥2次/年且明确培训主题、对象及课时安排，环保专项或综合性应急演练≥1次/年且有演练脚本和总结机制，对园区环保监管人员技能培训设有专门课程设计等。</w:t>
            </w:r>
          </w:p>
          <w:p w14:paraId="2C385FE7">
            <w:pPr>
              <w:keepNext/>
              <w:keepLines w:val="0"/>
              <w:pageBreakBefore w:val="0"/>
              <w:widowControl/>
              <w:numPr>
                <w:ilvl w:val="0"/>
                <w:numId w:val="0"/>
              </w:numPr>
              <w:spacing w:line="380" w:lineRule="exact"/>
              <w:ind w:left="0" w:firstLine="444"/>
              <w:rPr>
                <w:rFonts w:hint="default" w:ascii="Times New Roman" w:hAnsi="Times New Roman" w:eastAsia="宋体" w:cs="Times New Roman"/>
                <w:color w:val="auto"/>
                <w:spacing w:val="6"/>
                <w:sz w:val="21"/>
                <w:szCs w:val="21"/>
                <w:highlight w:val="none"/>
              </w:rPr>
            </w:pPr>
            <w:r>
              <w:rPr>
                <w:rFonts w:hint="default" w:ascii="Times New Roman" w:hAnsi="Times New Roman" w:eastAsia="宋体" w:cs="Times New Roman"/>
                <w:color w:val="auto"/>
                <w:spacing w:val="6"/>
                <w:sz w:val="21"/>
                <w:szCs w:val="21"/>
                <w:highlight w:val="none"/>
                <w:lang w:val="en-US" w:eastAsia="zh-CN" w:bidi="ar-SA"/>
              </w:rPr>
              <w:t>①</w:t>
            </w:r>
            <w:r>
              <w:rPr>
                <w:rFonts w:hint="default" w:ascii="Times New Roman" w:hAnsi="Times New Roman" w:eastAsia="宋体" w:cs="Times New Roman"/>
                <w:color w:val="auto"/>
                <w:spacing w:val="6"/>
                <w:sz w:val="21"/>
                <w:szCs w:val="21"/>
                <w:highlight w:val="none"/>
                <w:lang w:val="en-US" w:eastAsia="zh-CN"/>
              </w:rPr>
              <w:t>内容全面，实施方案科学合理的，得</w:t>
            </w:r>
            <w:r>
              <w:rPr>
                <w:rFonts w:hint="default" w:ascii="Times New Roman" w:hAnsi="Times New Roman" w:cs="Times New Roman"/>
                <w:color w:val="auto"/>
                <w:spacing w:val="6"/>
                <w:sz w:val="21"/>
                <w:szCs w:val="21"/>
                <w:highlight w:val="none"/>
                <w:lang w:val="en-US" w:eastAsia="zh-CN"/>
              </w:rPr>
              <w:t>10</w:t>
            </w:r>
            <w:r>
              <w:rPr>
                <w:rFonts w:hint="default" w:ascii="Times New Roman" w:hAnsi="Times New Roman" w:eastAsia="宋体" w:cs="Times New Roman"/>
                <w:color w:val="auto"/>
                <w:spacing w:val="6"/>
                <w:sz w:val="21"/>
                <w:szCs w:val="21"/>
                <w:highlight w:val="none"/>
                <w:lang w:val="en-US" w:eastAsia="zh-CN"/>
              </w:rPr>
              <w:t>分；</w:t>
            </w:r>
          </w:p>
          <w:p w14:paraId="7D5B1081">
            <w:pPr>
              <w:keepNext/>
              <w:keepLines w:val="0"/>
              <w:pageBreakBefore w:val="0"/>
              <w:widowControl/>
              <w:numPr>
                <w:ilvl w:val="0"/>
                <w:numId w:val="0"/>
              </w:numPr>
              <w:spacing w:line="380" w:lineRule="exact"/>
              <w:ind w:left="0" w:firstLine="444"/>
              <w:rPr>
                <w:rFonts w:hint="default" w:ascii="Times New Roman" w:hAnsi="Times New Roman" w:eastAsia="宋体" w:cs="Times New Roman"/>
                <w:color w:val="auto"/>
                <w:spacing w:val="6"/>
                <w:sz w:val="21"/>
                <w:szCs w:val="21"/>
                <w:highlight w:val="none"/>
              </w:rPr>
            </w:pPr>
            <w:r>
              <w:rPr>
                <w:rFonts w:hint="default" w:ascii="Times New Roman" w:hAnsi="Times New Roman" w:eastAsia="宋体" w:cs="Times New Roman"/>
                <w:color w:val="auto"/>
                <w:spacing w:val="6"/>
                <w:sz w:val="21"/>
                <w:szCs w:val="21"/>
                <w:highlight w:val="none"/>
                <w:lang w:val="en-US" w:eastAsia="zh-CN" w:bidi="ar-SA"/>
              </w:rPr>
              <w:t>②</w:t>
            </w:r>
            <w:r>
              <w:rPr>
                <w:rFonts w:hint="default" w:ascii="Times New Roman" w:hAnsi="Times New Roman" w:eastAsia="宋体" w:cs="Times New Roman"/>
                <w:color w:val="auto"/>
                <w:spacing w:val="6"/>
                <w:sz w:val="21"/>
                <w:szCs w:val="21"/>
                <w:highlight w:val="none"/>
                <w:lang w:val="en-US" w:eastAsia="zh-CN"/>
              </w:rPr>
              <w:t>内容较全面，实施方案较合理的，得</w:t>
            </w:r>
            <w:r>
              <w:rPr>
                <w:rFonts w:hint="default" w:ascii="Times New Roman" w:hAnsi="Times New Roman" w:cs="Times New Roman"/>
                <w:color w:val="auto"/>
                <w:spacing w:val="6"/>
                <w:sz w:val="21"/>
                <w:szCs w:val="21"/>
                <w:highlight w:val="none"/>
                <w:lang w:val="en-US" w:eastAsia="zh-CN"/>
              </w:rPr>
              <w:t>8</w:t>
            </w:r>
            <w:r>
              <w:rPr>
                <w:rFonts w:hint="default" w:ascii="Times New Roman" w:hAnsi="Times New Roman" w:eastAsia="宋体" w:cs="Times New Roman"/>
                <w:color w:val="auto"/>
                <w:spacing w:val="6"/>
                <w:sz w:val="21"/>
                <w:szCs w:val="21"/>
                <w:highlight w:val="none"/>
                <w:lang w:val="en-US" w:eastAsia="zh-CN"/>
              </w:rPr>
              <w:t>分；</w:t>
            </w:r>
          </w:p>
          <w:p w14:paraId="47FE37F7">
            <w:pPr>
              <w:keepNext/>
              <w:keepLines w:val="0"/>
              <w:pageBreakBefore w:val="0"/>
              <w:widowControl/>
              <w:numPr>
                <w:ilvl w:val="0"/>
                <w:numId w:val="0"/>
              </w:numPr>
              <w:spacing w:line="380" w:lineRule="exact"/>
              <w:ind w:left="0" w:firstLine="444"/>
              <w:rPr>
                <w:rFonts w:hint="default" w:ascii="Times New Roman" w:hAnsi="Times New Roman" w:eastAsia="宋体" w:cs="Times New Roman"/>
                <w:color w:val="auto"/>
                <w:spacing w:val="6"/>
                <w:sz w:val="21"/>
                <w:szCs w:val="21"/>
                <w:highlight w:val="none"/>
              </w:rPr>
            </w:pPr>
            <w:r>
              <w:rPr>
                <w:rFonts w:hint="default" w:ascii="Times New Roman" w:hAnsi="Times New Roman" w:eastAsia="宋体" w:cs="Times New Roman"/>
                <w:color w:val="auto"/>
                <w:spacing w:val="6"/>
                <w:sz w:val="21"/>
                <w:szCs w:val="21"/>
                <w:highlight w:val="none"/>
                <w:lang w:val="en-US" w:eastAsia="zh-CN" w:bidi="ar-SA"/>
              </w:rPr>
              <w:t>③</w:t>
            </w:r>
            <w:r>
              <w:rPr>
                <w:rFonts w:hint="default" w:ascii="Times New Roman" w:hAnsi="Times New Roman" w:eastAsia="宋体" w:cs="Times New Roman"/>
                <w:color w:val="auto"/>
                <w:spacing w:val="6"/>
                <w:sz w:val="21"/>
                <w:szCs w:val="21"/>
                <w:highlight w:val="none"/>
                <w:lang w:val="en-US" w:eastAsia="zh-CN"/>
              </w:rPr>
              <w:t>内容一般，实施方案一般的，得</w:t>
            </w:r>
            <w:r>
              <w:rPr>
                <w:rFonts w:hint="default" w:ascii="Times New Roman" w:hAnsi="Times New Roman" w:cs="Times New Roman"/>
                <w:color w:val="auto"/>
                <w:spacing w:val="6"/>
                <w:sz w:val="21"/>
                <w:szCs w:val="21"/>
                <w:highlight w:val="none"/>
                <w:lang w:val="en-US" w:eastAsia="zh-CN"/>
              </w:rPr>
              <w:t>6</w:t>
            </w:r>
            <w:r>
              <w:rPr>
                <w:rFonts w:hint="default" w:ascii="Times New Roman" w:hAnsi="Times New Roman" w:eastAsia="宋体" w:cs="Times New Roman"/>
                <w:color w:val="auto"/>
                <w:spacing w:val="6"/>
                <w:sz w:val="21"/>
                <w:szCs w:val="21"/>
                <w:highlight w:val="none"/>
                <w:lang w:val="en-US" w:eastAsia="zh-CN"/>
              </w:rPr>
              <w:t>分；</w:t>
            </w:r>
          </w:p>
          <w:p w14:paraId="39763760">
            <w:pPr>
              <w:keepNext/>
              <w:keepLines w:val="0"/>
              <w:pageBreakBefore w:val="0"/>
              <w:widowControl/>
              <w:numPr>
                <w:ilvl w:val="0"/>
                <w:numId w:val="0"/>
              </w:numPr>
              <w:spacing w:line="380" w:lineRule="exact"/>
              <w:ind w:left="0" w:firstLine="444"/>
              <w:rPr>
                <w:rFonts w:hint="default" w:ascii="Times New Roman" w:hAnsi="Times New Roman" w:eastAsia="宋体" w:cs="Times New Roman"/>
                <w:color w:val="auto"/>
                <w:spacing w:val="6"/>
                <w:sz w:val="21"/>
                <w:szCs w:val="21"/>
                <w:highlight w:val="none"/>
              </w:rPr>
            </w:pPr>
            <w:r>
              <w:rPr>
                <w:rFonts w:hint="default" w:ascii="Times New Roman" w:hAnsi="Times New Roman" w:eastAsia="宋体" w:cs="Times New Roman"/>
                <w:color w:val="auto"/>
                <w:spacing w:val="6"/>
                <w:sz w:val="21"/>
                <w:szCs w:val="21"/>
                <w:highlight w:val="none"/>
                <w:lang w:val="en-US" w:eastAsia="zh-CN" w:bidi="ar-SA"/>
              </w:rPr>
              <w:t>④</w:t>
            </w:r>
            <w:r>
              <w:rPr>
                <w:rFonts w:hint="default" w:ascii="Times New Roman" w:hAnsi="Times New Roman" w:eastAsia="宋体" w:cs="Times New Roman"/>
                <w:color w:val="auto"/>
                <w:spacing w:val="6"/>
                <w:sz w:val="21"/>
                <w:szCs w:val="21"/>
                <w:highlight w:val="none"/>
                <w:lang w:val="en-US" w:eastAsia="zh-CN"/>
              </w:rPr>
              <w:t>内容较差，仅有次数承诺，无实施方案的，得0分。</w:t>
            </w:r>
          </w:p>
        </w:tc>
      </w:tr>
      <w:tr w14:paraId="2534367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43" w:hRule="atLeast"/>
          <w:jc w:val="center"/>
        </w:trPr>
        <w:tc>
          <w:tcPr>
            <w:tcW w:w="1563" w:type="dxa"/>
            <w:vMerge w:val="continue"/>
            <w:noWrap w:val="0"/>
            <w:vAlign w:val="center"/>
          </w:tcPr>
          <w:p w14:paraId="6A1F0F3D">
            <w:pPr>
              <w:pStyle w:val="216"/>
              <w:keepNext/>
              <w:keepLines w:val="0"/>
              <w:pageBreakBefore w:val="0"/>
              <w:spacing w:before="1" w:line="380" w:lineRule="exact"/>
              <w:ind w:right="165"/>
              <w:jc w:val="center"/>
              <w:rPr>
                <w:rFonts w:hint="default" w:ascii="Times New Roman" w:hAnsi="Times New Roman" w:eastAsia="宋体" w:cs="Times New Roman"/>
                <w:b/>
                <w:color w:val="auto"/>
                <w:sz w:val="21"/>
                <w:szCs w:val="21"/>
                <w:highlight w:val="none"/>
              </w:rPr>
            </w:pPr>
          </w:p>
        </w:tc>
        <w:tc>
          <w:tcPr>
            <w:tcW w:w="1710" w:type="dxa"/>
            <w:shd w:val="clear" w:color="auto" w:fill="auto"/>
            <w:noWrap w:val="0"/>
            <w:vAlign w:val="center"/>
          </w:tcPr>
          <w:p w14:paraId="16463BBC">
            <w:pPr>
              <w:pStyle w:val="216"/>
              <w:keepNext/>
              <w:keepLines w:val="0"/>
              <w:pageBreakBefore w:val="0"/>
              <w:spacing w:line="380" w:lineRule="exact"/>
              <w:ind w:right="117"/>
              <w:jc w:val="center"/>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成果交付与运行分析机制</w:t>
            </w:r>
          </w:p>
          <w:p w14:paraId="33054751">
            <w:pPr>
              <w:pStyle w:val="216"/>
              <w:keepNext/>
              <w:keepLines w:val="0"/>
              <w:pageBreakBefore w:val="0"/>
              <w:spacing w:line="380" w:lineRule="exact"/>
              <w:ind w:right="117"/>
              <w:jc w:val="center"/>
              <w:rPr>
                <w:rFonts w:hint="default" w:ascii="Times New Roman" w:hAnsi="Times New Roman" w:eastAsia="宋体" w:cs="Times New Roman"/>
                <w:color w:val="auto"/>
                <w:sz w:val="21"/>
                <w:szCs w:val="21"/>
                <w:highlight w:val="none"/>
                <w:lang w:val="en-US" w:eastAsia="zh-CN" w:bidi="ar-SA"/>
              </w:rPr>
            </w:pPr>
            <w:r>
              <w:rPr>
                <w:rFonts w:hint="default" w:ascii="Times New Roman" w:hAnsi="Times New Roman" w:eastAsia="宋体" w:cs="Times New Roman"/>
                <w:color w:val="auto"/>
                <w:sz w:val="21"/>
                <w:szCs w:val="21"/>
                <w:highlight w:val="none"/>
              </w:rPr>
              <w:t>（</w:t>
            </w:r>
            <w:r>
              <w:rPr>
                <w:rFonts w:hint="default" w:ascii="Times New Roman" w:hAnsi="Times New Roman" w:cs="Times New Roman"/>
                <w:color w:val="auto"/>
                <w:sz w:val="21"/>
                <w:szCs w:val="21"/>
                <w:highlight w:val="none"/>
                <w:lang w:val="en-US" w:eastAsia="zh-CN"/>
              </w:rPr>
              <w:t>8</w:t>
            </w:r>
            <w:r>
              <w:rPr>
                <w:rFonts w:hint="default" w:ascii="Times New Roman" w:hAnsi="Times New Roman" w:eastAsia="宋体" w:cs="Times New Roman"/>
                <w:color w:val="auto"/>
                <w:sz w:val="21"/>
                <w:szCs w:val="21"/>
                <w:highlight w:val="none"/>
              </w:rPr>
              <w:t>分）</w:t>
            </w:r>
          </w:p>
        </w:tc>
        <w:tc>
          <w:tcPr>
            <w:tcW w:w="6513" w:type="dxa"/>
            <w:noWrap w:val="0"/>
            <w:vAlign w:val="center"/>
          </w:tcPr>
          <w:p w14:paraId="39413AC2">
            <w:pPr>
              <w:keepNext/>
              <w:keepLines w:val="0"/>
              <w:pageBreakBefore w:val="0"/>
              <w:widowControl/>
              <w:spacing w:line="380" w:lineRule="exact"/>
              <w:ind w:firstLine="444"/>
              <w:rPr>
                <w:rFonts w:hint="default" w:ascii="Times New Roman" w:hAnsi="Times New Roman" w:eastAsia="宋体" w:cs="Times New Roman"/>
                <w:color w:val="auto"/>
                <w:spacing w:val="6"/>
                <w:sz w:val="21"/>
                <w:szCs w:val="21"/>
                <w:highlight w:val="none"/>
                <w:lang w:val="en-US" w:eastAsia="zh-CN"/>
              </w:rPr>
            </w:pPr>
            <w:r>
              <w:rPr>
                <w:rFonts w:hint="default" w:ascii="Times New Roman" w:hAnsi="Times New Roman" w:eastAsia="宋体" w:cs="Times New Roman"/>
                <w:color w:val="auto"/>
                <w:spacing w:val="6"/>
                <w:sz w:val="21"/>
                <w:szCs w:val="21"/>
                <w:highlight w:val="none"/>
                <w:lang w:val="en-US" w:eastAsia="zh-CN"/>
              </w:rPr>
              <w:t>供应商提供的成果交付与运行分析机制是否完善，内容是否包括半年度环保总结报告、季度工作总结及下季度风险研判报告的固定内容框架；建立“隐患数据分析-风险预警-决策支持”闭环机制，明确如何利用检查数据识别园区共性环境问题并提出管理建议</w:t>
            </w:r>
            <w:r>
              <w:rPr>
                <w:rFonts w:hint="default" w:ascii="Times New Roman" w:hAnsi="Times New Roman" w:cs="Times New Roman"/>
                <w:color w:val="auto"/>
                <w:spacing w:val="6"/>
                <w:sz w:val="21"/>
                <w:szCs w:val="21"/>
                <w:highlight w:val="none"/>
                <w:lang w:val="en-US" w:eastAsia="zh-CN"/>
              </w:rPr>
              <w:t>。</w:t>
            </w:r>
          </w:p>
          <w:p w14:paraId="47E19E1D">
            <w:pPr>
              <w:keepNext/>
              <w:keepLines w:val="0"/>
              <w:pageBreakBefore w:val="0"/>
              <w:widowControl/>
              <w:numPr>
                <w:ilvl w:val="0"/>
                <w:numId w:val="0"/>
              </w:numPr>
              <w:spacing w:line="380" w:lineRule="exact"/>
              <w:ind w:left="0" w:firstLine="444"/>
              <w:rPr>
                <w:rFonts w:hint="default" w:ascii="Times New Roman" w:hAnsi="Times New Roman" w:eastAsia="宋体" w:cs="Times New Roman"/>
                <w:color w:val="auto"/>
                <w:spacing w:val="6"/>
                <w:sz w:val="21"/>
                <w:szCs w:val="21"/>
                <w:highlight w:val="none"/>
              </w:rPr>
            </w:pPr>
            <w:r>
              <w:rPr>
                <w:rFonts w:hint="default" w:ascii="Times New Roman" w:hAnsi="Times New Roman" w:eastAsia="宋体" w:cs="Times New Roman"/>
                <w:color w:val="auto"/>
                <w:spacing w:val="6"/>
                <w:sz w:val="21"/>
                <w:szCs w:val="21"/>
                <w:highlight w:val="none"/>
                <w:lang w:val="en-US" w:eastAsia="zh-CN" w:bidi="ar-SA"/>
              </w:rPr>
              <w:t>①</w:t>
            </w:r>
            <w:r>
              <w:rPr>
                <w:rFonts w:hint="default" w:ascii="Times New Roman" w:hAnsi="Times New Roman" w:eastAsia="宋体" w:cs="Times New Roman"/>
                <w:color w:val="auto"/>
                <w:spacing w:val="6"/>
                <w:sz w:val="21"/>
                <w:szCs w:val="21"/>
                <w:highlight w:val="none"/>
                <w:lang w:val="en-US" w:eastAsia="zh-CN"/>
              </w:rPr>
              <w:t>内容全面，机制科学合理的，得</w:t>
            </w:r>
            <w:r>
              <w:rPr>
                <w:rFonts w:hint="default" w:ascii="Times New Roman" w:hAnsi="Times New Roman" w:cs="Times New Roman"/>
                <w:color w:val="auto"/>
                <w:spacing w:val="6"/>
                <w:sz w:val="21"/>
                <w:szCs w:val="21"/>
                <w:highlight w:val="none"/>
                <w:lang w:val="en-US" w:eastAsia="zh-CN"/>
              </w:rPr>
              <w:t>8</w:t>
            </w:r>
            <w:r>
              <w:rPr>
                <w:rFonts w:hint="default" w:ascii="Times New Roman" w:hAnsi="Times New Roman" w:eastAsia="宋体" w:cs="Times New Roman"/>
                <w:color w:val="auto"/>
                <w:spacing w:val="6"/>
                <w:sz w:val="21"/>
                <w:szCs w:val="21"/>
                <w:highlight w:val="none"/>
                <w:lang w:val="en-US" w:eastAsia="zh-CN"/>
              </w:rPr>
              <w:t>分；</w:t>
            </w:r>
          </w:p>
          <w:p w14:paraId="6C209217">
            <w:pPr>
              <w:keepNext/>
              <w:keepLines w:val="0"/>
              <w:pageBreakBefore w:val="0"/>
              <w:widowControl/>
              <w:numPr>
                <w:ilvl w:val="0"/>
                <w:numId w:val="0"/>
              </w:numPr>
              <w:spacing w:line="380" w:lineRule="exact"/>
              <w:ind w:left="0" w:firstLine="444"/>
              <w:rPr>
                <w:rFonts w:hint="default" w:ascii="Times New Roman" w:hAnsi="Times New Roman" w:eastAsia="宋体" w:cs="Times New Roman"/>
                <w:color w:val="auto"/>
                <w:spacing w:val="6"/>
                <w:sz w:val="21"/>
                <w:szCs w:val="21"/>
                <w:highlight w:val="none"/>
              </w:rPr>
            </w:pPr>
            <w:r>
              <w:rPr>
                <w:rFonts w:hint="default" w:ascii="Times New Roman" w:hAnsi="Times New Roman" w:eastAsia="宋体" w:cs="Times New Roman"/>
                <w:color w:val="auto"/>
                <w:spacing w:val="6"/>
                <w:sz w:val="21"/>
                <w:szCs w:val="21"/>
                <w:highlight w:val="none"/>
                <w:lang w:val="en-US" w:eastAsia="zh-CN" w:bidi="ar-SA"/>
              </w:rPr>
              <w:t>②</w:t>
            </w:r>
            <w:r>
              <w:rPr>
                <w:rFonts w:hint="default" w:ascii="Times New Roman" w:hAnsi="Times New Roman" w:eastAsia="宋体" w:cs="Times New Roman"/>
                <w:color w:val="auto"/>
                <w:spacing w:val="6"/>
                <w:sz w:val="21"/>
                <w:szCs w:val="21"/>
                <w:highlight w:val="none"/>
                <w:lang w:val="en-US" w:eastAsia="zh-CN"/>
              </w:rPr>
              <w:t>内容较全面，机制较合理的，得</w:t>
            </w:r>
            <w:r>
              <w:rPr>
                <w:rFonts w:hint="default" w:ascii="Times New Roman" w:hAnsi="Times New Roman" w:cs="Times New Roman"/>
                <w:color w:val="auto"/>
                <w:spacing w:val="6"/>
                <w:sz w:val="21"/>
                <w:szCs w:val="21"/>
                <w:highlight w:val="none"/>
                <w:lang w:val="en-US" w:eastAsia="zh-CN"/>
              </w:rPr>
              <w:t>6</w:t>
            </w:r>
            <w:r>
              <w:rPr>
                <w:rFonts w:hint="default" w:ascii="Times New Roman" w:hAnsi="Times New Roman" w:eastAsia="宋体" w:cs="Times New Roman"/>
                <w:color w:val="auto"/>
                <w:spacing w:val="6"/>
                <w:sz w:val="21"/>
                <w:szCs w:val="21"/>
                <w:highlight w:val="none"/>
                <w:lang w:val="en-US" w:eastAsia="zh-CN"/>
              </w:rPr>
              <w:t>分；</w:t>
            </w:r>
          </w:p>
          <w:p w14:paraId="42936B2F">
            <w:pPr>
              <w:keepNext/>
              <w:keepLines w:val="0"/>
              <w:pageBreakBefore w:val="0"/>
              <w:widowControl/>
              <w:numPr>
                <w:ilvl w:val="0"/>
                <w:numId w:val="0"/>
              </w:numPr>
              <w:spacing w:line="380" w:lineRule="exact"/>
              <w:ind w:left="0" w:firstLine="444"/>
              <w:rPr>
                <w:rFonts w:hint="default" w:ascii="Times New Roman" w:hAnsi="Times New Roman" w:eastAsia="宋体" w:cs="Times New Roman"/>
                <w:color w:val="auto"/>
                <w:spacing w:val="6"/>
                <w:sz w:val="21"/>
                <w:szCs w:val="21"/>
                <w:highlight w:val="none"/>
              </w:rPr>
            </w:pPr>
            <w:r>
              <w:rPr>
                <w:rFonts w:hint="default" w:ascii="Times New Roman" w:hAnsi="Times New Roman" w:eastAsia="宋体" w:cs="Times New Roman"/>
                <w:color w:val="auto"/>
                <w:spacing w:val="6"/>
                <w:sz w:val="21"/>
                <w:szCs w:val="21"/>
                <w:highlight w:val="none"/>
                <w:lang w:val="en-US" w:eastAsia="zh-CN" w:bidi="ar-SA"/>
              </w:rPr>
              <w:t>③</w:t>
            </w:r>
            <w:r>
              <w:rPr>
                <w:rFonts w:hint="default" w:ascii="Times New Roman" w:hAnsi="Times New Roman" w:eastAsia="宋体" w:cs="Times New Roman"/>
                <w:color w:val="auto"/>
                <w:spacing w:val="6"/>
                <w:sz w:val="21"/>
                <w:szCs w:val="21"/>
                <w:highlight w:val="none"/>
                <w:lang w:val="en-US" w:eastAsia="zh-CN"/>
              </w:rPr>
              <w:t>内容一般，机制一般的，得</w:t>
            </w:r>
            <w:r>
              <w:rPr>
                <w:rFonts w:hint="default" w:ascii="Times New Roman" w:hAnsi="Times New Roman" w:cs="Times New Roman"/>
                <w:color w:val="auto"/>
                <w:spacing w:val="6"/>
                <w:sz w:val="21"/>
                <w:szCs w:val="21"/>
                <w:highlight w:val="none"/>
                <w:lang w:val="en-US" w:eastAsia="zh-CN"/>
              </w:rPr>
              <w:t>4</w:t>
            </w:r>
            <w:r>
              <w:rPr>
                <w:rFonts w:hint="default" w:ascii="Times New Roman" w:hAnsi="Times New Roman" w:eastAsia="宋体" w:cs="Times New Roman"/>
                <w:color w:val="auto"/>
                <w:spacing w:val="6"/>
                <w:sz w:val="21"/>
                <w:szCs w:val="21"/>
                <w:highlight w:val="none"/>
                <w:lang w:val="en-US" w:eastAsia="zh-CN"/>
              </w:rPr>
              <w:t>分；</w:t>
            </w:r>
          </w:p>
          <w:p w14:paraId="607C2C2E">
            <w:pPr>
              <w:keepNext/>
              <w:keepLines w:val="0"/>
              <w:pageBreakBefore w:val="0"/>
              <w:widowControl/>
              <w:numPr>
                <w:ilvl w:val="0"/>
                <w:numId w:val="0"/>
              </w:numPr>
              <w:spacing w:line="380" w:lineRule="exact"/>
              <w:ind w:left="0" w:firstLine="444"/>
              <w:rPr>
                <w:rFonts w:hint="default" w:ascii="Times New Roman" w:hAnsi="Times New Roman" w:eastAsia="宋体" w:cs="Times New Roman"/>
                <w:color w:val="auto"/>
                <w:spacing w:val="6"/>
                <w:sz w:val="21"/>
                <w:szCs w:val="21"/>
                <w:highlight w:val="none"/>
              </w:rPr>
            </w:pPr>
            <w:r>
              <w:rPr>
                <w:rFonts w:hint="default" w:ascii="Times New Roman" w:hAnsi="Times New Roman" w:eastAsia="宋体" w:cs="Times New Roman"/>
                <w:color w:val="auto"/>
                <w:spacing w:val="6"/>
                <w:sz w:val="21"/>
                <w:szCs w:val="21"/>
                <w:highlight w:val="none"/>
                <w:lang w:val="en-US" w:eastAsia="zh-CN" w:bidi="ar-SA"/>
              </w:rPr>
              <w:t>④</w:t>
            </w:r>
            <w:r>
              <w:rPr>
                <w:rFonts w:hint="default" w:ascii="Times New Roman" w:hAnsi="Times New Roman" w:eastAsia="宋体" w:cs="Times New Roman"/>
                <w:color w:val="auto"/>
                <w:spacing w:val="6"/>
                <w:sz w:val="21"/>
                <w:szCs w:val="21"/>
                <w:highlight w:val="none"/>
                <w:lang w:val="en-US" w:eastAsia="zh-CN"/>
              </w:rPr>
              <w:t>内容较差，仅简单列举交付物名称的，得0分。</w:t>
            </w:r>
          </w:p>
        </w:tc>
      </w:tr>
      <w:tr w14:paraId="7CBDF6C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395" w:hRule="atLeast"/>
          <w:jc w:val="center"/>
        </w:trPr>
        <w:tc>
          <w:tcPr>
            <w:tcW w:w="1563" w:type="dxa"/>
            <w:noWrap w:val="0"/>
            <w:vAlign w:val="center"/>
          </w:tcPr>
          <w:p w14:paraId="7D42CE94">
            <w:pPr>
              <w:pStyle w:val="216"/>
              <w:keepNext/>
              <w:keepLines w:val="0"/>
              <w:pageBreakBefore w:val="0"/>
              <w:spacing w:before="1" w:line="380" w:lineRule="exact"/>
              <w:ind w:left="107" w:right="165"/>
              <w:jc w:val="center"/>
              <w:rPr>
                <w:rFonts w:hint="default" w:ascii="Times New Roman" w:hAnsi="Times New Roman" w:eastAsia="宋体" w:cs="Times New Roman"/>
                <w:b/>
                <w:color w:val="auto"/>
                <w:sz w:val="21"/>
                <w:szCs w:val="21"/>
                <w:highlight w:val="none"/>
              </w:rPr>
            </w:pPr>
          </w:p>
        </w:tc>
        <w:tc>
          <w:tcPr>
            <w:tcW w:w="8223" w:type="dxa"/>
            <w:gridSpan w:val="2"/>
            <w:shd w:val="clear" w:color="auto" w:fill="auto"/>
            <w:noWrap w:val="0"/>
            <w:vAlign w:val="top"/>
          </w:tcPr>
          <w:p w14:paraId="55102A68">
            <w:pPr>
              <w:pStyle w:val="216"/>
              <w:keepNext/>
              <w:keepLines w:val="0"/>
              <w:pageBreakBefore w:val="0"/>
              <w:spacing w:before="22" w:line="380" w:lineRule="exact"/>
              <w:ind w:right="89"/>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备注：</w:t>
            </w:r>
          </w:p>
          <w:p w14:paraId="23F70283">
            <w:pPr>
              <w:pStyle w:val="216"/>
              <w:keepNext/>
              <w:keepLines w:val="0"/>
              <w:pageBreakBefore w:val="0"/>
              <w:spacing w:before="22" w:line="380" w:lineRule="exact"/>
              <w:ind w:left="109" w:right="89" w:firstLine="420"/>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1.每部分的得分保留小数点后两位,合计得分保留小数点后两位。</w:t>
            </w:r>
          </w:p>
          <w:p w14:paraId="6B2D4D69">
            <w:pPr>
              <w:pStyle w:val="216"/>
              <w:keepNext/>
              <w:keepLines w:val="0"/>
              <w:pageBreakBefore w:val="0"/>
              <w:spacing w:line="380" w:lineRule="exact"/>
              <w:ind w:left="109" w:right="89" w:firstLine="420"/>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2.针对评分标准中评分的每一条,</w:t>
            </w:r>
            <w:r>
              <w:rPr>
                <w:rFonts w:hint="default" w:ascii="Times New Roman" w:hAnsi="Times New Roman" w:eastAsia="宋体" w:cs="Times New Roman"/>
                <w:color w:val="auto"/>
                <w:sz w:val="21"/>
                <w:szCs w:val="21"/>
                <w:highlight w:val="none"/>
                <w:lang w:eastAsia="zh-CN"/>
              </w:rPr>
              <w:t>磋商供应商</w:t>
            </w:r>
            <w:r>
              <w:rPr>
                <w:rFonts w:hint="default" w:ascii="Times New Roman" w:hAnsi="Times New Roman" w:eastAsia="宋体" w:cs="Times New Roman"/>
                <w:color w:val="auto"/>
                <w:sz w:val="21"/>
                <w:szCs w:val="21"/>
                <w:highlight w:val="none"/>
              </w:rPr>
              <w:t>在</w:t>
            </w:r>
            <w:r>
              <w:rPr>
                <w:rFonts w:hint="default" w:ascii="Times New Roman" w:hAnsi="Times New Roman" w:eastAsia="宋体" w:cs="Times New Roman"/>
                <w:color w:val="auto"/>
                <w:sz w:val="21"/>
                <w:szCs w:val="21"/>
                <w:highlight w:val="none"/>
                <w:lang w:eastAsia="zh-CN"/>
              </w:rPr>
              <w:t>响应文件</w:t>
            </w:r>
            <w:r>
              <w:rPr>
                <w:rFonts w:hint="default" w:ascii="Times New Roman" w:hAnsi="Times New Roman" w:eastAsia="宋体" w:cs="Times New Roman"/>
                <w:color w:val="auto"/>
                <w:sz w:val="21"/>
                <w:szCs w:val="21"/>
                <w:highlight w:val="none"/>
              </w:rPr>
              <w:t>中均应提供相关资料并作出相应说明供评委评判,不提供相关资料的视为不具备该项得分的条件,对于有原件备查要求的,相关原件或公证件必须在投标截止时间前与</w:t>
            </w:r>
            <w:r>
              <w:rPr>
                <w:rFonts w:hint="default" w:ascii="Times New Roman" w:hAnsi="Times New Roman" w:eastAsia="宋体" w:cs="Times New Roman"/>
                <w:color w:val="auto"/>
                <w:sz w:val="21"/>
                <w:szCs w:val="21"/>
                <w:highlight w:val="none"/>
                <w:lang w:eastAsia="zh-CN"/>
              </w:rPr>
              <w:t>响应文件</w:t>
            </w:r>
            <w:r>
              <w:rPr>
                <w:rFonts w:hint="default" w:ascii="Times New Roman" w:hAnsi="Times New Roman" w:eastAsia="宋体" w:cs="Times New Roman"/>
                <w:color w:val="auto"/>
                <w:sz w:val="21"/>
                <w:szCs w:val="21"/>
                <w:highlight w:val="none"/>
              </w:rPr>
              <w:t>同时提交给现场工作人员以供评标委员会核实,否则对应评分项目不得分。</w:t>
            </w:r>
          </w:p>
        </w:tc>
      </w:tr>
    </w:tbl>
    <w:p w14:paraId="092786DC">
      <w:pPr>
        <w:rPr>
          <w:rFonts w:hint="default" w:ascii="Times New Roman" w:hAnsi="Times New Roman" w:cs="Times New Roman"/>
          <w:color w:val="auto"/>
          <w:highlight w:val="none"/>
        </w:rPr>
      </w:pPr>
    </w:p>
    <w:p w14:paraId="76BB2A7D">
      <w:pPr>
        <w:spacing w:line="360" w:lineRule="auto"/>
        <w:rPr>
          <w:rFonts w:hint="default" w:ascii="Times New Roman" w:hAnsi="Times New Roman" w:cs="Times New Roman" w:eastAsiaTheme="minorEastAsia"/>
          <w:b/>
          <w:bCs/>
          <w:color w:val="auto"/>
          <w:szCs w:val="21"/>
          <w:highlight w:val="none"/>
        </w:rPr>
      </w:pPr>
      <w:r>
        <w:rPr>
          <w:rFonts w:hint="default" w:ascii="Times New Roman" w:hAnsi="Times New Roman" w:cs="Times New Roman" w:eastAsiaTheme="minorEastAsia"/>
          <w:b/>
          <w:bCs/>
          <w:color w:val="auto"/>
          <w:szCs w:val="21"/>
          <w:highlight w:val="none"/>
        </w:rPr>
        <w:t>注：</w:t>
      </w:r>
    </w:p>
    <w:p w14:paraId="09641153">
      <w:pPr>
        <w:numPr>
          <w:ilvl w:val="0"/>
          <w:numId w:val="0"/>
        </w:numPr>
        <w:spacing w:line="360" w:lineRule="auto"/>
        <w:ind w:firstLine="422"/>
        <w:rPr>
          <w:rFonts w:hint="default" w:ascii="Times New Roman" w:hAnsi="Times New Roman" w:cs="Times New Roman" w:eastAsiaTheme="minorEastAsia"/>
          <w:b/>
          <w:bCs/>
          <w:color w:val="auto"/>
          <w:szCs w:val="21"/>
          <w:highlight w:val="none"/>
        </w:rPr>
      </w:pPr>
      <w:r>
        <w:rPr>
          <w:rFonts w:hint="default" w:ascii="Times New Roman" w:hAnsi="Times New Roman" w:cs="Times New Roman" w:eastAsiaTheme="minorEastAsia"/>
          <w:b/>
          <w:bCs/>
          <w:color w:val="auto"/>
          <w:sz w:val="21"/>
          <w:szCs w:val="21"/>
          <w:highlight w:val="none"/>
          <w:lang w:val="en-US" w:eastAsia="zh-CN" w:bidi="ar-SA"/>
        </w:rPr>
        <w:t>1.</w:t>
      </w:r>
      <w:r>
        <w:rPr>
          <w:rFonts w:hint="default" w:ascii="Times New Roman" w:hAnsi="Times New Roman" w:cs="Times New Roman" w:eastAsiaTheme="minorEastAsia"/>
          <w:b/>
          <w:bCs/>
          <w:color w:val="auto"/>
          <w:szCs w:val="21"/>
          <w:highlight w:val="none"/>
        </w:rPr>
        <w:t xml:space="preserve">上述响应文件中，证书或证明或业绩必须提供复印件或扫描件（加盖供应商公章），如发现弄虚作假的，将按照本采购文件相关条款规定予以处理。 </w:t>
      </w:r>
    </w:p>
    <w:p w14:paraId="668F8CC7">
      <w:pPr>
        <w:numPr>
          <w:ilvl w:val="0"/>
          <w:numId w:val="0"/>
        </w:numPr>
        <w:spacing w:line="360" w:lineRule="auto"/>
        <w:ind w:firstLine="422"/>
        <w:rPr>
          <w:rFonts w:hint="default" w:ascii="Times New Roman" w:hAnsi="Times New Roman" w:cs="Times New Roman" w:eastAsiaTheme="minorEastAsia"/>
          <w:b/>
          <w:bCs/>
          <w:color w:val="auto"/>
          <w:szCs w:val="21"/>
          <w:highlight w:val="none"/>
        </w:rPr>
      </w:pPr>
      <w:r>
        <w:rPr>
          <w:rFonts w:hint="default" w:ascii="Times New Roman" w:hAnsi="Times New Roman" w:cs="Times New Roman" w:eastAsiaTheme="minorEastAsia"/>
          <w:b/>
          <w:bCs/>
          <w:color w:val="auto"/>
          <w:szCs w:val="21"/>
          <w:highlight w:val="none"/>
        </w:rPr>
        <w:t>2.评委依据采购文件载明的方法评分，评分四舍五入精确到小数点后两位。</w:t>
      </w:r>
    </w:p>
    <w:p w14:paraId="3943CE6A">
      <w:pPr>
        <w:numPr>
          <w:ilvl w:val="0"/>
          <w:numId w:val="0"/>
        </w:numPr>
        <w:spacing w:line="360" w:lineRule="auto"/>
        <w:ind w:firstLine="422"/>
        <w:rPr>
          <w:rFonts w:hint="default" w:ascii="Times New Roman" w:hAnsi="Times New Roman" w:cs="Times New Roman" w:eastAsiaTheme="minorEastAsia"/>
          <w:b/>
          <w:bCs/>
          <w:color w:val="auto"/>
          <w:highlight w:val="none"/>
          <w14:ligatures w14:val="none"/>
        </w:rPr>
      </w:pPr>
      <w:r>
        <w:rPr>
          <w:rFonts w:hint="default" w:ascii="Times New Roman" w:hAnsi="Times New Roman" w:cs="Times New Roman" w:eastAsiaTheme="minorEastAsia"/>
          <w:b/>
          <w:bCs/>
          <w:color w:val="auto"/>
          <w:highlight w:val="none"/>
        </w:rPr>
        <w:t>3.政府采购政策功能落实</w:t>
      </w:r>
      <w:r>
        <w:rPr>
          <w:rFonts w:hint="default" w:ascii="Times New Roman" w:hAnsi="Times New Roman" w:cs="Times New Roman" w:eastAsiaTheme="minorEastAsia"/>
          <w:b/>
          <w:bCs/>
          <w:color w:val="auto"/>
          <w:highlight w:val="none"/>
          <w:lang w:eastAsia="zh-CN"/>
        </w:rPr>
        <w:t>：</w:t>
      </w:r>
      <w:r>
        <w:rPr>
          <w:rFonts w:hint="default" w:ascii="Times New Roman" w:hAnsi="Times New Roman" w:cs="Times New Roman" w:eastAsiaTheme="minorEastAsia"/>
          <w:b/>
          <w:bCs/>
          <w:color w:val="auto"/>
          <w:highlight w:val="none"/>
        </w:rPr>
        <w:t>本项目专门面向中小企业，供应商应为中小微企业或监狱企业或残疾人福利性单位。</w:t>
      </w:r>
    </w:p>
    <w:p w14:paraId="4D5B87BA">
      <w:pPr>
        <w:spacing w:line="360" w:lineRule="auto"/>
        <w:ind w:firstLine="482"/>
        <w:rPr>
          <w:rFonts w:hint="default" w:ascii="Times New Roman" w:hAnsi="Times New Roman" w:cs="Times New Roman" w:eastAsiaTheme="minorEastAsia"/>
          <w:b/>
          <w:color w:val="auto"/>
          <w:szCs w:val="21"/>
          <w:highlight w:val="none"/>
        </w:rPr>
      </w:pPr>
      <w:r>
        <w:rPr>
          <w:rFonts w:hint="default" w:ascii="Times New Roman" w:hAnsi="Times New Roman" w:cs="Times New Roman" w:eastAsiaTheme="minorEastAsia"/>
          <w:b/>
          <w:color w:val="auto"/>
          <w:szCs w:val="21"/>
          <w:highlight w:val="none"/>
        </w:rPr>
        <w:t>六、成交供应商的确定</w:t>
      </w:r>
    </w:p>
    <w:p w14:paraId="439C6560">
      <w:pPr>
        <w:spacing w:line="360" w:lineRule="auto"/>
        <w:ind w:firstLine="420"/>
        <w:rPr>
          <w:rFonts w:hint="default" w:ascii="Times New Roman" w:hAnsi="Times New Roman" w:cs="Times New Roman" w:eastAsiaTheme="minorEastAsia"/>
          <w:color w:val="auto"/>
          <w:szCs w:val="21"/>
          <w:highlight w:val="none"/>
        </w:rPr>
      </w:pPr>
      <w:r>
        <w:rPr>
          <w:rFonts w:hint="default" w:ascii="Times New Roman" w:hAnsi="Times New Roman" w:cs="Times New Roman" w:eastAsiaTheme="minorEastAsia"/>
          <w:color w:val="auto"/>
          <w:szCs w:val="21"/>
          <w:highlight w:val="none"/>
        </w:rPr>
        <w:t>磋商小组汇总各评委评分后，按照得分从高到低的顺序推荐3名成交候选人，并编写评审报告。采购人委托磋商小组直接确定排名第一的成交候选人为成交供应商。</w:t>
      </w:r>
    </w:p>
    <w:p w14:paraId="3EE93CAB">
      <w:pPr>
        <w:spacing w:line="360" w:lineRule="auto"/>
        <w:ind w:firstLine="482"/>
        <w:rPr>
          <w:rFonts w:hint="default" w:ascii="Times New Roman" w:hAnsi="Times New Roman" w:cs="Times New Roman" w:eastAsiaTheme="minorEastAsia"/>
          <w:b/>
          <w:color w:val="auto"/>
          <w:szCs w:val="21"/>
          <w:highlight w:val="none"/>
        </w:rPr>
      </w:pPr>
      <w:r>
        <w:rPr>
          <w:rFonts w:hint="default" w:ascii="Times New Roman" w:hAnsi="Times New Roman" w:cs="Times New Roman" w:eastAsiaTheme="minorEastAsia"/>
          <w:b/>
          <w:color w:val="auto"/>
          <w:szCs w:val="21"/>
          <w:highlight w:val="none"/>
        </w:rPr>
        <w:t>当成交商无正当理由放弃成交，被查实存在影响成交结果的违法行为等情形，采购人有权按照政府采购相关法律法规的规定对其采取惩戒措施，包含但不限于列入采购失信人黑名单等措施。</w:t>
      </w:r>
    </w:p>
    <w:p w14:paraId="5D53588E">
      <w:pPr>
        <w:spacing w:line="360" w:lineRule="auto"/>
        <w:ind w:firstLine="482"/>
        <w:rPr>
          <w:rFonts w:hint="default" w:ascii="Times New Roman" w:hAnsi="Times New Roman" w:cs="Times New Roman" w:eastAsiaTheme="minorEastAsia"/>
          <w:b/>
          <w:color w:val="auto"/>
          <w:szCs w:val="21"/>
          <w:highlight w:val="none"/>
        </w:rPr>
      </w:pPr>
      <w:r>
        <w:rPr>
          <w:rFonts w:hint="default" w:ascii="Times New Roman" w:hAnsi="Times New Roman" w:cs="Times New Roman" w:eastAsiaTheme="minorEastAsia"/>
          <w:b/>
          <w:color w:val="auto"/>
          <w:szCs w:val="21"/>
          <w:highlight w:val="none"/>
        </w:rPr>
        <w:t>当排名第一的成交候选人放弃成交、因不可抗力不能履行合同，或者被查实存在影响成交结果的违法行为等情形，不符合成交条件的，采购人可以按照磋商小组提出的成交候选人名单排序依次确定其他成交候选人为成交商，也可以重新组织采购。</w:t>
      </w:r>
    </w:p>
    <w:p w14:paraId="2086DE6A">
      <w:pPr>
        <w:spacing w:line="360" w:lineRule="auto"/>
        <w:ind w:firstLine="482"/>
        <w:rPr>
          <w:rFonts w:hint="default" w:ascii="Times New Roman" w:hAnsi="Times New Roman" w:cs="Times New Roman" w:eastAsiaTheme="minorEastAsia"/>
          <w:b/>
          <w:color w:val="auto"/>
          <w:szCs w:val="21"/>
          <w:highlight w:val="none"/>
        </w:rPr>
      </w:pPr>
      <w:r>
        <w:rPr>
          <w:rFonts w:hint="default" w:ascii="Times New Roman" w:hAnsi="Times New Roman" w:cs="Times New Roman" w:eastAsiaTheme="minorEastAsia"/>
          <w:b/>
          <w:color w:val="auto"/>
          <w:szCs w:val="21"/>
          <w:highlight w:val="none"/>
        </w:rPr>
        <w:t>七、公告成交结果及发放成交通知书</w:t>
      </w:r>
    </w:p>
    <w:p w14:paraId="2D6816F3">
      <w:pPr>
        <w:spacing w:line="360" w:lineRule="auto"/>
        <w:ind w:firstLine="480"/>
        <w:rPr>
          <w:rFonts w:hint="default" w:ascii="Times New Roman" w:hAnsi="Times New Roman" w:cs="Times New Roman" w:eastAsiaTheme="minorEastAsia"/>
          <w:color w:val="auto"/>
          <w:szCs w:val="21"/>
          <w:highlight w:val="none"/>
        </w:rPr>
      </w:pPr>
      <w:r>
        <w:rPr>
          <w:rFonts w:hint="default" w:ascii="Times New Roman" w:hAnsi="Times New Roman" w:cs="Times New Roman" w:eastAsiaTheme="minorEastAsia"/>
          <w:color w:val="auto"/>
          <w:szCs w:val="21"/>
          <w:highlight w:val="none"/>
        </w:rPr>
        <w:t>1.自确定成交供应商之日起2个工作日内，在江苏政府采购网公告成交结果，公告期限为1个工作日。</w:t>
      </w:r>
    </w:p>
    <w:p w14:paraId="09F0D5D1">
      <w:pPr>
        <w:spacing w:line="360" w:lineRule="auto"/>
        <w:ind w:firstLine="480"/>
        <w:rPr>
          <w:rFonts w:hint="default" w:ascii="Times New Roman" w:hAnsi="Times New Roman" w:eastAsia="宋体" w:cs="Times New Roman"/>
          <w:color w:val="auto"/>
          <w:sz w:val="21"/>
          <w:szCs w:val="21"/>
          <w:highlight w:val="none"/>
        </w:rPr>
      </w:pPr>
      <w:r>
        <w:rPr>
          <w:rFonts w:hint="default" w:ascii="Times New Roman" w:hAnsi="Times New Roman" w:cs="Times New Roman" w:eastAsiaTheme="minorEastAsia"/>
          <w:color w:val="auto"/>
          <w:szCs w:val="21"/>
          <w:highlight w:val="none"/>
        </w:rPr>
        <w:t>2.公告成交结果的同时，采购代理机构向成交供应商发放成交通知书。成交通知书发出后，采购人不得违法改变成交结果，成交供应商无正当理由不得放弃成交。</w:t>
      </w:r>
    </w:p>
    <w:p w14:paraId="29F232F2">
      <w:pPr>
        <w:pStyle w:val="13"/>
        <w:spacing w:line="360" w:lineRule="auto"/>
        <w:rPr>
          <w:rFonts w:hint="default" w:ascii="Times New Roman" w:hAnsi="Times New Roman" w:eastAsia="宋体" w:cs="Times New Roman"/>
          <w:color w:val="auto"/>
          <w:sz w:val="21"/>
          <w:szCs w:val="21"/>
          <w:highlight w:val="none"/>
        </w:rPr>
      </w:pPr>
    </w:p>
    <w:p w14:paraId="14157621">
      <w:pPr>
        <w:rPr>
          <w:rFonts w:hint="default" w:ascii="Times New Roman" w:hAnsi="Times New Roman" w:cs="Times New Roman"/>
          <w:b/>
          <w:color w:val="auto"/>
          <w:sz w:val="36"/>
          <w:highlight w:val="none"/>
        </w:rPr>
      </w:pPr>
      <w:r>
        <w:rPr>
          <w:rFonts w:hint="default" w:ascii="Times New Roman" w:hAnsi="Times New Roman" w:cs="Times New Roman"/>
          <w:b/>
          <w:color w:val="auto"/>
          <w:sz w:val="36"/>
          <w:highlight w:val="none"/>
        </w:rPr>
        <w:br w:type="page" w:clear="all"/>
      </w:r>
    </w:p>
    <w:p w14:paraId="53797B8D">
      <w:pPr>
        <w:pStyle w:val="20"/>
        <w:rPr>
          <w:rFonts w:hint="default" w:ascii="Times New Roman" w:hAnsi="Times New Roman" w:cs="Times New Roman"/>
          <w:color w:val="auto"/>
          <w:highlight w:val="none"/>
        </w:rPr>
      </w:pPr>
    </w:p>
    <w:p w14:paraId="7F660DA7">
      <w:pPr>
        <w:pStyle w:val="2"/>
        <w:spacing w:line="360" w:lineRule="auto"/>
        <w:rPr>
          <w:rFonts w:hint="default" w:ascii="Times New Roman" w:hAnsi="Times New Roman" w:cs="Times New Roman"/>
          <w:color w:val="auto"/>
          <w:highlight w:val="none"/>
        </w:rPr>
      </w:pPr>
      <w:r>
        <w:rPr>
          <w:rFonts w:hint="default" w:ascii="Times New Roman" w:hAnsi="Times New Roman" w:cs="Times New Roman"/>
          <w:color w:val="auto"/>
          <w:highlight w:val="none"/>
        </w:rPr>
        <w:t>第六章 响应文件格式</w:t>
      </w:r>
    </w:p>
    <w:p w14:paraId="7D0D9B38">
      <w:pPr>
        <w:keepNext w:val="0"/>
        <w:keepLines w:val="0"/>
        <w:pageBreakBefore w:val="0"/>
        <w:pBdr>
          <w:top w:val="none" w:color="000000" w:sz="0" w:space="0"/>
          <w:left w:val="none" w:color="000000" w:sz="0" w:space="0"/>
          <w:bottom w:val="none" w:color="000000" w:sz="0" w:space="0"/>
          <w:right w:val="none" w:color="000000" w:sz="0" w:space="0"/>
        </w:pBdr>
        <w:spacing w:beforeAutospacing="0" w:afterAutospacing="0" w:line="360" w:lineRule="auto"/>
        <w:jc w:val="center"/>
        <w:rPr>
          <w:rFonts w:hint="default" w:ascii="Times New Roman" w:hAnsi="Times New Roman" w:cs="Times New Roman"/>
          <w:color w:val="auto"/>
          <w:highlight w:val="none"/>
        </w:rPr>
      </w:pPr>
      <w:r>
        <w:rPr>
          <w:rFonts w:hint="default" w:ascii="Times New Roman" w:hAnsi="Times New Roman" w:cs="Times New Roman"/>
          <w:color w:val="auto"/>
          <w:sz w:val="28"/>
          <w:highlight w:val="none"/>
        </w:rPr>
        <w:t>（</w:t>
      </w:r>
      <w:r>
        <w:rPr>
          <w:rFonts w:hint="default" w:ascii="Times New Roman" w:hAnsi="Times New Roman" w:cs="Times New Roman"/>
          <w:b/>
          <w:color w:val="auto"/>
          <w:sz w:val="28"/>
          <w:highlight w:val="none"/>
        </w:rPr>
        <w:t>本章仅提供响应文件中的部分文件格式，不应被理解为包含了响应文件所需的全部资料）</w:t>
      </w:r>
    </w:p>
    <w:p w14:paraId="28782B03">
      <w:pPr>
        <w:keepNext w:val="0"/>
        <w:keepLines w:val="0"/>
        <w:pageBreakBefore w:val="0"/>
        <w:pBdr>
          <w:top w:val="none" w:color="000000" w:sz="0" w:space="0"/>
          <w:left w:val="none" w:color="000000" w:sz="0" w:space="0"/>
          <w:bottom w:val="none" w:color="000000" w:sz="0" w:space="0"/>
          <w:right w:val="none" w:color="000000" w:sz="0" w:space="0"/>
        </w:pBdr>
        <w:spacing w:beforeAutospacing="0" w:afterAutospacing="0" w:line="360" w:lineRule="auto"/>
        <w:rPr>
          <w:rFonts w:hint="default" w:ascii="Times New Roman" w:hAnsi="Times New Roman" w:cs="Times New Roman"/>
          <w:color w:val="auto"/>
          <w:highlight w:val="none"/>
        </w:rPr>
      </w:pPr>
      <w:r>
        <w:rPr>
          <w:rFonts w:hint="default" w:ascii="Times New Roman" w:hAnsi="Times New Roman" w:cs="Times New Roman"/>
          <w:color w:val="auto"/>
          <w:highlight w:val="none"/>
        </w:rPr>
        <w:br w:type="page" w:clear="all"/>
      </w:r>
    </w:p>
    <w:p w14:paraId="4C193BCF">
      <w:pPr>
        <w:keepNext w:val="0"/>
        <w:keepLines w:val="0"/>
        <w:pageBreakBefore w:val="0"/>
        <w:pBdr>
          <w:top w:val="none" w:color="000000" w:sz="0" w:space="0"/>
          <w:left w:val="none" w:color="000000" w:sz="0" w:space="0"/>
          <w:bottom w:val="none" w:color="000000" w:sz="0" w:space="0"/>
          <w:right w:val="none" w:color="000000" w:sz="0" w:space="0"/>
        </w:pBdr>
        <w:spacing w:beforeAutospacing="0" w:afterAutospacing="0" w:line="360" w:lineRule="auto"/>
        <w:jc w:val="center"/>
        <w:rPr>
          <w:rFonts w:hint="default" w:ascii="Times New Roman" w:hAnsi="Times New Roman" w:cs="Times New Roman"/>
          <w:color w:val="auto"/>
          <w:highlight w:val="none"/>
        </w:rPr>
      </w:pPr>
      <w:r>
        <w:rPr>
          <w:b/>
          <w:sz w:val="56"/>
        </w:rPr>
        <w:t>竞争性磋商</w:t>
      </w:r>
      <w:r>
        <w:rPr>
          <w:rFonts w:hint="default"/>
          <w:b/>
          <w:sz w:val="56"/>
        </w:rPr>
        <w:t>响 应 文 件</w:t>
      </w:r>
    </w:p>
    <w:p w14:paraId="6E3EBFC4">
      <w:pPr>
        <w:keepNext w:val="0"/>
        <w:keepLines w:val="0"/>
        <w:pageBreakBefore w:val="0"/>
        <w:pBdr>
          <w:top w:val="none" w:color="000000" w:sz="0" w:space="0"/>
          <w:left w:val="none" w:color="000000" w:sz="0" w:space="0"/>
          <w:bottom w:val="none" w:color="000000" w:sz="0" w:space="0"/>
          <w:right w:val="none" w:color="000000" w:sz="0" w:space="0"/>
        </w:pBdr>
        <w:spacing w:beforeAutospacing="0" w:afterAutospacing="0" w:line="360" w:lineRule="auto"/>
        <w:jc w:val="center"/>
        <w:rPr>
          <w:rFonts w:hint="default" w:ascii="Times New Roman" w:hAnsi="Times New Roman" w:cs="Times New Roman"/>
          <w:color w:val="auto"/>
          <w:highlight w:val="none"/>
        </w:rPr>
      </w:pPr>
      <w:r>
        <w:rPr>
          <w:rFonts w:hint="default" w:ascii="Times New Roman" w:hAnsi="Times New Roman" w:cs="Times New Roman"/>
          <w:color w:val="auto"/>
          <w:sz w:val="24"/>
          <w:highlight w:val="none"/>
        </w:rPr>
        <w:t> </w:t>
      </w:r>
    </w:p>
    <w:p w14:paraId="7948AC56">
      <w:pPr>
        <w:keepNext w:val="0"/>
        <w:keepLines w:val="0"/>
        <w:pageBreakBefore w:val="0"/>
        <w:pBdr>
          <w:top w:val="none" w:color="000000" w:sz="0" w:space="0"/>
          <w:left w:val="none" w:color="000000" w:sz="0" w:space="0"/>
          <w:bottom w:val="none" w:color="000000" w:sz="0" w:space="0"/>
          <w:right w:val="none" w:color="000000" w:sz="0" w:space="0"/>
        </w:pBdr>
        <w:spacing w:beforeAutospacing="0" w:afterAutospacing="0" w:line="360" w:lineRule="auto"/>
        <w:jc w:val="center"/>
        <w:rPr>
          <w:rFonts w:hint="default" w:ascii="Times New Roman" w:hAnsi="Times New Roman" w:cs="Times New Roman"/>
          <w:color w:val="auto"/>
          <w:highlight w:val="none"/>
        </w:rPr>
      </w:pPr>
      <w:r>
        <w:rPr>
          <w:rFonts w:hint="default" w:ascii="Times New Roman" w:hAnsi="Times New Roman" w:cs="Times New Roman"/>
          <w:color w:val="auto"/>
          <w:sz w:val="24"/>
          <w:highlight w:val="none"/>
        </w:rPr>
        <w:t> </w:t>
      </w:r>
    </w:p>
    <w:p w14:paraId="2B97339C">
      <w:pPr>
        <w:keepNext w:val="0"/>
        <w:keepLines w:val="0"/>
        <w:pageBreakBefore w:val="0"/>
        <w:pBdr>
          <w:top w:val="none" w:color="000000" w:sz="0" w:space="0"/>
          <w:left w:val="none" w:color="000000" w:sz="0" w:space="0"/>
          <w:bottom w:val="none" w:color="000000" w:sz="0" w:space="0"/>
          <w:right w:val="none" w:color="000000" w:sz="0" w:space="0"/>
        </w:pBdr>
        <w:spacing w:beforeAutospacing="0" w:afterAutospacing="0" w:line="360" w:lineRule="auto"/>
        <w:jc w:val="center"/>
        <w:rPr>
          <w:rFonts w:hint="default" w:ascii="Times New Roman" w:hAnsi="Times New Roman" w:cs="Times New Roman"/>
          <w:color w:val="auto"/>
          <w:highlight w:val="none"/>
        </w:rPr>
      </w:pPr>
      <w:r>
        <w:rPr>
          <w:rFonts w:hint="default" w:ascii="Times New Roman" w:hAnsi="Times New Roman" w:cs="Times New Roman"/>
          <w:color w:val="auto"/>
          <w:sz w:val="24"/>
          <w:highlight w:val="none"/>
        </w:rPr>
        <w:t> </w:t>
      </w:r>
    </w:p>
    <w:p w14:paraId="0728A5EF">
      <w:pPr>
        <w:keepNext w:val="0"/>
        <w:keepLines w:val="0"/>
        <w:pageBreakBefore w:val="0"/>
        <w:pBdr>
          <w:top w:val="none" w:color="000000" w:sz="0" w:space="0"/>
          <w:left w:val="none" w:color="000000" w:sz="0" w:space="0"/>
          <w:bottom w:val="none" w:color="000000" w:sz="0" w:space="0"/>
          <w:right w:val="none" w:color="000000" w:sz="0" w:space="0"/>
        </w:pBdr>
        <w:spacing w:beforeAutospacing="0" w:afterAutospacing="0" w:line="360" w:lineRule="auto"/>
        <w:jc w:val="center"/>
        <w:rPr>
          <w:rFonts w:hint="default" w:ascii="Times New Roman" w:hAnsi="Times New Roman" w:cs="Times New Roman"/>
          <w:color w:val="auto"/>
          <w:highlight w:val="none"/>
        </w:rPr>
      </w:pPr>
      <w:r>
        <w:rPr>
          <w:rFonts w:hint="default" w:ascii="Times New Roman" w:hAnsi="Times New Roman" w:cs="Times New Roman"/>
          <w:color w:val="auto"/>
          <w:sz w:val="24"/>
          <w:highlight w:val="none"/>
        </w:rPr>
        <w:t> </w:t>
      </w:r>
    </w:p>
    <w:p w14:paraId="37ADBD33">
      <w:pPr>
        <w:keepNext w:val="0"/>
        <w:keepLines w:val="0"/>
        <w:pageBreakBefore w:val="0"/>
        <w:pBdr>
          <w:top w:val="none" w:color="000000" w:sz="0" w:space="0"/>
          <w:left w:val="none" w:color="000000" w:sz="0" w:space="0"/>
          <w:bottom w:val="none" w:color="000000" w:sz="0" w:space="0"/>
          <w:right w:val="none" w:color="000000" w:sz="0" w:space="0"/>
        </w:pBdr>
        <w:spacing w:beforeAutospacing="0" w:afterAutospacing="0" w:line="360" w:lineRule="auto"/>
        <w:jc w:val="center"/>
        <w:rPr>
          <w:rFonts w:hint="default" w:ascii="Times New Roman" w:hAnsi="Times New Roman" w:cs="Times New Roman"/>
          <w:color w:val="auto"/>
          <w:highlight w:val="none"/>
        </w:rPr>
      </w:pPr>
      <w:r>
        <w:rPr>
          <w:rFonts w:hint="default" w:ascii="Times New Roman" w:hAnsi="Times New Roman" w:cs="Times New Roman"/>
          <w:color w:val="auto"/>
          <w:sz w:val="24"/>
          <w:highlight w:val="none"/>
        </w:rPr>
        <w:t> </w:t>
      </w:r>
    </w:p>
    <w:p w14:paraId="36B7504A">
      <w:pPr>
        <w:keepNext w:val="0"/>
        <w:keepLines w:val="0"/>
        <w:pageBreakBefore w:val="0"/>
        <w:pBdr>
          <w:top w:val="none" w:color="000000" w:sz="0" w:space="0"/>
          <w:left w:val="none" w:color="000000" w:sz="0" w:space="0"/>
          <w:bottom w:val="none" w:color="000000" w:sz="0" w:space="0"/>
          <w:right w:val="none" w:color="000000" w:sz="0" w:space="0"/>
        </w:pBdr>
        <w:spacing w:beforeAutospacing="0" w:afterAutospacing="0" w:line="360" w:lineRule="auto"/>
        <w:jc w:val="center"/>
        <w:rPr>
          <w:rFonts w:hint="default" w:ascii="Times New Roman" w:hAnsi="Times New Roman" w:cs="Times New Roman"/>
          <w:color w:val="auto"/>
          <w:highlight w:val="none"/>
        </w:rPr>
      </w:pPr>
      <w:r>
        <w:rPr>
          <w:rFonts w:hint="default" w:ascii="Times New Roman" w:hAnsi="Times New Roman" w:cs="Times New Roman"/>
          <w:color w:val="auto"/>
          <w:sz w:val="24"/>
          <w:highlight w:val="none"/>
        </w:rPr>
        <w:t> </w:t>
      </w:r>
    </w:p>
    <w:p w14:paraId="674C1568">
      <w:pPr>
        <w:keepNext w:val="0"/>
        <w:keepLines w:val="0"/>
        <w:pageBreakBefore w:val="0"/>
        <w:pBdr>
          <w:top w:val="none" w:color="000000" w:sz="0" w:space="0"/>
          <w:left w:val="none" w:color="000000" w:sz="0" w:space="0"/>
          <w:bottom w:val="none" w:color="000000" w:sz="0" w:space="0"/>
          <w:right w:val="none" w:color="000000" w:sz="0" w:space="0"/>
        </w:pBdr>
        <w:spacing w:beforeAutospacing="0" w:afterAutospacing="0" w:line="360" w:lineRule="auto"/>
        <w:jc w:val="center"/>
        <w:rPr>
          <w:rFonts w:hint="default" w:ascii="Times New Roman" w:hAnsi="Times New Roman" w:cs="Times New Roman"/>
          <w:color w:val="auto"/>
          <w:highlight w:val="none"/>
        </w:rPr>
      </w:pPr>
      <w:r>
        <w:rPr>
          <w:rFonts w:hint="default" w:ascii="Times New Roman" w:hAnsi="Times New Roman" w:cs="Times New Roman"/>
          <w:color w:val="auto"/>
          <w:sz w:val="24"/>
          <w:highlight w:val="none"/>
        </w:rPr>
        <w:t> </w:t>
      </w:r>
    </w:p>
    <w:p w14:paraId="361F69DF">
      <w:pPr>
        <w:keepNext w:val="0"/>
        <w:keepLines w:val="0"/>
        <w:pageBreakBefore w:val="0"/>
        <w:pBdr>
          <w:top w:val="none" w:color="000000" w:sz="0" w:space="0"/>
          <w:left w:val="none" w:color="000000" w:sz="0" w:space="0"/>
          <w:bottom w:val="none" w:color="000000" w:sz="0" w:space="0"/>
          <w:right w:val="none" w:color="000000" w:sz="0" w:space="0"/>
        </w:pBdr>
        <w:spacing w:beforeAutospacing="0" w:afterAutospacing="0" w:line="360" w:lineRule="auto"/>
        <w:jc w:val="center"/>
        <w:rPr>
          <w:rFonts w:hint="default" w:ascii="Times New Roman" w:hAnsi="Times New Roman" w:cs="Times New Roman"/>
          <w:color w:val="auto"/>
          <w:highlight w:val="none"/>
        </w:rPr>
      </w:pPr>
      <w:r>
        <w:rPr>
          <w:rFonts w:hint="default" w:ascii="Times New Roman" w:hAnsi="Times New Roman" w:cs="Times New Roman"/>
          <w:color w:val="auto"/>
          <w:sz w:val="24"/>
          <w:highlight w:val="none"/>
        </w:rPr>
        <w:t> </w:t>
      </w:r>
    </w:p>
    <w:p w14:paraId="31A6FF37">
      <w:pPr>
        <w:keepNext w:val="0"/>
        <w:keepLines w:val="0"/>
        <w:pageBreakBefore w:val="0"/>
        <w:pBdr>
          <w:top w:val="none" w:color="000000" w:sz="0" w:space="0"/>
          <w:left w:val="none" w:color="000000" w:sz="0" w:space="0"/>
          <w:bottom w:val="none" w:color="000000" w:sz="0" w:space="0"/>
          <w:right w:val="none" w:color="000000" w:sz="0" w:space="0"/>
        </w:pBdr>
        <w:spacing w:beforeAutospacing="0" w:afterAutospacing="0" w:line="360" w:lineRule="auto"/>
        <w:jc w:val="center"/>
        <w:rPr>
          <w:rFonts w:hint="default" w:ascii="Times New Roman" w:hAnsi="Times New Roman" w:cs="Times New Roman"/>
          <w:color w:val="auto"/>
          <w:highlight w:val="none"/>
        </w:rPr>
      </w:pPr>
      <w:r>
        <w:rPr>
          <w:rFonts w:hint="default" w:ascii="Times New Roman" w:hAnsi="Times New Roman" w:cs="Times New Roman"/>
          <w:color w:val="auto"/>
          <w:sz w:val="24"/>
          <w:highlight w:val="none"/>
        </w:rPr>
        <w:t> </w:t>
      </w:r>
    </w:p>
    <w:p w14:paraId="51A1BFC9">
      <w:pPr>
        <w:keepNext w:val="0"/>
        <w:keepLines w:val="0"/>
        <w:pageBreakBefore w:val="0"/>
        <w:pBdr>
          <w:top w:val="none" w:color="000000" w:sz="0" w:space="0"/>
          <w:left w:val="none" w:color="000000" w:sz="0" w:space="0"/>
          <w:bottom w:val="none" w:color="000000" w:sz="0" w:space="0"/>
          <w:right w:val="none" w:color="000000" w:sz="0" w:space="0"/>
        </w:pBdr>
        <w:spacing w:beforeAutospacing="0" w:afterAutospacing="0" w:line="360" w:lineRule="auto"/>
        <w:ind w:firstLine="400"/>
        <w:rPr>
          <w:rFonts w:hint="default" w:ascii="Times New Roman" w:hAnsi="Times New Roman" w:cs="Times New Roman"/>
          <w:color w:val="auto"/>
          <w:highlight w:val="none"/>
        </w:rPr>
      </w:pPr>
      <w:r>
        <w:rPr>
          <w:rFonts w:hint="default" w:ascii="Times New Roman" w:hAnsi="Times New Roman" w:cs="Times New Roman"/>
          <w:color w:val="auto"/>
          <w:sz w:val="24"/>
          <w:highlight w:val="none"/>
        </w:rPr>
        <w:t> </w:t>
      </w:r>
    </w:p>
    <w:p w14:paraId="1A459F73">
      <w:pPr>
        <w:keepNext w:val="0"/>
        <w:keepLines w:val="0"/>
        <w:pageBreakBefore w:val="0"/>
        <w:pBdr>
          <w:top w:val="none" w:color="000000" w:sz="0" w:space="0"/>
          <w:left w:val="none" w:color="000000" w:sz="0" w:space="0"/>
          <w:bottom w:val="none" w:color="000000" w:sz="0" w:space="0"/>
          <w:right w:val="none" w:color="000000" w:sz="0" w:space="0"/>
        </w:pBdr>
        <w:spacing w:beforeAutospacing="0" w:afterAutospacing="0" w:line="360" w:lineRule="auto"/>
        <w:rPr>
          <w:rFonts w:hint="default" w:ascii="Times New Roman" w:hAnsi="Times New Roman" w:cs="Times New Roman"/>
          <w:color w:val="auto"/>
          <w:highlight w:val="none"/>
        </w:rPr>
      </w:pPr>
      <w:r>
        <w:rPr>
          <w:rFonts w:hint="default" w:ascii="Times New Roman" w:hAnsi="Times New Roman" w:cs="Times New Roman"/>
          <w:color w:val="auto"/>
          <w:highlight w:val="none"/>
        </w:rPr>
        <w:t> </w:t>
      </w:r>
    </w:p>
    <w:p w14:paraId="2E69A531">
      <w:pPr>
        <w:keepNext w:val="0"/>
        <w:keepLines w:val="0"/>
        <w:pageBreakBefore w:val="0"/>
        <w:pBdr>
          <w:top w:val="none" w:color="000000" w:sz="0" w:space="0"/>
          <w:left w:val="none" w:color="000000" w:sz="0" w:space="0"/>
          <w:bottom w:val="none" w:color="000000" w:sz="0" w:space="0"/>
          <w:right w:val="none" w:color="000000" w:sz="0" w:space="0"/>
        </w:pBdr>
        <w:spacing w:beforeAutospacing="0" w:afterAutospacing="0" w:line="360" w:lineRule="auto"/>
        <w:ind w:firstLine="400"/>
        <w:rPr>
          <w:rFonts w:hint="default" w:ascii="Times New Roman" w:hAnsi="Times New Roman" w:cs="Times New Roman"/>
          <w:color w:val="auto"/>
          <w:highlight w:val="none"/>
        </w:rPr>
      </w:pPr>
      <w:r>
        <w:rPr>
          <w:rFonts w:hint="default" w:ascii="Times New Roman" w:hAnsi="Times New Roman" w:cs="Times New Roman"/>
          <w:color w:val="auto"/>
          <w:sz w:val="24"/>
          <w:highlight w:val="none"/>
        </w:rPr>
        <w:t> </w:t>
      </w:r>
    </w:p>
    <w:p w14:paraId="463DE324">
      <w:pPr>
        <w:keepNext w:val="0"/>
        <w:keepLines w:val="0"/>
        <w:pageBreakBefore w:val="0"/>
        <w:pBdr>
          <w:top w:val="none" w:color="000000" w:sz="0" w:space="0"/>
          <w:left w:val="none" w:color="000000" w:sz="0" w:space="0"/>
          <w:bottom w:val="none" w:color="000000" w:sz="0" w:space="0"/>
          <w:right w:val="none" w:color="000000" w:sz="0" w:space="0"/>
        </w:pBdr>
        <w:spacing w:beforeAutospacing="0" w:afterAutospacing="0" w:line="360" w:lineRule="auto"/>
        <w:rPr>
          <w:rFonts w:hint="default" w:ascii="Times New Roman" w:hAnsi="Times New Roman" w:cs="Times New Roman"/>
          <w:color w:val="auto"/>
          <w:highlight w:val="none"/>
        </w:rPr>
      </w:pPr>
      <w:r>
        <w:rPr>
          <w:rFonts w:hint="default" w:ascii="Times New Roman" w:hAnsi="Times New Roman" w:cs="Times New Roman"/>
          <w:color w:val="auto"/>
          <w:highlight w:val="none"/>
        </w:rPr>
        <w:t> </w:t>
      </w:r>
    </w:p>
    <w:p w14:paraId="76EEF842">
      <w:pPr>
        <w:keepNext w:val="0"/>
        <w:keepLines w:val="0"/>
        <w:pageBreakBefore w:val="0"/>
        <w:pBdr>
          <w:top w:val="none" w:color="000000" w:sz="0" w:space="0"/>
          <w:left w:val="none" w:color="000000" w:sz="0" w:space="0"/>
          <w:bottom w:val="none" w:color="000000" w:sz="0" w:space="0"/>
          <w:right w:val="none" w:color="000000" w:sz="0" w:space="0"/>
        </w:pBdr>
        <w:spacing w:beforeAutospacing="0" w:afterAutospacing="0" w:line="360" w:lineRule="auto"/>
        <w:jc w:val="center"/>
        <w:rPr>
          <w:rFonts w:hint="default" w:ascii="Times New Roman" w:hAnsi="Times New Roman" w:cs="Times New Roman"/>
          <w:color w:val="auto"/>
          <w:highlight w:val="none"/>
        </w:rPr>
      </w:pPr>
      <w:r>
        <w:rPr>
          <w:rFonts w:hint="default" w:ascii="Times New Roman" w:hAnsi="Times New Roman" w:cs="Times New Roman"/>
          <w:color w:val="auto"/>
          <w:sz w:val="24"/>
          <w:highlight w:val="none"/>
        </w:rPr>
        <w:t> </w:t>
      </w:r>
    </w:p>
    <w:p w14:paraId="68478BE0">
      <w:pPr>
        <w:keepNext w:val="0"/>
        <w:keepLines w:val="0"/>
        <w:pageBreakBefore w:val="0"/>
        <w:pBdr>
          <w:top w:val="none" w:color="000000" w:sz="0" w:space="0"/>
          <w:left w:val="none" w:color="000000" w:sz="0" w:space="0"/>
          <w:bottom w:val="none" w:color="000000" w:sz="0" w:space="0"/>
          <w:right w:val="none" w:color="000000" w:sz="0" w:space="0"/>
        </w:pBdr>
        <w:spacing w:beforeAutospacing="0" w:afterAutospacing="0" w:line="360" w:lineRule="auto"/>
        <w:ind w:firstLine="1285"/>
        <w:rPr>
          <w:rFonts w:hint="default" w:ascii="Times New Roman" w:hAnsi="Times New Roman" w:eastAsia="宋体" w:cs="Times New Roman"/>
          <w:color w:val="auto"/>
          <w:highlight w:val="none"/>
          <w:lang w:eastAsia="zh-CN"/>
        </w:rPr>
      </w:pPr>
      <w:r>
        <w:rPr>
          <w:rFonts w:hint="default" w:ascii="Times New Roman" w:hAnsi="Times New Roman" w:cs="Times New Roman"/>
          <w:b/>
          <w:color w:val="auto"/>
          <w:sz w:val="32"/>
          <w:highlight w:val="none"/>
        </w:rPr>
        <w:t>项目名称：</w:t>
      </w:r>
      <w:r>
        <w:rPr>
          <w:rFonts w:hint="default" w:ascii="Times New Roman" w:hAnsi="Times New Roman" w:cs="Times New Roman"/>
          <w:b/>
          <w:color w:val="auto"/>
          <w:sz w:val="32"/>
          <w:highlight w:val="none"/>
          <w:u w:val="single"/>
        </w:rPr>
        <w:t>              </w:t>
      </w:r>
    </w:p>
    <w:p w14:paraId="2138CCA1">
      <w:pPr>
        <w:keepNext w:val="0"/>
        <w:keepLines w:val="0"/>
        <w:pageBreakBefore w:val="0"/>
        <w:pBdr>
          <w:top w:val="none" w:color="000000" w:sz="0" w:space="0"/>
          <w:left w:val="none" w:color="000000" w:sz="0" w:space="0"/>
          <w:bottom w:val="none" w:color="000000" w:sz="0" w:space="0"/>
          <w:right w:val="none" w:color="000000" w:sz="0" w:space="0"/>
        </w:pBdr>
        <w:spacing w:beforeAutospacing="0" w:afterAutospacing="0" w:line="360" w:lineRule="auto"/>
        <w:ind w:firstLine="1285"/>
        <w:rPr>
          <w:rFonts w:hint="default" w:ascii="Times New Roman" w:hAnsi="Times New Roman" w:eastAsia="宋体" w:cs="Times New Roman"/>
          <w:color w:val="auto"/>
          <w:highlight w:val="none"/>
          <w:lang w:eastAsia="zh-CN"/>
        </w:rPr>
      </w:pPr>
      <w:r>
        <w:rPr>
          <w:rFonts w:hint="default" w:ascii="Times New Roman" w:hAnsi="Times New Roman" w:cs="Times New Roman"/>
          <w:b/>
          <w:color w:val="auto"/>
          <w:sz w:val="32"/>
          <w:highlight w:val="none"/>
        </w:rPr>
        <w:t>项目编号：</w:t>
      </w:r>
      <w:r>
        <w:rPr>
          <w:rFonts w:hint="default" w:ascii="Times New Roman" w:hAnsi="Times New Roman" w:cs="Times New Roman"/>
          <w:b/>
          <w:color w:val="auto"/>
          <w:sz w:val="32"/>
          <w:highlight w:val="none"/>
          <w:u w:val="single"/>
        </w:rPr>
        <w:t>              </w:t>
      </w:r>
    </w:p>
    <w:p w14:paraId="63B5DFE1">
      <w:pPr>
        <w:keepNext w:val="0"/>
        <w:keepLines w:val="0"/>
        <w:pageBreakBefore w:val="0"/>
        <w:pBdr>
          <w:top w:val="none" w:color="000000" w:sz="0" w:space="0"/>
          <w:left w:val="none" w:color="000000" w:sz="0" w:space="0"/>
          <w:bottom w:val="none" w:color="000000" w:sz="0" w:space="0"/>
          <w:right w:val="none" w:color="000000" w:sz="0" w:space="0"/>
        </w:pBdr>
        <w:spacing w:beforeAutospacing="0" w:afterAutospacing="0" w:line="360" w:lineRule="auto"/>
        <w:ind w:firstLine="1285"/>
        <w:rPr>
          <w:rFonts w:hint="default" w:ascii="Times New Roman" w:hAnsi="Times New Roman" w:cs="Times New Roman"/>
          <w:color w:val="auto"/>
          <w:highlight w:val="none"/>
        </w:rPr>
      </w:pPr>
      <w:r>
        <w:rPr>
          <w:rFonts w:hint="default" w:ascii="Times New Roman" w:hAnsi="Times New Roman" w:cs="Times New Roman"/>
          <w:b/>
          <w:color w:val="auto"/>
          <w:sz w:val="32"/>
          <w:highlight w:val="none"/>
        </w:rPr>
        <w:t>供应商名称：</w:t>
      </w:r>
      <w:r>
        <w:rPr>
          <w:rFonts w:hint="default" w:ascii="Times New Roman" w:hAnsi="Times New Roman" w:cs="Times New Roman"/>
          <w:b/>
          <w:color w:val="auto"/>
          <w:sz w:val="32"/>
          <w:highlight w:val="none"/>
          <w:u w:val="single"/>
        </w:rPr>
        <w:t>（加盖CA电子公章）</w:t>
      </w:r>
    </w:p>
    <w:p w14:paraId="5D8B9A5F">
      <w:pPr>
        <w:keepNext w:val="0"/>
        <w:keepLines w:val="0"/>
        <w:pageBreakBefore w:val="0"/>
        <w:pBdr>
          <w:top w:val="none" w:color="000000" w:sz="0" w:space="0"/>
          <w:left w:val="none" w:color="000000" w:sz="0" w:space="0"/>
          <w:bottom w:val="none" w:color="000000" w:sz="0" w:space="0"/>
          <w:right w:val="none" w:color="000000" w:sz="0" w:space="0"/>
        </w:pBdr>
        <w:spacing w:beforeAutospacing="0" w:afterAutospacing="0" w:line="360" w:lineRule="auto"/>
        <w:ind w:firstLine="1285"/>
        <w:rPr>
          <w:rFonts w:hint="default" w:ascii="Times New Roman" w:hAnsi="Times New Roman" w:eastAsia="宋体" w:cs="Times New Roman"/>
          <w:color w:val="auto"/>
          <w:highlight w:val="none"/>
          <w:lang w:eastAsia="zh-CN"/>
        </w:rPr>
      </w:pPr>
      <w:r>
        <w:rPr>
          <w:rFonts w:hint="default" w:ascii="Times New Roman" w:hAnsi="Times New Roman" w:cs="Times New Roman"/>
          <w:b/>
          <w:color w:val="auto"/>
          <w:sz w:val="32"/>
          <w:highlight w:val="none"/>
        </w:rPr>
        <w:t>日  期：</w:t>
      </w:r>
      <w:r>
        <w:rPr>
          <w:rFonts w:hint="default" w:ascii="Times New Roman" w:hAnsi="Times New Roman" w:cs="Times New Roman"/>
          <w:b/>
          <w:color w:val="auto"/>
          <w:sz w:val="32"/>
          <w:highlight w:val="none"/>
          <w:u w:val="single"/>
        </w:rPr>
        <w:t>              </w:t>
      </w:r>
    </w:p>
    <w:p w14:paraId="4770E9E5">
      <w:pPr>
        <w:keepNext w:val="0"/>
        <w:keepLines w:val="0"/>
        <w:pageBreakBefore w:val="0"/>
        <w:pBdr>
          <w:top w:val="none" w:color="000000" w:sz="0" w:space="0"/>
          <w:left w:val="none" w:color="000000" w:sz="0" w:space="0"/>
          <w:bottom w:val="none" w:color="000000" w:sz="0" w:space="0"/>
          <w:right w:val="none" w:color="000000" w:sz="0" w:space="0"/>
        </w:pBdr>
        <w:spacing w:beforeAutospacing="0" w:afterAutospacing="0" w:line="360" w:lineRule="auto"/>
        <w:rPr>
          <w:rFonts w:hint="default" w:ascii="Times New Roman" w:hAnsi="Times New Roman" w:cs="Times New Roman"/>
          <w:color w:val="auto"/>
          <w:highlight w:val="none"/>
        </w:rPr>
      </w:pPr>
      <w:r>
        <w:rPr>
          <w:rFonts w:hint="default" w:ascii="Times New Roman" w:hAnsi="Times New Roman" w:cs="Times New Roman"/>
          <w:color w:val="auto"/>
          <w:highlight w:val="none"/>
        </w:rPr>
        <w:br w:type="page" w:clear="all"/>
      </w:r>
    </w:p>
    <w:p w14:paraId="6BEEE7D3">
      <w:pPr>
        <w:keepNext w:val="0"/>
        <w:keepLines w:val="0"/>
        <w:pageBreakBefore w:val="0"/>
        <w:pBdr>
          <w:top w:val="none" w:color="000000" w:sz="0" w:space="0"/>
          <w:left w:val="none" w:color="000000" w:sz="0" w:space="0"/>
          <w:bottom w:val="none" w:color="000000" w:sz="0" w:space="0"/>
          <w:right w:val="none" w:color="000000" w:sz="0" w:space="0"/>
        </w:pBdr>
        <w:spacing w:beforeAutospacing="0" w:afterAutospacing="0" w:line="360" w:lineRule="auto"/>
        <w:ind w:firstLine="240"/>
        <w:rPr>
          <w:rFonts w:hint="default" w:ascii="Times New Roman" w:hAnsi="Times New Roman" w:cs="Times New Roman"/>
          <w:color w:val="auto"/>
          <w:highlight w:val="none"/>
        </w:rPr>
      </w:pPr>
      <w:r>
        <w:rPr>
          <w:rFonts w:hint="default" w:ascii="Times New Roman" w:hAnsi="Times New Roman" w:cs="Times New Roman"/>
          <w:color w:val="auto"/>
          <w:sz w:val="24"/>
          <w:highlight w:val="none"/>
        </w:rPr>
        <w:t>附件1：</w:t>
      </w:r>
    </w:p>
    <w:p w14:paraId="5191D4E0">
      <w:pPr>
        <w:keepNext w:val="0"/>
        <w:keepLines w:val="0"/>
        <w:pageBreakBefore w:val="0"/>
        <w:pBdr>
          <w:top w:val="none" w:color="000000" w:sz="0" w:space="0"/>
          <w:left w:val="none" w:color="000000" w:sz="0" w:space="0"/>
          <w:bottom w:val="none" w:color="000000" w:sz="0" w:space="0"/>
          <w:right w:val="none" w:color="000000" w:sz="0" w:space="0"/>
        </w:pBdr>
        <w:spacing w:beforeAutospacing="0" w:afterAutospacing="0" w:line="360" w:lineRule="auto"/>
        <w:rPr>
          <w:rFonts w:hint="default" w:ascii="Times New Roman" w:hAnsi="Times New Roman" w:cs="Times New Roman"/>
          <w:color w:val="auto"/>
          <w:highlight w:val="none"/>
        </w:rPr>
      </w:pPr>
      <w:r>
        <w:rPr>
          <w:rFonts w:hint="default" w:ascii="Times New Roman" w:hAnsi="Times New Roman" w:cs="Times New Roman"/>
          <w:color w:val="auto"/>
          <w:sz w:val="24"/>
          <w:highlight w:val="none"/>
        </w:rPr>
        <w:t> </w:t>
      </w:r>
    </w:p>
    <w:p w14:paraId="6902223B">
      <w:pPr>
        <w:pStyle w:val="6"/>
        <w:spacing w:line="360" w:lineRule="auto"/>
        <w:rPr>
          <w:rFonts w:hint="default" w:ascii="Times New Roman" w:hAnsi="Times New Roman" w:cs="Times New Roman"/>
          <w:color w:val="auto"/>
          <w:highlight w:val="none"/>
        </w:rPr>
      </w:pPr>
      <w:r>
        <w:rPr>
          <w:rFonts w:hint="default" w:ascii="Times New Roman" w:hAnsi="Times New Roman" w:cs="Times New Roman"/>
          <w:color w:val="auto"/>
          <w:highlight w:val="none"/>
        </w:rPr>
        <w:t>关于资格的声明函</w:t>
      </w:r>
    </w:p>
    <w:p w14:paraId="1E767D04">
      <w:pPr>
        <w:pStyle w:val="13"/>
        <w:spacing w:line="360" w:lineRule="auto"/>
        <w:rPr>
          <w:rFonts w:hint="default" w:ascii="Times New Roman" w:hAnsi="Times New Roman" w:cs="Times New Roman"/>
          <w:color w:val="auto"/>
          <w:highlight w:val="none"/>
        </w:rPr>
      </w:pPr>
    </w:p>
    <w:p w14:paraId="50803694">
      <w:pPr>
        <w:keepNext w:val="0"/>
        <w:keepLines w:val="0"/>
        <w:pageBreakBefore w:val="0"/>
        <w:widowControl w:val="0"/>
        <w:spacing w:line="360" w:lineRule="auto"/>
        <w:jc w:val="left"/>
        <w:rPr>
          <w:rFonts w:hint="default" w:ascii="Times New Roman" w:hAnsi="Times New Roman" w:eastAsia="宋体" w:cs="Times New Roman"/>
          <w:bCs/>
          <w:color w:val="auto"/>
          <w:sz w:val="21"/>
          <w:szCs w:val="21"/>
          <w:highlight w:val="none"/>
        </w:rPr>
      </w:pPr>
      <w:r>
        <w:rPr>
          <w:rFonts w:hint="default" w:ascii="Times New Roman" w:hAnsi="Times New Roman" w:eastAsia="宋体" w:cs="Times New Roman"/>
          <w:color w:val="auto"/>
          <w:sz w:val="21"/>
          <w:szCs w:val="21"/>
          <w:highlight w:val="none"/>
        </w:rPr>
        <w:t>泰州医药高新区(高港区)滨江工业园管理办公室</w:t>
      </w:r>
      <w:r>
        <w:rPr>
          <w:rFonts w:hint="default" w:ascii="Times New Roman" w:hAnsi="Times New Roman" w:eastAsia="宋体" w:cs="Times New Roman"/>
          <w:bCs/>
          <w:color w:val="auto"/>
          <w:sz w:val="21"/>
          <w:szCs w:val="21"/>
          <w:highlight w:val="none"/>
        </w:rPr>
        <w:t>：</w:t>
      </w:r>
    </w:p>
    <w:p w14:paraId="1DC75C54">
      <w:pPr>
        <w:keepNext w:val="0"/>
        <w:keepLines w:val="0"/>
        <w:pageBreakBefore w:val="0"/>
        <w:widowControl w:val="0"/>
        <w:spacing w:line="360" w:lineRule="auto"/>
        <w:ind w:firstLine="720"/>
        <w:rPr>
          <w:rFonts w:hint="default" w:ascii="Times New Roman" w:hAnsi="Times New Roman" w:eastAsia="宋体" w:cs="Times New Roman"/>
          <w:bCs/>
          <w:color w:val="auto"/>
          <w:sz w:val="21"/>
          <w:szCs w:val="21"/>
          <w:highlight w:val="none"/>
        </w:rPr>
      </w:pPr>
      <w:r>
        <w:rPr>
          <w:rFonts w:hint="default" w:ascii="Times New Roman" w:hAnsi="Times New Roman" w:eastAsia="宋体" w:cs="Times New Roman"/>
          <w:bCs/>
          <w:color w:val="auto"/>
          <w:sz w:val="21"/>
          <w:szCs w:val="21"/>
          <w:highlight w:val="none"/>
        </w:rPr>
        <w:t>我公司（单位）参加本次项目（</w:t>
      </w:r>
      <w:r>
        <w:rPr>
          <w:rFonts w:hint="default" w:ascii="Times New Roman" w:hAnsi="Times New Roman" w:eastAsia="宋体" w:cs="Times New Roman"/>
          <w:bCs/>
          <w:color w:val="auto"/>
          <w:sz w:val="21"/>
          <w:szCs w:val="21"/>
          <w:highlight w:val="none"/>
          <w:u w:val="single"/>
        </w:rPr>
        <w:t>项目名称：</w:t>
      </w:r>
      <w:r>
        <w:rPr>
          <w:rFonts w:hint="default" w:ascii="Times New Roman" w:hAnsi="Times New Roman" w:cs="Times New Roman"/>
          <w:bCs/>
          <w:color w:val="auto"/>
          <w:sz w:val="21"/>
          <w:szCs w:val="21"/>
          <w:highlight w:val="none"/>
          <w:u w:val="single"/>
          <w:lang w:val="en-US" w:eastAsia="zh-CN"/>
        </w:rPr>
        <w:t xml:space="preserve">   </w:t>
      </w:r>
      <w:r>
        <w:rPr>
          <w:rFonts w:hint="default" w:ascii="Times New Roman" w:hAnsi="Times New Roman" w:eastAsia="宋体" w:cs="Times New Roman"/>
          <w:bCs/>
          <w:color w:val="auto"/>
          <w:sz w:val="21"/>
          <w:szCs w:val="21"/>
          <w:highlight w:val="none"/>
          <w:u w:val="single"/>
        </w:rPr>
        <w:t>项目编号：</w:t>
      </w:r>
      <w:r>
        <w:rPr>
          <w:rFonts w:hint="default" w:ascii="Times New Roman" w:hAnsi="Times New Roman" w:cs="Times New Roman"/>
          <w:bCs/>
          <w:color w:val="auto"/>
          <w:sz w:val="21"/>
          <w:szCs w:val="21"/>
          <w:highlight w:val="none"/>
          <w:u w:val="single"/>
          <w:lang w:val="en-US" w:eastAsia="zh-CN"/>
        </w:rPr>
        <w:t xml:space="preserve">  采购包号：</w:t>
      </w:r>
      <w:r>
        <w:rPr>
          <w:rFonts w:hint="default" w:ascii="Times New Roman" w:hAnsi="Times New Roman" w:eastAsia="宋体" w:cs="Times New Roman"/>
          <w:bCs/>
          <w:color w:val="auto"/>
          <w:sz w:val="21"/>
          <w:szCs w:val="21"/>
          <w:highlight w:val="none"/>
        </w:rPr>
        <w:t>）政府采购活动前三年内，在经营活动中没有重大违法记录，我公司（单位）愿针对本次项目（</w:t>
      </w:r>
      <w:r>
        <w:rPr>
          <w:rFonts w:hint="default" w:ascii="Times New Roman" w:hAnsi="Times New Roman" w:eastAsia="宋体" w:cs="Times New Roman"/>
          <w:bCs/>
          <w:color w:val="auto"/>
          <w:sz w:val="21"/>
          <w:szCs w:val="21"/>
          <w:highlight w:val="none"/>
          <w:u w:val="single"/>
        </w:rPr>
        <w:t>项目名称：</w:t>
      </w:r>
      <w:r>
        <w:rPr>
          <w:rFonts w:hint="default" w:ascii="Times New Roman" w:hAnsi="Times New Roman" w:cs="Times New Roman"/>
          <w:bCs/>
          <w:color w:val="auto"/>
          <w:sz w:val="21"/>
          <w:szCs w:val="21"/>
          <w:highlight w:val="none"/>
          <w:u w:val="single"/>
          <w:lang w:val="en-US" w:eastAsia="zh-CN"/>
        </w:rPr>
        <w:t xml:space="preserve">  </w:t>
      </w:r>
      <w:r>
        <w:rPr>
          <w:rFonts w:hint="default" w:ascii="Times New Roman" w:hAnsi="Times New Roman" w:eastAsia="宋体" w:cs="Times New Roman"/>
          <w:bCs/>
          <w:color w:val="auto"/>
          <w:sz w:val="21"/>
          <w:szCs w:val="21"/>
          <w:highlight w:val="none"/>
          <w:u w:val="single"/>
        </w:rPr>
        <w:t>项目编号：</w:t>
      </w:r>
      <w:r>
        <w:rPr>
          <w:rFonts w:hint="default" w:ascii="Times New Roman" w:hAnsi="Times New Roman" w:cs="Times New Roman"/>
          <w:bCs/>
          <w:color w:val="auto"/>
          <w:sz w:val="21"/>
          <w:szCs w:val="21"/>
          <w:highlight w:val="none"/>
          <w:u w:val="single"/>
          <w:lang w:val="en-US" w:eastAsia="zh-CN"/>
        </w:rPr>
        <w:t xml:space="preserve"> 采购包号： </w:t>
      </w:r>
      <w:r>
        <w:rPr>
          <w:rFonts w:hint="default" w:ascii="Times New Roman" w:hAnsi="Times New Roman" w:eastAsia="宋体" w:cs="Times New Roman"/>
          <w:bCs/>
          <w:color w:val="auto"/>
          <w:sz w:val="21"/>
          <w:szCs w:val="21"/>
          <w:highlight w:val="none"/>
        </w:rPr>
        <w:t>）进行投标，</w:t>
      </w:r>
      <w:r>
        <w:rPr>
          <w:rFonts w:hint="default" w:ascii="Times New Roman" w:hAnsi="Times New Roman" w:cs="Times New Roman"/>
          <w:bCs/>
          <w:color w:val="auto"/>
          <w:sz w:val="21"/>
          <w:szCs w:val="21"/>
          <w:highlight w:val="none"/>
          <w:lang w:eastAsia="zh-CN"/>
        </w:rPr>
        <w:t>响应文件</w:t>
      </w:r>
      <w:r>
        <w:rPr>
          <w:rFonts w:hint="default" w:ascii="Times New Roman" w:hAnsi="Times New Roman" w:eastAsia="宋体" w:cs="Times New Roman"/>
          <w:bCs/>
          <w:color w:val="auto"/>
          <w:sz w:val="21"/>
          <w:szCs w:val="21"/>
          <w:highlight w:val="none"/>
        </w:rPr>
        <w:t>中所有关于投标资格的文件、证明、陈述均是真实的、准确的。若有违背，我公司（单位）愿意承担由此而产生的一切后果。</w:t>
      </w:r>
    </w:p>
    <w:p w14:paraId="77363B73">
      <w:pPr>
        <w:keepNext w:val="0"/>
        <w:keepLines w:val="0"/>
        <w:pageBreakBefore w:val="0"/>
        <w:widowControl w:val="0"/>
        <w:spacing w:line="360" w:lineRule="auto"/>
        <w:jc w:val="left"/>
        <w:rPr>
          <w:rFonts w:hint="default" w:ascii="Times New Roman" w:hAnsi="Times New Roman" w:eastAsia="宋体" w:cs="Times New Roman"/>
          <w:bCs/>
          <w:color w:val="auto"/>
          <w:sz w:val="21"/>
          <w:szCs w:val="21"/>
          <w:highlight w:val="none"/>
        </w:rPr>
      </w:pPr>
    </w:p>
    <w:p w14:paraId="2C0FB5D9">
      <w:pPr>
        <w:keepNext w:val="0"/>
        <w:keepLines w:val="0"/>
        <w:pageBreakBefore w:val="0"/>
        <w:widowControl w:val="0"/>
        <w:spacing w:line="360" w:lineRule="auto"/>
        <w:jc w:val="left"/>
        <w:rPr>
          <w:rFonts w:hint="default" w:ascii="Times New Roman" w:hAnsi="Times New Roman" w:eastAsia="宋体" w:cs="Times New Roman"/>
          <w:bCs/>
          <w:color w:val="auto"/>
          <w:sz w:val="21"/>
          <w:szCs w:val="21"/>
          <w:highlight w:val="none"/>
        </w:rPr>
      </w:pPr>
    </w:p>
    <w:p w14:paraId="70C413CA">
      <w:pPr>
        <w:keepNext w:val="0"/>
        <w:keepLines w:val="0"/>
        <w:pageBreakBefore w:val="0"/>
        <w:widowControl w:val="0"/>
        <w:spacing w:line="360" w:lineRule="auto"/>
        <w:jc w:val="right"/>
        <w:rPr>
          <w:rFonts w:hint="default" w:ascii="Times New Roman" w:hAnsi="Times New Roman" w:eastAsia="宋体" w:cs="Times New Roman"/>
          <w:bCs/>
          <w:color w:val="auto"/>
          <w:sz w:val="21"/>
          <w:szCs w:val="21"/>
          <w:highlight w:val="none"/>
        </w:rPr>
      </w:pPr>
      <w:r>
        <w:rPr>
          <w:rFonts w:hint="default" w:ascii="Times New Roman" w:hAnsi="Times New Roman" w:cs="Times New Roman"/>
          <w:bCs/>
          <w:color w:val="auto"/>
          <w:sz w:val="21"/>
          <w:szCs w:val="21"/>
          <w:highlight w:val="none"/>
          <w:lang w:eastAsia="zh-CN"/>
        </w:rPr>
        <w:t>磋商供应商</w:t>
      </w:r>
      <w:r>
        <w:rPr>
          <w:rFonts w:hint="default" w:ascii="Times New Roman" w:hAnsi="Times New Roman" w:eastAsia="宋体" w:cs="Times New Roman"/>
          <w:bCs/>
          <w:color w:val="auto"/>
          <w:sz w:val="21"/>
          <w:szCs w:val="21"/>
          <w:highlight w:val="none"/>
        </w:rPr>
        <w:t>（</w:t>
      </w:r>
      <w:r>
        <w:rPr>
          <w:rFonts w:hint="default" w:ascii="Times New Roman" w:hAnsi="Times New Roman" w:eastAsia="宋体" w:cs="Times New Roman"/>
          <w:color w:val="auto"/>
          <w:sz w:val="21"/>
          <w:szCs w:val="21"/>
          <w:highlight w:val="none"/>
        </w:rPr>
        <w:t>加盖CA电子公章</w:t>
      </w:r>
      <w:r>
        <w:rPr>
          <w:rFonts w:hint="default" w:ascii="Times New Roman" w:hAnsi="Times New Roman" w:eastAsia="宋体" w:cs="Times New Roman"/>
          <w:bCs/>
          <w:color w:val="auto"/>
          <w:sz w:val="21"/>
          <w:szCs w:val="21"/>
          <w:highlight w:val="none"/>
        </w:rPr>
        <w:t>）：</w:t>
      </w:r>
    </w:p>
    <w:p w14:paraId="1ACF0BAE">
      <w:pPr>
        <w:keepNext w:val="0"/>
        <w:keepLines w:val="0"/>
        <w:pageBreakBefore w:val="0"/>
        <w:widowControl w:val="0"/>
        <w:spacing w:line="360" w:lineRule="auto"/>
        <w:jc w:val="right"/>
        <w:rPr>
          <w:rFonts w:hint="default" w:ascii="Times New Roman" w:hAnsi="Times New Roman" w:eastAsia="宋体" w:cs="Times New Roman"/>
          <w:bCs/>
          <w:color w:val="auto"/>
          <w:sz w:val="21"/>
          <w:szCs w:val="21"/>
          <w:highlight w:val="none"/>
        </w:rPr>
      </w:pPr>
      <w:r>
        <w:rPr>
          <w:rFonts w:hint="default" w:ascii="Times New Roman" w:hAnsi="Times New Roman" w:eastAsia="宋体" w:cs="Times New Roman"/>
          <w:bCs/>
          <w:color w:val="auto"/>
          <w:sz w:val="21"/>
          <w:szCs w:val="21"/>
          <w:highlight w:val="none"/>
        </w:rPr>
        <w:t>法定代表人或法定代表人授权代表（签字或盖章）：</w:t>
      </w:r>
    </w:p>
    <w:p w14:paraId="162BEBD0">
      <w:pPr>
        <w:keepNext w:val="0"/>
        <w:keepLines w:val="0"/>
        <w:pageBreakBefore w:val="0"/>
        <w:widowControl w:val="0"/>
        <w:spacing w:line="360" w:lineRule="auto"/>
        <w:ind w:firstLine="480"/>
        <w:jc w:val="right"/>
        <w:rPr>
          <w:rFonts w:hint="default" w:ascii="Times New Roman" w:hAnsi="Times New Roman" w:eastAsia="仿宋" w:cs="Times New Roman"/>
          <w:bCs/>
          <w:color w:val="auto"/>
          <w:sz w:val="21"/>
          <w:szCs w:val="21"/>
          <w:highlight w:val="none"/>
        </w:rPr>
      </w:pPr>
      <w:r>
        <w:rPr>
          <w:rFonts w:hint="default" w:ascii="Times New Roman" w:hAnsi="Times New Roman" w:eastAsia="宋体" w:cs="Times New Roman"/>
          <w:bCs/>
          <w:color w:val="auto"/>
          <w:sz w:val="21"/>
          <w:szCs w:val="21"/>
          <w:highlight w:val="none"/>
        </w:rPr>
        <w:t>日期：年</w:t>
      </w:r>
      <w:r>
        <w:rPr>
          <w:rFonts w:hint="default" w:ascii="Times New Roman" w:hAnsi="Times New Roman" w:cs="Times New Roman"/>
          <w:bCs/>
          <w:color w:val="auto"/>
          <w:sz w:val="21"/>
          <w:szCs w:val="21"/>
          <w:highlight w:val="none"/>
          <w:lang w:val="en-US" w:eastAsia="zh-CN"/>
        </w:rPr>
        <w:t xml:space="preserve">  </w:t>
      </w:r>
      <w:r>
        <w:rPr>
          <w:rFonts w:hint="default" w:ascii="Times New Roman" w:hAnsi="Times New Roman" w:eastAsia="宋体" w:cs="Times New Roman"/>
          <w:bCs/>
          <w:color w:val="auto"/>
          <w:sz w:val="21"/>
          <w:szCs w:val="21"/>
          <w:highlight w:val="none"/>
        </w:rPr>
        <w:t>月</w:t>
      </w:r>
      <w:r>
        <w:rPr>
          <w:rFonts w:hint="default" w:ascii="Times New Roman" w:hAnsi="Times New Roman" w:cs="Times New Roman"/>
          <w:bCs/>
          <w:color w:val="auto"/>
          <w:sz w:val="21"/>
          <w:szCs w:val="21"/>
          <w:highlight w:val="none"/>
          <w:lang w:val="en-US" w:eastAsia="zh-CN"/>
        </w:rPr>
        <w:t xml:space="preserve">  </w:t>
      </w:r>
      <w:r>
        <w:rPr>
          <w:rFonts w:hint="default" w:ascii="Times New Roman" w:hAnsi="Times New Roman" w:eastAsia="宋体" w:cs="Times New Roman"/>
          <w:bCs/>
          <w:color w:val="auto"/>
          <w:sz w:val="21"/>
          <w:szCs w:val="21"/>
          <w:highlight w:val="none"/>
        </w:rPr>
        <w:t>日</w:t>
      </w:r>
    </w:p>
    <w:p w14:paraId="49FB0BC2">
      <w:pPr>
        <w:keepNext w:val="0"/>
        <w:keepLines w:val="0"/>
        <w:pageBreakBefore w:val="0"/>
        <w:pBdr>
          <w:top w:val="none" w:color="000000" w:sz="0" w:space="0"/>
          <w:left w:val="none" w:color="000000" w:sz="0" w:space="0"/>
          <w:bottom w:val="none" w:color="000000" w:sz="0" w:space="0"/>
          <w:right w:val="none" w:color="000000" w:sz="0" w:space="0"/>
        </w:pBdr>
        <w:spacing w:beforeAutospacing="0" w:afterAutospacing="0" w:line="360" w:lineRule="auto"/>
        <w:ind w:firstLine="480"/>
        <w:rPr>
          <w:rFonts w:hint="default" w:ascii="Times New Roman" w:hAnsi="Times New Roman" w:cs="Times New Roman"/>
          <w:color w:val="auto"/>
          <w:highlight w:val="none"/>
        </w:rPr>
      </w:pPr>
      <w:r>
        <w:rPr>
          <w:rFonts w:hint="default" w:ascii="Times New Roman" w:hAnsi="Times New Roman" w:cs="Times New Roman"/>
          <w:color w:val="auto"/>
          <w:sz w:val="24"/>
          <w:highlight w:val="none"/>
        </w:rPr>
        <w:t> </w:t>
      </w:r>
    </w:p>
    <w:p w14:paraId="463F741D">
      <w:pPr>
        <w:keepNext w:val="0"/>
        <w:keepLines w:val="0"/>
        <w:pageBreakBefore w:val="0"/>
        <w:pBdr>
          <w:top w:val="none" w:color="000000" w:sz="0" w:space="0"/>
          <w:left w:val="none" w:color="000000" w:sz="0" w:space="0"/>
          <w:bottom w:val="none" w:color="000000" w:sz="0" w:space="0"/>
          <w:right w:val="none" w:color="000000" w:sz="0" w:space="0"/>
        </w:pBdr>
        <w:spacing w:beforeAutospacing="0" w:afterAutospacing="0" w:line="360" w:lineRule="auto"/>
        <w:ind w:firstLine="480"/>
        <w:rPr>
          <w:rFonts w:hint="default" w:ascii="Times New Roman" w:hAnsi="Times New Roman" w:cs="Times New Roman"/>
          <w:color w:val="auto"/>
          <w:highlight w:val="none"/>
        </w:rPr>
      </w:pPr>
      <w:r>
        <w:rPr>
          <w:rFonts w:hint="default" w:ascii="Times New Roman" w:hAnsi="Times New Roman" w:cs="Times New Roman"/>
          <w:color w:val="auto"/>
          <w:sz w:val="24"/>
          <w:highlight w:val="none"/>
        </w:rPr>
        <w:t> </w:t>
      </w:r>
    </w:p>
    <w:p w14:paraId="21CAA4ED">
      <w:pPr>
        <w:keepNext w:val="0"/>
        <w:keepLines w:val="0"/>
        <w:pageBreakBefore w:val="0"/>
        <w:pBdr>
          <w:top w:val="none" w:color="000000" w:sz="0" w:space="0"/>
          <w:left w:val="none" w:color="000000" w:sz="0" w:space="0"/>
          <w:bottom w:val="none" w:color="000000" w:sz="0" w:space="0"/>
          <w:right w:val="none" w:color="000000" w:sz="0" w:space="0"/>
        </w:pBdr>
        <w:spacing w:beforeAutospacing="0" w:afterAutospacing="0" w:line="360" w:lineRule="auto"/>
        <w:ind w:firstLine="1680"/>
        <w:rPr>
          <w:rFonts w:hint="default" w:ascii="Times New Roman" w:hAnsi="Times New Roman" w:cs="Times New Roman"/>
          <w:color w:val="auto"/>
          <w:highlight w:val="none"/>
        </w:rPr>
      </w:pPr>
      <w:r>
        <w:rPr>
          <w:rFonts w:hint="default" w:ascii="Times New Roman" w:hAnsi="Times New Roman" w:cs="Times New Roman"/>
          <w:color w:val="auto"/>
          <w:sz w:val="24"/>
          <w:highlight w:val="none"/>
        </w:rPr>
        <w:t> </w:t>
      </w:r>
    </w:p>
    <w:p w14:paraId="6A108611">
      <w:pPr>
        <w:keepNext w:val="0"/>
        <w:keepLines w:val="0"/>
        <w:pageBreakBefore w:val="0"/>
        <w:pBdr>
          <w:top w:val="none" w:color="000000" w:sz="0" w:space="0"/>
          <w:left w:val="none" w:color="000000" w:sz="0" w:space="0"/>
          <w:bottom w:val="none" w:color="000000" w:sz="0" w:space="0"/>
          <w:right w:val="none" w:color="000000" w:sz="0" w:space="0"/>
        </w:pBdr>
        <w:spacing w:beforeAutospacing="0" w:afterAutospacing="0" w:line="360" w:lineRule="auto"/>
        <w:ind w:firstLine="1680"/>
        <w:rPr>
          <w:rFonts w:hint="default" w:ascii="Times New Roman" w:hAnsi="Times New Roman" w:cs="Times New Roman"/>
          <w:color w:val="auto"/>
          <w:highlight w:val="none"/>
        </w:rPr>
      </w:pPr>
      <w:r>
        <w:rPr>
          <w:rFonts w:hint="default" w:ascii="Times New Roman" w:hAnsi="Times New Roman" w:cs="Times New Roman"/>
          <w:color w:val="auto"/>
          <w:sz w:val="24"/>
          <w:highlight w:val="none"/>
        </w:rPr>
        <w:t> </w:t>
      </w:r>
    </w:p>
    <w:p w14:paraId="0406D319">
      <w:pPr>
        <w:keepNext w:val="0"/>
        <w:keepLines w:val="0"/>
        <w:pageBreakBefore w:val="0"/>
        <w:pBdr>
          <w:top w:val="none" w:color="000000" w:sz="0" w:space="0"/>
          <w:left w:val="none" w:color="000000" w:sz="0" w:space="0"/>
          <w:bottom w:val="none" w:color="000000" w:sz="0" w:space="0"/>
          <w:right w:val="none" w:color="000000" w:sz="0" w:space="0"/>
        </w:pBdr>
        <w:spacing w:beforeAutospacing="0" w:afterAutospacing="0" w:line="360" w:lineRule="auto"/>
        <w:ind w:firstLine="1680"/>
        <w:rPr>
          <w:rFonts w:hint="default" w:ascii="Times New Roman" w:hAnsi="Times New Roman" w:cs="Times New Roman"/>
          <w:color w:val="auto"/>
          <w:highlight w:val="none"/>
        </w:rPr>
      </w:pPr>
      <w:r>
        <w:rPr>
          <w:rFonts w:hint="default" w:ascii="Times New Roman" w:hAnsi="Times New Roman" w:cs="Times New Roman"/>
          <w:color w:val="auto"/>
          <w:sz w:val="24"/>
          <w:highlight w:val="none"/>
        </w:rPr>
        <w:t> </w:t>
      </w:r>
    </w:p>
    <w:p w14:paraId="56C73EDD">
      <w:pPr>
        <w:keepNext w:val="0"/>
        <w:keepLines w:val="0"/>
        <w:pageBreakBefore w:val="0"/>
        <w:pBdr>
          <w:top w:val="none" w:color="000000" w:sz="0" w:space="0"/>
          <w:left w:val="none" w:color="000000" w:sz="0" w:space="0"/>
          <w:bottom w:val="none" w:color="000000" w:sz="0" w:space="0"/>
          <w:right w:val="none" w:color="000000" w:sz="0" w:space="0"/>
        </w:pBdr>
        <w:spacing w:beforeAutospacing="0" w:afterAutospacing="0" w:line="360" w:lineRule="auto"/>
        <w:ind w:firstLine="1680"/>
        <w:rPr>
          <w:rFonts w:hint="default" w:ascii="Times New Roman" w:hAnsi="Times New Roman" w:cs="Times New Roman"/>
          <w:color w:val="auto"/>
          <w:highlight w:val="none"/>
        </w:rPr>
      </w:pPr>
      <w:r>
        <w:rPr>
          <w:rFonts w:hint="default" w:ascii="Times New Roman" w:hAnsi="Times New Roman" w:cs="Times New Roman"/>
          <w:color w:val="auto"/>
          <w:sz w:val="24"/>
          <w:highlight w:val="none"/>
        </w:rPr>
        <w:t> </w:t>
      </w:r>
    </w:p>
    <w:p w14:paraId="50C2E1AE">
      <w:pPr>
        <w:keepNext w:val="0"/>
        <w:keepLines w:val="0"/>
        <w:pageBreakBefore w:val="0"/>
        <w:pBdr>
          <w:top w:val="none" w:color="000000" w:sz="0" w:space="0"/>
          <w:left w:val="none" w:color="000000" w:sz="0" w:space="0"/>
          <w:bottom w:val="none" w:color="000000" w:sz="0" w:space="0"/>
          <w:right w:val="none" w:color="000000" w:sz="0" w:space="0"/>
        </w:pBdr>
        <w:spacing w:beforeAutospacing="0" w:afterAutospacing="0" w:line="360" w:lineRule="auto"/>
        <w:ind w:firstLine="1680"/>
        <w:rPr>
          <w:rFonts w:hint="default" w:ascii="Times New Roman" w:hAnsi="Times New Roman" w:cs="Times New Roman"/>
          <w:color w:val="auto"/>
          <w:highlight w:val="none"/>
        </w:rPr>
      </w:pPr>
      <w:r>
        <w:rPr>
          <w:rFonts w:hint="default" w:ascii="Times New Roman" w:hAnsi="Times New Roman" w:cs="Times New Roman"/>
          <w:color w:val="auto"/>
          <w:sz w:val="24"/>
          <w:highlight w:val="none"/>
        </w:rPr>
        <w:t> </w:t>
      </w:r>
    </w:p>
    <w:p w14:paraId="6138F87F">
      <w:pPr>
        <w:keepNext w:val="0"/>
        <w:keepLines w:val="0"/>
        <w:pageBreakBefore w:val="0"/>
        <w:pBdr>
          <w:top w:val="none" w:color="000000" w:sz="0" w:space="0"/>
          <w:left w:val="none" w:color="000000" w:sz="0" w:space="0"/>
          <w:bottom w:val="none" w:color="000000" w:sz="0" w:space="0"/>
          <w:right w:val="none" w:color="000000" w:sz="0" w:space="0"/>
        </w:pBdr>
        <w:spacing w:beforeAutospacing="0" w:afterAutospacing="0" w:line="360" w:lineRule="auto"/>
        <w:rPr>
          <w:rFonts w:hint="default" w:ascii="Times New Roman" w:hAnsi="Times New Roman" w:cs="Times New Roman"/>
          <w:color w:val="auto"/>
          <w:highlight w:val="none"/>
        </w:rPr>
      </w:pPr>
      <w:r>
        <w:rPr>
          <w:rFonts w:hint="default" w:ascii="Times New Roman" w:hAnsi="Times New Roman" w:cs="Times New Roman"/>
          <w:color w:val="auto"/>
          <w:highlight w:val="none"/>
        </w:rPr>
        <w:br w:type="page" w:clear="all"/>
      </w:r>
    </w:p>
    <w:p w14:paraId="59DA0691">
      <w:pPr>
        <w:keepNext w:val="0"/>
        <w:keepLines w:val="0"/>
        <w:pageBreakBefore w:val="0"/>
        <w:pBdr>
          <w:top w:val="none" w:color="000000" w:sz="0" w:space="0"/>
          <w:left w:val="none" w:color="000000" w:sz="0" w:space="0"/>
          <w:bottom w:val="none" w:color="000000" w:sz="0" w:space="0"/>
          <w:right w:val="none" w:color="000000" w:sz="0" w:space="0"/>
        </w:pBdr>
        <w:spacing w:beforeAutospacing="0" w:afterAutospacing="0" w:line="360" w:lineRule="auto"/>
        <w:rPr>
          <w:rFonts w:hint="default" w:ascii="Times New Roman" w:hAnsi="Times New Roman" w:cs="Times New Roman"/>
          <w:color w:val="auto"/>
          <w:highlight w:val="none"/>
        </w:rPr>
      </w:pPr>
      <w:r>
        <w:rPr>
          <w:rFonts w:hint="default" w:ascii="Times New Roman" w:hAnsi="Times New Roman" w:cs="Times New Roman"/>
          <w:color w:val="auto"/>
          <w:sz w:val="24"/>
          <w:highlight w:val="none"/>
        </w:rPr>
        <w:t>附件2：</w:t>
      </w:r>
    </w:p>
    <w:p w14:paraId="3471A236">
      <w:pPr>
        <w:keepNext w:val="0"/>
        <w:keepLines w:val="0"/>
        <w:pageBreakBefore w:val="0"/>
        <w:pBdr>
          <w:top w:val="none" w:color="000000" w:sz="0" w:space="0"/>
          <w:left w:val="none" w:color="000000" w:sz="0" w:space="0"/>
          <w:bottom w:val="none" w:color="000000" w:sz="0" w:space="0"/>
          <w:right w:val="none" w:color="000000" w:sz="0" w:space="0"/>
        </w:pBdr>
        <w:spacing w:beforeAutospacing="0" w:afterAutospacing="0" w:line="360" w:lineRule="auto"/>
        <w:rPr>
          <w:rFonts w:hint="default" w:ascii="Times New Roman" w:hAnsi="Times New Roman" w:cs="Times New Roman"/>
          <w:color w:val="auto"/>
          <w:highlight w:val="none"/>
        </w:rPr>
      </w:pPr>
      <w:r>
        <w:rPr>
          <w:rFonts w:hint="default" w:ascii="Times New Roman" w:hAnsi="Times New Roman" w:cs="Times New Roman"/>
          <w:color w:val="auto"/>
          <w:sz w:val="24"/>
          <w:highlight w:val="none"/>
        </w:rPr>
        <w:t> </w:t>
      </w:r>
    </w:p>
    <w:p w14:paraId="1F316B25">
      <w:pPr>
        <w:pStyle w:val="6"/>
        <w:spacing w:line="360" w:lineRule="auto"/>
        <w:rPr>
          <w:rFonts w:hint="default" w:ascii="Times New Roman" w:hAnsi="Times New Roman" w:cs="Times New Roman"/>
          <w:color w:val="auto"/>
          <w:highlight w:val="none"/>
        </w:rPr>
      </w:pPr>
      <w:r>
        <w:rPr>
          <w:rFonts w:hint="default" w:ascii="Times New Roman" w:hAnsi="Times New Roman" w:cs="Times New Roman"/>
          <w:color w:val="auto"/>
          <w:highlight w:val="none"/>
        </w:rPr>
        <w:t>承诺书</w:t>
      </w:r>
    </w:p>
    <w:p w14:paraId="7148A6DC">
      <w:pPr>
        <w:keepNext w:val="0"/>
        <w:keepLines w:val="0"/>
        <w:pageBreakBefore w:val="0"/>
        <w:pBdr>
          <w:top w:val="none" w:color="000000" w:sz="0" w:space="0"/>
          <w:left w:val="none" w:color="000000" w:sz="0" w:space="0"/>
          <w:bottom w:val="none" w:color="000000" w:sz="0" w:space="0"/>
          <w:right w:val="none" w:color="000000" w:sz="0" w:space="0"/>
        </w:pBdr>
        <w:spacing w:beforeAutospacing="0" w:afterAutospacing="0" w:line="360" w:lineRule="auto"/>
        <w:rPr>
          <w:rFonts w:hint="default" w:ascii="Times New Roman" w:hAnsi="Times New Roman" w:cs="Times New Roman"/>
          <w:color w:val="auto"/>
          <w:highlight w:val="none"/>
        </w:rPr>
      </w:pPr>
      <w:r>
        <w:rPr>
          <w:rFonts w:hint="default" w:ascii="Times New Roman" w:hAnsi="Times New Roman" w:cs="Times New Roman"/>
          <w:color w:val="auto"/>
          <w:sz w:val="24"/>
          <w:highlight w:val="none"/>
        </w:rPr>
        <w:t> </w:t>
      </w:r>
    </w:p>
    <w:p w14:paraId="59C72E95">
      <w:pPr>
        <w:tabs>
          <w:tab w:val="left" w:pos="5580"/>
        </w:tabs>
        <w:spacing w:line="360" w:lineRule="auto"/>
        <w:rPr>
          <w:rFonts w:hint="default" w:ascii="Times New Roman" w:hAnsi="Times New Roman" w:cs="Times New Roman" w:eastAsiaTheme="minorEastAsia"/>
          <w:color w:val="auto"/>
          <w:szCs w:val="21"/>
          <w:highlight w:val="none"/>
        </w:rPr>
      </w:pPr>
      <w:r>
        <w:rPr>
          <w:rFonts w:hint="default" w:ascii="Times New Roman" w:hAnsi="Times New Roman" w:cs="Times New Roman" w:eastAsiaTheme="minorEastAsia"/>
          <w:color w:val="auto"/>
          <w:szCs w:val="21"/>
          <w:highlight w:val="none"/>
        </w:rPr>
        <w:t>致：</w:t>
      </w:r>
      <w:r>
        <w:rPr>
          <w:rFonts w:hint="default" w:ascii="Times New Roman" w:hAnsi="Times New Roman" w:cs="Times New Roman" w:eastAsiaTheme="minorEastAsia"/>
          <w:color w:val="auto"/>
          <w:szCs w:val="21"/>
          <w:highlight w:val="none"/>
          <w:u w:val="single"/>
        </w:rPr>
        <w:t>采购人</w:t>
      </w:r>
    </w:p>
    <w:p w14:paraId="146BB022">
      <w:pPr>
        <w:spacing w:line="360" w:lineRule="auto"/>
        <w:ind w:firstLine="420"/>
        <w:rPr>
          <w:rFonts w:hint="default" w:ascii="Times New Roman" w:hAnsi="Times New Roman" w:cs="Times New Roman" w:eastAsiaTheme="minorEastAsia"/>
          <w:color w:val="auto"/>
          <w:szCs w:val="21"/>
          <w:highlight w:val="none"/>
        </w:rPr>
      </w:pPr>
      <w:r>
        <w:rPr>
          <w:rFonts w:hint="default" w:ascii="Times New Roman" w:hAnsi="Times New Roman" w:cs="Times New Roman" w:eastAsiaTheme="minorEastAsia"/>
          <w:color w:val="auto"/>
          <w:szCs w:val="21"/>
          <w:highlight w:val="none"/>
        </w:rPr>
        <w:t>在参与本次项目响应中，我单位承诺：</w:t>
      </w:r>
    </w:p>
    <w:p w14:paraId="4AB2C5BA">
      <w:pPr>
        <w:numPr>
          <w:ilvl w:val="0"/>
          <w:numId w:val="0"/>
        </w:numPr>
        <w:spacing w:line="360" w:lineRule="auto"/>
        <w:ind w:left="1134" w:hanging="720"/>
        <w:jc w:val="left"/>
        <w:rPr>
          <w:rFonts w:hint="default" w:ascii="Times New Roman" w:hAnsi="Times New Roman" w:cs="Times New Roman" w:eastAsiaTheme="minorEastAsia"/>
          <w:color w:val="auto"/>
          <w:szCs w:val="21"/>
          <w:highlight w:val="none"/>
        </w:rPr>
      </w:pPr>
      <w:r>
        <w:rPr>
          <w:rFonts w:hint="default" w:ascii="Times New Roman" w:hAnsi="Times New Roman" w:cs="Times New Roman" w:eastAsiaTheme="minorEastAsia"/>
          <w:color w:val="auto"/>
          <w:sz w:val="21"/>
          <w:szCs w:val="21"/>
          <w:highlight w:val="none"/>
          <w:lang w:val="en-US" w:eastAsia="zh-CN" w:bidi="ar-SA"/>
        </w:rPr>
        <w:t>（一）</w:t>
      </w:r>
      <w:r>
        <w:rPr>
          <w:rFonts w:hint="default" w:ascii="Times New Roman" w:hAnsi="Times New Roman" w:cs="Times New Roman"/>
          <w:color w:val="auto"/>
          <w:sz w:val="21"/>
          <w:szCs w:val="21"/>
          <w:highlight w:val="none"/>
        </w:rPr>
        <w:t>本公司（单位）对本项目所提供的服务不低于采购文件要求的标准；</w:t>
      </w:r>
    </w:p>
    <w:p w14:paraId="3996007B">
      <w:pPr>
        <w:numPr>
          <w:ilvl w:val="0"/>
          <w:numId w:val="0"/>
        </w:numPr>
        <w:spacing w:line="360" w:lineRule="auto"/>
        <w:ind w:left="1134" w:hanging="720"/>
        <w:jc w:val="left"/>
        <w:rPr>
          <w:rFonts w:hint="default" w:ascii="Times New Roman" w:hAnsi="Times New Roman" w:cs="Times New Roman" w:eastAsiaTheme="minorEastAsia"/>
          <w:color w:val="auto"/>
          <w:szCs w:val="21"/>
          <w:highlight w:val="none"/>
        </w:rPr>
      </w:pPr>
      <w:r>
        <w:rPr>
          <w:rFonts w:hint="default" w:ascii="Times New Roman" w:hAnsi="Times New Roman" w:cs="Times New Roman" w:eastAsiaTheme="minorEastAsia"/>
          <w:color w:val="auto"/>
          <w:sz w:val="21"/>
          <w:szCs w:val="21"/>
          <w:highlight w:val="none"/>
          <w:lang w:val="en-US" w:eastAsia="zh-CN" w:bidi="ar-SA"/>
        </w:rPr>
        <w:t>（二）</w:t>
      </w:r>
      <w:r>
        <w:rPr>
          <w:rFonts w:hint="default" w:ascii="Times New Roman" w:hAnsi="Times New Roman" w:cs="Times New Roman"/>
          <w:color w:val="auto"/>
          <w:sz w:val="21"/>
          <w:szCs w:val="21"/>
          <w:highlight w:val="none"/>
        </w:rPr>
        <w:t>本公司（单位）具备履行合同所必需的设备和专业技术能力；</w:t>
      </w:r>
    </w:p>
    <w:p w14:paraId="6AE83400">
      <w:pPr>
        <w:numPr>
          <w:ilvl w:val="0"/>
          <w:numId w:val="0"/>
        </w:numPr>
        <w:spacing w:line="360" w:lineRule="auto"/>
        <w:ind w:left="1134" w:hanging="720"/>
        <w:jc w:val="left"/>
        <w:rPr>
          <w:rFonts w:hint="default" w:ascii="Times New Roman" w:hAnsi="Times New Roman" w:cs="Times New Roman" w:eastAsiaTheme="minorEastAsia"/>
          <w:color w:val="auto"/>
          <w:szCs w:val="21"/>
          <w:highlight w:val="none"/>
        </w:rPr>
      </w:pPr>
      <w:r>
        <w:rPr>
          <w:rFonts w:hint="default" w:ascii="Times New Roman" w:hAnsi="Times New Roman" w:cs="Times New Roman" w:eastAsiaTheme="minorEastAsia"/>
          <w:color w:val="auto"/>
          <w:sz w:val="21"/>
          <w:szCs w:val="21"/>
          <w:highlight w:val="none"/>
          <w:lang w:val="en-US" w:eastAsia="zh-CN" w:bidi="ar-SA"/>
        </w:rPr>
        <w:t>（三）</w:t>
      </w:r>
      <w:r>
        <w:rPr>
          <w:rFonts w:hint="default" w:ascii="Times New Roman" w:hAnsi="Times New Roman" w:cs="Times New Roman"/>
          <w:color w:val="auto"/>
          <w:sz w:val="21"/>
          <w:szCs w:val="21"/>
          <w:highlight w:val="none"/>
        </w:rPr>
        <w:t>本公司未被“信用中国”网站（</w:t>
      </w:r>
      <w:r>
        <w:rPr>
          <w:rFonts w:hint="default" w:ascii="Times New Roman" w:hAnsi="Times New Roman" w:cs="Times New Roman"/>
          <w:color w:val="auto"/>
          <w:sz w:val="21"/>
          <w:szCs w:val="21"/>
          <w:highlight w:val="none"/>
        </w:rPr>
        <w:fldChar w:fldCharType="begin"/>
      </w:r>
      <w:r>
        <w:rPr>
          <w:rFonts w:hint="default" w:ascii="Times New Roman" w:hAnsi="Times New Roman" w:cs="Times New Roman"/>
          <w:color w:val="auto"/>
          <w:sz w:val="21"/>
          <w:szCs w:val="21"/>
          <w:highlight w:val="none"/>
        </w:rPr>
        <w:instrText xml:space="preserve"> HYPERLINK "http://www.creditchina.gov.cn/" \o "http://www.creditchina.gov.cn/" </w:instrText>
      </w:r>
      <w:r>
        <w:rPr>
          <w:rFonts w:hint="default" w:ascii="Times New Roman" w:hAnsi="Times New Roman" w:cs="Times New Roman"/>
          <w:color w:val="auto"/>
          <w:sz w:val="21"/>
          <w:szCs w:val="21"/>
          <w:highlight w:val="none"/>
        </w:rPr>
        <w:fldChar w:fldCharType="separate"/>
      </w:r>
      <w:r>
        <w:rPr>
          <w:rStyle w:val="47"/>
          <w:rFonts w:hint="default" w:ascii="Times New Roman" w:hAnsi="Times New Roman" w:cs="Times New Roman"/>
          <w:color w:val="auto"/>
          <w:sz w:val="21"/>
          <w:szCs w:val="21"/>
          <w:highlight w:val="none"/>
        </w:rPr>
        <w:t>www.creditchina.gov.cn</w:t>
      </w:r>
      <w:r>
        <w:rPr>
          <w:rStyle w:val="47"/>
          <w:rFonts w:hint="default" w:ascii="Times New Roman" w:hAnsi="Times New Roman" w:cs="Times New Roman"/>
          <w:color w:val="auto"/>
          <w:sz w:val="21"/>
          <w:szCs w:val="21"/>
          <w:highlight w:val="none"/>
        </w:rPr>
        <w:fldChar w:fldCharType="end"/>
      </w:r>
      <w:r>
        <w:rPr>
          <w:rFonts w:hint="default" w:ascii="Times New Roman" w:hAnsi="Times New Roman" w:cs="Times New Roman"/>
          <w:color w:val="auto"/>
          <w:sz w:val="21"/>
          <w:szCs w:val="21"/>
          <w:highlight w:val="none"/>
        </w:rPr>
        <w:t>）列入失信被执行人、重大税收违法案件当事人名单、政府采购严重违法失信行为记录名单</w:t>
      </w:r>
      <w:r>
        <w:rPr>
          <w:rFonts w:hint="default" w:ascii="Times New Roman" w:hAnsi="Times New Roman" w:cs="Times New Roman" w:eastAsiaTheme="minorEastAsia"/>
          <w:color w:val="auto"/>
          <w:szCs w:val="21"/>
          <w:highlight w:val="none"/>
        </w:rPr>
        <w:t>；</w:t>
      </w:r>
    </w:p>
    <w:p w14:paraId="44812CD8">
      <w:pPr>
        <w:numPr>
          <w:ilvl w:val="0"/>
          <w:numId w:val="0"/>
        </w:numPr>
        <w:spacing w:line="360" w:lineRule="auto"/>
        <w:ind w:left="1134" w:hanging="720"/>
        <w:jc w:val="left"/>
        <w:rPr>
          <w:rFonts w:hint="default" w:ascii="Times New Roman" w:hAnsi="Times New Roman" w:cs="Times New Roman" w:eastAsiaTheme="minorEastAsia"/>
          <w:color w:val="auto"/>
          <w:szCs w:val="21"/>
          <w:highlight w:val="none"/>
        </w:rPr>
      </w:pPr>
      <w:r>
        <w:rPr>
          <w:rFonts w:hint="default" w:ascii="Times New Roman" w:hAnsi="Times New Roman" w:cs="Times New Roman" w:eastAsiaTheme="minorEastAsia"/>
          <w:color w:val="auto"/>
          <w:sz w:val="21"/>
          <w:szCs w:val="21"/>
          <w:highlight w:val="none"/>
          <w:lang w:val="en-US" w:eastAsia="zh-CN" w:bidi="ar-SA"/>
        </w:rPr>
        <w:t>（四）</w:t>
      </w:r>
      <w:r>
        <w:rPr>
          <w:rFonts w:hint="default" w:ascii="Times New Roman" w:hAnsi="Times New Roman" w:cs="Times New Roman" w:eastAsiaTheme="minorEastAsia"/>
          <w:color w:val="auto"/>
          <w:szCs w:val="21"/>
          <w:highlight w:val="none"/>
        </w:rPr>
        <w:t>我单位不存在为采购项目提供整体设计、规范编制或者项目管理、监理、检测等服务后，再参加该采购项目的其他采购活动的情形（单一来源采购项目除外）；</w:t>
      </w:r>
    </w:p>
    <w:p w14:paraId="54161048">
      <w:pPr>
        <w:numPr>
          <w:ilvl w:val="0"/>
          <w:numId w:val="0"/>
        </w:numPr>
        <w:spacing w:line="360" w:lineRule="auto"/>
        <w:ind w:left="1134" w:hanging="720"/>
        <w:jc w:val="left"/>
        <w:rPr>
          <w:rFonts w:hint="default" w:ascii="Times New Roman" w:hAnsi="Times New Roman" w:cs="Times New Roman" w:eastAsiaTheme="minorEastAsia"/>
          <w:color w:val="auto"/>
          <w:szCs w:val="21"/>
          <w:highlight w:val="none"/>
        </w:rPr>
      </w:pPr>
      <w:r>
        <w:rPr>
          <w:rFonts w:hint="default" w:ascii="Times New Roman" w:hAnsi="Times New Roman" w:cs="Times New Roman" w:eastAsiaTheme="minorEastAsia"/>
          <w:color w:val="auto"/>
          <w:sz w:val="21"/>
          <w:szCs w:val="21"/>
          <w:highlight w:val="none"/>
          <w:lang w:val="en-US" w:eastAsia="zh-CN" w:bidi="ar-SA"/>
        </w:rPr>
        <w:t>（五）</w:t>
      </w:r>
      <w:r>
        <w:rPr>
          <w:rFonts w:hint="default" w:ascii="Times New Roman" w:hAnsi="Times New Roman" w:cs="Times New Roman" w:eastAsiaTheme="minorEastAsia"/>
          <w:color w:val="auto"/>
          <w:szCs w:val="21"/>
          <w:highlight w:val="none"/>
        </w:rPr>
        <w:t>与我单位存在“单位负责人为同一人或者存在直接控股、管理关系”的其他法人单位信息如下</w:t>
      </w:r>
      <w:r>
        <w:rPr>
          <w:rFonts w:hint="default" w:ascii="Times New Roman" w:hAnsi="Times New Roman" w:cs="Times New Roman" w:eastAsiaTheme="minorEastAsia"/>
          <w:b/>
          <w:bCs/>
          <w:color w:val="auto"/>
          <w:szCs w:val="21"/>
          <w:highlight w:val="none"/>
        </w:rPr>
        <w:t>（如有，不论其是否参加同一合同项下的政府采购活动均须填写）</w:t>
      </w:r>
      <w:r>
        <w:rPr>
          <w:rFonts w:hint="default" w:ascii="Times New Roman" w:hAnsi="Times New Roman" w:cs="Times New Roman" w:eastAsiaTheme="minorEastAsia"/>
          <w:color w:val="auto"/>
          <w:szCs w:val="21"/>
          <w:highlight w:val="none"/>
        </w:rPr>
        <w:t>：</w:t>
      </w:r>
    </w:p>
    <w:tbl>
      <w:tblPr>
        <w:tblStyle w:val="42"/>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950"/>
        <w:gridCol w:w="4574"/>
        <w:gridCol w:w="2976"/>
      </w:tblGrid>
      <w:tr w14:paraId="6E6A864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0" w:hRule="atLeast"/>
          <w:jc w:val="center"/>
        </w:trPr>
        <w:tc>
          <w:tcPr>
            <w:tcW w:w="950" w:type="dxa"/>
            <w:tcBorders>
              <w:top w:val="single" w:color="000000" w:sz="4" w:space="0"/>
              <w:left w:val="single" w:color="000000" w:sz="4" w:space="0"/>
              <w:bottom w:val="single" w:color="000000" w:sz="4" w:space="0"/>
              <w:right w:val="single" w:color="000000" w:sz="4" w:space="0"/>
            </w:tcBorders>
            <w:noWrap w:val="0"/>
            <w:vAlign w:val="center"/>
          </w:tcPr>
          <w:p w14:paraId="16B5BEA7">
            <w:pPr>
              <w:spacing w:line="360" w:lineRule="auto"/>
              <w:jc w:val="center"/>
              <w:rPr>
                <w:rFonts w:hint="default" w:ascii="Times New Roman" w:hAnsi="Times New Roman" w:cs="Times New Roman" w:eastAsiaTheme="minorEastAsia"/>
                <w:color w:val="auto"/>
                <w:szCs w:val="21"/>
                <w:highlight w:val="none"/>
              </w:rPr>
            </w:pPr>
            <w:r>
              <w:rPr>
                <w:rFonts w:hint="default" w:ascii="Times New Roman" w:hAnsi="Times New Roman" w:cs="Times New Roman" w:eastAsiaTheme="minorEastAsia"/>
                <w:color w:val="auto"/>
                <w:szCs w:val="21"/>
                <w:highlight w:val="none"/>
              </w:rPr>
              <w:t>序号</w:t>
            </w:r>
          </w:p>
        </w:tc>
        <w:tc>
          <w:tcPr>
            <w:tcW w:w="4574" w:type="dxa"/>
            <w:tcBorders>
              <w:top w:val="single" w:color="000000" w:sz="4" w:space="0"/>
              <w:left w:val="single" w:color="000000" w:sz="4" w:space="0"/>
              <w:bottom w:val="single" w:color="000000" w:sz="4" w:space="0"/>
              <w:right w:val="single" w:color="000000" w:sz="4" w:space="0"/>
            </w:tcBorders>
            <w:noWrap w:val="0"/>
            <w:vAlign w:val="center"/>
          </w:tcPr>
          <w:p w14:paraId="3173DEA5">
            <w:pPr>
              <w:spacing w:line="360" w:lineRule="auto"/>
              <w:jc w:val="center"/>
              <w:rPr>
                <w:rFonts w:hint="default" w:ascii="Times New Roman" w:hAnsi="Times New Roman" w:cs="Times New Roman" w:eastAsiaTheme="minorEastAsia"/>
                <w:color w:val="auto"/>
                <w:szCs w:val="21"/>
                <w:highlight w:val="none"/>
              </w:rPr>
            </w:pPr>
            <w:r>
              <w:rPr>
                <w:rFonts w:hint="default" w:ascii="Times New Roman" w:hAnsi="Times New Roman" w:cs="Times New Roman" w:eastAsiaTheme="minorEastAsia"/>
                <w:color w:val="auto"/>
                <w:szCs w:val="21"/>
                <w:highlight w:val="none"/>
              </w:rPr>
              <w:t>单位名称</w:t>
            </w:r>
          </w:p>
        </w:tc>
        <w:tc>
          <w:tcPr>
            <w:tcW w:w="2976" w:type="dxa"/>
            <w:tcBorders>
              <w:top w:val="single" w:color="000000" w:sz="4" w:space="0"/>
              <w:left w:val="single" w:color="000000" w:sz="4" w:space="0"/>
              <w:bottom w:val="single" w:color="000000" w:sz="4" w:space="0"/>
              <w:right w:val="single" w:color="000000" w:sz="4" w:space="0"/>
            </w:tcBorders>
            <w:noWrap w:val="0"/>
            <w:vAlign w:val="center"/>
          </w:tcPr>
          <w:p w14:paraId="7906D35B">
            <w:pPr>
              <w:spacing w:line="360" w:lineRule="auto"/>
              <w:jc w:val="center"/>
              <w:rPr>
                <w:rFonts w:hint="default" w:ascii="Times New Roman" w:hAnsi="Times New Roman" w:cs="Times New Roman" w:eastAsiaTheme="minorEastAsia"/>
                <w:color w:val="auto"/>
                <w:szCs w:val="21"/>
                <w:highlight w:val="none"/>
              </w:rPr>
            </w:pPr>
            <w:r>
              <w:rPr>
                <w:rFonts w:hint="default" w:ascii="Times New Roman" w:hAnsi="Times New Roman" w:cs="Times New Roman" w:eastAsiaTheme="minorEastAsia"/>
                <w:color w:val="auto"/>
                <w:szCs w:val="21"/>
                <w:highlight w:val="none"/>
              </w:rPr>
              <w:t>相互关系</w:t>
            </w:r>
          </w:p>
        </w:tc>
      </w:tr>
      <w:tr w14:paraId="77A6B33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0" w:hRule="atLeast"/>
          <w:jc w:val="center"/>
        </w:trPr>
        <w:tc>
          <w:tcPr>
            <w:tcW w:w="950" w:type="dxa"/>
            <w:tcBorders>
              <w:top w:val="single" w:color="000000" w:sz="4" w:space="0"/>
              <w:left w:val="single" w:color="000000" w:sz="4" w:space="0"/>
              <w:bottom w:val="single" w:color="000000" w:sz="4" w:space="0"/>
              <w:right w:val="single" w:color="000000" w:sz="4" w:space="0"/>
            </w:tcBorders>
            <w:noWrap w:val="0"/>
            <w:vAlign w:val="center"/>
          </w:tcPr>
          <w:p w14:paraId="7E823FEA">
            <w:pPr>
              <w:spacing w:line="360" w:lineRule="auto"/>
              <w:jc w:val="center"/>
              <w:rPr>
                <w:rFonts w:hint="default" w:ascii="Times New Roman" w:hAnsi="Times New Roman" w:cs="Times New Roman" w:eastAsiaTheme="minorEastAsia"/>
                <w:color w:val="auto"/>
                <w:szCs w:val="21"/>
                <w:highlight w:val="none"/>
              </w:rPr>
            </w:pPr>
            <w:r>
              <w:rPr>
                <w:rFonts w:hint="default" w:ascii="Times New Roman" w:hAnsi="Times New Roman" w:cs="Times New Roman" w:eastAsiaTheme="minorEastAsia"/>
                <w:color w:val="auto"/>
                <w:szCs w:val="21"/>
                <w:highlight w:val="none"/>
              </w:rPr>
              <w:t>1</w:t>
            </w:r>
          </w:p>
        </w:tc>
        <w:tc>
          <w:tcPr>
            <w:tcW w:w="4574" w:type="dxa"/>
            <w:tcBorders>
              <w:top w:val="single" w:color="000000" w:sz="4" w:space="0"/>
              <w:left w:val="single" w:color="000000" w:sz="4" w:space="0"/>
              <w:bottom w:val="single" w:color="000000" w:sz="4" w:space="0"/>
              <w:right w:val="single" w:color="000000" w:sz="4" w:space="0"/>
            </w:tcBorders>
            <w:noWrap w:val="0"/>
            <w:vAlign w:val="center"/>
          </w:tcPr>
          <w:p w14:paraId="24CE088A">
            <w:pPr>
              <w:spacing w:line="360" w:lineRule="auto"/>
              <w:jc w:val="center"/>
              <w:rPr>
                <w:rFonts w:hint="default" w:ascii="Times New Roman" w:hAnsi="Times New Roman" w:cs="Times New Roman" w:eastAsiaTheme="minorEastAsia"/>
                <w:b/>
                <w:bCs/>
                <w:color w:val="auto"/>
                <w:szCs w:val="21"/>
                <w:highlight w:val="none"/>
              </w:rPr>
            </w:pPr>
            <w:r>
              <w:rPr>
                <w:rFonts w:hint="default" w:ascii="Times New Roman" w:hAnsi="Times New Roman" w:cs="Times New Roman" w:eastAsiaTheme="minorEastAsia"/>
                <w:b/>
                <w:bCs/>
                <w:color w:val="auto"/>
                <w:szCs w:val="21"/>
                <w:highlight w:val="none"/>
              </w:rPr>
              <w:t>/</w:t>
            </w:r>
          </w:p>
        </w:tc>
        <w:tc>
          <w:tcPr>
            <w:tcW w:w="2976" w:type="dxa"/>
            <w:tcBorders>
              <w:top w:val="single" w:color="000000" w:sz="4" w:space="0"/>
              <w:left w:val="single" w:color="000000" w:sz="4" w:space="0"/>
              <w:bottom w:val="single" w:color="000000" w:sz="4" w:space="0"/>
              <w:right w:val="single" w:color="000000" w:sz="4" w:space="0"/>
            </w:tcBorders>
            <w:noWrap w:val="0"/>
            <w:vAlign w:val="center"/>
          </w:tcPr>
          <w:p w14:paraId="4B8E7DCE">
            <w:pPr>
              <w:spacing w:line="360" w:lineRule="auto"/>
              <w:jc w:val="center"/>
              <w:rPr>
                <w:rFonts w:hint="default" w:ascii="Times New Roman" w:hAnsi="Times New Roman" w:cs="Times New Roman" w:eastAsiaTheme="minorEastAsia"/>
                <w:b/>
                <w:bCs/>
                <w:color w:val="auto"/>
                <w:szCs w:val="21"/>
                <w:highlight w:val="none"/>
              </w:rPr>
            </w:pPr>
            <w:r>
              <w:rPr>
                <w:rFonts w:hint="default" w:ascii="Times New Roman" w:hAnsi="Times New Roman" w:cs="Times New Roman" w:eastAsiaTheme="minorEastAsia"/>
                <w:b/>
                <w:bCs/>
                <w:color w:val="auto"/>
                <w:szCs w:val="21"/>
                <w:highlight w:val="none"/>
              </w:rPr>
              <w:t>/</w:t>
            </w:r>
          </w:p>
        </w:tc>
      </w:tr>
      <w:tr w14:paraId="694EC6D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0" w:hRule="atLeast"/>
          <w:jc w:val="center"/>
        </w:trPr>
        <w:tc>
          <w:tcPr>
            <w:tcW w:w="950" w:type="dxa"/>
            <w:tcBorders>
              <w:top w:val="single" w:color="000000" w:sz="4" w:space="0"/>
              <w:left w:val="single" w:color="000000" w:sz="4" w:space="0"/>
              <w:bottom w:val="single" w:color="000000" w:sz="4" w:space="0"/>
              <w:right w:val="single" w:color="000000" w:sz="4" w:space="0"/>
            </w:tcBorders>
            <w:noWrap w:val="0"/>
            <w:vAlign w:val="center"/>
          </w:tcPr>
          <w:p w14:paraId="69EE0934">
            <w:pPr>
              <w:spacing w:line="360" w:lineRule="auto"/>
              <w:jc w:val="center"/>
              <w:rPr>
                <w:rFonts w:hint="default" w:ascii="Times New Roman" w:hAnsi="Times New Roman" w:cs="Times New Roman" w:eastAsiaTheme="minorEastAsia"/>
                <w:color w:val="auto"/>
                <w:szCs w:val="21"/>
                <w:highlight w:val="none"/>
              </w:rPr>
            </w:pPr>
            <w:r>
              <w:rPr>
                <w:rFonts w:hint="default" w:ascii="Times New Roman" w:hAnsi="Times New Roman" w:cs="Times New Roman" w:eastAsiaTheme="minorEastAsia"/>
                <w:color w:val="auto"/>
                <w:szCs w:val="21"/>
                <w:highlight w:val="none"/>
              </w:rPr>
              <w:t>2</w:t>
            </w:r>
          </w:p>
        </w:tc>
        <w:tc>
          <w:tcPr>
            <w:tcW w:w="4574" w:type="dxa"/>
            <w:tcBorders>
              <w:top w:val="single" w:color="000000" w:sz="4" w:space="0"/>
              <w:left w:val="single" w:color="000000" w:sz="4" w:space="0"/>
              <w:bottom w:val="single" w:color="000000" w:sz="4" w:space="0"/>
              <w:right w:val="single" w:color="000000" w:sz="4" w:space="0"/>
            </w:tcBorders>
            <w:noWrap w:val="0"/>
            <w:vAlign w:val="center"/>
          </w:tcPr>
          <w:p w14:paraId="65DB9923">
            <w:pPr>
              <w:spacing w:line="360" w:lineRule="auto"/>
              <w:jc w:val="center"/>
              <w:rPr>
                <w:rFonts w:hint="default" w:ascii="Times New Roman" w:hAnsi="Times New Roman" w:cs="Times New Roman" w:eastAsiaTheme="minorEastAsia"/>
                <w:b/>
                <w:bCs/>
                <w:color w:val="auto"/>
                <w:szCs w:val="21"/>
                <w:highlight w:val="none"/>
              </w:rPr>
            </w:pPr>
            <w:r>
              <w:rPr>
                <w:rFonts w:hint="default" w:ascii="Times New Roman" w:hAnsi="Times New Roman" w:cs="Times New Roman" w:eastAsiaTheme="minorEastAsia"/>
                <w:b/>
                <w:bCs/>
                <w:color w:val="auto"/>
                <w:szCs w:val="21"/>
                <w:highlight w:val="none"/>
              </w:rPr>
              <w:t>/</w:t>
            </w:r>
          </w:p>
        </w:tc>
        <w:tc>
          <w:tcPr>
            <w:tcW w:w="2976" w:type="dxa"/>
            <w:tcBorders>
              <w:top w:val="single" w:color="000000" w:sz="4" w:space="0"/>
              <w:left w:val="single" w:color="000000" w:sz="4" w:space="0"/>
              <w:bottom w:val="single" w:color="000000" w:sz="4" w:space="0"/>
              <w:right w:val="single" w:color="000000" w:sz="4" w:space="0"/>
            </w:tcBorders>
            <w:noWrap w:val="0"/>
            <w:vAlign w:val="center"/>
          </w:tcPr>
          <w:p w14:paraId="32B358C6">
            <w:pPr>
              <w:spacing w:line="360" w:lineRule="auto"/>
              <w:jc w:val="center"/>
              <w:rPr>
                <w:rFonts w:hint="default" w:ascii="Times New Roman" w:hAnsi="Times New Roman" w:cs="Times New Roman" w:eastAsiaTheme="minorEastAsia"/>
                <w:b/>
                <w:bCs/>
                <w:color w:val="auto"/>
                <w:szCs w:val="21"/>
                <w:highlight w:val="none"/>
              </w:rPr>
            </w:pPr>
            <w:r>
              <w:rPr>
                <w:rFonts w:hint="default" w:ascii="Times New Roman" w:hAnsi="Times New Roman" w:cs="Times New Roman" w:eastAsiaTheme="minorEastAsia"/>
                <w:b/>
                <w:bCs/>
                <w:color w:val="auto"/>
                <w:szCs w:val="21"/>
                <w:highlight w:val="none"/>
              </w:rPr>
              <w:t>/</w:t>
            </w:r>
          </w:p>
        </w:tc>
      </w:tr>
      <w:tr w14:paraId="554CE19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0" w:hRule="atLeast"/>
          <w:jc w:val="center"/>
        </w:trPr>
        <w:tc>
          <w:tcPr>
            <w:tcW w:w="950" w:type="dxa"/>
            <w:tcBorders>
              <w:top w:val="single" w:color="000000" w:sz="4" w:space="0"/>
              <w:left w:val="single" w:color="000000" w:sz="4" w:space="0"/>
              <w:bottom w:val="single" w:color="000000" w:sz="4" w:space="0"/>
              <w:right w:val="single" w:color="000000" w:sz="4" w:space="0"/>
            </w:tcBorders>
            <w:noWrap w:val="0"/>
            <w:vAlign w:val="center"/>
          </w:tcPr>
          <w:p w14:paraId="4E641093">
            <w:pPr>
              <w:spacing w:line="360" w:lineRule="auto"/>
              <w:jc w:val="center"/>
              <w:rPr>
                <w:rFonts w:hint="default" w:ascii="Times New Roman" w:hAnsi="Times New Roman" w:cs="Times New Roman" w:eastAsiaTheme="minorEastAsia"/>
                <w:color w:val="auto"/>
                <w:szCs w:val="21"/>
                <w:highlight w:val="none"/>
              </w:rPr>
            </w:pPr>
            <w:r>
              <w:rPr>
                <w:rFonts w:hint="default" w:ascii="Times New Roman" w:hAnsi="Times New Roman" w:cs="Times New Roman" w:eastAsiaTheme="minorEastAsia"/>
                <w:color w:val="auto"/>
                <w:szCs w:val="21"/>
                <w:highlight w:val="none"/>
              </w:rPr>
              <w:t>…</w:t>
            </w:r>
          </w:p>
        </w:tc>
        <w:tc>
          <w:tcPr>
            <w:tcW w:w="4574" w:type="dxa"/>
            <w:tcBorders>
              <w:top w:val="single" w:color="000000" w:sz="4" w:space="0"/>
              <w:left w:val="single" w:color="000000" w:sz="4" w:space="0"/>
              <w:bottom w:val="single" w:color="000000" w:sz="4" w:space="0"/>
              <w:right w:val="single" w:color="000000" w:sz="4" w:space="0"/>
            </w:tcBorders>
            <w:noWrap w:val="0"/>
            <w:vAlign w:val="center"/>
          </w:tcPr>
          <w:p w14:paraId="06B66171">
            <w:pPr>
              <w:spacing w:line="360" w:lineRule="auto"/>
              <w:jc w:val="center"/>
              <w:rPr>
                <w:rFonts w:hint="default" w:ascii="Times New Roman" w:hAnsi="Times New Roman" w:cs="Times New Roman" w:eastAsiaTheme="minorEastAsia"/>
                <w:b/>
                <w:bCs/>
                <w:color w:val="auto"/>
                <w:szCs w:val="21"/>
                <w:highlight w:val="none"/>
              </w:rPr>
            </w:pPr>
            <w:r>
              <w:rPr>
                <w:rFonts w:hint="default" w:ascii="Times New Roman" w:hAnsi="Times New Roman" w:cs="Times New Roman" w:eastAsiaTheme="minorEastAsia"/>
                <w:b/>
                <w:bCs/>
                <w:color w:val="auto"/>
                <w:szCs w:val="21"/>
                <w:highlight w:val="none"/>
              </w:rPr>
              <w:t>/</w:t>
            </w:r>
          </w:p>
        </w:tc>
        <w:tc>
          <w:tcPr>
            <w:tcW w:w="2976" w:type="dxa"/>
            <w:tcBorders>
              <w:top w:val="single" w:color="000000" w:sz="4" w:space="0"/>
              <w:left w:val="single" w:color="000000" w:sz="4" w:space="0"/>
              <w:bottom w:val="single" w:color="000000" w:sz="4" w:space="0"/>
              <w:right w:val="single" w:color="000000" w:sz="4" w:space="0"/>
            </w:tcBorders>
            <w:noWrap w:val="0"/>
            <w:vAlign w:val="center"/>
          </w:tcPr>
          <w:p w14:paraId="20CEBE58">
            <w:pPr>
              <w:spacing w:line="360" w:lineRule="auto"/>
              <w:jc w:val="center"/>
              <w:rPr>
                <w:rFonts w:hint="default" w:ascii="Times New Roman" w:hAnsi="Times New Roman" w:cs="Times New Roman" w:eastAsiaTheme="minorEastAsia"/>
                <w:b/>
                <w:bCs/>
                <w:color w:val="auto"/>
                <w:szCs w:val="21"/>
                <w:highlight w:val="none"/>
              </w:rPr>
            </w:pPr>
            <w:r>
              <w:rPr>
                <w:rFonts w:hint="default" w:ascii="Times New Roman" w:hAnsi="Times New Roman" w:cs="Times New Roman" w:eastAsiaTheme="minorEastAsia"/>
                <w:b/>
                <w:bCs/>
                <w:color w:val="auto"/>
                <w:szCs w:val="21"/>
                <w:highlight w:val="none"/>
              </w:rPr>
              <w:t>/</w:t>
            </w:r>
          </w:p>
        </w:tc>
      </w:tr>
    </w:tbl>
    <w:p w14:paraId="278E479D">
      <w:pPr>
        <w:spacing w:line="360" w:lineRule="auto"/>
        <w:rPr>
          <w:rFonts w:hint="default" w:ascii="Times New Roman" w:hAnsi="Times New Roman" w:cs="Times New Roman" w:eastAsiaTheme="minorEastAsia"/>
          <w:color w:val="auto"/>
          <w:szCs w:val="21"/>
          <w:highlight w:val="none"/>
        </w:rPr>
      </w:pPr>
    </w:p>
    <w:p w14:paraId="4731065D">
      <w:pPr>
        <w:spacing w:line="360" w:lineRule="auto"/>
        <w:ind w:firstLine="420"/>
        <w:rPr>
          <w:rFonts w:hint="default" w:ascii="Times New Roman" w:hAnsi="Times New Roman" w:cs="Times New Roman" w:eastAsiaTheme="minorEastAsia"/>
          <w:color w:val="auto"/>
          <w:szCs w:val="21"/>
          <w:highlight w:val="none"/>
        </w:rPr>
      </w:pPr>
      <w:r>
        <w:rPr>
          <w:rFonts w:hint="default" w:ascii="Times New Roman" w:hAnsi="Times New Roman" w:cs="Times New Roman" w:eastAsiaTheme="minorEastAsia"/>
          <w:color w:val="auto"/>
          <w:szCs w:val="21"/>
          <w:highlight w:val="none"/>
        </w:rPr>
        <w:t>上述声明真实有效，否则我方负全部责任。</w:t>
      </w:r>
    </w:p>
    <w:p w14:paraId="54EDF06E">
      <w:pPr>
        <w:spacing w:line="360" w:lineRule="auto"/>
        <w:rPr>
          <w:rFonts w:hint="default" w:ascii="Times New Roman" w:hAnsi="Times New Roman" w:cs="Times New Roman" w:eastAsiaTheme="minorEastAsia"/>
          <w:color w:val="auto"/>
          <w:szCs w:val="21"/>
          <w:highlight w:val="none"/>
        </w:rPr>
      </w:pPr>
    </w:p>
    <w:p w14:paraId="7D4C3459">
      <w:pPr>
        <w:spacing w:before="25" w:after="25" w:line="360" w:lineRule="auto"/>
        <w:jc w:val="right"/>
        <w:rPr>
          <w:rFonts w:hint="default" w:ascii="Times New Roman" w:hAnsi="Times New Roman" w:cs="Times New Roman" w:eastAsiaTheme="minorEastAsia"/>
          <w:color w:val="auto"/>
          <w:szCs w:val="21"/>
          <w:highlight w:val="none"/>
        </w:rPr>
      </w:pPr>
      <w:r>
        <w:rPr>
          <w:rFonts w:hint="default" w:ascii="Times New Roman" w:hAnsi="Times New Roman" w:cs="Times New Roman" w:eastAsiaTheme="minorEastAsia"/>
          <w:color w:val="auto"/>
          <w:szCs w:val="21"/>
          <w:highlight w:val="none"/>
        </w:rPr>
        <w:t>供应商名称（加盖公章）：</w:t>
      </w:r>
      <w:r>
        <w:rPr>
          <w:rFonts w:hint="default" w:ascii="Times New Roman" w:hAnsi="Times New Roman" w:cs="Times New Roman" w:eastAsiaTheme="minorEastAsia"/>
          <w:color w:val="auto"/>
          <w:szCs w:val="21"/>
          <w:highlight w:val="none"/>
          <w:u w:val="single"/>
        </w:rPr>
        <w:t xml:space="preserve">            </w:t>
      </w:r>
      <w:r>
        <w:rPr>
          <w:rFonts w:hint="default" w:ascii="Times New Roman" w:hAnsi="Times New Roman" w:cs="Times New Roman" w:eastAsiaTheme="minorEastAsia"/>
          <w:color w:val="auto"/>
          <w:szCs w:val="21"/>
          <w:highlight w:val="none"/>
        </w:rPr>
        <w:t xml:space="preserve"> </w:t>
      </w:r>
    </w:p>
    <w:p w14:paraId="64EA269C">
      <w:pPr>
        <w:spacing w:line="360" w:lineRule="auto"/>
        <w:ind w:right="360" w:firstLine="480"/>
        <w:jc w:val="right"/>
        <w:rPr>
          <w:rFonts w:hint="default" w:ascii="Times New Roman" w:hAnsi="Times New Roman" w:cs="Times New Roman" w:eastAsiaTheme="minorEastAsia"/>
          <w:color w:val="auto"/>
          <w:szCs w:val="21"/>
          <w:highlight w:val="none"/>
        </w:rPr>
      </w:pPr>
      <w:r>
        <w:rPr>
          <w:rFonts w:hint="default" w:ascii="Times New Roman" w:hAnsi="Times New Roman" w:cs="Times New Roman" w:eastAsiaTheme="minorEastAsia"/>
          <w:color w:val="auto"/>
          <w:szCs w:val="21"/>
          <w:highlight w:val="none"/>
        </w:rPr>
        <w:t>日期：</w:t>
      </w:r>
      <w:r>
        <w:rPr>
          <w:rFonts w:hint="default" w:ascii="Times New Roman" w:hAnsi="Times New Roman" w:cs="Times New Roman" w:eastAsiaTheme="minorEastAsia"/>
          <w:color w:val="auto"/>
          <w:szCs w:val="21"/>
          <w:highlight w:val="none"/>
          <w:u w:val="single"/>
        </w:rPr>
        <w:t xml:space="preserve">     </w:t>
      </w:r>
      <w:r>
        <w:rPr>
          <w:rFonts w:hint="default" w:ascii="Times New Roman" w:hAnsi="Times New Roman" w:cs="Times New Roman" w:eastAsiaTheme="minorEastAsia"/>
          <w:color w:val="auto"/>
          <w:szCs w:val="21"/>
          <w:highlight w:val="none"/>
        </w:rPr>
        <w:t>年</w:t>
      </w:r>
      <w:r>
        <w:rPr>
          <w:rFonts w:hint="default" w:ascii="Times New Roman" w:hAnsi="Times New Roman" w:cs="Times New Roman" w:eastAsiaTheme="minorEastAsia"/>
          <w:color w:val="auto"/>
          <w:szCs w:val="21"/>
          <w:highlight w:val="none"/>
          <w:u w:val="single"/>
        </w:rPr>
        <w:t xml:space="preserve">    </w:t>
      </w:r>
      <w:r>
        <w:rPr>
          <w:rFonts w:hint="default" w:ascii="Times New Roman" w:hAnsi="Times New Roman" w:cs="Times New Roman" w:eastAsiaTheme="minorEastAsia"/>
          <w:color w:val="auto"/>
          <w:szCs w:val="21"/>
          <w:highlight w:val="none"/>
        </w:rPr>
        <w:t>月</w:t>
      </w:r>
      <w:r>
        <w:rPr>
          <w:rFonts w:hint="default" w:ascii="Times New Roman" w:hAnsi="Times New Roman" w:cs="Times New Roman" w:eastAsiaTheme="minorEastAsia"/>
          <w:color w:val="auto"/>
          <w:szCs w:val="21"/>
          <w:highlight w:val="none"/>
          <w:u w:val="single"/>
        </w:rPr>
        <w:t xml:space="preserve">    </w:t>
      </w:r>
      <w:r>
        <w:rPr>
          <w:rFonts w:hint="default" w:ascii="Times New Roman" w:hAnsi="Times New Roman" w:cs="Times New Roman" w:eastAsiaTheme="minorEastAsia"/>
          <w:color w:val="auto"/>
          <w:szCs w:val="21"/>
          <w:highlight w:val="none"/>
        </w:rPr>
        <w:t>日</w:t>
      </w:r>
    </w:p>
    <w:p w14:paraId="3B36D3B9">
      <w:pPr>
        <w:spacing w:before="25" w:after="25" w:line="360" w:lineRule="auto"/>
        <w:jc w:val="right"/>
        <w:rPr>
          <w:rFonts w:hint="default" w:ascii="Times New Roman" w:hAnsi="Times New Roman" w:cs="Times New Roman" w:eastAsiaTheme="minorEastAsia"/>
          <w:color w:val="auto"/>
          <w:szCs w:val="21"/>
          <w:highlight w:val="none"/>
        </w:rPr>
      </w:pPr>
    </w:p>
    <w:p w14:paraId="5A4ABA94">
      <w:pPr>
        <w:spacing w:line="360" w:lineRule="auto"/>
        <w:rPr>
          <w:rFonts w:hint="default" w:ascii="Times New Roman" w:hAnsi="Times New Roman" w:cs="Times New Roman" w:eastAsiaTheme="minorEastAsia"/>
          <w:color w:val="auto"/>
          <w:szCs w:val="21"/>
          <w:highlight w:val="none"/>
        </w:rPr>
      </w:pPr>
    </w:p>
    <w:p w14:paraId="12E9D658">
      <w:pPr>
        <w:spacing w:line="360" w:lineRule="auto"/>
        <w:rPr>
          <w:rFonts w:hint="default" w:ascii="Times New Roman" w:hAnsi="Times New Roman" w:cs="Times New Roman" w:eastAsiaTheme="minorEastAsia"/>
          <w:color w:val="auto"/>
          <w:szCs w:val="21"/>
          <w:highlight w:val="none"/>
        </w:rPr>
      </w:pPr>
      <w:r>
        <w:rPr>
          <w:rFonts w:hint="default" w:ascii="Times New Roman" w:hAnsi="Times New Roman" w:cs="Times New Roman" w:eastAsiaTheme="minorEastAsia"/>
          <w:color w:val="auto"/>
          <w:szCs w:val="21"/>
          <w:highlight w:val="none"/>
        </w:rPr>
        <w:t>说明：供应商承诺不实的，依据《中华人民共和国政府采购法》第七十七条“提供虚假材料谋取中标、成交的”有关规定予以处理。</w:t>
      </w:r>
    </w:p>
    <w:p w14:paraId="648FADD6">
      <w:pPr>
        <w:keepNext w:val="0"/>
        <w:keepLines w:val="0"/>
        <w:pageBreakBefore w:val="0"/>
        <w:pBdr>
          <w:top w:val="none" w:color="000000" w:sz="0" w:space="0"/>
          <w:left w:val="none" w:color="000000" w:sz="0" w:space="0"/>
          <w:bottom w:val="none" w:color="000000" w:sz="0" w:space="0"/>
          <w:right w:val="none" w:color="000000" w:sz="0" w:space="0"/>
        </w:pBdr>
        <w:spacing w:beforeAutospacing="0" w:afterAutospacing="0" w:line="360" w:lineRule="auto"/>
        <w:jc w:val="center"/>
        <w:rPr>
          <w:rFonts w:hint="default" w:ascii="Times New Roman" w:hAnsi="Times New Roman" w:cs="Times New Roman"/>
          <w:color w:val="auto"/>
          <w:highlight w:val="none"/>
        </w:rPr>
      </w:pPr>
    </w:p>
    <w:p w14:paraId="4248C48E">
      <w:pPr>
        <w:keepNext w:val="0"/>
        <w:keepLines w:val="0"/>
        <w:pageBreakBefore w:val="0"/>
        <w:pBdr>
          <w:top w:val="none" w:color="000000" w:sz="0" w:space="0"/>
          <w:left w:val="none" w:color="000000" w:sz="0" w:space="0"/>
          <w:bottom w:val="none" w:color="000000" w:sz="0" w:space="0"/>
          <w:right w:val="none" w:color="000000" w:sz="0" w:space="0"/>
        </w:pBdr>
        <w:spacing w:beforeAutospacing="0" w:afterAutospacing="0" w:line="360" w:lineRule="auto"/>
        <w:jc w:val="center"/>
        <w:rPr>
          <w:rFonts w:hint="default" w:ascii="Times New Roman" w:hAnsi="Times New Roman" w:cs="Times New Roman"/>
          <w:color w:val="auto"/>
          <w:highlight w:val="none"/>
        </w:rPr>
      </w:pPr>
      <w:r>
        <w:rPr>
          <w:rFonts w:hint="default" w:ascii="Times New Roman" w:hAnsi="Times New Roman" w:cs="Times New Roman"/>
          <w:color w:val="auto"/>
          <w:sz w:val="32"/>
          <w:highlight w:val="none"/>
        </w:rPr>
        <w:t> </w:t>
      </w:r>
    </w:p>
    <w:p w14:paraId="0EE3C6C7">
      <w:pPr>
        <w:keepNext w:val="0"/>
        <w:keepLines w:val="0"/>
        <w:pageBreakBefore w:val="0"/>
        <w:pBdr>
          <w:top w:val="none" w:color="000000" w:sz="0" w:space="0"/>
          <w:left w:val="none" w:color="000000" w:sz="0" w:space="0"/>
          <w:bottom w:val="none" w:color="000000" w:sz="0" w:space="0"/>
          <w:right w:val="none" w:color="000000" w:sz="0" w:space="0"/>
        </w:pBdr>
        <w:spacing w:beforeAutospacing="0" w:afterAutospacing="0" w:line="360" w:lineRule="auto"/>
        <w:rPr>
          <w:rFonts w:hint="default" w:ascii="Times New Roman" w:hAnsi="Times New Roman" w:cs="Times New Roman"/>
          <w:color w:val="auto"/>
          <w:highlight w:val="none"/>
        </w:rPr>
      </w:pPr>
      <w:r>
        <w:rPr>
          <w:rFonts w:hint="default" w:ascii="Times New Roman" w:hAnsi="Times New Roman" w:eastAsia="Times New Roman" w:cs="Times New Roman"/>
          <w:color w:val="auto"/>
          <w:sz w:val="24"/>
          <w:highlight w:val="none"/>
        </w:rPr>
        <w:t> </w:t>
      </w:r>
      <w:r>
        <w:rPr>
          <w:rFonts w:hint="default" w:ascii="Times New Roman" w:hAnsi="Times New Roman" w:cs="Times New Roman"/>
          <w:color w:val="auto"/>
          <w:highlight w:val="none"/>
        </w:rPr>
        <w:br w:type="page" w:clear="all"/>
      </w:r>
    </w:p>
    <w:p w14:paraId="0E04424A">
      <w:pPr>
        <w:keepNext w:val="0"/>
        <w:keepLines w:val="0"/>
        <w:pageBreakBefore w:val="0"/>
        <w:pBdr>
          <w:top w:val="none" w:color="000000" w:sz="0" w:space="0"/>
          <w:left w:val="none" w:color="000000" w:sz="0" w:space="0"/>
          <w:bottom w:val="none" w:color="000000" w:sz="0" w:space="0"/>
          <w:right w:val="none" w:color="000000" w:sz="0" w:space="0"/>
        </w:pBdr>
        <w:spacing w:beforeAutospacing="0" w:afterAutospacing="0" w:line="360" w:lineRule="auto"/>
        <w:rPr>
          <w:rFonts w:hint="default" w:ascii="Times New Roman" w:hAnsi="Times New Roman" w:cs="Times New Roman"/>
          <w:color w:val="auto"/>
          <w:highlight w:val="none"/>
        </w:rPr>
      </w:pPr>
      <w:r>
        <w:rPr>
          <w:rFonts w:hint="default" w:ascii="Times New Roman" w:hAnsi="Times New Roman" w:cs="Times New Roman"/>
          <w:color w:val="auto"/>
          <w:sz w:val="24"/>
          <w:highlight w:val="none"/>
        </w:rPr>
        <w:t>附件3：</w:t>
      </w:r>
    </w:p>
    <w:p w14:paraId="12FCEE78">
      <w:pPr>
        <w:spacing w:line="360" w:lineRule="auto"/>
        <w:rPr>
          <w:rFonts w:hint="default" w:ascii="Times New Roman" w:hAnsi="Times New Roman" w:cs="Times New Roman" w:eastAsiaTheme="minorEastAsia"/>
          <w:b/>
          <w:bCs/>
          <w:color w:val="auto"/>
          <w:szCs w:val="21"/>
          <w:highlight w:val="none"/>
        </w:rPr>
      </w:pPr>
    </w:p>
    <w:p w14:paraId="31801267">
      <w:pPr>
        <w:pStyle w:val="6"/>
        <w:spacing w:line="360" w:lineRule="auto"/>
        <w:rPr>
          <w:rFonts w:hint="default" w:ascii="Times New Roman" w:hAnsi="Times New Roman" w:cs="Times New Roman"/>
          <w:color w:val="auto"/>
          <w:highlight w:val="none"/>
        </w:rPr>
      </w:pPr>
      <w:r>
        <w:rPr>
          <w:rFonts w:hint="default" w:ascii="Times New Roman" w:hAnsi="Times New Roman" w:cs="Times New Roman"/>
          <w:color w:val="auto"/>
          <w:highlight w:val="none"/>
        </w:rPr>
        <w:t>1.法定代表人身份证明</w:t>
      </w:r>
    </w:p>
    <w:p w14:paraId="479DBDCE">
      <w:pPr>
        <w:spacing w:line="360" w:lineRule="auto"/>
        <w:ind w:firstLine="480"/>
        <w:rPr>
          <w:rFonts w:hint="default" w:ascii="Times New Roman" w:hAnsi="Times New Roman" w:cs="Times New Roman" w:eastAsiaTheme="minorEastAsia"/>
          <w:color w:val="auto"/>
          <w:szCs w:val="21"/>
          <w:highlight w:val="none"/>
        </w:rPr>
      </w:pPr>
      <w:r>
        <w:rPr>
          <w:rFonts w:hint="default" w:ascii="Times New Roman" w:hAnsi="Times New Roman" w:cs="Times New Roman" w:eastAsiaTheme="minorEastAsia"/>
          <w:color w:val="auto"/>
          <w:szCs w:val="21"/>
          <w:highlight w:val="none"/>
        </w:rPr>
        <w:t>单位名称：</w:t>
      </w:r>
      <w:r>
        <w:rPr>
          <w:rFonts w:hint="default" w:ascii="Times New Roman" w:hAnsi="Times New Roman" w:cs="Times New Roman" w:eastAsiaTheme="minorEastAsia"/>
          <w:color w:val="auto"/>
          <w:szCs w:val="21"/>
          <w:highlight w:val="none"/>
          <w:u w:val="single"/>
        </w:rPr>
        <w:t xml:space="preserve">                                         </w:t>
      </w:r>
    </w:p>
    <w:p w14:paraId="531E11B5">
      <w:pPr>
        <w:spacing w:line="360" w:lineRule="auto"/>
        <w:ind w:firstLine="480"/>
        <w:rPr>
          <w:rFonts w:hint="default" w:ascii="Times New Roman" w:hAnsi="Times New Roman" w:cs="Times New Roman" w:eastAsiaTheme="minorEastAsia"/>
          <w:color w:val="auto"/>
          <w:szCs w:val="21"/>
          <w:highlight w:val="none"/>
        </w:rPr>
      </w:pPr>
      <w:r>
        <w:rPr>
          <w:rFonts w:hint="default" w:ascii="Times New Roman" w:hAnsi="Times New Roman" w:cs="Times New Roman" w:eastAsiaTheme="minorEastAsia"/>
          <w:color w:val="auto"/>
          <w:szCs w:val="21"/>
          <w:highlight w:val="none"/>
        </w:rPr>
        <w:t>单位性质：</w:t>
      </w:r>
      <w:r>
        <w:rPr>
          <w:rFonts w:hint="default" w:ascii="Times New Roman" w:hAnsi="Times New Roman" w:cs="Times New Roman" w:eastAsiaTheme="minorEastAsia"/>
          <w:color w:val="auto"/>
          <w:szCs w:val="21"/>
          <w:highlight w:val="none"/>
          <w:u w:val="single"/>
        </w:rPr>
        <w:t xml:space="preserve">                                         </w:t>
      </w:r>
    </w:p>
    <w:p w14:paraId="701CC902">
      <w:pPr>
        <w:spacing w:line="360" w:lineRule="auto"/>
        <w:ind w:firstLine="480"/>
        <w:rPr>
          <w:rFonts w:hint="default" w:ascii="Times New Roman" w:hAnsi="Times New Roman" w:cs="Times New Roman" w:eastAsiaTheme="minorEastAsia"/>
          <w:color w:val="auto"/>
          <w:szCs w:val="21"/>
          <w:highlight w:val="none"/>
        </w:rPr>
      </w:pPr>
      <w:r>
        <w:rPr>
          <w:rFonts w:hint="default" w:ascii="Times New Roman" w:hAnsi="Times New Roman" w:cs="Times New Roman" w:eastAsiaTheme="minorEastAsia"/>
          <w:color w:val="auto"/>
          <w:szCs w:val="21"/>
          <w:highlight w:val="none"/>
        </w:rPr>
        <w:t>地    址：</w:t>
      </w:r>
      <w:r>
        <w:rPr>
          <w:rFonts w:hint="default" w:ascii="Times New Roman" w:hAnsi="Times New Roman" w:cs="Times New Roman" w:eastAsiaTheme="minorEastAsia"/>
          <w:color w:val="auto"/>
          <w:szCs w:val="21"/>
          <w:highlight w:val="none"/>
          <w:u w:val="single"/>
        </w:rPr>
        <w:t xml:space="preserve">                                         </w:t>
      </w:r>
    </w:p>
    <w:p w14:paraId="67E09A63">
      <w:pPr>
        <w:spacing w:line="360" w:lineRule="auto"/>
        <w:ind w:firstLine="480"/>
        <w:rPr>
          <w:rFonts w:hint="default" w:ascii="Times New Roman" w:hAnsi="Times New Roman" w:cs="Times New Roman" w:eastAsiaTheme="minorEastAsia"/>
          <w:color w:val="auto"/>
          <w:szCs w:val="21"/>
          <w:highlight w:val="none"/>
        </w:rPr>
      </w:pPr>
      <w:r>
        <w:rPr>
          <w:rFonts w:hint="default" w:ascii="Times New Roman" w:hAnsi="Times New Roman" w:cs="Times New Roman" w:eastAsiaTheme="minorEastAsia"/>
          <w:color w:val="auto"/>
          <w:szCs w:val="21"/>
          <w:highlight w:val="none"/>
        </w:rPr>
        <w:t>成立时间：</w:t>
      </w:r>
      <w:r>
        <w:rPr>
          <w:rFonts w:hint="default" w:ascii="Times New Roman" w:hAnsi="Times New Roman" w:cs="Times New Roman" w:eastAsiaTheme="minorEastAsia"/>
          <w:color w:val="auto"/>
          <w:szCs w:val="21"/>
          <w:highlight w:val="none"/>
          <w:u w:val="single"/>
        </w:rPr>
        <w:t xml:space="preserve">           </w:t>
      </w:r>
      <w:r>
        <w:rPr>
          <w:rFonts w:hint="default" w:ascii="Times New Roman" w:hAnsi="Times New Roman" w:cs="Times New Roman" w:eastAsiaTheme="minorEastAsia"/>
          <w:color w:val="auto"/>
          <w:szCs w:val="21"/>
          <w:highlight w:val="none"/>
        </w:rPr>
        <w:t>年</w:t>
      </w:r>
      <w:r>
        <w:rPr>
          <w:rFonts w:hint="default" w:ascii="Times New Roman" w:hAnsi="Times New Roman" w:cs="Times New Roman" w:eastAsiaTheme="minorEastAsia"/>
          <w:color w:val="auto"/>
          <w:szCs w:val="21"/>
          <w:highlight w:val="none"/>
          <w:u w:val="single"/>
        </w:rPr>
        <w:t xml:space="preserve">         </w:t>
      </w:r>
      <w:r>
        <w:rPr>
          <w:rFonts w:hint="default" w:ascii="Times New Roman" w:hAnsi="Times New Roman" w:cs="Times New Roman" w:eastAsiaTheme="minorEastAsia"/>
          <w:color w:val="auto"/>
          <w:szCs w:val="21"/>
          <w:highlight w:val="none"/>
        </w:rPr>
        <w:t>月</w:t>
      </w:r>
      <w:r>
        <w:rPr>
          <w:rFonts w:hint="default" w:ascii="Times New Roman" w:hAnsi="Times New Roman" w:cs="Times New Roman" w:eastAsiaTheme="minorEastAsia"/>
          <w:color w:val="auto"/>
          <w:szCs w:val="21"/>
          <w:highlight w:val="none"/>
          <w:u w:val="single"/>
        </w:rPr>
        <w:t xml:space="preserve">         </w:t>
      </w:r>
      <w:r>
        <w:rPr>
          <w:rFonts w:hint="default" w:ascii="Times New Roman" w:hAnsi="Times New Roman" w:cs="Times New Roman" w:eastAsiaTheme="minorEastAsia"/>
          <w:color w:val="auto"/>
          <w:szCs w:val="21"/>
          <w:highlight w:val="none"/>
        </w:rPr>
        <w:t>日</w:t>
      </w:r>
    </w:p>
    <w:p w14:paraId="2443F65F">
      <w:pPr>
        <w:spacing w:line="360" w:lineRule="auto"/>
        <w:ind w:firstLine="480"/>
        <w:rPr>
          <w:rFonts w:hint="default" w:ascii="Times New Roman" w:hAnsi="Times New Roman" w:cs="Times New Roman" w:eastAsiaTheme="minorEastAsia"/>
          <w:color w:val="auto"/>
          <w:szCs w:val="21"/>
          <w:highlight w:val="none"/>
        </w:rPr>
      </w:pPr>
      <w:r>
        <w:rPr>
          <w:rFonts w:hint="default" w:ascii="Times New Roman" w:hAnsi="Times New Roman" w:cs="Times New Roman" w:eastAsiaTheme="minorEastAsia"/>
          <w:color w:val="auto"/>
          <w:szCs w:val="21"/>
          <w:highlight w:val="none"/>
        </w:rPr>
        <w:t>经营期限：</w:t>
      </w:r>
      <w:r>
        <w:rPr>
          <w:rFonts w:hint="default" w:ascii="Times New Roman" w:hAnsi="Times New Roman" w:cs="Times New Roman" w:eastAsiaTheme="minorEastAsia"/>
          <w:color w:val="auto"/>
          <w:szCs w:val="21"/>
          <w:highlight w:val="none"/>
          <w:u w:val="single"/>
        </w:rPr>
        <w:t xml:space="preserve">                                  </w:t>
      </w:r>
    </w:p>
    <w:p w14:paraId="3F04FE33">
      <w:pPr>
        <w:spacing w:line="360" w:lineRule="auto"/>
        <w:ind w:firstLine="480"/>
        <w:rPr>
          <w:rFonts w:hint="default" w:ascii="Times New Roman" w:hAnsi="Times New Roman" w:cs="Times New Roman" w:eastAsiaTheme="minorEastAsia"/>
          <w:color w:val="auto"/>
          <w:szCs w:val="21"/>
          <w:highlight w:val="none"/>
        </w:rPr>
      </w:pPr>
      <w:r>
        <w:rPr>
          <w:rFonts w:hint="default" w:ascii="Times New Roman" w:hAnsi="Times New Roman" w:cs="Times New Roman" w:eastAsiaTheme="minorEastAsia"/>
          <w:color w:val="auto"/>
          <w:szCs w:val="21"/>
          <w:highlight w:val="none"/>
        </w:rPr>
        <w:t>姓    名：</w:t>
      </w:r>
      <w:r>
        <w:rPr>
          <w:rFonts w:hint="default" w:ascii="Times New Roman" w:hAnsi="Times New Roman" w:cs="Times New Roman" w:eastAsiaTheme="minorEastAsia"/>
          <w:color w:val="auto"/>
          <w:szCs w:val="21"/>
          <w:highlight w:val="none"/>
          <w:u w:val="single"/>
        </w:rPr>
        <w:t xml:space="preserve">             </w:t>
      </w:r>
      <w:r>
        <w:rPr>
          <w:rFonts w:hint="default" w:ascii="Times New Roman" w:hAnsi="Times New Roman" w:cs="Times New Roman" w:eastAsiaTheme="minorEastAsia"/>
          <w:color w:val="auto"/>
          <w:szCs w:val="21"/>
          <w:highlight w:val="none"/>
        </w:rPr>
        <w:t>性别：</w:t>
      </w:r>
      <w:r>
        <w:rPr>
          <w:rFonts w:hint="default" w:ascii="Times New Roman" w:hAnsi="Times New Roman" w:cs="Times New Roman" w:eastAsiaTheme="minorEastAsia"/>
          <w:color w:val="auto"/>
          <w:szCs w:val="21"/>
          <w:highlight w:val="none"/>
          <w:u w:val="single"/>
        </w:rPr>
        <w:t xml:space="preserve">          </w:t>
      </w:r>
      <w:r>
        <w:rPr>
          <w:rFonts w:hint="default" w:ascii="Times New Roman" w:hAnsi="Times New Roman" w:cs="Times New Roman" w:eastAsiaTheme="minorEastAsia"/>
          <w:color w:val="auto"/>
          <w:szCs w:val="21"/>
          <w:highlight w:val="none"/>
        </w:rPr>
        <w:t>年龄：</w:t>
      </w:r>
      <w:r>
        <w:rPr>
          <w:rFonts w:hint="default" w:ascii="Times New Roman" w:hAnsi="Times New Roman" w:cs="Times New Roman" w:eastAsiaTheme="minorEastAsia"/>
          <w:color w:val="auto"/>
          <w:szCs w:val="21"/>
          <w:highlight w:val="none"/>
          <w:u w:val="single"/>
        </w:rPr>
        <w:t xml:space="preserve">            </w:t>
      </w:r>
      <w:r>
        <w:rPr>
          <w:rFonts w:hint="default" w:ascii="Times New Roman" w:hAnsi="Times New Roman" w:cs="Times New Roman" w:eastAsiaTheme="minorEastAsia"/>
          <w:color w:val="auto"/>
          <w:szCs w:val="21"/>
          <w:highlight w:val="none"/>
        </w:rPr>
        <w:t>职务：</w:t>
      </w:r>
      <w:r>
        <w:rPr>
          <w:rFonts w:hint="default" w:ascii="Times New Roman" w:hAnsi="Times New Roman" w:cs="Times New Roman" w:eastAsiaTheme="minorEastAsia"/>
          <w:color w:val="auto"/>
          <w:szCs w:val="21"/>
          <w:highlight w:val="none"/>
          <w:u w:val="single"/>
        </w:rPr>
        <w:t xml:space="preserve">               </w:t>
      </w:r>
      <w:r>
        <w:rPr>
          <w:rFonts w:hint="default" w:ascii="Times New Roman" w:hAnsi="Times New Roman" w:cs="Times New Roman" w:eastAsiaTheme="minorEastAsia"/>
          <w:color w:val="auto"/>
          <w:szCs w:val="21"/>
          <w:highlight w:val="none"/>
        </w:rPr>
        <w:t>手机（必填）：</w:t>
      </w:r>
      <w:r>
        <w:rPr>
          <w:rFonts w:hint="default" w:ascii="Times New Roman" w:hAnsi="Times New Roman" w:cs="Times New Roman" w:eastAsiaTheme="minorEastAsia"/>
          <w:color w:val="auto"/>
          <w:szCs w:val="21"/>
          <w:highlight w:val="none"/>
          <w:u w:val="single"/>
        </w:rPr>
        <w:t xml:space="preserve">                   </w:t>
      </w:r>
      <w:r>
        <w:rPr>
          <w:rFonts w:hint="default" w:ascii="Times New Roman" w:hAnsi="Times New Roman" w:cs="Times New Roman" w:eastAsiaTheme="minorEastAsia"/>
          <w:color w:val="auto"/>
          <w:szCs w:val="21"/>
          <w:highlight w:val="none"/>
        </w:rPr>
        <w:t>系：</w:t>
      </w:r>
      <w:r>
        <w:rPr>
          <w:rFonts w:hint="default" w:ascii="Times New Roman" w:hAnsi="Times New Roman" w:cs="Times New Roman" w:eastAsiaTheme="minorEastAsia"/>
          <w:color w:val="auto"/>
          <w:szCs w:val="21"/>
          <w:highlight w:val="none"/>
          <w:u w:val="single"/>
        </w:rPr>
        <w:t xml:space="preserve">     （响应供应商名称）            </w:t>
      </w:r>
      <w:r>
        <w:rPr>
          <w:rFonts w:hint="default" w:ascii="Times New Roman" w:hAnsi="Times New Roman" w:cs="Times New Roman" w:eastAsiaTheme="minorEastAsia"/>
          <w:color w:val="auto"/>
          <w:szCs w:val="21"/>
          <w:highlight w:val="none"/>
        </w:rPr>
        <w:t>的法定代表人。</w:t>
      </w:r>
    </w:p>
    <w:p w14:paraId="004AC467">
      <w:pPr>
        <w:spacing w:line="360" w:lineRule="auto"/>
        <w:ind w:firstLine="480"/>
        <w:rPr>
          <w:rFonts w:hint="default" w:ascii="Times New Roman" w:hAnsi="Times New Roman" w:cs="Times New Roman" w:eastAsiaTheme="minorEastAsia"/>
          <w:color w:val="auto"/>
          <w:szCs w:val="21"/>
          <w:highlight w:val="none"/>
        </w:rPr>
      </w:pPr>
      <w:r>
        <w:rPr>
          <w:rFonts w:hint="default" w:ascii="Times New Roman" w:hAnsi="Times New Roman" w:cs="Times New Roman" w:eastAsiaTheme="minorEastAsia"/>
          <w:color w:val="auto"/>
          <w:szCs w:val="21"/>
          <w:highlight w:val="none"/>
        </w:rPr>
        <w:t>特此证明</w:t>
      </w:r>
    </w:p>
    <w:p w14:paraId="52B45051">
      <w:pPr>
        <w:spacing w:line="360" w:lineRule="auto"/>
        <w:ind w:firstLine="480"/>
        <w:rPr>
          <w:rFonts w:hint="default" w:ascii="Times New Roman" w:hAnsi="Times New Roman" w:cs="Times New Roman" w:eastAsiaTheme="minorEastAsia"/>
          <w:color w:val="auto"/>
          <w:szCs w:val="21"/>
          <w:highlight w:val="none"/>
        </w:rPr>
      </w:pPr>
      <w:r>
        <w:rPr>
          <w:rFonts w:hint="default" w:ascii="Times New Roman" w:hAnsi="Times New Roman" w:cs="Times New Roman" w:eastAsiaTheme="minorEastAsia"/>
          <w:color w:val="auto"/>
          <w:szCs w:val="21"/>
          <w:highlight w:val="none"/>
        </w:rPr>
        <w:t>磋商响应人（盖法人章）：</w:t>
      </w:r>
      <w:r>
        <w:rPr>
          <w:rFonts w:hint="default" w:ascii="Times New Roman" w:hAnsi="Times New Roman" w:cs="Times New Roman" w:eastAsiaTheme="minorEastAsia"/>
          <w:color w:val="auto"/>
          <w:szCs w:val="21"/>
          <w:highlight w:val="none"/>
          <w:u w:val="single"/>
        </w:rPr>
        <w:t xml:space="preserve">                   </w:t>
      </w:r>
    </w:p>
    <w:p w14:paraId="6C0D236F">
      <w:pPr>
        <w:spacing w:line="360" w:lineRule="auto"/>
        <w:ind w:firstLine="480"/>
        <w:rPr>
          <w:rFonts w:hint="default" w:ascii="Times New Roman" w:hAnsi="Times New Roman" w:cs="Times New Roman" w:eastAsiaTheme="minorEastAsia"/>
          <w:color w:val="auto"/>
          <w:szCs w:val="21"/>
          <w:highlight w:val="none"/>
        </w:rPr>
      </w:pPr>
      <w:r>
        <w:rPr>
          <w:rFonts w:hint="default" w:ascii="Times New Roman" w:hAnsi="Times New Roman" w:cs="Times New Roman" w:eastAsiaTheme="minorEastAsia"/>
          <w:color w:val="auto"/>
          <w:szCs w:val="21"/>
          <w:highlight w:val="none"/>
        </w:rPr>
        <w:t>日   期：</w:t>
      </w:r>
      <w:r>
        <w:rPr>
          <w:rFonts w:hint="default" w:ascii="Times New Roman" w:hAnsi="Times New Roman" w:cs="Times New Roman" w:eastAsiaTheme="minorEastAsia"/>
          <w:color w:val="auto"/>
          <w:szCs w:val="21"/>
          <w:highlight w:val="none"/>
          <w:u w:val="single"/>
        </w:rPr>
        <w:t xml:space="preserve">        </w:t>
      </w:r>
      <w:r>
        <w:rPr>
          <w:rFonts w:hint="default" w:ascii="Times New Roman" w:hAnsi="Times New Roman" w:cs="Times New Roman" w:eastAsiaTheme="minorEastAsia"/>
          <w:color w:val="auto"/>
          <w:szCs w:val="21"/>
          <w:highlight w:val="none"/>
        </w:rPr>
        <w:t>年</w:t>
      </w:r>
      <w:r>
        <w:rPr>
          <w:rFonts w:hint="default" w:ascii="Times New Roman" w:hAnsi="Times New Roman" w:cs="Times New Roman" w:eastAsiaTheme="minorEastAsia"/>
          <w:color w:val="auto"/>
          <w:szCs w:val="21"/>
          <w:highlight w:val="none"/>
          <w:u w:val="single"/>
        </w:rPr>
        <w:t xml:space="preserve">      </w:t>
      </w:r>
      <w:r>
        <w:rPr>
          <w:rFonts w:hint="default" w:ascii="Times New Roman" w:hAnsi="Times New Roman" w:cs="Times New Roman" w:eastAsiaTheme="minorEastAsia"/>
          <w:color w:val="auto"/>
          <w:szCs w:val="21"/>
          <w:highlight w:val="none"/>
        </w:rPr>
        <w:t>月</w:t>
      </w:r>
      <w:r>
        <w:rPr>
          <w:rFonts w:hint="default" w:ascii="Times New Roman" w:hAnsi="Times New Roman" w:cs="Times New Roman" w:eastAsiaTheme="minorEastAsia"/>
          <w:color w:val="auto"/>
          <w:szCs w:val="21"/>
          <w:highlight w:val="none"/>
          <w:u w:val="single"/>
        </w:rPr>
        <w:t xml:space="preserve">      </w:t>
      </w:r>
      <w:r>
        <w:rPr>
          <w:rFonts w:hint="default" w:ascii="Times New Roman" w:hAnsi="Times New Roman" w:cs="Times New Roman" w:eastAsiaTheme="minorEastAsia"/>
          <w:color w:val="auto"/>
          <w:szCs w:val="21"/>
          <w:highlight w:val="none"/>
        </w:rPr>
        <w:t>日</w:t>
      </w:r>
    </w:p>
    <w:p w14:paraId="29068111">
      <w:pPr>
        <w:spacing w:line="360" w:lineRule="auto"/>
        <w:ind w:firstLine="480"/>
        <w:rPr>
          <w:rFonts w:hint="default" w:ascii="Times New Roman" w:hAnsi="Times New Roman" w:cs="Times New Roman" w:eastAsiaTheme="minorEastAsia"/>
          <w:color w:val="auto"/>
          <w:szCs w:val="21"/>
          <w:highlight w:val="none"/>
        </w:rPr>
      </w:pPr>
    </w:p>
    <w:p w14:paraId="3312EE74">
      <w:pPr>
        <w:spacing w:line="360" w:lineRule="auto"/>
        <w:rPr>
          <w:rFonts w:hint="default" w:ascii="Times New Roman" w:hAnsi="Times New Roman" w:cs="Times New Roman" w:eastAsiaTheme="minorEastAsia"/>
          <w:color w:val="auto"/>
          <w:szCs w:val="21"/>
          <w:highlight w:val="none"/>
        </w:rPr>
      </w:pPr>
      <w:r>
        <w:rPr>
          <w:rFonts w:hint="default" w:ascii="Times New Roman" w:hAnsi="Times New Roman" w:cs="Times New Roman" w:eastAsiaTheme="minorEastAsia"/>
          <w:color w:val="auto"/>
          <w:szCs w:val="21"/>
          <w:highlight w:val="none"/>
        </w:rPr>
        <w:t>法定代表人（单位负责人）有效期内的身份证复印件（正反面）</w:t>
      </w:r>
    </w:p>
    <w:tbl>
      <w:tblPr>
        <w:tblStyle w:val="42"/>
        <w:tblW w:w="9639" w:type="dxa"/>
        <w:tblInd w:w="-45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678"/>
        <w:gridCol w:w="284"/>
        <w:gridCol w:w="4677"/>
      </w:tblGrid>
      <w:tr w14:paraId="64E208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68" w:hRule="atLeast"/>
        </w:trPr>
        <w:tc>
          <w:tcPr>
            <w:tcW w:w="4678" w:type="dxa"/>
            <w:noWrap w:val="0"/>
            <w:vAlign w:val="center"/>
          </w:tcPr>
          <w:p w14:paraId="2706CF8C">
            <w:pPr>
              <w:pStyle w:val="16"/>
              <w:spacing w:line="360" w:lineRule="auto"/>
              <w:jc w:val="center"/>
              <w:rPr>
                <w:rFonts w:hint="default" w:ascii="Times New Roman" w:hAnsi="Times New Roman" w:cs="Times New Roman" w:eastAsiaTheme="minorEastAsia"/>
                <w:i/>
                <w:color w:val="auto"/>
                <w:sz w:val="20"/>
                <w:highlight w:val="none"/>
              </w:rPr>
            </w:pPr>
            <w:r>
              <w:rPr>
                <w:rFonts w:hint="default" w:ascii="Times New Roman" w:hAnsi="Times New Roman" w:cs="Times New Roman" w:eastAsiaTheme="minorEastAsia"/>
                <w:i/>
                <w:color w:val="auto"/>
                <w:sz w:val="24"/>
                <w:highlight w:val="none"/>
              </w:rPr>
              <w:t>身份证正面</w:t>
            </w:r>
          </w:p>
        </w:tc>
        <w:tc>
          <w:tcPr>
            <w:tcW w:w="284" w:type="dxa"/>
            <w:tcBorders>
              <w:top w:val="nil"/>
              <w:bottom w:val="nil"/>
            </w:tcBorders>
            <w:noWrap w:val="0"/>
          </w:tcPr>
          <w:p w14:paraId="0B53E480">
            <w:pPr>
              <w:widowControl/>
              <w:spacing w:line="360" w:lineRule="auto"/>
              <w:jc w:val="left"/>
              <w:rPr>
                <w:rFonts w:hint="default" w:ascii="Times New Roman" w:hAnsi="Times New Roman" w:cs="Times New Roman" w:eastAsiaTheme="minorEastAsia"/>
                <w:color w:val="auto"/>
                <w:sz w:val="20"/>
                <w:highlight w:val="none"/>
              </w:rPr>
            </w:pPr>
          </w:p>
        </w:tc>
        <w:tc>
          <w:tcPr>
            <w:tcW w:w="4677" w:type="dxa"/>
            <w:noWrap w:val="0"/>
            <w:vAlign w:val="center"/>
          </w:tcPr>
          <w:p w14:paraId="2D62D1F8">
            <w:pPr>
              <w:widowControl/>
              <w:spacing w:line="360" w:lineRule="auto"/>
              <w:jc w:val="center"/>
              <w:rPr>
                <w:rFonts w:hint="default" w:ascii="Times New Roman" w:hAnsi="Times New Roman" w:cs="Times New Roman" w:eastAsiaTheme="minorEastAsia"/>
                <w:color w:val="auto"/>
                <w:sz w:val="20"/>
                <w:highlight w:val="none"/>
              </w:rPr>
            </w:pPr>
            <w:r>
              <w:rPr>
                <w:rFonts w:hint="default" w:ascii="Times New Roman" w:hAnsi="Times New Roman" w:cs="Times New Roman" w:eastAsiaTheme="minorEastAsia"/>
                <w:i/>
                <w:color w:val="auto"/>
                <w:sz w:val="24"/>
                <w:highlight w:val="none"/>
              </w:rPr>
              <w:t>身份证反面</w:t>
            </w:r>
          </w:p>
        </w:tc>
      </w:tr>
    </w:tbl>
    <w:p w14:paraId="00BB94EC">
      <w:pPr>
        <w:rPr>
          <w:rFonts w:hint="default" w:ascii="Times New Roman" w:hAnsi="Times New Roman" w:cs="Times New Roman"/>
          <w:color w:val="auto"/>
          <w:highlight w:val="none"/>
        </w:rPr>
      </w:pPr>
      <w:r>
        <w:rPr>
          <w:rFonts w:hint="default" w:ascii="Times New Roman" w:hAnsi="Times New Roman" w:cs="Times New Roman"/>
          <w:color w:val="auto"/>
          <w:highlight w:val="none"/>
        </w:rPr>
        <w:br w:type="page" w:clear="all"/>
      </w:r>
    </w:p>
    <w:p w14:paraId="08C76B5B">
      <w:pPr>
        <w:pStyle w:val="6"/>
        <w:spacing w:line="360" w:lineRule="auto"/>
        <w:rPr>
          <w:rFonts w:hint="default" w:ascii="Times New Roman" w:hAnsi="Times New Roman" w:cs="Times New Roman"/>
          <w:color w:val="auto"/>
          <w:highlight w:val="none"/>
        </w:rPr>
      </w:pPr>
      <w:r>
        <w:rPr>
          <w:rFonts w:hint="default" w:ascii="Times New Roman" w:hAnsi="Times New Roman" w:cs="Times New Roman"/>
          <w:color w:val="auto"/>
          <w:highlight w:val="none"/>
        </w:rPr>
        <w:t>2.法定代表人授权书</w:t>
      </w:r>
    </w:p>
    <w:p w14:paraId="21DB31D1">
      <w:pPr>
        <w:pStyle w:val="221"/>
        <w:spacing w:line="360" w:lineRule="auto"/>
        <w:ind w:firstLine="422"/>
        <w:jc w:val="center"/>
        <w:rPr>
          <w:rFonts w:hint="default" w:ascii="Times New Roman" w:hAnsi="Times New Roman" w:cs="Times New Roman" w:eastAsiaTheme="minorEastAsia"/>
          <w:b/>
          <w:color w:val="auto"/>
          <w:sz w:val="21"/>
          <w:szCs w:val="21"/>
          <w:highlight w:val="none"/>
        </w:rPr>
      </w:pPr>
    </w:p>
    <w:p w14:paraId="368902E0">
      <w:pPr>
        <w:pStyle w:val="221"/>
        <w:spacing w:line="360" w:lineRule="auto"/>
        <w:ind w:firstLine="420"/>
        <w:rPr>
          <w:rFonts w:hint="default" w:ascii="Times New Roman" w:hAnsi="Times New Roman" w:cs="Times New Roman" w:eastAsiaTheme="minorEastAsia"/>
          <w:color w:val="auto"/>
          <w:sz w:val="21"/>
          <w:szCs w:val="21"/>
          <w:highlight w:val="none"/>
        </w:rPr>
      </w:pPr>
      <w:r>
        <w:rPr>
          <w:rFonts w:hint="default" w:ascii="Times New Roman" w:hAnsi="Times New Roman" w:cs="Times New Roman" w:eastAsiaTheme="minorEastAsia"/>
          <w:color w:val="auto"/>
          <w:sz w:val="21"/>
          <w:szCs w:val="21"/>
          <w:highlight w:val="none"/>
        </w:rPr>
        <w:t>本授权书声明：</w:t>
      </w:r>
      <w:r>
        <w:rPr>
          <w:rFonts w:hint="default" w:ascii="Times New Roman" w:hAnsi="Times New Roman" w:cs="Times New Roman" w:eastAsiaTheme="minorEastAsia"/>
          <w:color w:val="auto"/>
          <w:sz w:val="21"/>
          <w:szCs w:val="21"/>
          <w:highlight w:val="none"/>
          <w:u w:val="single"/>
        </w:rPr>
        <w:t xml:space="preserve">   （供应商名称）   </w:t>
      </w:r>
      <w:r>
        <w:rPr>
          <w:rFonts w:hint="default" w:ascii="Times New Roman" w:hAnsi="Times New Roman" w:cs="Times New Roman" w:eastAsiaTheme="minorEastAsia"/>
          <w:color w:val="auto"/>
          <w:sz w:val="21"/>
          <w:szCs w:val="21"/>
          <w:highlight w:val="none"/>
        </w:rPr>
        <w:t>授权</w:t>
      </w:r>
      <w:r>
        <w:rPr>
          <w:rFonts w:hint="default" w:ascii="Times New Roman" w:hAnsi="Times New Roman" w:cs="Times New Roman" w:eastAsiaTheme="minorEastAsia"/>
          <w:color w:val="auto"/>
          <w:sz w:val="21"/>
          <w:szCs w:val="21"/>
          <w:highlight w:val="none"/>
          <w:u w:val="single"/>
        </w:rPr>
        <w:t xml:space="preserve">  （被授权人的姓名）  </w:t>
      </w:r>
      <w:r>
        <w:rPr>
          <w:rFonts w:hint="default" w:ascii="Times New Roman" w:hAnsi="Times New Roman" w:cs="Times New Roman" w:eastAsiaTheme="minorEastAsia"/>
          <w:color w:val="auto"/>
          <w:sz w:val="21"/>
          <w:szCs w:val="21"/>
          <w:highlight w:val="none"/>
        </w:rPr>
        <w:t>为我方就</w:t>
      </w:r>
      <w:r>
        <w:rPr>
          <w:rFonts w:hint="default" w:ascii="Times New Roman" w:hAnsi="Times New Roman" w:cs="Times New Roman" w:eastAsiaTheme="minorEastAsia"/>
          <w:color w:val="auto"/>
          <w:sz w:val="21"/>
          <w:szCs w:val="21"/>
          <w:highlight w:val="none"/>
          <w:u w:val="single"/>
        </w:rPr>
        <w:t xml:space="preserve">        </w:t>
      </w:r>
      <w:r>
        <w:rPr>
          <w:rFonts w:hint="default" w:ascii="Times New Roman" w:hAnsi="Times New Roman" w:cs="Times New Roman" w:eastAsiaTheme="minorEastAsia"/>
          <w:color w:val="auto"/>
          <w:sz w:val="21"/>
          <w:szCs w:val="21"/>
          <w:highlight w:val="none"/>
        </w:rPr>
        <w:t>项目采购活动的合法代理人，以本公司名义全权处理一切与该项目采购有关的事务，其后果由我单位承担。</w:t>
      </w:r>
    </w:p>
    <w:p w14:paraId="008EA03A">
      <w:pPr>
        <w:spacing w:line="360" w:lineRule="auto"/>
        <w:ind w:firstLine="420"/>
        <w:rPr>
          <w:rFonts w:hint="default" w:ascii="Times New Roman" w:hAnsi="Times New Roman" w:cs="Times New Roman" w:eastAsiaTheme="minorEastAsia"/>
          <w:color w:val="auto"/>
          <w:szCs w:val="21"/>
          <w:highlight w:val="none"/>
        </w:rPr>
      </w:pPr>
      <w:r>
        <w:rPr>
          <w:rFonts w:hint="default" w:ascii="Times New Roman" w:hAnsi="Times New Roman" w:cs="Times New Roman" w:eastAsiaTheme="minorEastAsia"/>
          <w:color w:val="auto"/>
          <w:szCs w:val="21"/>
          <w:highlight w:val="none"/>
        </w:rPr>
        <w:t>代理人无转委托权，特此委托。</w:t>
      </w:r>
    </w:p>
    <w:p w14:paraId="7AED8EF2">
      <w:pPr>
        <w:pStyle w:val="221"/>
        <w:spacing w:line="360" w:lineRule="auto"/>
        <w:ind w:firstLine="420"/>
        <w:rPr>
          <w:rFonts w:hint="default" w:ascii="Times New Roman" w:hAnsi="Times New Roman" w:cs="Times New Roman" w:eastAsiaTheme="minorEastAsia"/>
          <w:color w:val="auto"/>
          <w:sz w:val="21"/>
          <w:szCs w:val="21"/>
          <w:highlight w:val="none"/>
        </w:rPr>
      </w:pPr>
      <w:r>
        <w:rPr>
          <w:rFonts w:hint="default" w:ascii="Times New Roman" w:hAnsi="Times New Roman" w:cs="Times New Roman" w:eastAsiaTheme="minorEastAsia"/>
          <w:color w:val="auto"/>
          <w:sz w:val="21"/>
          <w:szCs w:val="21"/>
          <w:highlight w:val="none"/>
        </w:rPr>
        <w:t>委托期限：自本授权委托书签署之日起至投标有效期届满之日止。</w:t>
      </w:r>
    </w:p>
    <w:p w14:paraId="55806AFB">
      <w:pPr>
        <w:pStyle w:val="221"/>
        <w:spacing w:line="360" w:lineRule="auto"/>
        <w:ind w:firstLine="420"/>
        <w:rPr>
          <w:rFonts w:hint="default" w:ascii="Times New Roman" w:hAnsi="Times New Roman" w:cs="Times New Roman" w:eastAsiaTheme="minorEastAsia"/>
          <w:color w:val="auto"/>
          <w:sz w:val="21"/>
          <w:szCs w:val="21"/>
          <w:highlight w:val="none"/>
        </w:rPr>
      </w:pPr>
      <w:r>
        <w:rPr>
          <w:rFonts w:hint="default" w:ascii="Times New Roman" w:hAnsi="Times New Roman" w:cs="Times New Roman" w:eastAsiaTheme="minorEastAsia"/>
          <w:color w:val="auto"/>
          <w:sz w:val="21"/>
          <w:szCs w:val="21"/>
          <w:highlight w:val="none"/>
        </w:rPr>
        <w:t>法定代表人：（签字或盖章）_______________________</w:t>
      </w:r>
    </w:p>
    <w:p w14:paraId="62CA4F36">
      <w:pPr>
        <w:pStyle w:val="221"/>
        <w:spacing w:line="360" w:lineRule="auto"/>
        <w:ind w:firstLine="420"/>
        <w:rPr>
          <w:rFonts w:hint="default" w:ascii="Times New Roman" w:hAnsi="Times New Roman" w:cs="Times New Roman" w:eastAsiaTheme="minorEastAsia"/>
          <w:color w:val="auto"/>
          <w:sz w:val="21"/>
          <w:szCs w:val="21"/>
          <w:highlight w:val="none"/>
        </w:rPr>
      </w:pPr>
    </w:p>
    <w:p w14:paraId="519DBAA4">
      <w:pPr>
        <w:pStyle w:val="221"/>
        <w:spacing w:line="360" w:lineRule="auto"/>
        <w:ind w:firstLine="420"/>
        <w:rPr>
          <w:rFonts w:hint="default" w:ascii="Times New Roman" w:hAnsi="Times New Roman" w:cs="Times New Roman" w:eastAsiaTheme="minorEastAsia"/>
          <w:color w:val="auto"/>
          <w:sz w:val="21"/>
          <w:szCs w:val="21"/>
          <w:highlight w:val="none"/>
        </w:rPr>
      </w:pPr>
      <w:r>
        <w:rPr>
          <w:rFonts w:hint="default" w:ascii="Times New Roman" w:hAnsi="Times New Roman" w:cs="Times New Roman" w:eastAsiaTheme="minorEastAsia"/>
          <w:color w:val="auto"/>
          <w:sz w:val="21"/>
          <w:szCs w:val="21"/>
          <w:highlight w:val="none"/>
        </w:rPr>
        <w:t>授权单位名称（盖章）：_________________________________</w:t>
      </w:r>
    </w:p>
    <w:p w14:paraId="4B436DA2">
      <w:pPr>
        <w:pStyle w:val="221"/>
        <w:spacing w:line="360" w:lineRule="auto"/>
        <w:ind w:firstLine="420"/>
        <w:rPr>
          <w:rFonts w:hint="default" w:ascii="Times New Roman" w:hAnsi="Times New Roman" w:cs="Times New Roman" w:eastAsiaTheme="minorEastAsia"/>
          <w:color w:val="auto"/>
          <w:sz w:val="21"/>
          <w:szCs w:val="21"/>
          <w:highlight w:val="none"/>
        </w:rPr>
      </w:pPr>
      <w:r>
        <w:rPr>
          <w:rFonts w:hint="default" w:ascii="Times New Roman" w:hAnsi="Times New Roman" w:cs="Times New Roman" w:eastAsiaTheme="minorEastAsia"/>
          <w:color w:val="auto"/>
          <w:sz w:val="21"/>
          <w:szCs w:val="21"/>
          <w:highlight w:val="none"/>
        </w:rPr>
        <w:t>地址：_____________________________________</w:t>
      </w:r>
    </w:p>
    <w:p w14:paraId="7342EA43">
      <w:pPr>
        <w:pStyle w:val="221"/>
        <w:spacing w:line="360" w:lineRule="auto"/>
        <w:ind w:firstLine="420"/>
        <w:rPr>
          <w:rFonts w:hint="default" w:ascii="Times New Roman" w:hAnsi="Times New Roman" w:cs="Times New Roman" w:eastAsiaTheme="minorEastAsia"/>
          <w:color w:val="auto"/>
          <w:highlight w:val="none"/>
        </w:rPr>
      </w:pPr>
      <w:r>
        <w:rPr>
          <w:rFonts w:hint="default" w:ascii="Times New Roman" w:hAnsi="Times New Roman" w:cs="Times New Roman" w:eastAsiaTheme="minorEastAsia"/>
          <w:color w:val="auto"/>
          <w:sz w:val="21"/>
          <w:szCs w:val="21"/>
          <w:highlight w:val="none"/>
        </w:rPr>
        <w:t>日期：</w:t>
      </w:r>
      <w:bookmarkStart w:id="0" w:name="_Hlt26955070"/>
      <w:bookmarkEnd w:id="0"/>
      <w:bookmarkStart w:id="1" w:name="_格式3__银行出具的资信证明"/>
      <w:bookmarkEnd w:id="1"/>
      <w:bookmarkStart w:id="2" w:name="_Hlt26671380"/>
      <w:bookmarkEnd w:id="2"/>
      <w:r>
        <w:rPr>
          <w:rFonts w:hint="default" w:ascii="Times New Roman" w:hAnsi="Times New Roman" w:cs="Times New Roman" w:eastAsiaTheme="minorEastAsia"/>
          <w:color w:val="auto"/>
          <w:sz w:val="21"/>
          <w:szCs w:val="21"/>
          <w:highlight w:val="none"/>
        </w:rPr>
        <w:t xml:space="preserve">     年  月  日</w:t>
      </w:r>
    </w:p>
    <w:p w14:paraId="26C9116A">
      <w:pPr>
        <w:spacing w:line="360" w:lineRule="auto"/>
        <w:rPr>
          <w:rFonts w:hint="default" w:ascii="Times New Roman" w:hAnsi="Times New Roman" w:cs="Times New Roman" w:eastAsiaTheme="minorEastAsia"/>
          <w:color w:val="auto"/>
          <w:szCs w:val="21"/>
          <w:highlight w:val="none"/>
        </w:rPr>
      </w:pPr>
    </w:p>
    <w:p w14:paraId="5717FBAD">
      <w:pPr>
        <w:spacing w:line="360" w:lineRule="auto"/>
        <w:rPr>
          <w:rFonts w:hint="default" w:ascii="Times New Roman" w:hAnsi="Times New Roman" w:cs="Times New Roman" w:eastAsiaTheme="minorEastAsia"/>
          <w:color w:val="auto"/>
          <w:highlight w:val="none"/>
        </w:rPr>
      </w:pPr>
      <w:r>
        <w:rPr>
          <w:rFonts w:hint="default" w:ascii="Times New Roman" w:hAnsi="Times New Roman" w:cs="Times New Roman" w:eastAsiaTheme="minorEastAsia"/>
          <w:color w:val="auto"/>
          <w:szCs w:val="21"/>
          <w:highlight w:val="none"/>
        </w:rPr>
        <w:t>附：授权代表有效期内的身份证复印件</w:t>
      </w:r>
      <w:r>
        <w:rPr>
          <w:rFonts w:hint="default" w:ascii="Times New Roman" w:hAnsi="Times New Roman" w:cs="Times New Roman" w:eastAsiaTheme="minorEastAsia"/>
          <w:color w:val="auto"/>
          <w:highlight w:val="none"/>
        </w:rPr>
        <w:t>（正反面）</w:t>
      </w:r>
    </w:p>
    <w:tbl>
      <w:tblPr>
        <w:tblStyle w:val="42"/>
        <w:tblW w:w="9651" w:type="dxa"/>
        <w:tblInd w:w="-45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678"/>
        <w:gridCol w:w="278"/>
        <w:gridCol w:w="4695"/>
      </w:tblGrid>
      <w:tr w14:paraId="69F706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49" w:hRule="atLeast"/>
        </w:trPr>
        <w:tc>
          <w:tcPr>
            <w:tcW w:w="4678" w:type="dxa"/>
            <w:noWrap w:val="0"/>
            <w:vAlign w:val="center"/>
          </w:tcPr>
          <w:p w14:paraId="5164C3A0">
            <w:pPr>
              <w:pStyle w:val="16"/>
              <w:spacing w:line="360" w:lineRule="auto"/>
              <w:jc w:val="center"/>
              <w:rPr>
                <w:rFonts w:hint="default" w:ascii="Times New Roman" w:hAnsi="Times New Roman" w:cs="Times New Roman" w:eastAsiaTheme="minorEastAsia"/>
                <w:i/>
                <w:color w:val="auto"/>
                <w:sz w:val="20"/>
                <w:highlight w:val="none"/>
              </w:rPr>
            </w:pPr>
            <w:r>
              <w:rPr>
                <w:rFonts w:hint="default" w:ascii="Times New Roman" w:hAnsi="Times New Roman" w:cs="Times New Roman" w:eastAsiaTheme="minorEastAsia"/>
                <w:i/>
                <w:color w:val="auto"/>
                <w:sz w:val="24"/>
                <w:highlight w:val="none"/>
              </w:rPr>
              <w:t>身份证正面</w:t>
            </w:r>
          </w:p>
        </w:tc>
        <w:tc>
          <w:tcPr>
            <w:tcW w:w="278" w:type="dxa"/>
            <w:tcBorders>
              <w:top w:val="nil"/>
              <w:bottom w:val="nil"/>
            </w:tcBorders>
            <w:noWrap w:val="0"/>
          </w:tcPr>
          <w:p w14:paraId="5CEF03B1">
            <w:pPr>
              <w:widowControl/>
              <w:spacing w:line="360" w:lineRule="auto"/>
              <w:jc w:val="left"/>
              <w:rPr>
                <w:rFonts w:hint="default" w:ascii="Times New Roman" w:hAnsi="Times New Roman" w:cs="Times New Roman" w:eastAsiaTheme="minorEastAsia"/>
                <w:color w:val="auto"/>
                <w:sz w:val="20"/>
                <w:highlight w:val="none"/>
              </w:rPr>
            </w:pPr>
          </w:p>
        </w:tc>
        <w:tc>
          <w:tcPr>
            <w:tcW w:w="4695" w:type="dxa"/>
            <w:noWrap w:val="0"/>
            <w:vAlign w:val="center"/>
          </w:tcPr>
          <w:p w14:paraId="3CEC9B10">
            <w:pPr>
              <w:widowControl/>
              <w:spacing w:line="360" w:lineRule="auto"/>
              <w:jc w:val="center"/>
              <w:rPr>
                <w:rFonts w:hint="default" w:ascii="Times New Roman" w:hAnsi="Times New Roman" w:cs="Times New Roman" w:eastAsiaTheme="minorEastAsia"/>
                <w:color w:val="auto"/>
                <w:sz w:val="20"/>
                <w:highlight w:val="none"/>
              </w:rPr>
            </w:pPr>
            <w:r>
              <w:rPr>
                <w:rFonts w:hint="default" w:ascii="Times New Roman" w:hAnsi="Times New Roman" w:cs="Times New Roman" w:eastAsiaTheme="minorEastAsia"/>
                <w:i/>
                <w:color w:val="auto"/>
                <w:sz w:val="24"/>
                <w:highlight w:val="none"/>
              </w:rPr>
              <w:t>身份证反面</w:t>
            </w:r>
          </w:p>
        </w:tc>
      </w:tr>
    </w:tbl>
    <w:p w14:paraId="5CF3BFC8">
      <w:pPr>
        <w:pStyle w:val="40"/>
        <w:spacing w:line="360" w:lineRule="auto"/>
        <w:rPr>
          <w:rFonts w:hint="default" w:ascii="Times New Roman" w:hAnsi="Times New Roman" w:cs="Times New Roman" w:eastAsiaTheme="minorEastAsia"/>
          <w:b/>
          <w:bCs/>
          <w:color w:val="auto"/>
          <w:szCs w:val="21"/>
          <w:highlight w:val="none"/>
        </w:rPr>
      </w:pPr>
      <w:r>
        <w:rPr>
          <w:rFonts w:hint="default" w:ascii="Times New Roman" w:hAnsi="Times New Roman" w:cs="Times New Roman" w:eastAsiaTheme="minorEastAsia"/>
          <w:b/>
          <w:bCs/>
          <w:color w:val="auto"/>
          <w:szCs w:val="21"/>
          <w:highlight w:val="none"/>
        </w:rPr>
        <w:t>注：</w:t>
      </w:r>
    </w:p>
    <w:p w14:paraId="56972E0F">
      <w:pPr>
        <w:pStyle w:val="40"/>
        <w:spacing w:line="360" w:lineRule="auto"/>
        <w:ind w:firstLine="420"/>
        <w:rPr>
          <w:rFonts w:hint="default" w:ascii="Times New Roman" w:hAnsi="Times New Roman" w:cs="Times New Roman" w:eastAsiaTheme="minorEastAsia"/>
          <w:b/>
          <w:bCs/>
          <w:color w:val="auto"/>
          <w:szCs w:val="21"/>
          <w:highlight w:val="none"/>
        </w:rPr>
      </w:pPr>
      <w:r>
        <w:rPr>
          <w:rFonts w:hint="default" w:ascii="Times New Roman" w:hAnsi="Times New Roman" w:cs="Times New Roman" w:eastAsiaTheme="minorEastAsia"/>
          <w:b/>
          <w:bCs/>
          <w:color w:val="auto"/>
          <w:szCs w:val="21"/>
          <w:highlight w:val="none"/>
        </w:rPr>
        <w:t>1.若供应商为分公司、分支机构等依法无须设置法定代表人职务的单位（仅当采购文件注明允许上述单位响应时），法定代表人签字处可由单位负责人签署。</w:t>
      </w:r>
    </w:p>
    <w:p w14:paraId="2A8EDC7F">
      <w:pPr>
        <w:pStyle w:val="40"/>
        <w:spacing w:line="360" w:lineRule="auto"/>
        <w:ind w:firstLine="420"/>
        <w:rPr>
          <w:rFonts w:hint="default" w:ascii="Times New Roman" w:hAnsi="Times New Roman" w:cs="Times New Roman" w:eastAsiaTheme="minorEastAsia"/>
          <w:b/>
          <w:bCs/>
          <w:color w:val="auto"/>
          <w:szCs w:val="21"/>
          <w:highlight w:val="none"/>
        </w:rPr>
      </w:pPr>
      <w:r>
        <w:rPr>
          <w:rFonts w:hint="default" w:ascii="Times New Roman" w:hAnsi="Times New Roman" w:cs="Times New Roman" w:eastAsiaTheme="minorEastAsia"/>
          <w:b/>
          <w:bCs/>
          <w:color w:val="auto"/>
          <w:szCs w:val="21"/>
          <w:highlight w:val="none"/>
        </w:rPr>
        <w:t>2.若响应文件中签字之处均为法定代表人（单位负责人）本人签署，则可不提供本《授权委托书》，但须提供《法定代表人（单位负责人）身份证明》。</w:t>
      </w:r>
    </w:p>
    <w:p w14:paraId="2588777D">
      <w:pPr>
        <w:keepNext w:val="0"/>
        <w:keepLines w:val="0"/>
        <w:pageBreakBefore w:val="0"/>
        <w:pBdr>
          <w:top w:val="none" w:color="000000" w:sz="0" w:space="0"/>
          <w:left w:val="none" w:color="000000" w:sz="0" w:space="0"/>
          <w:bottom w:val="none" w:color="000000" w:sz="0" w:space="0"/>
          <w:right w:val="none" w:color="000000" w:sz="0" w:space="0"/>
        </w:pBdr>
        <w:spacing w:beforeAutospacing="0" w:afterAutospacing="0" w:line="360" w:lineRule="auto"/>
        <w:ind w:firstLine="420"/>
        <w:rPr>
          <w:rFonts w:hint="default" w:ascii="Times New Roman" w:hAnsi="Times New Roman" w:cs="Times New Roman"/>
          <w:color w:val="auto"/>
          <w:highlight w:val="none"/>
        </w:rPr>
      </w:pPr>
      <w:r>
        <w:rPr>
          <w:rFonts w:hint="default" w:ascii="Times New Roman" w:hAnsi="Times New Roman" w:cs="Times New Roman"/>
          <w:color w:val="auto"/>
          <w:highlight w:val="none"/>
        </w:rPr>
        <w:t> </w:t>
      </w:r>
    </w:p>
    <w:p w14:paraId="181D0CA6">
      <w:pPr>
        <w:keepNext w:val="0"/>
        <w:keepLines w:val="0"/>
        <w:pageBreakBefore w:val="0"/>
        <w:pBdr>
          <w:top w:val="none" w:color="000000" w:sz="0" w:space="0"/>
          <w:left w:val="none" w:color="000000" w:sz="0" w:space="0"/>
          <w:bottom w:val="none" w:color="000000" w:sz="0" w:space="0"/>
          <w:right w:val="none" w:color="000000" w:sz="0" w:space="0"/>
        </w:pBdr>
        <w:spacing w:beforeAutospacing="0" w:afterAutospacing="0" w:line="360" w:lineRule="auto"/>
        <w:ind w:firstLine="420"/>
        <w:rPr>
          <w:rFonts w:hint="default" w:ascii="Times New Roman" w:hAnsi="Times New Roman" w:cs="Times New Roman"/>
          <w:color w:val="auto"/>
          <w:highlight w:val="none"/>
        </w:rPr>
      </w:pPr>
      <w:r>
        <w:rPr>
          <w:rFonts w:hint="default" w:ascii="Times New Roman" w:hAnsi="Times New Roman" w:cs="Times New Roman"/>
          <w:color w:val="auto"/>
          <w:highlight w:val="none"/>
        </w:rPr>
        <w:t> </w:t>
      </w:r>
    </w:p>
    <w:p w14:paraId="3C9DDAD5">
      <w:pPr>
        <w:keepNext w:val="0"/>
        <w:keepLines w:val="0"/>
        <w:pageBreakBefore w:val="0"/>
        <w:pBdr>
          <w:top w:val="none" w:color="000000" w:sz="0" w:space="0"/>
          <w:left w:val="none" w:color="000000" w:sz="0" w:space="0"/>
          <w:bottom w:val="none" w:color="000000" w:sz="0" w:space="0"/>
          <w:right w:val="none" w:color="000000" w:sz="0" w:space="0"/>
        </w:pBdr>
        <w:spacing w:beforeAutospacing="0" w:afterAutospacing="0" w:line="360" w:lineRule="auto"/>
        <w:ind w:firstLine="420"/>
        <w:rPr>
          <w:rFonts w:hint="default" w:ascii="Times New Roman" w:hAnsi="Times New Roman" w:cs="Times New Roman"/>
          <w:color w:val="auto"/>
          <w:highlight w:val="none"/>
        </w:rPr>
      </w:pPr>
      <w:r>
        <w:rPr>
          <w:rFonts w:hint="default" w:ascii="Times New Roman" w:hAnsi="Times New Roman" w:cs="Times New Roman"/>
          <w:color w:val="auto"/>
          <w:highlight w:val="none"/>
        </w:rPr>
        <w:t> </w:t>
      </w:r>
    </w:p>
    <w:p w14:paraId="259C759C">
      <w:pPr>
        <w:keepNext w:val="0"/>
        <w:keepLines w:val="0"/>
        <w:pageBreakBefore w:val="0"/>
        <w:pBdr>
          <w:top w:val="none" w:color="000000" w:sz="0" w:space="0"/>
          <w:left w:val="none" w:color="000000" w:sz="0" w:space="0"/>
          <w:bottom w:val="none" w:color="000000" w:sz="0" w:space="0"/>
          <w:right w:val="none" w:color="000000" w:sz="0" w:space="0"/>
        </w:pBdr>
        <w:spacing w:beforeAutospacing="0" w:afterAutospacing="0" w:line="360" w:lineRule="auto"/>
        <w:ind w:firstLine="420"/>
        <w:rPr>
          <w:rFonts w:hint="default" w:ascii="Times New Roman" w:hAnsi="Times New Roman" w:cs="Times New Roman"/>
          <w:color w:val="auto"/>
          <w:highlight w:val="none"/>
        </w:rPr>
      </w:pPr>
      <w:r>
        <w:rPr>
          <w:rFonts w:hint="default" w:ascii="Times New Roman" w:hAnsi="Times New Roman" w:cs="Times New Roman"/>
          <w:color w:val="auto"/>
          <w:highlight w:val="none"/>
        </w:rPr>
        <w:t> </w:t>
      </w:r>
    </w:p>
    <w:p w14:paraId="727BD188">
      <w:pPr>
        <w:keepNext w:val="0"/>
        <w:keepLines w:val="0"/>
        <w:pageBreakBefore w:val="0"/>
        <w:pBdr>
          <w:top w:val="none" w:color="000000" w:sz="0" w:space="0"/>
          <w:left w:val="none" w:color="000000" w:sz="0" w:space="0"/>
          <w:bottom w:val="none" w:color="000000" w:sz="0" w:space="0"/>
          <w:right w:val="none" w:color="000000" w:sz="0" w:space="0"/>
        </w:pBdr>
        <w:spacing w:beforeAutospacing="0" w:afterAutospacing="0" w:line="360" w:lineRule="auto"/>
        <w:ind w:firstLine="420"/>
        <w:rPr>
          <w:rFonts w:hint="default" w:ascii="Times New Roman" w:hAnsi="Times New Roman" w:cs="Times New Roman"/>
          <w:color w:val="auto"/>
          <w:highlight w:val="none"/>
        </w:rPr>
      </w:pPr>
      <w:r>
        <w:rPr>
          <w:rFonts w:hint="default" w:ascii="Times New Roman" w:hAnsi="Times New Roman" w:cs="Times New Roman"/>
          <w:color w:val="auto"/>
          <w:highlight w:val="none"/>
        </w:rPr>
        <w:t> </w:t>
      </w:r>
    </w:p>
    <w:p w14:paraId="57B99047">
      <w:pPr>
        <w:keepNext w:val="0"/>
        <w:keepLines w:val="0"/>
        <w:pageBreakBefore w:val="0"/>
        <w:pBdr>
          <w:top w:val="none" w:color="000000" w:sz="0" w:space="0"/>
          <w:left w:val="none" w:color="000000" w:sz="0" w:space="0"/>
          <w:bottom w:val="none" w:color="000000" w:sz="0" w:space="0"/>
          <w:right w:val="none" w:color="000000" w:sz="0" w:space="0"/>
        </w:pBdr>
        <w:spacing w:beforeAutospacing="0" w:afterAutospacing="0" w:line="360" w:lineRule="auto"/>
        <w:ind w:firstLine="420"/>
        <w:rPr>
          <w:rFonts w:hint="default" w:ascii="Times New Roman" w:hAnsi="Times New Roman" w:cs="Times New Roman"/>
          <w:color w:val="auto"/>
          <w:highlight w:val="none"/>
        </w:rPr>
      </w:pPr>
      <w:r>
        <w:rPr>
          <w:rFonts w:hint="default" w:ascii="Times New Roman" w:hAnsi="Times New Roman" w:cs="Times New Roman"/>
          <w:color w:val="auto"/>
          <w:highlight w:val="none"/>
        </w:rPr>
        <w:t> </w:t>
      </w:r>
    </w:p>
    <w:p w14:paraId="5628DA2C">
      <w:pPr>
        <w:spacing w:line="360" w:lineRule="auto"/>
        <w:rPr>
          <w:rFonts w:hint="default" w:ascii="Times New Roman" w:hAnsi="Times New Roman" w:cs="Times New Roman"/>
          <w:color w:val="auto"/>
          <w:sz w:val="24"/>
          <w:highlight w:val="none"/>
        </w:rPr>
      </w:pPr>
      <w:r>
        <w:rPr>
          <w:rFonts w:hint="default" w:ascii="Times New Roman" w:hAnsi="Times New Roman" w:cs="Times New Roman"/>
          <w:color w:val="auto"/>
          <w:sz w:val="24"/>
          <w:highlight w:val="none"/>
        </w:rPr>
        <w:br w:type="page" w:clear="all"/>
      </w:r>
    </w:p>
    <w:p w14:paraId="1327A756">
      <w:pPr>
        <w:keepNext w:val="0"/>
        <w:keepLines w:val="0"/>
        <w:pageBreakBefore w:val="0"/>
        <w:pBdr>
          <w:top w:val="none" w:color="000000" w:sz="0" w:space="0"/>
          <w:left w:val="none" w:color="000000" w:sz="0" w:space="0"/>
          <w:bottom w:val="none" w:color="000000" w:sz="0" w:space="0"/>
          <w:right w:val="none" w:color="000000" w:sz="0" w:space="0"/>
        </w:pBdr>
        <w:spacing w:beforeAutospacing="0" w:afterAutospacing="0" w:line="360" w:lineRule="auto"/>
        <w:rPr>
          <w:rFonts w:hint="default" w:ascii="Times New Roman" w:hAnsi="Times New Roman" w:cs="Times New Roman"/>
          <w:color w:val="auto"/>
          <w:highlight w:val="none"/>
        </w:rPr>
      </w:pPr>
      <w:r>
        <w:rPr>
          <w:rFonts w:hint="default" w:ascii="Times New Roman" w:hAnsi="Times New Roman" w:cs="Times New Roman"/>
          <w:color w:val="auto"/>
          <w:sz w:val="24"/>
          <w:highlight w:val="none"/>
        </w:rPr>
        <w:t>附件4：</w:t>
      </w:r>
    </w:p>
    <w:p w14:paraId="0200B126">
      <w:pPr>
        <w:pStyle w:val="6"/>
        <w:spacing w:line="360" w:lineRule="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商务要求响应及偏离表</w:t>
      </w:r>
    </w:p>
    <w:tbl>
      <w:tblPr>
        <w:tblStyle w:val="43"/>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top w:w="0" w:type="dxa"/>
          <w:left w:w="108" w:type="dxa"/>
          <w:bottom w:w="0" w:type="dxa"/>
          <w:right w:w="108" w:type="dxa"/>
        </w:tblCellMar>
      </w:tblPr>
      <w:tblGrid>
        <w:gridCol w:w="533"/>
        <w:gridCol w:w="3029"/>
        <w:gridCol w:w="2613"/>
        <w:gridCol w:w="1242"/>
        <w:gridCol w:w="1099"/>
      </w:tblGrid>
      <w:tr w14:paraId="4953EB3F">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545"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2080DC0F">
            <w:pPr>
              <w:keepNext w:val="0"/>
              <w:keepLines w:val="0"/>
              <w:pageBreakBefore w:val="0"/>
              <w:pBdr>
                <w:top w:val="none" w:color="000000" w:sz="0" w:space="0"/>
                <w:left w:val="none" w:color="000000" w:sz="0" w:space="0"/>
                <w:bottom w:val="none" w:color="000000" w:sz="0" w:space="0"/>
                <w:right w:val="none" w:color="000000" w:sz="0" w:space="0"/>
              </w:pBdr>
              <w:spacing w:beforeAutospacing="0" w:afterAutospacing="0" w:line="360" w:lineRule="auto"/>
              <w:jc w:val="center"/>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序号</w:t>
            </w:r>
          </w:p>
        </w:tc>
        <w:tc>
          <w:tcPr>
            <w:tcW w:w="3291"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32DAD261">
            <w:pPr>
              <w:keepNext w:val="0"/>
              <w:keepLines w:val="0"/>
              <w:pageBreakBefore w:val="0"/>
              <w:pBdr>
                <w:top w:val="none" w:color="000000" w:sz="0" w:space="0"/>
                <w:left w:val="none" w:color="000000" w:sz="0" w:space="0"/>
                <w:bottom w:val="none" w:color="000000" w:sz="0" w:space="0"/>
                <w:right w:val="none" w:color="000000" w:sz="0" w:space="0"/>
              </w:pBdr>
              <w:spacing w:beforeAutospacing="0" w:afterAutospacing="0" w:line="360" w:lineRule="auto"/>
              <w:jc w:val="center"/>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磋商文件要求</w:t>
            </w:r>
          </w:p>
        </w:tc>
        <w:tc>
          <w:tcPr>
            <w:tcW w:w="2852"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049AE263">
            <w:pPr>
              <w:keepNext w:val="0"/>
              <w:keepLines w:val="0"/>
              <w:pageBreakBefore w:val="0"/>
              <w:pBdr>
                <w:top w:val="none" w:color="000000" w:sz="0" w:space="0"/>
                <w:left w:val="none" w:color="000000" w:sz="0" w:space="0"/>
                <w:bottom w:val="none" w:color="000000" w:sz="0" w:space="0"/>
                <w:right w:val="none" w:color="000000" w:sz="0" w:space="0"/>
              </w:pBdr>
              <w:spacing w:beforeAutospacing="0" w:afterAutospacing="0" w:line="360" w:lineRule="auto"/>
              <w:jc w:val="center"/>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响应情况</w:t>
            </w:r>
          </w:p>
        </w:tc>
        <w:tc>
          <w:tcPr>
            <w:tcW w:w="1308"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31A0D100">
            <w:pPr>
              <w:keepNext w:val="0"/>
              <w:keepLines w:val="0"/>
              <w:pageBreakBefore w:val="0"/>
              <w:pBdr>
                <w:top w:val="none" w:color="000000" w:sz="0" w:space="0"/>
                <w:left w:val="none" w:color="000000" w:sz="0" w:space="0"/>
                <w:bottom w:val="none" w:color="000000" w:sz="0" w:space="0"/>
                <w:right w:val="none" w:color="000000" w:sz="0" w:space="0"/>
              </w:pBdr>
              <w:spacing w:beforeAutospacing="0" w:afterAutospacing="0" w:line="360" w:lineRule="auto"/>
              <w:jc w:val="center"/>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超出、符合或偏离</w:t>
            </w:r>
          </w:p>
        </w:tc>
        <w:tc>
          <w:tcPr>
            <w:tcW w:w="1173"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560C74F0">
            <w:pPr>
              <w:keepNext w:val="0"/>
              <w:keepLines w:val="0"/>
              <w:pageBreakBefore w:val="0"/>
              <w:pBdr>
                <w:top w:val="none" w:color="000000" w:sz="0" w:space="0"/>
                <w:left w:val="none" w:color="000000" w:sz="0" w:space="0"/>
                <w:bottom w:val="none" w:color="000000" w:sz="0" w:space="0"/>
                <w:right w:val="none" w:color="000000" w:sz="0" w:space="0"/>
              </w:pBdr>
              <w:spacing w:beforeAutospacing="0" w:afterAutospacing="0" w:line="360" w:lineRule="auto"/>
              <w:jc w:val="center"/>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证明</w:t>
            </w:r>
          </w:p>
          <w:p w14:paraId="42704164">
            <w:pPr>
              <w:keepNext w:val="0"/>
              <w:keepLines w:val="0"/>
              <w:pageBreakBefore w:val="0"/>
              <w:pBdr>
                <w:top w:val="none" w:color="000000" w:sz="0" w:space="0"/>
                <w:left w:val="none" w:color="000000" w:sz="0" w:space="0"/>
                <w:bottom w:val="none" w:color="000000" w:sz="0" w:space="0"/>
                <w:right w:val="none" w:color="000000" w:sz="0" w:space="0"/>
              </w:pBdr>
              <w:spacing w:beforeAutospacing="0" w:afterAutospacing="0" w:line="360" w:lineRule="auto"/>
              <w:jc w:val="center"/>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材料</w:t>
            </w:r>
          </w:p>
        </w:tc>
      </w:tr>
      <w:tr w14:paraId="18201000">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640" w:hRule="atLeast"/>
        </w:trPr>
        <w:tc>
          <w:tcPr>
            <w:tcW w:w="545"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691AF1D1">
            <w:pPr>
              <w:keepNext w:val="0"/>
              <w:keepLines w:val="0"/>
              <w:pageBreakBefore w:val="0"/>
              <w:pBdr>
                <w:top w:val="none" w:color="000000" w:sz="0" w:space="0"/>
                <w:left w:val="none" w:color="000000" w:sz="0" w:space="0"/>
                <w:bottom w:val="none" w:color="000000" w:sz="0" w:space="0"/>
                <w:right w:val="none" w:color="000000" w:sz="0" w:space="0"/>
              </w:pBdr>
              <w:spacing w:beforeAutospacing="0" w:afterAutospacing="0" w:line="360" w:lineRule="auto"/>
              <w:jc w:val="center"/>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 </w:t>
            </w:r>
          </w:p>
        </w:tc>
        <w:tc>
          <w:tcPr>
            <w:tcW w:w="3291"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175142D5">
            <w:pPr>
              <w:keepNext w:val="0"/>
              <w:keepLines w:val="0"/>
              <w:pageBreakBefore w:val="0"/>
              <w:pBdr>
                <w:top w:val="none" w:color="000000" w:sz="0" w:space="0"/>
                <w:left w:val="none" w:color="000000" w:sz="0" w:space="0"/>
                <w:bottom w:val="none" w:color="000000" w:sz="0" w:space="0"/>
                <w:right w:val="none" w:color="000000" w:sz="0" w:space="0"/>
              </w:pBdr>
              <w:spacing w:beforeAutospacing="0" w:afterAutospacing="0" w:line="360" w:lineRule="auto"/>
              <w:jc w:val="center"/>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 </w:t>
            </w:r>
          </w:p>
        </w:tc>
        <w:tc>
          <w:tcPr>
            <w:tcW w:w="2852"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22F8EDD5">
            <w:pPr>
              <w:keepNext w:val="0"/>
              <w:keepLines w:val="0"/>
              <w:pageBreakBefore w:val="0"/>
              <w:pBdr>
                <w:top w:val="none" w:color="000000" w:sz="0" w:space="0"/>
                <w:left w:val="none" w:color="000000" w:sz="0" w:space="0"/>
                <w:bottom w:val="none" w:color="000000" w:sz="0" w:space="0"/>
                <w:right w:val="none" w:color="000000" w:sz="0" w:space="0"/>
              </w:pBdr>
              <w:spacing w:beforeAutospacing="0" w:afterAutospacing="0" w:line="360" w:lineRule="auto"/>
              <w:jc w:val="center"/>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 </w:t>
            </w:r>
          </w:p>
        </w:tc>
        <w:tc>
          <w:tcPr>
            <w:tcW w:w="1308"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7759D2D5">
            <w:pPr>
              <w:keepNext w:val="0"/>
              <w:keepLines w:val="0"/>
              <w:pageBreakBefore w:val="0"/>
              <w:pBdr>
                <w:top w:val="none" w:color="000000" w:sz="0" w:space="0"/>
                <w:left w:val="none" w:color="000000" w:sz="0" w:space="0"/>
                <w:bottom w:val="none" w:color="000000" w:sz="0" w:space="0"/>
                <w:right w:val="none" w:color="000000" w:sz="0" w:space="0"/>
              </w:pBdr>
              <w:spacing w:beforeAutospacing="0" w:afterAutospacing="0" w:line="360" w:lineRule="auto"/>
              <w:jc w:val="center"/>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 </w:t>
            </w:r>
          </w:p>
        </w:tc>
        <w:tc>
          <w:tcPr>
            <w:tcW w:w="1173"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259BEB2C">
            <w:pPr>
              <w:keepNext w:val="0"/>
              <w:keepLines w:val="0"/>
              <w:pageBreakBefore w:val="0"/>
              <w:pBdr>
                <w:top w:val="none" w:color="000000" w:sz="0" w:space="0"/>
                <w:left w:val="none" w:color="000000" w:sz="0" w:space="0"/>
                <w:bottom w:val="none" w:color="000000" w:sz="0" w:space="0"/>
                <w:right w:val="none" w:color="000000" w:sz="0" w:space="0"/>
              </w:pBdr>
              <w:spacing w:beforeAutospacing="0" w:afterAutospacing="0" w:line="360" w:lineRule="auto"/>
              <w:jc w:val="center"/>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 </w:t>
            </w:r>
          </w:p>
        </w:tc>
      </w:tr>
      <w:tr w14:paraId="1E54C1B9">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640" w:hRule="atLeast"/>
        </w:trPr>
        <w:tc>
          <w:tcPr>
            <w:tcW w:w="545"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739D00D0">
            <w:pPr>
              <w:keepNext w:val="0"/>
              <w:keepLines w:val="0"/>
              <w:pageBreakBefore w:val="0"/>
              <w:pBdr>
                <w:top w:val="none" w:color="000000" w:sz="0" w:space="0"/>
                <w:left w:val="none" w:color="000000" w:sz="0" w:space="0"/>
                <w:bottom w:val="none" w:color="000000" w:sz="0" w:space="0"/>
                <w:right w:val="none" w:color="000000" w:sz="0" w:space="0"/>
              </w:pBdr>
              <w:spacing w:beforeAutospacing="0" w:afterAutospacing="0" w:line="360" w:lineRule="auto"/>
              <w:jc w:val="center"/>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 </w:t>
            </w:r>
          </w:p>
        </w:tc>
        <w:tc>
          <w:tcPr>
            <w:tcW w:w="3291"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4FF8C260">
            <w:pPr>
              <w:keepNext w:val="0"/>
              <w:keepLines w:val="0"/>
              <w:pageBreakBefore w:val="0"/>
              <w:pBdr>
                <w:top w:val="none" w:color="000000" w:sz="0" w:space="0"/>
                <w:left w:val="none" w:color="000000" w:sz="0" w:space="0"/>
                <w:bottom w:val="none" w:color="000000" w:sz="0" w:space="0"/>
                <w:right w:val="none" w:color="000000" w:sz="0" w:space="0"/>
              </w:pBdr>
              <w:spacing w:beforeAutospacing="0" w:afterAutospacing="0" w:line="360" w:lineRule="auto"/>
              <w:jc w:val="center"/>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 </w:t>
            </w:r>
          </w:p>
        </w:tc>
        <w:tc>
          <w:tcPr>
            <w:tcW w:w="2852"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14D1B944">
            <w:pPr>
              <w:keepNext w:val="0"/>
              <w:keepLines w:val="0"/>
              <w:pageBreakBefore w:val="0"/>
              <w:pBdr>
                <w:top w:val="none" w:color="000000" w:sz="0" w:space="0"/>
                <w:left w:val="none" w:color="000000" w:sz="0" w:space="0"/>
                <w:bottom w:val="none" w:color="000000" w:sz="0" w:space="0"/>
                <w:right w:val="none" w:color="000000" w:sz="0" w:space="0"/>
              </w:pBdr>
              <w:spacing w:beforeAutospacing="0" w:afterAutospacing="0" w:line="360" w:lineRule="auto"/>
              <w:jc w:val="center"/>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 </w:t>
            </w:r>
          </w:p>
        </w:tc>
        <w:tc>
          <w:tcPr>
            <w:tcW w:w="1308"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7EE438BF">
            <w:pPr>
              <w:keepNext w:val="0"/>
              <w:keepLines w:val="0"/>
              <w:pageBreakBefore w:val="0"/>
              <w:pBdr>
                <w:top w:val="none" w:color="000000" w:sz="0" w:space="0"/>
                <w:left w:val="none" w:color="000000" w:sz="0" w:space="0"/>
                <w:bottom w:val="none" w:color="000000" w:sz="0" w:space="0"/>
                <w:right w:val="none" w:color="000000" w:sz="0" w:space="0"/>
              </w:pBdr>
              <w:spacing w:beforeAutospacing="0" w:afterAutospacing="0" w:line="360" w:lineRule="auto"/>
              <w:jc w:val="center"/>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 </w:t>
            </w:r>
          </w:p>
        </w:tc>
        <w:tc>
          <w:tcPr>
            <w:tcW w:w="1173"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14A7C803">
            <w:pPr>
              <w:keepNext w:val="0"/>
              <w:keepLines w:val="0"/>
              <w:pageBreakBefore w:val="0"/>
              <w:pBdr>
                <w:top w:val="none" w:color="000000" w:sz="0" w:space="0"/>
                <w:left w:val="none" w:color="000000" w:sz="0" w:space="0"/>
                <w:bottom w:val="none" w:color="000000" w:sz="0" w:space="0"/>
                <w:right w:val="none" w:color="000000" w:sz="0" w:space="0"/>
              </w:pBdr>
              <w:spacing w:beforeAutospacing="0" w:afterAutospacing="0" w:line="360" w:lineRule="auto"/>
              <w:jc w:val="center"/>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 </w:t>
            </w:r>
          </w:p>
        </w:tc>
      </w:tr>
      <w:tr w14:paraId="219BD8CA">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640" w:hRule="atLeast"/>
        </w:trPr>
        <w:tc>
          <w:tcPr>
            <w:tcW w:w="545"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475FA4B0">
            <w:pPr>
              <w:keepNext w:val="0"/>
              <w:keepLines w:val="0"/>
              <w:pageBreakBefore w:val="0"/>
              <w:pBdr>
                <w:top w:val="none" w:color="000000" w:sz="0" w:space="0"/>
                <w:left w:val="none" w:color="000000" w:sz="0" w:space="0"/>
                <w:bottom w:val="none" w:color="000000" w:sz="0" w:space="0"/>
                <w:right w:val="none" w:color="000000" w:sz="0" w:space="0"/>
              </w:pBdr>
              <w:spacing w:beforeAutospacing="0" w:afterAutospacing="0" w:line="360" w:lineRule="auto"/>
              <w:jc w:val="center"/>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 </w:t>
            </w:r>
          </w:p>
        </w:tc>
        <w:tc>
          <w:tcPr>
            <w:tcW w:w="3291"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67448D71">
            <w:pPr>
              <w:keepNext w:val="0"/>
              <w:keepLines w:val="0"/>
              <w:pageBreakBefore w:val="0"/>
              <w:pBdr>
                <w:top w:val="none" w:color="000000" w:sz="0" w:space="0"/>
                <w:left w:val="none" w:color="000000" w:sz="0" w:space="0"/>
                <w:bottom w:val="none" w:color="000000" w:sz="0" w:space="0"/>
                <w:right w:val="none" w:color="000000" w:sz="0" w:space="0"/>
              </w:pBdr>
              <w:spacing w:beforeAutospacing="0" w:afterAutospacing="0" w:line="360" w:lineRule="auto"/>
              <w:jc w:val="center"/>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 </w:t>
            </w:r>
          </w:p>
        </w:tc>
        <w:tc>
          <w:tcPr>
            <w:tcW w:w="2852"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4D848278">
            <w:pPr>
              <w:keepNext w:val="0"/>
              <w:keepLines w:val="0"/>
              <w:pageBreakBefore w:val="0"/>
              <w:pBdr>
                <w:top w:val="none" w:color="000000" w:sz="0" w:space="0"/>
                <w:left w:val="none" w:color="000000" w:sz="0" w:space="0"/>
                <w:bottom w:val="none" w:color="000000" w:sz="0" w:space="0"/>
                <w:right w:val="none" w:color="000000" w:sz="0" w:space="0"/>
              </w:pBdr>
              <w:spacing w:beforeAutospacing="0" w:afterAutospacing="0" w:line="360" w:lineRule="auto"/>
              <w:jc w:val="center"/>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 </w:t>
            </w:r>
          </w:p>
        </w:tc>
        <w:tc>
          <w:tcPr>
            <w:tcW w:w="1308"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02C93B36">
            <w:pPr>
              <w:keepNext w:val="0"/>
              <w:keepLines w:val="0"/>
              <w:pageBreakBefore w:val="0"/>
              <w:pBdr>
                <w:top w:val="none" w:color="000000" w:sz="0" w:space="0"/>
                <w:left w:val="none" w:color="000000" w:sz="0" w:space="0"/>
                <w:bottom w:val="none" w:color="000000" w:sz="0" w:space="0"/>
                <w:right w:val="none" w:color="000000" w:sz="0" w:space="0"/>
              </w:pBdr>
              <w:spacing w:beforeAutospacing="0" w:afterAutospacing="0" w:line="360" w:lineRule="auto"/>
              <w:jc w:val="center"/>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 </w:t>
            </w:r>
          </w:p>
        </w:tc>
        <w:tc>
          <w:tcPr>
            <w:tcW w:w="1173"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2B9189C4">
            <w:pPr>
              <w:keepNext w:val="0"/>
              <w:keepLines w:val="0"/>
              <w:pageBreakBefore w:val="0"/>
              <w:pBdr>
                <w:top w:val="none" w:color="000000" w:sz="0" w:space="0"/>
                <w:left w:val="none" w:color="000000" w:sz="0" w:space="0"/>
                <w:bottom w:val="none" w:color="000000" w:sz="0" w:space="0"/>
                <w:right w:val="none" w:color="000000" w:sz="0" w:space="0"/>
              </w:pBdr>
              <w:spacing w:beforeAutospacing="0" w:afterAutospacing="0" w:line="360" w:lineRule="auto"/>
              <w:jc w:val="center"/>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 </w:t>
            </w:r>
          </w:p>
        </w:tc>
      </w:tr>
      <w:tr w14:paraId="37C2C868">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640" w:hRule="atLeast"/>
        </w:trPr>
        <w:tc>
          <w:tcPr>
            <w:tcW w:w="545"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14DD3C49">
            <w:pPr>
              <w:keepNext w:val="0"/>
              <w:keepLines w:val="0"/>
              <w:pageBreakBefore w:val="0"/>
              <w:pBdr>
                <w:top w:val="none" w:color="000000" w:sz="0" w:space="0"/>
                <w:left w:val="none" w:color="000000" w:sz="0" w:space="0"/>
                <w:bottom w:val="none" w:color="000000" w:sz="0" w:space="0"/>
                <w:right w:val="none" w:color="000000" w:sz="0" w:space="0"/>
              </w:pBdr>
              <w:spacing w:beforeAutospacing="0" w:afterAutospacing="0" w:line="360" w:lineRule="auto"/>
              <w:jc w:val="center"/>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 </w:t>
            </w:r>
          </w:p>
        </w:tc>
        <w:tc>
          <w:tcPr>
            <w:tcW w:w="3291"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38E6747B">
            <w:pPr>
              <w:keepNext w:val="0"/>
              <w:keepLines w:val="0"/>
              <w:pageBreakBefore w:val="0"/>
              <w:pBdr>
                <w:top w:val="none" w:color="000000" w:sz="0" w:space="0"/>
                <w:left w:val="none" w:color="000000" w:sz="0" w:space="0"/>
                <w:bottom w:val="none" w:color="000000" w:sz="0" w:space="0"/>
                <w:right w:val="none" w:color="000000" w:sz="0" w:space="0"/>
              </w:pBdr>
              <w:spacing w:beforeAutospacing="0" w:afterAutospacing="0" w:line="360" w:lineRule="auto"/>
              <w:jc w:val="center"/>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 </w:t>
            </w:r>
          </w:p>
        </w:tc>
        <w:tc>
          <w:tcPr>
            <w:tcW w:w="2852"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19C26103">
            <w:pPr>
              <w:keepNext w:val="0"/>
              <w:keepLines w:val="0"/>
              <w:pageBreakBefore w:val="0"/>
              <w:pBdr>
                <w:top w:val="none" w:color="000000" w:sz="0" w:space="0"/>
                <w:left w:val="none" w:color="000000" w:sz="0" w:space="0"/>
                <w:bottom w:val="none" w:color="000000" w:sz="0" w:space="0"/>
                <w:right w:val="none" w:color="000000" w:sz="0" w:space="0"/>
              </w:pBdr>
              <w:spacing w:beforeAutospacing="0" w:afterAutospacing="0" w:line="360" w:lineRule="auto"/>
              <w:jc w:val="center"/>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 </w:t>
            </w:r>
          </w:p>
        </w:tc>
        <w:tc>
          <w:tcPr>
            <w:tcW w:w="1308"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2FD29F5E">
            <w:pPr>
              <w:keepNext w:val="0"/>
              <w:keepLines w:val="0"/>
              <w:pageBreakBefore w:val="0"/>
              <w:pBdr>
                <w:top w:val="none" w:color="000000" w:sz="0" w:space="0"/>
                <w:left w:val="none" w:color="000000" w:sz="0" w:space="0"/>
                <w:bottom w:val="none" w:color="000000" w:sz="0" w:space="0"/>
                <w:right w:val="none" w:color="000000" w:sz="0" w:space="0"/>
              </w:pBdr>
              <w:spacing w:beforeAutospacing="0" w:afterAutospacing="0" w:line="360" w:lineRule="auto"/>
              <w:jc w:val="center"/>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 </w:t>
            </w:r>
          </w:p>
        </w:tc>
        <w:tc>
          <w:tcPr>
            <w:tcW w:w="1173"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39D28676">
            <w:pPr>
              <w:keepNext w:val="0"/>
              <w:keepLines w:val="0"/>
              <w:pageBreakBefore w:val="0"/>
              <w:pBdr>
                <w:top w:val="none" w:color="000000" w:sz="0" w:space="0"/>
                <w:left w:val="none" w:color="000000" w:sz="0" w:space="0"/>
                <w:bottom w:val="none" w:color="000000" w:sz="0" w:space="0"/>
                <w:right w:val="none" w:color="000000" w:sz="0" w:space="0"/>
              </w:pBdr>
              <w:spacing w:beforeAutospacing="0" w:afterAutospacing="0" w:line="360" w:lineRule="auto"/>
              <w:jc w:val="center"/>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 </w:t>
            </w:r>
          </w:p>
        </w:tc>
      </w:tr>
      <w:tr w14:paraId="6D1652A1">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640" w:hRule="atLeast"/>
        </w:trPr>
        <w:tc>
          <w:tcPr>
            <w:tcW w:w="545"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5C19699C">
            <w:pPr>
              <w:keepNext w:val="0"/>
              <w:keepLines w:val="0"/>
              <w:pageBreakBefore w:val="0"/>
              <w:pBdr>
                <w:top w:val="none" w:color="000000" w:sz="0" w:space="0"/>
                <w:left w:val="none" w:color="000000" w:sz="0" w:space="0"/>
                <w:bottom w:val="none" w:color="000000" w:sz="0" w:space="0"/>
                <w:right w:val="none" w:color="000000" w:sz="0" w:space="0"/>
              </w:pBdr>
              <w:spacing w:beforeAutospacing="0" w:afterAutospacing="0" w:line="360" w:lineRule="auto"/>
              <w:jc w:val="center"/>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 </w:t>
            </w:r>
          </w:p>
        </w:tc>
        <w:tc>
          <w:tcPr>
            <w:tcW w:w="3291"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06E30119">
            <w:pPr>
              <w:keepNext w:val="0"/>
              <w:keepLines w:val="0"/>
              <w:pageBreakBefore w:val="0"/>
              <w:pBdr>
                <w:top w:val="none" w:color="000000" w:sz="0" w:space="0"/>
                <w:left w:val="none" w:color="000000" w:sz="0" w:space="0"/>
                <w:bottom w:val="none" w:color="000000" w:sz="0" w:space="0"/>
                <w:right w:val="none" w:color="000000" w:sz="0" w:space="0"/>
              </w:pBdr>
              <w:spacing w:beforeAutospacing="0" w:afterAutospacing="0" w:line="360" w:lineRule="auto"/>
              <w:jc w:val="center"/>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 </w:t>
            </w:r>
          </w:p>
        </w:tc>
        <w:tc>
          <w:tcPr>
            <w:tcW w:w="2852"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63398275">
            <w:pPr>
              <w:keepNext w:val="0"/>
              <w:keepLines w:val="0"/>
              <w:pageBreakBefore w:val="0"/>
              <w:pBdr>
                <w:top w:val="none" w:color="000000" w:sz="0" w:space="0"/>
                <w:left w:val="none" w:color="000000" w:sz="0" w:space="0"/>
                <w:bottom w:val="none" w:color="000000" w:sz="0" w:space="0"/>
                <w:right w:val="none" w:color="000000" w:sz="0" w:space="0"/>
              </w:pBdr>
              <w:spacing w:beforeAutospacing="0" w:afterAutospacing="0" w:line="360" w:lineRule="auto"/>
              <w:jc w:val="center"/>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 </w:t>
            </w:r>
          </w:p>
        </w:tc>
        <w:tc>
          <w:tcPr>
            <w:tcW w:w="1308"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3CB322D3">
            <w:pPr>
              <w:keepNext w:val="0"/>
              <w:keepLines w:val="0"/>
              <w:pageBreakBefore w:val="0"/>
              <w:pBdr>
                <w:top w:val="none" w:color="000000" w:sz="0" w:space="0"/>
                <w:left w:val="none" w:color="000000" w:sz="0" w:space="0"/>
                <w:bottom w:val="none" w:color="000000" w:sz="0" w:space="0"/>
                <w:right w:val="none" w:color="000000" w:sz="0" w:space="0"/>
              </w:pBdr>
              <w:spacing w:beforeAutospacing="0" w:afterAutospacing="0" w:line="360" w:lineRule="auto"/>
              <w:jc w:val="center"/>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 </w:t>
            </w:r>
          </w:p>
        </w:tc>
        <w:tc>
          <w:tcPr>
            <w:tcW w:w="1173"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3DB0C4B5">
            <w:pPr>
              <w:keepNext w:val="0"/>
              <w:keepLines w:val="0"/>
              <w:pageBreakBefore w:val="0"/>
              <w:pBdr>
                <w:top w:val="none" w:color="000000" w:sz="0" w:space="0"/>
                <w:left w:val="none" w:color="000000" w:sz="0" w:space="0"/>
                <w:bottom w:val="none" w:color="000000" w:sz="0" w:space="0"/>
                <w:right w:val="none" w:color="000000" w:sz="0" w:space="0"/>
              </w:pBdr>
              <w:spacing w:beforeAutospacing="0" w:afterAutospacing="0" w:line="360" w:lineRule="auto"/>
              <w:jc w:val="center"/>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 </w:t>
            </w:r>
          </w:p>
        </w:tc>
      </w:tr>
      <w:tr w14:paraId="5B5100B3">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640" w:hRule="atLeast"/>
        </w:trPr>
        <w:tc>
          <w:tcPr>
            <w:tcW w:w="545"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46D33DA7">
            <w:pPr>
              <w:keepNext w:val="0"/>
              <w:keepLines w:val="0"/>
              <w:pageBreakBefore w:val="0"/>
              <w:pBdr>
                <w:top w:val="none" w:color="000000" w:sz="0" w:space="0"/>
                <w:left w:val="none" w:color="000000" w:sz="0" w:space="0"/>
                <w:bottom w:val="none" w:color="000000" w:sz="0" w:space="0"/>
                <w:right w:val="none" w:color="000000" w:sz="0" w:space="0"/>
              </w:pBdr>
              <w:spacing w:beforeAutospacing="0" w:afterAutospacing="0" w:line="360" w:lineRule="auto"/>
              <w:jc w:val="center"/>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 </w:t>
            </w:r>
          </w:p>
        </w:tc>
        <w:tc>
          <w:tcPr>
            <w:tcW w:w="3291"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4435C1B5">
            <w:pPr>
              <w:keepNext w:val="0"/>
              <w:keepLines w:val="0"/>
              <w:pageBreakBefore w:val="0"/>
              <w:pBdr>
                <w:top w:val="none" w:color="000000" w:sz="0" w:space="0"/>
                <w:left w:val="none" w:color="000000" w:sz="0" w:space="0"/>
                <w:bottom w:val="none" w:color="000000" w:sz="0" w:space="0"/>
                <w:right w:val="none" w:color="000000" w:sz="0" w:space="0"/>
              </w:pBdr>
              <w:spacing w:beforeAutospacing="0" w:afterAutospacing="0" w:line="360" w:lineRule="auto"/>
              <w:jc w:val="center"/>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 </w:t>
            </w:r>
          </w:p>
        </w:tc>
        <w:tc>
          <w:tcPr>
            <w:tcW w:w="2852"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287216B8">
            <w:pPr>
              <w:keepNext w:val="0"/>
              <w:keepLines w:val="0"/>
              <w:pageBreakBefore w:val="0"/>
              <w:pBdr>
                <w:top w:val="none" w:color="000000" w:sz="0" w:space="0"/>
                <w:left w:val="none" w:color="000000" w:sz="0" w:space="0"/>
                <w:bottom w:val="none" w:color="000000" w:sz="0" w:space="0"/>
                <w:right w:val="none" w:color="000000" w:sz="0" w:space="0"/>
              </w:pBdr>
              <w:spacing w:beforeAutospacing="0" w:afterAutospacing="0" w:line="360" w:lineRule="auto"/>
              <w:jc w:val="center"/>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 </w:t>
            </w:r>
          </w:p>
        </w:tc>
        <w:tc>
          <w:tcPr>
            <w:tcW w:w="1308"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71703585">
            <w:pPr>
              <w:keepNext w:val="0"/>
              <w:keepLines w:val="0"/>
              <w:pageBreakBefore w:val="0"/>
              <w:pBdr>
                <w:top w:val="none" w:color="000000" w:sz="0" w:space="0"/>
                <w:left w:val="none" w:color="000000" w:sz="0" w:space="0"/>
                <w:bottom w:val="none" w:color="000000" w:sz="0" w:space="0"/>
                <w:right w:val="none" w:color="000000" w:sz="0" w:space="0"/>
              </w:pBdr>
              <w:spacing w:beforeAutospacing="0" w:afterAutospacing="0" w:line="360" w:lineRule="auto"/>
              <w:jc w:val="center"/>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 </w:t>
            </w:r>
          </w:p>
        </w:tc>
        <w:tc>
          <w:tcPr>
            <w:tcW w:w="1173"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754EE089">
            <w:pPr>
              <w:keepNext w:val="0"/>
              <w:keepLines w:val="0"/>
              <w:pageBreakBefore w:val="0"/>
              <w:pBdr>
                <w:top w:val="none" w:color="000000" w:sz="0" w:space="0"/>
                <w:left w:val="none" w:color="000000" w:sz="0" w:space="0"/>
                <w:bottom w:val="none" w:color="000000" w:sz="0" w:space="0"/>
                <w:right w:val="none" w:color="000000" w:sz="0" w:space="0"/>
              </w:pBdr>
              <w:spacing w:beforeAutospacing="0" w:afterAutospacing="0" w:line="360" w:lineRule="auto"/>
              <w:jc w:val="center"/>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 </w:t>
            </w:r>
          </w:p>
        </w:tc>
      </w:tr>
      <w:tr w14:paraId="53DF2167">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640" w:hRule="atLeast"/>
        </w:trPr>
        <w:tc>
          <w:tcPr>
            <w:tcW w:w="545"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5933544F">
            <w:pPr>
              <w:keepNext w:val="0"/>
              <w:keepLines w:val="0"/>
              <w:pageBreakBefore w:val="0"/>
              <w:pBdr>
                <w:top w:val="none" w:color="000000" w:sz="0" w:space="0"/>
                <w:left w:val="none" w:color="000000" w:sz="0" w:space="0"/>
                <w:bottom w:val="none" w:color="000000" w:sz="0" w:space="0"/>
                <w:right w:val="none" w:color="000000" w:sz="0" w:space="0"/>
              </w:pBdr>
              <w:spacing w:beforeAutospacing="0" w:afterAutospacing="0" w:line="360" w:lineRule="auto"/>
              <w:jc w:val="center"/>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 </w:t>
            </w:r>
          </w:p>
        </w:tc>
        <w:tc>
          <w:tcPr>
            <w:tcW w:w="3291"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575AE84F">
            <w:pPr>
              <w:keepNext w:val="0"/>
              <w:keepLines w:val="0"/>
              <w:pageBreakBefore w:val="0"/>
              <w:pBdr>
                <w:top w:val="none" w:color="000000" w:sz="0" w:space="0"/>
                <w:left w:val="none" w:color="000000" w:sz="0" w:space="0"/>
                <w:bottom w:val="none" w:color="000000" w:sz="0" w:space="0"/>
                <w:right w:val="none" w:color="000000" w:sz="0" w:space="0"/>
              </w:pBdr>
              <w:spacing w:beforeAutospacing="0" w:afterAutospacing="0" w:line="360" w:lineRule="auto"/>
              <w:jc w:val="center"/>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 </w:t>
            </w:r>
          </w:p>
        </w:tc>
        <w:tc>
          <w:tcPr>
            <w:tcW w:w="2852"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61DF2AD6">
            <w:pPr>
              <w:keepNext w:val="0"/>
              <w:keepLines w:val="0"/>
              <w:pageBreakBefore w:val="0"/>
              <w:pBdr>
                <w:top w:val="none" w:color="000000" w:sz="0" w:space="0"/>
                <w:left w:val="none" w:color="000000" w:sz="0" w:space="0"/>
                <w:bottom w:val="none" w:color="000000" w:sz="0" w:space="0"/>
                <w:right w:val="none" w:color="000000" w:sz="0" w:space="0"/>
              </w:pBdr>
              <w:spacing w:beforeAutospacing="0" w:afterAutospacing="0" w:line="360" w:lineRule="auto"/>
              <w:jc w:val="center"/>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 </w:t>
            </w:r>
          </w:p>
        </w:tc>
        <w:tc>
          <w:tcPr>
            <w:tcW w:w="1308"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7D7BFA5E">
            <w:pPr>
              <w:keepNext w:val="0"/>
              <w:keepLines w:val="0"/>
              <w:pageBreakBefore w:val="0"/>
              <w:pBdr>
                <w:top w:val="none" w:color="000000" w:sz="0" w:space="0"/>
                <w:left w:val="none" w:color="000000" w:sz="0" w:space="0"/>
                <w:bottom w:val="none" w:color="000000" w:sz="0" w:space="0"/>
                <w:right w:val="none" w:color="000000" w:sz="0" w:space="0"/>
              </w:pBdr>
              <w:spacing w:beforeAutospacing="0" w:afterAutospacing="0" w:line="360" w:lineRule="auto"/>
              <w:jc w:val="center"/>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 </w:t>
            </w:r>
          </w:p>
        </w:tc>
        <w:tc>
          <w:tcPr>
            <w:tcW w:w="1173"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777308BD">
            <w:pPr>
              <w:keepNext w:val="0"/>
              <w:keepLines w:val="0"/>
              <w:pageBreakBefore w:val="0"/>
              <w:pBdr>
                <w:top w:val="none" w:color="000000" w:sz="0" w:space="0"/>
                <w:left w:val="none" w:color="000000" w:sz="0" w:space="0"/>
                <w:bottom w:val="none" w:color="000000" w:sz="0" w:space="0"/>
                <w:right w:val="none" w:color="000000" w:sz="0" w:space="0"/>
              </w:pBdr>
              <w:spacing w:beforeAutospacing="0" w:afterAutospacing="0" w:line="360" w:lineRule="auto"/>
              <w:jc w:val="center"/>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 </w:t>
            </w:r>
          </w:p>
        </w:tc>
      </w:tr>
      <w:tr w14:paraId="41B46328">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640" w:hRule="atLeast"/>
        </w:trPr>
        <w:tc>
          <w:tcPr>
            <w:tcW w:w="545"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4BFFD237">
            <w:pPr>
              <w:keepNext w:val="0"/>
              <w:keepLines w:val="0"/>
              <w:pageBreakBefore w:val="0"/>
              <w:pBdr>
                <w:top w:val="none" w:color="000000" w:sz="0" w:space="0"/>
                <w:left w:val="none" w:color="000000" w:sz="0" w:space="0"/>
                <w:bottom w:val="none" w:color="000000" w:sz="0" w:space="0"/>
                <w:right w:val="none" w:color="000000" w:sz="0" w:space="0"/>
              </w:pBdr>
              <w:spacing w:beforeAutospacing="0" w:afterAutospacing="0" w:line="360" w:lineRule="auto"/>
              <w:jc w:val="center"/>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 </w:t>
            </w:r>
          </w:p>
        </w:tc>
        <w:tc>
          <w:tcPr>
            <w:tcW w:w="3291"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634A90CD">
            <w:pPr>
              <w:keepNext w:val="0"/>
              <w:keepLines w:val="0"/>
              <w:pageBreakBefore w:val="0"/>
              <w:pBdr>
                <w:top w:val="none" w:color="000000" w:sz="0" w:space="0"/>
                <w:left w:val="none" w:color="000000" w:sz="0" w:space="0"/>
                <w:bottom w:val="none" w:color="000000" w:sz="0" w:space="0"/>
                <w:right w:val="none" w:color="000000" w:sz="0" w:space="0"/>
              </w:pBdr>
              <w:spacing w:beforeAutospacing="0" w:afterAutospacing="0" w:line="360" w:lineRule="auto"/>
              <w:jc w:val="center"/>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w:t>
            </w:r>
          </w:p>
        </w:tc>
        <w:tc>
          <w:tcPr>
            <w:tcW w:w="2852"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2E94699A">
            <w:pPr>
              <w:keepNext w:val="0"/>
              <w:keepLines w:val="0"/>
              <w:pageBreakBefore w:val="0"/>
              <w:pBdr>
                <w:top w:val="none" w:color="000000" w:sz="0" w:space="0"/>
                <w:left w:val="none" w:color="000000" w:sz="0" w:space="0"/>
                <w:bottom w:val="none" w:color="000000" w:sz="0" w:space="0"/>
                <w:right w:val="none" w:color="000000" w:sz="0" w:space="0"/>
              </w:pBdr>
              <w:spacing w:beforeAutospacing="0" w:afterAutospacing="0" w:line="360" w:lineRule="auto"/>
              <w:jc w:val="center"/>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 </w:t>
            </w:r>
          </w:p>
        </w:tc>
        <w:tc>
          <w:tcPr>
            <w:tcW w:w="1308"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322B2A57">
            <w:pPr>
              <w:keepNext w:val="0"/>
              <w:keepLines w:val="0"/>
              <w:pageBreakBefore w:val="0"/>
              <w:pBdr>
                <w:top w:val="none" w:color="000000" w:sz="0" w:space="0"/>
                <w:left w:val="none" w:color="000000" w:sz="0" w:space="0"/>
                <w:bottom w:val="none" w:color="000000" w:sz="0" w:space="0"/>
                <w:right w:val="none" w:color="000000" w:sz="0" w:space="0"/>
              </w:pBdr>
              <w:spacing w:beforeAutospacing="0" w:afterAutospacing="0" w:line="360" w:lineRule="auto"/>
              <w:jc w:val="center"/>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 </w:t>
            </w:r>
          </w:p>
        </w:tc>
        <w:tc>
          <w:tcPr>
            <w:tcW w:w="1173"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63A007E9">
            <w:pPr>
              <w:keepNext w:val="0"/>
              <w:keepLines w:val="0"/>
              <w:pageBreakBefore w:val="0"/>
              <w:pBdr>
                <w:top w:val="none" w:color="000000" w:sz="0" w:space="0"/>
                <w:left w:val="none" w:color="000000" w:sz="0" w:space="0"/>
                <w:bottom w:val="none" w:color="000000" w:sz="0" w:space="0"/>
                <w:right w:val="none" w:color="000000" w:sz="0" w:space="0"/>
              </w:pBdr>
              <w:spacing w:beforeAutospacing="0" w:afterAutospacing="0" w:line="360" w:lineRule="auto"/>
              <w:jc w:val="center"/>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 </w:t>
            </w:r>
          </w:p>
        </w:tc>
      </w:tr>
    </w:tbl>
    <w:p w14:paraId="58FF9950">
      <w:pPr>
        <w:keepNext w:val="0"/>
        <w:keepLines w:val="0"/>
        <w:pageBreakBefore w:val="0"/>
        <w:pBdr>
          <w:top w:val="none" w:color="000000" w:sz="0" w:space="0"/>
          <w:left w:val="none" w:color="000000" w:sz="0" w:space="0"/>
          <w:bottom w:val="none" w:color="000000" w:sz="0" w:space="0"/>
          <w:right w:val="none" w:color="000000" w:sz="0" w:space="0"/>
        </w:pBdr>
        <w:spacing w:beforeAutospacing="0" w:afterAutospacing="0" w:line="360" w:lineRule="auto"/>
        <w:ind w:firstLine="480"/>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注： 行数不够，可自行添加。</w:t>
      </w:r>
    </w:p>
    <w:p w14:paraId="1BE8748A">
      <w:pPr>
        <w:keepNext w:val="0"/>
        <w:keepLines w:val="0"/>
        <w:pageBreakBefore w:val="0"/>
        <w:pBdr>
          <w:top w:val="none" w:color="000000" w:sz="0" w:space="0"/>
          <w:left w:val="none" w:color="000000" w:sz="0" w:space="0"/>
          <w:bottom w:val="none" w:color="000000" w:sz="0" w:space="0"/>
          <w:right w:val="none" w:color="000000" w:sz="0" w:space="0"/>
        </w:pBdr>
        <w:spacing w:beforeAutospacing="0" w:afterAutospacing="0" w:line="360" w:lineRule="auto"/>
        <w:ind w:firstLine="480"/>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供应商（加盖CA电子公章）：</w:t>
      </w:r>
    </w:p>
    <w:p w14:paraId="2325813A">
      <w:pPr>
        <w:keepNext w:val="0"/>
        <w:keepLines w:val="0"/>
        <w:pageBreakBefore w:val="0"/>
        <w:pBdr>
          <w:top w:val="none" w:color="000000" w:sz="0" w:space="0"/>
          <w:left w:val="none" w:color="000000" w:sz="0" w:space="0"/>
          <w:bottom w:val="none" w:color="000000" w:sz="0" w:space="0"/>
          <w:right w:val="none" w:color="000000" w:sz="0" w:space="0"/>
        </w:pBdr>
        <w:spacing w:beforeAutospacing="0" w:afterAutospacing="0" w:line="360" w:lineRule="auto"/>
        <w:ind w:firstLine="480"/>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供应商授权代表（签字或盖章）：</w:t>
      </w:r>
    </w:p>
    <w:p w14:paraId="48800E4B">
      <w:pPr>
        <w:keepNext w:val="0"/>
        <w:keepLines w:val="0"/>
        <w:pageBreakBefore w:val="0"/>
        <w:pBdr>
          <w:top w:val="none" w:color="000000" w:sz="0" w:space="0"/>
          <w:left w:val="none" w:color="000000" w:sz="0" w:space="0"/>
          <w:bottom w:val="none" w:color="000000" w:sz="0" w:space="0"/>
          <w:right w:val="none" w:color="000000" w:sz="0" w:space="0"/>
        </w:pBdr>
        <w:spacing w:beforeAutospacing="0" w:afterAutospacing="0" w:line="360" w:lineRule="auto"/>
        <w:ind w:firstLine="480"/>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日期：</w:t>
      </w:r>
    </w:p>
    <w:p w14:paraId="18EAE726">
      <w:pPr>
        <w:keepNext w:val="0"/>
        <w:keepLines w:val="0"/>
        <w:pageBreakBefore w:val="0"/>
        <w:pBdr>
          <w:top w:val="none" w:color="000000" w:sz="0" w:space="0"/>
          <w:left w:val="none" w:color="000000" w:sz="0" w:space="0"/>
          <w:bottom w:val="none" w:color="000000" w:sz="0" w:space="0"/>
          <w:right w:val="none" w:color="000000" w:sz="0" w:space="0"/>
        </w:pBdr>
        <w:spacing w:beforeAutospacing="0" w:afterAutospacing="0" w:line="360" w:lineRule="auto"/>
        <w:rPr>
          <w:rFonts w:hint="default" w:ascii="Times New Roman" w:hAnsi="Times New Roman" w:cs="Times New Roman"/>
          <w:color w:val="auto"/>
          <w:highlight w:val="none"/>
        </w:rPr>
      </w:pPr>
      <w:r>
        <w:rPr>
          <w:rFonts w:hint="default" w:ascii="Times New Roman" w:hAnsi="Times New Roman" w:cs="Times New Roman"/>
          <w:color w:val="auto"/>
          <w:sz w:val="24"/>
          <w:highlight w:val="none"/>
        </w:rPr>
        <w:t>   </w:t>
      </w:r>
    </w:p>
    <w:p w14:paraId="09F2A6BB">
      <w:pPr>
        <w:keepNext w:val="0"/>
        <w:keepLines w:val="0"/>
        <w:pageBreakBefore w:val="0"/>
        <w:pBdr>
          <w:top w:val="none" w:color="000000" w:sz="0" w:space="0"/>
          <w:left w:val="none" w:color="000000" w:sz="0" w:space="0"/>
          <w:bottom w:val="none" w:color="000000" w:sz="0" w:space="0"/>
          <w:right w:val="none" w:color="000000" w:sz="0" w:space="0"/>
        </w:pBdr>
        <w:spacing w:beforeAutospacing="0" w:afterAutospacing="0" w:line="360" w:lineRule="auto"/>
        <w:rPr>
          <w:rFonts w:hint="default" w:ascii="Times New Roman" w:hAnsi="Times New Roman" w:cs="Times New Roman"/>
          <w:color w:val="auto"/>
          <w:highlight w:val="none"/>
        </w:rPr>
      </w:pPr>
      <w:r>
        <w:rPr>
          <w:rFonts w:hint="default" w:ascii="Times New Roman" w:hAnsi="Times New Roman" w:cs="Times New Roman"/>
          <w:color w:val="auto"/>
          <w:highlight w:val="none"/>
        </w:rPr>
        <w:br w:type="page" w:clear="all"/>
      </w:r>
    </w:p>
    <w:p w14:paraId="7EB9ED57">
      <w:pPr>
        <w:pStyle w:val="6"/>
        <w:spacing w:line="360" w:lineRule="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技术要求响应及偏离表</w:t>
      </w:r>
    </w:p>
    <w:tbl>
      <w:tblPr>
        <w:tblStyle w:val="43"/>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top w:w="0" w:type="dxa"/>
          <w:left w:w="108" w:type="dxa"/>
          <w:bottom w:w="0" w:type="dxa"/>
          <w:right w:w="108" w:type="dxa"/>
        </w:tblCellMar>
      </w:tblPr>
      <w:tblGrid>
        <w:gridCol w:w="533"/>
        <w:gridCol w:w="3029"/>
        <w:gridCol w:w="2613"/>
        <w:gridCol w:w="1242"/>
        <w:gridCol w:w="1099"/>
      </w:tblGrid>
      <w:tr w14:paraId="2C15125B">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PrEx>
        <w:tc>
          <w:tcPr>
            <w:tcW w:w="545"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07991AA8">
            <w:pPr>
              <w:keepNext w:val="0"/>
              <w:keepLines w:val="0"/>
              <w:pageBreakBefore w:val="0"/>
              <w:pBdr>
                <w:top w:val="none" w:color="000000" w:sz="0" w:space="0"/>
                <w:left w:val="none" w:color="000000" w:sz="0" w:space="0"/>
                <w:bottom w:val="none" w:color="000000" w:sz="0" w:space="0"/>
                <w:right w:val="none" w:color="000000" w:sz="0" w:space="0"/>
              </w:pBdr>
              <w:spacing w:beforeAutospacing="0" w:afterAutospacing="0" w:line="360" w:lineRule="auto"/>
              <w:jc w:val="center"/>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序号</w:t>
            </w:r>
          </w:p>
        </w:tc>
        <w:tc>
          <w:tcPr>
            <w:tcW w:w="3291"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2E492DA6">
            <w:pPr>
              <w:keepNext w:val="0"/>
              <w:keepLines w:val="0"/>
              <w:pageBreakBefore w:val="0"/>
              <w:pBdr>
                <w:top w:val="none" w:color="000000" w:sz="0" w:space="0"/>
                <w:left w:val="none" w:color="000000" w:sz="0" w:space="0"/>
                <w:bottom w:val="none" w:color="000000" w:sz="0" w:space="0"/>
                <w:right w:val="none" w:color="000000" w:sz="0" w:space="0"/>
              </w:pBdr>
              <w:spacing w:beforeAutospacing="0" w:afterAutospacing="0" w:line="360" w:lineRule="auto"/>
              <w:jc w:val="center"/>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磋商文件要求</w:t>
            </w:r>
          </w:p>
        </w:tc>
        <w:tc>
          <w:tcPr>
            <w:tcW w:w="2852"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3F824B23">
            <w:pPr>
              <w:keepNext w:val="0"/>
              <w:keepLines w:val="0"/>
              <w:pageBreakBefore w:val="0"/>
              <w:pBdr>
                <w:top w:val="none" w:color="000000" w:sz="0" w:space="0"/>
                <w:left w:val="none" w:color="000000" w:sz="0" w:space="0"/>
                <w:bottom w:val="none" w:color="000000" w:sz="0" w:space="0"/>
                <w:right w:val="none" w:color="000000" w:sz="0" w:space="0"/>
              </w:pBdr>
              <w:spacing w:beforeAutospacing="0" w:afterAutospacing="0" w:line="360" w:lineRule="auto"/>
              <w:jc w:val="center"/>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响应情况</w:t>
            </w:r>
          </w:p>
        </w:tc>
        <w:tc>
          <w:tcPr>
            <w:tcW w:w="1308"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7304EEBE">
            <w:pPr>
              <w:keepNext w:val="0"/>
              <w:keepLines w:val="0"/>
              <w:pageBreakBefore w:val="0"/>
              <w:pBdr>
                <w:top w:val="none" w:color="000000" w:sz="0" w:space="0"/>
                <w:left w:val="none" w:color="000000" w:sz="0" w:space="0"/>
                <w:bottom w:val="none" w:color="000000" w:sz="0" w:space="0"/>
                <w:right w:val="none" w:color="000000" w:sz="0" w:space="0"/>
              </w:pBdr>
              <w:spacing w:beforeAutospacing="0" w:afterAutospacing="0" w:line="360" w:lineRule="auto"/>
              <w:jc w:val="center"/>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超出、符合或偏离</w:t>
            </w:r>
          </w:p>
        </w:tc>
        <w:tc>
          <w:tcPr>
            <w:tcW w:w="1173"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4A0CEC51">
            <w:pPr>
              <w:keepNext w:val="0"/>
              <w:keepLines w:val="0"/>
              <w:pageBreakBefore w:val="0"/>
              <w:pBdr>
                <w:top w:val="none" w:color="000000" w:sz="0" w:space="0"/>
                <w:left w:val="none" w:color="000000" w:sz="0" w:space="0"/>
                <w:bottom w:val="none" w:color="000000" w:sz="0" w:space="0"/>
                <w:right w:val="none" w:color="000000" w:sz="0" w:space="0"/>
              </w:pBdr>
              <w:spacing w:beforeAutospacing="0" w:afterAutospacing="0" w:line="360" w:lineRule="auto"/>
              <w:jc w:val="center"/>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证明</w:t>
            </w:r>
          </w:p>
          <w:p w14:paraId="642B10A6">
            <w:pPr>
              <w:keepNext w:val="0"/>
              <w:keepLines w:val="0"/>
              <w:pageBreakBefore w:val="0"/>
              <w:pBdr>
                <w:top w:val="none" w:color="000000" w:sz="0" w:space="0"/>
                <w:left w:val="none" w:color="000000" w:sz="0" w:space="0"/>
                <w:bottom w:val="none" w:color="000000" w:sz="0" w:space="0"/>
                <w:right w:val="none" w:color="000000" w:sz="0" w:space="0"/>
              </w:pBdr>
              <w:spacing w:beforeAutospacing="0" w:afterAutospacing="0" w:line="360" w:lineRule="auto"/>
              <w:jc w:val="center"/>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材料</w:t>
            </w:r>
          </w:p>
        </w:tc>
      </w:tr>
      <w:tr w14:paraId="56BFF5FB">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640" w:hRule="atLeast"/>
        </w:trPr>
        <w:tc>
          <w:tcPr>
            <w:tcW w:w="545"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00CD4EE9">
            <w:pPr>
              <w:keepNext w:val="0"/>
              <w:keepLines w:val="0"/>
              <w:pageBreakBefore w:val="0"/>
              <w:pBdr>
                <w:top w:val="none" w:color="000000" w:sz="0" w:space="0"/>
                <w:left w:val="none" w:color="000000" w:sz="0" w:space="0"/>
                <w:bottom w:val="none" w:color="000000" w:sz="0" w:space="0"/>
                <w:right w:val="none" w:color="000000" w:sz="0" w:space="0"/>
              </w:pBdr>
              <w:spacing w:beforeAutospacing="0" w:afterAutospacing="0" w:line="360" w:lineRule="auto"/>
              <w:jc w:val="center"/>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 </w:t>
            </w:r>
          </w:p>
        </w:tc>
        <w:tc>
          <w:tcPr>
            <w:tcW w:w="3291"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07EDFD66">
            <w:pPr>
              <w:keepNext w:val="0"/>
              <w:keepLines w:val="0"/>
              <w:pageBreakBefore w:val="0"/>
              <w:pBdr>
                <w:top w:val="none" w:color="000000" w:sz="0" w:space="0"/>
                <w:left w:val="none" w:color="000000" w:sz="0" w:space="0"/>
                <w:bottom w:val="none" w:color="000000" w:sz="0" w:space="0"/>
                <w:right w:val="none" w:color="000000" w:sz="0" w:space="0"/>
              </w:pBdr>
              <w:spacing w:beforeAutospacing="0" w:afterAutospacing="0" w:line="360" w:lineRule="auto"/>
              <w:jc w:val="center"/>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 </w:t>
            </w:r>
          </w:p>
        </w:tc>
        <w:tc>
          <w:tcPr>
            <w:tcW w:w="2852"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33CFF441">
            <w:pPr>
              <w:keepNext w:val="0"/>
              <w:keepLines w:val="0"/>
              <w:pageBreakBefore w:val="0"/>
              <w:pBdr>
                <w:top w:val="none" w:color="000000" w:sz="0" w:space="0"/>
                <w:left w:val="none" w:color="000000" w:sz="0" w:space="0"/>
                <w:bottom w:val="none" w:color="000000" w:sz="0" w:space="0"/>
                <w:right w:val="none" w:color="000000" w:sz="0" w:space="0"/>
              </w:pBdr>
              <w:spacing w:beforeAutospacing="0" w:afterAutospacing="0" w:line="360" w:lineRule="auto"/>
              <w:jc w:val="center"/>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 </w:t>
            </w:r>
          </w:p>
        </w:tc>
        <w:tc>
          <w:tcPr>
            <w:tcW w:w="1308"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6AC9DBC6">
            <w:pPr>
              <w:keepNext w:val="0"/>
              <w:keepLines w:val="0"/>
              <w:pageBreakBefore w:val="0"/>
              <w:pBdr>
                <w:top w:val="none" w:color="000000" w:sz="0" w:space="0"/>
                <w:left w:val="none" w:color="000000" w:sz="0" w:space="0"/>
                <w:bottom w:val="none" w:color="000000" w:sz="0" w:space="0"/>
                <w:right w:val="none" w:color="000000" w:sz="0" w:space="0"/>
              </w:pBdr>
              <w:spacing w:beforeAutospacing="0" w:afterAutospacing="0" w:line="360" w:lineRule="auto"/>
              <w:jc w:val="center"/>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 </w:t>
            </w:r>
          </w:p>
        </w:tc>
        <w:tc>
          <w:tcPr>
            <w:tcW w:w="1173"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3C9295FF">
            <w:pPr>
              <w:keepNext w:val="0"/>
              <w:keepLines w:val="0"/>
              <w:pageBreakBefore w:val="0"/>
              <w:pBdr>
                <w:top w:val="none" w:color="000000" w:sz="0" w:space="0"/>
                <w:left w:val="none" w:color="000000" w:sz="0" w:space="0"/>
                <w:bottom w:val="none" w:color="000000" w:sz="0" w:space="0"/>
                <w:right w:val="none" w:color="000000" w:sz="0" w:space="0"/>
              </w:pBdr>
              <w:spacing w:beforeAutospacing="0" w:afterAutospacing="0" w:line="360" w:lineRule="auto"/>
              <w:jc w:val="center"/>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 </w:t>
            </w:r>
          </w:p>
        </w:tc>
      </w:tr>
      <w:tr w14:paraId="13CC0B5D">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640" w:hRule="atLeast"/>
        </w:trPr>
        <w:tc>
          <w:tcPr>
            <w:tcW w:w="545"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5DA81665">
            <w:pPr>
              <w:keepNext w:val="0"/>
              <w:keepLines w:val="0"/>
              <w:pageBreakBefore w:val="0"/>
              <w:pBdr>
                <w:top w:val="none" w:color="000000" w:sz="0" w:space="0"/>
                <w:left w:val="none" w:color="000000" w:sz="0" w:space="0"/>
                <w:bottom w:val="none" w:color="000000" w:sz="0" w:space="0"/>
                <w:right w:val="none" w:color="000000" w:sz="0" w:space="0"/>
              </w:pBdr>
              <w:spacing w:beforeAutospacing="0" w:afterAutospacing="0" w:line="360" w:lineRule="auto"/>
              <w:jc w:val="center"/>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 </w:t>
            </w:r>
          </w:p>
        </w:tc>
        <w:tc>
          <w:tcPr>
            <w:tcW w:w="3291"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6F0C35C8">
            <w:pPr>
              <w:keepNext w:val="0"/>
              <w:keepLines w:val="0"/>
              <w:pageBreakBefore w:val="0"/>
              <w:pBdr>
                <w:top w:val="none" w:color="000000" w:sz="0" w:space="0"/>
                <w:left w:val="none" w:color="000000" w:sz="0" w:space="0"/>
                <w:bottom w:val="none" w:color="000000" w:sz="0" w:space="0"/>
                <w:right w:val="none" w:color="000000" w:sz="0" w:space="0"/>
              </w:pBdr>
              <w:spacing w:beforeAutospacing="0" w:afterAutospacing="0" w:line="360" w:lineRule="auto"/>
              <w:jc w:val="center"/>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 </w:t>
            </w:r>
          </w:p>
        </w:tc>
        <w:tc>
          <w:tcPr>
            <w:tcW w:w="2852"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11ABE4E0">
            <w:pPr>
              <w:keepNext w:val="0"/>
              <w:keepLines w:val="0"/>
              <w:pageBreakBefore w:val="0"/>
              <w:pBdr>
                <w:top w:val="none" w:color="000000" w:sz="0" w:space="0"/>
                <w:left w:val="none" w:color="000000" w:sz="0" w:space="0"/>
                <w:bottom w:val="none" w:color="000000" w:sz="0" w:space="0"/>
                <w:right w:val="none" w:color="000000" w:sz="0" w:space="0"/>
              </w:pBdr>
              <w:spacing w:beforeAutospacing="0" w:afterAutospacing="0" w:line="360" w:lineRule="auto"/>
              <w:jc w:val="center"/>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 </w:t>
            </w:r>
          </w:p>
        </w:tc>
        <w:tc>
          <w:tcPr>
            <w:tcW w:w="1308"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30A372F2">
            <w:pPr>
              <w:keepNext w:val="0"/>
              <w:keepLines w:val="0"/>
              <w:pageBreakBefore w:val="0"/>
              <w:pBdr>
                <w:top w:val="none" w:color="000000" w:sz="0" w:space="0"/>
                <w:left w:val="none" w:color="000000" w:sz="0" w:space="0"/>
                <w:bottom w:val="none" w:color="000000" w:sz="0" w:space="0"/>
                <w:right w:val="none" w:color="000000" w:sz="0" w:space="0"/>
              </w:pBdr>
              <w:spacing w:beforeAutospacing="0" w:afterAutospacing="0" w:line="360" w:lineRule="auto"/>
              <w:jc w:val="center"/>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 </w:t>
            </w:r>
          </w:p>
        </w:tc>
        <w:tc>
          <w:tcPr>
            <w:tcW w:w="1173"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6A5C33D1">
            <w:pPr>
              <w:keepNext w:val="0"/>
              <w:keepLines w:val="0"/>
              <w:pageBreakBefore w:val="0"/>
              <w:pBdr>
                <w:top w:val="none" w:color="000000" w:sz="0" w:space="0"/>
                <w:left w:val="none" w:color="000000" w:sz="0" w:space="0"/>
                <w:bottom w:val="none" w:color="000000" w:sz="0" w:space="0"/>
                <w:right w:val="none" w:color="000000" w:sz="0" w:space="0"/>
              </w:pBdr>
              <w:spacing w:beforeAutospacing="0" w:afterAutospacing="0" w:line="360" w:lineRule="auto"/>
              <w:jc w:val="center"/>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 </w:t>
            </w:r>
          </w:p>
        </w:tc>
      </w:tr>
      <w:tr w14:paraId="7AAFE1CA">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640" w:hRule="atLeast"/>
        </w:trPr>
        <w:tc>
          <w:tcPr>
            <w:tcW w:w="545"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3D9472A1">
            <w:pPr>
              <w:keepNext w:val="0"/>
              <w:keepLines w:val="0"/>
              <w:pageBreakBefore w:val="0"/>
              <w:pBdr>
                <w:top w:val="none" w:color="000000" w:sz="0" w:space="0"/>
                <w:left w:val="none" w:color="000000" w:sz="0" w:space="0"/>
                <w:bottom w:val="none" w:color="000000" w:sz="0" w:space="0"/>
                <w:right w:val="none" w:color="000000" w:sz="0" w:space="0"/>
              </w:pBdr>
              <w:spacing w:beforeAutospacing="0" w:afterAutospacing="0" w:line="360" w:lineRule="auto"/>
              <w:jc w:val="center"/>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 </w:t>
            </w:r>
          </w:p>
        </w:tc>
        <w:tc>
          <w:tcPr>
            <w:tcW w:w="3291"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3D961897">
            <w:pPr>
              <w:keepNext w:val="0"/>
              <w:keepLines w:val="0"/>
              <w:pageBreakBefore w:val="0"/>
              <w:pBdr>
                <w:top w:val="none" w:color="000000" w:sz="0" w:space="0"/>
                <w:left w:val="none" w:color="000000" w:sz="0" w:space="0"/>
                <w:bottom w:val="none" w:color="000000" w:sz="0" w:space="0"/>
                <w:right w:val="none" w:color="000000" w:sz="0" w:space="0"/>
              </w:pBdr>
              <w:spacing w:beforeAutospacing="0" w:afterAutospacing="0" w:line="360" w:lineRule="auto"/>
              <w:jc w:val="center"/>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 </w:t>
            </w:r>
          </w:p>
        </w:tc>
        <w:tc>
          <w:tcPr>
            <w:tcW w:w="2852"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29CF5017">
            <w:pPr>
              <w:keepNext w:val="0"/>
              <w:keepLines w:val="0"/>
              <w:pageBreakBefore w:val="0"/>
              <w:pBdr>
                <w:top w:val="none" w:color="000000" w:sz="0" w:space="0"/>
                <w:left w:val="none" w:color="000000" w:sz="0" w:space="0"/>
                <w:bottom w:val="none" w:color="000000" w:sz="0" w:space="0"/>
                <w:right w:val="none" w:color="000000" w:sz="0" w:space="0"/>
              </w:pBdr>
              <w:spacing w:beforeAutospacing="0" w:afterAutospacing="0" w:line="360" w:lineRule="auto"/>
              <w:jc w:val="center"/>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 </w:t>
            </w:r>
          </w:p>
        </w:tc>
        <w:tc>
          <w:tcPr>
            <w:tcW w:w="1308"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70F54D48">
            <w:pPr>
              <w:keepNext w:val="0"/>
              <w:keepLines w:val="0"/>
              <w:pageBreakBefore w:val="0"/>
              <w:pBdr>
                <w:top w:val="none" w:color="000000" w:sz="0" w:space="0"/>
                <w:left w:val="none" w:color="000000" w:sz="0" w:space="0"/>
                <w:bottom w:val="none" w:color="000000" w:sz="0" w:space="0"/>
                <w:right w:val="none" w:color="000000" w:sz="0" w:space="0"/>
              </w:pBdr>
              <w:spacing w:beforeAutospacing="0" w:afterAutospacing="0" w:line="360" w:lineRule="auto"/>
              <w:jc w:val="center"/>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 </w:t>
            </w:r>
          </w:p>
        </w:tc>
        <w:tc>
          <w:tcPr>
            <w:tcW w:w="1173"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3CCA1CBC">
            <w:pPr>
              <w:keepNext w:val="0"/>
              <w:keepLines w:val="0"/>
              <w:pageBreakBefore w:val="0"/>
              <w:pBdr>
                <w:top w:val="none" w:color="000000" w:sz="0" w:space="0"/>
                <w:left w:val="none" w:color="000000" w:sz="0" w:space="0"/>
                <w:bottom w:val="none" w:color="000000" w:sz="0" w:space="0"/>
                <w:right w:val="none" w:color="000000" w:sz="0" w:space="0"/>
              </w:pBdr>
              <w:spacing w:beforeAutospacing="0" w:afterAutospacing="0" w:line="360" w:lineRule="auto"/>
              <w:jc w:val="center"/>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 </w:t>
            </w:r>
          </w:p>
        </w:tc>
      </w:tr>
      <w:tr w14:paraId="685BADFC">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PrEx>
        <w:trPr>
          <w:trHeight w:val="640" w:hRule="atLeast"/>
        </w:trPr>
        <w:tc>
          <w:tcPr>
            <w:tcW w:w="545"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2023AE34">
            <w:pPr>
              <w:keepNext w:val="0"/>
              <w:keepLines w:val="0"/>
              <w:pageBreakBefore w:val="0"/>
              <w:pBdr>
                <w:top w:val="none" w:color="000000" w:sz="0" w:space="0"/>
                <w:left w:val="none" w:color="000000" w:sz="0" w:space="0"/>
                <w:bottom w:val="none" w:color="000000" w:sz="0" w:space="0"/>
                <w:right w:val="none" w:color="000000" w:sz="0" w:space="0"/>
              </w:pBdr>
              <w:spacing w:beforeAutospacing="0" w:afterAutospacing="0" w:line="360" w:lineRule="auto"/>
              <w:jc w:val="center"/>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 </w:t>
            </w:r>
          </w:p>
        </w:tc>
        <w:tc>
          <w:tcPr>
            <w:tcW w:w="3291"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41BABA10">
            <w:pPr>
              <w:keepNext w:val="0"/>
              <w:keepLines w:val="0"/>
              <w:pageBreakBefore w:val="0"/>
              <w:pBdr>
                <w:top w:val="none" w:color="000000" w:sz="0" w:space="0"/>
                <w:left w:val="none" w:color="000000" w:sz="0" w:space="0"/>
                <w:bottom w:val="none" w:color="000000" w:sz="0" w:space="0"/>
                <w:right w:val="none" w:color="000000" w:sz="0" w:space="0"/>
              </w:pBdr>
              <w:spacing w:beforeAutospacing="0" w:afterAutospacing="0" w:line="360" w:lineRule="auto"/>
              <w:jc w:val="center"/>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 </w:t>
            </w:r>
          </w:p>
        </w:tc>
        <w:tc>
          <w:tcPr>
            <w:tcW w:w="2852"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0549BA20">
            <w:pPr>
              <w:keepNext w:val="0"/>
              <w:keepLines w:val="0"/>
              <w:pageBreakBefore w:val="0"/>
              <w:pBdr>
                <w:top w:val="none" w:color="000000" w:sz="0" w:space="0"/>
                <w:left w:val="none" w:color="000000" w:sz="0" w:space="0"/>
                <w:bottom w:val="none" w:color="000000" w:sz="0" w:space="0"/>
                <w:right w:val="none" w:color="000000" w:sz="0" w:space="0"/>
              </w:pBdr>
              <w:spacing w:beforeAutospacing="0" w:afterAutospacing="0" w:line="360" w:lineRule="auto"/>
              <w:jc w:val="center"/>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 </w:t>
            </w:r>
          </w:p>
        </w:tc>
        <w:tc>
          <w:tcPr>
            <w:tcW w:w="1308"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3F9D8CCE">
            <w:pPr>
              <w:keepNext w:val="0"/>
              <w:keepLines w:val="0"/>
              <w:pageBreakBefore w:val="0"/>
              <w:pBdr>
                <w:top w:val="none" w:color="000000" w:sz="0" w:space="0"/>
                <w:left w:val="none" w:color="000000" w:sz="0" w:space="0"/>
                <w:bottom w:val="none" w:color="000000" w:sz="0" w:space="0"/>
                <w:right w:val="none" w:color="000000" w:sz="0" w:space="0"/>
              </w:pBdr>
              <w:spacing w:beforeAutospacing="0" w:afterAutospacing="0" w:line="360" w:lineRule="auto"/>
              <w:jc w:val="center"/>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 </w:t>
            </w:r>
          </w:p>
        </w:tc>
        <w:tc>
          <w:tcPr>
            <w:tcW w:w="1173"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33ACD5E2">
            <w:pPr>
              <w:keepNext w:val="0"/>
              <w:keepLines w:val="0"/>
              <w:pageBreakBefore w:val="0"/>
              <w:pBdr>
                <w:top w:val="none" w:color="000000" w:sz="0" w:space="0"/>
                <w:left w:val="none" w:color="000000" w:sz="0" w:space="0"/>
                <w:bottom w:val="none" w:color="000000" w:sz="0" w:space="0"/>
                <w:right w:val="none" w:color="000000" w:sz="0" w:space="0"/>
              </w:pBdr>
              <w:spacing w:beforeAutospacing="0" w:afterAutospacing="0" w:line="360" w:lineRule="auto"/>
              <w:jc w:val="center"/>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 </w:t>
            </w:r>
          </w:p>
        </w:tc>
      </w:tr>
      <w:tr w14:paraId="64DAC36A">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640" w:hRule="atLeast"/>
        </w:trPr>
        <w:tc>
          <w:tcPr>
            <w:tcW w:w="545"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0D47D4F9">
            <w:pPr>
              <w:keepNext w:val="0"/>
              <w:keepLines w:val="0"/>
              <w:pageBreakBefore w:val="0"/>
              <w:pBdr>
                <w:top w:val="none" w:color="000000" w:sz="0" w:space="0"/>
                <w:left w:val="none" w:color="000000" w:sz="0" w:space="0"/>
                <w:bottom w:val="none" w:color="000000" w:sz="0" w:space="0"/>
                <w:right w:val="none" w:color="000000" w:sz="0" w:space="0"/>
              </w:pBdr>
              <w:spacing w:beforeAutospacing="0" w:afterAutospacing="0" w:line="360" w:lineRule="auto"/>
              <w:jc w:val="center"/>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 </w:t>
            </w:r>
          </w:p>
        </w:tc>
        <w:tc>
          <w:tcPr>
            <w:tcW w:w="3291"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6C592847">
            <w:pPr>
              <w:keepNext w:val="0"/>
              <w:keepLines w:val="0"/>
              <w:pageBreakBefore w:val="0"/>
              <w:pBdr>
                <w:top w:val="none" w:color="000000" w:sz="0" w:space="0"/>
                <w:left w:val="none" w:color="000000" w:sz="0" w:space="0"/>
                <w:bottom w:val="none" w:color="000000" w:sz="0" w:space="0"/>
                <w:right w:val="none" w:color="000000" w:sz="0" w:space="0"/>
              </w:pBdr>
              <w:spacing w:beforeAutospacing="0" w:afterAutospacing="0" w:line="360" w:lineRule="auto"/>
              <w:jc w:val="center"/>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 </w:t>
            </w:r>
          </w:p>
        </w:tc>
        <w:tc>
          <w:tcPr>
            <w:tcW w:w="2852"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684D4735">
            <w:pPr>
              <w:keepNext w:val="0"/>
              <w:keepLines w:val="0"/>
              <w:pageBreakBefore w:val="0"/>
              <w:pBdr>
                <w:top w:val="none" w:color="000000" w:sz="0" w:space="0"/>
                <w:left w:val="none" w:color="000000" w:sz="0" w:space="0"/>
                <w:bottom w:val="none" w:color="000000" w:sz="0" w:space="0"/>
                <w:right w:val="none" w:color="000000" w:sz="0" w:space="0"/>
              </w:pBdr>
              <w:spacing w:beforeAutospacing="0" w:afterAutospacing="0" w:line="360" w:lineRule="auto"/>
              <w:jc w:val="center"/>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 </w:t>
            </w:r>
          </w:p>
        </w:tc>
        <w:tc>
          <w:tcPr>
            <w:tcW w:w="1308"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7CB04BA2">
            <w:pPr>
              <w:keepNext w:val="0"/>
              <w:keepLines w:val="0"/>
              <w:pageBreakBefore w:val="0"/>
              <w:pBdr>
                <w:top w:val="none" w:color="000000" w:sz="0" w:space="0"/>
                <w:left w:val="none" w:color="000000" w:sz="0" w:space="0"/>
                <w:bottom w:val="none" w:color="000000" w:sz="0" w:space="0"/>
                <w:right w:val="none" w:color="000000" w:sz="0" w:space="0"/>
              </w:pBdr>
              <w:spacing w:beforeAutospacing="0" w:afterAutospacing="0" w:line="360" w:lineRule="auto"/>
              <w:jc w:val="center"/>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 </w:t>
            </w:r>
          </w:p>
        </w:tc>
        <w:tc>
          <w:tcPr>
            <w:tcW w:w="1173"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63E495A0">
            <w:pPr>
              <w:keepNext w:val="0"/>
              <w:keepLines w:val="0"/>
              <w:pageBreakBefore w:val="0"/>
              <w:pBdr>
                <w:top w:val="none" w:color="000000" w:sz="0" w:space="0"/>
                <w:left w:val="none" w:color="000000" w:sz="0" w:space="0"/>
                <w:bottom w:val="none" w:color="000000" w:sz="0" w:space="0"/>
                <w:right w:val="none" w:color="000000" w:sz="0" w:space="0"/>
              </w:pBdr>
              <w:spacing w:beforeAutospacing="0" w:afterAutospacing="0" w:line="360" w:lineRule="auto"/>
              <w:jc w:val="center"/>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 </w:t>
            </w:r>
          </w:p>
        </w:tc>
      </w:tr>
      <w:tr w14:paraId="1F235CC9">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640" w:hRule="atLeast"/>
        </w:trPr>
        <w:tc>
          <w:tcPr>
            <w:tcW w:w="545"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609F4F17">
            <w:pPr>
              <w:keepNext w:val="0"/>
              <w:keepLines w:val="0"/>
              <w:pageBreakBefore w:val="0"/>
              <w:pBdr>
                <w:top w:val="none" w:color="000000" w:sz="0" w:space="0"/>
                <w:left w:val="none" w:color="000000" w:sz="0" w:space="0"/>
                <w:bottom w:val="none" w:color="000000" w:sz="0" w:space="0"/>
                <w:right w:val="none" w:color="000000" w:sz="0" w:space="0"/>
              </w:pBdr>
              <w:spacing w:beforeAutospacing="0" w:afterAutospacing="0" w:line="360" w:lineRule="auto"/>
              <w:jc w:val="center"/>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 </w:t>
            </w:r>
          </w:p>
        </w:tc>
        <w:tc>
          <w:tcPr>
            <w:tcW w:w="3291"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21A5B2C6">
            <w:pPr>
              <w:keepNext w:val="0"/>
              <w:keepLines w:val="0"/>
              <w:pageBreakBefore w:val="0"/>
              <w:pBdr>
                <w:top w:val="none" w:color="000000" w:sz="0" w:space="0"/>
                <w:left w:val="none" w:color="000000" w:sz="0" w:space="0"/>
                <w:bottom w:val="none" w:color="000000" w:sz="0" w:space="0"/>
                <w:right w:val="none" w:color="000000" w:sz="0" w:space="0"/>
              </w:pBdr>
              <w:spacing w:beforeAutospacing="0" w:afterAutospacing="0" w:line="360" w:lineRule="auto"/>
              <w:jc w:val="center"/>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 </w:t>
            </w:r>
          </w:p>
        </w:tc>
        <w:tc>
          <w:tcPr>
            <w:tcW w:w="2852"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0FFF19D4">
            <w:pPr>
              <w:keepNext w:val="0"/>
              <w:keepLines w:val="0"/>
              <w:pageBreakBefore w:val="0"/>
              <w:pBdr>
                <w:top w:val="none" w:color="000000" w:sz="0" w:space="0"/>
                <w:left w:val="none" w:color="000000" w:sz="0" w:space="0"/>
                <w:bottom w:val="none" w:color="000000" w:sz="0" w:space="0"/>
                <w:right w:val="none" w:color="000000" w:sz="0" w:space="0"/>
              </w:pBdr>
              <w:spacing w:beforeAutospacing="0" w:afterAutospacing="0" w:line="360" w:lineRule="auto"/>
              <w:jc w:val="center"/>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 </w:t>
            </w:r>
          </w:p>
        </w:tc>
        <w:tc>
          <w:tcPr>
            <w:tcW w:w="1308"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1EC05A5A">
            <w:pPr>
              <w:keepNext w:val="0"/>
              <w:keepLines w:val="0"/>
              <w:pageBreakBefore w:val="0"/>
              <w:pBdr>
                <w:top w:val="none" w:color="000000" w:sz="0" w:space="0"/>
                <w:left w:val="none" w:color="000000" w:sz="0" w:space="0"/>
                <w:bottom w:val="none" w:color="000000" w:sz="0" w:space="0"/>
                <w:right w:val="none" w:color="000000" w:sz="0" w:space="0"/>
              </w:pBdr>
              <w:spacing w:beforeAutospacing="0" w:afterAutospacing="0" w:line="360" w:lineRule="auto"/>
              <w:jc w:val="center"/>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 </w:t>
            </w:r>
          </w:p>
        </w:tc>
        <w:tc>
          <w:tcPr>
            <w:tcW w:w="1173"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41991C24">
            <w:pPr>
              <w:keepNext w:val="0"/>
              <w:keepLines w:val="0"/>
              <w:pageBreakBefore w:val="0"/>
              <w:pBdr>
                <w:top w:val="none" w:color="000000" w:sz="0" w:space="0"/>
                <w:left w:val="none" w:color="000000" w:sz="0" w:space="0"/>
                <w:bottom w:val="none" w:color="000000" w:sz="0" w:space="0"/>
                <w:right w:val="none" w:color="000000" w:sz="0" w:space="0"/>
              </w:pBdr>
              <w:spacing w:beforeAutospacing="0" w:afterAutospacing="0" w:line="360" w:lineRule="auto"/>
              <w:jc w:val="center"/>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 </w:t>
            </w:r>
          </w:p>
        </w:tc>
      </w:tr>
      <w:tr w14:paraId="7A864413">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PrEx>
        <w:trPr>
          <w:trHeight w:val="640" w:hRule="atLeast"/>
        </w:trPr>
        <w:tc>
          <w:tcPr>
            <w:tcW w:w="545"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785AA43A">
            <w:pPr>
              <w:keepNext w:val="0"/>
              <w:keepLines w:val="0"/>
              <w:pageBreakBefore w:val="0"/>
              <w:pBdr>
                <w:top w:val="none" w:color="000000" w:sz="0" w:space="0"/>
                <w:left w:val="none" w:color="000000" w:sz="0" w:space="0"/>
                <w:bottom w:val="none" w:color="000000" w:sz="0" w:space="0"/>
                <w:right w:val="none" w:color="000000" w:sz="0" w:space="0"/>
              </w:pBdr>
              <w:spacing w:beforeAutospacing="0" w:afterAutospacing="0" w:line="360" w:lineRule="auto"/>
              <w:jc w:val="center"/>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 </w:t>
            </w:r>
          </w:p>
        </w:tc>
        <w:tc>
          <w:tcPr>
            <w:tcW w:w="3291"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39C88321">
            <w:pPr>
              <w:keepNext w:val="0"/>
              <w:keepLines w:val="0"/>
              <w:pageBreakBefore w:val="0"/>
              <w:pBdr>
                <w:top w:val="none" w:color="000000" w:sz="0" w:space="0"/>
                <w:left w:val="none" w:color="000000" w:sz="0" w:space="0"/>
                <w:bottom w:val="none" w:color="000000" w:sz="0" w:space="0"/>
                <w:right w:val="none" w:color="000000" w:sz="0" w:space="0"/>
              </w:pBdr>
              <w:spacing w:beforeAutospacing="0" w:afterAutospacing="0" w:line="360" w:lineRule="auto"/>
              <w:jc w:val="center"/>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 </w:t>
            </w:r>
          </w:p>
        </w:tc>
        <w:tc>
          <w:tcPr>
            <w:tcW w:w="2852"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043EE930">
            <w:pPr>
              <w:keepNext w:val="0"/>
              <w:keepLines w:val="0"/>
              <w:pageBreakBefore w:val="0"/>
              <w:pBdr>
                <w:top w:val="none" w:color="000000" w:sz="0" w:space="0"/>
                <w:left w:val="none" w:color="000000" w:sz="0" w:space="0"/>
                <w:bottom w:val="none" w:color="000000" w:sz="0" w:space="0"/>
                <w:right w:val="none" w:color="000000" w:sz="0" w:space="0"/>
              </w:pBdr>
              <w:spacing w:beforeAutospacing="0" w:afterAutospacing="0" w:line="360" w:lineRule="auto"/>
              <w:jc w:val="center"/>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 </w:t>
            </w:r>
          </w:p>
        </w:tc>
        <w:tc>
          <w:tcPr>
            <w:tcW w:w="1308"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21462222">
            <w:pPr>
              <w:keepNext w:val="0"/>
              <w:keepLines w:val="0"/>
              <w:pageBreakBefore w:val="0"/>
              <w:pBdr>
                <w:top w:val="none" w:color="000000" w:sz="0" w:space="0"/>
                <w:left w:val="none" w:color="000000" w:sz="0" w:space="0"/>
                <w:bottom w:val="none" w:color="000000" w:sz="0" w:space="0"/>
                <w:right w:val="none" w:color="000000" w:sz="0" w:space="0"/>
              </w:pBdr>
              <w:spacing w:beforeAutospacing="0" w:afterAutospacing="0" w:line="360" w:lineRule="auto"/>
              <w:jc w:val="center"/>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 </w:t>
            </w:r>
          </w:p>
        </w:tc>
        <w:tc>
          <w:tcPr>
            <w:tcW w:w="1173"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03D5F83A">
            <w:pPr>
              <w:keepNext w:val="0"/>
              <w:keepLines w:val="0"/>
              <w:pageBreakBefore w:val="0"/>
              <w:pBdr>
                <w:top w:val="none" w:color="000000" w:sz="0" w:space="0"/>
                <w:left w:val="none" w:color="000000" w:sz="0" w:space="0"/>
                <w:bottom w:val="none" w:color="000000" w:sz="0" w:space="0"/>
                <w:right w:val="none" w:color="000000" w:sz="0" w:space="0"/>
              </w:pBdr>
              <w:spacing w:beforeAutospacing="0" w:afterAutospacing="0" w:line="360" w:lineRule="auto"/>
              <w:jc w:val="center"/>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 </w:t>
            </w:r>
          </w:p>
        </w:tc>
      </w:tr>
      <w:tr w14:paraId="46A033E4">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640" w:hRule="atLeast"/>
        </w:trPr>
        <w:tc>
          <w:tcPr>
            <w:tcW w:w="545"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1BAD8BE3">
            <w:pPr>
              <w:keepNext w:val="0"/>
              <w:keepLines w:val="0"/>
              <w:pageBreakBefore w:val="0"/>
              <w:pBdr>
                <w:top w:val="none" w:color="000000" w:sz="0" w:space="0"/>
                <w:left w:val="none" w:color="000000" w:sz="0" w:space="0"/>
                <w:bottom w:val="none" w:color="000000" w:sz="0" w:space="0"/>
                <w:right w:val="none" w:color="000000" w:sz="0" w:space="0"/>
              </w:pBdr>
              <w:spacing w:beforeAutospacing="0" w:afterAutospacing="0" w:line="360" w:lineRule="auto"/>
              <w:jc w:val="center"/>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 </w:t>
            </w:r>
          </w:p>
        </w:tc>
        <w:tc>
          <w:tcPr>
            <w:tcW w:w="3291"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79E9E5B9">
            <w:pPr>
              <w:keepNext w:val="0"/>
              <w:keepLines w:val="0"/>
              <w:pageBreakBefore w:val="0"/>
              <w:pBdr>
                <w:top w:val="none" w:color="000000" w:sz="0" w:space="0"/>
                <w:left w:val="none" w:color="000000" w:sz="0" w:space="0"/>
                <w:bottom w:val="none" w:color="000000" w:sz="0" w:space="0"/>
                <w:right w:val="none" w:color="000000" w:sz="0" w:space="0"/>
              </w:pBdr>
              <w:spacing w:beforeAutospacing="0" w:afterAutospacing="0" w:line="360" w:lineRule="auto"/>
              <w:jc w:val="center"/>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w:t>
            </w:r>
          </w:p>
        </w:tc>
        <w:tc>
          <w:tcPr>
            <w:tcW w:w="2852"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15A7A447">
            <w:pPr>
              <w:keepNext w:val="0"/>
              <w:keepLines w:val="0"/>
              <w:pageBreakBefore w:val="0"/>
              <w:pBdr>
                <w:top w:val="none" w:color="000000" w:sz="0" w:space="0"/>
                <w:left w:val="none" w:color="000000" w:sz="0" w:space="0"/>
                <w:bottom w:val="none" w:color="000000" w:sz="0" w:space="0"/>
                <w:right w:val="none" w:color="000000" w:sz="0" w:space="0"/>
              </w:pBdr>
              <w:spacing w:beforeAutospacing="0" w:afterAutospacing="0" w:line="360" w:lineRule="auto"/>
              <w:jc w:val="center"/>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 </w:t>
            </w:r>
          </w:p>
        </w:tc>
        <w:tc>
          <w:tcPr>
            <w:tcW w:w="1308"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5E88EF48">
            <w:pPr>
              <w:keepNext w:val="0"/>
              <w:keepLines w:val="0"/>
              <w:pageBreakBefore w:val="0"/>
              <w:pBdr>
                <w:top w:val="none" w:color="000000" w:sz="0" w:space="0"/>
                <w:left w:val="none" w:color="000000" w:sz="0" w:space="0"/>
                <w:bottom w:val="none" w:color="000000" w:sz="0" w:space="0"/>
                <w:right w:val="none" w:color="000000" w:sz="0" w:space="0"/>
              </w:pBdr>
              <w:spacing w:beforeAutospacing="0" w:afterAutospacing="0" w:line="360" w:lineRule="auto"/>
              <w:jc w:val="center"/>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 </w:t>
            </w:r>
          </w:p>
        </w:tc>
        <w:tc>
          <w:tcPr>
            <w:tcW w:w="1173"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67AD7516">
            <w:pPr>
              <w:keepNext w:val="0"/>
              <w:keepLines w:val="0"/>
              <w:pageBreakBefore w:val="0"/>
              <w:pBdr>
                <w:top w:val="none" w:color="000000" w:sz="0" w:space="0"/>
                <w:left w:val="none" w:color="000000" w:sz="0" w:space="0"/>
                <w:bottom w:val="none" w:color="000000" w:sz="0" w:space="0"/>
                <w:right w:val="none" w:color="000000" w:sz="0" w:space="0"/>
              </w:pBdr>
              <w:spacing w:beforeAutospacing="0" w:afterAutospacing="0" w:line="360" w:lineRule="auto"/>
              <w:jc w:val="center"/>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 </w:t>
            </w:r>
          </w:p>
        </w:tc>
      </w:tr>
    </w:tbl>
    <w:p w14:paraId="6FACF443">
      <w:pPr>
        <w:keepNext w:val="0"/>
        <w:keepLines w:val="0"/>
        <w:pageBreakBefore w:val="0"/>
        <w:pBdr>
          <w:top w:val="none" w:color="000000" w:sz="0" w:space="0"/>
          <w:left w:val="none" w:color="000000" w:sz="0" w:space="0"/>
          <w:bottom w:val="none" w:color="000000" w:sz="0" w:space="0"/>
          <w:right w:val="none" w:color="000000" w:sz="0" w:space="0"/>
        </w:pBdr>
        <w:spacing w:beforeAutospacing="0" w:afterAutospacing="0" w:line="360" w:lineRule="auto"/>
        <w:ind w:firstLine="480"/>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注： 行数不够，可自行添加。</w:t>
      </w:r>
    </w:p>
    <w:p w14:paraId="613A7786">
      <w:pPr>
        <w:keepNext w:val="0"/>
        <w:keepLines w:val="0"/>
        <w:pageBreakBefore w:val="0"/>
        <w:pBdr>
          <w:top w:val="none" w:color="000000" w:sz="0" w:space="0"/>
          <w:left w:val="none" w:color="000000" w:sz="0" w:space="0"/>
          <w:bottom w:val="none" w:color="000000" w:sz="0" w:space="0"/>
          <w:right w:val="none" w:color="000000" w:sz="0" w:space="0"/>
        </w:pBdr>
        <w:spacing w:beforeAutospacing="0" w:afterAutospacing="0" w:line="360" w:lineRule="auto"/>
        <w:ind w:firstLine="480"/>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 </w:t>
      </w:r>
    </w:p>
    <w:p w14:paraId="38D989E3">
      <w:pPr>
        <w:keepNext w:val="0"/>
        <w:keepLines w:val="0"/>
        <w:pageBreakBefore w:val="0"/>
        <w:pBdr>
          <w:top w:val="none" w:color="000000" w:sz="0" w:space="0"/>
          <w:left w:val="none" w:color="000000" w:sz="0" w:space="0"/>
          <w:bottom w:val="none" w:color="000000" w:sz="0" w:space="0"/>
          <w:right w:val="none" w:color="000000" w:sz="0" w:space="0"/>
        </w:pBdr>
        <w:spacing w:beforeAutospacing="0" w:afterAutospacing="0" w:line="360" w:lineRule="auto"/>
        <w:ind w:firstLine="480"/>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供应商（加盖CA电子公章）：</w:t>
      </w:r>
    </w:p>
    <w:p w14:paraId="1BE9403A">
      <w:pPr>
        <w:keepNext w:val="0"/>
        <w:keepLines w:val="0"/>
        <w:pageBreakBefore w:val="0"/>
        <w:pBdr>
          <w:top w:val="none" w:color="000000" w:sz="0" w:space="0"/>
          <w:left w:val="none" w:color="000000" w:sz="0" w:space="0"/>
          <w:bottom w:val="none" w:color="000000" w:sz="0" w:space="0"/>
          <w:right w:val="none" w:color="000000" w:sz="0" w:space="0"/>
        </w:pBdr>
        <w:spacing w:beforeAutospacing="0" w:afterAutospacing="0" w:line="360" w:lineRule="auto"/>
        <w:ind w:firstLine="480"/>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供应商授权代表（签字或盖章）：</w:t>
      </w:r>
    </w:p>
    <w:p w14:paraId="2A2C1B3B">
      <w:pPr>
        <w:keepNext w:val="0"/>
        <w:keepLines w:val="0"/>
        <w:pageBreakBefore w:val="0"/>
        <w:pBdr>
          <w:top w:val="none" w:color="000000" w:sz="0" w:space="0"/>
          <w:left w:val="none" w:color="000000" w:sz="0" w:space="0"/>
          <w:bottom w:val="none" w:color="000000" w:sz="0" w:space="0"/>
          <w:right w:val="none" w:color="000000" w:sz="0" w:space="0"/>
        </w:pBdr>
        <w:spacing w:beforeAutospacing="0" w:afterAutospacing="0" w:line="360" w:lineRule="auto"/>
        <w:ind w:firstLine="480"/>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日期：</w:t>
      </w:r>
    </w:p>
    <w:p w14:paraId="56787D32">
      <w:pPr>
        <w:keepNext w:val="0"/>
        <w:keepLines w:val="0"/>
        <w:pageBreakBefore w:val="0"/>
        <w:pBdr>
          <w:top w:val="none" w:color="000000" w:sz="0" w:space="0"/>
          <w:left w:val="none" w:color="000000" w:sz="0" w:space="0"/>
          <w:bottom w:val="none" w:color="000000" w:sz="0" w:space="0"/>
          <w:right w:val="none" w:color="000000" w:sz="0" w:space="0"/>
        </w:pBdr>
        <w:spacing w:beforeAutospacing="0" w:afterAutospacing="0" w:line="360" w:lineRule="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 </w:t>
      </w:r>
    </w:p>
    <w:p w14:paraId="2D304736">
      <w:pPr>
        <w:keepNext w:val="0"/>
        <w:keepLines w:val="0"/>
        <w:pageBreakBefore w:val="0"/>
        <w:pBdr>
          <w:top w:val="none" w:color="000000" w:sz="0" w:space="0"/>
          <w:left w:val="none" w:color="000000" w:sz="0" w:space="0"/>
          <w:bottom w:val="none" w:color="000000" w:sz="0" w:space="0"/>
          <w:right w:val="none" w:color="000000" w:sz="0" w:space="0"/>
        </w:pBdr>
        <w:spacing w:beforeAutospacing="0" w:afterAutospacing="0" w:line="360" w:lineRule="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 </w:t>
      </w:r>
    </w:p>
    <w:p w14:paraId="605DA757">
      <w:pPr>
        <w:keepNext w:val="0"/>
        <w:keepLines w:val="0"/>
        <w:pageBreakBefore w:val="0"/>
        <w:pBdr>
          <w:top w:val="none" w:color="000000" w:sz="0" w:space="0"/>
          <w:left w:val="none" w:color="000000" w:sz="0" w:space="0"/>
          <w:bottom w:val="none" w:color="000000" w:sz="0" w:space="0"/>
          <w:right w:val="none" w:color="000000" w:sz="0" w:space="0"/>
        </w:pBdr>
        <w:spacing w:beforeAutospacing="0" w:afterAutospacing="0" w:line="360" w:lineRule="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br w:type="page" w:clear="all"/>
      </w:r>
    </w:p>
    <w:p w14:paraId="61397FB8">
      <w:pPr>
        <w:keepNext w:val="0"/>
        <w:keepLines w:val="0"/>
        <w:pageBreakBefore w:val="0"/>
        <w:pBdr>
          <w:top w:val="none" w:color="000000" w:sz="0" w:space="0"/>
          <w:left w:val="none" w:color="000000" w:sz="0" w:space="0"/>
          <w:bottom w:val="none" w:color="000000" w:sz="0" w:space="0"/>
          <w:right w:val="none" w:color="000000" w:sz="0" w:space="0"/>
        </w:pBdr>
        <w:spacing w:beforeAutospacing="0" w:afterAutospacing="0" w:line="360" w:lineRule="auto"/>
        <w:rPr>
          <w:rFonts w:hint="default" w:ascii="Times New Roman" w:hAnsi="Times New Roman" w:cs="Times New Roman"/>
          <w:color w:val="auto"/>
          <w:highlight w:val="none"/>
        </w:rPr>
      </w:pPr>
      <w:r>
        <w:rPr>
          <w:rFonts w:hint="default" w:ascii="Times New Roman" w:hAnsi="Times New Roman" w:cs="Times New Roman"/>
          <w:color w:val="auto"/>
          <w:sz w:val="24"/>
          <w:highlight w:val="none"/>
        </w:rPr>
        <w:t>附件5： </w:t>
      </w:r>
    </w:p>
    <w:p w14:paraId="6010742A">
      <w:pPr>
        <w:pStyle w:val="6"/>
        <w:spacing w:line="360" w:lineRule="auto"/>
        <w:rPr>
          <w:rFonts w:hint="default" w:ascii="Times New Roman" w:hAnsi="Times New Roman" w:cs="Times New Roman"/>
          <w:color w:val="auto"/>
          <w:highlight w:val="none"/>
        </w:rPr>
      </w:pPr>
      <w:r>
        <w:rPr>
          <w:rFonts w:hint="default" w:ascii="Times New Roman" w:hAnsi="Times New Roman" w:cs="Times New Roman"/>
          <w:color w:val="auto"/>
          <w:highlight w:val="none"/>
        </w:rPr>
        <w:t>中小企业声明函（服务）</w:t>
      </w:r>
    </w:p>
    <w:p w14:paraId="4F5319FE">
      <w:pPr>
        <w:keepNext w:val="0"/>
        <w:keepLines w:val="0"/>
        <w:pageBreakBefore w:val="0"/>
        <w:pBdr>
          <w:top w:val="none" w:color="000000" w:sz="0" w:space="0"/>
          <w:left w:val="none" w:color="000000" w:sz="0" w:space="0"/>
          <w:bottom w:val="none" w:color="000000" w:sz="0" w:space="0"/>
          <w:right w:val="none" w:color="000000" w:sz="0" w:space="0"/>
        </w:pBdr>
        <w:spacing w:beforeAutospacing="0" w:afterAutospacing="0" w:line="360" w:lineRule="auto"/>
        <w:ind w:firstLine="720"/>
        <w:rPr>
          <w:rFonts w:hint="default" w:ascii="Times New Roman" w:hAnsi="Times New Roman" w:cs="Times New Roman"/>
          <w:color w:val="auto"/>
          <w:highlight w:val="none"/>
        </w:rPr>
      </w:pPr>
      <w:r>
        <w:rPr>
          <w:rFonts w:hint="default" w:ascii="Times New Roman" w:hAnsi="Times New Roman" w:cs="Times New Roman"/>
          <w:color w:val="auto"/>
          <w:sz w:val="24"/>
          <w:highlight w:val="none"/>
        </w:rPr>
        <w:t> </w:t>
      </w:r>
    </w:p>
    <w:p w14:paraId="3E169F37">
      <w:pPr>
        <w:keepNext w:val="0"/>
        <w:keepLines w:val="0"/>
        <w:pageBreakBefore w:val="0"/>
        <w:pBdr>
          <w:top w:val="none" w:color="000000" w:sz="0" w:space="0"/>
          <w:left w:val="none" w:color="000000" w:sz="0" w:space="0"/>
          <w:bottom w:val="none" w:color="000000" w:sz="0" w:space="0"/>
          <w:right w:val="none" w:color="000000" w:sz="0" w:space="0"/>
        </w:pBdr>
        <w:spacing w:beforeAutospacing="0" w:afterAutospacing="0" w:line="360" w:lineRule="auto"/>
        <w:ind w:firstLine="720"/>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本公司（联合体）郑重声明，根据《政府采购促进中小企业发展管理办法》（财库﹝2020﹞46号）的规定，本公司参加</w:t>
      </w:r>
      <w:r>
        <w:rPr>
          <w:rFonts w:hint="default" w:ascii="Times New Roman" w:hAnsi="Times New Roman" w:cs="Times New Roman"/>
          <w:color w:val="auto"/>
          <w:sz w:val="21"/>
          <w:szCs w:val="21"/>
          <w:highlight w:val="none"/>
          <w:u w:val="single"/>
        </w:rPr>
        <w:t>（单位名称）</w:t>
      </w:r>
      <w:r>
        <w:rPr>
          <w:rFonts w:hint="default" w:ascii="Times New Roman" w:hAnsi="Times New Roman" w:cs="Times New Roman"/>
          <w:color w:val="auto"/>
          <w:sz w:val="21"/>
          <w:szCs w:val="21"/>
          <w:highlight w:val="none"/>
        </w:rPr>
        <w:t>的</w:t>
      </w:r>
      <w:r>
        <w:rPr>
          <w:rFonts w:hint="default" w:ascii="Times New Roman" w:hAnsi="Times New Roman" w:cs="Times New Roman"/>
          <w:color w:val="auto"/>
          <w:sz w:val="21"/>
          <w:szCs w:val="21"/>
          <w:highlight w:val="none"/>
          <w:u w:val="single"/>
        </w:rPr>
        <w:t>（项目名称）</w:t>
      </w:r>
      <w:r>
        <w:rPr>
          <w:rFonts w:hint="default" w:ascii="Times New Roman" w:hAnsi="Times New Roman" w:cs="Times New Roman"/>
          <w:color w:val="auto"/>
          <w:sz w:val="21"/>
          <w:szCs w:val="21"/>
          <w:highlight w:val="none"/>
        </w:rPr>
        <w:t>采购活动，工程的施工单位全部为符合政策要求的中小企业（或者：服务全部由符合政策要求的中小企业承接）。相关企业（含联合体中的中小企业、签订分包意向协议的中小企业）的具体情况如下：</w:t>
      </w:r>
    </w:p>
    <w:p w14:paraId="61613137">
      <w:pPr>
        <w:keepNext w:val="0"/>
        <w:keepLines w:val="0"/>
        <w:pageBreakBefore w:val="0"/>
        <w:pBdr>
          <w:top w:val="none" w:color="000000" w:sz="0" w:space="0"/>
          <w:left w:val="none" w:color="000000" w:sz="0" w:space="0"/>
          <w:bottom w:val="none" w:color="000000" w:sz="0" w:space="0"/>
          <w:right w:val="none" w:color="000000" w:sz="0" w:space="0"/>
        </w:pBdr>
        <w:spacing w:beforeAutospacing="0" w:afterAutospacing="0" w:line="360" w:lineRule="auto"/>
        <w:ind w:firstLine="480"/>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1.</w:t>
      </w:r>
      <w:r>
        <w:rPr>
          <w:rFonts w:hint="default" w:ascii="Times New Roman" w:hAnsi="Times New Roman" w:cs="Times New Roman"/>
          <w:color w:val="auto"/>
          <w:sz w:val="21"/>
          <w:szCs w:val="21"/>
          <w:highlight w:val="none"/>
          <w:u w:val="single"/>
        </w:rPr>
        <w:t>（标的名称）</w:t>
      </w:r>
      <w:r>
        <w:rPr>
          <w:rFonts w:hint="default" w:ascii="Times New Roman" w:hAnsi="Times New Roman" w:cs="Times New Roman"/>
          <w:color w:val="auto"/>
          <w:sz w:val="21"/>
          <w:szCs w:val="21"/>
          <w:highlight w:val="none"/>
        </w:rPr>
        <w:t> ，属于</w:t>
      </w:r>
      <w:r>
        <w:rPr>
          <w:rFonts w:hint="default" w:ascii="Times New Roman" w:hAnsi="Times New Roman" w:cs="Times New Roman"/>
          <w:color w:val="auto"/>
          <w:sz w:val="21"/>
          <w:szCs w:val="21"/>
          <w:highlight w:val="none"/>
          <w:u w:val="single"/>
        </w:rPr>
        <w:t>（其他未列明行业）</w:t>
      </w:r>
      <w:r>
        <w:rPr>
          <w:rFonts w:hint="default" w:ascii="Times New Roman" w:hAnsi="Times New Roman" w:cs="Times New Roman"/>
          <w:color w:val="auto"/>
          <w:sz w:val="21"/>
          <w:szCs w:val="21"/>
          <w:highlight w:val="none"/>
        </w:rPr>
        <w:t>；承建（承接）企业为</w:t>
      </w:r>
      <w:r>
        <w:rPr>
          <w:rFonts w:hint="default" w:ascii="Times New Roman" w:hAnsi="Times New Roman" w:cs="Times New Roman"/>
          <w:color w:val="auto"/>
          <w:sz w:val="21"/>
          <w:szCs w:val="21"/>
          <w:highlight w:val="none"/>
          <w:u w:val="single"/>
        </w:rPr>
        <w:t>（企业名称）</w:t>
      </w:r>
      <w:r>
        <w:rPr>
          <w:rFonts w:hint="default" w:ascii="Times New Roman" w:hAnsi="Times New Roman" w:cs="Times New Roman"/>
          <w:color w:val="auto"/>
          <w:sz w:val="21"/>
          <w:szCs w:val="21"/>
          <w:highlight w:val="none"/>
        </w:rPr>
        <w:t>，从业人员</w:t>
      </w:r>
      <w:r>
        <w:rPr>
          <w:rFonts w:hint="default" w:ascii="Times New Roman" w:hAnsi="Times New Roman" w:cs="Times New Roman"/>
          <w:color w:val="auto"/>
          <w:sz w:val="21"/>
          <w:szCs w:val="21"/>
          <w:highlight w:val="none"/>
          <w:u w:val="single"/>
        </w:rPr>
        <w:t>   </w:t>
      </w:r>
      <w:r>
        <w:rPr>
          <w:rFonts w:hint="default" w:ascii="Times New Roman" w:hAnsi="Times New Roman" w:cs="Times New Roman"/>
          <w:color w:val="auto"/>
          <w:sz w:val="21"/>
          <w:szCs w:val="21"/>
          <w:highlight w:val="none"/>
        </w:rPr>
        <w:t>人，营业收入为</w:t>
      </w:r>
      <w:r>
        <w:rPr>
          <w:rFonts w:hint="default" w:ascii="Times New Roman" w:hAnsi="Times New Roman" w:cs="Times New Roman"/>
          <w:color w:val="auto"/>
          <w:sz w:val="21"/>
          <w:szCs w:val="21"/>
          <w:highlight w:val="none"/>
          <w:u w:val="single"/>
        </w:rPr>
        <w:t>   </w:t>
      </w:r>
      <w:r>
        <w:rPr>
          <w:rFonts w:hint="default" w:ascii="Times New Roman" w:hAnsi="Times New Roman" w:cs="Times New Roman"/>
          <w:color w:val="auto"/>
          <w:sz w:val="21"/>
          <w:szCs w:val="21"/>
          <w:highlight w:val="none"/>
        </w:rPr>
        <w:t>万元，资产总额为</w:t>
      </w:r>
      <w:r>
        <w:rPr>
          <w:rFonts w:hint="default" w:ascii="Times New Roman" w:hAnsi="Times New Roman" w:cs="Times New Roman"/>
          <w:color w:val="auto"/>
          <w:sz w:val="21"/>
          <w:szCs w:val="21"/>
          <w:highlight w:val="none"/>
          <w:u w:val="single"/>
        </w:rPr>
        <w:t>   </w:t>
      </w:r>
      <w:r>
        <w:rPr>
          <w:rFonts w:hint="default" w:ascii="Times New Roman" w:hAnsi="Times New Roman" w:cs="Times New Roman"/>
          <w:color w:val="auto"/>
          <w:sz w:val="21"/>
          <w:szCs w:val="21"/>
          <w:highlight w:val="none"/>
        </w:rPr>
        <w:t>万元，属于</w:t>
      </w:r>
      <w:r>
        <w:rPr>
          <w:rFonts w:hint="default" w:ascii="Times New Roman" w:hAnsi="Times New Roman" w:cs="Times New Roman"/>
          <w:color w:val="auto"/>
          <w:sz w:val="21"/>
          <w:szCs w:val="21"/>
          <w:highlight w:val="none"/>
          <w:u w:val="single"/>
        </w:rPr>
        <w:t>（中型企业、小型企业、微型企业）</w:t>
      </w:r>
      <w:r>
        <w:rPr>
          <w:rFonts w:hint="default" w:ascii="Times New Roman" w:hAnsi="Times New Roman" w:cs="Times New Roman"/>
          <w:color w:val="auto"/>
          <w:sz w:val="21"/>
          <w:szCs w:val="21"/>
          <w:highlight w:val="none"/>
        </w:rPr>
        <w:t>；</w:t>
      </w:r>
    </w:p>
    <w:p w14:paraId="12B25FE3">
      <w:pPr>
        <w:keepNext w:val="0"/>
        <w:keepLines w:val="0"/>
        <w:pageBreakBefore w:val="0"/>
        <w:pBdr>
          <w:top w:val="none" w:color="000000" w:sz="0" w:space="0"/>
          <w:left w:val="none" w:color="000000" w:sz="0" w:space="0"/>
          <w:bottom w:val="none" w:color="000000" w:sz="0" w:space="0"/>
          <w:right w:val="none" w:color="000000" w:sz="0" w:space="0"/>
        </w:pBdr>
        <w:spacing w:beforeAutospacing="0" w:afterAutospacing="0" w:line="360" w:lineRule="auto"/>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w:t>
      </w:r>
    </w:p>
    <w:p w14:paraId="6A88FEFB">
      <w:pPr>
        <w:keepNext w:val="0"/>
        <w:keepLines w:val="0"/>
        <w:pageBreakBefore w:val="0"/>
        <w:pBdr>
          <w:top w:val="none" w:color="000000" w:sz="0" w:space="0"/>
          <w:left w:val="none" w:color="000000" w:sz="0" w:space="0"/>
          <w:bottom w:val="none" w:color="000000" w:sz="0" w:space="0"/>
          <w:right w:val="none" w:color="000000" w:sz="0" w:space="0"/>
        </w:pBdr>
        <w:spacing w:beforeAutospacing="0" w:afterAutospacing="0" w:line="360" w:lineRule="auto"/>
        <w:ind w:firstLine="480"/>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以上企业，不属于大企业的分支机构，不存在控股股东为大企业的情形，也不存在与大企业的负责人为同一人的情形。</w:t>
      </w:r>
    </w:p>
    <w:p w14:paraId="4725B73F">
      <w:pPr>
        <w:keepNext w:val="0"/>
        <w:keepLines w:val="0"/>
        <w:pageBreakBefore w:val="0"/>
        <w:pBdr>
          <w:top w:val="none" w:color="000000" w:sz="0" w:space="0"/>
          <w:left w:val="none" w:color="000000" w:sz="0" w:space="0"/>
          <w:bottom w:val="none" w:color="000000" w:sz="0" w:space="0"/>
          <w:right w:val="none" w:color="000000" w:sz="0" w:space="0"/>
        </w:pBdr>
        <w:spacing w:beforeAutospacing="0" w:afterAutospacing="0" w:line="360" w:lineRule="auto"/>
        <w:ind w:firstLine="480"/>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本企业对上述声明内容的真实性负责。如有虚假，将依法承担相应责任。</w:t>
      </w:r>
    </w:p>
    <w:p w14:paraId="2B0F02EB">
      <w:pPr>
        <w:keepNext w:val="0"/>
        <w:keepLines w:val="0"/>
        <w:pageBreakBefore w:val="0"/>
        <w:pBdr>
          <w:top w:val="none" w:color="000000" w:sz="0" w:space="0"/>
          <w:left w:val="none" w:color="000000" w:sz="0" w:space="0"/>
          <w:bottom w:val="none" w:color="000000" w:sz="0" w:space="0"/>
          <w:right w:val="none" w:color="000000" w:sz="0" w:space="0"/>
        </w:pBdr>
        <w:spacing w:beforeAutospacing="0" w:afterAutospacing="0" w:line="360" w:lineRule="auto"/>
        <w:ind w:firstLine="4800"/>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 </w:t>
      </w:r>
    </w:p>
    <w:p w14:paraId="00214CC4">
      <w:pPr>
        <w:keepNext w:val="0"/>
        <w:keepLines w:val="0"/>
        <w:pageBreakBefore w:val="0"/>
        <w:pBdr>
          <w:top w:val="none" w:color="000000" w:sz="0" w:space="0"/>
          <w:left w:val="none" w:color="000000" w:sz="0" w:space="0"/>
          <w:bottom w:val="none" w:color="000000" w:sz="0" w:space="0"/>
          <w:right w:val="none" w:color="000000" w:sz="0" w:space="0"/>
        </w:pBdr>
        <w:spacing w:beforeAutospacing="0" w:afterAutospacing="0" w:line="360" w:lineRule="auto"/>
        <w:ind w:firstLine="4800"/>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企业名称：</w:t>
      </w:r>
      <w:r>
        <w:rPr>
          <w:rFonts w:hint="default" w:ascii="Times New Roman" w:hAnsi="Times New Roman" w:cs="Times New Roman"/>
          <w:color w:val="auto"/>
          <w:sz w:val="21"/>
          <w:szCs w:val="21"/>
          <w:highlight w:val="none"/>
          <w:u w:val="single"/>
        </w:rPr>
        <w:t>       </w:t>
      </w:r>
      <w:r>
        <w:rPr>
          <w:rFonts w:hint="default" w:ascii="Times New Roman" w:hAnsi="Times New Roman" w:cs="Times New Roman"/>
          <w:color w:val="auto"/>
          <w:sz w:val="21"/>
          <w:szCs w:val="21"/>
          <w:highlight w:val="none"/>
        </w:rPr>
        <w:t>（加盖CA电子公章）</w:t>
      </w:r>
    </w:p>
    <w:p w14:paraId="3D45672A">
      <w:pPr>
        <w:keepNext w:val="0"/>
        <w:keepLines w:val="0"/>
        <w:pageBreakBefore w:val="0"/>
        <w:pBdr>
          <w:top w:val="none" w:color="000000" w:sz="0" w:space="0"/>
          <w:left w:val="none" w:color="000000" w:sz="0" w:space="0"/>
          <w:bottom w:val="none" w:color="000000" w:sz="0" w:space="0"/>
          <w:right w:val="none" w:color="000000" w:sz="0" w:space="0"/>
        </w:pBdr>
        <w:spacing w:beforeAutospacing="0" w:afterAutospacing="0" w:line="360" w:lineRule="auto"/>
        <w:jc w:val="center"/>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          日期：</w:t>
      </w:r>
    </w:p>
    <w:p w14:paraId="1C279502">
      <w:pPr>
        <w:keepNext w:val="0"/>
        <w:keepLines w:val="0"/>
        <w:pageBreakBefore w:val="0"/>
        <w:pBdr>
          <w:top w:val="none" w:color="000000" w:sz="0" w:space="0"/>
          <w:left w:val="none" w:color="000000" w:sz="0" w:space="0"/>
          <w:bottom w:val="none" w:color="000000" w:sz="0" w:space="0"/>
          <w:right w:val="none" w:color="000000" w:sz="0" w:space="0"/>
        </w:pBdr>
        <w:spacing w:beforeAutospacing="0" w:afterAutospacing="0" w:line="360" w:lineRule="auto"/>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注：（1）中小企业划型标准详见《工业和信息化部、国家统计局、国家发展和改革委员会、财政部关于印发中小企业划型标准规定的通知》工信部联企业〔2011〕300号。</w:t>
      </w:r>
    </w:p>
    <w:p w14:paraId="183C52B6">
      <w:pPr>
        <w:keepNext w:val="0"/>
        <w:keepLines w:val="0"/>
        <w:pageBreakBefore w:val="0"/>
        <w:pBdr>
          <w:top w:val="none" w:color="000000" w:sz="0" w:space="0"/>
          <w:left w:val="none" w:color="000000" w:sz="0" w:space="0"/>
          <w:bottom w:val="none" w:color="000000" w:sz="0" w:space="0"/>
          <w:right w:val="none" w:color="000000" w:sz="0" w:space="0"/>
        </w:pBdr>
        <w:spacing w:beforeAutospacing="0" w:afterAutospacing="0" w:line="360" w:lineRule="auto"/>
        <w:ind w:firstLine="240"/>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（2）从业人员、营业收入、资产总额填报上一年度数据，无上一年度数据的新成立企业可不填报。</w:t>
      </w:r>
    </w:p>
    <w:p w14:paraId="3A8CD052">
      <w:pPr>
        <w:keepNext w:val="0"/>
        <w:keepLines w:val="0"/>
        <w:pageBreakBefore w:val="0"/>
        <w:pBdr>
          <w:top w:val="none" w:color="000000" w:sz="0" w:space="0"/>
          <w:left w:val="none" w:color="000000" w:sz="0" w:space="0"/>
          <w:bottom w:val="none" w:color="000000" w:sz="0" w:space="0"/>
          <w:right w:val="none" w:color="000000" w:sz="0" w:space="0"/>
        </w:pBdr>
        <w:spacing w:beforeAutospacing="0" w:afterAutospacing="0" w:line="360" w:lineRule="auto"/>
        <w:rPr>
          <w:rFonts w:hint="default" w:ascii="Times New Roman" w:hAnsi="Times New Roman" w:cs="Times New Roman"/>
          <w:color w:val="auto"/>
          <w:highlight w:val="none"/>
        </w:rPr>
      </w:pPr>
      <w:r>
        <w:rPr>
          <w:rFonts w:hint="default" w:ascii="Times New Roman" w:hAnsi="Times New Roman" w:cs="Times New Roman"/>
          <w:color w:val="auto"/>
          <w:sz w:val="24"/>
          <w:highlight w:val="none"/>
        </w:rPr>
        <w:t> </w:t>
      </w:r>
    </w:p>
    <w:p w14:paraId="13DFC597">
      <w:pPr>
        <w:keepNext w:val="0"/>
        <w:keepLines w:val="0"/>
        <w:pageBreakBefore w:val="0"/>
        <w:pBdr>
          <w:top w:val="none" w:color="000000" w:sz="0" w:space="0"/>
          <w:left w:val="none" w:color="000000" w:sz="0" w:space="0"/>
          <w:bottom w:val="none" w:color="000000" w:sz="0" w:space="0"/>
          <w:right w:val="none" w:color="000000" w:sz="0" w:space="0"/>
        </w:pBdr>
        <w:spacing w:beforeAutospacing="0" w:afterAutospacing="0" w:line="360" w:lineRule="auto"/>
        <w:rPr>
          <w:rFonts w:hint="default" w:ascii="Times New Roman" w:hAnsi="Times New Roman" w:cs="Times New Roman"/>
          <w:color w:val="auto"/>
          <w:highlight w:val="none"/>
        </w:rPr>
      </w:pPr>
      <w:r>
        <w:rPr>
          <w:rFonts w:hint="default" w:ascii="Times New Roman" w:hAnsi="Times New Roman" w:cs="Times New Roman"/>
          <w:color w:val="auto"/>
          <w:highlight w:val="none"/>
        </w:rPr>
        <w:br w:type="page" w:clear="all"/>
      </w:r>
    </w:p>
    <w:p w14:paraId="4CF1BAC2">
      <w:pPr>
        <w:keepNext w:val="0"/>
        <w:keepLines w:val="0"/>
        <w:pageBreakBefore w:val="0"/>
        <w:pBdr>
          <w:top w:val="none" w:color="000000" w:sz="0" w:space="0"/>
          <w:left w:val="none" w:color="000000" w:sz="0" w:space="0"/>
          <w:bottom w:val="none" w:color="000000" w:sz="0" w:space="0"/>
          <w:right w:val="none" w:color="000000" w:sz="0" w:space="0"/>
        </w:pBdr>
        <w:spacing w:beforeAutospacing="0" w:afterAutospacing="0" w:line="360" w:lineRule="auto"/>
        <w:rPr>
          <w:rFonts w:hint="default" w:ascii="Times New Roman" w:hAnsi="Times New Roman" w:cs="Times New Roman"/>
          <w:color w:val="auto"/>
          <w:highlight w:val="none"/>
        </w:rPr>
      </w:pPr>
      <w:r>
        <w:rPr>
          <w:rFonts w:hint="default" w:ascii="Times New Roman" w:hAnsi="Times New Roman" w:cs="Times New Roman"/>
          <w:color w:val="auto"/>
          <w:sz w:val="24"/>
          <w:highlight w:val="none"/>
        </w:rPr>
        <w:t>附件6：</w:t>
      </w:r>
    </w:p>
    <w:p w14:paraId="4A4A5C55">
      <w:pPr>
        <w:pStyle w:val="6"/>
        <w:spacing w:line="360" w:lineRule="auto"/>
        <w:rPr>
          <w:rFonts w:hint="default" w:ascii="Times New Roman" w:hAnsi="Times New Roman" w:cs="Times New Roman"/>
          <w:color w:val="auto"/>
          <w:highlight w:val="none"/>
        </w:rPr>
      </w:pPr>
      <w:r>
        <w:rPr>
          <w:rFonts w:hint="default" w:ascii="Times New Roman" w:hAnsi="Times New Roman" w:cs="Times New Roman"/>
          <w:color w:val="auto"/>
          <w:highlight w:val="none"/>
        </w:rPr>
        <w:t>残疾人福利性单位声明函</w:t>
      </w:r>
    </w:p>
    <w:p w14:paraId="368C3CDA">
      <w:pPr>
        <w:keepNext w:val="0"/>
        <w:keepLines w:val="0"/>
        <w:pageBreakBefore w:val="0"/>
        <w:pBdr>
          <w:top w:val="none" w:color="000000" w:sz="0" w:space="0"/>
          <w:left w:val="none" w:color="000000" w:sz="0" w:space="0"/>
          <w:bottom w:val="none" w:color="000000" w:sz="0" w:space="0"/>
          <w:right w:val="none" w:color="000000" w:sz="0" w:space="0"/>
        </w:pBdr>
        <w:spacing w:beforeAutospacing="0" w:afterAutospacing="0" w:line="360" w:lineRule="auto"/>
        <w:ind w:firstLine="480"/>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本单位郑重声明，根据《财政部民政部中国残疾人联合会关于促进残疾人就业政府采购政策的通知》（财库〔2017〕141号）的规定，本单位</w:t>
      </w:r>
      <w:r>
        <w:rPr>
          <w:rFonts w:hint="default" w:ascii="Times New Roman" w:hAnsi="Times New Roman" w:cs="Times New Roman"/>
          <w:color w:val="auto"/>
          <w:sz w:val="21"/>
          <w:szCs w:val="21"/>
          <w:highlight w:val="none"/>
          <w:u w:val="single"/>
        </w:rPr>
        <w:t> 是/否 </w:t>
      </w:r>
      <w:r>
        <w:rPr>
          <w:rFonts w:hint="default" w:ascii="Times New Roman" w:hAnsi="Times New Roman" w:cs="Times New Roman"/>
          <w:color w:val="auto"/>
          <w:sz w:val="21"/>
          <w:szCs w:val="21"/>
          <w:highlight w:val="none"/>
        </w:rPr>
        <w:t>为符合条件的残疾人福利性单位，且本单位参加______单位的采购文件编号为______的</w:t>
      </w:r>
      <w:r>
        <w:rPr>
          <w:rFonts w:hint="default" w:ascii="Times New Roman" w:hAnsi="Times New Roman" w:cs="Times New Roman"/>
          <w:color w:val="auto"/>
          <w:sz w:val="21"/>
          <w:szCs w:val="21"/>
          <w:highlight w:val="none"/>
          <w:u w:val="single"/>
        </w:rPr>
        <w:t>      </w:t>
      </w:r>
      <w:r>
        <w:rPr>
          <w:rFonts w:hint="default" w:ascii="Times New Roman" w:hAnsi="Times New Roman" w:cs="Times New Roman"/>
          <w:color w:val="auto"/>
          <w:sz w:val="21"/>
          <w:szCs w:val="21"/>
          <w:highlight w:val="none"/>
        </w:rPr>
        <w:t>项目</w:t>
      </w:r>
      <w:r>
        <w:rPr>
          <w:rFonts w:hint="default" w:ascii="Times New Roman" w:hAnsi="Times New Roman" w:cs="Times New Roman"/>
          <w:color w:val="auto"/>
          <w:sz w:val="21"/>
          <w:szCs w:val="21"/>
          <w:highlight w:val="none"/>
          <w:lang w:eastAsia="zh-CN"/>
        </w:rPr>
        <w:t>，</w:t>
      </w:r>
      <w:r>
        <w:rPr>
          <w:rFonts w:hint="default" w:ascii="Times New Roman" w:hAnsi="Times New Roman" w:cs="Times New Roman"/>
          <w:color w:val="auto"/>
          <w:sz w:val="21"/>
          <w:szCs w:val="21"/>
          <w:highlight w:val="none"/>
        </w:rPr>
        <w:t>由本单位提供服务。</w:t>
      </w:r>
    </w:p>
    <w:p w14:paraId="2FCB79AD">
      <w:pPr>
        <w:keepNext w:val="0"/>
        <w:keepLines w:val="0"/>
        <w:pageBreakBefore w:val="0"/>
        <w:pBdr>
          <w:top w:val="none" w:color="000000" w:sz="0" w:space="0"/>
          <w:left w:val="none" w:color="000000" w:sz="0" w:space="0"/>
          <w:bottom w:val="none" w:color="000000" w:sz="0" w:space="0"/>
          <w:right w:val="none" w:color="000000" w:sz="0" w:space="0"/>
        </w:pBdr>
        <w:spacing w:beforeAutospacing="0" w:afterAutospacing="0" w:line="360" w:lineRule="auto"/>
        <w:ind w:firstLine="480"/>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本单位对上述声明的真实性负责。如有虚假，将依法承担相应责任。</w:t>
      </w:r>
    </w:p>
    <w:p w14:paraId="22177023">
      <w:pPr>
        <w:keepNext w:val="0"/>
        <w:keepLines w:val="0"/>
        <w:pageBreakBefore w:val="0"/>
        <w:pBdr>
          <w:top w:val="none" w:color="000000" w:sz="0" w:space="0"/>
          <w:left w:val="none" w:color="000000" w:sz="0" w:space="0"/>
          <w:bottom w:val="none" w:color="000000" w:sz="0" w:space="0"/>
          <w:right w:val="none" w:color="000000" w:sz="0" w:space="0"/>
        </w:pBdr>
        <w:spacing w:beforeAutospacing="0" w:afterAutospacing="0" w:line="360" w:lineRule="auto"/>
        <w:ind w:firstLine="480"/>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 </w:t>
      </w:r>
    </w:p>
    <w:p w14:paraId="4A4914D5">
      <w:pPr>
        <w:keepNext w:val="0"/>
        <w:keepLines w:val="0"/>
        <w:pageBreakBefore w:val="0"/>
        <w:pBdr>
          <w:top w:val="none" w:color="000000" w:sz="0" w:space="0"/>
          <w:left w:val="none" w:color="000000" w:sz="0" w:space="0"/>
          <w:bottom w:val="none" w:color="000000" w:sz="0" w:space="0"/>
          <w:right w:val="none" w:color="000000" w:sz="0" w:space="0"/>
        </w:pBdr>
        <w:spacing w:beforeAutospacing="0" w:afterAutospacing="0" w:line="360" w:lineRule="auto"/>
        <w:ind w:firstLine="624"/>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 </w:t>
      </w:r>
    </w:p>
    <w:p w14:paraId="697124F3">
      <w:pPr>
        <w:keepNext w:val="0"/>
        <w:keepLines w:val="0"/>
        <w:pageBreakBefore w:val="0"/>
        <w:pBdr>
          <w:top w:val="none" w:color="000000" w:sz="0" w:space="0"/>
          <w:left w:val="none" w:color="000000" w:sz="0" w:space="0"/>
          <w:bottom w:val="none" w:color="000000" w:sz="0" w:space="0"/>
          <w:right w:val="none" w:color="000000" w:sz="0" w:space="0"/>
        </w:pBdr>
        <w:spacing w:beforeAutospacing="0" w:afterAutospacing="0" w:line="360" w:lineRule="auto"/>
        <w:ind w:right="1560" w:firstLine="624"/>
        <w:jc w:val="center"/>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               供应商全称（加盖CA电子公章）：</w:t>
      </w:r>
    </w:p>
    <w:p w14:paraId="19E56658">
      <w:pPr>
        <w:keepNext w:val="0"/>
        <w:keepLines w:val="0"/>
        <w:pageBreakBefore w:val="0"/>
        <w:pBdr>
          <w:top w:val="none" w:color="000000" w:sz="0" w:space="0"/>
          <w:left w:val="none" w:color="000000" w:sz="0" w:space="0"/>
          <w:bottom w:val="none" w:color="000000" w:sz="0" w:space="0"/>
          <w:right w:val="none" w:color="000000" w:sz="0" w:space="0"/>
        </w:pBdr>
        <w:spacing w:beforeAutospacing="0" w:afterAutospacing="0" w:line="360" w:lineRule="auto"/>
        <w:ind w:right="1560" w:firstLine="480"/>
        <w:jc w:val="center"/>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       日 期：</w:t>
      </w:r>
    </w:p>
    <w:p w14:paraId="23D6DD8B">
      <w:pPr>
        <w:keepNext w:val="0"/>
        <w:keepLines w:val="0"/>
        <w:pageBreakBefore w:val="0"/>
        <w:pBdr>
          <w:top w:val="none" w:color="000000" w:sz="0" w:space="0"/>
          <w:left w:val="none" w:color="000000" w:sz="0" w:space="0"/>
          <w:bottom w:val="none" w:color="000000" w:sz="0" w:space="0"/>
          <w:right w:val="none" w:color="000000" w:sz="0" w:space="0"/>
        </w:pBdr>
        <w:spacing w:beforeAutospacing="0" w:afterAutospacing="0" w:line="360" w:lineRule="auto"/>
        <w:rPr>
          <w:rFonts w:hint="default" w:ascii="Times New Roman" w:hAnsi="Times New Roman" w:cs="Times New Roman"/>
          <w:color w:val="auto"/>
          <w:highlight w:val="none"/>
        </w:rPr>
      </w:pPr>
      <w:r>
        <w:rPr>
          <w:rFonts w:hint="default" w:ascii="Times New Roman" w:hAnsi="Times New Roman" w:cs="Times New Roman"/>
          <w:color w:val="auto"/>
          <w:highlight w:val="none"/>
        </w:rPr>
        <w:t> </w:t>
      </w:r>
    </w:p>
    <w:p w14:paraId="4057F10F">
      <w:pPr>
        <w:keepNext w:val="0"/>
        <w:keepLines w:val="0"/>
        <w:pageBreakBefore w:val="0"/>
        <w:pBdr>
          <w:top w:val="none" w:color="000000" w:sz="0" w:space="0"/>
          <w:left w:val="none" w:color="000000" w:sz="0" w:space="0"/>
          <w:bottom w:val="none" w:color="000000" w:sz="0" w:space="0"/>
          <w:right w:val="none" w:color="000000" w:sz="0" w:space="0"/>
        </w:pBdr>
        <w:spacing w:beforeAutospacing="0" w:afterAutospacing="0" w:line="360" w:lineRule="auto"/>
        <w:rPr>
          <w:rFonts w:hint="default" w:ascii="Times New Roman" w:hAnsi="Times New Roman" w:cs="Times New Roman"/>
          <w:color w:val="auto"/>
          <w:highlight w:val="none"/>
        </w:rPr>
      </w:pPr>
      <w:r>
        <w:rPr>
          <w:rFonts w:hint="default" w:ascii="Times New Roman" w:hAnsi="Times New Roman" w:cs="Times New Roman"/>
          <w:color w:val="auto"/>
          <w:highlight w:val="none"/>
        </w:rPr>
        <w:t> </w:t>
      </w:r>
    </w:p>
    <w:p w14:paraId="67DB756E">
      <w:pPr>
        <w:keepNext w:val="0"/>
        <w:keepLines w:val="0"/>
        <w:pageBreakBefore w:val="0"/>
        <w:pBdr>
          <w:top w:val="none" w:color="000000" w:sz="0" w:space="0"/>
          <w:left w:val="none" w:color="000000" w:sz="0" w:space="0"/>
          <w:bottom w:val="none" w:color="000000" w:sz="0" w:space="0"/>
          <w:right w:val="none" w:color="000000" w:sz="0" w:space="0"/>
        </w:pBdr>
        <w:spacing w:beforeAutospacing="0" w:afterAutospacing="0" w:line="360" w:lineRule="auto"/>
        <w:rPr>
          <w:rFonts w:hint="default" w:ascii="Times New Roman" w:hAnsi="Times New Roman" w:cs="Times New Roman"/>
          <w:color w:val="auto"/>
          <w:highlight w:val="none"/>
        </w:rPr>
      </w:pPr>
      <w:r>
        <w:rPr>
          <w:rFonts w:hint="default" w:ascii="Times New Roman" w:hAnsi="Times New Roman" w:cs="Times New Roman"/>
          <w:color w:val="auto"/>
          <w:sz w:val="24"/>
          <w:highlight w:val="none"/>
        </w:rPr>
        <w:t> </w:t>
      </w:r>
    </w:p>
    <w:p w14:paraId="7752B8CB">
      <w:pPr>
        <w:keepNext w:val="0"/>
        <w:keepLines w:val="0"/>
        <w:pageBreakBefore w:val="0"/>
        <w:pBdr>
          <w:top w:val="none" w:color="000000" w:sz="0" w:space="0"/>
          <w:left w:val="none" w:color="000000" w:sz="0" w:space="0"/>
          <w:bottom w:val="none" w:color="000000" w:sz="0" w:space="0"/>
          <w:right w:val="none" w:color="000000" w:sz="0" w:space="0"/>
        </w:pBdr>
        <w:spacing w:beforeAutospacing="0" w:afterAutospacing="0" w:line="360" w:lineRule="auto"/>
        <w:rPr>
          <w:rFonts w:hint="default" w:ascii="Times New Roman" w:hAnsi="Times New Roman" w:cs="Times New Roman"/>
          <w:color w:val="auto"/>
          <w:highlight w:val="none"/>
        </w:rPr>
      </w:pPr>
      <w:r>
        <w:rPr>
          <w:rFonts w:hint="default" w:ascii="Times New Roman" w:hAnsi="Times New Roman" w:cs="Times New Roman"/>
          <w:color w:val="auto"/>
          <w:sz w:val="24"/>
          <w:highlight w:val="none"/>
        </w:rPr>
        <w:t> </w:t>
      </w:r>
    </w:p>
    <w:p w14:paraId="68B79323">
      <w:pPr>
        <w:keepNext w:val="0"/>
        <w:keepLines w:val="0"/>
        <w:pageBreakBefore w:val="0"/>
        <w:pBdr>
          <w:top w:val="none" w:color="000000" w:sz="0" w:space="0"/>
          <w:left w:val="none" w:color="000000" w:sz="0" w:space="0"/>
          <w:bottom w:val="none" w:color="000000" w:sz="0" w:space="0"/>
          <w:right w:val="none" w:color="000000" w:sz="0" w:space="0"/>
        </w:pBdr>
        <w:spacing w:beforeAutospacing="0" w:afterAutospacing="0" w:line="360" w:lineRule="auto"/>
        <w:rPr>
          <w:rFonts w:hint="default" w:ascii="Times New Roman" w:hAnsi="Times New Roman" w:cs="Times New Roman"/>
          <w:color w:val="auto"/>
          <w:sz w:val="21"/>
          <w:szCs w:val="21"/>
          <w:highlight w:val="none"/>
          <w14:ligatures w14:val="none"/>
        </w:rPr>
      </w:pPr>
      <w:r>
        <w:rPr>
          <w:rFonts w:hint="default" w:ascii="Times New Roman" w:hAnsi="Times New Roman" w:cs="Times New Roman"/>
          <w:color w:val="auto"/>
          <w:sz w:val="21"/>
          <w:szCs w:val="21"/>
          <w:highlight w:val="none"/>
        </w:rPr>
        <w:t> 填报说明：</w:t>
      </w:r>
    </w:p>
    <w:p w14:paraId="23BE6076">
      <w:pPr>
        <w:keepNext w:val="0"/>
        <w:keepLines w:val="0"/>
        <w:pageBreakBefore w:val="0"/>
        <w:pBdr>
          <w:top w:val="none" w:color="000000" w:sz="0" w:space="0"/>
          <w:left w:val="none" w:color="000000" w:sz="0" w:space="0"/>
          <w:bottom w:val="none" w:color="000000" w:sz="0" w:space="0"/>
          <w:right w:val="none" w:color="000000" w:sz="0" w:space="0"/>
        </w:pBdr>
        <w:spacing w:beforeAutospacing="0" w:afterAutospacing="0" w:line="360" w:lineRule="auto"/>
        <w:rPr>
          <w:rFonts w:hint="default" w:ascii="Times New Roman" w:hAnsi="Times New Roman" w:cs="Times New Roman"/>
          <w:color w:val="auto"/>
          <w:sz w:val="21"/>
          <w:szCs w:val="21"/>
          <w:highlight w:val="none"/>
          <w14:ligatures w14:val="none"/>
        </w:rPr>
      </w:pPr>
      <w:r>
        <w:rPr>
          <w:rFonts w:hint="default" w:ascii="Times New Roman" w:hAnsi="Times New Roman" w:cs="Times New Roman"/>
          <w:color w:val="auto"/>
          <w:sz w:val="21"/>
          <w:szCs w:val="21"/>
          <w:highlight w:val="none"/>
        </w:rPr>
        <w:t>1、请供应商如实填写，所填内容将作为评审的依据。如填写不完整或不一致，将不享受扶持政策。</w:t>
      </w:r>
    </w:p>
    <w:p w14:paraId="5DFC25EB">
      <w:pPr>
        <w:keepNext w:val="0"/>
        <w:keepLines w:val="0"/>
        <w:pageBreakBefore w:val="0"/>
        <w:pBdr>
          <w:top w:val="none" w:color="000000" w:sz="0" w:space="0"/>
          <w:left w:val="none" w:color="000000" w:sz="0" w:space="0"/>
          <w:bottom w:val="none" w:color="000000" w:sz="0" w:space="0"/>
          <w:right w:val="none" w:color="000000" w:sz="0" w:space="0"/>
        </w:pBdr>
        <w:spacing w:beforeAutospacing="0" w:afterAutospacing="0" w:line="360" w:lineRule="auto"/>
        <w:rPr>
          <w:rFonts w:hint="default" w:ascii="Times New Roman" w:hAnsi="Times New Roman" w:cs="Times New Roman"/>
          <w:color w:val="auto"/>
          <w:sz w:val="21"/>
          <w:szCs w:val="21"/>
          <w:highlight w:val="none"/>
          <w14:ligatures w14:val="none"/>
        </w:rPr>
      </w:pPr>
      <w:r>
        <w:rPr>
          <w:rFonts w:hint="default" w:ascii="Times New Roman" w:hAnsi="Times New Roman" w:cs="Times New Roman"/>
          <w:color w:val="auto"/>
          <w:sz w:val="21"/>
          <w:szCs w:val="21"/>
          <w:highlight w:val="none"/>
        </w:rPr>
        <w:t>2、成交供应商的《残疾人福利性单位声明函》随成交结果公开。</w:t>
      </w:r>
    </w:p>
    <w:p w14:paraId="526302E2">
      <w:pPr>
        <w:keepNext w:val="0"/>
        <w:keepLines w:val="0"/>
        <w:pageBreakBefore w:val="0"/>
        <w:pBdr>
          <w:top w:val="none" w:color="000000" w:sz="0" w:space="0"/>
          <w:left w:val="none" w:color="000000" w:sz="0" w:space="0"/>
          <w:bottom w:val="none" w:color="000000" w:sz="0" w:space="0"/>
          <w:right w:val="none" w:color="000000" w:sz="0" w:space="0"/>
        </w:pBdr>
        <w:spacing w:beforeAutospacing="0" w:afterAutospacing="0" w:line="360" w:lineRule="auto"/>
        <w:rPr>
          <w:rFonts w:hint="default" w:ascii="Times New Roman" w:hAnsi="Times New Roman" w:cs="Times New Roman"/>
          <w:color w:val="auto"/>
          <w:highlight w:val="none"/>
        </w:rPr>
      </w:pPr>
    </w:p>
    <w:p w14:paraId="0D8D626D">
      <w:pPr>
        <w:keepNext w:val="0"/>
        <w:keepLines w:val="0"/>
        <w:pageBreakBefore w:val="0"/>
        <w:pBdr>
          <w:top w:val="none" w:color="000000" w:sz="0" w:space="0"/>
          <w:left w:val="none" w:color="000000" w:sz="0" w:space="0"/>
          <w:bottom w:val="none" w:color="000000" w:sz="0" w:space="0"/>
          <w:right w:val="none" w:color="000000" w:sz="0" w:space="0"/>
        </w:pBdr>
        <w:spacing w:beforeAutospacing="0" w:afterAutospacing="0" w:line="360" w:lineRule="auto"/>
        <w:rPr>
          <w:rFonts w:hint="default" w:ascii="Times New Roman" w:hAnsi="Times New Roman" w:cs="Times New Roman"/>
          <w:color w:val="auto"/>
          <w:highlight w:val="none"/>
        </w:rPr>
      </w:pPr>
      <w:r>
        <w:rPr>
          <w:rFonts w:hint="default" w:ascii="Times New Roman" w:hAnsi="Times New Roman" w:cs="Times New Roman"/>
          <w:color w:val="auto"/>
          <w:sz w:val="24"/>
          <w:highlight w:val="none"/>
        </w:rPr>
        <w:t> </w:t>
      </w:r>
    </w:p>
    <w:p w14:paraId="077D4FA4">
      <w:pPr>
        <w:keepNext w:val="0"/>
        <w:keepLines w:val="0"/>
        <w:pageBreakBefore w:val="0"/>
        <w:pBdr>
          <w:top w:val="none" w:color="000000" w:sz="0" w:space="0"/>
          <w:left w:val="none" w:color="000000" w:sz="0" w:space="0"/>
          <w:bottom w:val="none" w:color="000000" w:sz="0" w:space="0"/>
          <w:right w:val="none" w:color="000000" w:sz="0" w:space="0"/>
        </w:pBdr>
        <w:spacing w:beforeAutospacing="0" w:afterAutospacing="0" w:line="360" w:lineRule="auto"/>
        <w:rPr>
          <w:rFonts w:hint="default" w:ascii="Times New Roman" w:hAnsi="Times New Roman" w:cs="Times New Roman"/>
          <w:color w:val="auto"/>
          <w:highlight w:val="none"/>
        </w:rPr>
      </w:pPr>
      <w:r>
        <w:rPr>
          <w:rFonts w:hint="default" w:ascii="Times New Roman" w:hAnsi="Times New Roman" w:cs="Times New Roman"/>
          <w:color w:val="auto"/>
          <w:highlight w:val="none"/>
        </w:rPr>
        <w:br w:type="page" w:clear="all"/>
      </w:r>
    </w:p>
    <w:p w14:paraId="4EF05C97">
      <w:pPr>
        <w:keepNext w:val="0"/>
        <w:keepLines w:val="0"/>
        <w:pageBreakBefore w:val="0"/>
        <w:pBdr>
          <w:top w:val="none" w:color="000000" w:sz="0" w:space="0"/>
          <w:left w:val="none" w:color="000000" w:sz="0" w:space="0"/>
          <w:bottom w:val="none" w:color="000000" w:sz="0" w:space="0"/>
          <w:right w:val="none" w:color="000000" w:sz="0" w:space="0"/>
        </w:pBdr>
        <w:spacing w:beforeAutospacing="0" w:afterAutospacing="0" w:line="360" w:lineRule="auto"/>
        <w:rPr>
          <w:rFonts w:hint="default" w:ascii="Times New Roman" w:hAnsi="Times New Roman" w:cs="Times New Roman"/>
          <w:color w:val="auto"/>
          <w:highlight w:val="none"/>
        </w:rPr>
      </w:pPr>
      <w:r>
        <w:rPr>
          <w:rFonts w:hint="default" w:ascii="Times New Roman" w:hAnsi="Times New Roman" w:cs="Times New Roman"/>
          <w:color w:val="auto"/>
          <w:sz w:val="24"/>
          <w:highlight w:val="none"/>
        </w:rPr>
        <w:t> 附件7：</w:t>
      </w:r>
    </w:p>
    <w:p w14:paraId="582FE904">
      <w:pPr>
        <w:pStyle w:val="6"/>
        <w:spacing w:line="360" w:lineRule="auto"/>
        <w:rPr>
          <w:rFonts w:hint="default" w:ascii="Times New Roman" w:hAnsi="Times New Roman" w:cs="Times New Roman"/>
          <w:color w:val="auto"/>
          <w:highlight w:val="none"/>
        </w:rPr>
      </w:pPr>
      <w:r>
        <w:rPr>
          <w:rFonts w:hint="default" w:ascii="Times New Roman" w:hAnsi="Times New Roman" w:cs="Times New Roman"/>
          <w:color w:val="auto"/>
          <w:highlight w:val="none"/>
        </w:rPr>
        <w:t>监狱企业证明文件</w:t>
      </w:r>
    </w:p>
    <w:p w14:paraId="66EDC27D">
      <w:pPr>
        <w:keepNext w:val="0"/>
        <w:keepLines w:val="0"/>
        <w:pageBreakBefore w:val="0"/>
        <w:pBdr>
          <w:top w:val="none" w:color="000000" w:sz="0" w:space="0"/>
          <w:left w:val="none" w:color="000000" w:sz="0" w:space="0"/>
          <w:bottom w:val="none" w:color="000000" w:sz="0" w:space="0"/>
          <w:right w:val="none" w:color="000000" w:sz="0" w:space="0"/>
        </w:pBdr>
        <w:spacing w:beforeAutospacing="0" w:afterAutospacing="0" w:line="360" w:lineRule="auto"/>
        <w:ind w:firstLine="720"/>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监狱企业参加政府采购活动时，需提供由省级以上监狱管理局、戒毒管理局(含新疆生产建设兵团)出具的属于监狱企业的证明文件复印件加盖申请人公章。</w:t>
      </w:r>
    </w:p>
    <w:p w14:paraId="38B37E2E">
      <w:pPr>
        <w:keepNext w:val="0"/>
        <w:keepLines w:val="0"/>
        <w:pageBreakBefore w:val="0"/>
        <w:pBdr>
          <w:top w:val="none" w:color="000000" w:sz="0" w:space="0"/>
          <w:left w:val="none" w:color="000000" w:sz="0" w:space="0"/>
          <w:bottom w:val="none" w:color="000000" w:sz="0" w:space="0"/>
          <w:right w:val="none" w:color="000000" w:sz="0" w:space="0"/>
        </w:pBdr>
        <w:spacing w:beforeAutospacing="0" w:afterAutospacing="0" w:line="360" w:lineRule="auto"/>
        <w:ind w:firstLine="240"/>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 </w:t>
      </w:r>
    </w:p>
    <w:p w14:paraId="48281AB2">
      <w:pPr>
        <w:keepNext w:val="0"/>
        <w:keepLines w:val="0"/>
        <w:pageBreakBefore w:val="0"/>
        <w:pBdr>
          <w:top w:val="none" w:color="000000" w:sz="0" w:space="0"/>
          <w:left w:val="none" w:color="000000" w:sz="0" w:space="0"/>
          <w:bottom w:val="none" w:color="000000" w:sz="0" w:space="0"/>
          <w:right w:val="none" w:color="000000" w:sz="0" w:space="0"/>
        </w:pBdr>
        <w:spacing w:beforeAutospacing="0" w:afterAutospacing="0" w:line="360" w:lineRule="auto"/>
        <w:ind w:firstLine="240"/>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 </w:t>
      </w:r>
    </w:p>
    <w:p w14:paraId="60200040">
      <w:pPr>
        <w:keepNext w:val="0"/>
        <w:keepLines w:val="0"/>
        <w:pageBreakBefore w:val="0"/>
        <w:pBdr>
          <w:top w:val="none" w:color="000000" w:sz="0" w:space="0"/>
          <w:left w:val="none" w:color="000000" w:sz="0" w:space="0"/>
          <w:bottom w:val="none" w:color="000000" w:sz="0" w:space="0"/>
          <w:right w:val="none" w:color="000000" w:sz="0" w:space="0"/>
        </w:pBdr>
        <w:spacing w:beforeAutospacing="0" w:afterAutospacing="0" w:line="360" w:lineRule="auto"/>
        <w:ind w:firstLine="240"/>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 </w:t>
      </w:r>
    </w:p>
    <w:p w14:paraId="736F0352">
      <w:pPr>
        <w:keepNext w:val="0"/>
        <w:keepLines w:val="0"/>
        <w:pageBreakBefore w:val="0"/>
        <w:pBdr>
          <w:top w:val="none" w:color="000000" w:sz="0" w:space="0"/>
          <w:left w:val="none" w:color="000000" w:sz="0" w:space="0"/>
          <w:bottom w:val="none" w:color="000000" w:sz="0" w:space="0"/>
          <w:right w:val="none" w:color="000000" w:sz="0" w:space="0"/>
        </w:pBdr>
        <w:spacing w:beforeAutospacing="0" w:afterAutospacing="0" w:line="360" w:lineRule="auto"/>
        <w:ind w:firstLine="240"/>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 </w:t>
      </w:r>
    </w:p>
    <w:p w14:paraId="4F4387D1">
      <w:pPr>
        <w:keepNext w:val="0"/>
        <w:keepLines w:val="0"/>
        <w:pageBreakBefore w:val="0"/>
        <w:pBdr>
          <w:top w:val="none" w:color="000000" w:sz="0" w:space="0"/>
          <w:left w:val="none" w:color="000000" w:sz="0" w:space="0"/>
          <w:bottom w:val="none" w:color="000000" w:sz="0" w:space="0"/>
          <w:right w:val="none" w:color="000000" w:sz="0" w:space="0"/>
        </w:pBdr>
        <w:spacing w:beforeAutospacing="0" w:afterAutospacing="0" w:line="360" w:lineRule="auto"/>
        <w:ind w:firstLine="240"/>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 </w:t>
      </w:r>
    </w:p>
    <w:p w14:paraId="10DF6C41">
      <w:pPr>
        <w:keepNext w:val="0"/>
        <w:keepLines w:val="0"/>
        <w:pageBreakBefore w:val="0"/>
        <w:pBdr>
          <w:top w:val="none" w:color="000000" w:sz="0" w:space="0"/>
          <w:left w:val="none" w:color="000000" w:sz="0" w:space="0"/>
          <w:bottom w:val="none" w:color="000000" w:sz="0" w:space="0"/>
          <w:right w:val="none" w:color="000000" w:sz="0" w:space="0"/>
        </w:pBdr>
        <w:spacing w:beforeAutospacing="0" w:afterAutospacing="0" w:line="360" w:lineRule="auto"/>
        <w:ind w:firstLine="240"/>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 </w:t>
      </w:r>
    </w:p>
    <w:p w14:paraId="34942554">
      <w:pPr>
        <w:keepNext w:val="0"/>
        <w:keepLines w:val="0"/>
        <w:pageBreakBefore w:val="0"/>
        <w:pBdr>
          <w:top w:val="none" w:color="000000" w:sz="0" w:space="0"/>
          <w:left w:val="none" w:color="000000" w:sz="0" w:space="0"/>
          <w:bottom w:val="none" w:color="000000" w:sz="0" w:space="0"/>
          <w:right w:val="none" w:color="000000" w:sz="0" w:space="0"/>
        </w:pBdr>
        <w:spacing w:beforeAutospacing="0" w:afterAutospacing="0" w:line="360" w:lineRule="auto"/>
        <w:ind w:firstLine="240"/>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备注：监狱企业标准请参照《关于政府采购支持监狱企业发展有关问题的通知》（财库[2014]68号）。</w:t>
      </w:r>
    </w:p>
    <w:p w14:paraId="588F0A19">
      <w:pPr>
        <w:keepNext w:val="0"/>
        <w:keepLines w:val="0"/>
        <w:pageBreakBefore w:val="0"/>
        <w:pBdr>
          <w:top w:val="none" w:color="000000" w:sz="0" w:space="0"/>
          <w:left w:val="none" w:color="000000" w:sz="0" w:space="0"/>
          <w:bottom w:val="none" w:color="000000" w:sz="0" w:space="0"/>
          <w:right w:val="none" w:color="000000" w:sz="0" w:space="0"/>
        </w:pBdr>
        <w:spacing w:beforeAutospacing="0" w:afterAutospacing="0" w:line="360" w:lineRule="auto"/>
        <w:ind w:firstLine="420"/>
        <w:rPr>
          <w:rFonts w:hint="default" w:ascii="Times New Roman" w:hAnsi="Times New Roman" w:cs="Times New Roman"/>
          <w:color w:val="auto"/>
          <w:highlight w:val="none"/>
        </w:rPr>
      </w:pPr>
      <w:r>
        <w:rPr>
          <w:rFonts w:hint="default" w:ascii="Times New Roman" w:hAnsi="Times New Roman" w:cs="Times New Roman"/>
          <w:color w:val="auto"/>
          <w:highlight w:val="none"/>
        </w:rPr>
        <w:t> </w:t>
      </w:r>
    </w:p>
    <w:p w14:paraId="401F570C">
      <w:pPr>
        <w:keepNext w:val="0"/>
        <w:keepLines w:val="0"/>
        <w:pageBreakBefore w:val="0"/>
        <w:pBdr>
          <w:top w:val="none" w:color="000000" w:sz="0" w:space="0"/>
          <w:left w:val="none" w:color="000000" w:sz="0" w:space="0"/>
          <w:bottom w:val="none" w:color="000000" w:sz="0" w:space="0"/>
          <w:right w:val="none" w:color="000000" w:sz="0" w:space="0"/>
        </w:pBdr>
        <w:spacing w:beforeAutospacing="0" w:afterAutospacing="0" w:line="360" w:lineRule="auto"/>
        <w:ind w:firstLine="422"/>
        <w:rPr>
          <w:rFonts w:hint="default" w:ascii="Times New Roman" w:hAnsi="Times New Roman" w:cs="Times New Roman"/>
          <w:color w:val="auto"/>
          <w:highlight w:val="none"/>
        </w:rPr>
      </w:pPr>
      <w:r>
        <w:rPr>
          <w:rFonts w:hint="default" w:ascii="Times New Roman" w:hAnsi="Times New Roman" w:cs="Times New Roman"/>
          <w:color w:val="auto"/>
          <w:highlight w:val="none"/>
        </w:rPr>
        <w:br w:type="page" w:clear="all"/>
      </w:r>
    </w:p>
    <w:p w14:paraId="73743E4C">
      <w:pPr>
        <w:keepNext w:val="0"/>
        <w:keepLines w:val="0"/>
        <w:pageBreakBefore w:val="0"/>
        <w:pBdr>
          <w:top w:val="none" w:color="000000" w:sz="0" w:space="0"/>
          <w:left w:val="none" w:color="000000" w:sz="0" w:space="0"/>
          <w:bottom w:val="none" w:color="000000" w:sz="0" w:space="0"/>
          <w:right w:val="none" w:color="000000" w:sz="0" w:space="0"/>
        </w:pBdr>
        <w:spacing w:beforeAutospacing="0" w:afterAutospacing="0" w:line="360" w:lineRule="auto"/>
        <w:rPr>
          <w:rFonts w:hint="default" w:ascii="Times New Roman" w:hAnsi="Times New Roman" w:cs="Times New Roman"/>
          <w:color w:val="auto"/>
          <w:highlight w:val="none"/>
        </w:rPr>
      </w:pPr>
      <w:r>
        <w:rPr>
          <w:rFonts w:hint="default" w:ascii="Times New Roman" w:hAnsi="Times New Roman" w:cs="Times New Roman"/>
          <w:color w:val="auto"/>
          <w:sz w:val="24"/>
          <w:highlight w:val="none"/>
        </w:rPr>
        <w:t>附件8：</w:t>
      </w:r>
    </w:p>
    <w:p w14:paraId="55025117">
      <w:pPr>
        <w:pStyle w:val="6"/>
        <w:spacing w:line="360" w:lineRule="auto"/>
        <w:rPr>
          <w:rFonts w:hint="default" w:ascii="Times New Roman" w:hAnsi="Times New Roman" w:cs="Times New Roman"/>
          <w:color w:val="auto"/>
          <w:highlight w:val="none"/>
        </w:rPr>
      </w:pPr>
      <w:r>
        <w:rPr>
          <w:rFonts w:hint="default" w:ascii="Times New Roman" w:hAnsi="Times New Roman" w:cs="Times New Roman"/>
          <w:color w:val="auto"/>
          <w:highlight w:val="none"/>
        </w:rPr>
        <w:t>磋商响应函</w:t>
      </w:r>
    </w:p>
    <w:p w14:paraId="63E56E23">
      <w:pPr>
        <w:keepNext w:val="0"/>
        <w:keepLines w:val="0"/>
        <w:pageBreakBefore w:val="0"/>
        <w:pBdr>
          <w:top w:val="none" w:color="000000" w:sz="0" w:space="0"/>
          <w:left w:val="none" w:color="000000" w:sz="0" w:space="0"/>
          <w:bottom w:val="none" w:color="000000" w:sz="0" w:space="0"/>
          <w:right w:val="none" w:color="000000" w:sz="0" w:space="0"/>
        </w:pBdr>
        <w:spacing w:beforeAutospacing="0" w:afterAutospacing="0" w:line="360" w:lineRule="auto"/>
        <w:rPr>
          <w:rFonts w:hint="default" w:ascii="Times New Roman" w:hAnsi="Times New Roman" w:eastAsia="宋体" w:cs="Times New Roman"/>
          <w:color w:val="auto"/>
          <w:sz w:val="21"/>
          <w:szCs w:val="21"/>
          <w:highlight w:val="none"/>
          <w:u w:val="single"/>
          <w:lang w:val="en-US" w:eastAsia="zh-CN"/>
        </w:rPr>
      </w:pPr>
      <w:r>
        <w:rPr>
          <w:rFonts w:hint="default" w:ascii="Times New Roman" w:hAnsi="Times New Roman" w:cs="Times New Roman"/>
          <w:color w:val="auto"/>
          <w:sz w:val="21"/>
          <w:szCs w:val="21"/>
          <w:highlight w:val="none"/>
        </w:rPr>
        <w:t>致：</w:t>
      </w:r>
      <w:r>
        <w:rPr>
          <w:rFonts w:hint="default" w:ascii="Times New Roman" w:hAnsi="Times New Roman" w:cs="Times New Roman"/>
          <w:color w:val="auto"/>
          <w:sz w:val="21"/>
          <w:szCs w:val="21"/>
          <w:highlight w:val="none"/>
          <w:u w:val="single"/>
          <w:lang w:val="en-US" w:eastAsia="zh-CN"/>
        </w:rPr>
        <w:t xml:space="preserve">      </w:t>
      </w:r>
    </w:p>
    <w:p w14:paraId="4AD6941E">
      <w:pPr>
        <w:keepNext w:val="0"/>
        <w:keepLines w:val="0"/>
        <w:pageBreakBefore w:val="0"/>
        <w:pBdr>
          <w:top w:val="none" w:color="000000" w:sz="0" w:space="0"/>
          <w:left w:val="none" w:color="000000" w:sz="0" w:space="0"/>
          <w:bottom w:val="none" w:color="000000" w:sz="0" w:space="0"/>
          <w:right w:val="none" w:color="000000" w:sz="0" w:space="0"/>
        </w:pBdr>
        <w:spacing w:beforeAutospacing="0" w:afterAutospacing="0" w:line="360" w:lineRule="auto"/>
        <w:ind w:firstLine="480"/>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根据贵方的磋商文件，正式授权下述签字人_________(姓名和职务)代表我方______________（供应商的名称），全权处理项目磋商采购的有关事宜。</w:t>
      </w:r>
    </w:p>
    <w:p w14:paraId="67612D41">
      <w:pPr>
        <w:keepNext w:val="0"/>
        <w:keepLines w:val="0"/>
        <w:pageBreakBefore w:val="0"/>
        <w:pBdr>
          <w:top w:val="none" w:color="000000" w:sz="0" w:space="0"/>
          <w:left w:val="none" w:color="000000" w:sz="0" w:space="0"/>
          <w:bottom w:val="none" w:color="000000" w:sz="0" w:space="0"/>
          <w:right w:val="none" w:color="000000" w:sz="0" w:space="0"/>
        </w:pBdr>
        <w:spacing w:beforeAutospacing="0" w:afterAutospacing="0" w:line="360" w:lineRule="auto"/>
        <w:ind w:firstLine="480"/>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据此函，__________（签字人）兹宣布同意如下：</w:t>
      </w:r>
    </w:p>
    <w:p w14:paraId="71E1DF0D">
      <w:pPr>
        <w:keepNext w:val="0"/>
        <w:keepLines w:val="0"/>
        <w:pageBreakBefore w:val="0"/>
        <w:pBdr>
          <w:top w:val="none" w:color="000000" w:sz="0" w:space="0"/>
          <w:left w:val="none" w:color="000000" w:sz="0" w:space="0"/>
          <w:bottom w:val="none" w:color="000000" w:sz="0" w:space="0"/>
          <w:right w:val="none" w:color="000000" w:sz="0" w:space="0"/>
        </w:pBdr>
        <w:spacing w:beforeAutospacing="0" w:afterAutospacing="0" w:line="360" w:lineRule="auto"/>
        <w:ind w:firstLine="480"/>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1.按磋商文件规定的各项要求，向采购人提供所需服务。</w:t>
      </w:r>
    </w:p>
    <w:p w14:paraId="7BA13EB0">
      <w:pPr>
        <w:keepNext w:val="0"/>
        <w:keepLines w:val="0"/>
        <w:pageBreakBefore w:val="0"/>
        <w:pBdr>
          <w:top w:val="none" w:color="000000" w:sz="0" w:space="0"/>
          <w:left w:val="none" w:color="000000" w:sz="0" w:space="0"/>
          <w:bottom w:val="none" w:color="000000" w:sz="0" w:space="0"/>
          <w:right w:val="none" w:color="000000" w:sz="0" w:space="0"/>
        </w:pBdr>
        <w:spacing w:beforeAutospacing="0" w:afterAutospacing="0" w:line="360" w:lineRule="auto"/>
        <w:ind w:firstLine="480"/>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2.我们已详细审核全部磋商文件及其有效补充文件，我们知道必须放弃提出含糊不清或误解问题的权利。</w:t>
      </w:r>
    </w:p>
    <w:p w14:paraId="4DBBF60B">
      <w:pPr>
        <w:keepNext w:val="0"/>
        <w:keepLines w:val="0"/>
        <w:pageBreakBefore w:val="0"/>
        <w:pBdr>
          <w:top w:val="none" w:color="000000" w:sz="0" w:space="0"/>
          <w:left w:val="none" w:color="000000" w:sz="0" w:space="0"/>
          <w:bottom w:val="none" w:color="000000" w:sz="0" w:space="0"/>
          <w:right w:val="none" w:color="000000" w:sz="0" w:space="0"/>
        </w:pBdr>
        <w:spacing w:beforeAutospacing="0" w:afterAutospacing="0" w:line="360" w:lineRule="auto"/>
        <w:ind w:firstLine="480"/>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3.我们同意从规定的响应文件接收截止时间起遵循本响应文件，并在规定的磋商有效期期满之前均具有约束力。</w:t>
      </w:r>
    </w:p>
    <w:p w14:paraId="615D7A09">
      <w:pPr>
        <w:keepNext w:val="0"/>
        <w:keepLines w:val="0"/>
        <w:pageBreakBefore w:val="0"/>
        <w:pBdr>
          <w:top w:val="none" w:color="000000" w:sz="0" w:space="0"/>
          <w:left w:val="none" w:color="000000" w:sz="0" w:space="0"/>
          <w:bottom w:val="none" w:color="000000" w:sz="0" w:space="0"/>
          <w:right w:val="none" w:color="000000" w:sz="0" w:space="0"/>
        </w:pBdr>
        <w:spacing w:beforeAutospacing="0" w:afterAutospacing="0" w:line="360" w:lineRule="auto"/>
        <w:ind w:firstLine="480"/>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4.如果在响应文件接收截止时间后规定的磋商有效期内撤回响应文件或成交后拒绝签订合同，我们自愿接受政府采购监管机构的处理。</w:t>
      </w:r>
    </w:p>
    <w:p w14:paraId="1DBC13F5">
      <w:pPr>
        <w:keepNext w:val="0"/>
        <w:keepLines w:val="0"/>
        <w:pageBreakBefore w:val="0"/>
        <w:pBdr>
          <w:top w:val="none" w:color="000000" w:sz="0" w:space="0"/>
          <w:left w:val="none" w:color="000000" w:sz="0" w:space="0"/>
          <w:bottom w:val="none" w:color="000000" w:sz="0" w:space="0"/>
          <w:right w:val="none" w:color="000000" w:sz="0" w:space="0"/>
        </w:pBdr>
        <w:spacing w:beforeAutospacing="0" w:afterAutospacing="0" w:line="360" w:lineRule="auto"/>
        <w:ind w:firstLine="480"/>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5.同意向贵方提供贵方可能另外要求的与磋商采购有关的任何证据或资料，并保证我方已提供和将要提供的文件是真实的、准确的。</w:t>
      </w:r>
    </w:p>
    <w:p w14:paraId="1CA89AC7">
      <w:pPr>
        <w:keepNext w:val="0"/>
        <w:keepLines w:val="0"/>
        <w:pageBreakBefore w:val="0"/>
        <w:pBdr>
          <w:top w:val="none" w:color="000000" w:sz="0" w:space="0"/>
          <w:left w:val="none" w:color="000000" w:sz="0" w:space="0"/>
          <w:bottom w:val="none" w:color="000000" w:sz="0" w:space="0"/>
          <w:right w:val="none" w:color="000000" w:sz="0" w:space="0"/>
        </w:pBdr>
        <w:spacing w:beforeAutospacing="0" w:afterAutospacing="0" w:line="360" w:lineRule="auto"/>
        <w:ind w:firstLine="480"/>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6.一旦我方成交，我方将根据磋商文件的规定，严格履行合同的责任和义务，并保证在磋商文件规定的时间完成项目，交付采购人验收、使用。</w:t>
      </w:r>
    </w:p>
    <w:p w14:paraId="667766E8">
      <w:pPr>
        <w:keepNext w:val="0"/>
        <w:keepLines w:val="0"/>
        <w:pageBreakBefore w:val="0"/>
        <w:pBdr>
          <w:top w:val="none" w:color="000000" w:sz="0" w:space="0"/>
          <w:left w:val="none" w:color="000000" w:sz="0" w:space="0"/>
          <w:bottom w:val="none" w:color="000000" w:sz="0" w:space="0"/>
          <w:right w:val="none" w:color="000000" w:sz="0" w:space="0"/>
        </w:pBdr>
        <w:spacing w:beforeAutospacing="0" w:afterAutospacing="0" w:line="360" w:lineRule="auto"/>
        <w:ind w:firstLine="480"/>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7.遵守磋商文件中要求的收费项目和标准。</w:t>
      </w:r>
    </w:p>
    <w:p w14:paraId="188BED49">
      <w:pPr>
        <w:keepNext w:val="0"/>
        <w:keepLines w:val="0"/>
        <w:pageBreakBefore w:val="0"/>
        <w:pBdr>
          <w:top w:val="none" w:color="000000" w:sz="0" w:space="0"/>
          <w:left w:val="none" w:color="000000" w:sz="0" w:space="0"/>
          <w:bottom w:val="none" w:color="000000" w:sz="0" w:space="0"/>
          <w:right w:val="none" w:color="000000" w:sz="0" w:space="0"/>
        </w:pBdr>
        <w:spacing w:beforeAutospacing="0" w:afterAutospacing="0" w:line="360" w:lineRule="auto"/>
        <w:ind w:firstLine="480"/>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8.与本磋商采购有关的正式通讯地址为：</w:t>
      </w:r>
    </w:p>
    <w:p w14:paraId="56A8A9D1">
      <w:pPr>
        <w:keepNext w:val="0"/>
        <w:keepLines w:val="0"/>
        <w:pageBreakBefore w:val="0"/>
        <w:pBdr>
          <w:top w:val="none" w:color="000000" w:sz="0" w:space="0"/>
          <w:left w:val="none" w:color="000000" w:sz="0" w:space="0"/>
          <w:bottom w:val="none" w:color="000000" w:sz="0" w:space="0"/>
          <w:right w:val="none" w:color="000000" w:sz="0" w:space="0"/>
        </w:pBdr>
        <w:spacing w:beforeAutospacing="0" w:afterAutospacing="0" w:line="360" w:lineRule="auto"/>
        <w:ind w:firstLine="480"/>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地址：邮编：</w:t>
      </w:r>
    </w:p>
    <w:p w14:paraId="389CB01B">
      <w:pPr>
        <w:keepNext w:val="0"/>
        <w:keepLines w:val="0"/>
        <w:pageBreakBefore w:val="0"/>
        <w:pBdr>
          <w:top w:val="none" w:color="000000" w:sz="0" w:space="0"/>
          <w:left w:val="none" w:color="000000" w:sz="0" w:space="0"/>
          <w:bottom w:val="none" w:color="000000" w:sz="0" w:space="0"/>
          <w:right w:val="none" w:color="000000" w:sz="0" w:space="0"/>
        </w:pBdr>
        <w:spacing w:beforeAutospacing="0" w:afterAutospacing="0" w:line="360" w:lineRule="auto"/>
        <w:ind w:firstLine="480"/>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电话：传真：</w:t>
      </w:r>
    </w:p>
    <w:p w14:paraId="01F40EC1">
      <w:pPr>
        <w:keepNext w:val="0"/>
        <w:keepLines w:val="0"/>
        <w:pageBreakBefore w:val="0"/>
        <w:pBdr>
          <w:top w:val="none" w:color="000000" w:sz="0" w:space="0"/>
          <w:left w:val="none" w:color="000000" w:sz="0" w:space="0"/>
          <w:bottom w:val="none" w:color="000000" w:sz="0" w:space="0"/>
          <w:right w:val="none" w:color="000000" w:sz="0" w:space="0"/>
        </w:pBdr>
        <w:spacing w:beforeAutospacing="0" w:afterAutospacing="0" w:line="360" w:lineRule="auto"/>
        <w:ind w:firstLine="480"/>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法定代表人或授权代表（签字或盖章）：</w:t>
      </w:r>
    </w:p>
    <w:p w14:paraId="2D71AF41">
      <w:pPr>
        <w:keepNext w:val="0"/>
        <w:keepLines w:val="0"/>
        <w:pageBreakBefore w:val="0"/>
        <w:pBdr>
          <w:top w:val="none" w:color="000000" w:sz="0" w:space="0"/>
          <w:left w:val="none" w:color="000000" w:sz="0" w:space="0"/>
          <w:bottom w:val="none" w:color="000000" w:sz="0" w:space="0"/>
          <w:right w:val="none" w:color="000000" w:sz="0" w:space="0"/>
        </w:pBdr>
        <w:spacing w:beforeAutospacing="0" w:afterAutospacing="0" w:line="360" w:lineRule="auto"/>
        <w:ind w:firstLine="480"/>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联系电话：</w:t>
      </w:r>
    </w:p>
    <w:p w14:paraId="02340439">
      <w:pPr>
        <w:keepNext w:val="0"/>
        <w:keepLines w:val="0"/>
        <w:pageBreakBefore w:val="0"/>
        <w:pBdr>
          <w:top w:val="none" w:color="000000" w:sz="0" w:space="0"/>
          <w:left w:val="none" w:color="000000" w:sz="0" w:space="0"/>
          <w:bottom w:val="none" w:color="000000" w:sz="0" w:space="0"/>
          <w:right w:val="none" w:color="000000" w:sz="0" w:space="0"/>
        </w:pBdr>
        <w:spacing w:beforeAutospacing="0" w:afterAutospacing="0" w:line="360" w:lineRule="auto"/>
        <w:ind w:firstLine="480"/>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供应商（加盖CA电子公章）：</w:t>
      </w:r>
    </w:p>
    <w:p w14:paraId="2494638B">
      <w:pPr>
        <w:keepNext w:val="0"/>
        <w:keepLines w:val="0"/>
        <w:pageBreakBefore w:val="0"/>
        <w:pBdr>
          <w:top w:val="none" w:color="000000" w:sz="0" w:space="0"/>
          <w:left w:val="none" w:color="000000" w:sz="0" w:space="0"/>
          <w:bottom w:val="none" w:color="000000" w:sz="0" w:space="0"/>
          <w:right w:val="none" w:color="000000" w:sz="0" w:space="0"/>
        </w:pBdr>
        <w:spacing w:beforeAutospacing="0" w:afterAutospacing="0" w:line="360" w:lineRule="auto"/>
        <w:ind w:firstLine="480"/>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日期：________年____月____日</w:t>
      </w:r>
    </w:p>
    <w:p w14:paraId="20350F9F">
      <w:pPr>
        <w:keepNext w:val="0"/>
        <w:keepLines w:val="0"/>
        <w:pageBreakBefore w:val="0"/>
        <w:pBdr>
          <w:top w:val="none" w:color="000000" w:sz="0" w:space="0"/>
          <w:left w:val="none" w:color="000000" w:sz="0" w:space="0"/>
          <w:bottom w:val="none" w:color="000000" w:sz="0" w:space="0"/>
          <w:right w:val="none" w:color="000000" w:sz="0" w:space="0"/>
        </w:pBdr>
        <w:spacing w:beforeAutospacing="0" w:afterAutospacing="0" w:line="360" w:lineRule="auto"/>
        <w:ind w:firstLine="480"/>
        <w:rPr>
          <w:rFonts w:hint="default" w:ascii="Times New Roman" w:hAnsi="Times New Roman" w:cs="Times New Roman"/>
          <w:color w:val="auto"/>
          <w:highlight w:val="none"/>
        </w:rPr>
      </w:pPr>
    </w:p>
    <w:p w14:paraId="6B71E418">
      <w:pPr>
        <w:spacing w:line="360" w:lineRule="auto"/>
        <w:rPr>
          <w:rFonts w:hint="default" w:ascii="Times New Roman" w:hAnsi="Times New Roman" w:cs="Times New Roman"/>
          <w:color w:val="auto"/>
          <w:sz w:val="24"/>
          <w:highlight w:val="none"/>
        </w:rPr>
      </w:pPr>
      <w:r>
        <w:rPr>
          <w:rFonts w:hint="default" w:ascii="Times New Roman" w:hAnsi="Times New Roman" w:cs="Times New Roman"/>
          <w:color w:val="auto"/>
          <w:sz w:val="24"/>
          <w:highlight w:val="none"/>
        </w:rPr>
        <w:br w:type="page" w:clear="all"/>
      </w:r>
    </w:p>
    <w:p w14:paraId="7E4B06E7">
      <w:pPr>
        <w:keepNext w:val="0"/>
        <w:keepLines w:val="0"/>
        <w:pageBreakBefore w:val="0"/>
        <w:pBdr>
          <w:top w:val="none" w:color="000000" w:sz="0" w:space="0"/>
          <w:left w:val="none" w:color="000000" w:sz="0" w:space="0"/>
          <w:bottom w:val="none" w:color="000000" w:sz="0" w:space="0"/>
          <w:right w:val="none" w:color="000000" w:sz="0" w:space="0"/>
        </w:pBdr>
        <w:spacing w:beforeAutospacing="0" w:afterAutospacing="0" w:line="360" w:lineRule="auto"/>
        <w:ind w:firstLine="482"/>
        <w:rPr>
          <w:rFonts w:hint="default" w:ascii="Times New Roman" w:hAnsi="Times New Roman" w:cs="Times New Roman"/>
          <w:color w:val="auto"/>
          <w:highlight w:val="none"/>
        </w:rPr>
      </w:pPr>
      <w:r>
        <w:rPr>
          <w:rFonts w:hint="default" w:ascii="Times New Roman" w:hAnsi="Times New Roman" w:cs="Times New Roman"/>
          <w:color w:val="auto"/>
          <w:sz w:val="24"/>
          <w:highlight w:val="none"/>
        </w:rPr>
        <w:t>附件9：</w:t>
      </w:r>
    </w:p>
    <w:p w14:paraId="39404B7B">
      <w:pPr>
        <w:pStyle w:val="6"/>
        <w:spacing w:line="360" w:lineRule="auto"/>
        <w:rPr>
          <w:rFonts w:hint="default" w:ascii="Times New Roman" w:hAnsi="Times New Roman" w:cs="Times New Roman"/>
          <w:color w:val="auto"/>
          <w:highlight w:val="none"/>
        </w:rPr>
      </w:pPr>
      <w:r>
        <w:rPr>
          <w:rFonts w:hint="default" w:ascii="Times New Roman" w:hAnsi="Times New Roman" w:cs="Times New Roman"/>
          <w:color w:val="auto"/>
          <w:highlight w:val="none"/>
        </w:rPr>
        <w:t>磋商报价表</w:t>
      </w:r>
    </w:p>
    <w:p w14:paraId="366371E1">
      <w:pPr>
        <w:keepNext w:val="0"/>
        <w:keepLines w:val="0"/>
        <w:pageBreakBefore w:val="0"/>
        <w:pBdr>
          <w:top w:val="none" w:color="000000" w:sz="0" w:space="0"/>
          <w:left w:val="none" w:color="000000" w:sz="0" w:space="0"/>
          <w:bottom w:val="none" w:color="000000" w:sz="0" w:space="0"/>
          <w:right w:val="none" w:color="000000" w:sz="0" w:space="0"/>
        </w:pBdr>
        <w:spacing w:beforeAutospacing="0" w:afterAutospacing="0" w:line="360" w:lineRule="auto"/>
        <w:rPr>
          <w:rFonts w:hint="default" w:ascii="Times New Roman" w:hAnsi="Times New Roman" w:cs="Times New Roman"/>
          <w:color w:val="auto"/>
          <w:sz w:val="24"/>
          <w:highlight w:val="none"/>
        </w:rPr>
      </w:pPr>
      <w:r>
        <w:rPr>
          <w:rFonts w:hint="default" w:ascii="Times New Roman" w:hAnsi="Times New Roman" w:cs="Times New Roman"/>
          <w:color w:val="auto"/>
          <w:sz w:val="24"/>
          <w:highlight w:val="none"/>
        </w:rPr>
        <w:t> </w:t>
      </w:r>
    </w:p>
    <w:p w14:paraId="77DA73F0">
      <w:pPr>
        <w:keepNext w:val="0"/>
        <w:keepLines w:val="0"/>
        <w:pageBreakBefore w:val="0"/>
        <w:pBdr>
          <w:top w:val="none" w:color="000000" w:sz="0" w:space="0"/>
          <w:left w:val="none" w:color="000000" w:sz="0" w:space="0"/>
          <w:bottom w:val="none" w:color="000000" w:sz="0" w:space="0"/>
          <w:right w:val="none" w:color="000000" w:sz="0" w:space="0"/>
        </w:pBdr>
        <w:spacing w:beforeAutospacing="0" w:afterAutospacing="0" w:line="360" w:lineRule="auto"/>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（本次为：□首次□终次报价）             货币单位：人民币元</w:t>
      </w:r>
    </w:p>
    <w:p w14:paraId="1D5D6ED3">
      <w:pPr>
        <w:keepNext w:val="0"/>
        <w:keepLines w:val="0"/>
        <w:pageBreakBefore w:val="0"/>
        <w:pBdr>
          <w:top w:val="none" w:color="000000" w:sz="0" w:space="0"/>
          <w:left w:val="none" w:color="000000" w:sz="0" w:space="0"/>
          <w:bottom w:val="none" w:color="000000" w:sz="0" w:space="0"/>
          <w:right w:val="none" w:color="000000" w:sz="0" w:space="0"/>
        </w:pBdr>
        <w:spacing w:beforeAutospacing="0" w:afterAutospacing="0" w:line="360" w:lineRule="auto"/>
        <w:rPr>
          <w:rFonts w:hint="default" w:ascii="Times New Roman" w:hAnsi="Times New Roman" w:eastAsia="宋体" w:cs="Times New Roman"/>
          <w:color w:val="auto"/>
          <w:sz w:val="21"/>
          <w:szCs w:val="21"/>
          <w:highlight w:val="none"/>
          <w:lang w:val="en-US" w:eastAsia="zh-CN"/>
        </w:rPr>
      </w:pPr>
      <w:r>
        <w:rPr>
          <w:rFonts w:hint="default" w:ascii="Times New Roman" w:hAnsi="Times New Roman" w:cs="Times New Roman"/>
          <w:color w:val="auto"/>
          <w:sz w:val="21"/>
          <w:szCs w:val="21"/>
          <w:highlight w:val="none"/>
        </w:rPr>
        <w:t>项目编号：</w:t>
      </w:r>
      <w:r>
        <w:rPr>
          <w:rFonts w:hint="default" w:ascii="Times New Roman" w:hAnsi="Times New Roman" w:cs="Times New Roman"/>
          <w:color w:val="auto"/>
          <w:sz w:val="21"/>
          <w:szCs w:val="21"/>
          <w:highlight w:val="none"/>
          <w:lang w:val="en-US" w:eastAsia="zh-CN"/>
        </w:rPr>
        <w:t xml:space="preserve">                                             采购包号：</w:t>
      </w:r>
    </w:p>
    <w:tbl>
      <w:tblPr>
        <w:tblStyle w:val="43"/>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top w:w="0" w:type="dxa"/>
          <w:left w:w="108" w:type="dxa"/>
          <w:bottom w:w="0" w:type="dxa"/>
          <w:right w:w="108" w:type="dxa"/>
        </w:tblCellMar>
      </w:tblPr>
      <w:tblGrid>
        <w:gridCol w:w="3076"/>
        <w:gridCol w:w="2639"/>
        <w:gridCol w:w="2697"/>
      </w:tblGrid>
      <w:tr w14:paraId="62ED99FB">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843" w:hRule="atLeast"/>
        </w:trPr>
        <w:tc>
          <w:tcPr>
            <w:tcW w:w="3076"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30C2675B">
            <w:pPr>
              <w:keepNext w:val="0"/>
              <w:keepLines w:val="0"/>
              <w:pageBreakBefore w:val="0"/>
              <w:pBdr>
                <w:top w:val="none" w:color="000000" w:sz="0" w:space="0"/>
                <w:left w:val="none" w:color="000000" w:sz="0" w:space="0"/>
                <w:bottom w:val="none" w:color="000000" w:sz="0" w:space="0"/>
                <w:right w:val="none" w:color="000000" w:sz="0" w:space="0"/>
              </w:pBdr>
              <w:spacing w:beforeAutospacing="0" w:afterAutospacing="0" w:line="360" w:lineRule="auto"/>
              <w:jc w:val="center"/>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项目名称</w:t>
            </w:r>
          </w:p>
        </w:tc>
        <w:tc>
          <w:tcPr>
            <w:tcW w:w="2639"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57FA3A55">
            <w:pPr>
              <w:keepNext w:val="0"/>
              <w:keepLines w:val="0"/>
              <w:pageBreakBefore w:val="0"/>
              <w:pBdr>
                <w:top w:val="none" w:color="000000" w:sz="0" w:space="0"/>
                <w:left w:val="none" w:color="000000" w:sz="0" w:space="0"/>
                <w:bottom w:val="none" w:color="000000" w:sz="0" w:space="0"/>
                <w:right w:val="none" w:color="000000" w:sz="0" w:space="0"/>
              </w:pBdr>
              <w:spacing w:beforeAutospacing="0" w:afterAutospacing="0" w:line="360" w:lineRule="auto"/>
              <w:jc w:val="center"/>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项目内容</w:t>
            </w:r>
          </w:p>
        </w:tc>
        <w:tc>
          <w:tcPr>
            <w:tcW w:w="2696"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1B6BD16F">
            <w:pPr>
              <w:keepNext w:val="0"/>
              <w:keepLines w:val="0"/>
              <w:pageBreakBefore w:val="0"/>
              <w:pBdr>
                <w:top w:val="none" w:color="000000" w:sz="0" w:space="0"/>
                <w:left w:val="none" w:color="000000" w:sz="0" w:space="0"/>
                <w:bottom w:val="none" w:color="000000" w:sz="0" w:space="0"/>
                <w:right w:val="none" w:color="000000" w:sz="0" w:space="0"/>
              </w:pBdr>
              <w:spacing w:beforeAutospacing="0" w:afterAutospacing="0" w:line="360" w:lineRule="auto"/>
              <w:jc w:val="center"/>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总价（小写）</w:t>
            </w:r>
          </w:p>
          <w:p w14:paraId="0B9EE7A0">
            <w:pPr>
              <w:pStyle w:val="18"/>
              <w:keepNext w:val="0"/>
              <w:keepLines w:val="0"/>
              <w:pageBreakBefore w:val="0"/>
              <w:spacing w:beforeAutospacing="0" w:afterAutospacing="0" w:line="360" w:lineRule="auto"/>
              <w:ind w:left="0" w:firstLine="0"/>
              <w:jc w:val="center"/>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lang w:eastAsia="zh-CN"/>
              </w:rPr>
              <w:t>（</w:t>
            </w:r>
            <w:r>
              <w:rPr>
                <w:rFonts w:hint="default" w:ascii="Times New Roman" w:hAnsi="Times New Roman" w:cs="Times New Roman"/>
                <w:color w:val="auto"/>
                <w:sz w:val="21"/>
                <w:szCs w:val="21"/>
                <w:highlight w:val="none"/>
                <w:lang w:val="en-US" w:eastAsia="zh-CN"/>
              </w:rPr>
              <w:t>两年</w:t>
            </w:r>
            <w:r>
              <w:rPr>
                <w:rFonts w:hint="default" w:ascii="Times New Roman" w:hAnsi="Times New Roman" w:cs="Times New Roman"/>
                <w:color w:val="auto"/>
                <w:sz w:val="21"/>
                <w:szCs w:val="21"/>
                <w:highlight w:val="none"/>
                <w:lang w:eastAsia="zh-CN"/>
              </w:rPr>
              <w:t>）</w:t>
            </w:r>
          </w:p>
        </w:tc>
      </w:tr>
      <w:tr w14:paraId="200035E2">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1364" w:hRule="atLeast"/>
        </w:trPr>
        <w:tc>
          <w:tcPr>
            <w:tcW w:w="3076"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3B78CBD2">
            <w:pPr>
              <w:keepNext w:val="0"/>
              <w:keepLines w:val="0"/>
              <w:pageBreakBefore w:val="0"/>
              <w:pBdr>
                <w:top w:val="none" w:color="000000" w:sz="0" w:space="0"/>
                <w:left w:val="none" w:color="000000" w:sz="0" w:space="0"/>
                <w:bottom w:val="none" w:color="000000" w:sz="0" w:space="0"/>
                <w:right w:val="none" w:color="000000" w:sz="0" w:space="0"/>
              </w:pBdr>
              <w:spacing w:beforeAutospacing="0" w:afterAutospacing="0" w:line="360" w:lineRule="auto"/>
              <w:jc w:val="center"/>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  </w:t>
            </w:r>
          </w:p>
        </w:tc>
        <w:tc>
          <w:tcPr>
            <w:tcW w:w="2639"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357F6463">
            <w:pPr>
              <w:keepNext w:val="0"/>
              <w:keepLines w:val="0"/>
              <w:pageBreakBefore w:val="0"/>
              <w:pBdr>
                <w:top w:val="none" w:color="000000" w:sz="0" w:space="0"/>
                <w:left w:val="none" w:color="000000" w:sz="0" w:space="0"/>
                <w:bottom w:val="none" w:color="000000" w:sz="0" w:space="0"/>
                <w:right w:val="none" w:color="000000" w:sz="0" w:space="0"/>
              </w:pBdr>
              <w:spacing w:beforeAutospacing="0" w:afterAutospacing="0" w:line="360" w:lineRule="auto"/>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 详见响应文件</w:t>
            </w:r>
          </w:p>
        </w:tc>
        <w:tc>
          <w:tcPr>
            <w:tcW w:w="2696"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40B8A8AB">
            <w:pPr>
              <w:keepNext w:val="0"/>
              <w:keepLines w:val="0"/>
              <w:pageBreakBefore w:val="0"/>
              <w:pBdr>
                <w:top w:val="none" w:color="000000" w:sz="0" w:space="0"/>
                <w:left w:val="none" w:color="000000" w:sz="0" w:space="0"/>
                <w:bottom w:val="none" w:color="000000" w:sz="0" w:space="0"/>
                <w:right w:val="none" w:color="000000" w:sz="0" w:space="0"/>
              </w:pBdr>
              <w:spacing w:beforeAutospacing="0" w:afterAutospacing="0" w:line="360" w:lineRule="auto"/>
              <w:jc w:val="center"/>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 </w:t>
            </w:r>
          </w:p>
        </w:tc>
      </w:tr>
      <w:tr w14:paraId="1EA25155">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1370" w:hRule="atLeast"/>
        </w:trPr>
        <w:tc>
          <w:tcPr>
            <w:tcW w:w="3076"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7C895C27">
            <w:pPr>
              <w:keepNext w:val="0"/>
              <w:keepLines w:val="0"/>
              <w:pageBreakBefore w:val="0"/>
              <w:pBdr>
                <w:top w:val="none" w:color="000000" w:sz="0" w:space="0"/>
                <w:left w:val="none" w:color="000000" w:sz="0" w:space="0"/>
                <w:bottom w:val="none" w:color="000000" w:sz="0" w:space="0"/>
                <w:right w:val="none" w:color="000000" w:sz="0" w:space="0"/>
              </w:pBdr>
              <w:spacing w:beforeAutospacing="0" w:afterAutospacing="0" w:line="360" w:lineRule="auto"/>
              <w:jc w:val="center"/>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总价（大写）：</w:t>
            </w:r>
          </w:p>
          <w:p w14:paraId="1602BD80">
            <w:pPr>
              <w:pStyle w:val="18"/>
              <w:keepNext w:val="0"/>
              <w:keepLines w:val="0"/>
              <w:pageBreakBefore w:val="0"/>
              <w:spacing w:beforeAutospacing="0" w:afterAutospacing="0" w:line="360" w:lineRule="auto"/>
              <w:ind w:left="0" w:firstLine="0"/>
              <w:jc w:val="center"/>
              <w:rPr>
                <w:rFonts w:hint="default" w:ascii="Times New Roman" w:hAnsi="Times New Roman" w:eastAsia="宋体" w:cs="Times New Roman"/>
                <w:color w:val="auto"/>
                <w:sz w:val="21"/>
                <w:szCs w:val="21"/>
                <w:highlight w:val="none"/>
                <w:lang w:eastAsia="zh-CN"/>
              </w:rPr>
            </w:pPr>
            <w:r>
              <w:rPr>
                <w:rFonts w:hint="default" w:ascii="Times New Roman" w:hAnsi="Times New Roman" w:cs="Times New Roman"/>
                <w:color w:val="auto"/>
                <w:sz w:val="21"/>
                <w:szCs w:val="21"/>
                <w:highlight w:val="none"/>
                <w:lang w:eastAsia="zh-CN"/>
              </w:rPr>
              <w:t>（</w:t>
            </w:r>
            <w:r>
              <w:rPr>
                <w:rFonts w:hint="default" w:ascii="Times New Roman" w:hAnsi="Times New Roman" w:cs="Times New Roman"/>
                <w:color w:val="auto"/>
                <w:sz w:val="21"/>
                <w:szCs w:val="21"/>
                <w:highlight w:val="none"/>
                <w:lang w:val="en-US" w:eastAsia="zh-CN"/>
              </w:rPr>
              <w:t>两年</w:t>
            </w:r>
            <w:r>
              <w:rPr>
                <w:rFonts w:hint="default" w:ascii="Times New Roman" w:hAnsi="Times New Roman" w:cs="Times New Roman"/>
                <w:color w:val="auto"/>
                <w:sz w:val="21"/>
                <w:szCs w:val="21"/>
                <w:highlight w:val="none"/>
                <w:lang w:eastAsia="zh-CN"/>
              </w:rPr>
              <w:t>）</w:t>
            </w:r>
          </w:p>
        </w:tc>
        <w:tc>
          <w:tcPr>
            <w:tcW w:w="5336" w:type="dxa"/>
            <w:gridSpan w:val="2"/>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36E2B6C8">
            <w:pPr>
              <w:keepNext w:val="0"/>
              <w:keepLines w:val="0"/>
              <w:pageBreakBefore w:val="0"/>
              <w:pBdr>
                <w:top w:val="none" w:color="000000" w:sz="0" w:space="0"/>
                <w:left w:val="none" w:color="000000" w:sz="0" w:space="0"/>
                <w:bottom w:val="none" w:color="000000" w:sz="0" w:space="0"/>
                <w:right w:val="none" w:color="000000" w:sz="0" w:space="0"/>
              </w:pBdr>
              <w:spacing w:beforeAutospacing="0" w:afterAutospacing="0" w:line="360" w:lineRule="auto"/>
              <w:jc w:val="center"/>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 </w:t>
            </w:r>
          </w:p>
        </w:tc>
      </w:tr>
    </w:tbl>
    <w:p w14:paraId="5E1DA592">
      <w:pPr>
        <w:keepNext w:val="0"/>
        <w:keepLines w:val="0"/>
        <w:pageBreakBefore w:val="0"/>
        <w:pBdr>
          <w:top w:val="none" w:color="000000" w:sz="0" w:space="0"/>
          <w:left w:val="none" w:color="000000" w:sz="0" w:space="0"/>
          <w:bottom w:val="none" w:color="000000" w:sz="0" w:space="0"/>
          <w:right w:val="none" w:color="000000" w:sz="0" w:space="0"/>
        </w:pBdr>
        <w:spacing w:beforeAutospacing="0" w:afterAutospacing="0" w:line="360" w:lineRule="auto"/>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 </w:t>
      </w:r>
    </w:p>
    <w:p w14:paraId="4AA3BF50">
      <w:pPr>
        <w:keepNext w:val="0"/>
        <w:keepLines w:val="0"/>
        <w:pageBreakBefore w:val="0"/>
        <w:pBdr>
          <w:top w:val="none" w:color="000000" w:sz="0" w:space="0"/>
          <w:left w:val="none" w:color="000000" w:sz="0" w:space="0"/>
          <w:bottom w:val="none" w:color="000000" w:sz="0" w:space="0"/>
          <w:right w:val="none" w:color="000000" w:sz="0" w:space="0"/>
        </w:pBdr>
        <w:spacing w:beforeAutospacing="0" w:afterAutospacing="0" w:line="360" w:lineRule="auto"/>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报价说明：</w:t>
      </w:r>
    </w:p>
    <w:p w14:paraId="3F206835">
      <w:pPr>
        <w:keepNext w:val="0"/>
        <w:keepLines w:val="0"/>
        <w:pageBreakBefore w:val="0"/>
        <w:pBdr>
          <w:top w:val="none" w:color="000000" w:sz="0" w:space="0"/>
          <w:left w:val="none" w:color="000000" w:sz="0" w:space="0"/>
          <w:bottom w:val="none" w:color="000000" w:sz="0" w:space="0"/>
          <w:right w:val="none" w:color="000000" w:sz="0" w:space="0"/>
        </w:pBdr>
        <w:spacing w:beforeAutospacing="0" w:afterAutospacing="0" w:line="360" w:lineRule="auto"/>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1、报价包括完成项目的所有费用。采购人不再支付报价以外的任何费用。</w:t>
      </w:r>
    </w:p>
    <w:p w14:paraId="6E08F456">
      <w:pPr>
        <w:keepNext w:val="0"/>
        <w:keepLines w:val="0"/>
        <w:pageBreakBefore w:val="0"/>
        <w:pBdr>
          <w:top w:val="none" w:color="000000" w:sz="0" w:space="0"/>
          <w:left w:val="none" w:color="000000" w:sz="0" w:space="0"/>
          <w:bottom w:val="none" w:color="000000" w:sz="0" w:space="0"/>
          <w:right w:val="none" w:color="000000" w:sz="0" w:space="0"/>
        </w:pBdr>
        <w:spacing w:beforeAutospacing="0" w:afterAutospacing="0" w:line="360" w:lineRule="auto"/>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2、报价以总价为准，大小写不一致以大写为准；</w:t>
      </w:r>
    </w:p>
    <w:p w14:paraId="54C2085A">
      <w:pPr>
        <w:keepNext w:val="0"/>
        <w:keepLines w:val="0"/>
        <w:pageBreakBefore w:val="0"/>
        <w:pBdr>
          <w:top w:val="none" w:color="000000" w:sz="0" w:space="0"/>
          <w:left w:val="none" w:color="000000" w:sz="0" w:space="0"/>
          <w:bottom w:val="none" w:color="000000" w:sz="0" w:space="0"/>
          <w:right w:val="none" w:color="000000" w:sz="0" w:space="0"/>
        </w:pBdr>
        <w:spacing w:beforeAutospacing="0" w:afterAutospacing="0" w:line="360" w:lineRule="auto"/>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3、偏离说明：详见《偏离表》；</w:t>
      </w:r>
    </w:p>
    <w:p w14:paraId="61190ACE">
      <w:pPr>
        <w:keepNext w:val="0"/>
        <w:keepLines w:val="0"/>
        <w:pageBreakBefore w:val="0"/>
        <w:pBdr>
          <w:top w:val="none" w:color="000000" w:sz="0" w:space="0"/>
          <w:left w:val="none" w:color="000000" w:sz="0" w:space="0"/>
          <w:bottom w:val="none" w:color="000000" w:sz="0" w:space="0"/>
          <w:right w:val="none" w:color="000000" w:sz="0" w:space="0"/>
        </w:pBdr>
        <w:spacing w:beforeAutospacing="0" w:afterAutospacing="0" w:line="360" w:lineRule="auto"/>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供应商（电子签章）：</w:t>
      </w:r>
    </w:p>
    <w:p w14:paraId="6832C64E">
      <w:pPr>
        <w:keepNext w:val="0"/>
        <w:keepLines w:val="0"/>
        <w:pageBreakBefore w:val="0"/>
        <w:pBdr>
          <w:top w:val="none" w:color="000000" w:sz="0" w:space="0"/>
          <w:left w:val="none" w:color="000000" w:sz="0" w:space="0"/>
          <w:bottom w:val="none" w:color="000000" w:sz="0" w:space="0"/>
          <w:right w:val="none" w:color="000000" w:sz="0" w:space="0"/>
        </w:pBdr>
        <w:spacing w:beforeAutospacing="0" w:afterAutospacing="0" w:line="360" w:lineRule="auto"/>
        <w:rPr>
          <w:rFonts w:hint="default" w:ascii="Times New Roman" w:hAnsi="Times New Roman" w:cs="Times New Roman"/>
          <w:color w:val="auto"/>
          <w:highlight w:val="none"/>
        </w:rPr>
      </w:pPr>
      <w:r>
        <w:rPr>
          <w:rFonts w:hint="default" w:ascii="Times New Roman" w:hAnsi="Times New Roman" w:cs="Times New Roman"/>
          <w:color w:val="auto"/>
          <w:sz w:val="24"/>
          <w:highlight w:val="none"/>
        </w:rPr>
        <w:t> </w:t>
      </w:r>
    </w:p>
    <w:p w14:paraId="4EFDE1A9">
      <w:pPr>
        <w:keepNext w:val="0"/>
        <w:keepLines w:val="0"/>
        <w:pageBreakBefore w:val="0"/>
        <w:pBdr>
          <w:top w:val="none" w:color="000000" w:sz="0" w:space="0"/>
          <w:left w:val="none" w:color="000000" w:sz="0" w:space="0"/>
          <w:bottom w:val="none" w:color="000000" w:sz="0" w:space="0"/>
          <w:right w:val="none" w:color="000000" w:sz="0" w:space="0"/>
        </w:pBdr>
        <w:spacing w:beforeAutospacing="0" w:afterAutospacing="0" w:line="360" w:lineRule="auto"/>
        <w:rPr>
          <w:rFonts w:hint="default" w:ascii="Times New Roman" w:hAnsi="Times New Roman" w:cs="Times New Roman"/>
          <w:color w:val="auto"/>
          <w:highlight w:val="none"/>
        </w:rPr>
      </w:pPr>
      <w:r>
        <w:rPr>
          <w:rFonts w:hint="default" w:ascii="Times New Roman" w:hAnsi="Times New Roman" w:cs="Times New Roman"/>
          <w:color w:val="auto"/>
          <w:sz w:val="24"/>
          <w:highlight w:val="none"/>
        </w:rPr>
        <w:t>  </w:t>
      </w:r>
    </w:p>
    <w:p w14:paraId="31E26611">
      <w:pPr>
        <w:keepNext w:val="0"/>
        <w:keepLines w:val="0"/>
        <w:pageBreakBefore w:val="0"/>
        <w:pBdr>
          <w:top w:val="none" w:color="000000" w:sz="0" w:space="0"/>
          <w:left w:val="none" w:color="000000" w:sz="0" w:space="0"/>
          <w:bottom w:val="none" w:color="000000" w:sz="0" w:space="0"/>
          <w:right w:val="none" w:color="000000" w:sz="0" w:space="0"/>
        </w:pBdr>
        <w:spacing w:beforeAutospacing="0" w:afterAutospacing="0" w:line="360" w:lineRule="auto"/>
        <w:ind w:left="120" w:right="120"/>
        <w:rPr>
          <w:rFonts w:hint="default" w:ascii="Times New Roman" w:hAnsi="Times New Roman" w:cs="Times New Roman"/>
          <w:color w:val="auto"/>
          <w:highlight w:val="none"/>
        </w:rPr>
      </w:pPr>
      <w:r>
        <w:rPr>
          <w:rFonts w:hint="default" w:ascii="Times New Roman" w:hAnsi="Times New Roman" w:cs="Times New Roman"/>
          <w:color w:val="auto"/>
          <w:highlight w:val="none"/>
        </w:rPr>
        <w:br w:type="page" w:clear="all"/>
      </w:r>
    </w:p>
    <w:p w14:paraId="4C512113">
      <w:pPr>
        <w:pStyle w:val="6"/>
        <w:spacing w:line="360" w:lineRule="auto"/>
        <w:rPr>
          <w:rFonts w:hint="default" w:ascii="Times New Roman" w:hAnsi="Times New Roman" w:cs="Times New Roman"/>
          <w:color w:val="auto"/>
          <w:highlight w:val="none"/>
        </w:rPr>
      </w:pPr>
      <w:r>
        <w:rPr>
          <w:rFonts w:hint="default" w:ascii="Times New Roman" w:hAnsi="Times New Roman" w:cs="Times New Roman"/>
          <w:color w:val="auto"/>
          <w:highlight w:val="none"/>
        </w:rPr>
        <w:t>分项价格表</w:t>
      </w:r>
    </w:p>
    <w:p w14:paraId="020E580F">
      <w:pPr>
        <w:keepNext w:val="0"/>
        <w:keepLines w:val="0"/>
        <w:pageBreakBefore w:val="0"/>
        <w:pBdr>
          <w:top w:val="none" w:color="000000" w:sz="0" w:space="0"/>
          <w:left w:val="none" w:color="000000" w:sz="0" w:space="0"/>
          <w:bottom w:val="none" w:color="000000" w:sz="0" w:space="0"/>
          <w:right w:val="none" w:color="000000" w:sz="0" w:space="0"/>
        </w:pBdr>
        <w:spacing w:beforeAutospacing="0" w:afterAutospacing="0" w:line="360" w:lineRule="auto"/>
        <w:rPr>
          <w:rFonts w:hint="default" w:ascii="Times New Roman" w:hAnsi="Times New Roman" w:cs="Times New Roman"/>
          <w:color w:val="auto"/>
          <w:highlight w:val="none"/>
        </w:rPr>
      </w:pPr>
      <w:r>
        <w:rPr>
          <w:rFonts w:hint="default" w:ascii="Times New Roman" w:hAnsi="Times New Roman" w:cs="Times New Roman"/>
          <w:color w:val="auto"/>
          <w:sz w:val="24"/>
          <w:highlight w:val="none"/>
        </w:rPr>
        <w:t> </w:t>
      </w:r>
    </w:p>
    <w:p w14:paraId="46DF1D49">
      <w:pPr>
        <w:keepNext w:val="0"/>
        <w:keepLines w:val="0"/>
        <w:pageBreakBefore w:val="0"/>
        <w:pBdr>
          <w:top w:val="none" w:color="000000" w:sz="0" w:space="0"/>
          <w:left w:val="none" w:color="000000" w:sz="0" w:space="0"/>
          <w:bottom w:val="none" w:color="000000" w:sz="0" w:space="0"/>
          <w:right w:val="none" w:color="000000" w:sz="0" w:space="0"/>
        </w:pBdr>
        <w:spacing w:beforeAutospacing="0" w:afterAutospacing="0" w:line="360" w:lineRule="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项目名称：</w:t>
      </w:r>
      <w:r>
        <w:rPr>
          <w:rFonts w:hint="default" w:ascii="Times New Roman" w:hAnsi="Times New Roman" w:eastAsia="宋体" w:cs="Times New Roman"/>
          <w:color w:val="auto"/>
          <w:sz w:val="21"/>
          <w:szCs w:val="21"/>
          <w:highlight w:val="none"/>
          <w:u w:val="single"/>
        </w:rPr>
        <w:t>                    </w:t>
      </w:r>
    </w:p>
    <w:p w14:paraId="05D9F877">
      <w:pPr>
        <w:keepNext w:val="0"/>
        <w:keepLines w:val="0"/>
        <w:pageBreakBefore w:val="0"/>
        <w:pBdr>
          <w:top w:val="none" w:color="000000" w:sz="0" w:space="0"/>
          <w:left w:val="none" w:color="000000" w:sz="0" w:space="0"/>
          <w:bottom w:val="none" w:color="000000" w:sz="0" w:space="0"/>
          <w:right w:val="none" w:color="000000" w:sz="0" w:space="0"/>
        </w:pBdr>
        <w:spacing w:beforeAutospacing="0" w:afterAutospacing="0" w:line="360" w:lineRule="auto"/>
        <w:rPr>
          <w:rFonts w:hint="default" w:ascii="Times New Roman" w:hAnsi="Times New Roman" w:eastAsia="宋体" w:cs="Times New Roman"/>
          <w:color w:val="auto"/>
          <w:sz w:val="21"/>
          <w:szCs w:val="21"/>
          <w:highlight w:val="none"/>
          <w:u w:val="single"/>
        </w:rPr>
      </w:pPr>
      <w:r>
        <w:rPr>
          <w:rFonts w:hint="default" w:ascii="Times New Roman" w:hAnsi="Times New Roman" w:eastAsia="宋体" w:cs="Times New Roman"/>
          <w:color w:val="auto"/>
          <w:sz w:val="21"/>
          <w:szCs w:val="21"/>
          <w:highlight w:val="none"/>
        </w:rPr>
        <w:t>项目编号：</w:t>
      </w:r>
      <w:r>
        <w:rPr>
          <w:rFonts w:hint="default" w:ascii="Times New Roman" w:hAnsi="Times New Roman" w:eastAsia="宋体" w:cs="Times New Roman"/>
          <w:color w:val="auto"/>
          <w:sz w:val="21"/>
          <w:szCs w:val="21"/>
          <w:highlight w:val="none"/>
          <w:u w:val="single"/>
        </w:rPr>
        <w:t>                   </w:t>
      </w:r>
    </w:p>
    <w:p w14:paraId="1AF41475">
      <w:pPr>
        <w:keepNext w:val="0"/>
        <w:keepLines w:val="0"/>
        <w:pageBreakBefore w:val="0"/>
        <w:pBdr>
          <w:top w:val="none" w:color="000000" w:sz="0" w:space="0"/>
          <w:left w:val="none" w:color="000000" w:sz="0" w:space="0"/>
          <w:bottom w:val="none" w:color="000000" w:sz="0" w:space="0"/>
          <w:right w:val="none" w:color="000000" w:sz="0" w:space="0"/>
        </w:pBdr>
        <w:spacing w:beforeAutospacing="0" w:afterAutospacing="0" w:line="360" w:lineRule="auto"/>
        <w:rPr>
          <w:rFonts w:hint="default" w:ascii="Times New Roman" w:hAnsi="Times New Roman" w:eastAsia="宋体" w:cs="Times New Roman"/>
          <w:color w:val="auto"/>
          <w:sz w:val="21"/>
          <w:szCs w:val="21"/>
          <w:highlight w:val="none"/>
          <w:u w:val="single"/>
          <w:lang w:val="en-US" w:eastAsia="zh-CN"/>
        </w:rPr>
      </w:pPr>
      <w:r>
        <w:rPr>
          <w:rFonts w:hint="default" w:ascii="Times New Roman" w:hAnsi="Times New Roman" w:eastAsia="宋体" w:cs="Times New Roman"/>
          <w:color w:val="auto"/>
          <w:sz w:val="21"/>
          <w:szCs w:val="21"/>
          <w:highlight w:val="none"/>
          <w:lang w:val="en-US" w:eastAsia="zh-CN"/>
        </w:rPr>
        <w:t xml:space="preserve">采购包号： </w:t>
      </w:r>
      <w:r>
        <w:rPr>
          <w:rFonts w:hint="default" w:ascii="Times New Roman" w:hAnsi="Times New Roman" w:eastAsia="宋体" w:cs="Times New Roman"/>
          <w:color w:val="auto"/>
          <w:sz w:val="21"/>
          <w:szCs w:val="21"/>
          <w:highlight w:val="none"/>
          <w:u w:val="single"/>
          <w:lang w:val="en-US" w:eastAsia="zh-CN"/>
        </w:rPr>
        <w:t xml:space="preserve">                     </w:t>
      </w:r>
      <w:r>
        <w:rPr>
          <w:rFonts w:hint="default" w:ascii="Times New Roman" w:hAnsi="Times New Roman" w:cs="Times New Roman"/>
          <w:color w:val="auto"/>
          <w:sz w:val="21"/>
          <w:szCs w:val="21"/>
          <w:highlight w:val="none"/>
          <w:u w:val="single"/>
          <w:lang w:val="en-US" w:eastAsia="zh-CN"/>
        </w:rPr>
        <w:t xml:space="preserve">       </w:t>
      </w:r>
    </w:p>
    <w:p w14:paraId="456792E0">
      <w:pPr>
        <w:keepNext w:val="0"/>
        <w:keepLines w:val="0"/>
        <w:pageBreakBefore w:val="0"/>
        <w:pBdr>
          <w:top w:val="none" w:color="000000" w:sz="0" w:space="0"/>
          <w:left w:val="none" w:color="000000" w:sz="0" w:space="0"/>
          <w:bottom w:val="none" w:color="000000" w:sz="0" w:space="0"/>
          <w:right w:val="none" w:color="000000" w:sz="0" w:space="0"/>
        </w:pBdr>
        <w:spacing w:beforeAutospacing="0" w:afterAutospacing="0" w:line="360" w:lineRule="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供应商名称：</w:t>
      </w:r>
      <w:r>
        <w:rPr>
          <w:rFonts w:hint="default" w:ascii="Times New Roman" w:hAnsi="Times New Roman" w:eastAsia="宋体" w:cs="Times New Roman"/>
          <w:color w:val="auto"/>
          <w:sz w:val="21"/>
          <w:szCs w:val="21"/>
          <w:highlight w:val="none"/>
          <w:u w:val="single"/>
        </w:rPr>
        <w:t>                 </w:t>
      </w:r>
    </w:p>
    <w:p w14:paraId="01ABE6EE">
      <w:pPr>
        <w:keepNext w:val="0"/>
        <w:keepLines w:val="0"/>
        <w:pageBreakBefore w:val="0"/>
        <w:pBdr>
          <w:top w:val="none" w:color="000000" w:sz="0" w:space="0"/>
          <w:left w:val="none" w:color="000000" w:sz="0" w:space="0"/>
          <w:bottom w:val="none" w:color="000000" w:sz="0" w:space="0"/>
          <w:right w:val="none" w:color="000000" w:sz="0" w:space="0"/>
        </w:pBdr>
        <w:spacing w:beforeAutospacing="0" w:afterAutospacing="0" w:line="360" w:lineRule="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 </w:t>
      </w:r>
      <w:r>
        <w:rPr>
          <w:rFonts w:hint="default" w:ascii="Times New Roman" w:hAnsi="Times New Roman" w:eastAsia="宋体" w:cs="Times New Roman"/>
          <w:b/>
          <w:color w:val="auto"/>
          <w:sz w:val="21"/>
          <w:szCs w:val="21"/>
          <w:highlight w:val="none"/>
        </w:rPr>
        <w:t> </w:t>
      </w:r>
      <w:r>
        <w:rPr>
          <w:rFonts w:hint="default" w:ascii="Times New Roman" w:hAnsi="Times New Roman" w:eastAsia="宋体" w:cs="Times New Roman"/>
          <w:color w:val="auto"/>
          <w:sz w:val="21"/>
          <w:szCs w:val="21"/>
          <w:highlight w:val="none"/>
        </w:rPr>
        <w:t>货币单位：人民币元</w:t>
      </w:r>
    </w:p>
    <w:tbl>
      <w:tblPr>
        <w:tblStyle w:val="43"/>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69"/>
        <w:gridCol w:w="1288"/>
        <w:gridCol w:w="1519"/>
        <w:gridCol w:w="1445"/>
        <w:gridCol w:w="740"/>
        <w:gridCol w:w="1236"/>
        <w:gridCol w:w="1224"/>
      </w:tblGrid>
      <w:tr w14:paraId="26532F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4" w:hRule="atLeast"/>
        </w:trPr>
        <w:tc>
          <w:tcPr>
            <w:tcW w:w="769" w:type="dxa"/>
            <w:vMerge w:val="restart"/>
            <w:noWrap w:val="0"/>
            <w:tcMar>
              <w:top w:w="0" w:type="dxa"/>
              <w:left w:w="108" w:type="dxa"/>
              <w:bottom w:w="0" w:type="dxa"/>
              <w:right w:w="108" w:type="dxa"/>
            </w:tcMar>
            <w:vAlign w:val="center"/>
          </w:tcPr>
          <w:p w14:paraId="5E1E446E">
            <w:pPr>
              <w:keepNext w:val="0"/>
              <w:keepLines w:val="0"/>
              <w:pageBreakBefore w:val="0"/>
              <w:pBdr>
                <w:top w:val="none" w:color="000000" w:sz="0" w:space="0"/>
                <w:left w:val="none" w:color="000000" w:sz="0" w:space="0"/>
                <w:bottom w:val="none" w:color="000000" w:sz="0" w:space="0"/>
                <w:right w:val="none" w:color="000000" w:sz="0" w:space="0"/>
              </w:pBdr>
              <w:spacing w:beforeAutospacing="0" w:afterAutospacing="0" w:line="360" w:lineRule="auto"/>
              <w:jc w:val="center"/>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序号</w:t>
            </w:r>
          </w:p>
        </w:tc>
        <w:tc>
          <w:tcPr>
            <w:tcW w:w="1288" w:type="dxa"/>
            <w:noWrap w:val="0"/>
            <w:tcMar>
              <w:top w:w="0" w:type="dxa"/>
              <w:left w:w="108" w:type="dxa"/>
              <w:bottom w:w="0" w:type="dxa"/>
              <w:right w:w="108" w:type="dxa"/>
            </w:tcMar>
            <w:vAlign w:val="center"/>
          </w:tcPr>
          <w:p w14:paraId="7FF2D81A">
            <w:pPr>
              <w:keepNext w:val="0"/>
              <w:keepLines w:val="0"/>
              <w:pageBreakBefore w:val="0"/>
              <w:pBdr>
                <w:top w:val="none" w:color="000000" w:sz="0" w:space="0"/>
                <w:left w:val="none" w:color="000000" w:sz="0" w:space="0"/>
                <w:bottom w:val="none" w:color="000000" w:sz="0" w:space="0"/>
                <w:right w:val="none" w:color="000000" w:sz="0" w:space="0"/>
              </w:pBdr>
              <w:spacing w:beforeAutospacing="0" w:afterAutospacing="0" w:line="360" w:lineRule="auto"/>
              <w:jc w:val="center"/>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1</w:t>
            </w:r>
          </w:p>
        </w:tc>
        <w:tc>
          <w:tcPr>
            <w:tcW w:w="1519" w:type="dxa"/>
            <w:noWrap w:val="0"/>
            <w:tcMar>
              <w:top w:w="0" w:type="dxa"/>
              <w:left w:w="108" w:type="dxa"/>
              <w:bottom w:w="0" w:type="dxa"/>
              <w:right w:w="108" w:type="dxa"/>
            </w:tcMar>
            <w:vAlign w:val="center"/>
          </w:tcPr>
          <w:p w14:paraId="43F33CC4">
            <w:pPr>
              <w:keepNext w:val="0"/>
              <w:keepLines w:val="0"/>
              <w:pageBreakBefore w:val="0"/>
              <w:pBdr>
                <w:top w:val="none" w:color="000000" w:sz="0" w:space="0"/>
                <w:left w:val="none" w:color="000000" w:sz="0" w:space="0"/>
                <w:bottom w:val="none" w:color="000000" w:sz="0" w:space="0"/>
                <w:right w:val="none" w:color="000000" w:sz="0" w:space="0"/>
              </w:pBdr>
              <w:spacing w:beforeAutospacing="0" w:afterAutospacing="0" w:line="360" w:lineRule="auto"/>
              <w:jc w:val="center"/>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2</w:t>
            </w:r>
          </w:p>
        </w:tc>
        <w:tc>
          <w:tcPr>
            <w:tcW w:w="1445" w:type="dxa"/>
            <w:noWrap w:val="0"/>
            <w:tcMar>
              <w:top w:w="0" w:type="dxa"/>
              <w:left w:w="108" w:type="dxa"/>
              <w:bottom w:w="0" w:type="dxa"/>
              <w:right w:w="108" w:type="dxa"/>
            </w:tcMar>
            <w:vAlign w:val="center"/>
          </w:tcPr>
          <w:p w14:paraId="33AC6AEA">
            <w:pPr>
              <w:keepNext w:val="0"/>
              <w:keepLines w:val="0"/>
              <w:pageBreakBefore w:val="0"/>
              <w:pBdr>
                <w:top w:val="none" w:color="000000" w:sz="0" w:space="0"/>
                <w:left w:val="none" w:color="000000" w:sz="0" w:space="0"/>
                <w:bottom w:val="none" w:color="000000" w:sz="0" w:space="0"/>
                <w:right w:val="none" w:color="000000" w:sz="0" w:space="0"/>
              </w:pBdr>
              <w:spacing w:beforeAutospacing="0" w:afterAutospacing="0" w:line="360" w:lineRule="auto"/>
              <w:jc w:val="center"/>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3</w:t>
            </w:r>
          </w:p>
        </w:tc>
        <w:tc>
          <w:tcPr>
            <w:tcW w:w="740" w:type="dxa"/>
            <w:noWrap w:val="0"/>
            <w:tcMar>
              <w:top w:w="0" w:type="dxa"/>
              <w:left w:w="108" w:type="dxa"/>
              <w:bottom w:w="0" w:type="dxa"/>
              <w:right w:w="108" w:type="dxa"/>
            </w:tcMar>
            <w:vAlign w:val="center"/>
          </w:tcPr>
          <w:p w14:paraId="0A0790C6">
            <w:pPr>
              <w:keepNext w:val="0"/>
              <w:keepLines w:val="0"/>
              <w:pageBreakBefore w:val="0"/>
              <w:pBdr>
                <w:top w:val="none" w:color="000000" w:sz="0" w:space="0"/>
                <w:left w:val="none" w:color="000000" w:sz="0" w:space="0"/>
                <w:bottom w:val="none" w:color="000000" w:sz="0" w:space="0"/>
                <w:right w:val="none" w:color="000000" w:sz="0" w:space="0"/>
              </w:pBdr>
              <w:spacing w:beforeAutospacing="0" w:afterAutospacing="0" w:line="360" w:lineRule="auto"/>
              <w:jc w:val="center"/>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4</w:t>
            </w:r>
          </w:p>
        </w:tc>
        <w:tc>
          <w:tcPr>
            <w:tcW w:w="1235" w:type="dxa"/>
            <w:noWrap w:val="0"/>
            <w:tcMar>
              <w:top w:w="0" w:type="dxa"/>
              <w:left w:w="108" w:type="dxa"/>
              <w:bottom w:w="0" w:type="dxa"/>
              <w:right w:w="108" w:type="dxa"/>
            </w:tcMar>
            <w:vAlign w:val="center"/>
          </w:tcPr>
          <w:p w14:paraId="04EB9DF6">
            <w:pPr>
              <w:keepNext w:val="0"/>
              <w:keepLines w:val="0"/>
              <w:pageBreakBefore w:val="0"/>
              <w:pBdr>
                <w:top w:val="none" w:color="000000" w:sz="0" w:space="0"/>
                <w:left w:val="none" w:color="000000" w:sz="0" w:space="0"/>
                <w:bottom w:val="none" w:color="000000" w:sz="0" w:space="0"/>
                <w:right w:val="none" w:color="000000" w:sz="0" w:space="0"/>
              </w:pBdr>
              <w:spacing w:beforeAutospacing="0" w:afterAutospacing="0" w:line="360" w:lineRule="auto"/>
              <w:jc w:val="center"/>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5</w:t>
            </w:r>
          </w:p>
        </w:tc>
        <w:tc>
          <w:tcPr>
            <w:tcW w:w="1224" w:type="dxa"/>
            <w:noWrap w:val="0"/>
            <w:tcMar>
              <w:top w:w="0" w:type="dxa"/>
              <w:left w:w="108" w:type="dxa"/>
              <w:bottom w:w="0" w:type="dxa"/>
              <w:right w:w="108" w:type="dxa"/>
            </w:tcMar>
            <w:vAlign w:val="center"/>
          </w:tcPr>
          <w:p w14:paraId="61CCF408">
            <w:pPr>
              <w:keepNext w:val="0"/>
              <w:keepLines w:val="0"/>
              <w:pageBreakBefore w:val="0"/>
              <w:pBdr>
                <w:top w:val="none" w:color="000000" w:sz="0" w:space="0"/>
                <w:left w:val="none" w:color="000000" w:sz="0" w:space="0"/>
                <w:bottom w:val="none" w:color="000000" w:sz="0" w:space="0"/>
                <w:right w:val="none" w:color="000000" w:sz="0" w:space="0"/>
              </w:pBdr>
              <w:spacing w:beforeAutospacing="0" w:afterAutospacing="0" w:line="360" w:lineRule="auto"/>
              <w:jc w:val="center"/>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6</w:t>
            </w:r>
          </w:p>
        </w:tc>
      </w:tr>
      <w:tr w14:paraId="27272C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4" w:hRule="atLeast"/>
        </w:trPr>
        <w:tc>
          <w:tcPr>
            <w:tcW w:w="0" w:type="auto"/>
            <w:vMerge w:val="continue"/>
            <w:noWrap w:val="0"/>
          </w:tcPr>
          <w:p w14:paraId="4FAC523D">
            <w:pPr>
              <w:keepNext w:val="0"/>
              <w:keepLines w:val="0"/>
              <w:pageBreakBefore w:val="0"/>
              <w:spacing w:beforeAutospacing="0" w:afterAutospacing="0" w:line="360" w:lineRule="auto"/>
              <w:rPr>
                <w:rFonts w:hint="default" w:ascii="Times New Roman" w:hAnsi="Times New Roman" w:eastAsia="宋体" w:cs="Times New Roman"/>
                <w:color w:val="auto"/>
                <w:sz w:val="21"/>
                <w:szCs w:val="21"/>
                <w:highlight w:val="none"/>
              </w:rPr>
            </w:pPr>
          </w:p>
        </w:tc>
        <w:tc>
          <w:tcPr>
            <w:tcW w:w="1288" w:type="dxa"/>
            <w:noWrap w:val="0"/>
            <w:tcMar>
              <w:top w:w="0" w:type="dxa"/>
              <w:left w:w="108" w:type="dxa"/>
              <w:bottom w:w="0" w:type="dxa"/>
              <w:right w:w="108" w:type="dxa"/>
            </w:tcMar>
            <w:vAlign w:val="center"/>
          </w:tcPr>
          <w:p w14:paraId="5F70443A">
            <w:pPr>
              <w:keepNext w:val="0"/>
              <w:keepLines w:val="0"/>
              <w:pageBreakBefore w:val="0"/>
              <w:pBdr>
                <w:top w:val="none" w:color="000000" w:sz="0" w:space="0"/>
                <w:left w:val="none" w:color="000000" w:sz="0" w:space="0"/>
                <w:bottom w:val="none" w:color="000000" w:sz="0" w:space="0"/>
                <w:right w:val="none" w:color="000000" w:sz="0" w:space="0"/>
              </w:pBdr>
              <w:spacing w:beforeAutospacing="0" w:afterAutospacing="0" w:line="360" w:lineRule="auto"/>
              <w:jc w:val="center"/>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分项服务名称</w:t>
            </w:r>
          </w:p>
        </w:tc>
        <w:tc>
          <w:tcPr>
            <w:tcW w:w="1519" w:type="dxa"/>
            <w:noWrap w:val="0"/>
            <w:tcMar>
              <w:top w:w="0" w:type="dxa"/>
              <w:left w:w="108" w:type="dxa"/>
              <w:bottom w:w="0" w:type="dxa"/>
              <w:right w:w="108" w:type="dxa"/>
            </w:tcMar>
            <w:vAlign w:val="center"/>
          </w:tcPr>
          <w:p w14:paraId="446B7A3D">
            <w:pPr>
              <w:keepNext w:val="0"/>
              <w:keepLines w:val="0"/>
              <w:pageBreakBefore w:val="0"/>
              <w:pBdr>
                <w:top w:val="none" w:color="000000" w:sz="0" w:space="0"/>
                <w:left w:val="none" w:color="000000" w:sz="0" w:space="0"/>
                <w:bottom w:val="none" w:color="000000" w:sz="0" w:space="0"/>
                <w:right w:val="none" w:color="000000" w:sz="0" w:space="0"/>
              </w:pBdr>
              <w:spacing w:beforeAutospacing="0" w:afterAutospacing="0" w:line="360" w:lineRule="auto"/>
              <w:jc w:val="center"/>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分项单位</w:t>
            </w:r>
          </w:p>
        </w:tc>
        <w:tc>
          <w:tcPr>
            <w:tcW w:w="1445" w:type="dxa"/>
            <w:noWrap w:val="0"/>
            <w:tcMar>
              <w:top w:w="0" w:type="dxa"/>
              <w:left w:w="108" w:type="dxa"/>
              <w:bottom w:w="0" w:type="dxa"/>
              <w:right w:w="108" w:type="dxa"/>
            </w:tcMar>
            <w:vAlign w:val="center"/>
          </w:tcPr>
          <w:p w14:paraId="58341545">
            <w:pPr>
              <w:keepNext w:val="0"/>
              <w:keepLines w:val="0"/>
              <w:pageBreakBefore w:val="0"/>
              <w:pBdr>
                <w:top w:val="none" w:color="000000" w:sz="0" w:space="0"/>
                <w:left w:val="none" w:color="000000" w:sz="0" w:space="0"/>
                <w:bottom w:val="none" w:color="000000" w:sz="0" w:space="0"/>
                <w:right w:val="none" w:color="000000" w:sz="0" w:space="0"/>
              </w:pBdr>
              <w:spacing w:beforeAutospacing="0" w:afterAutospacing="0" w:line="360" w:lineRule="auto"/>
              <w:jc w:val="center"/>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交付期</w:t>
            </w:r>
          </w:p>
        </w:tc>
        <w:tc>
          <w:tcPr>
            <w:tcW w:w="740" w:type="dxa"/>
            <w:noWrap w:val="0"/>
            <w:tcMar>
              <w:top w:w="0" w:type="dxa"/>
              <w:left w:w="108" w:type="dxa"/>
              <w:bottom w:w="0" w:type="dxa"/>
              <w:right w:w="108" w:type="dxa"/>
            </w:tcMar>
            <w:vAlign w:val="center"/>
          </w:tcPr>
          <w:p w14:paraId="3766CFD6">
            <w:pPr>
              <w:keepNext w:val="0"/>
              <w:keepLines w:val="0"/>
              <w:pageBreakBefore w:val="0"/>
              <w:pBdr>
                <w:top w:val="none" w:color="000000" w:sz="0" w:space="0"/>
                <w:left w:val="none" w:color="000000" w:sz="0" w:space="0"/>
                <w:bottom w:val="none" w:color="000000" w:sz="0" w:space="0"/>
                <w:right w:val="none" w:color="000000" w:sz="0" w:space="0"/>
              </w:pBdr>
              <w:spacing w:beforeAutospacing="0" w:afterAutospacing="0" w:line="360" w:lineRule="auto"/>
              <w:jc w:val="center"/>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数量</w:t>
            </w:r>
          </w:p>
        </w:tc>
        <w:tc>
          <w:tcPr>
            <w:tcW w:w="1235" w:type="dxa"/>
            <w:noWrap w:val="0"/>
            <w:tcMar>
              <w:top w:w="0" w:type="dxa"/>
              <w:left w:w="108" w:type="dxa"/>
              <w:bottom w:w="0" w:type="dxa"/>
              <w:right w:w="108" w:type="dxa"/>
            </w:tcMar>
            <w:vAlign w:val="center"/>
          </w:tcPr>
          <w:p w14:paraId="26AD0CD9">
            <w:pPr>
              <w:keepNext w:val="0"/>
              <w:keepLines w:val="0"/>
              <w:pageBreakBefore w:val="0"/>
              <w:pBdr>
                <w:top w:val="none" w:color="000000" w:sz="0" w:space="0"/>
                <w:left w:val="none" w:color="000000" w:sz="0" w:space="0"/>
                <w:bottom w:val="none" w:color="000000" w:sz="0" w:space="0"/>
                <w:right w:val="none" w:color="000000" w:sz="0" w:space="0"/>
              </w:pBdr>
              <w:spacing w:beforeAutospacing="0" w:afterAutospacing="0" w:line="360" w:lineRule="auto"/>
              <w:jc w:val="center"/>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分项</w:t>
            </w:r>
          </w:p>
          <w:p w14:paraId="2FDD7B6C">
            <w:pPr>
              <w:keepNext w:val="0"/>
              <w:keepLines w:val="0"/>
              <w:pageBreakBefore w:val="0"/>
              <w:pBdr>
                <w:top w:val="none" w:color="000000" w:sz="0" w:space="0"/>
                <w:left w:val="none" w:color="000000" w:sz="0" w:space="0"/>
                <w:bottom w:val="none" w:color="000000" w:sz="0" w:space="0"/>
                <w:right w:val="none" w:color="000000" w:sz="0" w:space="0"/>
              </w:pBdr>
              <w:spacing w:beforeAutospacing="0" w:afterAutospacing="0" w:line="360" w:lineRule="auto"/>
              <w:jc w:val="center"/>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单价</w:t>
            </w:r>
          </w:p>
        </w:tc>
        <w:tc>
          <w:tcPr>
            <w:tcW w:w="1224" w:type="dxa"/>
            <w:noWrap w:val="0"/>
            <w:tcMar>
              <w:top w:w="0" w:type="dxa"/>
              <w:left w:w="108" w:type="dxa"/>
              <w:bottom w:w="0" w:type="dxa"/>
              <w:right w:w="108" w:type="dxa"/>
            </w:tcMar>
            <w:vAlign w:val="center"/>
          </w:tcPr>
          <w:p w14:paraId="5902A49D">
            <w:pPr>
              <w:keepNext w:val="0"/>
              <w:keepLines w:val="0"/>
              <w:pageBreakBefore w:val="0"/>
              <w:pBdr>
                <w:top w:val="none" w:color="000000" w:sz="0" w:space="0"/>
                <w:left w:val="none" w:color="000000" w:sz="0" w:space="0"/>
                <w:bottom w:val="none" w:color="000000" w:sz="0" w:space="0"/>
                <w:right w:val="none" w:color="000000" w:sz="0" w:space="0"/>
              </w:pBdr>
              <w:spacing w:beforeAutospacing="0" w:afterAutospacing="0" w:line="360" w:lineRule="auto"/>
              <w:jc w:val="center"/>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分项</w:t>
            </w:r>
          </w:p>
          <w:p w14:paraId="250DC879">
            <w:pPr>
              <w:keepNext w:val="0"/>
              <w:keepLines w:val="0"/>
              <w:pageBreakBefore w:val="0"/>
              <w:pBdr>
                <w:top w:val="none" w:color="000000" w:sz="0" w:space="0"/>
                <w:left w:val="none" w:color="000000" w:sz="0" w:space="0"/>
                <w:bottom w:val="none" w:color="000000" w:sz="0" w:space="0"/>
                <w:right w:val="none" w:color="000000" w:sz="0" w:space="0"/>
              </w:pBdr>
              <w:spacing w:beforeAutospacing="0" w:afterAutospacing="0" w:line="360" w:lineRule="auto"/>
              <w:jc w:val="center"/>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总价</w:t>
            </w:r>
          </w:p>
        </w:tc>
      </w:tr>
      <w:tr w14:paraId="4D4976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4" w:hRule="atLeast"/>
        </w:trPr>
        <w:tc>
          <w:tcPr>
            <w:tcW w:w="769" w:type="dxa"/>
            <w:noWrap w:val="0"/>
            <w:tcMar>
              <w:top w:w="0" w:type="dxa"/>
              <w:left w:w="108" w:type="dxa"/>
              <w:bottom w:w="0" w:type="dxa"/>
              <w:right w:w="108" w:type="dxa"/>
            </w:tcMar>
            <w:vAlign w:val="center"/>
          </w:tcPr>
          <w:p w14:paraId="5FDDAD4C">
            <w:pPr>
              <w:keepNext w:val="0"/>
              <w:keepLines w:val="0"/>
              <w:pageBreakBefore w:val="0"/>
              <w:pBdr>
                <w:top w:val="none" w:color="000000" w:sz="0" w:space="0"/>
                <w:left w:val="none" w:color="000000" w:sz="0" w:space="0"/>
                <w:bottom w:val="none" w:color="000000" w:sz="0" w:space="0"/>
                <w:right w:val="none" w:color="000000" w:sz="0" w:space="0"/>
              </w:pBdr>
              <w:spacing w:beforeAutospacing="0" w:afterAutospacing="0" w:line="360" w:lineRule="auto"/>
              <w:jc w:val="center"/>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1</w:t>
            </w:r>
          </w:p>
        </w:tc>
        <w:tc>
          <w:tcPr>
            <w:tcW w:w="1288" w:type="dxa"/>
            <w:noWrap w:val="0"/>
            <w:tcMar>
              <w:top w:w="0" w:type="dxa"/>
              <w:left w:w="108" w:type="dxa"/>
              <w:bottom w:w="0" w:type="dxa"/>
              <w:right w:w="108" w:type="dxa"/>
            </w:tcMar>
            <w:vAlign w:val="center"/>
          </w:tcPr>
          <w:p w14:paraId="7CD161FA">
            <w:pPr>
              <w:keepNext w:val="0"/>
              <w:keepLines w:val="0"/>
              <w:pageBreakBefore w:val="0"/>
              <w:pBdr>
                <w:top w:val="none" w:color="000000" w:sz="0" w:space="0"/>
                <w:left w:val="none" w:color="000000" w:sz="0" w:space="0"/>
                <w:bottom w:val="none" w:color="000000" w:sz="0" w:space="0"/>
                <w:right w:val="none" w:color="000000" w:sz="0" w:space="0"/>
              </w:pBdr>
              <w:spacing w:beforeAutospacing="0" w:afterAutospacing="0" w:line="360" w:lineRule="auto"/>
              <w:jc w:val="center"/>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 </w:t>
            </w:r>
          </w:p>
        </w:tc>
        <w:tc>
          <w:tcPr>
            <w:tcW w:w="1519" w:type="dxa"/>
            <w:noWrap w:val="0"/>
            <w:tcMar>
              <w:top w:w="0" w:type="dxa"/>
              <w:left w:w="108" w:type="dxa"/>
              <w:bottom w:w="0" w:type="dxa"/>
              <w:right w:w="108" w:type="dxa"/>
            </w:tcMar>
            <w:vAlign w:val="center"/>
          </w:tcPr>
          <w:p w14:paraId="3BB6C765">
            <w:pPr>
              <w:keepNext w:val="0"/>
              <w:keepLines w:val="0"/>
              <w:pageBreakBefore w:val="0"/>
              <w:pBdr>
                <w:top w:val="none" w:color="000000" w:sz="0" w:space="0"/>
                <w:left w:val="none" w:color="000000" w:sz="0" w:space="0"/>
                <w:bottom w:val="none" w:color="000000" w:sz="0" w:space="0"/>
                <w:right w:val="none" w:color="000000" w:sz="0" w:space="0"/>
              </w:pBdr>
              <w:spacing w:beforeAutospacing="0" w:afterAutospacing="0" w:line="360" w:lineRule="auto"/>
              <w:jc w:val="center"/>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 </w:t>
            </w:r>
          </w:p>
        </w:tc>
        <w:tc>
          <w:tcPr>
            <w:tcW w:w="1445" w:type="dxa"/>
            <w:noWrap w:val="0"/>
            <w:tcMar>
              <w:top w:w="0" w:type="dxa"/>
              <w:left w:w="108" w:type="dxa"/>
              <w:bottom w:w="0" w:type="dxa"/>
              <w:right w:w="108" w:type="dxa"/>
            </w:tcMar>
            <w:vAlign w:val="center"/>
          </w:tcPr>
          <w:p w14:paraId="37C6CB46">
            <w:pPr>
              <w:keepNext w:val="0"/>
              <w:keepLines w:val="0"/>
              <w:pageBreakBefore w:val="0"/>
              <w:pBdr>
                <w:top w:val="none" w:color="000000" w:sz="0" w:space="0"/>
                <w:left w:val="none" w:color="000000" w:sz="0" w:space="0"/>
                <w:bottom w:val="none" w:color="000000" w:sz="0" w:space="0"/>
                <w:right w:val="none" w:color="000000" w:sz="0" w:space="0"/>
              </w:pBdr>
              <w:spacing w:beforeAutospacing="0" w:afterAutospacing="0" w:line="360" w:lineRule="auto"/>
              <w:jc w:val="center"/>
              <w:rPr>
                <w:rFonts w:hint="default" w:ascii="Times New Roman" w:hAnsi="Times New Roman" w:eastAsia="宋体" w:cs="Times New Roman"/>
                <w:color w:val="auto"/>
                <w:sz w:val="21"/>
                <w:szCs w:val="21"/>
                <w:highlight w:val="none"/>
              </w:rPr>
            </w:pPr>
          </w:p>
        </w:tc>
        <w:tc>
          <w:tcPr>
            <w:tcW w:w="740" w:type="dxa"/>
            <w:noWrap w:val="0"/>
            <w:tcMar>
              <w:top w:w="0" w:type="dxa"/>
              <w:left w:w="108" w:type="dxa"/>
              <w:bottom w:w="0" w:type="dxa"/>
              <w:right w:w="108" w:type="dxa"/>
            </w:tcMar>
            <w:vAlign w:val="center"/>
          </w:tcPr>
          <w:p w14:paraId="24947AEB">
            <w:pPr>
              <w:keepNext w:val="0"/>
              <w:keepLines w:val="0"/>
              <w:pageBreakBefore w:val="0"/>
              <w:pBdr>
                <w:top w:val="none" w:color="000000" w:sz="0" w:space="0"/>
                <w:left w:val="none" w:color="000000" w:sz="0" w:space="0"/>
                <w:bottom w:val="none" w:color="000000" w:sz="0" w:space="0"/>
                <w:right w:val="none" w:color="000000" w:sz="0" w:space="0"/>
              </w:pBdr>
              <w:spacing w:beforeAutospacing="0" w:afterAutospacing="0" w:line="360" w:lineRule="auto"/>
              <w:jc w:val="center"/>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 </w:t>
            </w:r>
          </w:p>
        </w:tc>
        <w:tc>
          <w:tcPr>
            <w:tcW w:w="1235" w:type="dxa"/>
            <w:noWrap w:val="0"/>
            <w:tcMar>
              <w:top w:w="0" w:type="dxa"/>
              <w:left w:w="108" w:type="dxa"/>
              <w:bottom w:w="0" w:type="dxa"/>
              <w:right w:w="108" w:type="dxa"/>
            </w:tcMar>
            <w:vAlign w:val="center"/>
          </w:tcPr>
          <w:p w14:paraId="6A0B3C1D">
            <w:pPr>
              <w:keepNext w:val="0"/>
              <w:keepLines w:val="0"/>
              <w:pageBreakBefore w:val="0"/>
              <w:pBdr>
                <w:top w:val="none" w:color="000000" w:sz="0" w:space="0"/>
                <w:left w:val="none" w:color="000000" w:sz="0" w:space="0"/>
                <w:bottom w:val="none" w:color="000000" w:sz="0" w:space="0"/>
                <w:right w:val="none" w:color="000000" w:sz="0" w:space="0"/>
              </w:pBdr>
              <w:spacing w:beforeAutospacing="0" w:afterAutospacing="0" w:line="360" w:lineRule="auto"/>
              <w:jc w:val="center"/>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 </w:t>
            </w:r>
          </w:p>
        </w:tc>
        <w:tc>
          <w:tcPr>
            <w:tcW w:w="1224" w:type="dxa"/>
            <w:noWrap w:val="0"/>
            <w:tcMar>
              <w:top w:w="0" w:type="dxa"/>
              <w:left w:w="108" w:type="dxa"/>
              <w:bottom w:w="0" w:type="dxa"/>
              <w:right w:w="108" w:type="dxa"/>
            </w:tcMar>
            <w:vAlign w:val="center"/>
          </w:tcPr>
          <w:p w14:paraId="367DD4C8">
            <w:pPr>
              <w:keepNext w:val="0"/>
              <w:keepLines w:val="0"/>
              <w:pageBreakBefore w:val="0"/>
              <w:pBdr>
                <w:top w:val="none" w:color="000000" w:sz="0" w:space="0"/>
                <w:left w:val="none" w:color="000000" w:sz="0" w:space="0"/>
                <w:bottom w:val="none" w:color="000000" w:sz="0" w:space="0"/>
                <w:right w:val="none" w:color="000000" w:sz="0" w:space="0"/>
              </w:pBdr>
              <w:spacing w:beforeAutospacing="0" w:afterAutospacing="0" w:line="360" w:lineRule="auto"/>
              <w:jc w:val="center"/>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 </w:t>
            </w:r>
          </w:p>
        </w:tc>
      </w:tr>
      <w:tr w14:paraId="789322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4" w:hRule="atLeast"/>
        </w:trPr>
        <w:tc>
          <w:tcPr>
            <w:tcW w:w="769" w:type="dxa"/>
            <w:noWrap w:val="0"/>
            <w:tcMar>
              <w:top w:w="0" w:type="dxa"/>
              <w:left w:w="108" w:type="dxa"/>
              <w:bottom w:w="0" w:type="dxa"/>
              <w:right w:w="108" w:type="dxa"/>
            </w:tcMar>
            <w:vAlign w:val="center"/>
          </w:tcPr>
          <w:p w14:paraId="6EB52BAD">
            <w:pPr>
              <w:keepNext w:val="0"/>
              <w:keepLines w:val="0"/>
              <w:pageBreakBefore w:val="0"/>
              <w:pBdr>
                <w:top w:val="none" w:color="000000" w:sz="0" w:space="0"/>
                <w:left w:val="none" w:color="000000" w:sz="0" w:space="0"/>
                <w:bottom w:val="none" w:color="000000" w:sz="0" w:space="0"/>
                <w:right w:val="none" w:color="000000" w:sz="0" w:space="0"/>
              </w:pBdr>
              <w:spacing w:beforeAutospacing="0" w:afterAutospacing="0" w:line="360" w:lineRule="auto"/>
              <w:jc w:val="center"/>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2</w:t>
            </w:r>
          </w:p>
        </w:tc>
        <w:tc>
          <w:tcPr>
            <w:tcW w:w="1288" w:type="dxa"/>
            <w:noWrap w:val="0"/>
            <w:tcMar>
              <w:top w:w="0" w:type="dxa"/>
              <w:left w:w="108" w:type="dxa"/>
              <w:bottom w:w="0" w:type="dxa"/>
              <w:right w:w="108" w:type="dxa"/>
            </w:tcMar>
            <w:vAlign w:val="center"/>
          </w:tcPr>
          <w:p w14:paraId="10626D05">
            <w:pPr>
              <w:keepNext w:val="0"/>
              <w:keepLines w:val="0"/>
              <w:pageBreakBefore w:val="0"/>
              <w:pBdr>
                <w:top w:val="none" w:color="000000" w:sz="0" w:space="0"/>
                <w:left w:val="none" w:color="000000" w:sz="0" w:space="0"/>
                <w:bottom w:val="none" w:color="000000" w:sz="0" w:space="0"/>
                <w:right w:val="none" w:color="000000" w:sz="0" w:space="0"/>
              </w:pBdr>
              <w:spacing w:beforeAutospacing="0" w:afterAutospacing="0" w:line="360" w:lineRule="auto"/>
              <w:jc w:val="center"/>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 </w:t>
            </w:r>
          </w:p>
        </w:tc>
        <w:tc>
          <w:tcPr>
            <w:tcW w:w="1519" w:type="dxa"/>
            <w:noWrap w:val="0"/>
            <w:tcMar>
              <w:top w:w="0" w:type="dxa"/>
              <w:left w:w="108" w:type="dxa"/>
              <w:bottom w:w="0" w:type="dxa"/>
              <w:right w:w="108" w:type="dxa"/>
            </w:tcMar>
            <w:vAlign w:val="center"/>
          </w:tcPr>
          <w:p w14:paraId="5AA70168">
            <w:pPr>
              <w:keepNext w:val="0"/>
              <w:keepLines w:val="0"/>
              <w:pageBreakBefore w:val="0"/>
              <w:pBdr>
                <w:top w:val="none" w:color="000000" w:sz="0" w:space="0"/>
                <w:left w:val="none" w:color="000000" w:sz="0" w:space="0"/>
                <w:bottom w:val="none" w:color="000000" w:sz="0" w:space="0"/>
                <w:right w:val="none" w:color="000000" w:sz="0" w:space="0"/>
              </w:pBdr>
              <w:spacing w:beforeAutospacing="0" w:afterAutospacing="0" w:line="360" w:lineRule="auto"/>
              <w:jc w:val="center"/>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 </w:t>
            </w:r>
          </w:p>
        </w:tc>
        <w:tc>
          <w:tcPr>
            <w:tcW w:w="1445" w:type="dxa"/>
            <w:noWrap w:val="0"/>
            <w:tcMar>
              <w:top w:w="0" w:type="dxa"/>
              <w:left w:w="108" w:type="dxa"/>
              <w:bottom w:w="0" w:type="dxa"/>
              <w:right w:w="108" w:type="dxa"/>
            </w:tcMar>
            <w:vAlign w:val="center"/>
          </w:tcPr>
          <w:p w14:paraId="75CADA56">
            <w:pPr>
              <w:keepNext w:val="0"/>
              <w:keepLines w:val="0"/>
              <w:pageBreakBefore w:val="0"/>
              <w:pBdr>
                <w:top w:val="none" w:color="000000" w:sz="0" w:space="0"/>
                <w:left w:val="none" w:color="000000" w:sz="0" w:space="0"/>
                <w:bottom w:val="none" w:color="000000" w:sz="0" w:space="0"/>
                <w:right w:val="none" w:color="000000" w:sz="0" w:space="0"/>
              </w:pBdr>
              <w:spacing w:beforeAutospacing="0" w:afterAutospacing="0" w:line="360" w:lineRule="auto"/>
              <w:jc w:val="center"/>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 </w:t>
            </w:r>
          </w:p>
        </w:tc>
        <w:tc>
          <w:tcPr>
            <w:tcW w:w="740" w:type="dxa"/>
            <w:noWrap w:val="0"/>
            <w:tcMar>
              <w:top w:w="0" w:type="dxa"/>
              <w:left w:w="108" w:type="dxa"/>
              <w:bottom w:w="0" w:type="dxa"/>
              <w:right w:w="108" w:type="dxa"/>
            </w:tcMar>
            <w:vAlign w:val="center"/>
          </w:tcPr>
          <w:p w14:paraId="6A367EE9">
            <w:pPr>
              <w:keepNext w:val="0"/>
              <w:keepLines w:val="0"/>
              <w:pageBreakBefore w:val="0"/>
              <w:pBdr>
                <w:top w:val="none" w:color="000000" w:sz="0" w:space="0"/>
                <w:left w:val="none" w:color="000000" w:sz="0" w:space="0"/>
                <w:bottom w:val="none" w:color="000000" w:sz="0" w:space="0"/>
                <w:right w:val="none" w:color="000000" w:sz="0" w:space="0"/>
              </w:pBdr>
              <w:spacing w:beforeAutospacing="0" w:afterAutospacing="0" w:line="360" w:lineRule="auto"/>
              <w:jc w:val="center"/>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 </w:t>
            </w:r>
          </w:p>
        </w:tc>
        <w:tc>
          <w:tcPr>
            <w:tcW w:w="1235" w:type="dxa"/>
            <w:noWrap w:val="0"/>
            <w:tcMar>
              <w:top w:w="0" w:type="dxa"/>
              <w:left w:w="108" w:type="dxa"/>
              <w:bottom w:w="0" w:type="dxa"/>
              <w:right w:w="108" w:type="dxa"/>
            </w:tcMar>
            <w:vAlign w:val="center"/>
          </w:tcPr>
          <w:p w14:paraId="6EA26DF3">
            <w:pPr>
              <w:keepNext w:val="0"/>
              <w:keepLines w:val="0"/>
              <w:pageBreakBefore w:val="0"/>
              <w:pBdr>
                <w:top w:val="none" w:color="000000" w:sz="0" w:space="0"/>
                <w:left w:val="none" w:color="000000" w:sz="0" w:space="0"/>
                <w:bottom w:val="none" w:color="000000" w:sz="0" w:space="0"/>
                <w:right w:val="none" w:color="000000" w:sz="0" w:space="0"/>
              </w:pBdr>
              <w:spacing w:beforeAutospacing="0" w:afterAutospacing="0" w:line="360" w:lineRule="auto"/>
              <w:jc w:val="center"/>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 </w:t>
            </w:r>
          </w:p>
        </w:tc>
        <w:tc>
          <w:tcPr>
            <w:tcW w:w="1224" w:type="dxa"/>
            <w:noWrap w:val="0"/>
            <w:tcMar>
              <w:top w:w="0" w:type="dxa"/>
              <w:left w:w="108" w:type="dxa"/>
              <w:bottom w:w="0" w:type="dxa"/>
              <w:right w:w="108" w:type="dxa"/>
            </w:tcMar>
            <w:vAlign w:val="center"/>
          </w:tcPr>
          <w:p w14:paraId="1069588B">
            <w:pPr>
              <w:keepNext w:val="0"/>
              <w:keepLines w:val="0"/>
              <w:pageBreakBefore w:val="0"/>
              <w:pBdr>
                <w:top w:val="none" w:color="000000" w:sz="0" w:space="0"/>
                <w:left w:val="none" w:color="000000" w:sz="0" w:space="0"/>
                <w:bottom w:val="none" w:color="000000" w:sz="0" w:space="0"/>
                <w:right w:val="none" w:color="000000" w:sz="0" w:space="0"/>
              </w:pBdr>
              <w:spacing w:beforeAutospacing="0" w:afterAutospacing="0" w:line="360" w:lineRule="auto"/>
              <w:jc w:val="center"/>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 </w:t>
            </w:r>
          </w:p>
        </w:tc>
      </w:tr>
      <w:tr w14:paraId="22968C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4" w:hRule="atLeast"/>
        </w:trPr>
        <w:tc>
          <w:tcPr>
            <w:tcW w:w="769" w:type="dxa"/>
            <w:noWrap w:val="0"/>
            <w:tcMar>
              <w:top w:w="0" w:type="dxa"/>
              <w:left w:w="108" w:type="dxa"/>
              <w:bottom w:w="0" w:type="dxa"/>
              <w:right w:w="108" w:type="dxa"/>
            </w:tcMar>
            <w:vAlign w:val="center"/>
          </w:tcPr>
          <w:p w14:paraId="5DC42713">
            <w:pPr>
              <w:keepNext w:val="0"/>
              <w:keepLines w:val="0"/>
              <w:pageBreakBefore w:val="0"/>
              <w:pBdr>
                <w:top w:val="none" w:color="000000" w:sz="0" w:space="0"/>
                <w:left w:val="none" w:color="000000" w:sz="0" w:space="0"/>
                <w:bottom w:val="none" w:color="000000" w:sz="0" w:space="0"/>
                <w:right w:val="none" w:color="000000" w:sz="0" w:space="0"/>
              </w:pBdr>
              <w:spacing w:beforeAutospacing="0" w:afterAutospacing="0" w:line="360" w:lineRule="auto"/>
              <w:jc w:val="center"/>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3</w:t>
            </w:r>
          </w:p>
        </w:tc>
        <w:tc>
          <w:tcPr>
            <w:tcW w:w="1288" w:type="dxa"/>
            <w:noWrap w:val="0"/>
            <w:tcMar>
              <w:top w:w="0" w:type="dxa"/>
              <w:left w:w="108" w:type="dxa"/>
              <w:bottom w:w="0" w:type="dxa"/>
              <w:right w:w="108" w:type="dxa"/>
            </w:tcMar>
            <w:vAlign w:val="center"/>
          </w:tcPr>
          <w:p w14:paraId="159D57BC">
            <w:pPr>
              <w:keepNext w:val="0"/>
              <w:keepLines w:val="0"/>
              <w:pageBreakBefore w:val="0"/>
              <w:pBdr>
                <w:top w:val="none" w:color="000000" w:sz="0" w:space="0"/>
                <w:left w:val="none" w:color="000000" w:sz="0" w:space="0"/>
                <w:bottom w:val="none" w:color="000000" w:sz="0" w:space="0"/>
                <w:right w:val="none" w:color="000000" w:sz="0" w:space="0"/>
              </w:pBdr>
              <w:spacing w:beforeAutospacing="0" w:afterAutospacing="0" w:line="360" w:lineRule="auto"/>
              <w:jc w:val="center"/>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 </w:t>
            </w:r>
          </w:p>
        </w:tc>
        <w:tc>
          <w:tcPr>
            <w:tcW w:w="1519" w:type="dxa"/>
            <w:noWrap w:val="0"/>
            <w:tcMar>
              <w:top w:w="0" w:type="dxa"/>
              <w:left w:w="108" w:type="dxa"/>
              <w:bottom w:w="0" w:type="dxa"/>
              <w:right w:w="108" w:type="dxa"/>
            </w:tcMar>
            <w:vAlign w:val="center"/>
          </w:tcPr>
          <w:p w14:paraId="2B98211D">
            <w:pPr>
              <w:keepNext w:val="0"/>
              <w:keepLines w:val="0"/>
              <w:pageBreakBefore w:val="0"/>
              <w:pBdr>
                <w:top w:val="none" w:color="000000" w:sz="0" w:space="0"/>
                <w:left w:val="none" w:color="000000" w:sz="0" w:space="0"/>
                <w:bottom w:val="none" w:color="000000" w:sz="0" w:space="0"/>
                <w:right w:val="none" w:color="000000" w:sz="0" w:space="0"/>
              </w:pBdr>
              <w:spacing w:beforeAutospacing="0" w:afterAutospacing="0" w:line="360" w:lineRule="auto"/>
              <w:jc w:val="center"/>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 </w:t>
            </w:r>
          </w:p>
        </w:tc>
        <w:tc>
          <w:tcPr>
            <w:tcW w:w="1445" w:type="dxa"/>
            <w:noWrap w:val="0"/>
            <w:tcMar>
              <w:top w:w="0" w:type="dxa"/>
              <w:left w:w="108" w:type="dxa"/>
              <w:bottom w:w="0" w:type="dxa"/>
              <w:right w:w="108" w:type="dxa"/>
            </w:tcMar>
            <w:vAlign w:val="center"/>
          </w:tcPr>
          <w:p w14:paraId="626EC714">
            <w:pPr>
              <w:keepNext w:val="0"/>
              <w:keepLines w:val="0"/>
              <w:pageBreakBefore w:val="0"/>
              <w:pBdr>
                <w:top w:val="none" w:color="000000" w:sz="0" w:space="0"/>
                <w:left w:val="none" w:color="000000" w:sz="0" w:space="0"/>
                <w:bottom w:val="none" w:color="000000" w:sz="0" w:space="0"/>
                <w:right w:val="none" w:color="000000" w:sz="0" w:space="0"/>
              </w:pBdr>
              <w:spacing w:beforeAutospacing="0" w:afterAutospacing="0" w:line="360" w:lineRule="auto"/>
              <w:jc w:val="center"/>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 </w:t>
            </w:r>
          </w:p>
        </w:tc>
        <w:tc>
          <w:tcPr>
            <w:tcW w:w="740" w:type="dxa"/>
            <w:noWrap w:val="0"/>
            <w:tcMar>
              <w:top w:w="0" w:type="dxa"/>
              <w:left w:w="108" w:type="dxa"/>
              <w:bottom w:w="0" w:type="dxa"/>
              <w:right w:w="108" w:type="dxa"/>
            </w:tcMar>
            <w:vAlign w:val="center"/>
          </w:tcPr>
          <w:p w14:paraId="51772157">
            <w:pPr>
              <w:keepNext w:val="0"/>
              <w:keepLines w:val="0"/>
              <w:pageBreakBefore w:val="0"/>
              <w:pBdr>
                <w:top w:val="none" w:color="000000" w:sz="0" w:space="0"/>
                <w:left w:val="none" w:color="000000" w:sz="0" w:space="0"/>
                <w:bottom w:val="none" w:color="000000" w:sz="0" w:space="0"/>
                <w:right w:val="none" w:color="000000" w:sz="0" w:space="0"/>
              </w:pBdr>
              <w:spacing w:beforeAutospacing="0" w:afterAutospacing="0" w:line="360" w:lineRule="auto"/>
              <w:jc w:val="center"/>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 </w:t>
            </w:r>
          </w:p>
        </w:tc>
        <w:tc>
          <w:tcPr>
            <w:tcW w:w="1235" w:type="dxa"/>
            <w:noWrap w:val="0"/>
            <w:tcMar>
              <w:top w:w="0" w:type="dxa"/>
              <w:left w:w="108" w:type="dxa"/>
              <w:bottom w:w="0" w:type="dxa"/>
              <w:right w:w="108" w:type="dxa"/>
            </w:tcMar>
            <w:vAlign w:val="center"/>
          </w:tcPr>
          <w:p w14:paraId="0A2D860B">
            <w:pPr>
              <w:keepNext w:val="0"/>
              <w:keepLines w:val="0"/>
              <w:pageBreakBefore w:val="0"/>
              <w:pBdr>
                <w:top w:val="none" w:color="000000" w:sz="0" w:space="0"/>
                <w:left w:val="none" w:color="000000" w:sz="0" w:space="0"/>
                <w:bottom w:val="none" w:color="000000" w:sz="0" w:space="0"/>
                <w:right w:val="none" w:color="000000" w:sz="0" w:space="0"/>
              </w:pBdr>
              <w:spacing w:beforeAutospacing="0" w:afterAutospacing="0" w:line="360" w:lineRule="auto"/>
              <w:jc w:val="center"/>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 </w:t>
            </w:r>
          </w:p>
        </w:tc>
        <w:tc>
          <w:tcPr>
            <w:tcW w:w="1224" w:type="dxa"/>
            <w:noWrap w:val="0"/>
            <w:tcMar>
              <w:top w:w="0" w:type="dxa"/>
              <w:left w:w="108" w:type="dxa"/>
              <w:bottom w:w="0" w:type="dxa"/>
              <w:right w:w="108" w:type="dxa"/>
            </w:tcMar>
            <w:vAlign w:val="center"/>
          </w:tcPr>
          <w:p w14:paraId="1DF6BA1F">
            <w:pPr>
              <w:keepNext w:val="0"/>
              <w:keepLines w:val="0"/>
              <w:pageBreakBefore w:val="0"/>
              <w:pBdr>
                <w:top w:val="none" w:color="000000" w:sz="0" w:space="0"/>
                <w:left w:val="none" w:color="000000" w:sz="0" w:space="0"/>
                <w:bottom w:val="none" w:color="000000" w:sz="0" w:space="0"/>
                <w:right w:val="none" w:color="000000" w:sz="0" w:space="0"/>
              </w:pBdr>
              <w:spacing w:beforeAutospacing="0" w:afterAutospacing="0" w:line="360" w:lineRule="auto"/>
              <w:jc w:val="center"/>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 </w:t>
            </w:r>
          </w:p>
        </w:tc>
      </w:tr>
      <w:tr w14:paraId="40CEAE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4" w:hRule="atLeast"/>
        </w:trPr>
        <w:tc>
          <w:tcPr>
            <w:tcW w:w="769" w:type="dxa"/>
            <w:noWrap w:val="0"/>
            <w:tcMar>
              <w:top w:w="0" w:type="dxa"/>
              <w:left w:w="108" w:type="dxa"/>
              <w:bottom w:w="0" w:type="dxa"/>
              <w:right w:w="108" w:type="dxa"/>
            </w:tcMar>
            <w:vAlign w:val="center"/>
          </w:tcPr>
          <w:p w14:paraId="116C31AD">
            <w:pPr>
              <w:keepNext w:val="0"/>
              <w:keepLines w:val="0"/>
              <w:pageBreakBefore w:val="0"/>
              <w:pBdr>
                <w:top w:val="none" w:color="000000" w:sz="0" w:space="0"/>
                <w:left w:val="none" w:color="000000" w:sz="0" w:space="0"/>
                <w:bottom w:val="none" w:color="000000" w:sz="0" w:space="0"/>
                <w:right w:val="none" w:color="000000" w:sz="0" w:space="0"/>
              </w:pBdr>
              <w:spacing w:beforeAutospacing="0" w:afterAutospacing="0" w:line="360" w:lineRule="auto"/>
              <w:jc w:val="center"/>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w:t>
            </w:r>
          </w:p>
        </w:tc>
        <w:tc>
          <w:tcPr>
            <w:tcW w:w="1288" w:type="dxa"/>
            <w:noWrap w:val="0"/>
            <w:tcMar>
              <w:top w:w="0" w:type="dxa"/>
              <w:left w:w="108" w:type="dxa"/>
              <w:bottom w:w="0" w:type="dxa"/>
              <w:right w:w="108" w:type="dxa"/>
            </w:tcMar>
            <w:vAlign w:val="center"/>
          </w:tcPr>
          <w:p w14:paraId="3B8393CC">
            <w:pPr>
              <w:keepNext w:val="0"/>
              <w:keepLines w:val="0"/>
              <w:pageBreakBefore w:val="0"/>
              <w:pBdr>
                <w:top w:val="none" w:color="000000" w:sz="0" w:space="0"/>
                <w:left w:val="none" w:color="000000" w:sz="0" w:space="0"/>
                <w:bottom w:val="none" w:color="000000" w:sz="0" w:space="0"/>
                <w:right w:val="none" w:color="000000" w:sz="0" w:space="0"/>
              </w:pBdr>
              <w:spacing w:beforeAutospacing="0" w:afterAutospacing="0" w:line="360" w:lineRule="auto"/>
              <w:jc w:val="center"/>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w:t>
            </w:r>
          </w:p>
        </w:tc>
        <w:tc>
          <w:tcPr>
            <w:tcW w:w="1519" w:type="dxa"/>
            <w:noWrap w:val="0"/>
            <w:tcMar>
              <w:top w:w="0" w:type="dxa"/>
              <w:left w:w="108" w:type="dxa"/>
              <w:bottom w:w="0" w:type="dxa"/>
              <w:right w:w="108" w:type="dxa"/>
            </w:tcMar>
            <w:vAlign w:val="center"/>
          </w:tcPr>
          <w:p w14:paraId="5E098524">
            <w:pPr>
              <w:keepNext w:val="0"/>
              <w:keepLines w:val="0"/>
              <w:pageBreakBefore w:val="0"/>
              <w:pBdr>
                <w:top w:val="none" w:color="000000" w:sz="0" w:space="0"/>
                <w:left w:val="none" w:color="000000" w:sz="0" w:space="0"/>
                <w:bottom w:val="none" w:color="000000" w:sz="0" w:space="0"/>
                <w:right w:val="none" w:color="000000" w:sz="0" w:space="0"/>
              </w:pBdr>
              <w:spacing w:beforeAutospacing="0" w:afterAutospacing="0" w:line="360" w:lineRule="auto"/>
              <w:jc w:val="center"/>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 </w:t>
            </w:r>
          </w:p>
        </w:tc>
        <w:tc>
          <w:tcPr>
            <w:tcW w:w="1445" w:type="dxa"/>
            <w:noWrap w:val="0"/>
            <w:tcMar>
              <w:top w:w="0" w:type="dxa"/>
              <w:left w:w="108" w:type="dxa"/>
              <w:bottom w:w="0" w:type="dxa"/>
              <w:right w:w="108" w:type="dxa"/>
            </w:tcMar>
            <w:vAlign w:val="center"/>
          </w:tcPr>
          <w:p w14:paraId="5B5BF77E">
            <w:pPr>
              <w:keepNext w:val="0"/>
              <w:keepLines w:val="0"/>
              <w:pageBreakBefore w:val="0"/>
              <w:pBdr>
                <w:top w:val="none" w:color="000000" w:sz="0" w:space="0"/>
                <w:left w:val="none" w:color="000000" w:sz="0" w:space="0"/>
                <w:bottom w:val="none" w:color="000000" w:sz="0" w:space="0"/>
                <w:right w:val="none" w:color="000000" w:sz="0" w:space="0"/>
              </w:pBdr>
              <w:spacing w:beforeAutospacing="0" w:afterAutospacing="0" w:line="360" w:lineRule="auto"/>
              <w:jc w:val="center"/>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 </w:t>
            </w:r>
          </w:p>
        </w:tc>
        <w:tc>
          <w:tcPr>
            <w:tcW w:w="740" w:type="dxa"/>
            <w:noWrap w:val="0"/>
            <w:tcMar>
              <w:top w:w="0" w:type="dxa"/>
              <w:left w:w="108" w:type="dxa"/>
              <w:bottom w:w="0" w:type="dxa"/>
              <w:right w:w="108" w:type="dxa"/>
            </w:tcMar>
            <w:vAlign w:val="center"/>
          </w:tcPr>
          <w:p w14:paraId="3070125A">
            <w:pPr>
              <w:keepNext w:val="0"/>
              <w:keepLines w:val="0"/>
              <w:pageBreakBefore w:val="0"/>
              <w:pBdr>
                <w:top w:val="none" w:color="000000" w:sz="0" w:space="0"/>
                <w:left w:val="none" w:color="000000" w:sz="0" w:space="0"/>
                <w:bottom w:val="none" w:color="000000" w:sz="0" w:space="0"/>
                <w:right w:val="none" w:color="000000" w:sz="0" w:space="0"/>
              </w:pBdr>
              <w:spacing w:beforeAutospacing="0" w:afterAutospacing="0" w:line="360" w:lineRule="auto"/>
              <w:jc w:val="center"/>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 </w:t>
            </w:r>
          </w:p>
        </w:tc>
        <w:tc>
          <w:tcPr>
            <w:tcW w:w="1235" w:type="dxa"/>
            <w:noWrap w:val="0"/>
            <w:tcMar>
              <w:top w:w="0" w:type="dxa"/>
              <w:left w:w="108" w:type="dxa"/>
              <w:bottom w:w="0" w:type="dxa"/>
              <w:right w:w="108" w:type="dxa"/>
            </w:tcMar>
            <w:vAlign w:val="center"/>
          </w:tcPr>
          <w:p w14:paraId="6D4E86FF">
            <w:pPr>
              <w:keepNext w:val="0"/>
              <w:keepLines w:val="0"/>
              <w:pageBreakBefore w:val="0"/>
              <w:pBdr>
                <w:top w:val="none" w:color="000000" w:sz="0" w:space="0"/>
                <w:left w:val="none" w:color="000000" w:sz="0" w:space="0"/>
                <w:bottom w:val="none" w:color="000000" w:sz="0" w:space="0"/>
                <w:right w:val="none" w:color="000000" w:sz="0" w:space="0"/>
              </w:pBdr>
              <w:spacing w:beforeAutospacing="0" w:afterAutospacing="0" w:line="360" w:lineRule="auto"/>
              <w:jc w:val="center"/>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 </w:t>
            </w:r>
          </w:p>
        </w:tc>
        <w:tc>
          <w:tcPr>
            <w:tcW w:w="1224" w:type="dxa"/>
            <w:noWrap w:val="0"/>
            <w:tcMar>
              <w:top w:w="0" w:type="dxa"/>
              <w:left w:w="108" w:type="dxa"/>
              <w:bottom w:w="0" w:type="dxa"/>
              <w:right w:w="108" w:type="dxa"/>
            </w:tcMar>
            <w:vAlign w:val="center"/>
          </w:tcPr>
          <w:p w14:paraId="1F58F2BF">
            <w:pPr>
              <w:keepNext w:val="0"/>
              <w:keepLines w:val="0"/>
              <w:pageBreakBefore w:val="0"/>
              <w:pBdr>
                <w:top w:val="none" w:color="000000" w:sz="0" w:space="0"/>
                <w:left w:val="none" w:color="000000" w:sz="0" w:space="0"/>
                <w:bottom w:val="none" w:color="000000" w:sz="0" w:space="0"/>
                <w:right w:val="none" w:color="000000" w:sz="0" w:space="0"/>
              </w:pBdr>
              <w:spacing w:beforeAutospacing="0" w:afterAutospacing="0" w:line="360" w:lineRule="auto"/>
              <w:jc w:val="center"/>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 </w:t>
            </w:r>
          </w:p>
        </w:tc>
      </w:tr>
      <w:tr w14:paraId="50D488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7" w:hRule="atLeast"/>
        </w:trPr>
        <w:tc>
          <w:tcPr>
            <w:tcW w:w="6997" w:type="dxa"/>
            <w:gridSpan w:val="6"/>
            <w:noWrap w:val="0"/>
            <w:tcMar>
              <w:top w:w="0" w:type="dxa"/>
              <w:left w:w="108" w:type="dxa"/>
              <w:bottom w:w="0" w:type="dxa"/>
              <w:right w:w="108" w:type="dxa"/>
            </w:tcMar>
            <w:vAlign w:val="center"/>
          </w:tcPr>
          <w:p w14:paraId="10DD25E4">
            <w:pPr>
              <w:keepNext w:val="0"/>
              <w:keepLines w:val="0"/>
              <w:pageBreakBefore w:val="0"/>
              <w:pBdr>
                <w:top w:val="none" w:color="000000" w:sz="0" w:space="0"/>
                <w:left w:val="none" w:color="000000" w:sz="0" w:space="0"/>
                <w:bottom w:val="none" w:color="000000" w:sz="0" w:space="0"/>
                <w:right w:val="none" w:color="000000" w:sz="0" w:space="0"/>
              </w:pBdr>
              <w:spacing w:beforeAutospacing="0" w:afterAutospacing="0" w:line="360" w:lineRule="auto"/>
              <w:jc w:val="center"/>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总报价（人民币：元）</w:t>
            </w:r>
          </w:p>
        </w:tc>
        <w:tc>
          <w:tcPr>
            <w:tcW w:w="1224" w:type="dxa"/>
            <w:noWrap w:val="0"/>
            <w:tcMar>
              <w:top w:w="0" w:type="dxa"/>
              <w:left w:w="108" w:type="dxa"/>
              <w:bottom w:w="0" w:type="dxa"/>
              <w:right w:w="108" w:type="dxa"/>
            </w:tcMar>
          </w:tcPr>
          <w:p w14:paraId="3D117DE9">
            <w:pPr>
              <w:keepNext w:val="0"/>
              <w:keepLines w:val="0"/>
              <w:pageBreakBefore w:val="0"/>
              <w:pBdr>
                <w:top w:val="none" w:color="000000" w:sz="0" w:space="0"/>
                <w:left w:val="none" w:color="000000" w:sz="0" w:space="0"/>
                <w:bottom w:val="none" w:color="000000" w:sz="0" w:space="0"/>
                <w:right w:val="none" w:color="000000" w:sz="0" w:space="0"/>
              </w:pBdr>
              <w:spacing w:beforeAutospacing="0" w:afterAutospacing="0" w:line="360" w:lineRule="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 </w:t>
            </w:r>
          </w:p>
        </w:tc>
      </w:tr>
    </w:tbl>
    <w:p w14:paraId="24E13459">
      <w:pPr>
        <w:keepNext w:val="0"/>
        <w:keepLines w:val="0"/>
        <w:pageBreakBefore w:val="0"/>
        <w:pBdr>
          <w:top w:val="none" w:color="000000" w:sz="0" w:space="0"/>
          <w:left w:val="none" w:color="000000" w:sz="0" w:space="0"/>
          <w:bottom w:val="none" w:color="000000" w:sz="0" w:space="0"/>
          <w:right w:val="none" w:color="000000" w:sz="0" w:space="0"/>
        </w:pBdr>
        <w:spacing w:beforeAutospacing="0" w:afterAutospacing="0" w:line="360" w:lineRule="auto"/>
        <w:rPr>
          <w:rFonts w:hint="default" w:ascii="Times New Roman" w:hAnsi="Times New Roman" w:cs="Times New Roman"/>
          <w:color w:val="auto"/>
          <w:highlight w:val="none"/>
        </w:rPr>
      </w:pPr>
      <w:r>
        <w:rPr>
          <w:rFonts w:hint="default" w:ascii="Times New Roman" w:hAnsi="Times New Roman" w:cs="Times New Roman"/>
          <w:b/>
          <w:color w:val="auto"/>
          <w:sz w:val="24"/>
          <w:highlight w:val="none"/>
        </w:rPr>
        <w:t> </w:t>
      </w:r>
    </w:p>
    <w:p w14:paraId="0EB77DCF">
      <w:pPr>
        <w:keepNext w:val="0"/>
        <w:keepLines w:val="0"/>
        <w:pageBreakBefore w:val="0"/>
        <w:pBdr>
          <w:top w:val="none" w:color="000000" w:sz="0" w:space="0"/>
          <w:left w:val="none" w:color="000000" w:sz="0" w:space="0"/>
          <w:bottom w:val="none" w:color="000000" w:sz="0" w:space="0"/>
          <w:right w:val="none" w:color="000000" w:sz="0" w:space="0"/>
        </w:pBdr>
        <w:spacing w:beforeAutospacing="0" w:afterAutospacing="0" w:line="360" w:lineRule="auto"/>
        <w:ind w:firstLine="1405"/>
        <w:rPr>
          <w:rFonts w:hint="default" w:ascii="Times New Roman" w:hAnsi="Times New Roman" w:cs="Times New Roman"/>
          <w:color w:val="auto"/>
          <w:highlight w:val="none"/>
        </w:rPr>
      </w:pPr>
      <w:r>
        <w:rPr>
          <w:rFonts w:hint="default" w:ascii="Times New Roman" w:hAnsi="Times New Roman" w:cs="Times New Roman"/>
          <w:b/>
          <w:color w:val="auto"/>
          <w:sz w:val="28"/>
          <w:highlight w:val="none"/>
        </w:rPr>
        <w:t>根据竞争性磋商文件内容，响应单位自行进行编制</w:t>
      </w:r>
    </w:p>
    <w:p w14:paraId="2A07BBAA">
      <w:pPr>
        <w:keepNext w:val="0"/>
        <w:keepLines w:val="0"/>
        <w:pageBreakBefore w:val="0"/>
        <w:pBdr>
          <w:top w:val="none" w:color="000000" w:sz="0" w:space="0"/>
          <w:left w:val="none" w:color="000000" w:sz="0" w:space="0"/>
          <w:bottom w:val="none" w:color="000000" w:sz="0" w:space="0"/>
          <w:right w:val="none" w:color="000000" w:sz="0" w:space="0"/>
        </w:pBdr>
        <w:spacing w:beforeAutospacing="0" w:afterAutospacing="0" w:line="360" w:lineRule="auto"/>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供应商（加盖CA电子公章）：</w:t>
      </w:r>
    </w:p>
    <w:p w14:paraId="17A8D523">
      <w:pPr>
        <w:keepNext w:val="0"/>
        <w:keepLines w:val="0"/>
        <w:pageBreakBefore w:val="0"/>
        <w:pBdr>
          <w:top w:val="none" w:color="000000" w:sz="0" w:space="0"/>
          <w:left w:val="none" w:color="000000" w:sz="0" w:space="0"/>
          <w:bottom w:val="none" w:color="000000" w:sz="0" w:space="0"/>
          <w:right w:val="none" w:color="000000" w:sz="0" w:space="0"/>
        </w:pBdr>
        <w:spacing w:beforeAutospacing="0" w:afterAutospacing="0" w:line="360" w:lineRule="auto"/>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法定代表人或授权代表（签字或盖章）：</w:t>
      </w:r>
    </w:p>
    <w:p w14:paraId="007A8EF5">
      <w:pPr>
        <w:keepNext w:val="0"/>
        <w:keepLines w:val="0"/>
        <w:pageBreakBefore w:val="0"/>
        <w:pBdr>
          <w:top w:val="none" w:color="000000" w:sz="0" w:space="0"/>
          <w:left w:val="none" w:color="000000" w:sz="0" w:space="0"/>
          <w:bottom w:val="none" w:color="000000" w:sz="0" w:space="0"/>
          <w:right w:val="none" w:color="000000" w:sz="0" w:space="0"/>
        </w:pBdr>
        <w:spacing w:beforeAutospacing="0" w:afterAutospacing="0" w:line="360" w:lineRule="auto"/>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日期：</w:t>
      </w:r>
    </w:p>
    <w:p w14:paraId="16FB6602">
      <w:pPr>
        <w:keepNext w:val="0"/>
        <w:keepLines w:val="0"/>
        <w:pageBreakBefore w:val="0"/>
        <w:pBdr>
          <w:top w:val="none" w:color="000000" w:sz="0" w:space="0"/>
          <w:left w:val="none" w:color="000000" w:sz="0" w:space="0"/>
          <w:bottom w:val="none" w:color="000000" w:sz="0" w:space="0"/>
          <w:right w:val="none" w:color="000000" w:sz="0" w:space="0"/>
        </w:pBdr>
        <w:spacing w:beforeAutospacing="0" w:afterAutospacing="0" w:line="360" w:lineRule="auto"/>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 注：</w:t>
      </w:r>
    </w:p>
    <w:p w14:paraId="513565C7">
      <w:pPr>
        <w:keepNext w:val="0"/>
        <w:keepLines w:val="0"/>
        <w:pageBreakBefore w:val="0"/>
        <w:pBdr>
          <w:top w:val="none" w:color="000000" w:sz="0" w:space="0"/>
          <w:left w:val="none" w:color="000000" w:sz="0" w:space="0"/>
          <w:bottom w:val="none" w:color="000000" w:sz="0" w:space="0"/>
          <w:right w:val="none" w:color="000000" w:sz="0" w:space="0"/>
        </w:pBdr>
        <w:spacing w:beforeAutospacing="0" w:afterAutospacing="0" w:line="360" w:lineRule="auto"/>
        <w:ind w:firstLine="480"/>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1．如果不提供详细分项报价将视为没有实质性响应磋商文件。</w:t>
      </w:r>
    </w:p>
    <w:p w14:paraId="6A79135E">
      <w:pPr>
        <w:keepNext w:val="0"/>
        <w:keepLines w:val="0"/>
        <w:pageBreakBefore w:val="0"/>
        <w:pBdr>
          <w:top w:val="none" w:color="000000" w:sz="0" w:space="0"/>
          <w:left w:val="none" w:color="000000" w:sz="0" w:space="0"/>
          <w:bottom w:val="none" w:color="000000" w:sz="0" w:space="0"/>
          <w:right w:val="none" w:color="000000" w:sz="0" w:space="0"/>
        </w:pBdr>
        <w:spacing w:beforeAutospacing="0" w:afterAutospacing="0" w:line="360" w:lineRule="auto"/>
        <w:ind w:firstLine="480"/>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2．供应商对以上数据的真实性负责。</w:t>
      </w:r>
    </w:p>
    <w:p w14:paraId="3BB37E9D">
      <w:pPr>
        <w:keepNext w:val="0"/>
        <w:keepLines w:val="0"/>
        <w:pageBreakBefore w:val="0"/>
        <w:pBdr>
          <w:top w:val="none" w:color="000000" w:sz="0" w:space="0"/>
          <w:left w:val="none" w:color="000000" w:sz="0" w:space="0"/>
          <w:bottom w:val="none" w:color="000000" w:sz="0" w:space="0"/>
          <w:right w:val="none" w:color="000000" w:sz="0" w:space="0"/>
        </w:pBdr>
        <w:spacing w:beforeAutospacing="0" w:afterAutospacing="0" w:line="360" w:lineRule="auto"/>
        <w:ind w:firstLine="480"/>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3.如果按单价计算的结果与总价不一致，以总价为准。</w:t>
      </w:r>
    </w:p>
    <w:p w14:paraId="05F70FC4">
      <w:pPr>
        <w:keepNext w:val="0"/>
        <w:keepLines w:val="0"/>
        <w:pageBreakBefore w:val="0"/>
        <w:pBdr>
          <w:top w:val="none" w:color="000000" w:sz="0" w:space="0"/>
          <w:left w:val="none" w:color="000000" w:sz="0" w:space="0"/>
          <w:bottom w:val="none" w:color="000000" w:sz="0" w:space="0"/>
          <w:right w:val="none" w:color="000000" w:sz="0" w:space="0"/>
        </w:pBdr>
        <w:spacing w:beforeAutospacing="0" w:afterAutospacing="0" w:line="360" w:lineRule="auto"/>
        <w:ind w:firstLine="480"/>
        <w:rPr>
          <w:rFonts w:hint="default" w:ascii="Times New Roman" w:hAnsi="Times New Roman" w:cs="Times New Roman"/>
          <w:color w:val="auto"/>
          <w:sz w:val="21"/>
          <w:szCs w:val="21"/>
          <w:highlight w:val="none"/>
        </w:rPr>
      </w:pPr>
      <w:r>
        <w:rPr>
          <w:rFonts w:hint="default" w:ascii="Times New Roman" w:hAnsi="Times New Roman" w:cs="Times New Roman"/>
          <w:b/>
          <w:i/>
          <w:color w:val="auto"/>
          <w:sz w:val="21"/>
          <w:szCs w:val="21"/>
          <w:highlight w:val="none"/>
          <w:u w:val="single"/>
        </w:rPr>
        <w:t>采购人或采购代理机构有权将以上内容进行公示。</w:t>
      </w:r>
    </w:p>
    <w:p w14:paraId="341B62BB">
      <w:pPr>
        <w:spacing w:line="360" w:lineRule="auto"/>
        <w:rPr>
          <w:rFonts w:hint="default" w:ascii="Times New Roman" w:hAnsi="Times New Roman" w:cs="Times New Roman"/>
          <w:color w:val="auto"/>
          <w:sz w:val="24"/>
          <w:highlight w:val="none"/>
        </w:rPr>
      </w:pPr>
      <w:r>
        <w:rPr>
          <w:rFonts w:hint="default" w:ascii="Times New Roman" w:hAnsi="Times New Roman" w:cs="Times New Roman"/>
          <w:color w:val="auto"/>
          <w:sz w:val="24"/>
          <w:highlight w:val="none"/>
        </w:rPr>
        <w:br w:type="page" w:clear="all"/>
      </w:r>
    </w:p>
    <w:p w14:paraId="77299138">
      <w:pPr>
        <w:keepNext w:val="0"/>
        <w:keepLines w:val="0"/>
        <w:pageBreakBefore w:val="0"/>
        <w:pBdr>
          <w:top w:val="none" w:color="000000" w:sz="0" w:space="0"/>
          <w:left w:val="none" w:color="000000" w:sz="0" w:space="0"/>
          <w:bottom w:val="none" w:color="000000" w:sz="0" w:space="0"/>
          <w:right w:val="none" w:color="000000" w:sz="0" w:space="0"/>
        </w:pBdr>
        <w:spacing w:beforeAutospacing="0" w:afterAutospacing="0" w:line="360" w:lineRule="auto"/>
        <w:rPr>
          <w:rFonts w:hint="default" w:ascii="Times New Roman" w:hAnsi="Times New Roman" w:cs="Times New Roman"/>
          <w:color w:val="auto"/>
          <w:highlight w:val="none"/>
        </w:rPr>
      </w:pPr>
      <w:r>
        <w:rPr>
          <w:rFonts w:hint="default" w:ascii="Times New Roman" w:hAnsi="Times New Roman" w:cs="Times New Roman"/>
          <w:color w:val="auto"/>
          <w:sz w:val="24"/>
          <w:highlight w:val="none"/>
        </w:rPr>
        <w:t>附件10：</w:t>
      </w:r>
    </w:p>
    <w:p w14:paraId="4A005FED">
      <w:pPr>
        <w:pStyle w:val="6"/>
        <w:spacing w:line="360" w:lineRule="auto"/>
        <w:rPr>
          <w:rFonts w:hint="default" w:ascii="Times New Roman" w:hAnsi="Times New Roman" w:cs="Times New Roman"/>
          <w:color w:val="auto"/>
          <w:highlight w:val="none"/>
        </w:rPr>
      </w:pPr>
      <w:r>
        <w:rPr>
          <w:rFonts w:hint="default" w:ascii="Times New Roman" w:hAnsi="Times New Roman" w:cs="Times New Roman"/>
          <w:color w:val="auto"/>
          <w:highlight w:val="none"/>
        </w:rPr>
        <w:t>项目团队人员一览表</w:t>
      </w:r>
    </w:p>
    <w:tbl>
      <w:tblPr>
        <w:tblStyle w:val="42"/>
        <w:tblpPr w:leftFromText="180" w:rightFromText="180" w:vertAnchor="text" w:horzAnchor="margin" w:tblpX="178" w:tblpY="7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93"/>
        <w:gridCol w:w="1905"/>
        <w:gridCol w:w="1127"/>
        <w:gridCol w:w="896"/>
        <w:gridCol w:w="896"/>
        <w:gridCol w:w="2118"/>
      </w:tblGrid>
      <w:tr w14:paraId="3BCBAD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trPr>
        <w:tc>
          <w:tcPr>
            <w:tcW w:w="1293" w:type="dxa"/>
            <w:noWrap w:val="0"/>
            <w:vAlign w:val="center"/>
          </w:tcPr>
          <w:p w14:paraId="4EAE59A1">
            <w:pPr>
              <w:spacing w:line="360" w:lineRule="auto"/>
              <w:jc w:val="center"/>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姓名</w:t>
            </w:r>
          </w:p>
        </w:tc>
        <w:tc>
          <w:tcPr>
            <w:tcW w:w="1905" w:type="dxa"/>
            <w:noWrap w:val="0"/>
            <w:vAlign w:val="center"/>
          </w:tcPr>
          <w:p w14:paraId="63DBEE28">
            <w:pPr>
              <w:spacing w:line="360" w:lineRule="auto"/>
              <w:jc w:val="center"/>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本项目拟任</w:t>
            </w:r>
          </w:p>
          <w:p w14:paraId="3959BEC6">
            <w:pPr>
              <w:spacing w:line="360" w:lineRule="auto"/>
              <w:jc w:val="center"/>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职务</w:t>
            </w:r>
          </w:p>
        </w:tc>
        <w:tc>
          <w:tcPr>
            <w:tcW w:w="1127" w:type="dxa"/>
            <w:noWrap w:val="0"/>
            <w:vAlign w:val="center"/>
          </w:tcPr>
          <w:p w14:paraId="5E85F713">
            <w:pPr>
              <w:spacing w:line="360" w:lineRule="auto"/>
              <w:jc w:val="center"/>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技术</w:t>
            </w:r>
          </w:p>
          <w:p w14:paraId="1C5B3277">
            <w:pPr>
              <w:spacing w:line="360" w:lineRule="auto"/>
              <w:jc w:val="center"/>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职称</w:t>
            </w:r>
          </w:p>
        </w:tc>
        <w:tc>
          <w:tcPr>
            <w:tcW w:w="896" w:type="dxa"/>
            <w:noWrap w:val="0"/>
            <w:vAlign w:val="center"/>
          </w:tcPr>
          <w:p w14:paraId="66545409">
            <w:pPr>
              <w:spacing w:line="360" w:lineRule="auto"/>
              <w:jc w:val="center"/>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年龄</w:t>
            </w:r>
          </w:p>
        </w:tc>
        <w:tc>
          <w:tcPr>
            <w:tcW w:w="896" w:type="dxa"/>
            <w:noWrap w:val="0"/>
            <w:vAlign w:val="center"/>
          </w:tcPr>
          <w:p w14:paraId="12B43D7A">
            <w:pPr>
              <w:spacing w:line="360" w:lineRule="auto"/>
              <w:jc w:val="center"/>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学历</w:t>
            </w:r>
          </w:p>
        </w:tc>
        <w:tc>
          <w:tcPr>
            <w:tcW w:w="2118" w:type="dxa"/>
            <w:noWrap w:val="0"/>
            <w:vAlign w:val="center"/>
          </w:tcPr>
          <w:p w14:paraId="73083F8B">
            <w:pPr>
              <w:spacing w:line="360" w:lineRule="auto"/>
              <w:jc w:val="center"/>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主要资历及担任过的职务</w:t>
            </w:r>
          </w:p>
        </w:tc>
      </w:tr>
      <w:tr w14:paraId="6C9774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9" w:hRule="atLeast"/>
        </w:trPr>
        <w:tc>
          <w:tcPr>
            <w:tcW w:w="1293" w:type="dxa"/>
            <w:noWrap w:val="0"/>
            <w:vAlign w:val="center"/>
          </w:tcPr>
          <w:p w14:paraId="4364E7FE">
            <w:pPr>
              <w:spacing w:line="360" w:lineRule="auto"/>
              <w:jc w:val="center"/>
              <w:rPr>
                <w:rFonts w:hint="default" w:ascii="Times New Roman" w:hAnsi="Times New Roman" w:eastAsia="宋体" w:cs="Times New Roman"/>
                <w:color w:val="auto"/>
                <w:sz w:val="21"/>
                <w:szCs w:val="21"/>
                <w:highlight w:val="none"/>
              </w:rPr>
            </w:pPr>
          </w:p>
        </w:tc>
        <w:tc>
          <w:tcPr>
            <w:tcW w:w="1905" w:type="dxa"/>
            <w:noWrap w:val="0"/>
            <w:vAlign w:val="center"/>
          </w:tcPr>
          <w:p w14:paraId="063B862E">
            <w:pPr>
              <w:spacing w:line="360" w:lineRule="auto"/>
              <w:jc w:val="center"/>
              <w:rPr>
                <w:rFonts w:hint="default" w:ascii="Times New Roman" w:hAnsi="Times New Roman" w:eastAsia="宋体" w:cs="Times New Roman"/>
                <w:color w:val="auto"/>
                <w:sz w:val="21"/>
                <w:szCs w:val="21"/>
                <w:highlight w:val="none"/>
              </w:rPr>
            </w:pPr>
          </w:p>
        </w:tc>
        <w:tc>
          <w:tcPr>
            <w:tcW w:w="1127" w:type="dxa"/>
            <w:noWrap w:val="0"/>
            <w:vAlign w:val="center"/>
          </w:tcPr>
          <w:p w14:paraId="29F4ECBB">
            <w:pPr>
              <w:spacing w:line="360" w:lineRule="auto"/>
              <w:jc w:val="center"/>
              <w:rPr>
                <w:rFonts w:hint="default" w:ascii="Times New Roman" w:hAnsi="Times New Roman" w:eastAsia="宋体" w:cs="Times New Roman"/>
                <w:color w:val="auto"/>
                <w:sz w:val="21"/>
                <w:szCs w:val="21"/>
                <w:highlight w:val="none"/>
              </w:rPr>
            </w:pPr>
          </w:p>
        </w:tc>
        <w:tc>
          <w:tcPr>
            <w:tcW w:w="896" w:type="dxa"/>
            <w:noWrap w:val="0"/>
            <w:vAlign w:val="center"/>
          </w:tcPr>
          <w:p w14:paraId="5AC7CA1F">
            <w:pPr>
              <w:spacing w:line="360" w:lineRule="auto"/>
              <w:jc w:val="center"/>
              <w:rPr>
                <w:rFonts w:hint="default" w:ascii="Times New Roman" w:hAnsi="Times New Roman" w:eastAsia="宋体" w:cs="Times New Roman"/>
                <w:color w:val="auto"/>
                <w:sz w:val="21"/>
                <w:szCs w:val="21"/>
                <w:highlight w:val="none"/>
              </w:rPr>
            </w:pPr>
          </w:p>
        </w:tc>
        <w:tc>
          <w:tcPr>
            <w:tcW w:w="896" w:type="dxa"/>
            <w:noWrap w:val="0"/>
            <w:vAlign w:val="center"/>
          </w:tcPr>
          <w:p w14:paraId="4221E1A9">
            <w:pPr>
              <w:spacing w:line="360" w:lineRule="auto"/>
              <w:jc w:val="center"/>
              <w:rPr>
                <w:rFonts w:hint="default" w:ascii="Times New Roman" w:hAnsi="Times New Roman" w:eastAsia="宋体" w:cs="Times New Roman"/>
                <w:color w:val="auto"/>
                <w:sz w:val="21"/>
                <w:szCs w:val="21"/>
                <w:highlight w:val="none"/>
              </w:rPr>
            </w:pPr>
          </w:p>
        </w:tc>
        <w:tc>
          <w:tcPr>
            <w:tcW w:w="2118" w:type="dxa"/>
            <w:noWrap w:val="0"/>
            <w:vAlign w:val="center"/>
          </w:tcPr>
          <w:p w14:paraId="6BC10E4A">
            <w:pPr>
              <w:spacing w:line="360" w:lineRule="auto"/>
              <w:jc w:val="center"/>
              <w:rPr>
                <w:rFonts w:hint="default" w:ascii="Times New Roman" w:hAnsi="Times New Roman" w:eastAsia="宋体" w:cs="Times New Roman"/>
                <w:color w:val="auto"/>
                <w:sz w:val="21"/>
                <w:szCs w:val="21"/>
                <w:highlight w:val="none"/>
              </w:rPr>
            </w:pPr>
          </w:p>
        </w:tc>
      </w:tr>
      <w:tr w14:paraId="224862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729" w:hRule="atLeast"/>
        </w:trPr>
        <w:tc>
          <w:tcPr>
            <w:tcW w:w="1293" w:type="dxa"/>
            <w:noWrap w:val="0"/>
            <w:vAlign w:val="center"/>
          </w:tcPr>
          <w:p w14:paraId="794F21C7">
            <w:pPr>
              <w:spacing w:line="360" w:lineRule="auto"/>
              <w:jc w:val="center"/>
              <w:rPr>
                <w:rFonts w:hint="default" w:ascii="Times New Roman" w:hAnsi="Times New Roman" w:eastAsia="宋体" w:cs="Times New Roman"/>
                <w:color w:val="auto"/>
                <w:sz w:val="21"/>
                <w:szCs w:val="21"/>
                <w:highlight w:val="none"/>
              </w:rPr>
            </w:pPr>
          </w:p>
        </w:tc>
        <w:tc>
          <w:tcPr>
            <w:tcW w:w="1905" w:type="dxa"/>
            <w:noWrap w:val="0"/>
            <w:vAlign w:val="center"/>
          </w:tcPr>
          <w:p w14:paraId="27B395D4">
            <w:pPr>
              <w:spacing w:line="360" w:lineRule="auto"/>
              <w:jc w:val="center"/>
              <w:rPr>
                <w:rFonts w:hint="default" w:ascii="Times New Roman" w:hAnsi="Times New Roman" w:eastAsia="宋体" w:cs="Times New Roman"/>
                <w:color w:val="auto"/>
                <w:sz w:val="21"/>
                <w:szCs w:val="21"/>
                <w:highlight w:val="none"/>
              </w:rPr>
            </w:pPr>
          </w:p>
        </w:tc>
        <w:tc>
          <w:tcPr>
            <w:tcW w:w="1127" w:type="dxa"/>
            <w:noWrap w:val="0"/>
            <w:vAlign w:val="center"/>
          </w:tcPr>
          <w:p w14:paraId="037B5236">
            <w:pPr>
              <w:spacing w:line="360" w:lineRule="auto"/>
              <w:jc w:val="center"/>
              <w:rPr>
                <w:rFonts w:hint="default" w:ascii="Times New Roman" w:hAnsi="Times New Roman" w:eastAsia="宋体" w:cs="Times New Roman"/>
                <w:color w:val="auto"/>
                <w:sz w:val="21"/>
                <w:szCs w:val="21"/>
                <w:highlight w:val="none"/>
              </w:rPr>
            </w:pPr>
          </w:p>
        </w:tc>
        <w:tc>
          <w:tcPr>
            <w:tcW w:w="896" w:type="dxa"/>
            <w:noWrap w:val="0"/>
            <w:vAlign w:val="center"/>
          </w:tcPr>
          <w:p w14:paraId="1BF49F24">
            <w:pPr>
              <w:spacing w:line="360" w:lineRule="auto"/>
              <w:jc w:val="center"/>
              <w:rPr>
                <w:rFonts w:hint="default" w:ascii="Times New Roman" w:hAnsi="Times New Roman" w:eastAsia="宋体" w:cs="Times New Roman"/>
                <w:color w:val="auto"/>
                <w:sz w:val="21"/>
                <w:szCs w:val="21"/>
                <w:highlight w:val="none"/>
              </w:rPr>
            </w:pPr>
          </w:p>
        </w:tc>
        <w:tc>
          <w:tcPr>
            <w:tcW w:w="896" w:type="dxa"/>
            <w:noWrap w:val="0"/>
            <w:vAlign w:val="center"/>
          </w:tcPr>
          <w:p w14:paraId="7D53FF19">
            <w:pPr>
              <w:spacing w:line="360" w:lineRule="auto"/>
              <w:jc w:val="center"/>
              <w:rPr>
                <w:rFonts w:hint="default" w:ascii="Times New Roman" w:hAnsi="Times New Roman" w:eastAsia="宋体" w:cs="Times New Roman"/>
                <w:color w:val="auto"/>
                <w:sz w:val="21"/>
                <w:szCs w:val="21"/>
                <w:highlight w:val="none"/>
              </w:rPr>
            </w:pPr>
          </w:p>
        </w:tc>
        <w:tc>
          <w:tcPr>
            <w:tcW w:w="2118" w:type="dxa"/>
            <w:noWrap w:val="0"/>
            <w:vAlign w:val="center"/>
          </w:tcPr>
          <w:p w14:paraId="10EC6617">
            <w:pPr>
              <w:spacing w:line="360" w:lineRule="auto"/>
              <w:jc w:val="center"/>
              <w:rPr>
                <w:rFonts w:hint="default" w:ascii="Times New Roman" w:hAnsi="Times New Roman" w:eastAsia="宋体" w:cs="Times New Roman"/>
                <w:color w:val="auto"/>
                <w:sz w:val="21"/>
                <w:szCs w:val="21"/>
                <w:highlight w:val="none"/>
              </w:rPr>
            </w:pPr>
          </w:p>
        </w:tc>
      </w:tr>
      <w:tr w14:paraId="77CA97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9" w:hRule="atLeast"/>
        </w:trPr>
        <w:tc>
          <w:tcPr>
            <w:tcW w:w="1293" w:type="dxa"/>
            <w:noWrap w:val="0"/>
            <w:vAlign w:val="center"/>
          </w:tcPr>
          <w:p w14:paraId="53D14983">
            <w:pPr>
              <w:spacing w:line="360" w:lineRule="auto"/>
              <w:jc w:val="center"/>
              <w:rPr>
                <w:rFonts w:hint="default" w:ascii="Times New Roman" w:hAnsi="Times New Roman" w:eastAsia="宋体" w:cs="Times New Roman"/>
                <w:color w:val="auto"/>
                <w:sz w:val="21"/>
                <w:szCs w:val="21"/>
                <w:highlight w:val="none"/>
              </w:rPr>
            </w:pPr>
          </w:p>
        </w:tc>
        <w:tc>
          <w:tcPr>
            <w:tcW w:w="1905" w:type="dxa"/>
            <w:noWrap w:val="0"/>
            <w:vAlign w:val="center"/>
          </w:tcPr>
          <w:p w14:paraId="14D8688C">
            <w:pPr>
              <w:spacing w:line="360" w:lineRule="auto"/>
              <w:jc w:val="center"/>
              <w:rPr>
                <w:rFonts w:hint="default" w:ascii="Times New Roman" w:hAnsi="Times New Roman" w:eastAsia="宋体" w:cs="Times New Roman"/>
                <w:color w:val="auto"/>
                <w:sz w:val="21"/>
                <w:szCs w:val="21"/>
                <w:highlight w:val="none"/>
              </w:rPr>
            </w:pPr>
          </w:p>
        </w:tc>
        <w:tc>
          <w:tcPr>
            <w:tcW w:w="1127" w:type="dxa"/>
            <w:noWrap w:val="0"/>
            <w:vAlign w:val="center"/>
          </w:tcPr>
          <w:p w14:paraId="62D558D8">
            <w:pPr>
              <w:spacing w:line="360" w:lineRule="auto"/>
              <w:jc w:val="center"/>
              <w:rPr>
                <w:rFonts w:hint="default" w:ascii="Times New Roman" w:hAnsi="Times New Roman" w:eastAsia="宋体" w:cs="Times New Roman"/>
                <w:color w:val="auto"/>
                <w:sz w:val="21"/>
                <w:szCs w:val="21"/>
                <w:highlight w:val="none"/>
              </w:rPr>
            </w:pPr>
          </w:p>
        </w:tc>
        <w:tc>
          <w:tcPr>
            <w:tcW w:w="896" w:type="dxa"/>
            <w:noWrap w:val="0"/>
            <w:vAlign w:val="center"/>
          </w:tcPr>
          <w:p w14:paraId="276E4431">
            <w:pPr>
              <w:spacing w:line="360" w:lineRule="auto"/>
              <w:jc w:val="center"/>
              <w:rPr>
                <w:rFonts w:hint="default" w:ascii="Times New Roman" w:hAnsi="Times New Roman" w:eastAsia="宋体" w:cs="Times New Roman"/>
                <w:color w:val="auto"/>
                <w:sz w:val="21"/>
                <w:szCs w:val="21"/>
                <w:highlight w:val="none"/>
              </w:rPr>
            </w:pPr>
          </w:p>
        </w:tc>
        <w:tc>
          <w:tcPr>
            <w:tcW w:w="896" w:type="dxa"/>
            <w:noWrap w:val="0"/>
            <w:vAlign w:val="center"/>
          </w:tcPr>
          <w:p w14:paraId="6F9CC0CB">
            <w:pPr>
              <w:spacing w:line="360" w:lineRule="auto"/>
              <w:jc w:val="center"/>
              <w:rPr>
                <w:rFonts w:hint="default" w:ascii="Times New Roman" w:hAnsi="Times New Roman" w:eastAsia="宋体" w:cs="Times New Roman"/>
                <w:color w:val="auto"/>
                <w:sz w:val="21"/>
                <w:szCs w:val="21"/>
                <w:highlight w:val="none"/>
              </w:rPr>
            </w:pPr>
          </w:p>
        </w:tc>
        <w:tc>
          <w:tcPr>
            <w:tcW w:w="2118" w:type="dxa"/>
            <w:noWrap w:val="0"/>
            <w:vAlign w:val="center"/>
          </w:tcPr>
          <w:p w14:paraId="60D4BA8E">
            <w:pPr>
              <w:spacing w:line="360" w:lineRule="auto"/>
              <w:jc w:val="center"/>
              <w:rPr>
                <w:rFonts w:hint="default" w:ascii="Times New Roman" w:hAnsi="Times New Roman" w:eastAsia="宋体" w:cs="Times New Roman"/>
                <w:color w:val="auto"/>
                <w:sz w:val="21"/>
                <w:szCs w:val="21"/>
                <w:highlight w:val="none"/>
              </w:rPr>
            </w:pPr>
          </w:p>
        </w:tc>
      </w:tr>
      <w:tr w14:paraId="6408A8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9" w:hRule="atLeast"/>
        </w:trPr>
        <w:tc>
          <w:tcPr>
            <w:tcW w:w="1293" w:type="dxa"/>
            <w:noWrap w:val="0"/>
            <w:vAlign w:val="center"/>
          </w:tcPr>
          <w:p w14:paraId="37664A75">
            <w:pPr>
              <w:spacing w:line="360" w:lineRule="auto"/>
              <w:jc w:val="center"/>
              <w:rPr>
                <w:rFonts w:hint="default" w:ascii="Times New Roman" w:hAnsi="Times New Roman" w:eastAsia="宋体" w:cs="Times New Roman"/>
                <w:color w:val="auto"/>
                <w:sz w:val="21"/>
                <w:szCs w:val="21"/>
                <w:highlight w:val="none"/>
              </w:rPr>
            </w:pPr>
          </w:p>
        </w:tc>
        <w:tc>
          <w:tcPr>
            <w:tcW w:w="1905" w:type="dxa"/>
            <w:noWrap w:val="0"/>
            <w:vAlign w:val="center"/>
          </w:tcPr>
          <w:p w14:paraId="302C72F5">
            <w:pPr>
              <w:spacing w:line="360" w:lineRule="auto"/>
              <w:jc w:val="center"/>
              <w:rPr>
                <w:rFonts w:hint="default" w:ascii="Times New Roman" w:hAnsi="Times New Roman" w:eastAsia="宋体" w:cs="Times New Roman"/>
                <w:color w:val="auto"/>
                <w:sz w:val="21"/>
                <w:szCs w:val="21"/>
                <w:highlight w:val="none"/>
              </w:rPr>
            </w:pPr>
          </w:p>
        </w:tc>
        <w:tc>
          <w:tcPr>
            <w:tcW w:w="1127" w:type="dxa"/>
            <w:noWrap w:val="0"/>
            <w:vAlign w:val="center"/>
          </w:tcPr>
          <w:p w14:paraId="296C90F5">
            <w:pPr>
              <w:spacing w:line="360" w:lineRule="auto"/>
              <w:jc w:val="center"/>
              <w:rPr>
                <w:rFonts w:hint="default" w:ascii="Times New Roman" w:hAnsi="Times New Roman" w:eastAsia="宋体" w:cs="Times New Roman"/>
                <w:color w:val="auto"/>
                <w:sz w:val="21"/>
                <w:szCs w:val="21"/>
                <w:highlight w:val="none"/>
              </w:rPr>
            </w:pPr>
          </w:p>
        </w:tc>
        <w:tc>
          <w:tcPr>
            <w:tcW w:w="896" w:type="dxa"/>
            <w:noWrap w:val="0"/>
            <w:vAlign w:val="center"/>
          </w:tcPr>
          <w:p w14:paraId="4FC5C9FE">
            <w:pPr>
              <w:spacing w:line="360" w:lineRule="auto"/>
              <w:jc w:val="center"/>
              <w:rPr>
                <w:rFonts w:hint="default" w:ascii="Times New Roman" w:hAnsi="Times New Roman" w:eastAsia="宋体" w:cs="Times New Roman"/>
                <w:color w:val="auto"/>
                <w:sz w:val="21"/>
                <w:szCs w:val="21"/>
                <w:highlight w:val="none"/>
              </w:rPr>
            </w:pPr>
          </w:p>
        </w:tc>
        <w:tc>
          <w:tcPr>
            <w:tcW w:w="896" w:type="dxa"/>
            <w:noWrap w:val="0"/>
            <w:vAlign w:val="center"/>
          </w:tcPr>
          <w:p w14:paraId="3E5B9EC0">
            <w:pPr>
              <w:spacing w:line="360" w:lineRule="auto"/>
              <w:jc w:val="center"/>
              <w:rPr>
                <w:rFonts w:hint="default" w:ascii="Times New Roman" w:hAnsi="Times New Roman" w:eastAsia="宋体" w:cs="Times New Roman"/>
                <w:color w:val="auto"/>
                <w:sz w:val="21"/>
                <w:szCs w:val="21"/>
                <w:highlight w:val="none"/>
              </w:rPr>
            </w:pPr>
          </w:p>
        </w:tc>
        <w:tc>
          <w:tcPr>
            <w:tcW w:w="2118" w:type="dxa"/>
            <w:noWrap w:val="0"/>
            <w:vAlign w:val="center"/>
          </w:tcPr>
          <w:p w14:paraId="1E3FD85B">
            <w:pPr>
              <w:spacing w:line="360" w:lineRule="auto"/>
              <w:jc w:val="center"/>
              <w:rPr>
                <w:rFonts w:hint="default" w:ascii="Times New Roman" w:hAnsi="Times New Roman" w:eastAsia="宋体" w:cs="Times New Roman"/>
                <w:color w:val="auto"/>
                <w:sz w:val="21"/>
                <w:szCs w:val="21"/>
                <w:highlight w:val="none"/>
              </w:rPr>
            </w:pPr>
          </w:p>
        </w:tc>
      </w:tr>
      <w:tr w14:paraId="7EF3A7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729" w:hRule="atLeast"/>
        </w:trPr>
        <w:tc>
          <w:tcPr>
            <w:tcW w:w="1293" w:type="dxa"/>
            <w:noWrap w:val="0"/>
            <w:vAlign w:val="center"/>
          </w:tcPr>
          <w:p w14:paraId="37243181">
            <w:pPr>
              <w:spacing w:line="360" w:lineRule="auto"/>
              <w:jc w:val="center"/>
              <w:rPr>
                <w:rFonts w:hint="default" w:ascii="Times New Roman" w:hAnsi="Times New Roman" w:eastAsia="宋体" w:cs="Times New Roman"/>
                <w:color w:val="auto"/>
                <w:sz w:val="21"/>
                <w:szCs w:val="21"/>
                <w:highlight w:val="none"/>
              </w:rPr>
            </w:pPr>
          </w:p>
        </w:tc>
        <w:tc>
          <w:tcPr>
            <w:tcW w:w="1905" w:type="dxa"/>
            <w:noWrap w:val="0"/>
            <w:vAlign w:val="center"/>
          </w:tcPr>
          <w:p w14:paraId="3081B833">
            <w:pPr>
              <w:spacing w:line="360" w:lineRule="auto"/>
              <w:jc w:val="center"/>
              <w:rPr>
                <w:rFonts w:hint="default" w:ascii="Times New Roman" w:hAnsi="Times New Roman" w:eastAsia="宋体" w:cs="Times New Roman"/>
                <w:color w:val="auto"/>
                <w:sz w:val="21"/>
                <w:szCs w:val="21"/>
                <w:highlight w:val="none"/>
              </w:rPr>
            </w:pPr>
          </w:p>
        </w:tc>
        <w:tc>
          <w:tcPr>
            <w:tcW w:w="1127" w:type="dxa"/>
            <w:noWrap w:val="0"/>
            <w:vAlign w:val="center"/>
          </w:tcPr>
          <w:p w14:paraId="782844A8">
            <w:pPr>
              <w:spacing w:line="360" w:lineRule="auto"/>
              <w:jc w:val="center"/>
              <w:rPr>
                <w:rFonts w:hint="default" w:ascii="Times New Roman" w:hAnsi="Times New Roman" w:eastAsia="宋体" w:cs="Times New Roman"/>
                <w:color w:val="auto"/>
                <w:sz w:val="21"/>
                <w:szCs w:val="21"/>
                <w:highlight w:val="none"/>
              </w:rPr>
            </w:pPr>
          </w:p>
        </w:tc>
        <w:tc>
          <w:tcPr>
            <w:tcW w:w="896" w:type="dxa"/>
            <w:noWrap w:val="0"/>
            <w:vAlign w:val="center"/>
          </w:tcPr>
          <w:p w14:paraId="7335240E">
            <w:pPr>
              <w:spacing w:line="360" w:lineRule="auto"/>
              <w:jc w:val="center"/>
              <w:rPr>
                <w:rFonts w:hint="default" w:ascii="Times New Roman" w:hAnsi="Times New Roman" w:eastAsia="宋体" w:cs="Times New Roman"/>
                <w:color w:val="auto"/>
                <w:sz w:val="21"/>
                <w:szCs w:val="21"/>
                <w:highlight w:val="none"/>
              </w:rPr>
            </w:pPr>
          </w:p>
        </w:tc>
        <w:tc>
          <w:tcPr>
            <w:tcW w:w="896" w:type="dxa"/>
            <w:noWrap w:val="0"/>
            <w:vAlign w:val="center"/>
          </w:tcPr>
          <w:p w14:paraId="2DE444D0">
            <w:pPr>
              <w:spacing w:line="360" w:lineRule="auto"/>
              <w:jc w:val="center"/>
              <w:rPr>
                <w:rFonts w:hint="default" w:ascii="Times New Roman" w:hAnsi="Times New Roman" w:eastAsia="宋体" w:cs="Times New Roman"/>
                <w:color w:val="auto"/>
                <w:sz w:val="21"/>
                <w:szCs w:val="21"/>
                <w:highlight w:val="none"/>
              </w:rPr>
            </w:pPr>
          </w:p>
        </w:tc>
        <w:tc>
          <w:tcPr>
            <w:tcW w:w="2118" w:type="dxa"/>
            <w:noWrap w:val="0"/>
            <w:vAlign w:val="center"/>
          </w:tcPr>
          <w:p w14:paraId="7C00E4CD">
            <w:pPr>
              <w:spacing w:line="360" w:lineRule="auto"/>
              <w:jc w:val="center"/>
              <w:rPr>
                <w:rFonts w:hint="default" w:ascii="Times New Roman" w:hAnsi="Times New Roman" w:eastAsia="宋体" w:cs="Times New Roman"/>
                <w:color w:val="auto"/>
                <w:sz w:val="21"/>
                <w:szCs w:val="21"/>
                <w:highlight w:val="none"/>
              </w:rPr>
            </w:pPr>
          </w:p>
        </w:tc>
      </w:tr>
      <w:tr w14:paraId="7C8312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729" w:hRule="atLeast"/>
        </w:trPr>
        <w:tc>
          <w:tcPr>
            <w:tcW w:w="1293" w:type="dxa"/>
            <w:noWrap w:val="0"/>
            <w:vAlign w:val="center"/>
          </w:tcPr>
          <w:p w14:paraId="2F3CE677">
            <w:pPr>
              <w:spacing w:line="360" w:lineRule="auto"/>
              <w:jc w:val="center"/>
              <w:rPr>
                <w:rFonts w:hint="default" w:ascii="Times New Roman" w:hAnsi="Times New Roman" w:eastAsia="宋体" w:cs="Times New Roman"/>
                <w:color w:val="auto"/>
                <w:sz w:val="21"/>
                <w:szCs w:val="21"/>
                <w:highlight w:val="none"/>
              </w:rPr>
            </w:pPr>
          </w:p>
        </w:tc>
        <w:tc>
          <w:tcPr>
            <w:tcW w:w="1905" w:type="dxa"/>
            <w:noWrap w:val="0"/>
            <w:vAlign w:val="center"/>
          </w:tcPr>
          <w:p w14:paraId="1743E48C">
            <w:pPr>
              <w:spacing w:line="360" w:lineRule="auto"/>
              <w:jc w:val="center"/>
              <w:rPr>
                <w:rFonts w:hint="default" w:ascii="Times New Roman" w:hAnsi="Times New Roman" w:eastAsia="宋体" w:cs="Times New Roman"/>
                <w:color w:val="auto"/>
                <w:sz w:val="21"/>
                <w:szCs w:val="21"/>
                <w:highlight w:val="none"/>
              </w:rPr>
            </w:pPr>
          </w:p>
        </w:tc>
        <w:tc>
          <w:tcPr>
            <w:tcW w:w="1127" w:type="dxa"/>
            <w:noWrap w:val="0"/>
            <w:vAlign w:val="center"/>
          </w:tcPr>
          <w:p w14:paraId="59B57C04">
            <w:pPr>
              <w:spacing w:line="360" w:lineRule="auto"/>
              <w:jc w:val="center"/>
              <w:rPr>
                <w:rFonts w:hint="default" w:ascii="Times New Roman" w:hAnsi="Times New Roman" w:eastAsia="宋体" w:cs="Times New Roman"/>
                <w:color w:val="auto"/>
                <w:sz w:val="21"/>
                <w:szCs w:val="21"/>
                <w:highlight w:val="none"/>
              </w:rPr>
            </w:pPr>
          </w:p>
        </w:tc>
        <w:tc>
          <w:tcPr>
            <w:tcW w:w="896" w:type="dxa"/>
            <w:noWrap w:val="0"/>
            <w:vAlign w:val="center"/>
          </w:tcPr>
          <w:p w14:paraId="665B59CF">
            <w:pPr>
              <w:spacing w:line="360" w:lineRule="auto"/>
              <w:jc w:val="center"/>
              <w:rPr>
                <w:rFonts w:hint="default" w:ascii="Times New Roman" w:hAnsi="Times New Roman" w:eastAsia="宋体" w:cs="Times New Roman"/>
                <w:color w:val="auto"/>
                <w:sz w:val="21"/>
                <w:szCs w:val="21"/>
                <w:highlight w:val="none"/>
              </w:rPr>
            </w:pPr>
          </w:p>
        </w:tc>
        <w:tc>
          <w:tcPr>
            <w:tcW w:w="896" w:type="dxa"/>
            <w:noWrap w:val="0"/>
            <w:vAlign w:val="center"/>
          </w:tcPr>
          <w:p w14:paraId="7C1E8AF0">
            <w:pPr>
              <w:spacing w:line="360" w:lineRule="auto"/>
              <w:jc w:val="center"/>
              <w:rPr>
                <w:rFonts w:hint="default" w:ascii="Times New Roman" w:hAnsi="Times New Roman" w:eastAsia="宋体" w:cs="Times New Roman"/>
                <w:color w:val="auto"/>
                <w:sz w:val="21"/>
                <w:szCs w:val="21"/>
                <w:highlight w:val="none"/>
              </w:rPr>
            </w:pPr>
          </w:p>
        </w:tc>
        <w:tc>
          <w:tcPr>
            <w:tcW w:w="2118" w:type="dxa"/>
            <w:noWrap w:val="0"/>
            <w:vAlign w:val="center"/>
          </w:tcPr>
          <w:p w14:paraId="7A9B9B61">
            <w:pPr>
              <w:spacing w:line="360" w:lineRule="auto"/>
              <w:jc w:val="center"/>
              <w:rPr>
                <w:rFonts w:hint="default" w:ascii="Times New Roman" w:hAnsi="Times New Roman" w:eastAsia="宋体" w:cs="Times New Roman"/>
                <w:color w:val="auto"/>
                <w:sz w:val="21"/>
                <w:szCs w:val="21"/>
                <w:highlight w:val="none"/>
              </w:rPr>
            </w:pPr>
          </w:p>
        </w:tc>
      </w:tr>
      <w:tr w14:paraId="05DFAF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9" w:hRule="atLeast"/>
        </w:trPr>
        <w:tc>
          <w:tcPr>
            <w:tcW w:w="1293" w:type="dxa"/>
            <w:noWrap w:val="0"/>
            <w:vAlign w:val="center"/>
          </w:tcPr>
          <w:p w14:paraId="5C0F68A9">
            <w:pPr>
              <w:spacing w:line="360" w:lineRule="auto"/>
              <w:jc w:val="center"/>
              <w:rPr>
                <w:rFonts w:hint="default" w:ascii="Times New Roman" w:hAnsi="Times New Roman" w:eastAsia="宋体" w:cs="Times New Roman"/>
                <w:color w:val="auto"/>
                <w:sz w:val="21"/>
                <w:szCs w:val="21"/>
                <w:highlight w:val="none"/>
              </w:rPr>
            </w:pPr>
          </w:p>
        </w:tc>
        <w:tc>
          <w:tcPr>
            <w:tcW w:w="1905" w:type="dxa"/>
            <w:noWrap w:val="0"/>
            <w:vAlign w:val="center"/>
          </w:tcPr>
          <w:p w14:paraId="34D82FA3">
            <w:pPr>
              <w:spacing w:line="360" w:lineRule="auto"/>
              <w:jc w:val="center"/>
              <w:rPr>
                <w:rFonts w:hint="default" w:ascii="Times New Roman" w:hAnsi="Times New Roman" w:eastAsia="宋体" w:cs="Times New Roman"/>
                <w:color w:val="auto"/>
                <w:sz w:val="21"/>
                <w:szCs w:val="21"/>
                <w:highlight w:val="none"/>
              </w:rPr>
            </w:pPr>
          </w:p>
        </w:tc>
        <w:tc>
          <w:tcPr>
            <w:tcW w:w="1127" w:type="dxa"/>
            <w:noWrap w:val="0"/>
            <w:vAlign w:val="center"/>
          </w:tcPr>
          <w:p w14:paraId="124D7696">
            <w:pPr>
              <w:spacing w:line="360" w:lineRule="auto"/>
              <w:jc w:val="center"/>
              <w:rPr>
                <w:rFonts w:hint="default" w:ascii="Times New Roman" w:hAnsi="Times New Roman" w:eastAsia="宋体" w:cs="Times New Roman"/>
                <w:color w:val="auto"/>
                <w:sz w:val="21"/>
                <w:szCs w:val="21"/>
                <w:highlight w:val="none"/>
              </w:rPr>
            </w:pPr>
          </w:p>
        </w:tc>
        <w:tc>
          <w:tcPr>
            <w:tcW w:w="896" w:type="dxa"/>
            <w:noWrap w:val="0"/>
            <w:vAlign w:val="center"/>
          </w:tcPr>
          <w:p w14:paraId="41CD4C67">
            <w:pPr>
              <w:spacing w:line="360" w:lineRule="auto"/>
              <w:jc w:val="center"/>
              <w:rPr>
                <w:rFonts w:hint="default" w:ascii="Times New Roman" w:hAnsi="Times New Roman" w:eastAsia="宋体" w:cs="Times New Roman"/>
                <w:color w:val="auto"/>
                <w:sz w:val="21"/>
                <w:szCs w:val="21"/>
                <w:highlight w:val="none"/>
              </w:rPr>
            </w:pPr>
          </w:p>
        </w:tc>
        <w:tc>
          <w:tcPr>
            <w:tcW w:w="896" w:type="dxa"/>
            <w:noWrap w:val="0"/>
            <w:vAlign w:val="center"/>
          </w:tcPr>
          <w:p w14:paraId="3EE1D1AE">
            <w:pPr>
              <w:spacing w:line="360" w:lineRule="auto"/>
              <w:jc w:val="center"/>
              <w:rPr>
                <w:rFonts w:hint="default" w:ascii="Times New Roman" w:hAnsi="Times New Roman" w:eastAsia="宋体" w:cs="Times New Roman"/>
                <w:color w:val="auto"/>
                <w:sz w:val="21"/>
                <w:szCs w:val="21"/>
                <w:highlight w:val="none"/>
              </w:rPr>
            </w:pPr>
          </w:p>
        </w:tc>
        <w:tc>
          <w:tcPr>
            <w:tcW w:w="2118" w:type="dxa"/>
            <w:noWrap w:val="0"/>
            <w:vAlign w:val="center"/>
          </w:tcPr>
          <w:p w14:paraId="5F5039BE">
            <w:pPr>
              <w:spacing w:line="360" w:lineRule="auto"/>
              <w:jc w:val="center"/>
              <w:rPr>
                <w:rFonts w:hint="default" w:ascii="Times New Roman" w:hAnsi="Times New Roman" w:eastAsia="宋体" w:cs="Times New Roman"/>
                <w:color w:val="auto"/>
                <w:sz w:val="21"/>
                <w:szCs w:val="21"/>
                <w:highlight w:val="none"/>
              </w:rPr>
            </w:pPr>
          </w:p>
        </w:tc>
      </w:tr>
      <w:tr w14:paraId="22605E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9" w:hRule="atLeast"/>
        </w:trPr>
        <w:tc>
          <w:tcPr>
            <w:tcW w:w="1293" w:type="dxa"/>
            <w:noWrap w:val="0"/>
            <w:vAlign w:val="center"/>
          </w:tcPr>
          <w:p w14:paraId="7F3C160E">
            <w:pPr>
              <w:spacing w:line="360" w:lineRule="auto"/>
              <w:jc w:val="center"/>
              <w:rPr>
                <w:rFonts w:hint="default" w:ascii="Times New Roman" w:hAnsi="Times New Roman" w:eastAsia="宋体" w:cs="Times New Roman"/>
                <w:color w:val="auto"/>
                <w:sz w:val="21"/>
                <w:szCs w:val="21"/>
                <w:highlight w:val="none"/>
              </w:rPr>
            </w:pPr>
          </w:p>
        </w:tc>
        <w:tc>
          <w:tcPr>
            <w:tcW w:w="1905" w:type="dxa"/>
            <w:noWrap w:val="0"/>
            <w:vAlign w:val="center"/>
          </w:tcPr>
          <w:p w14:paraId="044EEA93">
            <w:pPr>
              <w:spacing w:line="360" w:lineRule="auto"/>
              <w:jc w:val="center"/>
              <w:rPr>
                <w:rFonts w:hint="default" w:ascii="Times New Roman" w:hAnsi="Times New Roman" w:eastAsia="宋体" w:cs="Times New Roman"/>
                <w:color w:val="auto"/>
                <w:sz w:val="21"/>
                <w:szCs w:val="21"/>
                <w:highlight w:val="none"/>
              </w:rPr>
            </w:pPr>
          </w:p>
        </w:tc>
        <w:tc>
          <w:tcPr>
            <w:tcW w:w="1127" w:type="dxa"/>
            <w:noWrap w:val="0"/>
            <w:vAlign w:val="center"/>
          </w:tcPr>
          <w:p w14:paraId="7A7EF3DD">
            <w:pPr>
              <w:spacing w:line="360" w:lineRule="auto"/>
              <w:jc w:val="center"/>
              <w:rPr>
                <w:rFonts w:hint="default" w:ascii="Times New Roman" w:hAnsi="Times New Roman" w:eastAsia="宋体" w:cs="Times New Roman"/>
                <w:color w:val="auto"/>
                <w:sz w:val="21"/>
                <w:szCs w:val="21"/>
                <w:highlight w:val="none"/>
              </w:rPr>
            </w:pPr>
          </w:p>
        </w:tc>
        <w:tc>
          <w:tcPr>
            <w:tcW w:w="896" w:type="dxa"/>
            <w:noWrap w:val="0"/>
            <w:vAlign w:val="center"/>
          </w:tcPr>
          <w:p w14:paraId="2F171FF6">
            <w:pPr>
              <w:spacing w:line="360" w:lineRule="auto"/>
              <w:jc w:val="center"/>
              <w:rPr>
                <w:rFonts w:hint="default" w:ascii="Times New Roman" w:hAnsi="Times New Roman" w:eastAsia="宋体" w:cs="Times New Roman"/>
                <w:color w:val="auto"/>
                <w:sz w:val="21"/>
                <w:szCs w:val="21"/>
                <w:highlight w:val="none"/>
              </w:rPr>
            </w:pPr>
          </w:p>
        </w:tc>
        <w:tc>
          <w:tcPr>
            <w:tcW w:w="896" w:type="dxa"/>
            <w:noWrap w:val="0"/>
            <w:vAlign w:val="center"/>
          </w:tcPr>
          <w:p w14:paraId="7678414F">
            <w:pPr>
              <w:spacing w:line="360" w:lineRule="auto"/>
              <w:jc w:val="center"/>
              <w:rPr>
                <w:rFonts w:hint="default" w:ascii="Times New Roman" w:hAnsi="Times New Roman" w:eastAsia="宋体" w:cs="Times New Roman"/>
                <w:color w:val="auto"/>
                <w:sz w:val="21"/>
                <w:szCs w:val="21"/>
                <w:highlight w:val="none"/>
              </w:rPr>
            </w:pPr>
          </w:p>
        </w:tc>
        <w:tc>
          <w:tcPr>
            <w:tcW w:w="2118" w:type="dxa"/>
            <w:noWrap w:val="0"/>
            <w:vAlign w:val="center"/>
          </w:tcPr>
          <w:p w14:paraId="2DD2BD7C">
            <w:pPr>
              <w:spacing w:line="360" w:lineRule="auto"/>
              <w:jc w:val="center"/>
              <w:rPr>
                <w:rFonts w:hint="default" w:ascii="Times New Roman" w:hAnsi="Times New Roman" w:eastAsia="宋体" w:cs="Times New Roman"/>
                <w:color w:val="auto"/>
                <w:sz w:val="21"/>
                <w:szCs w:val="21"/>
                <w:highlight w:val="none"/>
              </w:rPr>
            </w:pPr>
          </w:p>
        </w:tc>
      </w:tr>
      <w:tr w14:paraId="59CC85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9" w:hRule="atLeast"/>
        </w:trPr>
        <w:tc>
          <w:tcPr>
            <w:tcW w:w="1293" w:type="dxa"/>
            <w:noWrap w:val="0"/>
            <w:vAlign w:val="center"/>
          </w:tcPr>
          <w:p w14:paraId="23873737">
            <w:pPr>
              <w:spacing w:line="360" w:lineRule="auto"/>
              <w:jc w:val="center"/>
              <w:rPr>
                <w:rFonts w:hint="default" w:ascii="Times New Roman" w:hAnsi="Times New Roman" w:eastAsia="宋体" w:cs="Times New Roman"/>
                <w:color w:val="auto"/>
                <w:sz w:val="21"/>
                <w:szCs w:val="21"/>
                <w:highlight w:val="none"/>
              </w:rPr>
            </w:pPr>
          </w:p>
        </w:tc>
        <w:tc>
          <w:tcPr>
            <w:tcW w:w="1905" w:type="dxa"/>
            <w:noWrap w:val="0"/>
            <w:vAlign w:val="center"/>
          </w:tcPr>
          <w:p w14:paraId="660BC274">
            <w:pPr>
              <w:spacing w:line="360" w:lineRule="auto"/>
              <w:jc w:val="center"/>
              <w:rPr>
                <w:rFonts w:hint="default" w:ascii="Times New Roman" w:hAnsi="Times New Roman" w:eastAsia="宋体" w:cs="Times New Roman"/>
                <w:color w:val="auto"/>
                <w:sz w:val="21"/>
                <w:szCs w:val="21"/>
                <w:highlight w:val="none"/>
              </w:rPr>
            </w:pPr>
          </w:p>
        </w:tc>
        <w:tc>
          <w:tcPr>
            <w:tcW w:w="1127" w:type="dxa"/>
            <w:noWrap w:val="0"/>
            <w:vAlign w:val="center"/>
          </w:tcPr>
          <w:p w14:paraId="101F2179">
            <w:pPr>
              <w:spacing w:line="360" w:lineRule="auto"/>
              <w:jc w:val="center"/>
              <w:rPr>
                <w:rFonts w:hint="default" w:ascii="Times New Roman" w:hAnsi="Times New Roman" w:eastAsia="宋体" w:cs="Times New Roman"/>
                <w:color w:val="auto"/>
                <w:sz w:val="21"/>
                <w:szCs w:val="21"/>
                <w:highlight w:val="none"/>
              </w:rPr>
            </w:pPr>
          </w:p>
        </w:tc>
        <w:tc>
          <w:tcPr>
            <w:tcW w:w="896" w:type="dxa"/>
            <w:noWrap w:val="0"/>
            <w:vAlign w:val="center"/>
          </w:tcPr>
          <w:p w14:paraId="338A8BD5">
            <w:pPr>
              <w:spacing w:line="360" w:lineRule="auto"/>
              <w:jc w:val="center"/>
              <w:rPr>
                <w:rFonts w:hint="default" w:ascii="Times New Roman" w:hAnsi="Times New Roman" w:eastAsia="宋体" w:cs="Times New Roman"/>
                <w:color w:val="auto"/>
                <w:sz w:val="21"/>
                <w:szCs w:val="21"/>
                <w:highlight w:val="none"/>
              </w:rPr>
            </w:pPr>
          </w:p>
        </w:tc>
        <w:tc>
          <w:tcPr>
            <w:tcW w:w="896" w:type="dxa"/>
            <w:noWrap w:val="0"/>
            <w:vAlign w:val="center"/>
          </w:tcPr>
          <w:p w14:paraId="604AD74F">
            <w:pPr>
              <w:spacing w:line="360" w:lineRule="auto"/>
              <w:jc w:val="center"/>
              <w:rPr>
                <w:rFonts w:hint="default" w:ascii="Times New Roman" w:hAnsi="Times New Roman" w:eastAsia="宋体" w:cs="Times New Roman"/>
                <w:color w:val="auto"/>
                <w:sz w:val="21"/>
                <w:szCs w:val="21"/>
                <w:highlight w:val="none"/>
              </w:rPr>
            </w:pPr>
          </w:p>
        </w:tc>
        <w:tc>
          <w:tcPr>
            <w:tcW w:w="2118" w:type="dxa"/>
            <w:noWrap w:val="0"/>
            <w:vAlign w:val="center"/>
          </w:tcPr>
          <w:p w14:paraId="45F4BF29">
            <w:pPr>
              <w:spacing w:line="360" w:lineRule="auto"/>
              <w:jc w:val="center"/>
              <w:rPr>
                <w:rFonts w:hint="default" w:ascii="Times New Roman" w:hAnsi="Times New Roman" w:eastAsia="宋体" w:cs="Times New Roman"/>
                <w:color w:val="auto"/>
                <w:sz w:val="21"/>
                <w:szCs w:val="21"/>
                <w:highlight w:val="none"/>
              </w:rPr>
            </w:pPr>
          </w:p>
        </w:tc>
      </w:tr>
    </w:tbl>
    <w:p w14:paraId="5A1658DE">
      <w:pPr>
        <w:spacing w:line="360" w:lineRule="auto"/>
        <w:rPr>
          <w:rFonts w:hint="default" w:ascii="Times New Roman" w:hAnsi="Times New Roman" w:eastAsia="宋体" w:cs="Times New Roman"/>
          <w:b/>
          <w:color w:val="auto"/>
          <w:sz w:val="21"/>
          <w:szCs w:val="21"/>
          <w:highlight w:val="none"/>
        </w:rPr>
      </w:pPr>
    </w:p>
    <w:p w14:paraId="5491714E">
      <w:pPr>
        <w:spacing w:line="360" w:lineRule="auto"/>
        <w:jc w:val="center"/>
        <w:rPr>
          <w:rFonts w:hint="default" w:ascii="Times New Roman" w:hAnsi="Times New Roman" w:eastAsia="宋体" w:cs="Times New Roman"/>
          <w:b/>
          <w:color w:val="auto"/>
          <w:sz w:val="21"/>
          <w:szCs w:val="21"/>
          <w:highlight w:val="none"/>
        </w:rPr>
      </w:pPr>
    </w:p>
    <w:p w14:paraId="5E8F577B">
      <w:pPr>
        <w:spacing w:line="360" w:lineRule="auto"/>
        <w:jc w:val="center"/>
        <w:rPr>
          <w:rFonts w:hint="default" w:ascii="Times New Roman" w:hAnsi="Times New Roman" w:eastAsia="宋体" w:cs="Times New Roman"/>
          <w:b/>
          <w:color w:val="auto"/>
          <w:sz w:val="21"/>
          <w:szCs w:val="21"/>
          <w:highlight w:val="none"/>
        </w:rPr>
      </w:pPr>
    </w:p>
    <w:p w14:paraId="0F75B2D7">
      <w:pPr>
        <w:spacing w:line="360" w:lineRule="auto"/>
        <w:ind w:firstLine="480"/>
        <w:jc w:val="left"/>
        <w:rPr>
          <w:rFonts w:hint="default" w:ascii="Times New Roman" w:hAnsi="Times New Roman" w:eastAsia="宋体" w:cs="Times New Roman"/>
          <w:bCs/>
          <w:color w:val="auto"/>
          <w:sz w:val="21"/>
          <w:szCs w:val="21"/>
          <w:highlight w:val="none"/>
        </w:rPr>
      </w:pPr>
      <w:r>
        <w:rPr>
          <w:rFonts w:hint="default" w:ascii="Times New Roman" w:hAnsi="Times New Roman" w:eastAsia="宋体" w:cs="Times New Roman"/>
          <w:bCs/>
          <w:color w:val="auto"/>
          <w:sz w:val="21"/>
          <w:szCs w:val="21"/>
          <w:highlight w:val="none"/>
          <w:lang w:eastAsia="zh-CN"/>
        </w:rPr>
        <w:t>磋商供应商</w:t>
      </w:r>
      <w:r>
        <w:rPr>
          <w:rFonts w:hint="default" w:ascii="Times New Roman" w:hAnsi="Times New Roman" w:eastAsia="宋体" w:cs="Times New Roman"/>
          <w:bCs/>
          <w:color w:val="auto"/>
          <w:sz w:val="21"/>
          <w:szCs w:val="21"/>
          <w:highlight w:val="none"/>
        </w:rPr>
        <w:t>（</w:t>
      </w:r>
      <w:r>
        <w:rPr>
          <w:rFonts w:hint="default" w:ascii="Times New Roman" w:hAnsi="Times New Roman" w:eastAsia="宋体" w:cs="Times New Roman"/>
          <w:color w:val="auto"/>
          <w:sz w:val="21"/>
          <w:szCs w:val="21"/>
          <w:highlight w:val="none"/>
        </w:rPr>
        <w:t>加盖CA电子公章）</w:t>
      </w:r>
      <w:r>
        <w:rPr>
          <w:rFonts w:hint="default" w:ascii="Times New Roman" w:hAnsi="Times New Roman" w:eastAsia="宋体" w:cs="Times New Roman"/>
          <w:bCs/>
          <w:color w:val="auto"/>
          <w:sz w:val="21"/>
          <w:szCs w:val="21"/>
          <w:highlight w:val="none"/>
        </w:rPr>
        <w:t>：</w:t>
      </w:r>
    </w:p>
    <w:p w14:paraId="233492A1">
      <w:pPr>
        <w:spacing w:line="360" w:lineRule="auto"/>
        <w:ind w:firstLine="480"/>
        <w:jc w:val="left"/>
        <w:rPr>
          <w:rFonts w:hint="default" w:ascii="Times New Roman" w:hAnsi="Times New Roman" w:eastAsia="宋体" w:cs="Times New Roman"/>
          <w:bCs/>
          <w:color w:val="auto"/>
          <w:sz w:val="21"/>
          <w:szCs w:val="21"/>
          <w:highlight w:val="none"/>
        </w:rPr>
      </w:pPr>
      <w:r>
        <w:rPr>
          <w:rFonts w:hint="default" w:ascii="Times New Roman" w:hAnsi="Times New Roman" w:eastAsia="宋体" w:cs="Times New Roman"/>
          <w:bCs/>
          <w:color w:val="auto"/>
          <w:sz w:val="21"/>
          <w:szCs w:val="21"/>
          <w:highlight w:val="none"/>
        </w:rPr>
        <w:t>法定代表人或法定代表人授权代表（签字或盖章）：</w:t>
      </w:r>
    </w:p>
    <w:p w14:paraId="1051FE57">
      <w:pPr>
        <w:spacing w:line="360" w:lineRule="auto"/>
        <w:ind w:firstLine="480"/>
        <w:rPr>
          <w:rFonts w:hint="default" w:ascii="Times New Roman" w:hAnsi="Times New Roman" w:eastAsia="仿宋" w:cs="Times New Roman"/>
          <w:bCs/>
          <w:color w:val="auto"/>
          <w:sz w:val="24"/>
          <w:szCs w:val="24"/>
          <w:highlight w:val="none"/>
        </w:rPr>
      </w:pPr>
      <w:r>
        <w:rPr>
          <w:rFonts w:hint="default" w:ascii="Times New Roman" w:hAnsi="Times New Roman" w:eastAsia="宋体" w:cs="Times New Roman"/>
          <w:bCs/>
          <w:color w:val="auto"/>
          <w:sz w:val="21"/>
          <w:szCs w:val="21"/>
          <w:highlight w:val="none"/>
        </w:rPr>
        <w:t>日期：</w:t>
      </w:r>
      <w:r>
        <w:rPr>
          <w:rFonts w:hint="default" w:ascii="Times New Roman" w:hAnsi="Times New Roman" w:cs="Times New Roman"/>
          <w:bCs/>
          <w:color w:val="auto"/>
          <w:sz w:val="21"/>
          <w:szCs w:val="21"/>
          <w:highlight w:val="none"/>
          <w:lang w:val="en-US" w:eastAsia="zh-CN"/>
        </w:rPr>
        <w:t xml:space="preserve">    </w:t>
      </w:r>
      <w:r>
        <w:rPr>
          <w:rFonts w:hint="default" w:ascii="Times New Roman" w:hAnsi="Times New Roman" w:eastAsia="宋体" w:cs="Times New Roman"/>
          <w:bCs/>
          <w:color w:val="auto"/>
          <w:sz w:val="21"/>
          <w:szCs w:val="21"/>
          <w:highlight w:val="none"/>
        </w:rPr>
        <w:t>年</w:t>
      </w:r>
      <w:r>
        <w:rPr>
          <w:rFonts w:hint="default" w:ascii="Times New Roman" w:hAnsi="Times New Roman" w:cs="Times New Roman"/>
          <w:bCs/>
          <w:color w:val="auto"/>
          <w:sz w:val="21"/>
          <w:szCs w:val="21"/>
          <w:highlight w:val="none"/>
          <w:lang w:val="en-US" w:eastAsia="zh-CN"/>
        </w:rPr>
        <w:t xml:space="preserve">  </w:t>
      </w:r>
      <w:r>
        <w:rPr>
          <w:rFonts w:hint="default" w:ascii="Times New Roman" w:hAnsi="Times New Roman" w:eastAsia="宋体" w:cs="Times New Roman"/>
          <w:bCs/>
          <w:color w:val="auto"/>
          <w:sz w:val="21"/>
          <w:szCs w:val="21"/>
          <w:highlight w:val="none"/>
        </w:rPr>
        <w:t>月</w:t>
      </w:r>
      <w:r>
        <w:rPr>
          <w:rFonts w:hint="default" w:ascii="Times New Roman" w:hAnsi="Times New Roman" w:cs="Times New Roman"/>
          <w:bCs/>
          <w:color w:val="auto"/>
          <w:sz w:val="21"/>
          <w:szCs w:val="21"/>
          <w:highlight w:val="none"/>
          <w:lang w:val="en-US" w:eastAsia="zh-CN"/>
        </w:rPr>
        <w:t xml:space="preserve">  </w:t>
      </w:r>
      <w:r>
        <w:rPr>
          <w:rFonts w:hint="default" w:ascii="Times New Roman" w:hAnsi="Times New Roman" w:eastAsia="宋体" w:cs="Times New Roman"/>
          <w:bCs/>
          <w:color w:val="auto"/>
          <w:sz w:val="21"/>
          <w:szCs w:val="21"/>
          <w:highlight w:val="none"/>
        </w:rPr>
        <w:t>日</w:t>
      </w:r>
    </w:p>
    <w:p w14:paraId="6C33D4BE">
      <w:pPr>
        <w:pStyle w:val="24"/>
        <w:keepNext w:val="0"/>
        <w:keepLines w:val="0"/>
        <w:pageBreakBefore w:val="0"/>
        <w:spacing w:beforeAutospacing="0" w:afterAutospacing="0" w:line="360" w:lineRule="auto"/>
        <w:rPr>
          <w:rFonts w:hint="default" w:ascii="Times New Roman" w:hAnsi="Times New Roman" w:cs="Times New Roman"/>
          <w:bCs/>
          <w:color w:val="auto"/>
          <w:spacing w:val="20"/>
          <w:szCs w:val="21"/>
          <w:highlight w:val="none"/>
        </w:rPr>
      </w:pPr>
    </w:p>
    <w:p w14:paraId="168E340C">
      <w:pPr>
        <w:pStyle w:val="4"/>
        <w:keepNext w:val="0"/>
        <w:keepLines w:val="0"/>
        <w:pageBreakBefore w:val="0"/>
        <w:spacing w:beforeAutospacing="0" w:afterAutospacing="0" w:line="360" w:lineRule="auto"/>
        <w:ind w:firstLine="500"/>
        <w:rPr>
          <w:rFonts w:hint="default" w:ascii="Times New Roman" w:hAnsi="Times New Roman" w:eastAsia="宋体" w:cs="Times New Roman"/>
          <w:bCs/>
          <w:color w:val="auto"/>
          <w:spacing w:val="20"/>
          <w:szCs w:val="21"/>
          <w:highlight w:val="none"/>
        </w:rPr>
      </w:pPr>
    </w:p>
    <w:p w14:paraId="1F64C307">
      <w:pPr>
        <w:pStyle w:val="4"/>
        <w:keepNext w:val="0"/>
        <w:keepLines w:val="0"/>
        <w:pageBreakBefore w:val="0"/>
        <w:spacing w:beforeAutospacing="0" w:afterAutospacing="0" w:line="360" w:lineRule="auto"/>
        <w:ind w:firstLine="500"/>
        <w:rPr>
          <w:rFonts w:hint="default" w:ascii="Times New Roman" w:hAnsi="Times New Roman" w:eastAsia="宋体" w:cs="Times New Roman"/>
          <w:bCs/>
          <w:color w:val="auto"/>
          <w:spacing w:val="20"/>
          <w:szCs w:val="21"/>
          <w:highlight w:val="none"/>
        </w:rPr>
      </w:pPr>
    </w:p>
    <w:p w14:paraId="7D7A6A04">
      <w:pPr>
        <w:pStyle w:val="4"/>
        <w:keepNext w:val="0"/>
        <w:keepLines w:val="0"/>
        <w:pageBreakBefore w:val="0"/>
        <w:spacing w:beforeAutospacing="0" w:afterAutospacing="0" w:line="360" w:lineRule="auto"/>
        <w:ind w:firstLine="500"/>
        <w:rPr>
          <w:rFonts w:hint="default" w:ascii="Times New Roman" w:hAnsi="Times New Roman" w:eastAsia="宋体" w:cs="Times New Roman"/>
          <w:bCs/>
          <w:color w:val="auto"/>
          <w:spacing w:val="20"/>
          <w:szCs w:val="21"/>
          <w:highlight w:val="none"/>
        </w:rPr>
      </w:pPr>
    </w:p>
    <w:p w14:paraId="446EED17">
      <w:pPr>
        <w:pStyle w:val="16"/>
        <w:keepNext w:val="0"/>
        <w:keepLines w:val="0"/>
        <w:pageBreakBefore w:val="0"/>
        <w:spacing w:beforeAutospacing="0" w:afterAutospacing="0" w:line="360" w:lineRule="auto"/>
        <w:rPr>
          <w:rFonts w:hint="default" w:ascii="Times New Roman" w:hAnsi="Times New Roman" w:eastAsia="新宋体" w:cs="Times New Roman"/>
          <w:b/>
          <w:color w:val="auto"/>
          <w:sz w:val="24"/>
          <w:highlight w:val="none"/>
        </w:rPr>
      </w:pPr>
    </w:p>
    <w:p w14:paraId="0FAA2FEA">
      <w:pPr>
        <w:pStyle w:val="16"/>
        <w:keepNext w:val="0"/>
        <w:keepLines w:val="0"/>
        <w:pageBreakBefore w:val="0"/>
        <w:spacing w:beforeAutospacing="0" w:afterAutospacing="0" w:line="360" w:lineRule="auto"/>
        <w:rPr>
          <w:rFonts w:hint="default" w:ascii="Times New Roman" w:hAnsi="Times New Roman" w:eastAsia="新宋体" w:cs="Times New Roman"/>
          <w:b/>
          <w:color w:val="auto"/>
          <w:sz w:val="24"/>
          <w:highlight w:val="none"/>
        </w:rPr>
      </w:pPr>
    </w:p>
    <w:p w14:paraId="7E79F674">
      <w:pPr>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highlight w:val="none"/>
        </w:rPr>
        <w:br w:type="page" w:clear="all"/>
      </w:r>
    </w:p>
    <w:p w14:paraId="7F5196EA">
      <w:pPr>
        <w:spacing w:line="360" w:lineRule="auto"/>
        <w:jc w:val="both"/>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highlight w:val="none"/>
        </w:rPr>
        <w:t>附件11：</w:t>
      </w:r>
    </w:p>
    <w:p w14:paraId="41D6D717">
      <w:pPr>
        <w:pStyle w:val="6"/>
        <w:spacing w:line="360" w:lineRule="auto"/>
        <w:rPr>
          <w:rFonts w:hint="default" w:ascii="Times New Roman" w:hAnsi="Times New Roman" w:cs="Times New Roman"/>
          <w:color w:val="auto"/>
          <w:highlight w:val="none"/>
        </w:rPr>
      </w:pPr>
      <w:r>
        <w:rPr>
          <w:rFonts w:hint="default" w:ascii="Times New Roman" w:hAnsi="Times New Roman" w:cs="Times New Roman"/>
          <w:color w:val="auto"/>
          <w:highlight w:val="none"/>
        </w:rPr>
        <w:t>类似项目业绩一览表</w:t>
      </w:r>
    </w:p>
    <w:tbl>
      <w:tblPr>
        <w:tblStyle w:val="42"/>
        <w:tblW w:w="836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1014"/>
        <w:gridCol w:w="2439"/>
        <w:gridCol w:w="2135"/>
        <w:gridCol w:w="1358"/>
        <w:gridCol w:w="1417"/>
      </w:tblGrid>
      <w:tr w14:paraId="105578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753" w:hRule="atLeast"/>
          <w:jc w:val="center"/>
        </w:trPr>
        <w:tc>
          <w:tcPr>
            <w:tcW w:w="1014" w:type="dxa"/>
            <w:noWrap w:val="0"/>
            <w:vAlign w:val="center"/>
          </w:tcPr>
          <w:p w14:paraId="29148481">
            <w:pPr>
              <w:spacing w:line="360" w:lineRule="auto"/>
              <w:jc w:val="center"/>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序号</w:t>
            </w:r>
          </w:p>
        </w:tc>
        <w:tc>
          <w:tcPr>
            <w:tcW w:w="2439" w:type="dxa"/>
            <w:noWrap w:val="0"/>
            <w:vAlign w:val="center"/>
          </w:tcPr>
          <w:p w14:paraId="0425AA61">
            <w:pPr>
              <w:spacing w:line="360" w:lineRule="auto"/>
              <w:jc w:val="center"/>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项目名称</w:t>
            </w:r>
          </w:p>
        </w:tc>
        <w:tc>
          <w:tcPr>
            <w:tcW w:w="2135" w:type="dxa"/>
            <w:noWrap w:val="0"/>
            <w:vAlign w:val="center"/>
          </w:tcPr>
          <w:p w14:paraId="666EE571">
            <w:pPr>
              <w:spacing w:line="360" w:lineRule="auto"/>
              <w:jc w:val="center"/>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签订时间</w:t>
            </w:r>
          </w:p>
        </w:tc>
        <w:tc>
          <w:tcPr>
            <w:tcW w:w="1358" w:type="dxa"/>
            <w:noWrap w:val="0"/>
            <w:vAlign w:val="center"/>
          </w:tcPr>
          <w:p w14:paraId="4720F92C">
            <w:pPr>
              <w:spacing w:line="360" w:lineRule="auto"/>
              <w:jc w:val="center"/>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建设单位</w:t>
            </w:r>
          </w:p>
        </w:tc>
        <w:tc>
          <w:tcPr>
            <w:tcW w:w="1417" w:type="dxa"/>
            <w:noWrap w:val="0"/>
            <w:vAlign w:val="center"/>
          </w:tcPr>
          <w:p w14:paraId="36AFB0B8">
            <w:pPr>
              <w:spacing w:line="360" w:lineRule="auto"/>
              <w:jc w:val="center"/>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合同金额</w:t>
            </w:r>
          </w:p>
        </w:tc>
      </w:tr>
      <w:tr w14:paraId="28DA58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753" w:hRule="atLeast"/>
          <w:jc w:val="center"/>
        </w:trPr>
        <w:tc>
          <w:tcPr>
            <w:tcW w:w="1014" w:type="dxa"/>
            <w:noWrap w:val="0"/>
            <w:vAlign w:val="center"/>
          </w:tcPr>
          <w:p w14:paraId="20BA6277">
            <w:pPr>
              <w:spacing w:line="360" w:lineRule="auto"/>
              <w:jc w:val="center"/>
              <w:rPr>
                <w:rFonts w:hint="default" w:ascii="Times New Roman" w:hAnsi="Times New Roman" w:eastAsia="宋体" w:cs="Times New Roman"/>
                <w:color w:val="auto"/>
                <w:sz w:val="21"/>
                <w:szCs w:val="21"/>
                <w:highlight w:val="none"/>
              </w:rPr>
            </w:pPr>
          </w:p>
        </w:tc>
        <w:tc>
          <w:tcPr>
            <w:tcW w:w="2439" w:type="dxa"/>
            <w:noWrap w:val="0"/>
            <w:vAlign w:val="center"/>
          </w:tcPr>
          <w:p w14:paraId="4BF6F11B">
            <w:pPr>
              <w:spacing w:line="360" w:lineRule="auto"/>
              <w:jc w:val="center"/>
              <w:rPr>
                <w:rFonts w:hint="default" w:ascii="Times New Roman" w:hAnsi="Times New Roman" w:eastAsia="宋体" w:cs="Times New Roman"/>
                <w:color w:val="auto"/>
                <w:sz w:val="21"/>
                <w:szCs w:val="21"/>
                <w:highlight w:val="none"/>
              </w:rPr>
            </w:pPr>
          </w:p>
        </w:tc>
        <w:tc>
          <w:tcPr>
            <w:tcW w:w="2135" w:type="dxa"/>
            <w:noWrap w:val="0"/>
            <w:vAlign w:val="center"/>
          </w:tcPr>
          <w:p w14:paraId="2EC6ED2B">
            <w:pPr>
              <w:spacing w:line="360" w:lineRule="auto"/>
              <w:jc w:val="center"/>
              <w:rPr>
                <w:rFonts w:hint="default" w:ascii="Times New Roman" w:hAnsi="Times New Roman" w:eastAsia="宋体" w:cs="Times New Roman"/>
                <w:color w:val="auto"/>
                <w:sz w:val="21"/>
                <w:szCs w:val="21"/>
                <w:highlight w:val="none"/>
              </w:rPr>
            </w:pPr>
          </w:p>
        </w:tc>
        <w:tc>
          <w:tcPr>
            <w:tcW w:w="1358" w:type="dxa"/>
            <w:noWrap w:val="0"/>
            <w:vAlign w:val="center"/>
          </w:tcPr>
          <w:p w14:paraId="75CC5D46">
            <w:pPr>
              <w:spacing w:line="360" w:lineRule="auto"/>
              <w:jc w:val="center"/>
              <w:rPr>
                <w:rFonts w:hint="default" w:ascii="Times New Roman" w:hAnsi="Times New Roman" w:eastAsia="宋体" w:cs="Times New Roman"/>
                <w:color w:val="auto"/>
                <w:sz w:val="21"/>
                <w:szCs w:val="21"/>
                <w:highlight w:val="none"/>
              </w:rPr>
            </w:pPr>
          </w:p>
        </w:tc>
        <w:tc>
          <w:tcPr>
            <w:tcW w:w="1417" w:type="dxa"/>
            <w:noWrap w:val="0"/>
            <w:vAlign w:val="center"/>
          </w:tcPr>
          <w:p w14:paraId="5D146A79">
            <w:pPr>
              <w:spacing w:line="360" w:lineRule="auto"/>
              <w:jc w:val="center"/>
              <w:rPr>
                <w:rFonts w:hint="default" w:ascii="Times New Roman" w:hAnsi="Times New Roman" w:eastAsia="宋体" w:cs="Times New Roman"/>
                <w:color w:val="auto"/>
                <w:sz w:val="21"/>
                <w:szCs w:val="21"/>
                <w:highlight w:val="none"/>
              </w:rPr>
            </w:pPr>
          </w:p>
        </w:tc>
      </w:tr>
      <w:tr w14:paraId="608B7B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753" w:hRule="atLeast"/>
          <w:jc w:val="center"/>
        </w:trPr>
        <w:tc>
          <w:tcPr>
            <w:tcW w:w="1014" w:type="dxa"/>
            <w:noWrap w:val="0"/>
            <w:vAlign w:val="center"/>
          </w:tcPr>
          <w:p w14:paraId="70CA3E51">
            <w:pPr>
              <w:spacing w:line="360" w:lineRule="auto"/>
              <w:jc w:val="center"/>
              <w:rPr>
                <w:rFonts w:hint="default" w:ascii="Times New Roman" w:hAnsi="Times New Roman" w:eastAsia="宋体" w:cs="Times New Roman"/>
                <w:color w:val="auto"/>
                <w:sz w:val="21"/>
                <w:szCs w:val="21"/>
                <w:highlight w:val="none"/>
              </w:rPr>
            </w:pPr>
          </w:p>
        </w:tc>
        <w:tc>
          <w:tcPr>
            <w:tcW w:w="2439" w:type="dxa"/>
            <w:noWrap w:val="0"/>
            <w:vAlign w:val="center"/>
          </w:tcPr>
          <w:p w14:paraId="7DD8B078">
            <w:pPr>
              <w:spacing w:line="360" w:lineRule="auto"/>
              <w:jc w:val="center"/>
              <w:rPr>
                <w:rFonts w:hint="default" w:ascii="Times New Roman" w:hAnsi="Times New Roman" w:eastAsia="宋体" w:cs="Times New Roman"/>
                <w:color w:val="auto"/>
                <w:sz w:val="21"/>
                <w:szCs w:val="21"/>
                <w:highlight w:val="none"/>
              </w:rPr>
            </w:pPr>
          </w:p>
        </w:tc>
        <w:tc>
          <w:tcPr>
            <w:tcW w:w="2135" w:type="dxa"/>
            <w:noWrap w:val="0"/>
            <w:vAlign w:val="center"/>
          </w:tcPr>
          <w:p w14:paraId="0EADE503">
            <w:pPr>
              <w:spacing w:line="360" w:lineRule="auto"/>
              <w:jc w:val="center"/>
              <w:rPr>
                <w:rFonts w:hint="default" w:ascii="Times New Roman" w:hAnsi="Times New Roman" w:eastAsia="宋体" w:cs="Times New Roman"/>
                <w:color w:val="auto"/>
                <w:sz w:val="21"/>
                <w:szCs w:val="21"/>
                <w:highlight w:val="none"/>
              </w:rPr>
            </w:pPr>
          </w:p>
        </w:tc>
        <w:tc>
          <w:tcPr>
            <w:tcW w:w="1358" w:type="dxa"/>
            <w:noWrap w:val="0"/>
            <w:vAlign w:val="center"/>
          </w:tcPr>
          <w:p w14:paraId="09577A98">
            <w:pPr>
              <w:spacing w:line="360" w:lineRule="auto"/>
              <w:jc w:val="center"/>
              <w:rPr>
                <w:rFonts w:hint="default" w:ascii="Times New Roman" w:hAnsi="Times New Roman" w:eastAsia="宋体" w:cs="Times New Roman"/>
                <w:color w:val="auto"/>
                <w:sz w:val="21"/>
                <w:szCs w:val="21"/>
                <w:highlight w:val="none"/>
              </w:rPr>
            </w:pPr>
          </w:p>
        </w:tc>
        <w:tc>
          <w:tcPr>
            <w:tcW w:w="1417" w:type="dxa"/>
            <w:noWrap w:val="0"/>
            <w:vAlign w:val="center"/>
          </w:tcPr>
          <w:p w14:paraId="02776F0E">
            <w:pPr>
              <w:spacing w:line="360" w:lineRule="auto"/>
              <w:jc w:val="center"/>
              <w:rPr>
                <w:rFonts w:hint="default" w:ascii="Times New Roman" w:hAnsi="Times New Roman" w:eastAsia="宋体" w:cs="Times New Roman"/>
                <w:color w:val="auto"/>
                <w:sz w:val="21"/>
                <w:szCs w:val="21"/>
                <w:highlight w:val="none"/>
              </w:rPr>
            </w:pPr>
          </w:p>
        </w:tc>
      </w:tr>
      <w:tr w14:paraId="516950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753" w:hRule="atLeast"/>
          <w:jc w:val="center"/>
        </w:trPr>
        <w:tc>
          <w:tcPr>
            <w:tcW w:w="1014" w:type="dxa"/>
            <w:noWrap w:val="0"/>
            <w:vAlign w:val="center"/>
          </w:tcPr>
          <w:p w14:paraId="4C11D212">
            <w:pPr>
              <w:spacing w:line="360" w:lineRule="auto"/>
              <w:jc w:val="center"/>
              <w:rPr>
                <w:rFonts w:hint="default" w:ascii="Times New Roman" w:hAnsi="Times New Roman" w:eastAsia="宋体" w:cs="Times New Roman"/>
                <w:color w:val="auto"/>
                <w:sz w:val="21"/>
                <w:szCs w:val="21"/>
                <w:highlight w:val="none"/>
              </w:rPr>
            </w:pPr>
          </w:p>
        </w:tc>
        <w:tc>
          <w:tcPr>
            <w:tcW w:w="2439" w:type="dxa"/>
            <w:noWrap w:val="0"/>
            <w:vAlign w:val="center"/>
          </w:tcPr>
          <w:p w14:paraId="6B487779">
            <w:pPr>
              <w:spacing w:line="360" w:lineRule="auto"/>
              <w:jc w:val="center"/>
              <w:rPr>
                <w:rFonts w:hint="default" w:ascii="Times New Roman" w:hAnsi="Times New Roman" w:eastAsia="宋体" w:cs="Times New Roman"/>
                <w:color w:val="auto"/>
                <w:sz w:val="21"/>
                <w:szCs w:val="21"/>
                <w:highlight w:val="none"/>
              </w:rPr>
            </w:pPr>
          </w:p>
        </w:tc>
        <w:tc>
          <w:tcPr>
            <w:tcW w:w="2135" w:type="dxa"/>
            <w:noWrap w:val="0"/>
            <w:vAlign w:val="center"/>
          </w:tcPr>
          <w:p w14:paraId="23321E9A">
            <w:pPr>
              <w:spacing w:line="360" w:lineRule="auto"/>
              <w:jc w:val="center"/>
              <w:rPr>
                <w:rFonts w:hint="default" w:ascii="Times New Roman" w:hAnsi="Times New Roman" w:eastAsia="宋体" w:cs="Times New Roman"/>
                <w:color w:val="auto"/>
                <w:sz w:val="21"/>
                <w:szCs w:val="21"/>
                <w:highlight w:val="none"/>
              </w:rPr>
            </w:pPr>
          </w:p>
        </w:tc>
        <w:tc>
          <w:tcPr>
            <w:tcW w:w="1358" w:type="dxa"/>
            <w:noWrap w:val="0"/>
            <w:vAlign w:val="center"/>
          </w:tcPr>
          <w:p w14:paraId="7B66AABB">
            <w:pPr>
              <w:spacing w:line="360" w:lineRule="auto"/>
              <w:jc w:val="center"/>
              <w:rPr>
                <w:rFonts w:hint="default" w:ascii="Times New Roman" w:hAnsi="Times New Roman" w:eastAsia="宋体" w:cs="Times New Roman"/>
                <w:color w:val="auto"/>
                <w:sz w:val="21"/>
                <w:szCs w:val="21"/>
                <w:highlight w:val="none"/>
              </w:rPr>
            </w:pPr>
          </w:p>
        </w:tc>
        <w:tc>
          <w:tcPr>
            <w:tcW w:w="1417" w:type="dxa"/>
            <w:noWrap w:val="0"/>
            <w:vAlign w:val="center"/>
          </w:tcPr>
          <w:p w14:paraId="3E700C8B">
            <w:pPr>
              <w:spacing w:line="360" w:lineRule="auto"/>
              <w:jc w:val="center"/>
              <w:rPr>
                <w:rFonts w:hint="default" w:ascii="Times New Roman" w:hAnsi="Times New Roman" w:eastAsia="宋体" w:cs="Times New Roman"/>
                <w:color w:val="auto"/>
                <w:sz w:val="21"/>
                <w:szCs w:val="21"/>
                <w:highlight w:val="none"/>
              </w:rPr>
            </w:pPr>
          </w:p>
        </w:tc>
      </w:tr>
      <w:tr w14:paraId="35CFAD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753" w:hRule="atLeast"/>
          <w:jc w:val="center"/>
        </w:trPr>
        <w:tc>
          <w:tcPr>
            <w:tcW w:w="1014" w:type="dxa"/>
            <w:noWrap w:val="0"/>
            <w:vAlign w:val="center"/>
          </w:tcPr>
          <w:p w14:paraId="3D8D1DDC">
            <w:pPr>
              <w:spacing w:line="360" w:lineRule="auto"/>
              <w:jc w:val="center"/>
              <w:rPr>
                <w:rFonts w:hint="default" w:ascii="Times New Roman" w:hAnsi="Times New Roman" w:eastAsia="宋体" w:cs="Times New Roman"/>
                <w:color w:val="auto"/>
                <w:sz w:val="21"/>
                <w:szCs w:val="21"/>
                <w:highlight w:val="none"/>
              </w:rPr>
            </w:pPr>
          </w:p>
        </w:tc>
        <w:tc>
          <w:tcPr>
            <w:tcW w:w="2439" w:type="dxa"/>
            <w:noWrap w:val="0"/>
            <w:vAlign w:val="center"/>
          </w:tcPr>
          <w:p w14:paraId="6C9B17FD">
            <w:pPr>
              <w:spacing w:line="360" w:lineRule="auto"/>
              <w:jc w:val="center"/>
              <w:rPr>
                <w:rFonts w:hint="default" w:ascii="Times New Roman" w:hAnsi="Times New Roman" w:eastAsia="宋体" w:cs="Times New Roman"/>
                <w:color w:val="auto"/>
                <w:sz w:val="21"/>
                <w:szCs w:val="21"/>
                <w:highlight w:val="none"/>
              </w:rPr>
            </w:pPr>
          </w:p>
        </w:tc>
        <w:tc>
          <w:tcPr>
            <w:tcW w:w="2135" w:type="dxa"/>
            <w:noWrap w:val="0"/>
            <w:vAlign w:val="center"/>
          </w:tcPr>
          <w:p w14:paraId="4DBAF7B1">
            <w:pPr>
              <w:spacing w:line="360" w:lineRule="auto"/>
              <w:jc w:val="center"/>
              <w:rPr>
                <w:rFonts w:hint="default" w:ascii="Times New Roman" w:hAnsi="Times New Roman" w:eastAsia="宋体" w:cs="Times New Roman"/>
                <w:color w:val="auto"/>
                <w:sz w:val="21"/>
                <w:szCs w:val="21"/>
                <w:highlight w:val="none"/>
              </w:rPr>
            </w:pPr>
          </w:p>
        </w:tc>
        <w:tc>
          <w:tcPr>
            <w:tcW w:w="1358" w:type="dxa"/>
            <w:noWrap w:val="0"/>
            <w:vAlign w:val="center"/>
          </w:tcPr>
          <w:p w14:paraId="61FE0F12">
            <w:pPr>
              <w:spacing w:line="360" w:lineRule="auto"/>
              <w:jc w:val="center"/>
              <w:rPr>
                <w:rFonts w:hint="default" w:ascii="Times New Roman" w:hAnsi="Times New Roman" w:eastAsia="宋体" w:cs="Times New Roman"/>
                <w:color w:val="auto"/>
                <w:sz w:val="21"/>
                <w:szCs w:val="21"/>
                <w:highlight w:val="none"/>
              </w:rPr>
            </w:pPr>
          </w:p>
        </w:tc>
        <w:tc>
          <w:tcPr>
            <w:tcW w:w="1417" w:type="dxa"/>
            <w:noWrap w:val="0"/>
            <w:vAlign w:val="center"/>
          </w:tcPr>
          <w:p w14:paraId="4DFBAAF8">
            <w:pPr>
              <w:spacing w:line="360" w:lineRule="auto"/>
              <w:jc w:val="center"/>
              <w:rPr>
                <w:rFonts w:hint="default" w:ascii="Times New Roman" w:hAnsi="Times New Roman" w:eastAsia="宋体" w:cs="Times New Roman"/>
                <w:color w:val="auto"/>
                <w:sz w:val="21"/>
                <w:szCs w:val="21"/>
                <w:highlight w:val="none"/>
              </w:rPr>
            </w:pPr>
          </w:p>
        </w:tc>
      </w:tr>
      <w:tr w14:paraId="0E96FD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753" w:hRule="atLeast"/>
          <w:jc w:val="center"/>
        </w:trPr>
        <w:tc>
          <w:tcPr>
            <w:tcW w:w="1014" w:type="dxa"/>
            <w:noWrap w:val="0"/>
            <w:vAlign w:val="center"/>
          </w:tcPr>
          <w:p w14:paraId="111406EA">
            <w:pPr>
              <w:spacing w:line="360" w:lineRule="auto"/>
              <w:jc w:val="center"/>
              <w:rPr>
                <w:rFonts w:hint="default" w:ascii="Times New Roman" w:hAnsi="Times New Roman" w:eastAsia="宋体" w:cs="Times New Roman"/>
                <w:color w:val="auto"/>
                <w:sz w:val="21"/>
                <w:szCs w:val="21"/>
                <w:highlight w:val="none"/>
              </w:rPr>
            </w:pPr>
          </w:p>
        </w:tc>
        <w:tc>
          <w:tcPr>
            <w:tcW w:w="2439" w:type="dxa"/>
            <w:noWrap w:val="0"/>
            <w:vAlign w:val="center"/>
          </w:tcPr>
          <w:p w14:paraId="6C812708">
            <w:pPr>
              <w:spacing w:line="360" w:lineRule="auto"/>
              <w:jc w:val="center"/>
              <w:rPr>
                <w:rFonts w:hint="default" w:ascii="Times New Roman" w:hAnsi="Times New Roman" w:eastAsia="宋体" w:cs="Times New Roman"/>
                <w:color w:val="auto"/>
                <w:sz w:val="21"/>
                <w:szCs w:val="21"/>
                <w:highlight w:val="none"/>
              </w:rPr>
            </w:pPr>
          </w:p>
        </w:tc>
        <w:tc>
          <w:tcPr>
            <w:tcW w:w="2135" w:type="dxa"/>
            <w:noWrap w:val="0"/>
            <w:vAlign w:val="center"/>
          </w:tcPr>
          <w:p w14:paraId="77745C3E">
            <w:pPr>
              <w:spacing w:line="360" w:lineRule="auto"/>
              <w:jc w:val="center"/>
              <w:rPr>
                <w:rFonts w:hint="default" w:ascii="Times New Roman" w:hAnsi="Times New Roman" w:eastAsia="宋体" w:cs="Times New Roman"/>
                <w:color w:val="auto"/>
                <w:sz w:val="21"/>
                <w:szCs w:val="21"/>
                <w:highlight w:val="none"/>
              </w:rPr>
            </w:pPr>
          </w:p>
        </w:tc>
        <w:tc>
          <w:tcPr>
            <w:tcW w:w="1358" w:type="dxa"/>
            <w:noWrap w:val="0"/>
            <w:vAlign w:val="center"/>
          </w:tcPr>
          <w:p w14:paraId="336C8673">
            <w:pPr>
              <w:spacing w:line="360" w:lineRule="auto"/>
              <w:jc w:val="center"/>
              <w:rPr>
                <w:rFonts w:hint="default" w:ascii="Times New Roman" w:hAnsi="Times New Roman" w:eastAsia="宋体" w:cs="Times New Roman"/>
                <w:color w:val="auto"/>
                <w:sz w:val="21"/>
                <w:szCs w:val="21"/>
                <w:highlight w:val="none"/>
              </w:rPr>
            </w:pPr>
          </w:p>
        </w:tc>
        <w:tc>
          <w:tcPr>
            <w:tcW w:w="1417" w:type="dxa"/>
            <w:noWrap w:val="0"/>
            <w:vAlign w:val="center"/>
          </w:tcPr>
          <w:p w14:paraId="5499AA85">
            <w:pPr>
              <w:spacing w:line="360" w:lineRule="auto"/>
              <w:jc w:val="center"/>
              <w:rPr>
                <w:rFonts w:hint="default" w:ascii="Times New Roman" w:hAnsi="Times New Roman" w:eastAsia="宋体" w:cs="Times New Roman"/>
                <w:color w:val="auto"/>
                <w:sz w:val="21"/>
                <w:szCs w:val="21"/>
                <w:highlight w:val="none"/>
              </w:rPr>
            </w:pPr>
          </w:p>
        </w:tc>
      </w:tr>
      <w:tr w14:paraId="15A3D9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753" w:hRule="atLeast"/>
          <w:jc w:val="center"/>
        </w:trPr>
        <w:tc>
          <w:tcPr>
            <w:tcW w:w="1014" w:type="dxa"/>
            <w:noWrap w:val="0"/>
            <w:vAlign w:val="center"/>
          </w:tcPr>
          <w:p w14:paraId="0F81C427">
            <w:pPr>
              <w:spacing w:line="360" w:lineRule="auto"/>
              <w:jc w:val="center"/>
              <w:rPr>
                <w:rFonts w:hint="default" w:ascii="Times New Roman" w:hAnsi="Times New Roman" w:eastAsia="宋体" w:cs="Times New Roman"/>
                <w:color w:val="auto"/>
                <w:sz w:val="21"/>
                <w:szCs w:val="21"/>
                <w:highlight w:val="none"/>
              </w:rPr>
            </w:pPr>
          </w:p>
        </w:tc>
        <w:tc>
          <w:tcPr>
            <w:tcW w:w="2439" w:type="dxa"/>
            <w:noWrap w:val="0"/>
            <w:vAlign w:val="center"/>
          </w:tcPr>
          <w:p w14:paraId="694B016F">
            <w:pPr>
              <w:spacing w:line="360" w:lineRule="auto"/>
              <w:jc w:val="center"/>
              <w:rPr>
                <w:rFonts w:hint="default" w:ascii="Times New Roman" w:hAnsi="Times New Roman" w:eastAsia="宋体" w:cs="Times New Roman"/>
                <w:color w:val="auto"/>
                <w:sz w:val="21"/>
                <w:szCs w:val="21"/>
                <w:highlight w:val="none"/>
              </w:rPr>
            </w:pPr>
          </w:p>
        </w:tc>
        <w:tc>
          <w:tcPr>
            <w:tcW w:w="2135" w:type="dxa"/>
            <w:noWrap w:val="0"/>
            <w:vAlign w:val="center"/>
          </w:tcPr>
          <w:p w14:paraId="33A4BB06">
            <w:pPr>
              <w:spacing w:line="360" w:lineRule="auto"/>
              <w:jc w:val="center"/>
              <w:rPr>
                <w:rFonts w:hint="default" w:ascii="Times New Roman" w:hAnsi="Times New Roman" w:eastAsia="宋体" w:cs="Times New Roman"/>
                <w:color w:val="auto"/>
                <w:sz w:val="21"/>
                <w:szCs w:val="21"/>
                <w:highlight w:val="none"/>
              </w:rPr>
            </w:pPr>
          </w:p>
        </w:tc>
        <w:tc>
          <w:tcPr>
            <w:tcW w:w="1358" w:type="dxa"/>
            <w:noWrap w:val="0"/>
            <w:vAlign w:val="center"/>
          </w:tcPr>
          <w:p w14:paraId="1B15E432">
            <w:pPr>
              <w:spacing w:line="360" w:lineRule="auto"/>
              <w:jc w:val="center"/>
              <w:rPr>
                <w:rFonts w:hint="default" w:ascii="Times New Roman" w:hAnsi="Times New Roman" w:eastAsia="宋体" w:cs="Times New Roman"/>
                <w:color w:val="auto"/>
                <w:sz w:val="21"/>
                <w:szCs w:val="21"/>
                <w:highlight w:val="none"/>
              </w:rPr>
            </w:pPr>
          </w:p>
        </w:tc>
        <w:tc>
          <w:tcPr>
            <w:tcW w:w="1417" w:type="dxa"/>
            <w:noWrap w:val="0"/>
            <w:vAlign w:val="center"/>
          </w:tcPr>
          <w:p w14:paraId="172A42E1">
            <w:pPr>
              <w:spacing w:line="360" w:lineRule="auto"/>
              <w:jc w:val="center"/>
              <w:rPr>
                <w:rFonts w:hint="default" w:ascii="Times New Roman" w:hAnsi="Times New Roman" w:eastAsia="宋体" w:cs="Times New Roman"/>
                <w:color w:val="auto"/>
                <w:sz w:val="21"/>
                <w:szCs w:val="21"/>
                <w:highlight w:val="none"/>
              </w:rPr>
            </w:pPr>
          </w:p>
        </w:tc>
      </w:tr>
      <w:tr w14:paraId="76AD7F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753" w:hRule="atLeast"/>
          <w:jc w:val="center"/>
        </w:trPr>
        <w:tc>
          <w:tcPr>
            <w:tcW w:w="1014" w:type="dxa"/>
            <w:noWrap w:val="0"/>
            <w:vAlign w:val="center"/>
          </w:tcPr>
          <w:p w14:paraId="0AA0DB34">
            <w:pPr>
              <w:spacing w:line="360" w:lineRule="auto"/>
              <w:jc w:val="center"/>
              <w:rPr>
                <w:rFonts w:hint="default" w:ascii="Times New Roman" w:hAnsi="Times New Roman" w:eastAsia="宋体" w:cs="Times New Roman"/>
                <w:color w:val="auto"/>
                <w:sz w:val="21"/>
                <w:szCs w:val="21"/>
                <w:highlight w:val="none"/>
              </w:rPr>
            </w:pPr>
          </w:p>
        </w:tc>
        <w:tc>
          <w:tcPr>
            <w:tcW w:w="2439" w:type="dxa"/>
            <w:noWrap w:val="0"/>
            <w:vAlign w:val="center"/>
          </w:tcPr>
          <w:p w14:paraId="113F95FD">
            <w:pPr>
              <w:spacing w:line="360" w:lineRule="auto"/>
              <w:jc w:val="center"/>
              <w:rPr>
                <w:rFonts w:hint="default" w:ascii="Times New Roman" w:hAnsi="Times New Roman" w:eastAsia="宋体" w:cs="Times New Roman"/>
                <w:color w:val="auto"/>
                <w:sz w:val="21"/>
                <w:szCs w:val="21"/>
                <w:highlight w:val="none"/>
              </w:rPr>
            </w:pPr>
          </w:p>
        </w:tc>
        <w:tc>
          <w:tcPr>
            <w:tcW w:w="2135" w:type="dxa"/>
            <w:noWrap w:val="0"/>
            <w:vAlign w:val="center"/>
          </w:tcPr>
          <w:p w14:paraId="254669AA">
            <w:pPr>
              <w:spacing w:line="360" w:lineRule="auto"/>
              <w:jc w:val="center"/>
              <w:rPr>
                <w:rFonts w:hint="default" w:ascii="Times New Roman" w:hAnsi="Times New Roman" w:eastAsia="宋体" w:cs="Times New Roman"/>
                <w:color w:val="auto"/>
                <w:sz w:val="21"/>
                <w:szCs w:val="21"/>
                <w:highlight w:val="none"/>
              </w:rPr>
            </w:pPr>
          </w:p>
        </w:tc>
        <w:tc>
          <w:tcPr>
            <w:tcW w:w="1358" w:type="dxa"/>
            <w:noWrap w:val="0"/>
            <w:vAlign w:val="center"/>
          </w:tcPr>
          <w:p w14:paraId="24CCCB0C">
            <w:pPr>
              <w:spacing w:line="360" w:lineRule="auto"/>
              <w:jc w:val="center"/>
              <w:rPr>
                <w:rFonts w:hint="default" w:ascii="Times New Roman" w:hAnsi="Times New Roman" w:eastAsia="宋体" w:cs="Times New Roman"/>
                <w:color w:val="auto"/>
                <w:sz w:val="21"/>
                <w:szCs w:val="21"/>
                <w:highlight w:val="none"/>
              </w:rPr>
            </w:pPr>
          </w:p>
        </w:tc>
        <w:tc>
          <w:tcPr>
            <w:tcW w:w="1417" w:type="dxa"/>
            <w:noWrap w:val="0"/>
            <w:vAlign w:val="center"/>
          </w:tcPr>
          <w:p w14:paraId="238D74D3">
            <w:pPr>
              <w:spacing w:line="360" w:lineRule="auto"/>
              <w:jc w:val="center"/>
              <w:rPr>
                <w:rFonts w:hint="default" w:ascii="Times New Roman" w:hAnsi="Times New Roman" w:eastAsia="宋体" w:cs="Times New Roman"/>
                <w:color w:val="auto"/>
                <w:sz w:val="21"/>
                <w:szCs w:val="21"/>
                <w:highlight w:val="none"/>
              </w:rPr>
            </w:pPr>
          </w:p>
        </w:tc>
      </w:tr>
      <w:tr w14:paraId="50C9BF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753" w:hRule="atLeast"/>
          <w:jc w:val="center"/>
        </w:trPr>
        <w:tc>
          <w:tcPr>
            <w:tcW w:w="1014" w:type="dxa"/>
            <w:noWrap w:val="0"/>
            <w:vAlign w:val="center"/>
          </w:tcPr>
          <w:p w14:paraId="560ED2C4">
            <w:pPr>
              <w:spacing w:line="360" w:lineRule="auto"/>
              <w:jc w:val="center"/>
              <w:rPr>
                <w:rFonts w:hint="default" w:ascii="Times New Roman" w:hAnsi="Times New Roman" w:eastAsia="宋体" w:cs="Times New Roman"/>
                <w:color w:val="auto"/>
                <w:sz w:val="21"/>
                <w:szCs w:val="21"/>
                <w:highlight w:val="none"/>
              </w:rPr>
            </w:pPr>
          </w:p>
        </w:tc>
        <w:tc>
          <w:tcPr>
            <w:tcW w:w="2439" w:type="dxa"/>
            <w:noWrap w:val="0"/>
            <w:vAlign w:val="center"/>
          </w:tcPr>
          <w:p w14:paraId="6A17B32A">
            <w:pPr>
              <w:spacing w:line="360" w:lineRule="auto"/>
              <w:jc w:val="center"/>
              <w:rPr>
                <w:rFonts w:hint="default" w:ascii="Times New Roman" w:hAnsi="Times New Roman" w:eastAsia="宋体" w:cs="Times New Roman"/>
                <w:color w:val="auto"/>
                <w:sz w:val="21"/>
                <w:szCs w:val="21"/>
                <w:highlight w:val="none"/>
              </w:rPr>
            </w:pPr>
          </w:p>
        </w:tc>
        <w:tc>
          <w:tcPr>
            <w:tcW w:w="2135" w:type="dxa"/>
            <w:noWrap w:val="0"/>
            <w:vAlign w:val="center"/>
          </w:tcPr>
          <w:p w14:paraId="4DBD6DDF">
            <w:pPr>
              <w:spacing w:line="360" w:lineRule="auto"/>
              <w:jc w:val="center"/>
              <w:rPr>
                <w:rFonts w:hint="default" w:ascii="Times New Roman" w:hAnsi="Times New Roman" w:eastAsia="宋体" w:cs="Times New Roman"/>
                <w:color w:val="auto"/>
                <w:sz w:val="21"/>
                <w:szCs w:val="21"/>
                <w:highlight w:val="none"/>
              </w:rPr>
            </w:pPr>
          </w:p>
        </w:tc>
        <w:tc>
          <w:tcPr>
            <w:tcW w:w="1358" w:type="dxa"/>
            <w:noWrap w:val="0"/>
            <w:vAlign w:val="center"/>
          </w:tcPr>
          <w:p w14:paraId="60F8ADBF">
            <w:pPr>
              <w:spacing w:line="360" w:lineRule="auto"/>
              <w:jc w:val="center"/>
              <w:rPr>
                <w:rFonts w:hint="default" w:ascii="Times New Roman" w:hAnsi="Times New Roman" w:eastAsia="宋体" w:cs="Times New Roman"/>
                <w:color w:val="auto"/>
                <w:sz w:val="21"/>
                <w:szCs w:val="21"/>
                <w:highlight w:val="none"/>
              </w:rPr>
            </w:pPr>
          </w:p>
        </w:tc>
        <w:tc>
          <w:tcPr>
            <w:tcW w:w="1417" w:type="dxa"/>
            <w:noWrap w:val="0"/>
            <w:vAlign w:val="center"/>
          </w:tcPr>
          <w:p w14:paraId="42EF1B3F">
            <w:pPr>
              <w:spacing w:line="360" w:lineRule="auto"/>
              <w:jc w:val="center"/>
              <w:rPr>
                <w:rFonts w:hint="default" w:ascii="Times New Roman" w:hAnsi="Times New Roman" w:eastAsia="宋体" w:cs="Times New Roman"/>
                <w:color w:val="auto"/>
                <w:sz w:val="21"/>
                <w:szCs w:val="21"/>
                <w:highlight w:val="none"/>
              </w:rPr>
            </w:pPr>
          </w:p>
        </w:tc>
      </w:tr>
      <w:tr w14:paraId="2A283C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753" w:hRule="atLeast"/>
          <w:jc w:val="center"/>
        </w:trPr>
        <w:tc>
          <w:tcPr>
            <w:tcW w:w="1014" w:type="dxa"/>
            <w:noWrap w:val="0"/>
            <w:vAlign w:val="center"/>
          </w:tcPr>
          <w:p w14:paraId="4AB9A203">
            <w:pPr>
              <w:spacing w:line="360" w:lineRule="auto"/>
              <w:jc w:val="center"/>
              <w:rPr>
                <w:rFonts w:hint="default" w:ascii="Times New Roman" w:hAnsi="Times New Roman" w:eastAsia="宋体" w:cs="Times New Roman"/>
                <w:color w:val="auto"/>
                <w:sz w:val="21"/>
                <w:szCs w:val="21"/>
                <w:highlight w:val="none"/>
              </w:rPr>
            </w:pPr>
          </w:p>
        </w:tc>
        <w:tc>
          <w:tcPr>
            <w:tcW w:w="2439" w:type="dxa"/>
            <w:noWrap w:val="0"/>
            <w:vAlign w:val="center"/>
          </w:tcPr>
          <w:p w14:paraId="63B66032">
            <w:pPr>
              <w:spacing w:line="360" w:lineRule="auto"/>
              <w:jc w:val="center"/>
              <w:rPr>
                <w:rFonts w:hint="default" w:ascii="Times New Roman" w:hAnsi="Times New Roman" w:eastAsia="宋体" w:cs="Times New Roman"/>
                <w:color w:val="auto"/>
                <w:sz w:val="21"/>
                <w:szCs w:val="21"/>
                <w:highlight w:val="none"/>
              </w:rPr>
            </w:pPr>
          </w:p>
        </w:tc>
        <w:tc>
          <w:tcPr>
            <w:tcW w:w="2135" w:type="dxa"/>
            <w:noWrap w:val="0"/>
            <w:vAlign w:val="center"/>
          </w:tcPr>
          <w:p w14:paraId="2CD14EC8">
            <w:pPr>
              <w:spacing w:line="360" w:lineRule="auto"/>
              <w:jc w:val="center"/>
              <w:rPr>
                <w:rFonts w:hint="default" w:ascii="Times New Roman" w:hAnsi="Times New Roman" w:eastAsia="宋体" w:cs="Times New Roman"/>
                <w:color w:val="auto"/>
                <w:sz w:val="21"/>
                <w:szCs w:val="21"/>
                <w:highlight w:val="none"/>
              </w:rPr>
            </w:pPr>
          </w:p>
        </w:tc>
        <w:tc>
          <w:tcPr>
            <w:tcW w:w="1358" w:type="dxa"/>
            <w:noWrap w:val="0"/>
            <w:vAlign w:val="center"/>
          </w:tcPr>
          <w:p w14:paraId="2D167AAE">
            <w:pPr>
              <w:spacing w:line="360" w:lineRule="auto"/>
              <w:jc w:val="center"/>
              <w:rPr>
                <w:rFonts w:hint="default" w:ascii="Times New Roman" w:hAnsi="Times New Roman" w:eastAsia="宋体" w:cs="Times New Roman"/>
                <w:color w:val="auto"/>
                <w:sz w:val="21"/>
                <w:szCs w:val="21"/>
                <w:highlight w:val="none"/>
              </w:rPr>
            </w:pPr>
          </w:p>
        </w:tc>
        <w:tc>
          <w:tcPr>
            <w:tcW w:w="1417" w:type="dxa"/>
            <w:noWrap w:val="0"/>
            <w:vAlign w:val="center"/>
          </w:tcPr>
          <w:p w14:paraId="5ABE5C8C">
            <w:pPr>
              <w:spacing w:line="360" w:lineRule="auto"/>
              <w:jc w:val="center"/>
              <w:rPr>
                <w:rFonts w:hint="default" w:ascii="Times New Roman" w:hAnsi="Times New Roman" w:eastAsia="宋体" w:cs="Times New Roman"/>
                <w:color w:val="auto"/>
                <w:sz w:val="21"/>
                <w:szCs w:val="21"/>
                <w:highlight w:val="none"/>
              </w:rPr>
            </w:pPr>
          </w:p>
        </w:tc>
      </w:tr>
      <w:tr w14:paraId="6F804F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772" w:hRule="atLeast"/>
          <w:jc w:val="center"/>
        </w:trPr>
        <w:tc>
          <w:tcPr>
            <w:tcW w:w="1014" w:type="dxa"/>
            <w:noWrap w:val="0"/>
            <w:vAlign w:val="center"/>
          </w:tcPr>
          <w:p w14:paraId="7F33781F">
            <w:pPr>
              <w:spacing w:line="360" w:lineRule="auto"/>
              <w:jc w:val="center"/>
              <w:rPr>
                <w:rFonts w:hint="default" w:ascii="Times New Roman" w:hAnsi="Times New Roman" w:eastAsia="宋体" w:cs="Times New Roman"/>
                <w:color w:val="auto"/>
                <w:sz w:val="21"/>
                <w:szCs w:val="21"/>
                <w:highlight w:val="none"/>
              </w:rPr>
            </w:pPr>
          </w:p>
        </w:tc>
        <w:tc>
          <w:tcPr>
            <w:tcW w:w="2439" w:type="dxa"/>
            <w:noWrap w:val="0"/>
            <w:vAlign w:val="center"/>
          </w:tcPr>
          <w:p w14:paraId="1DE71E8A">
            <w:pPr>
              <w:spacing w:line="360" w:lineRule="auto"/>
              <w:jc w:val="center"/>
              <w:rPr>
                <w:rFonts w:hint="default" w:ascii="Times New Roman" w:hAnsi="Times New Roman" w:eastAsia="宋体" w:cs="Times New Roman"/>
                <w:color w:val="auto"/>
                <w:sz w:val="21"/>
                <w:szCs w:val="21"/>
                <w:highlight w:val="none"/>
              </w:rPr>
            </w:pPr>
          </w:p>
        </w:tc>
        <w:tc>
          <w:tcPr>
            <w:tcW w:w="2135" w:type="dxa"/>
            <w:noWrap w:val="0"/>
            <w:vAlign w:val="center"/>
          </w:tcPr>
          <w:p w14:paraId="63F066E5">
            <w:pPr>
              <w:spacing w:line="360" w:lineRule="auto"/>
              <w:jc w:val="center"/>
              <w:rPr>
                <w:rFonts w:hint="default" w:ascii="Times New Roman" w:hAnsi="Times New Roman" w:eastAsia="宋体" w:cs="Times New Roman"/>
                <w:color w:val="auto"/>
                <w:sz w:val="21"/>
                <w:szCs w:val="21"/>
                <w:highlight w:val="none"/>
              </w:rPr>
            </w:pPr>
          </w:p>
        </w:tc>
        <w:tc>
          <w:tcPr>
            <w:tcW w:w="1358" w:type="dxa"/>
            <w:noWrap w:val="0"/>
            <w:vAlign w:val="center"/>
          </w:tcPr>
          <w:p w14:paraId="539BE170">
            <w:pPr>
              <w:spacing w:line="360" w:lineRule="auto"/>
              <w:jc w:val="center"/>
              <w:rPr>
                <w:rFonts w:hint="default" w:ascii="Times New Roman" w:hAnsi="Times New Roman" w:eastAsia="宋体" w:cs="Times New Roman"/>
                <w:color w:val="auto"/>
                <w:sz w:val="21"/>
                <w:szCs w:val="21"/>
                <w:highlight w:val="none"/>
              </w:rPr>
            </w:pPr>
          </w:p>
        </w:tc>
        <w:tc>
          <w:tcPr>
            <w:tcW w:w="1417" w:type="dxa"/>
            <w:noWrap w:val="0"/>
            <w:vAlign w:val="center"/>
          </w:tcPr>
          <w:p w14:paraId="7D0D7AA2">
            <w:pPr>
              <w:spacing w:line="360" w:lineRule="auto"/>
              <w:jc w:val="center"/>
              <w:rPr>
                <w:rFonts w:hint="default" w:ascii="Times New Roman" w:hAnsi="Times New Roman" w:eastAsia="宋体" w:cs="Times New Roman"/>
                <w:color w:val="auto"/>
                <w:sz w:val="21"/>
                <w:szCs w:val="21"/>
                <w:highlight w:val="none"/>
              </w:rPr>
            </w:pPr>
          </w:p>
        </w:tc>
      </w:tr>
    </w:tbl>
    <w:p w14:paraId="311C12CD">
      <w:pPr>
        <w:spacing w:line="360" w:lineRule="auto"/>
        <w:jc w:val="center"/>
        <w:rPr>
          <w:rFonts w:hint="default" w:ascii="Times New Roman" w:hAnsi="Times New Roman" w:eastAsia="宋体" w:cs="Times New Roman"/>
          <w:b/>
          <w:color w:val="auto"/>
          <w:sz w:val="21"/>
          <w:szCs w:val="21"/>
          <w:highlight w:val="none"/>
        </w:rPr>
      </w:pPr>
    </w:p>
    <w:p w14:paraId="6C117221">
      <w:pPr>
        <w:spacing w:line="360" w:lineRule="auto"/>
        <w:rPr>
          <w:rFonts w:hint="default" w:ascii="Times New Roman" w:hAnsi="Times New Roman" w:eastAsia="宋体" w:cs="Times New Roman"/>
          <w:b/>
          <w:color w:val="auto"/>
          <w:sz w:val="21"/>
          <w:szCs w:val="21"/>
          <w:highlight w:val="none"/>
        </w:rPr>
      </w:pPr>
    </w:p>
    <w:p w14:paraId="4D0CE48F">
      <w:pPr>
        <w:spacing w:line="360" w:lineRule="auto"/>
        <w:ind w:firstLine="480"/>
        <w:jc w:val="left"/>
        <w:rPr>
          <w:rFonts w:hint="default" w:ascii="Times New Roman" w:hAnsi="Times New Roman" w:eastAsia="宋体" w:cs="Times New Roman"/>
          <w:bCs/>
          <w:color w:val="auto"/>
          <w:sz w:val="21"/>
          <w:szCs w:val="21"/>
          <w:highlight w:val="none"/>
        </w:rPr>
      </w:pPr>
      <w:r>
        <w:rPr>
          <w:rFonts w:hint="default" w:ascii="Times New Roman" w:hAnsi="Times New Roman" w:eastAsia="宋体" w:cs="Times New Roman"/>
          <w:bCs/>
          <w:color w:val="auto"/>
          <w:sz w:val="21"/>
          <w:szCs w:val="21"/>
          <w:highlight w:val="none"/>
          <w:lang w:eastAsia="zh-CN"/>
        </w:rPr>
        <w:t>磋商供应商</w:t>
      </w:r>
      <w:r>
        <w:rPr>
          <w:rFonts w:hint="default" w:ascii="Times New Roman" w:hAnsi="Times New Roman" w:eastAsia="宋体" w:cs="Times New Roman"/>
          <w:bCs/>
          <w:color w:val="auto"/>
          <w:sz w:val="21"/>
          <w:szCs w:val="21"/>
          <w:highlight w:val="none"/>
        </w:rPr>
        <w:t>（</w:t>
      </w:r>
      <w:r>
        <w:rPr>
          <w:rFonts w:hint="default" w:ascii="Times New Roman" w:hAnsi="Times New Roman" w:eastAsia="宋体" w:cs="Times New Roman"/>
          <w:color w:val="auto"/>
          <w:sz w:val="21"/>
          <w:szCs w:val="21"/>
          <w:highlight w:val="none"/>
        </w:rPr>
        <w:t>加盖CA电子公章）</w:t>
      </w:r>
      <w:r>
        <w:rPr>
          <w:rFonts w:hint="default" w:ascii="Times New Roman" w:hAnsi="Times New Roman" w:eastAsia="宋体" w:cs="Times New Roman"/>
          <w:bCs/>
          <w:color w:val="auto"/>
          <w:sz w:val="21"/>
          <w:szCs w:val="21"/>
          <w:highlight w:val="none"/>
        </w:rPr>
        <w:t>：</w:t>
      </w:r>
    </w:p>
    <w:p w14:paraId="69976DF1">
      <w:pPr>
        <w:spacing w:line="360" w:lineRule="auto"/>
        <w:ind w:firstLine="480"/>
        <w:jc w:val="left"/>
        <w:rPr>
          <w:rFonts w:hint="default" w:ascii="Times New Roman" w:hAnsi="Times New Roman" w:eastAsia="宋体" w:cs="Times New Roman"/>
          <w:bCs/>
          <w:color w:val="auto"/>
          <w:sz w:val="21"/>
          <w:szCs w:val="21"/>
          <w:highlight w:val="none"/>
        </w:rPr>
      </w:pPr>
      <w:r>
        <w:rPr>
          <w:rFonts w:hint="default" w:ascii="Times New Roman" w:hAnsi="Times New Roman" w:eastAsia="宋体" w:cs="Times New Roman"/>
          <w:bCs/>
          <w:color w:val="auto"/>
          <w:sz w:val="21"/>
          <w:szCs w:val="21"/>
          <w:highlight w:val="none"/>
        </w:rPr>
        <w:t>法定代表人或法定代表人授权代表（签字或盖章）：</w:t>
      </w:r>
    </w:p>
    <w:p w14:paraId="263E1BF5">
      <w:pPr>
        <w:spacing w:line="360" w:lineRule="auto"/>
        <w:ind w:firstLine="480"/>
        <w:rPr>
          <w:rFonts w:hint="default" w:ascii="Times New Roman" w:hAnsi="Times New Roman" w:eastAsia="宋体" w:cs="Times New Roman"/>
          <w:bCs/>
          <w:color w:val="auto"/>
          <w:sz w:val="24"/>
          <w:szCs w:val="24"/>
          <w:highlight w:val="none"/>
        </w:rPr>
      </w:pPr>
      <w:r>
        <w:rPr>
          <w:rFonts w:hint="default" w:ascii="Times New Roman" w:hAnsi="Times New Roman" w:eastAsia="宋体" w:cs="Times New Roman"/>
          <w:bCs/>
          <w:color w:val="auto"/>
          <w:sz w:val="21"/>
          <w:szCs w:val="21"/>
          <w:highlight w:val="none"/>
        </w:rPr>
        <w:t>日期：</w:t>
      </w:r>
      <w:r>
        <w:rPr>
          <w:rFonts w:hint="default" w:ascii="Times New Roman" w:hAnsi="Times New Roman" w:cs="Times New Roman"/>
          <w:bCs/>
          <w:color w:val="auto"/>
          <w:sz w:val="21"/>
          <w:szCs w:val="21"/>
          <w:highlight w:val="none"/>
          <w:lang w:val="en-US" w:eastAsia="zh-CN"/>
        </w:rPr>
        <w:t xml:space="preserve">    </w:t>
      </w:r>
      <w:r>
        <w:rPr>
          <w:rFonts w:hint="default" w:ascii="Times New Roman" w:hAnsi="Times New Roman" w:eastAsia="宋体" w:cs="Times New Roman"/>
          <w:bCs/>
          <w:color w:val="auto"/>
          <w:sz w:val="21"/>
          <w:szCs w:val="21"/>
          <w:highlight w:val="none"/>
        </w:rPr>
        <w:t>年</w:t>
      </w:r>
      <w:r>
        <w:rPr>
          <w:rFonts w:hint="default" w:ascii="Times New Roman" w:hAnsi="Times New Roman" w:cs="Times New Roman"/>
          <w:bCs/>
          <w:color w:val="auto"/>
          <w:sz w:val="21"/>
          <w:szCs w:val="21"/>
          <w:highlight w:val="none"/>
          <w:lang w:val="en-US" w:eastAsia="zh-CN"/>
        </w:rPr>
        <w:t xml:space="preserve">  </w:t>
      </w:r>
      <w:r>
        <w:rPr>
          <w:rFonts w:hint="default" w:ascii="Times New Roman" w:hAnsi="Times New Roman" w:eastAsia="宋体" w:cs="Times New Roman"/>
          <w:bCs/>
          <w:color w:val="auto"/>
          <w:sz w:val="21"/>
          <w:szCs w:val="21"/>
          <w:highlight w:val="none"/>
        </w:rPr>
        <w:t>月</w:t>
      </w:r>
      <w:r>
        <w:rPr>
          <w:rFonts w:hint="default" w:ascii="Times New Roman" w:hAnsi="Times New Roman" w:cs="Times New Roman"/>
          <w:bCs/>
          <w:color w:val="auto"/>
          <w:sz w:val="21"/>
          <w:szCs w:val="21"/>
          <w:highlight w:val="none"/>
          <w:lang w:val="en-US" w:eastAsia="zh-CN"/>
        </w:rPr>
        <w:t xml:space="preserve">  </w:t>
      </w:r>
      <w:r>
        <w:rPr>
          <w:rFonts w:hint="default" w:ascii="Times New Roman" w:hAnsi="Times New Roman" w:eastAsia="宋体" w:cs="Times New Roman"/>
          <w:bCs/>
          <w:color w:val="auto"/>
          <w:sz w:val="21"/>
          <w:szCs w:val="21"/>
          <w:highlight w:val="none"/>
        </w:rPr>
        <w:t>日</w:t>
      </w:r>
    </w:p>
    <w:p w14:paraId="109A85ED">
      <w:pPr>
        <w:pStyle w:val="16"/>
        <w:keepNext w:val="0"/>
        <w:keepLines w:val="0"/>
        <w:pageBreakBefore w:val="0"/>
        <w:spacing w:beforeAutospacing="0" w:afterAutospacing="0" w:line="360" w:lineRule="auto"/>
        <w:rPr>
          <w:rFonts w:hint="default" w:ascii="Times New Roman" w:hAnsi="Times New Roman" w:eastAsia="新宋体" w:cs="Times New Roman"/>
          <w:b/>
          <w:color w:val="auto"/>
          <w:sz w:val="24"/>
          <w:highlight w:val="none"/>
        </w:rPr>
      </w:pPr>
    </w:p>
    <w:p w14:paraId="26617CA8">
      <w:pPr>
        <w:spacing w:line="360" w:lineRule="auto"/>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br w:type="page" w:clear="all"/>
      </w:r>
    </w:p>
    <w:p w14:paraId="6B23385E">
      <w:pPr>
        <w:spacing w:line="360" w:lineRule="auto"/>
        <w:jc w:val="both"/>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附件1</w:t>
      </w:r>
      <w:r>
        <w:rPr>
          <w:rFonts w:hint="default" w:ascii="Times New Roman" w:hAnsi="Times New Roman" w:eastAsia="宋体" w:cs="Times New Roman"/>
          <w:color w:val="auto"/>
          <w:sz w:val="24"/>
          <w:highlight w:val="none"/>
          <w:lang w:val="en-US" w:eastAsia="zh-CN"/>
        </w:rPr>
        <w:t>2</w:t>
      </w:r>
      <w:r>
        <w:rPr>
          <w:rFonts w:hint="default" w:ascii="Times New Roman" w:hAnsi="Times New Roman" w:eastAsia="宋体" w:cs="Times New Roman"/>
          <w:color w:val="auto"/>
          <w:sz w:val="24"/>
          <w:highlight w:val="none"/>
        </w:rPr>
        <w:t>：</w:t>
      </w:r>
    </w:p>
    <w:p w14:paraId="3307579C">
      <w:pPr>
        <w:pStyle w:val="6"/>
        <w:spacing w:line="360" w:lineRule="auto"/>
        <w:rPr>
          <w:rFonts w:hint="default" w:ascii="Times New Roman" w:hAnsi="Times New Roman" w:cs="Times New Roman"/>
          <w:color w:val="auto"/>
          <w:highlight w:val="none"/>
        </w:rPr>
      </w:pPr>
    </w:p>
    <w:p w14:paraId="64691B5C">
      <w:pPr>
        <w:pStyle w:val="6"/>
        <w:spacing w:line="360" w:lineRule="auto"/>
        <w:rPr>
          <w:rFonts w:hint="default" w:ascii="Times New Roman" w:hAnsi="Times New Roman" w:cs="Times New Roman"/>
          <w:color w:val="auto"/>
          <w:highlight w:val="none"/>
        </w:rPr>
      </w:pPr>
    </w:p>
    <w:p w14:paraId="0CF145C0">
      <w:pPr>
        <w:pStyle w:val="6"/>
        <w:spacing w:line="360" w:lineRule="auto"/>
        <w:rPr>
          <w:rFonts w:hint="default" w:ascii="Times New Roman" w:hAnsi="Times New Roman" w:cs="Times New Roman"/>
          <w:color w:val="auto"/>
          <w:highlight w:val="none"/>
        </w:rPr>
      </w:pPr>
      <w:r>
        <w:rPr>
          <w:rFonts w:hint="default" w:ascii="Times New Roman" w:hAnsi="Times New Roman" w:cs="Times New Roman"/>
          <w:color w:val="auto"/>
          <w:highlight w:val="none"/>
        </w:rPr>
        <w:t>根据评标办法，供应商认为需要递交的材料</w:t>
      </w:r>
    </w:p>
    <w:p w14:paraId="7329AE55">
      <w:pPr>
        <w:keepNext w:val="0"/>
        <w:keepLines w:val="0"/>
        <w:pageBreakBefore w:val="0"/>
        <w:pBdr>
          <w:top w:val="none" w:color="000000" w:sz="0" w:space="0"/>
          <w:left w:val="none" w:color="000000" w:sz="0" w:space="0"/>
          <w:bottom w:val="none" w:color="000000" w:sz="0" w:space="0"/>
          <w:right w:val="none" w:color="000000" w:sz="0" w:space="0"/>
        </w:pBdr>
        <w:spacing w:beforeAutospacing="0" w:afterAutospacing="0" w:line="360" w:lineRule="auto"/>
        <w:ind w:left="432" w:hanging="420"/>
        <w:jc w:val="center"/>
        <w:rPr>
          <w:rFonts w:hint="default" w:ascii="Times New Roman" w:hAnsi="Times New Roman" w:cs="Times New Roman"/>
          <w:b/>
          <w:color w:val="auto"/>
          <w:sz w:val="36"/>
          <w:highlight w:val="none"/>
        </w:rPr>
      </w:pPr>
      <w:r>
        <w:rPr>
          <w:rFonts w:hint="default" w:ascii="Times New Roman" w:hAnsi="Times New Roman" w:cs="Times New Roman"/>
          <w:b/>
          <w:color w:val="auto"/>
          <w:sz w:val="36"/>
          <w:highlight w:val="none"/>
        </w:rPr>
        <w:t> </w:t>
      </w:r>
    </w:p>
    <w:p w14:paraId="0BA0BD46">
      <w:pPr>
        <w:rPr>
          <w:rFonts w:hint="default" w:ascii="Times New Roman" w:hAnsi="Times New Roman" w:cs="Times New Roman"/>
          <w:b/>
          <w:color w:val="auto"/>
          <w:sz w:val="36"/>
          <w:highlight w:val="none"/>
        </w:rPr>
      </w:pPr>
      <w:r>
        <w:rPr>
          <w:rFonts w:hint="default" w:ascii="Times New Roman" w:hAnsi="Times New Roman" w:cs="Times New Roman"/>
          <w:b/>
          <w:color w:val="auto"/>
          <w:sz w:val="36"/>
          <w:highlight w:val="none"/>
        </w:rPr>
        <w:br w:type="page" w:clear="all"/>
      </w:r>
    </w:p>
    <w:p w14:paraId="6AA76005">
      <w:pPr>
        <w:spacing w:line="440" w:lineRule="exact"/>
        <w:jc w:val="center"/>
        <w:rPr>
          <w:rFonts w:hint="default" w:ascii="Times New Roman" w:hAnsi="Times New Roman" w:eastAsia="仿宋" w:cs="Times New Roman"/>
          <w:b/>
          <w:bCs/>
          <w:color w:val="auto"/>
          <w:sz w:val="32"/>
          <w:szCs w:val="32"/>
          <w:highlight w:val="none"/>
        </w:rPr>
      </w:pPr>
      <w:r>
        <w:rPr>
          <w:rFonts w:hint="default" w:ascii="Times New Roman" w:hAnsi="Times New Roman" w:eastAsia="仿宋" w:cs="Times New Roman"/>
          <w:b/>
          <w:bCs/>
          <w:color w:val="auto"/>
          <w:sz w:val="32"/>
          <w:szCs w:val="32"/>
          <w:highlight w:val="none"/>
        </w:rPr>
        <w:t>质疑函范本</w:t>
      </w:r>
    </w:p>
    <w:p w14:paraId="25C030E3">
      <w:pPr>
        <w:spacing w:before="240" w:line="440" w:lineRule="exact"/>
        <w:rPr>
          <w:rFonts w:hint="default" w:ascii="Times New Roman" w:hAnsi="Times New Roman" w:eastAsia="宋体" w:cs="Times New Roman"/>
          <w:bCs/>
          <w:color w:val="auto"/>
          <w:sz w:val="21"/>
          <w:szCs w:val="21"/>
          <w:highlight w:val="none"/>
        </w:rPr>
      </w:pPr>
      <w:r>
        <w:rPr>
          <w:rFonts w:hint="default" w:ascii="Times New Roman" w:hAnsi="Times New Roman" w:eastAsia="宋体" w:cs="Times New Roman"/>
          <w:bCs/>
          <w:color w:val="auto"/>
          <w:sz w:val="21"/>
          <w:szCs w:val="21"/>
          <w:highlight w:val="none"/>
        </w:rPr>
        <w:t>一、质疑供应商基本信息</w:t>
      </w:r>
    </w:p>
    <w:p w14:paraId="12586576">
      <w:pPr>
        <w:spacing w:line="440" w:lineRule="exact"/>
        <w:rPr>
          <w:rFonts w:hint="default" w:ascii="Times New Roman" w:hAnsi="Times New Roman" w:eastAsia="宋体" w:cs="Times New Roman"/>
          <w:color w:val="auto"/>
          <w:sz w:val="21"/>
          <w:szCs w:val="21"/>
          <w:highlight w:val="none"/>
          <w:u w:val="single"/>
        </w:rPr>
      </w:pPr>
      <w:r>
        <w:rPr>
          <w:rFonts w:hint="default" w:ascii="Times New Roman" w:hAnsi="Times New Roman" w:eastAsia="宋体" w:cs="Times New Roman"/>
          <w:color w:val="auto"/>
          <w:sz w:val="21"/>
          <w:szCs w:val="21"/>
          <w:highlight w:val="none"/>
        </w:rPr>
        <w:t>质疑供应商：</w:t>
      </w:r>
    </w:p>
    <w:p w14:paraId="565305CD">
      <w:pPr>
        <w:spacing w:line="440" w:lineRule="exact"/>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地址：邮编：</w:t>
      </w:r>
    </w:p>
    <w:p w14:paraId="212CD4C6">
      <w:pPr>
        <w:spacing w:line="440" w:lineRule="exact"/>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联系人：联系电话：</w:t>
      </w:r>
    </w:p>
    <w:p w14:paraId="51E6DB8B">
      <w:pPr>
        <w:spacing w:line="440" w:lineRule="exact"/>
        <w:rPr>
          <w:rFonts w:hint="default" w:ascii="Times New Roman" w:hAnsi="Times New Roman" w:eastAsia="宋体" w:cs="Times New Roman"/>
          <w:color w:val="auto"/>
          <w:sz w:val="21"/>
          <w:szCs w:val="21"/>
          <w:highlight w:val="none"/>
          <w:u w:val="single"/>
        </w:rPr>
      </w:pPr>
      <w:r>
        <w:rPr>
          <w:rFonts w:hint="default" w:ascii="Times New Roman" w:hAnsi="Times New Roman" w:eastAsia="宋体" w:cs="Times New Roman"/>
          <w:color w:val="auto"/>
          <w:sz w:val="21"/>
          <w:szCs w:val="21"/>
          <w:highlight w:val="none"/>
        </w:rPr>
        <w:t>授权代表：</w:t>
      </w:r>
    </w:p>
    <w:p w14:paraId="43FF26AA">
      <w:pPr>
        <w:spacing w:line="440" w:lineRule="exact"/>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联系电话：</w:t>
      </w:r>
    </w:p>
    <w:p w14:paraId="7BA1EBC7">
      <w:pPr>
        <w:spacing w:line="440" w:lineRule="exact"/>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地址： 邮编：</w:t>
      </w:r>
    </w:p>
    <w:p w14:paraId="73950A1D">
      <w:pPr>
        <w:spacing w:line="440" w:lineRule="exact"/>
        <w:rPr>
          <w:rFonts w:hint="default" w:ascii="Times New Roman" w:hAnsi="Times New Roman" w:eastAsia="宋体" w:cs="Times New Roman"/>
          <w:bCs/>
          <w:color w:val="auto"/>
          <w:sz w:val="21"/>
          <w:szCs w:val="21"/>
          <w:highlight w:val="none"/>
        </w:rPr>
      </w:pPr>
      <w:r>
        <w:rPr>
          <w:rFonts w:hint="default" w:ascii="Times New Roman" w:hAnsi="Times New Roman" w:eastAsia="宋体" w:cs="Times New Roman"/>
          <w:bCs/>
          <w:color w:val="auto"/>
          <w:sz w:val="21"/>
          <w:szCs w:val="21"/>
          <w:highlight w:val="none"/>
        </w:rPr>
        <w:t>二、质疑项目基本情况</w:t>
      </w:r>
    </w:p>
    <w:p w14:paraId="792E7B27">
      <w:pPr>
        <w:spacing w:line="440" w:lineRule="exact"/>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质疑项目的名称：</w:t>
      </w:r>
    </w:p>
    <w:p w14:paraId="76DD027D">
      <w:pPr>
        <w:spacing w:line="440" w:lineRule="exact"/>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质疑项目的编号：包号：</w:t>
      </w:r>
    </w:p>
    <w:p w14:paraId="2BCAD65B">
      <w:pPr>
        <w:spacing w:line="440" w:lineRule="exact"/>
        <w:rPr>
          <w:rFonts w:hint="default" w:ascii="Times New Roman" w:hAnsi="Times New Roman" w:eastAsia="宋体" w:cs="Times New Roman"/>
          <w:color w:val="auto"/>
          <w:sz w:val="21"/>
          <w:szCs w:val="21"/>
          <w:highlight w:val="none"/>
          <w:u w:val="single"/>
        </w:rPr>
      </w:pPr>
      <w:r>
        <w:rPr>
          <w:rFonts w:hint="default" w:ascii="Times New Roman" w:hAnsi="Times New Roman" w:eastAsia="宋体" w:cs="Times New Roman"/>
          <w:color w:val="auto"/>
          <w:sz w:val="21"/>
          <w:szCs w:val="21"/>
          <w:highlight w:val="none"/>
        </w:rPr>
        <w:t>采购人名称：</w:t>
      </w:r>
    </w:p>
    <w:p w14:paraId="6E9C481C">
      <w:pPr>
        <w:spacing w:line="440" w:lineRule="exact"/>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采购文件获取日期：</w:t>
      </w:r>
    </w:p>
    <w:p w14:paraId="1C595870">
      <w:pPr>
        <w:spacing w:line="440" w:lineRule="exact"/>
        <w:rPr>
          <w:rFonts w:hint="default" w:ascii="Times New Roman" w:hAnsi="Times New Roman" w:eastAsia="宋体" w:cs="Times New Roman"/>
          <w:bCs/>
          <w:color w:val="auto"/>
          <w:sz w:val="21"/>
          <w:szCs w:val="21"/>
          <w:highlight w:val="none"/>
        </w:rPr>
      </w:pPr>
      <w:r>
        <w:rPr>
          <w:rFonts w:hint="default" w:ascii="Times New Roman" w:hAnsi="Times New Roman" w:eastAsia="宋体" w:cs="Times New Roman"/>
          <w:bCs/>
          <w:color w:val="auto"/>
          <w:sz w:val="21"/>
          <w:szCs w:val="21"/>
          <w:highlight w:val="none"/>
        </w:rPr>
        <w:t>三、质疑事项具体内容</w:t>
      </w:r>
    </w:p>
    <w:p w14:paraId="1AA81A0C">
      <w:pPr>
        <w:spacing w:line="440" w:lineRule="exact"/>
        <w:rPr>
          <w:rFonts w:hint="default" w:ascii="Times New Roman" w:hAnsi="Times New Roman" w:eastAsia="宋体" w:cs="Times New Roman"/>
          <w:color w:val="auto"/>
          <w:sz w:val="21"/>
          <w:szCs w:val="21"/>
          <w:highlight w:val="none"/>
          <w:u w:val="single"/>
        </w:rPr>
      </w:pPr>
      <w:r>
        <w:rPr>
          <w:rFonts w:hint="default" w:ascii="Times New Roman" w:hAnsi="Times New Roman" w:eastAsia="宋体" w:cs="Times New Roman"/>
          <w:color w:val="auto"/>
          <w:sz w:val="21"/>
          <w:szCs w:val="21"/>
          <w:highlight w:val="none"/>
        </w:rPr>
        <w:t>质疑事项1：</w:t>
      </w:r>
    </w:p>
    <w:p w14:paraId="7F0111FD">
      <w:pPr>
        <w:spacing w:line="440" w:lineRule="exact"/>
        <w:rPr>
          <w:rFonts w:hint="default" w:ascii="Times New Roman" w:hAnsi="Times New Roman" w:eastAsia="宋体" w:cs="Times New Roman"/>
          <w:color w:val="auto"/>
          <w:sz w:val="21"/>
          <w:szCs w:val="21"/>
          <w:highlight w:val="none"/>
          <w:u w:val="single"/>
        </w:rPr>
      </w:pPr>
      <w:r>
        <w:rPr>
          <w:rFonts w:hint="default" w:ascii="Times New Roman" w:hAnsi="Times New Roman" w:eastAsia="宋体" w:cs="Times New Roman"/>
          <w:color w:val="auto"/>
          <w:sz w:val="21"/>
          <w:szCs w:val="21"/>
          <w:highlight w:val="none"/>
        </w:rPr>
        <w:t>事实依据：</w:t>
      </w:r>
    </w:p>
    <w:p w14:paraId="2CD3B79F">
      <w:pPr>
        <w:spacing w:line="440" w:lineRule="exact"/>
        <w:rPr>
          <w:rFonts w:hint="default" w:ascii="Times New Roman" w:hAnsi="Times New Roman" w:eastAsia="宋体" w:cs="Times New Roman"/>
          <w:color w:val="auto"/>
          <w:sz w:val="21"/>
          <w:szCs w:val="21"/>
          <w:highlight w:val="none"/>
        </w:rPr>
      </w:pPr>
    </w:p>
    <w:p w14:paraId="4E4654CD">
      <w:pPr>
        <w:spacing w:line="440" w:lineRule="exact"/>
        <w:rPr>
          <w:rFonts w:hint="default" w:ascii="Times New Roman" w:hAnsi="Times New Roman" w:eastAsia="宋体" w:cs="Times New Roman"/>
          <w:color w:val="auto"/>
          <w:sz w:val="21"/>
          <w:szCs w:val="21"/>
          <w:highlight w:val="none"/>
          <w:u w:val="single"/>
        </w:rPr>
      </w:pPr>
      <w:r>
        <w:rPr>
          <w:rFonts w:hint="default" w:ascii="Times New Roman" w:hAnsi="Times New Roman" w:eastAsia="宋体" w:cs="Times New Roman"/>
          <w:color w:val="auto"/>
          <w:sz w:val="21"/>
          <w:szCs w:val="21"/>
          <w:highlight w:val="none"/>
        </w:rPr>
        <w:t>法律依据：</w:t>
      </w:r>
    </w:p>
    <w:p w14:paraId="7599AB47">
      <w:pPr>
        <w:spacing w:line="440" w:lineRule="exact"/>
        <w:rPr>
          <w:rFonts w:hint="default" w:ascii="Times New Roman" w:hAnsi="Times New Roman" w:eastAsia="宋体" w:cs="Times New Roman"/>
          <w:color w:val="auto"/>
          <w:sz w:val="21"/>
          <w:szCs w:val="21"/>
          <w:highlight w:val="none"/>
          <w:u w:val="single"/>
        </w:rPr>
      </w:pPr>
    </w:p>
    <w:p w14:paraId="110D8464">
      <w:pPr>
        <w:spacing w:line="440" w:lineRule="exact"/>
        <w:rPr>
          <w:rFonts w:hint="default" w:ascii="Times New Roman" w:hAnsi="Times New Roman" w:eastAsia="宋体" w:cs="Times New Roman"/>
          <w:color w:val="auto"/>
          <w:sz w:val="21"/>
          <w:szCs w:val="21"/>
          <w:highlight w:val="none"/>
          <w:u w:val="single"/>
        </w:rPr>
      </w:pPr>
      <w:r>
        <w:rPr>
          <w:rFonts w:hint="default" w:ascii="Times New Roman" w:hAnsi="Times New Roman" w:eastAsia="宋体" w:cs="Times New Roman"/>
          <w:color w:val="auto"/>
          <w:sz w:val="21"/>
          <w:szCs w:val="21"/>
          <w:highlight w:val="none"/>
        </w:rPr>
        <w:t>质疑事项2</w:t>
      </w:r>
    </w:p>
    <w:p w14:paraId="27A7AE67">
      <w:pPr>
        <w:spacing w:line="440" w:lineRule="exact"/>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w:t>
      </w:r>
    </w:p>
    <w:p w14:paraId="7C2F11DC">
      <w:pPr>
        <w:spacing w:line="440" w:lineRule="exact"/>
        <w:rPr>
          <w:rFonts w:hint="default" w:ascii="Times New Roman" w:hAnsi="Times New Roman" w:eastAsia="宋体" w:cs="Times New Roman"/>
          <w:bCs/>
          <w:color w:val="auto"/>
          <w:sz w:val="21"/>
          <w:szCs w:val="21"/>
          <w:highlight w:val="none"/>
        </w:rPr>
      </w:pPr>
      <w:r>
        <w:rPr>
          <w:rFonts w:hint="default" w:ascii="Times New Roman" w:hAnsi="Times New Roman" w:eastAsia="宋体" w:cs="Times New Roman"/>
          <w:bCs/>
          <w:color w:val="auto"/>
          <w:sz w:val="21"/>
          <w:szCs w:val="21"/>
          <w:highlight w:val="none"/>
        </w:rPr>
        <w:t>四、与质疑事项相关的质疑请求</w:t>
      </w:r>
    </w:p>
    <w:p w14:paraId="29AA4C88">
      <w:pPr>
        <w:spacing w:line="440" w:lineRule="exact"/>
        <w:rPr>
          <w:rFonts w:hint="default" w:ascii="Times New Roman" w:hAnsi="Times New Roman" w:eastAsia="宋体" w:cs="Times New Roman"/>
          <w:color w:val="auto"/>
          <w:sz w:val="21"/>
          <w:szCs w:val="21"/>
          <w:highlight w:val="none"/>
          <w:u w:val="single"/>
        </w:rPr>
      </w:pPr>
      <w:r>
        <w:rPr>
          <w:rFonts w:hint="default" w:ascii="Times New Roman" w:hAnsi="Times New Roman" w:eastAsia="宋体" w:cs="Times New Roman"/>
          <w:color w:val="auto"/>
          <w:sz w:val="21"/>
          <w:szCs w:val="21"/>
          <w:highlight w:val="none"/>
        </w:rPr>
        <w:t>请求：</w:t>
      </w:r>
    </w:p>
    <w:p w14:paraId="579A4847">
      <w:pPr>
        <w:spacing w:line="440" w:lineRule="exact"/>
        <w:rPr>
          <w:rFonts w:hint="default" w:ascii="Times New Roman" w:hAnsi="Times New Roman" w:eastAsia="宋体" w:cs="Times New Roman"/>
          <w:color w:val="auto"/>
          <w:sz w:val="21"/>
          <w:szCs w:val="21"/>
          <w:highlight w:val="none"/>
        </w:rPr>
      </w:pPr>
    </w:p>
    <w:p w14:paraId="57AFA160">
      <w:pPr>
        <w:spacing w:line="440" w:lineRule="exact"/>
        <w:rPr>
          <w:rFonts w:hint="default" w:ascii="Times New Roman" w:hAnsi="Times New Roman" w:eastAsia="宋体" w:cs="Times New Roman"/>
          <w:color w:val="auto"/>
          <w:sz w:val="21"/>
          <w:szCs w:val="21"/>
          <w:highlight w:val="none"/>
        </w:rPr>
      </w:pPr>
    </w:p>
    <w:p w14:paraId="5DDA2DD0">
      <w:pPr>
        <w:spacing w:line="440" w:lineRule="exact"/>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 xml:space="preserve">签字(签章)：                   公章：                      </w:t>
      </w:r>
    </w:p>
    <w:p w14:paraId="42D5F24A">
      <w:pPr>
        <w:spacing w:line="440" w:lineRule="exact"/>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 xml:space="preserve">日期：    </w:t>
      </w:r>
    </w:p>
    <w:p w14:paraId="79B1DD5C">
      <w:pPr>
        <w:spacing w:line="440" w:lineRule="exact"/>
        <w:rPr>
          <w:rFonts w:hint="default" w:ascii="Times New Roman" w:hAnsi="Times New Roman" w:eastAsia="宋体" w:cs="Times New Roman"/>
          <w:color w:val="auto"/>
          <w:sz w:val="21"/>
          <w:szCs w:val="21"/>
          <w:highlight w:val="none"/>
        </w:rPr>
      </w:pPr>
    </w:p>
    <w:p w14:paraId="57EA13BC">
      <w:pPr>
        <w:spacing w:line="440" w:lineRule="exact"/>
        <w:rPr>
          <w:rFonts w:hint="default" w:ascii="Times New Roman" w:hAnsi="Times New Roman" w:eastAsia="宋体" w:cs="Times New Roman"/>
          <w:color w:val="auto"/>
          <w:sz w:val="21"/>
          <w:szCs w:val="21"/>
          <w:highlight w:val="none"/>
        </w:rPr>
      </w:pPr>
    </w:p>
    <w:p w14:paraId="107C0EF3">
      <w:pPr>
        <w:spacing w:line="440" w:lineRule="exact"/>
        <w:rPr>
          <w:rFonts w:hint="default" w:ascii="Times New Roman" w:hAnsi="Times New Roman" w:eastAsia="宋体" w:cs="Times New Roman"/>
          <w:color w:val="auto"/>
          <w:sz w:val="21"/>
          <w:szCs w:val="21"/>
          <w:highlight w:val="none"/>
        </w:rPr>
      </w:pPr>
    </w:p>
    <w:p w14:paraId="296337E1">
      <w:pPr>
        <w:spacing w:line="440" w:lineRule="exact"/>
        <w:rPr>
          <w:rFonts w:hint="default" w:ascii="Times New Roman" w:hAnsi="Times New Roman" w:eastAsia="宋体" w:cs="Times New Roman"/>
          <w:bCs/>
          <w:color w:val="auto"/>
          <w:sz w:val="21"/>
          <w:szCs w:val="21"/>
          <w:highlight w:val="none"/>
        </w:rPr>
      </w:pPr>
    </w:p>
    <w:p w14:paraId="62C34E40">
      <w:pPr>
        <w:spacing w:line="440" w:lineRule="exact"/>
        <w:rPr>
          <w:rFonts w:hint="default" w:ascii="Times New Roman" w:hAnsi="Times New Roman" w:eastAsia="宋体" w:cs="Times New Roman"/>
          <w:b/>
          <w:color w:val="auto"/>
          <w:sz w:val="21"/>
          <w:szCs w:val="21"/>
          <w:highlight w:val="none"/>
        </w:rPr>
      </w:pPr>
      <w:r>
        <w:rPr>
          <w:rFonts w:hint="default" w:ascii="Times New Roman" w:hAnsi="Times New Roman" w:eastAsia="宋体" w:cs="Times New Roman"/>
          <w:b/>
          <w:color w:val="auto"/>
          <w:sz w:val="21"/>
          <w:szCs w:val="21"/>
          <w:highlight w:val="none"/>
        </w:rPr>
        <w:t>质疑函制作说明：</w:t>
      </w:r>
    </w:p>
    <w:p w14:paraId="60C24D13">
      <w:pPr>
        <w:widowControl/>
        <w:spacing w:line="440" w:lineRule="exact"/>
        <w:ind w:firstLine="480"/>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1.供应商提出质疑时，应提交质疑函和必要的证明材料。</w:t>
      </w:r>
    </w:p>
    <w:p w14:paraId="5ECC34B9">
      <w:pPr>
        <w:widowControl/>
        <w:spacing w:line="440" w:lineRule="exact"/>
        <w:ind w:firstLine="480"/>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2.质疑供应商若委托代理人进行质疑的，质疑函应按要求列明“授权代表”的有关内容，并在附件中提交由质疑供应商签署的授权委托书。授权委托书应载明代理人的姓名或者名称、代理事项、具体权限、期限和相关事项。</w:t>
      </w:r>
    </w:p>
    <w:p w14:paraId="16629F59">
      <w:pPr>
        <w:widowControl/>
        <w:spacing w:line="440" w:lineRule="exact"/>
        <w:ind w:firstLine="480"/>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3.质疑供应商若对项目的某一分包进行质疑，质疑函中应列明具体分包号。</w:t>
      </w:r>
    </w:p>
    <w:p w14:paraId="68A4F9A7">
      <w:pPr>
        <w:widowControl/>
        <w:spacing w:line="440" w:lineRule="exact"/>
        <w:ind w:firstLine="480"/>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4.质疑函的质疑事项应具体、明确，并有必要的事实依据和法律依据。</w:t>
      </w:r>
    </w:p>
    <w:p w14:paraId="45059030">
      <w:pPr>
        <w:widowControl/>
        <w:spacing w:line="440" w:lineRule="exact"/>
        <w:ind w:firstLine="480"/>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5.质疑函的质疑请求应与质疑事项相关。</w:t>
      </w:r>
    </w:p>
    <w:p w14:paraId="5FFB87E3">
      <w:pPr>
        <w:pStyle w:val="222"/>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6.质疑供应商为自然人的，质疑函应由本人签字；质疑供应商为法人或者其他组织的，质疑函应由法定代表人、主要负责人，或者其授权代表签字或者盖章，并加盖公章。</w:t>
      </w:r>
    </w:p>
    <w:p w14:paraId="7D44C2A4">
      <w:pPr>
        <w:keepNext w:val="0"/>
        <w:keepLines w:val="0"/>
        <w:pageBreakBefore w:val="0"/>
        <w:pBdr>
          <w:top w:val="none" w:color="000000" w:sz="0" w:space="0"/>
          <w:left w:val="none" w:color="000000" w:sz="0" w:space="0"/>
          <w:bottom w:val="none" w:color="000000" w:sz="0" w:space="0"/>
          <w:right w:val="none" w:color="000000" w:sz="0" w:space="0"/>
        </w:pBdr>
        <w:spacing w:beforeAutospacing="0" w:afterAutospacing="0" w:line="360" w:lineRule="auto"/>
        <w:ind w:firstLine="240"/>
        <w:rPr>
          <w:rFonts w:hint="default" w:ascii="Times New Roman" w:hAnsi="Times New Roman" w:cs="Times New Roman"/>
          <w:color w:val="auto"/>
          <w:highlight w:val="none"/>
        </w:rPr>
      </w:pPr>
      <w:r>
        <w:rPr>
          <w:rFonts w:hint="default" w:ascii="Times New Roman" w:hAnsi="Times New Roman" w:cs="Times New Roman"/>
          <w:color w:val="auto"/>
          <w:sz w:val="24"/>
          <w:highlight w:val="none"/>
        </w:rPr>
        <w:t> </w:t>
      </w:r>
    </w:p>
    <w:p w14:paraId="79A2DD65">
      <w:pPr>
        <w:keepNext w:val="0"/>
        <w:keepLines w:val="0"/>
        <w:pageBreakBefore w:val="0"/>
        <w:spacing w:beforeAutospacing="0" w:afterAutospacing="0" w:line="360" w:lineRule="auto"/>
        <w:rPr>
          <w:rFonts w:hint="default" w:ascii="Times New Roman" w:hAnsi="Times New Roman" w:cs="Times New Roman"/>
          <w:color w:val="auto"/>
          <w:highlight w:val="none"/>
        </w:rPr>
      </w:pPr>
    </w:p>
    <w:p w14:paraId="7263D505">
      <w:pPr>
        <w:keepNext w:val="0"/>
        <w:keepLines w:val="0"/>
        <w:pageBreakBefore w:val="0"/>
        <w:spacing w:beforeAutospacing="0" w:afterAutospacing="0" w:line="360" w:lineRule="auto"/>
        <w:rPr>
          <w:rFonts w:hint="default" w:ascii="Times New Roman" w:hAnsi="Times New Roman" w:cs="Times New Roman"/>
          <w:color w:val="auto"/>
          <w:highlight w:val="none"/>
        </w:rPr>
      </w:pPr>
    </w:p>
    <w:sectPr>
      <w:footerReference r:id="rId3" w:type="default"/>
      <w:pgSz w:w="11906" w:h="16838"/>
      <w:pgMar w:top="1463" w:right="1803" w:bottom="1463" w:left="1803" w:header="851" w:footer="992" w:gutter="0"/>
      <w:pgNumType w:start="1"/>
      <w:cols w:space="1701"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7A"/>
    <w:family w:val="auto"/>
    <w:pitch w:val="default"/>
    <w:sig w:usb0="E0002EFF" w:usb1="C000785B" w:usb2="00000009" w:usb3="00000000" w:csb0="400001FF" w:csb1="FFFF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 w:name="Verdana">
    <w:panose1 w:val="020B0604030504040204"/>
    <w:charset w:val="00"/>
    <w:family w:val="auto"/>
    <w:pitch w:val="default"/>
    <w:sig w:usb0="A00006FF" w:usb1="4000205B" w:usb2="00000010" w:usb3="00000000" w:csb0="2000019F" w:csb1="00000000"/>
  </w:font>
  <w:font w:name="楷体_GB2312">
    <w:altName w:val="楷体"/>
    <w:panose1 w:val="02010609030101010101"/>
    <w:charset w:val="86"/>
    <w:family w:val="auto"/>
    <w:pitch w:val="default"/>
    <w:sig w:usb0="00000000" w:usb1="00000000" w:usb2="00000000" w:usb3="00000000" w:csb0="00040000" w:csb1="00000000"/>
  </w:font>
  <w:font w:name="仿宋_GB2312">
    <w:altName w:val="仿宋"/>
    <w:panose1 w:val="02010609030101010101"/>
    <w:charset w:val="86"/>
    <w:family w:val="modern"/>
    <w:pitch w:val="default"/>
    <w:sig w:usb0="00000000" w:usb1="00000000" w:usb2="00000000" w:usb3="00000000" w:csb0="00040000" w:csb1="00000000"/>
  </w:font>
  <w:font w:name="等线">
    <w:panose1 w:val="02010600030101010101"/>
    <w:charset w:val="86"/>
    <w:family w:val="auto"/>
    <w:pitch w:val="default"/>
    <w:sig w:usb0="A00002BF" w:usb1="38CF7CFA" w:usb2="00000016" w:usb3="00000000" w:csb0="0004000F" w:csb1="00000000"/>
  </w:font>
  <w:font w:name="MS Mincho">
    <w:altName w:val="Yu Gothic UI"/>
    <w:panose1 w:val="02020609040205080304"/>
    <w:charset w:val="80"/>
    <w:family w:val="auto"/>
    <w:pitch w:val="default"/>
    <w:sig w:usb0="00000000" w:usb1="00000000" w:usb2="00000012" w:usb3="00000000" w:csb0="4002009F" w:csb1="DFD70000"/>
  </w:font>
  <w:font w:name="楷体">
    <w:panose1 w:val="02010609060101010101"/>
    <w:charset w:val="86"/>
    <w:family w:val="auto"/>
    <w:pitch w:val="default"/>
    <w:sig w:usb0="800002BF" w:usb1="38CF7CFA" w:usb2="00000016" w:usb3="00000000" w:csb0="00040001" w:csb1="00000000"/>
  </w:font>
  <w:font w:name="幼圆">
    <w:altName w:val="NumberOnly"/>
    <w:panose1 w:val="02010509060101010101"/>
    <w:charset w:val="00"/>
    <w:family w:val="auto"/>
    <w:pitch w:val="default"/>
    <w:sig w:usb0="00000000" w:usb1="00000000" w:usb2="00000000" w:usb3="00000000" w:csb0="00000000" w:csb1="00000000"/>
  </w:font>
  <w:font w:name="XcGJSymbol">
    <w:altName w:val="Sitka Text"/>
    <w:panose1 w:val="02000500000000000000"/>
    <w:charset w:val="00"/>
    <w:family w:val="auto"/>
    <w:pitch w:val="default"/>
    <w:sig w:usb0="00000000" w:usb1="00000000" w:usb2="00000000" w:usb3="00000000" w:csb0="00000001" w:csb1="00000000"/>
  </w:font>
  <w:font w:name="新宋体">
    <w:panose1 w:val="02010609030101010101"/>
    <w:charset w:val="86"/>
    <w:family w:val="auto"/>
    <w:pitch w:val="default"/>
    <w:sig w:usb0="00000203" w:usb1="288F0000" w:usb2="00000006" w:usb3="00000000" w:csb0="00040001" w:csb1="00000000"/>
  </w:font>
  <w:font w:name="Arial">
    <w:panose1 w:val="020B0604020202020204"/>
    <w:charset w:val="00"/>
    <w:family w:val="auto"/>
    <w:pitch w:val="default"/>
    <w:sig w:usb0="E0002EFF" w:usb1="C000785B" w:usb2="00000009" w:usb3="00000000" w:csb0="400001FF" w:csb1="FFFF0000"/>
  </w:font>
  <w:font w:name="Microsoft YaHei UI">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 w:name="NumberOnly">
    <w:panose1 w:val="020B0500000000000000"/>
    <w:charset w:val="00"/>
    <w:family w:val="auto"/>
    <w:pitch w:val="default"/>
    <w:sig w:usb0="8000002F" w:usb1="10000048" w:usb2="00000000" w:usb3="00000000" w:csb0="00000111" w:csb1="40000000"/>
  </w:font>
  <w:font w:name="Yu Gothic UI">
    <w:panose1 w:val="020B0500000000000000"/>
    <w:charset w:val="80"/>
    <w:family w:val="auto"/>
    <w:pitch w:val="default"/>
    <w:sig w:usb0="E00002FF" w:usb1="2AC7FDFF" w:usb2="00000016" w:usb3="00000000" w:csb0="2002009F" w:csb1="00000000"/>
  </w:font>
  <w:font w:name="Sitka Text">
    <w:panose1 w:val="02000505000000020004"/>
    <w:charset w:val="00"/>
    <w:family w:val="auto"/>
    <w:pitch w:val="default"/>
    <w:sig w:usb0="A00002EF" w:usb1="4000204B" w:usb2="00000000" w:usb3="00000000" w:csb0="2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08303A7">
    <w:pPr>
      <w:pStyle w:val="29"/>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292100" cy="131445"/>
              <wp:effectExtent l="3175" t="3175" r="3175" b="3175"/>
              <wp:wrapNone/>
              <wp:docPr id="1" name="文本框 3"/>
              <wp:cNvGraphicFramePr/>
              <a:graphic xmlns:a="http://schemas.openxmlformats.org/drawingml/2006/main">
                <a:graphicData uri="http://schemas.microsoft.com/office/word/2010/wordprocessingShape">
                  <wps:wsp>
                    <wps:cNvSpPr txBox="1"/>
                    <wps:spPr bwMode="auto">
                      <a:xfrm>
                        <a:off x="0" y="0"/>
                        <a:ext cx="292353" cy="131433"/>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CEE5412">
                          <w:pPr>
                            <w:pStyle w:val="29"/>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square" lIns="0" tIns="0" rIns="0" bIns="0" numCol="1" spcCol="0" rtlCol="0" fromWordArt="0" anchor="t" anchorCtr="0" forceAA="0" upright="0" compatLnSpc="1">
                      <a:noAutofit/>
                    </wps:bodyPr>
                  </wps:wsp>
                </a:graphicData>
              </a:graphic>
            </wp:anchor>
          </w:drawing>
        </mc:Choice>
        <mc:Fallback>
          <w:pict>
            <v:shape id="文本框 3" o:spid="_x0000_s1026" o:spt="202" type="#_x0000_t202" style="position:absolute;left:0pt;margin-top:0pt;height:10.35pt;width:23pt;mso-position-horizontal:center;mso-position-horizontal-relative:margin;z-index:251659264;mso-width-relative:page;mso-height-relative:page;" filled="f" stroked="f" coordsize="21600,21600" o:gfxdata="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">
              <v:fill on="f" focussize="0,0"/>
              <v:stroke on="f" weight="0.5pt"/>
              <v:imagedata o:title=""/>
              <o:lock v:ext="edit" aspectratio="f"/>
              <v:textbox inset="0mm,0mm,0mm,0mm">
                <w:txbxContent>
                  <w:p w14:paraId="0CEE5412">
                    <w:pPr>
                      <w:pStyle w:val="29"/>
                    </w:pPr>
                    <w:r>
                      <w:fldChar w:fldCharType="begin"/>
                    </w:r>
                    <w:r>
                      <w:instrText xml:space="preserve"> PAGE  \* MERGEFORMAT </w:instrText>
                    </w:r>
                    <w:r>
                      <w:fldChar w:fldCharType="separate"/>
                    </w:r>
                    <w:r>
                      <w:t>1</w:t>
                    </w:r>
                    <w:r>
                      <w:fldChar w:fldCharType="end"/>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F8703600"/>
    <w:multiLevelType w:val="multilevel"/>
    <w:tmpl w:val="F8703600"/>
    <w:lvl w:ilvl="0" w:tentative="0">
      <w:start w:val="4"/>
      <w:numFmt w:val="chineseCounting"/>
      <w:suff w:val="space"/>
      <w:lvlText w:val="第%1章"/>
      <w:lvlJc w:val="left"/>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cumentProtection w:enforcement="0"/>
  <w:defaultTabStop w:val="420"/>
  <w:characterSpacingControl w:val="doNotCompress"/>
  <w:compat>
    <w:balanceSingleByteDoubleByteWidth/>
    <w:ulTrailSpac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D463D17"/>
    <w:rsid w:val="23FA1045"/>
    <w:rsid w:val="36BD137C"/>
    <w:rsid w:val="3A773EAF"/>
    <w:rsid w:val="3C9D72F8"/>
    <w:rsid w:val="60F777EE"/>
    <w:rsid w:val="627F240A"/>
    <w:rsid w:val="67380215"/>
    <w:rsid w:val="71390ECE"/>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name="heading 3"/>
    <w:lsdException w:qFormat="1" w:uiPriority="0" w:name="heading 4"/>
    <w:lsdException w:qFormat="1" w:uiPriority="9" w:semiHidden="0" w:name="heading 5"/>
    <w:lsdException w:qFormat="1" w:uiPriority="9" w:semiHidden="0" w:name="heading 6"/>
    <w:lsdException w:qFormat="1" w:uiPriority="9" w:semiHidden="0" w:name="heading 7"/>
    <w:lsdException w:qFormat="1" w:uiPriority="9" w:semiHidden="0" w:name="heading 8"/>
    <w:lsdException w:qFormat="1" w:uiPriority="9" w:semiHidden="0" w:name="heading 9"/>
    <w:lsdException w:uiPriority="99" w:name="index 1"/>
    <w:lsdException w:uiPriority="99" w:name="index 2"/>
    <w:lsdException w:uiPriority="99" w:name="index 3"/>
    <w:lsdException w:qFormat="1" w:unhideWhenUsed="0" w:uiPriority="0" w:semiHidden="0"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uiPriority="39" w:semiHidden="0" w:name="toc 5"/>
    <w:lsdException w:qFormat="1" w:uiPriority="39" w:semiHidden="0" w:name="toc 6"/>
    <w:lsdException w:qFormat="1" w:uiPriority="39" w:semiHidden="0" w:name="toc 7"/>
    <w:lsdException w:uiPriority="39" w:semiHidden="0" w:name="toc 8"/>
    <w:lsdException w:qFormat="1" w:uiPriority="39" w:semiHidden="0" w:name="toc 9"/>
    <w:lsdException w:qFormat="1" w:unhideWhenUsed="0" w:uiPriority="0" w:semiHidden="0" w:name="Normal Indent"/>
    <w:lsdException w:qFormat="1" w:uiPriority="99"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iPriority="99" w:name="index heading"/>
    <w:lsdException w:qFormat="1" w:uiPriority="35" w:name="caption"/>
    <w:lsdException w:qFormat="1" w:uiPriority="99" w:semiHidden="0" w:name="table of figures"/>
    <w:lsdException w:uiPriority="99" w:name="envelope address"/>
    <w:lsdException w:qFormat="1" w:unhideWhenUsed="0" w:uiPriority="0" w:semiHidden="0" w:name="envelope return"/>
    <w:lsdException w:qFormat="1" w:uiPriority="99" w:semiHidden="0" w:name="footnote reference"/>
    <w:lsdException w:uiPriority="99" w:name="annotation reference"/>
    <w:lsdException w:uiPriority="99" w:name="line number"/>
    <w:lsdException w:uiPriority="99" w:name="page number"/>
    <w:lsdException w:qFormat="1" w:uiPriority="99" w:name="endnote reference"/>
    <w:lsdException w:qFormat="1"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nhideWhenUsed="0" w:uiPriority="0" w:name="Default Paragraph Font"/>
    <w:lsdException w:qFormat="1" w:unhideWhenUsed="0"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qFormat="1" w:unhideWhenUsed="0" w:uiPriority="0" w:semiHidden="0" w:name="Body Text First Indent"/>
    <w:lsdException w:qFormat="1" w:unhideWhenUsed="0" w:uiPriority="0" w:semiHidden="0" w:name="Body Text First Indent 2"/>
    <w:lsdException w:qFormat="1" w:unhideWhenUsed="0" w:uiPriority="0" w:semiHidden="0" w:name="Note Heading"/>
    <w:lsdException w:qFormat="1" w:unhideWhenUsed="0" w:uiPriority="0" w:semiHidden="0" w:name="Body Text 2"/>
    <w:lsdException w:uiPriority="99" w:name="Body Text 3"/>
    <w:lsdException w:qFormat="1" w:unhideWhenUsed="0" w:uiPriority="0" w:semiHidden="0" w:name="Body Text Indent 2"/>
    <w:lsdException w:uiPriority="99" w:name="Body Text Indent 3"/>
    <w:lsdException w:qFormat="1" w:unhideWhenUsed="0" w:uiPriority="0" w:semiHidden="0" w:name="Block Text"/>
    <w:lsdException w:qFormat="1" w:unhideWhenUsed="0" w:uiPriority="0" w:semiHidden="0" w:name="Hyperlink"/>
    <w:lsdException w:uiPriority="99" w:name="FollowedHyperlink"/>
    <w:lsdException w:qFormat="1" w:unhideWhenUsed="0" w:uiPriority="0" w:semiHidden="0" w:name="Strong"/>
    <w:lsdException w:qFormat="1" w:unhideWhenUsed="0" w:uiPriority="20" w:semiHidden="0" w:name="Emphasis"/>
    <w:lsdException w:uiPriority="99" w:name="Document Map"/>
    <w:lsdException w:qFormat="1" w:unhideWhenUsed="0" w:uiPriority="0" w:semiHidden="0"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nhideWhenUsed="0" w:uiPriority="0"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semiHidden="0" w:name="Balloon Text"/>
    <w:lsdException w:qFormat="1" w:unhideWhenUsed="0" w:uiPriority="0"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hint="default" w:ascii="Times New Roman" w:hAnsi="Times New Roman" w:eastAsia="宋体" w:cs="Times New Roman"/>
      <w:sz w:val="21"/>
      <w:szCs w:val="24"/>
      <w:lang w:val="en-US" w:eastAsia="zh-CN" w:bidi="ar-SA"/>
    </w:rPr>
  </w:style>
  <w:style w:type="paragraph" w:styleId="2">
    <w:name w:val="heading 1"/>
    <w:basedOn w:val="1"/>
    <w:next w:val="1"/>
    <w:qFormat/>
    <w:uiPriority w:val="0"/>
    <w:pPr>
      <w:keepNext/>
      <w:keepLines/>
      <w:spacing w:beforeAutospacing="0" w:afterAutospacing="0" w:line="420" w:lineRule="auto"/>
      <w:jc w:val="center"/>
      <w:outlineLvl w:val="0"/>
    </w:pPr>
    <w:rPr>
      <w:b/>
      <w:sz w:val="36"/>
    </w:rPr>
  </w:style>
  <w:style w:type="paragraph" w:styleId="3">
    <w:name w:val="heading 2"/>
    <w:basedOn w:val="1"/>
    <w:next w:val="4"/>
    <w:link w:val="214"/>
    <w:unhideWhenUsed/>
    <w:qFormat/>
    <w:uiPriority w:val="0"/>
    <w:pPr>
      <w:widowControl/>
      <w:spacing w:beforeAutospacing="0" w:afterAutospacing="0" w:line="420" w:lineRule="auto"/>
      <w:ind w:left="210"/>
      <w:jc w:val="left"/>
      <w:outlineLvl w:val="1"/>
    </w:pPr>
    <w:rPr>
      <w:rFonts w:ascii="宋体" w:hAnsi="宋体" w:cs="宋体"/>
      <w:b/>
      <w:bCs/>
      <w:sz w:val="24"/>
      <w:szCs w:val="36"/>
    </w:rPr>
  </w:style>
  <w:style w:type="paragraph" w:styleId="5">
    <w:name w:val="heading 3"/>
    <w:basedOn w:val="1"/>
    <w:next w:val="1"/>
    <w:link w:val="215"/>
    <w:semiHidden/>
    <w:unhideWhenUsed/>
    <w:qFormat/>
    <w:uiPriority w:val="0"/>
    <w:pPr>
      <w:keepNext/>
      <w:keepLines/>
      <w:spacing w:line="360" w:lineRule="auto"/>
      <w:ind w:left="420"/>
      <w:jc w:val="left"/>
      <w:outlineLvl w:val="2"/>
    </w:pPr>
    <w:rPr>
      <w:rFonts w:ascii="Arial" w:hAnsi="Arial" w:eastAsia="宋体" w:cs="Arial"/>
      <w:b/>
      <w:sz w:val="22"/>
      <w:szCs w:val="30"/>
    </w:rPr>
  </w:style>
  <w:style w:type="paragraph" w:styleId="6">
    <w:name w:val="heading 4"/>
    <w:basedOn w:val="1"/>
    <w:next w:val="1"/>
    <w:semiHidden/>
    <w:unhideWhenUsed/>
    <w:qFormat/>
    <w:uiPriority w:val="0"/>
    <w:pPr>
      <w:keepNext/>
      <w:keepLines/>
      <w:spacing w:beforeAutospacing="0" w:afterAutospacing="0" w:line="360" w:lineRule="auto"/>
      <w:jc w:val="center"/>
      <w:outlineLvl w:val="3"/>
    </w:pPr>
    <w:rPr>
      <w:rFonts w:ascii="Arial" w:hAnsi="Arial"/>
      <w:b/>
      <w:sz w:val="24"/>
    </w:rPr>
  </w:style>
  <w:style w:type="paragraph" w:styleId="7">
    <w:name w:val="heading 5"/>
    <w:basedOn w:val="1"/>
    <w:next w:val="1"/>
    <w:link w:val="53"/>
    <w:unhideWhenUsed/>
    <w:qFormat/>
    <w:uiPriority w:val="9"/>
    <w:pPr>
      <w:keepNext/>
      <w:keepLines/>
      <w:spacing w:before="320" w:after="200"/>
      <w:outlineLvl w:val="4"/>
    </w:pPr>
    <w:rPr>
      <w:rFonts w:ascii="Arial" w:hAnsi="Arial" w:eastAsia="Arial" w:cs="Arial"/>
      <w:b/>
      <w:bCs/>
      <w:sz w:val="24"/>
      <w:szCs w:val="24"/>
    </w:rPr>
  </w:style>
  <w:style w:type="paragraph" w:styleId="8">
    <w:name w:val="heading 6"/>
    <w:basedOn w:val="1"/>
    <w:next w:val="1"/>
    <w:link w:val="54"/>
    <w:unhideWhenUsed/>
    <w:qFormat/>
    <w:uiPriority w:val="9"/>
    <w:pPr>
      <w:keepNext/>
      <w:keepLines/>
      <w:spacing w:before="320" w:after="200"/>
      <w:outlineLvl w:val="5"/>
    </w:pPr>
    <w:rPr>
      <w:rFonts w:ascii="Arial" w:hAnsi="Arial" w:eastAsia="Arial" w:cs="Arial"/>
      <w:b/>
      <w:bCs/>
      <w:sz w:val="22"/>
      <w:szCs w:val="22"/>
    </w:rPr>
  </w:style>
  <w:style w:type="paragraph" w:styleId="9">
    <w:name w:val="heading 7"/>
    <w:basedOn w:val="1"/>
    <w:next w:val="1"/>
    <w:link w:val="55"/>
    <w:unhideWhenUsed/>
    <w:qFormat/>
    <w:uiPriority w:val="9"/>
    <w:pPr>
      <w:keepNext/>
      <w:keepLines/>
      <w:spacing w:before="320" w:after="200"/>
      <w:outlineLvl w:val="6"/>
    </w:pPr>
    <w:rPr>
      <w:rFonts w:ascii="Arial" w:hAnsi="Arial" w:eastAsia="Arial" w:cs="Arial"/>
      <w:b/>
      <w:bCs/>
      <w:i/>
      <w:iCs/>
      <w:sz w:val="22"/>
      <w:szCs w:val="22"/>
    </w:rPr>
  </w:style>
  <w:style w:type="paragraph" w:styleId="10">
    <w:name w:val="heading 8"/>
    <w:basedOn w:val="1"/>
    <w:next w:val="1"/>
    <w:link w:val="56"/>
    <w:unhideWhenUsed/>
    <w:qFormat/>
    <w:uiPriority w:val="9"/>
    <w:pPr>
      <w:keepNext/>
      <w:keepLines/>
      <w:spacing w:before="320" w:after="200"/>
      <w:outlineLvl w:val="7"/>
    </w:pPr>
    <w:rPr>
      <w:rFonts w:ascii="Arial" w:hAnsi="Arial" w:eastAsia="Arial" w:cs="Arial"/>
      <w:i/>
      <w:iCs/>
      <w:sz w:val="22"/>
      <w:szCs w:val="22"/>
    </w:rPr>
  </w:style>
  <w:style w:type="paragraph" w:styleId="11">
    <w:name w:val="heading 9"/>
    <w:basedOn w:val="1"/>
    <w:next w:val="1"/>
    <w:link w:val="57"/>
    <w:unhideWhenUsed/>
    <w:qFormat/>
    <w:uiPriority w:val="9"/>
    <w:pPr>
      <w:keepNext/>
      <w:keepLines/>
      <w:spacing w:before="320" w:after="200"/>
      <w:outlineLvl w:val="8"/>
    </w:pPr>
    <w:rPr>
      <w:rFonts w:ascii="Arial" w:hAnsi="Arial" w:eastAsia="Arial" w:cs="Arial"/>
      <w:i/>
      <w:iCs/>
      <w:sz w:val="21"/>
      <w:szCs w:val="21"/>
    </w:rPr>
  </w:style>
  <w:style w:type="character" w:default="1" w:styleId="44">
    <w:name w:val="Default Paragraph Font"/>
    <w:semiHidden/>
    <w:qFormat/>
    <w:uiPriority w:val="0"/>
  </w:style>
  <w:style w:type="table" w:default="1" w:styleId="42">
    <w:name w:val="Normal Table"/>
    <w:semiHidden/>
    <w:qFormat/>
    <w:uiPriority w:val="0"/>
    <w:tblPr>
      <w:tblCellMar>
        <w:top w:w="0" w:type="dxa"/>
        <w:left w:w="108" w:type="dxa"/>
        <w:bottom w:w="0" w:type="dxa"/>
        <w:right w:w="108" w:type="dxa"/>
      </w:tblCellMar>
    </w:tblPr>
  </w:style>
  <w:style w:type="paragraph" w:styleId="4">
    <w:name w:val="Normal Indent"/>
    <w:basedOn w:val="1"/>
    <w:link w:val="220"/>
    <w:qFormat/>
    <w:uiPriority w:val="0"/>
    <w:pPr>
      <w:ind w:firstLine="420"/>
    </w:pPr>
    <w:rPr>
      <w:rFonts w:eastAsia="仿宋"/>
    </w:rPr>
  </w:style>
  <w:style w:type="paragraph" w:styleId="12">
    <w:name w:val="toc 7"/>
    <w:basedOn w:val="1"/>
    <w:next w:val="1"/>
    <w:unhideWhenUsed/>
    <w:qFormat/>
    <w:uiPriority w:val="39"/>
    <w:pPr>
      <w:spacing w:after="57"/>
      <w:ind w:left="1701" w:right="0" w:firstLine="0"/>
    </w:pPr>
  </w:style>
  <w:style w:type="paragraph" w:styleId="13">
    <w:name w:val="Note Heading"/>
    <w:basedOn w:val="1"/>
    <w:next w:val="1"/>
    <w:qFormat/>
    <w:uiPriority w:val="0"/>
    <w:rPr>
      <w:rFonts w:ascii="Verdana" w:hAnsi="Verdana"/>
      <w:szCs w:val="20"/>
    </w:rPr>
  </w:style>
  <w:style w:type="paragraph" w:styleId="14">
    <w:name w:val="caption"/>
    <w:basedOn w:val="1"/>
    <w:next w:val="1"/>
    <w:semiHidden/>
    <w:unhideWhenUsed/>
    <w:qFormat/>
    <w:uiPriority w:val="35"/>
    <w:pPr>
      <w:spacing w:line="276" w:lineRule="auto"/>
    </w:pPr>
    <w:rPr>
      <w:b/>
      <w:bCs/>
      <w:color w:val="4874CB" w:themeColor="accent1"/>
      <w:sz w:val="18"/>
      <w:szCs w:val="18"/>
      <w14:textFill>
        <w14:solidFill>
          <w14:schemeClr w14:val="accent1"/>
        </w14:solidFill>
      </w14:textFill>
    </w:rPr>
  </w:style>
  <w:style w:type="paragraph" w:styleId="15">
    <w:name w:val="annotation text"/>
    <w:basedOn w:val="1"/>
    <w:qFormat/>
    <w:uiPriority w:val="0"/>
    <w:pPr>
      <w:jc w:val="left"/>
    </w:pPr>
  </w:style>
  <w:style w:type="paragraph" w:styleId="16">
    <w:name w:val="Body Text"/>
    <w:basedOn w:val="1"/>
    <w:next w:val="17"/>
    <w:link w:val="219"/>
    <w:qFormat/>
    <w:uiPriority w:val="0"/>
    <w:rPr>
      <w:rFonts w:ascii="楷体_GB2312" w:hAnsi="Arial" w:eastAsia="楷体_GB2312"/>
      <w:sz w:val="28"/>
      <w:szCs w:val="20"/>
    </w:rPr>
  </w:style>
  <w:style w:type="paragraph" w:styleId="17">
    <w:name w:val="Body Text First Indent"/>
    <w:basedOn w:val="16"/>
    <w:next w:val="18"/>
    <w:qFormat/>
    <w:uiPriority w:val="0"/>
    <w:pPr>
      <w:ind w:firstLine="100"/>
    </w:pPr>
  </w:style>
  <w:style w:type="paragraph" w:styleId="18">
    <w:name w:val="Body Text First Indent 2"/>
    <w:basedOn w:val="19"/>
    <w:next w:val="1"/>
    <w:qFormat/>
    <w:uiPriority w:val="0"/>
    <w:pPr>
      <w:ind w:firstLine="200"/>
    </w:pPr>
  </w:style>
  <w:style w:type="paragraph" w:styleId="19">
    <w:name w:val="Body Text Indent"/>
    <w:basedOn w:val="1"/>
    <w:next w:val="1"/>
    <w:qFormat/>
    <w:uiPriority w:val="0"/>
    <w:pPr>
      <w:spacing w:line="500" w:lineRule="exact"/>
      <w:ind w:firstLine="482"/>
    </w:pPr>
    <w:rPr>
      <w:sz w:val="24"/>
    </w:rPr>
  </w:style>
  <w:style w:type="paragraph" w:styleId="20">
    <w:name w:val="Block Text"/>
    <w:basedOn w:val="1"/>
    <w:qFormat/>
    <w:uiPriority w:val="0"/>
    <w:pPr>
      <w:spacing w:line="312" w:lineRule="atLeast"/>
      <w:ind w:left="525" w:right="-1" w:firstLine="525"/>
    </w:pPr>
    <w:rPr>
      <w:sz w:val="28"/>
      <w:szCs w:val="28"/>
    </w:rPr>
  </w:style>
  <w:style w:type="paragraph" w:styleId="21">
    <w:name w:val="index 4"/>
    <w:basedOn w:val="1"/>
    <w:next w:val="1"/>
    <w:qFormat/>
    <w:uiPriority w:val="0"/>
    <w:pPr>
      <w:ind w:left="600"/>
    </w:pPr>
  </w:style>
  <w:style w:type="paragraph" w:styleId="22">
    <w:name w:val="toc 5"/>
    <w:basedOn w:val="1"/>
    <w:next w:val="1"/>
    <w:unhideWhenUsed/>
    <w:uiPriority w:val="39"/>
    <w:pPr>
      <w:spacing w:after="57"/>
      <w:ind w:left="1134" w:right="0" w:firstLine="0"/>
    </w:pPr>
  </w:style>
  <w:style w:type="paragraph" w:styleId="23">
    <w:name w:val="toc 3"/>
    <w:basedOn w:val="1"/>
    <w:next w:val="1"/>
    <w:unhideWhenUsed/>
    <w:qFormat/>
    <w:uiPriority w:val="39"/>
    <w:pPr>
      <w:spacing w:after="57"/>
      <w:ind w:left="567" w:right="0" w:firstLine="0"/>
    </w:pPr>
  </w:style>
  <w:style w:type="paragraph" w:styleId="24">
    <w:name w:val="Plain Text"/>
    <w:basedOn w:val="1"/>
    <w:link w:val="205"/>
    <w:qFormat/>
    <w:uiPriority w:val="0"/>
    <w:rPr>
      <w:rFonts w:ascii="宋体" w:hAnsi="Courier New"/>
      <w:szCs w:val="20"/>
    </w:rPr>
  </w:style>
  <w:style w:type="paragraph" w:styleId="25">
    <w:name w:val="toc 8"/>
    <w:basedOn w:val="1"/>
    <w:next w:val="1"/>
    <w:unhideWhenUsed/>
    <w:uiPriority w:val="39"/>
    <w:pPr>
      <w:spacing w:after="57"/>
      <w:ind w:left="1984" w:right="0" w:firstLine="0"/>
    </w:pPr>
  </w:style>
  <w:style w:type="paragraph" w:styleId="26">
    <w:name w:val="Body Text Indent 2"/>
    <w:basedOn w:val="1"/>
    <w:qFormat/>
    <w:uiPriority w:val="0"/>
    <w:pPr>
      <w:spacing w:after="120" w:line="480" w:lineRule="auto"/>
      <w:ind w:left="420"/>
    </w:pPr>
  </w:style>
  <w:style w:type="paragraph" w:styleId="27">
    <w:name w:val="endnote text"/>
    <w:basedOn w:val="1"/>
    <w:link w:val="194"/>
    <w:semiHidden/>
    <w:unhideWhenUsed/>
    <w:qFormat/>
    <w:uiPriority w:val="99"/>
    <w:pPr>
      <w:spacing w:after="0" w:line="240" w:lineRule="auto"/>
    </w:pPr>
    <w:rPr>
      <w:sz w:val="20"/>
    </w:rPr>
  </w:style>
  <w:style w:type="paragraph" w:styleId="28">
    <w:name w:val="Balloon Text"/>
    <w:basedOn w:val="1"/>
    <w:link w:val="207"/>
    <w:qFormat/>
    <w:uiPriority w:val="0"/>
    <w:rPr>
      <w:sz w:val="18"/>
      <w:szCs w:val="18"/>
    </w:rPr>
  </w:style>
  <w:style w:type="paragraph" w:styleId="29">
    <w:name w:val="footer"/>
    <w:basedOn w:val="1"/>
    <w:link w:val="204"/>
    <w:qFormat/>
    <w:uiPriority w:val="0"/>
    <w:pPr>
      <w:tabs>
        <w:tab w:val="center" w:pos="4153"/>
        <w:tab w:val="right" w:pos="8306"/>
      </w:tabs>
      <w:jc w:val="left"/>
    </w:pPr>
    <w:rPr>
      <w:sz w:val="18"/>
      <w:szCs w:val="18"/>
    </w:rPr>
  </w:style>
  <w:style w:type="paragraph" w:styleId="30">
    <w:name w:val="envelope return"/>
    <w:basedOn w:val="1"/>
    <w:qFormat/>
    <w:uiPriority w:val="0"/>
    <w:rPr>
      <w:rFonts w:ascii="Arial" w:hAnsi="Arial"/>
    </w:rPr>
  </w:style>
  <w:style w:type="paragraph" w:styleId="31">
    <w:name w:val="header"/>
    <w:basedOn w:val="1"/>
    <w:link w:val="203"/>
    <w:qFormat/>
    <w:uiPriority w:val="0"/>
    <w:pPr>
      <w:tabs>
        <w:tab w:val="center" w:pos="4153"/>
        <w:tab w:val="right" w:pos="8306"/>
      </w:tabs>
      <w:jc w:val="center"/>
    </w:pPr>
    <w:rPr>
      <w:sz w:val="18"/>
      <w:szCs w:val="18"/>
    </w:rPr>
  </w:style>
  <w:style w:type="paragraph" w:styleId="32">
    <w:name w:val="toc 1"/>
    <w:basedOn w:val="1"/>
    <w:next w:val="1"/>
    <w:unhideWhenUsed/>
    <w:qFormat/>
    <w:uiPriority w:val="39"/>
    <w:pPr>
      <w:spacing w:after="57"/>
      <w:ind w:left="0" w:right="0" w:firstLine="0"/>
    </w:pPr>
  </w:style>
  <w:style w:type="paragraph" w:styleId="33">
    <w:name w:val="toc 4"/>
    <w:basedOn w:val="1"/>
    <w:next w:val="1"/>
    <w:unhideWhenUsed/>
    <w:qFormat/>
    <w:uiPriority w:val="39"/>
    <w:pPr>
      <w:spacing w:after="57"/>
      <w:ind w:left="850" w:right="0" w:firstLine="0"/>
    </w:pPr>
  </w:style>
  <w:style w:type="paragraph" w:styleId="34">
    <w:name w:val="Subtitle"/>
    <w:basedOn w:val="1"/>
    <w:next w:val="1"/>
    <w:link w:val="60"/>
    <w:qFormat/>
    <w:uiPriority w:val="11"/>
    <w:pPr>
      <w:spacing w:before="200" w:after="200"/>
    </w:pPr>
    <w:rPr>
      <w:sz w:val="24"/>
      <w:szCs w:val="24"/>
    </w:rPr>
  </w:style>
  <w:style w:type="paragraph" w:styleId="35">
    <w:name w:val="footnote text"/>
    <w:basedOn w:val="1"/>
    <w:link w:val="193"/>
    <w:semiHidden/>
    <w:unhideWhenUsed/>
    <w:qFormat/>
    <w:uiPriority w:val="99"/>
    <w:pPr>
      <w:spacing w:after="40" w:line="240" w:lineRule="auto"/>
    </w:pPr>
    <w:rPr>
      <w:sz w:val="18"/>
    </w:rPr>
  </w:style>
  <w:style w:type="paragraph" w:styleId="36">
    <w:name w:val="toc 6"/>
    <w:basedOn w:val="1"/>
    <w:next w:val="1"/>
    <w:unhideWhenUsed/>
    <w:qFormat/>
    <w:uiPriority w:val="39"/>
    <w:pPr>
      <w:spacing w:after="57"/>
      <w:ind w:left="1417" w:right="0" w:firstLine="0"/>
    </w:pPr>
  </w:style>
  <w:style w:type="paragraph" w:styleId="37">
    <w:name w:val="table of figures"/>
    <w:basedOn w:val="1"/>
    <w:next w:val="1"/>
    <w:unhideWhenUsed/>
    <w:qFormat/>
    <w:uiPriority w:val="99"/>
    <w:pPr>
      <w:spacing w:after="0" w:afterAutospacing="0"/>
    </w:pPr>
  </w:style>
  <w:style w:type="paragraph" w:styleId="38">
    <w:name w:val="toc 2"/>
    <w:basedOn w:val="1"/>
    <w:next w:val="1"/>
    <w:unhideWhenUsed/>
    <w:qFormat/>
    <w:uiPriority w:val="39"/>
    <w:pPr>
      <w:spacing w:after="57"/>
      <w:ind w:left="283" w:right="0" w:firstLine="0"/>
    </w:pPr>
  </w:style>
  <w:style w:type="paragraph" w:styleId="39">
    <w:name w:val="toc 9"/>
    <w:basedOn w:val="1"/>
    <w:next w:val="1"/>
    <w:unhideWhenUsed/>
    <w:qFormat/>
    <w:uiPriority w:val="39"/>
    <w:pPr>
      <w:spacing w:after="57"/>
      <w:ind w:left="2268" w:right="0" w:firstLine="0"/>
    </w:pPr>
  </w:style>
  <w:style w:type="paragraph" w:styleId="40">
    <w:name w:val="Body Text 2"/>
    <w:basedOn w:val="1"/>
    <w:qFormat/>
    <w:uiPriority w:val="0"/>
    <w:pPr>
      <w:spacing w:after="120" w:line="480" w:lineRule="auto"/>
    </w:pPr>
  </w:style>
  <w:style w:type="paragraph" w:styleId="41">
    <w:name w:val="Title"/>
    <w:basedOn w:val="1"/>
    <w:next w:val="1"/>
    <w:link w:val="59"/>
    <w:qFormat/>
    <w:uiPriority w:val="10"/>
    <w:pPr>
      <w:spacing w:before="300" w:after="200"/>
      <w:contextualSpacing/>
    </w:pPr>
    <w:rPr>
      <w:sz w:val="48"/>
      <w:szCs w:val="48"/>
    </w:rPr>
  </w:style>
  <w:style w:type="table" w:styleId="43">
    <w:name w:val="Table Grid"/>
    <w:qFormat/>
    <w:uiPriority w:val="0"/>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45">
    <w:name w:val="Strong"/>
    <w:basedOn w:val="44"/>
    <w:qFormat/>
    <w:uiPriority w:val="0"/>
    <w:rPr>
      <w:rFonts w:ascii="Times New Roman" w:hAnsi="Times New Roman" w:eastAsia="宋体" w:cs="Times New Roman"/>
      <w:b/>
    </w:rPr>
  </w:style>
  <w:style w:type="character" w:styleId="46">
    <w:name w:val="endnote reference"/>
    <w:basedOn w:val="44"/>
    <w:semiHidden/>
    <w:unhideWhenUsed/>
    <w:qFormat/>
    <w:uiPriority w:val="99"/>
    <w:rPr>
      <w:vertAlign w:val="superscript"/>
    </w:rPr>
  </w:style>
  <w:style w:type="character" w:styleId="47">
    <w:name w:val="Hyperlink"/>
    <w:qFormat/>
    <w:uiPriority w:val="0"/>
    <w:rPr>
      <w:color w:val="0026E5" w:themeColor="hyperlink"/>
      <w:u w:val="single"/>
      <w14:textFill>
        <w14:solidFill>
          <w14:schemeClr w14:val="hlink"/>
        </w14:solidFill>
      </w14:textFill>
    </w:rPr>
  </w:style>
  <w:style w:type="character" w:styleId="48">
    <w:name w:val="footnote reference"/>
    <w:basedOn w:val="44"/>
    <w:unhideWhenUsed/>
    <w:qFormat/>
    <w:uiPriority w:val="99"/>
    <w:rPr>
      <w:vertAlign w:val="superscript"/>
    </w:rPr>
  </w:style>
  <w:style w:type="character" w:customStyle="1" w:styleId="49">
    <w:name w:val="Heading 1 Char"/>
    <w:basedOn w:val="44"/>
    <w:qFormat/>
    <w:uiPriority w:val="9"/>
    <w:rPr>
      <w:rFonts w:ascii="Arial" w:hAnsi="Arial" w:eastAsia="Arial" w:cs="Arial"/>
      <w:sz w:val="40"/>
      <w:szCs w:val="40"/>
    </w:rPr>
  </w:style>
  <w:style w:type="character" w:customStyle="1" w:styleId="50">
    <w:name w:val="Heading 2 Char"/>
    <w:basedOn w:val="44"/>
    <w:qFormat/>
    <w:uiPriority w:val="9"/>
    <w:rPr>
      <w:rFonts w:ascii="Arial" w:hAnsi="Arial" w:eastAsia="Arial" w:cs="Arial"/>
      <w:sz w:val="34"/>
    </w:rPr>
  </w:style>
  <w:style w:type="character" w:customStyle="1" w:styleId="51">
    <w:name w:val="Heading 3 Char"/>
    <w:basedOn w:val="44"/>
    <w:qFormat/>
    <w:uiPriority w:val="9"/>
    <w:rPr>
      <w:rFonts w:ascii="Arial" w:hAnsi="Arial" w:eastAsia="Arial" w:cs="Arial"/>
      <w:sz w:val="30"/>
      <w:szCs w:val="30"/>
    </w:rPr>
  </w:style>
  <w:style w:type="character" w:customStyle="1" w:styleId="52">
    <w:name w:val="Heading 4 Char"/>
    <w:basedOn w:val="44"/>
    <w:qFormat/>
    <w:uiPriority w:val="9"/>
    <w:rPr>
      <w:rFonts w:ascii="Arial" w:hAnsi="Arial" w:eastAsia="Arial" w:cs="Arial"/>
      <w:b/>
      <w:bCs/>
      <w:sz w:val="26"/>
      <w:szCs w:val="26"/>
    </w:rPr>
  </w:style>
  <w:style w:type="character" w:customStyle="1" w:styleId="53">
    <w:name w:val="Heading 5 Char"/>
    <w:basedOn w:val="44"/>
    <w:link w:val="7"/>
    <w:qFormat/>
    <w:uiPriority w:val="9"/>
    <w:rPr>
      <w:rFonts w:ascii="Arial" w:hAnsi="Arial" w:eastAsia="Arial" w:cs="Arial"/>
      <w:b/>
      <w:bCs/>
      <w:sz w:val="24"/>
      <w:szCs w:val="24"/>
    </w:rPr>
  </w:style>
  <w:style w:type="character" w:customStyle="1" w:styleId="54">
    <w:name w:val="Heading 6 Char"/>
    <w:basedOn w:val="44"/>
    <w:link w:val="8"/>
    <w:qFormat/>
    <w:uiPriority w:val="9"/>
    <w:rPr>
      <w:rFonts w:ascii="Arial" w:hAnsi="Arial" w:eastAsia="Arial" w:cs="Arial"/>
      <w:b/>
      <w:bCs/>
      <w:sz w:val="22"/>
      <w:szCs w:val="22"/>
    </w:rPr>
  </w:style>
  <w:style w:type="character" w:customStyle="1" w:styleId="55">
    <w:name w:val="Heading 7 Char"/>
    <w:basedOn w:val="44"/>
    <w:link w:val="9"/>
    <w:qFormat/>
    <w:uiPriority w:val="9"/>
    <w:rPr>
      <w:rFonts w:ascii="Arial" w:hAnsi="Arial" w:eastAsia="Arial" w:cs="Arial"/>
      <w:b/>
      <w:bCs/>
      <w:i/>
      <w:iCs/>
      <w:sz w:val="22"/>
      <w:szCs w:val="22"/>
    </w:rPr>
  </w:style>
  <w:style w:type="character" w:customStyle="1" w:styleId="56">
    <w:name w:val="Heading 8 Char"/>
    <w:basedOn w:val="44"/>
    <w:link w:val="10"/>
    <w:qFormat/>
    <w:uiPriority w:val="9"/>
    <w:rPr>
      <w:rFonts w:ascii="Arial" w:hAnsi="Arial" w:eastAsia="Arial" w:cs="Arial"/>
      <w:i/>
      <w:iCs/>
      <w:sz w:val="22"/>
      <w:szCs w:val="22"/>
    </w:rPr>
  </w:style>
  <w:style w:type="character" w:customStyle="1" w:styleId="57">
    <w:name w:val="Heading 9 Char"/>
    <w:basedOn w:val="44"/>
    <w:link w:val="11"/>
    <w:qFormat/>
    <w:uiPriority w:val="9"/>
    <w:rPr>
      <w:rFonts w:ascii="Arial" w:hAnsi="Arial" w:eastAsia="Arial" w:cs="Arial"/>
      <w:i/>
      <w:iCs/>
      <w:sz w:val="21"/>
      <w:szCs w:val="21"/>
    </w:rPr>
  </w:style>
  <w:style w:type="paragraph" w:styleId="58">
    <w:name w:val="No Spacing"/>
    <w:qFormat/>
    <w:uiPriority w:val="1"/>
    <w:pPr>
      <w:spacing w:before="0" w:after="0" w:line="240" w:lineRule="auto"/>
    </w:pPr>
    <w:rPr>
      <w:rFonts w:hint="default" w:ascii="Times New Roman" w:hAnsi="Times New Roman" w:eastAsia="宋体" w:cs="Times New Roman"/>
    </w:rPr>
  </w:style>
  <w:style w:type="character" w:customStyle="1" w:styleId="59">
    <w:name w:val="Title Char"/>
    <w:basedOn w:val="44"/>
    <w:link w:val="41"/>
    <w:qFormat/>
    <w:uiPriority w:val="10"/>
    <w:rPr>
      <w:sz w:val="48"/>
      <w:szCs w:val="48"/>
    </w:rPr>
  </w:style>
  <w:style w:type="character" w:customStyle="1" w:styleId="60">
    <w:name w:val="Subtitle Char"/>
    <w:basedOn w:val="44"/>
    <w:link w:val="34"/>
    <w:qFormat/>
    <w:uiPriority w:val="11"/>
    <w:rPr>
      <w:sz w:val="24"/>
      <w:szCs w:val="24"/>
    </w:rPr>
  </w:style>
  <w:style w:type="paragraph" w:styleId="61">
    <w:name w:val="Quote"/>
    <w:basedOn w:val="1"/>
    <w:next w:val="1"/>
    <w:link w:val="62"/>
    <w:qFormat/>
    <w:uiPriority w:val="29"/>
    <w:pPr>
      <w:ind w:left="720" w:right="720"/>
    </w:pPr>
    <w:rPr>
      <w:i/>
    </w:rPr>
  </w:style>
  <w:style w:type="character" w:customStyle="1" w:styleId="62">
    <w:name w:val="Quote Char"/>
    <w:link w:val="61"/>
    <w:qFormat/>
    <w:uiPriority w:val="29"/>
    <w:rPr>
      <w:i/>
    </w:rPr>
  </w:style>
  <w:style w:type="paragraph" w:styleId="63">
    <w:name w:val="Intense Quote"/>
    <w:basedOn w:val="1"/>
    <w:next w:val="1"/>
    <w:link w:val="64"/>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contextualSpacing w:val="0"/>
    </w:pPr>
    <w:rPr>
      <w:i/>
    </w:rPr>
  </w:style>
  <w:style w:type="character" w:customStyle="1" w:styleId="64">
    <w:name w:val="Intense Quote Char"/>
    <w:link w:val="63"/>
    <w:qFormat/>
    <w:uiPriority w:val="30"/>
    <w:rPr>
      <w:i/>
    </w:rPr>
  </w:style>
  <w:style w:type="character" w:customStyle="1" w:styleId="65">
    <w:name w:val="Header Char"/>
    <w:basedOn w:val="44"/>
    <w:qFormat/>
    <w:uiPriority w:val="99"/>
  </w:style>
  <w:style w:type="character" w:customStyle="1" w:styleId="66">
    <w:name w:val="Footer Char"/>
    <w:basedOn w:val="44"/>
    <w:qFormat/>
    <w:uiPriority w:val="99"/>
  </w:style>
  <w:style w:type="character" w:customStyle="1" w:styleId="67">
    <w:name w:val="Caption Char"/>
    <w:qFormat/>
    <w:uiPriority w:val="99"/>
  </w:style>
  <w:style w:type="table" w:customStyle="1" w:styleId="68">
    <w:name w:val="Table Grid Light"/>
    <w:basedOn w:val="42"/>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style>
  <w:style w:type="table" w:customStyle="1" w:styleId="69">
    <w:name w:val="Plain Table 1"/>
    <w:basedOn w:val="42"/>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70">
    <w:name w:val="Plain Table 2"/>
    <w:basedOn w:val="42"/>
    <w:qFormat/>
    <w:uiPriority w:val="59"/>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71">
    <w:name w:val="Plain Table 3"/>
    <w:basedOn w:val="42"/>
    <w:qFormat/>
    <w:uiPriority w:val="99"/>
    <w:pPr>
      <w:spacing w:after="0" w:line="240" w:lineRule="auto"/>
    </w:p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72">
    <w:name w:val="Plain Table 4"/>
    <w:basedOn w:val="42"/>
    <w:qFormat/>
    <w:uiPriority w:val="99"/>
    <w:pPr>
      <w:spacing w:after="0" w:line="240" w:lineRule="auto"/>
    </w:p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73">
    <w:name w:val="Plain Table 5"/>
    <w:basedOn w:val="42"/>
    <w:qFormat/>
    <w:uiPriority w:val="99"/>
    <w:pPr>
      <w:spacing w:after="0" w:line="240" w:lineRule="auto"/>
    </w:p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74">
    <w:name w:val="Grid Table 1 Light"/>
    <w:basedOn w:val="42"/>
    <w:qFormat/>
    <w:uiPriority w:val="99"/>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75">
    <w:name w:val="Grid Table 1 Light - Accent 1"/>
    <w:basedOn w:val="42"/>
    <w:qFormat/>
    <w:uiPriority w:val="99"/>
    <w:pPr>
      <w:spacing w:after="0" w:line="240" w:lineRule="auto"/>
    </w:pPr>
    <w:tblPr>
      <w:tbl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insideH w:val="single" w:color="B5C6E9" w:themeColor="accent1" w:themeTint="67" w:sz="4" w:space="0"/>
        <w:insideV w:val="single" w:color="B5C6E9" w:themeColor="accent1" w:themeTint="67" w:sz="4" w:space="0"/>
      </w:tblBorders>
    </w:tblPr>
    <w:tblStylePr w:type="firstRow">
      <w:rPr>
        <w:b/>
        <w:color w:val="404040"/>
      </w:rPr>
      <w:tcPr>
        <w:tcBorders>
          <w:bottom w:val="single" w:color="94ADE0"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tcBorders>
      </w:tcPr>
    </w:tblStylePr>
  </w:style>
  <w:style w:type="table" w:customStyle="1" w:styleId="76">
    <w:name w:val="Grid Table 1 Light - Accent 2"/>
    <w:basedOn w:val="42"/>
    <w:qFormat/>
    <w:uiPriority w:val="99"/>
    <w:pPr>
      <w:spacing w:after="0" w:line="240" w:lineRule="auto"/>
    </w:pPr>
    <w:tblPr>
      <w:tbl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insideH w:val="single" w:color="F8CCAA" w:themeColor="accent2" w:themeTint="67" w:sz="4" w:space="0"/>
        <w:insideV w:val="single" w:color="F8CCAA" w:themeColor="accent2" w:themeTint="67" w:sz="4" w:space="0"/>
      </w:tblBorders>
    </w:tblPr>
    <w:tblStylePr w:type="firstRow">
      <w:rPr>
        <w:b/>
        <w:color w:val="404040"/>
      </w:rPr>
      <w:tcPr>
        <w:tcBorders>
          <w:bottom w:val="single" w:color="F5B585"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tcBorders>
      </w:tcPr>
    </w:tblStylePr>
  </w:style>
  <w:style w:type="table" w:customStyle="1" w:styleId="77">
    <w:name w:val="Grid Table 1 Light - Accent 3"/>
    <w:basedOn w:val="42"/>
    <w:qFormat/>
    <w:uiPriority w:val="99"/>
    <w:pPr>
      <w:spacing w:after="0" w:line="240" w:lineRule="auto"/>
    </w:pPr>
    <w:tblPr>
      <w:tbl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insideH w:val="single" w:color="FEE594" w:themeColor="accent3" w:themeTint="67" w:sz="4" w:space="0"/>
        <w:insideV w:val="single" w:color="FEE594" w:themeColor="accent3" w:themeTint="67" w:sz="4" w:space="0"/>
      </w:tblBorders>
    </w:tblPr>
    <w:tblStylePr w:type="firstRow">
      <w:rPr>
        <w:b/>
        <w:color w:val="404040"/>
      </w:rPr>
      <w:tcPr>
        <w:tcBorders>
          <w:bottom w:val="single" w:color="FDDA64"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tcBorders>
      </w:tcPr>
    </w:tblStylePr>
  </w:style>
  <w:style w:type="table" w:customStyle="1" w:styleId="78">
    <w:name w:val="Grid Table 1 Light - Accent 4"/>
    <w:basedOn w:val="42"/>
    <w:qFormat/>
    <w:uiPriority w:val="99"/>
    <w:pPr>
      <w:spacing w:after="0" w:line="240" w:lineRule="auto"/>
    </w:pPr>
    <w:tblPr>
      <w:tbl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insideH w:val="single" w:color="C7E4B2" w:themeColor="accent4" w:themeTint="67" w:sz="4" w:space="0"/>
        <w:insideV w:val="single" w:color="C7E4B2" w:themeColor="accent4" w:themeTint="67" w:sz="4" w:space="0"/>
      </w:tblBorders>
    </w:tblPr>
    <w:tblStylePr w:type="firstRow">
      <w:rPr>
        <w:b/>
        <w:color w:val="404040"/>
      </w:rPr>
      <w:tcPr>
        <w:tcBorders>
          <w:bottom w:val="single" w:color="AED890"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tcBorders>
      </w:tcPr>
    </w:tblStylePr>
  </w:style>
  <w:style w:type="table" w:customStyle="1" w:styleId="79">
    <w:name w:val="Grid Table 1 Light - Accent 5"/>
    <w:basedOn w:val="42"/>
    <w:qFormat/>
    <w:uiPriority w:val="99"/>
    <w:pPr>
      <w:spacing w:after="0" w:line="240" w:lineRule="auto"/>
    </w:pPr>
    <w:tblPr>
      <w:tbl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insideH w:val="single" w:color="A7E9E3" w:themeColor="accent5" w:themeTint="67" w:sz="4" w:space="0"/>
        <w:insideV w:val="single" w:color="A7E9E3" w:themeColor="accent5" w:themeTint="67" w:sz="4" w:space="0"/>
      </w:tblBorders>
    </w:tblPr>
    <w:tblStylePr w:type="firstRow">
      <w:rPr>
        <w:b/>
        <w:color w:val="404040"/>
      </w:rPr>
      <w:tcPr>
        <w:tcBorders>
          <w:bottom w:val="single" w:color="80DFD7"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tcBorders>
      </w:tcPr>
    </w:tblStylePr>
  </w:style>
  <w:style w:type="table" w:customStyle="1" w:styleId="80">
    <w:name w:val="Grid Table 1 Light - Accent 6"/>
    <w:basedOn w:val="42"/>
    <w:qFormat/>
    <w:uiPriority w:val="99"/>
    <w:pPr>
      <w:spacing w:after="0" w:line="240" w:lineRule="auto"/>
    </w:pPr>
    <w:tblPr>
      <w:tbl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insideH w:val="single" w:color="F4B6BD" w:themeColor="accent6" w:themeTint="67" w:sz="4" w:space="0"/>
        <w:insideV w:val="single" w:color="F4B6BD" w:themeColor="accent6" w:themeTint="67" w:sz="4" w:space="0"/>
      </w:tblBorders>
    </w:tblPr>
    <w:tblStylePr w:type="firstRow">
      <w:rPr>
        <w:b/>
        <w:color w:val="404040"/>
      </w:rPr>
      <w:tcPr>
        <w:tcBorders>
          <w:bottom w:val="single" w:color="EF96A0"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tcBorders>
      </w:tcPr>
    </w:tblStylePr>
  </w:style>
  <w:style w:type="table" w:customStyle="1" w:styleId="81">
    <w:name w:val="Grid Table 2"/>
    <w:basedOn w:val="42"/>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82">
    <w:name w:val="Grid Table 2 - Accent 1"/>
    <w:basedOn w:val="42"/>
    <w:qFormat/>
    <w:uiPriority w:val="99"/>
    <w:pPr>
      <w:spacing w:after="0" w:line="240" w:lineRule="auto"/>
    </w:pPr>
    <w:tblPr>
      <w:tblBorders>
        <w:bottom w:val="single" w:color="577FCF" w:themeColor="accent1" w:themeTint="EA" w:sz="4" w:space="0"/>
        <w:insideH w:val="single" w:color="577FCF" w:themeColor="accent1" w:themeTint="EA" w:sz="4" w:space="0"/>
        <w:insideV w:val="single" w:color="577FCF" w:themeColor="accent1" w:themeTint="EA" w:sz="4" w:space="0"/>
      </w:tblBorders>
    </w:tblPr>
    <w:tblStylePr w:type="firstRow">
      <w:rPr>
        <w:b/>
        <w:color w:val="404040"/>
      </w:rPr>
      <w:tcPr>
        <w:tcBorders>
          <w:top w:val="nil"/>
          <w:left w:val="nil"/>
          <w:bottom w:val="single" w:color="577FCF" w:themeColor="accent1" w:themeTint="EA" w:sz="12" w:space="0"/>
          <w:right w:val="nil"/>
        </w:tcBorders>
        <w:shd w:val="clear" w:color="FFFFFF" w:fill="auto"/>
      </w:tcPr>
    </w:tblStylePr>
    <w:tblStylePr w:type="lastRow">
      <w:rPr>
        <w:b/>
        <w:color w:val="404040"/>
      </w:rPr>
      <w:tcPr>
        <w:tcBorders>
          <w:top w:val="single" w:color="577FCF" w:themeColor="accent1" w:themeTint="E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9E2F4" w:themeColor="accent1" w:themeTint="34" w:fill="D9E2F4" w:themeFill="accent1" w:themeFillTint="34"/>
      </w:tcPr>
    </w:tblStylePr>
    <w:tblStylePr w:type="band1Horz">
      <w:rPr>
        <w:rFonts w:ascii="Arial" w:hAnsi="Arial"/>
        <w:color w:val="404040"/>
        <w:sz w:val="22"/>
      </w:rPr>
      <w:tcPr>
        <w:shd w:val="clear" w:color="D9E2F4" w:themeColor="accent1" w:themeTint="34" w:fill="D9E2F4" w:themeFill="accent1" w:themeFillTint="34"/>
      </w:tcPr>
    </w:tblStylePr>
  </w:style>
  <w:style w:type="table" w:customStyle="1" w:styleId="83">
    <w:name w:val="Grid Table 2 - Accent 2"/>
    <w:basedOn w:val="42"/>
    <w:qFormat/>
    <w:uiPriority w:val="99"/>
    <w:pPr>
      <w:spacing w:after="0" w:line="240" w:lineRule="auto"/>
    </w:pPr>
    <w:tblPr>
      <w:tblBorders>
        <w:bottom w:val="single" w:color="F4B483" w:themeColor="accent2" w:themeTint="97" w:sz="4" w:space="0"/>
        <w:insideH w:val="single" w:color="F4B483" w:themeColor="accent2" w:themeTint="97" w:sz="4" w:space="0"/>
        <w:insideV w:val="single" w:color="F4B483" w:themeColor="accent2" w:themeTint="97" w:sz="4" w:space="0"/>
      </w:tblBorders>
    </w:tblPr>
    <w:tblStylePr w:type="firstRow">
      <w:rPr>
        <w:b/>
        <w:color w:val="404040"/>
      </w:rPr>
      <w:tcPr>
        <w:tcBorders>
          <w:top w:val="nil"/>
          <w:left w:val="nil"/>
          <w:bottom w:val="single" w:color="F4B483" w:themeColor="accent2" w:themeTint="97" w:sz="12" w:space="0"/>
          <w:right w:val="nil"/>
        </w:tcBorders>
        <w:shd w:val="clear" w:color="FFFFFF" w:fill="auto"/>
      </w:tcPr>
    </w:tblStylePr>
    <w:tblStylePr w:type="lastRow">
      <w:rPr>
        <w:b/>
        <w:color w:val="404040"/>
      </w:rPr>
      <w:tcPr>
        <w:tcBorders>
          <w:top w:val="single" w:color="F4B483" w:themeColor="accent2" w:themeTint="97"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BE6D6" w:themeColor="accent2" w:themeTint="32" w:fill="FBE6D6" w:themeFill="accent2" w:themeFillTint="32"/>
      </w:tcPr>
    </w:tblStylePr>
    <w:tblStylePr w:type="band1Horz">
      <w:rPr>
        <w:rFonts w:ascii="Arial" w:hAnsi="Arial"/>
        <w:color w:val="404040"/>
        <w:sz w:val="22"/>
      </w:rPr>
      <w:tcPr>
        <w:shd w:val="clear" w:color="FBE6D6" w:themeColor="accent2" w:themeTint="32" w:fill="FBE6D6" w:themeFill="accent2" w:themeFillTint="32"/>
      </w:tcPr>
    </w:tblStylePr>
  </w:style>
  <w:style w:type="table" w:customStyle="1" w:styleId="84">
    <w:name w:val="Grid Table 2 - Accent 3"/>
    <w:basedOn w:val="42"/>
    <w:qFormat/>
    <w:uiPriority w:val="99"/>
    <w:pPr>
      <w:spacing w:after="0" w:line="240" w:lineRule="auto"/>
    </w:pPr>
    <w:tblPr>
      <w:tblBorders>
        <w:bottom w:val="single" w:color="F3BA02" w:themeColor="accent3" w:themeTint="FE" w:sz="4" w:space="0"/>
        <w:insideH w:val="single" w:color="F3BA02" w:themeColor="accent3" w:themeTint="FE" w:sz="4" w:space="0"/>
        <w:insideV w:val="single" w:color="F3BA02" w:themeColor="accent3" w:themeTint="FE" w:sz="4" w:space="0"/>
      </w:tblBorders>
    </w:tblPr>
    <w:tblStylePr w:type="firstRow">
      <w:rPr>
        <w:b/>
        <w:color w:val="404040"/>
      </w:rPr>
      <w:tcPr>
        <w:tcBorders>
          <w:top w:val="nil"/>
          <w:left w:val="nil"/>
          <w:bottom w:val="single" w:color="F3BA02" w:themeColor="accent3" w:themeTint="FE" w:sz="12" w:space="0"/>
          <w:right w:val="nil"/>
        </w:tcBorders>
        <w:shd w:val="clear" w:color="FFFFFF" w:fill="auto"/>
      </w:tcPr>
    </w:tblStylePr>
    <w:tblStylePr w:type="lastRow">
      <w:rPr>
        <w:b/>
        <w:color w:val="404040"/>
      </w:rPr>
      <w:tcPr>
        <w:tcBorders>
          <w:top w:val="single" w:color="F3BA02" w:themeColor="accent3" w:themeTint="FE"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EF2C9" w:themeColor="accent3" w:themeTint="34" w:fill="FEF2C9" w:themeFill="accent3" w:themeFillTint="34"/>
      </w:tcPr>
    </w:tblStylePr>
    <w:tblStylePr w:type="band1Horz">
      <w:rPr>
        <w:rFonts w:ascii="Arial" w:hAnsi="Arial"/>
        <w:color w:val="404040"/>
        <w:sz w:val="22"/>
      </w:rPr>
      <w:tcPr>
        <w:shd w:val="clear" w:color="FEF2C9" w:themeColor="accent3" w:themeTint="34" w:fill="FEF2C9" w:themeFill="accent3" w:themeFillTint="34"/>
      </w:tcPr>
    </w:tblStylePr>
  </w:style>
  <w:style w:type="table" w:customStyle="1" w:styleId="85">
    <w:name w:val="Grid Table 2 - Accent 4"/>
    <w:basedOn w:val="42"/>
    <w:qFormat/>
    <w:uiPriority w:val="99"/>
    <w:pPr>
      <w:spacing w:after="0" w:line="240" w:lineRule="auto"/>
    </w:pPr>
    <w:tblPr>
      <w:tblBorders>
        <w:bottom w:val="single" w:color="ABD78C" w:themeColor="accent4" w:themeTint="9A" w:sz="4" w:space="0"/>
        <w:insideH w:val="single" w:color="ABD78C" w:themeColor="accent4" w:themeTint="9A" w:sz="4" w:space="0"/>
        <w:insideV w:val="single" w:color="ABD78C" w:themeColor="accent4" w:themeTint="9A" w:sz="4" w:space="0"/>
      </w:tblBorders>
    </w:tblPr>
    <w:tblStylePr w:type="firstRow">
      <w:rPr>
        <w:b/>
        <w:color w:val="404040"/>
      </w:rPr>
      <w:tcPr>
        <w:tcBorders>
          <w:top w:val="nil"/>
          <w:left w:val="nil"/>
          <w:bottom w:val="single" w:color="ABD78C" w:themeColor="accent4" w:themeTint="9A" w:sz="12" w:space="0"/>
          <w:right w:val="nil"/>
        </w:tcBorders>
        <w:shd w:val="clear" w:color="FFFFFF" w:fill="auto"/>
      </w:tcPr>
    </w:tblStylePr>
    <w:tblStylePr w:type="lastRow">
      <w:rPr>
        <w:b/>
        <w:color w:val="404040"/>
      </w:rPr>
      <w:tcPr>
        <w:tcBorders>
          <w:top w:val="single" w:color="ABD78C" w:themeColor="accent4" w:themeTint="9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2F1D8" w:themeColor="accent4" w:themeTint="34" w:fill="E2F1D8" w:themeFill="accent4" w:themeFillTint="34"/>
      </w:tcPr>
    </w:tblStylePr>
    <w:tblStylePr w:type="band1Horz">
      <w:rPr>
        <w:rFonts w:ascii="Arial" w:hAnsi="Arial"/>
        <w:color w:val="404040"/>
        <w:sz w:val="22"/>
      </w:rPr>
      <w:tcPr>
        <w:shd w:val="clear" w:color="E2F1D8" w:themeColor="accent4" w:themeTint="34" w:fill="E2F1D8" w:themeFill="accent4" w:themeFillTint="34"/>
      </w:tcPr>
    </w:tblStylePr>
  </w:style>
  <w:style w:type="table" w:customStyle="1" w:styleId="86">
    <w:name w:val="Grid Table 2 - Accent 5"/>
    <w:basedOn w:val="42"/>
    <w:qFormat/>
    <w:uiPriority w:val="99"/>
    <w:pPr>
      <w:spacing w:after="0" w:line="240" w:lineRule="auto"/>
    </w:pPr>
    <w:tblPr>
      <w:tblBorders>
        <w:bottom w:val="single" w:color="30C0B4" w:themeColor="accent5" w:sz="4" w:space="0"/>
        <w:insideH w:val="single" w:color="30C0B4" w:themeColor="accent5" w:sz="4" w:space="0"/>
        <w:insideV w:val="single" w:color="30C0B4" w:themeColor="accent5" w:sz="4" w:space="0"/>
      </w:tblBorders>
    </w:tblPr>
    <w:tblStylePr w:type="firstRow">
      <w:rPr>
        <w:b/>
        <w:color w:val="404040"/>
      </w:rPr>
      <w:tcPr>
        <w:tcBorders>
          <w:top w:val="nil"/>
          <w:left w:val="nil"/>
          <w:bottom w:val="single" w:color="30C0B4" w:themeColor="accent5" w:sz="12" w:space="0"/>
          <w:right w:val="nil"/>
        </w:tcBorders>
        <w:shd w:val="clear" w:color="FFFFFF" w:fill="auto"/>
      </w:tcPr>
    </w:tblStylePr>
    <w:tblStylePr w:type="lastRow">
      <w:rPr>
        <w:b/>
        <w:color w:val="404040"/>
      </w:rPr>
      <w:tcPr>
        <w:tcBorders>
          <w:top w:val="single" w:color="30C0B4" w:themeColor="accent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2F3F1" w:themeColor="accent5" w:themeTint="34" w:fill="D2F3F1" w:themeFill="accent5" w:themeFillTint="34"/>
      </w:tcPr>
    </w:tblStylePr>
    <w:tblStylePr w:type="band1Horz">
      <w:rPr>
        <w:rFonts w:ascii="Arial" w:hAnsi="Arial"/>
        <w:color w:val="404040"/>
        <w:sz w:val="22"/>
      </w:rPr>
      <w:tcPr>
        <w:shd w:val="clear" w:color="D2F3F1" w:themeColor="accent5" w:themeTint="34" w:fill="D2F3F1" w:themeFill="accent5" w:themeFillTint="34"/>
      </w:tcPr>
    </w:tblStylePr>
  </w:style>
  <w:style w:type="table" w:customStyle="1" w:styleId="87">
    <w:name w:val="Grid Table 2 - Accent 6"/>
    <w:basedOn w:val="42"/>
    <w:qFormat/>
    <w:uiPriority w:val="99"/>
    <w:pPr>
      <w:spacing w:after="0" w:line="240" w:lineRule="auto"/>
    </w:pPr>
    <w:tblPr>
      <w:tblBorders>
        <w:bottom w:val="single" w:color="E54C5E" w:themeColor="accent6" w:sz="4" w:space="0"/>
        <w:insideH w:val="single" w:color="E54C5E" w:themeColor="accent6" w:sz="4" w:space="0"/>
        <w:insideV w:val="single" w:color="E54C5E" w:themeColor="accent6" w:sz="4" w:space="0"/>
      </w:tblBorders>
    </w:tblPr>
    <w:tblStylePr w:type="firstRow">
      <w:rPr>
        <w:b/>
        <w:color w:val="404040"/>
      </w:rPr>
      <w:tcPr>
        <w:tcBorders>
          <w:top w:val="nil"/>
          <w:left w:val="nil"/>
          <w:bottom w:val="single" w:color="E54C5E" w:themeColor="accent6" w:sz="12" w:space="0"/>
          <w:right w:val="nil"/>
        </w:tcBorders>
        <w:shd w:val="clear" w:color="FFFFFF" w:fill="auto"/>
      </w:tcPr>
    </w:tblStylePr>
    <w:tblStylePr w:type="lastRow">
      <w:rPr>
        <w:b/>
        <w:color w:val="404040"/>
      </w:rPr>
      <w:tcPr>
        <w:tcBorders>
          <w:top w:val="single" w:color="E54C5E" w:themeColor="accent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9DADE" w:themeColor="accent6" w:themeTint="34" w:fill="F9DADE" w:themeFill="accent6" w:themeFillTint="34"/>
      </w:tcPr>
    </w:tblStylePr>
    <w:tblStylePr w:type="band1Horz">
      <w:rPr>
        <w:rFonts w:ascii="Arial" w:hAnsi="Arial"/>
        <w:color w:val="404040"/>
        <w:sz w:val="22"/>
      </w:rPr>
      <w:tcPr>
        <w:shd w:val="clear" w:color="F9DADE" w:themeColor="accent6" w:themeTint="34" w:fill="F9DADE" w:themeFill="accent6" w:themeFillTint="34"/>
      </w:tcPr>
    </w:tblStylePr>
  </w:style>
  <w:style w:type="table" w:customStyle="1" w:styleId="88">
    <w:name w:val="Grid Table 3"/>
    <w:basedOn w:val="42"/>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89">
    <w:name w:val="Grid Table 3 - Accent 1"/>
    <w:basedOn w:val="42"/>
    <w:qFormat/>
    <w:uiPriority w:val="99"/>
    <w:pPr>
      <w:spacing w:after="0" w:line="240" w:lineRule="auto"/>
    </w:pPr>
    <w:tblPr>
      <w:tblBorders>
        <w:bottom w:val="single" w:color="577FCF" w:themeColor="accent1" w:themeTint="EA" w:sz="4" w:space="0"/>
        <w:insideH w:val="single" w:color="577FCF" w:themeColor="accent1" w:themeTint="EA" w:sz="4" w:space="0"/>
        <w:insideV w:val="single" w:color="577FCF" w:themeColor="accent1" w:themeTint="E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9E2F4" w:themeColor="accent1" w:themeTint="34" w:fill="D9E2F4" w:themeFill="accent1" w:themeFillTint="34"/>
      </w:tcPr>
    </w:tblStylePr>
    <w:tblStylePr w:type="band1Horz">
      <w:rPr>
        <w:rFonts w:ascii="Arial" w:hAnsi="Arial"/>
        <w:color w:val="404040"/>
        <w:sz w:val="22"/>
      </w:rPr>
      <w:tcPr>
        <w:shd w:val="clear" w:color="D9E2F4" w:themeColor="accent1" w:themeTint="34" w:fill="D9E2F4" w:themeFill="accent1" w:themeFillTint="34"/>
      </w:tcPr>
    </w:tblStylePr>
  </w:style>
  <w:style w:type="table" w:customStyle="1" w:styleId="90">
    <w:name w:val="Grid Table 3 - Accent 2"/>
    <w:basedOn w:val="42"/>
    <w:qFormat/>
    <w:uiPriority w:val="99"/>
    <w:pPr>
      <w:spacing w:after="0" w:line="240" w:lineRule="auto"/>
    </w:pPr>
    <w:tblPr>
      <w:tblBorders>
        <w:bottom w:val="single" w:color="F4B483" w:themeColor="accent2" w:themeTint="97" w:sz="4" w:space="0"/>
        <w:insideH w:val="single" w:color="F4B483" w:themeColor="accent2" w:themeTint="97" w:sz="4" w:space="0"/>
        <w:insideV w:val="single" w:color="F4B483" w:themeColor="accent2" w:themeTint="97"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BE6D6" w:themeColor="accent2" w:themeTint="32" w:fill="FBE6D6" w:themeFill="accent2" w:themeFillTint="32"/>
      </w:tcPr>
    </w:tblStylePr>
    <w:tblStylePr w:type="band1Horz">
      <w:rPr>
        <w:rFonts w:ascii="Arial" w:hAnsi="Arial"/>
        <w:color w:val="404040"/>
        <w:sz w:val="22"/>
      </w:rPr>
      <w:tcPr>
        <w:shd w:val="clear" w:color="FBE6D6" w:themeColor="accent2" w:themeTint="32" w:fill="FBE6D6" w:themeFill="accent2" w:themeFillTint="32"/>
      </w:tcPr>
    </w:tblStylePr>
  </w:style>
  <w:style w:type="table" w:customStyle="1" w:styleId="91">
    <w:name w:val="Grid Table 3 - Accent 3"/>
    <w:basedOn w:val="42"/>
    <w:qFormat/>
    <w:uiPriority w:val="99"/>
    <w:pPr>
      <w:spacing w:after="0" w:line="240" w:lineRule="auto"/>
    </w:pPr>
    <w:tblPr>
      <w:tblBorders>
        <w:bottom w:val="single" w:color="F3BA02" w:themeColor="accent3" w:themeTint="FE" w:sz="4" w:space="0"/>
        <w:insideH w:val="single" w:color="F3BA02" w:themeColor="accent3" w:themeTint="FE" w:sz="4" w:space="0"/>
        <w:insideV w:val="single" w:color="F3BA02" w:themeColor="accent3" w:themeTint="FE"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EF2C9" w:themeColor="accent3" w:themeTint="34" w:fill="FEF2C9" w:themeFill="accent3" w:themeFillTint="34"/>
      </w:tcPr>
    </w:tblStylePr>
    <w:tblStylePr w:type="band1Horz">
      <w:rPr>
        <w:rFonts w:ascii="Arial" w:hAnsi="Arial"/>
        <w:color w:val="404040"/>
        <w:sz w:val="22"/>
      </w:rPr>
      <w:tcPr>
        <w:shd w:val="clear" w:color="FEF2C9" w:themeColor="accent3" w:themeTint="34" w:fill="FEF2C9" w:themeFill="accent3" w:themeFillTint="34"/>
      </w:tcPr>
    </w:tblStylePr>
  </w:style>
  <w:style w:type="table" w:customStyle="1" w:styleId="92">
    <w:name w:val="Grid Table 3 - Accent 4"/>
    <w:basedOn w:val="42"/>
    <w:qFormat/>
    <w:uiPriority w:val="99"/>
    <w:pPr>
      <w:spacing w:after="0" w:line="240" w:lineRule="auto"/>
    </w:pPr>
    <w:tblPr>
      <w:tblBorders>
        <w:bottom w:val="single" w:color="ABD78C" w:themeColor="accent4" w:themeTint="9A" w:sz="4" w:space="0"/>
        <w:insideH w:val="single" w:color="ABD78C" w:themeColor="accent4" w:themeTint="9A" w:sz="4" w:space="0"/>
        <w:insideV w:val="single" w:color="ABD78C" w:themeColor="accent4" w:themeTint="9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2F1D8" w:themeColor="accent4" w:themeTint="34" w:fill="E2F1D8" w:themeFill="accent4" w:themeFillTint="34"/>
      </w:tcPr>
    </w:tblStylePr>
    <w:tblStylePr w:type="band1Horz">
      <w:rPr>
        <w:rFonts w:ascii="Arial" w:hAnsi="Arial"/>
        <w:color w:val="404040"/>
        <w:sz w:val="22"/>
      </w:rPr>
      <w:tcPr>
        <w:shd w:val="clear" w:color="E2F1D8" w:themeColor="accent4" w:themeTint="34" w:fill="E2F1D8" w:themeFill="accent4" w:themeFillTint="34"/>
      </w:tcPr>
    </w:tblStylePr>
  </w:style>
  <w:style w:type="table" w:customStyle="1" w:styleId="93">
    <w:name w:val="Grid Table 3 - Accent 5"/>
    <w:basedOn w:val="42"/>
    <w:qFormat/>
    <w:uiPriority w:val="99"/>
    <w:pPr>
      <w:spacing w:after="0" w:line="240" w:lineRule="auto"/>
    </w:pPr>
    <w:tblPr>
      <w:tblBorders>
        <w:bottom w:val="single" w:color="30C0B4" w:themeColor="accent5" w:sz="4" w:space="0"/>
        <w:insideH w:val="single" w:color="30C0B4" w:themeColor="accent5" w:sz="4" w:space="0"/>
        <w:insideV w:val="single" w:color="30C0B4" w:themeColor="accent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2F3F1" w:themeColor="accent5" w:themeTint="34" w:fill="D2F3F1" w:themeFill="accent5" w:themeFillTint="34"/>
      </w:tcPr>
    </w:tblStylePr>
    <w:tblStylePr w:type="band1Horz">
      <w:rPr>
        <w:rFonts w:ascii="Arial" w:hAnsi="Arial"/>
        <w:color w:val="404040"/>
        <w:sz w:val="22"/>
      </w:rPr>
      <w:tcPr>
        <w:shd w:val="clear" w:color="D2F3F1" w:themeColor="accent5" w:themeTint="34" w:fill="D2F3F1" w:themeFill="accent5" w:themeFillTint="34"/>
      </w:tcPr>
    </w:tblStylePr>
  </w:style>
  <w:style w:type="table" w:customStyle="1" w:styleId="94">
    <w:name w:val="Grid Table 3 - Accent 6"/>
    <w:basedOn w:val="42"/>
    <w:qFormat/>
    <w:uiPriority w:val="99"/>
    <w:pPr>
      <w:spacing w:after="0" w:line="240" w:lineRule="auto"/>
    </w:pPr>
    <w:tblPr>
      <w:tblBorders>
        <w:bottom w:val="single" w:color="E54C5E" w:themeColor="accent6" w:sz="4" w:space="0"/>
        <w:insideH w:val="single" w:color="E54C5E" w:themeColor="accent6" w:sz="4" w:space="0"/>
        <w:insideV w:val="single" w:color="E54C5E" w:themeColor="accent6"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9DADE" w:themeColor="accent6" w:themeTint="34" w:fill="F9DADE" w:themeFill="accent6" w:themeFillTint="34"/>
      </w:tcPr>
    </w:tblStylePr>
    <w:tblStylePr w:type="band1Horz">
      <w:rPr>
        <w:rFonts w:ascii="Arial" w:hAnsi="Arial"/>
        <w:color w:val="404040"/>
        <w:sz w:val="22"/>
      </w:rPr>
      <w:tcPr>
        <w:shd w:val="clear" w:color="F9DADE" w:themeColor="accent6" w:themeTint="34" w:fill="F9DADE" w:themeFill="accent6" w:themeFillTint="34"/>
      </w:tcPr>
    </w:tblStylePr>
  </w:style>
  <w:style w:type="table" w:customStyle="1" w:styleId="95">
    <w:name w:val="Grid Table 4"/>
    <w:basedOn w:val="42"/>
    <w:qFormat/>
    <w:uiPriority w:val="59"/>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96">
    <w:name w:val="Grid Table 4 - Accent 1"/>
    <w:basedOn w:val="42"/>
    <w:qFormat/>
    <w:uiPriority w:val="59"/>
    <w:pPr>
      <w:spacing w:after="0" w:line="240" w:lineRule="auto"/>
    </w:pPr>
    <w:tblPr>
      <w:tblBorders>
        <w:top w:val="single" w:color="97B0E1" w:themeColor="accent1" w:themeTint="90" w:sz="4" w:space="0"/>
        <w:left w:val="single" w:color="97B0E1" w:themeColor="accent1" w:themeTint="90" w:sz="4" w:space="0"/>
        <w:bottom w:val="single" w:color="97B0E1" w:themeColor="accent1" w:themeTint="90" w:sz="4" w:space="0"/>
        <w:right w:val="single" w:color="97B0E1" w:themeColor="accent1" w:themeTint="90" w:sz="4" w:space="0"/>
        <w:insideH w:val="single" w:color="97B0E1" w:themeColor="accent1" w:themeTint="90" w:sz="4" w:space="0"/>
        <w:insideV w:val="single" w:color="97B0E1" w:themeColor="accent1" w:themeTint="90" w:sz="4" w:space="0"/>
      </w:tblBorders>
    </w:tblPr>
    <w:tblStylePr w:type="firstRow">
      <w:rPr>
        <w:rFonts w:ascii="Arial" w:hAnsi="Arial"/>
        <w:b/>
        <w:color w:val="FFFFFF"/>
        <w:sz w:val="22"/>
      </w:rPr>
      <w:tcPr>
        <w:tcBorders>
          <w:top w:val="single" w:color="577FCF" w:themeColor="accent1" w:themeTint="EA" w:sz="4" w:space="0"/>
          <w:left w:val="single" w:color="577FCF" w:themeColor="accent1" w:themeTint="EA" w:sz="4" w:space="0"/>
          <w:bottom w:val="single" w:color="577FCF" w:themeColor="accent1" w:themeTint="EA" w:sz="4" w:space="0"/>
          <w:right w:val="single" w:color="577FCF" w:themeColor="accent1" w:themeTint="EA" w:sz="4" w:space="0"/>
        </w:tcBorders>
        <w:shd w:val="clear" w:color="577FCF" w:themeColor="accent1" w:themeTint="EA" w:fill="577FCF" w:themeFill="accent1" w:themeFillTint="EA"/>
      </w:tcPr>
    </w:tblStylePr>
    <w:tblStylePr w:type="lastRow">
      <w:rPr>
        <w:b/>
        <w:color w:val="404040"/>
      </w:rPr>
      <w:tcPr>
        <w:tcBorders>
          <w:top w:val="single" w:color="577FCF"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BE3F4" w:themeColor="accent1" w:themeTint="32" w:fill="DBE3F4" w:themeFill="accent1" w:themeFillTint="32"/>
      </w:tcPr>
    </w:tblStylePr>
    <w:tblStylePr w:type="band1Horz">
      <w:rPr>
        <w:rFonts w:ascii="Arial" w:hAnsi="Arial"/>
        <w:color w:val="404040"/>
        <w:sz w:val="22"/>
      </w:rPr>
      <w:tcPr>
        <w:shd w:val="clear" w:color="DBE3F4" w:themeColor="accent1" w:themeTint="32" w:fill="DBE3F4" w:themeFill="accent1" w:themeFillTint="32"/>
      </w:tcPr>
    </w:tblStylePr>
  </w:style>
  <w:style w:type="table" w:customStyle="1" w:styleId="97">
    <w:name w:val="Grid Table 4 - Accent 2"/>
    <w:basedOn w:val="42"/>
    <w:qFormat/>
    <w:uiPriority w:val="59"/>
    <w:pPr>
      <w:spacing w:after="0" w:line="240" w:lineRule="auto"/>
    </w:pPr>
    <w:tblPr>
      <w:tblBorders>
        <w:top w:val="single" w:color="F5B889" w:themeColor="accent2" w:themeTint="90" w:sz="4" w:space="0"/>
        <w:left w:val="single" w:color="F5B889" w:themeColor="accent2" w:themeTint="90" w:sz="4" w:space="0"/>
        <w:bottom w:val="single" w:color="F5B889" w:themeColor="accent2" w:themeTint="90" w:sz="4" w:space="0"/>
        <w:right w:val="single" w:color="F5B889" w:themeColor="accent2" w:themeTint="90" w:sz="4" w:space="0"/>
        <w:insideH w:val="single" w:color="F5B889" w:themeColor="accent2" w:themeTint="90" w:sz="4" w:space="0"/>
        <w:insideV w:val="single" w:color="F5B889" w:themeColor="accent2" w:themeTint="90" w:sz="4" w:space="0"/>
      </w:tblBorders>
    </w:tblPr>
    <w:tblStylePr w:type="firstRow">
      <w:rPr>
        <w:rFonts w:ascii="Arial" w:hAnsi="Arial"/>
        <w:b/>
        <w:color w:val="FFFFFF"/>
        <w:sz w:val="22"/>
      </w:rPr>
      <w:tcPr>
        <w:tc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tcBorders>
        <w:shd w:val="clear" w:color="F4B483" w:themeColor="accent2" w:themeTint="97" w:fill="F4B483" w:themeFill="accent2" w:themeFillTint="97"/>
      </w:tcPr>
    </w:tblStylePr>
    <w:tblStylePr w:type="lastRow">
      <w:rPr>
        <w:b/>
        <w:color w:val="404040"/>
      </w:rPr>
      <w:tcPr>
        <w:tcBorders>
          <w:top w:val="single" w:color="F4B483"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BE6D6" w:themeColor="accent2" w:themeTint="32" w:fill="FBE6D6" w:themeFill="accent2" w:themeFillTint="32"/>
      </w:tcPr>
    </w:tblStylePr>
    <w:tblStylePr w:type="band1Horz">
      <w:rPr>
        <w:rFonts w:ascii="Arial" w:hAnsi="Arial"/>
        <w:color w:val="404040"/>
        <w:sz w:val="22"/>
      </w:rPr>
      <w:tcPr>
        <w:shd w:val="clear" w:color="FBE6D6" w:themeColor="accent2" w:themeTint="32" w:fill="FBE6D6" w:themeFill="accent2" w:themeFillTint="32"/>
      </w:tcPr>
    </w:tblStylePr>
  </w:style>
  <w:style w:type="table" w:customStyle="1" w:styleId="98">
    <w:name w:val="Grid Table 4 - Accent 3"/>
    <w:basedOn w:val="42"/>
    <w:qFormat/>
    <w:uiPriority w:val="59"/>
    <w:pPr>
      <w:spacing w:after="0" w:line="240" w:lineRule="auto"/>
    </w:pPr>
    <w:tblPr>
      <w:tblBorders>
        <w:top w:val="single" w:color="FDDB6A" w:themeColor="accent3" w:themeTint="90" w:sz="4" w:space="0"/>
        <w:left w:val="single" w:color="FDDB6A" w:themeColor="accent3" w:themeTint="90" w:sz="4" w:space="0"/>
        <w:bottom w:val="single" w:color="FDDB6A" w:themeColor="accent3" w:themeTint="90" w:sz="4" w:space="0"/>
        <w:right w:val="single" w:color="FDDB6A" w:themeColor="accent3" w:themeTint="90" w:sz="4" w:space="0"/>
        <w:insideH w:val="single" w:color="FDDB6A" w:themeColor="accent3" w:themeTint="90" w:sz="4" w:space="0"/>
        <w:insideV w:val="single" w:color="FDDB6A" w:themeColor="accent3" w:themeTint="90" w:sz="4" w:space="0"/>
      </w:tblBorders>
    </w:tblPr>
    <w:tblStylePr w:type="firstRow">
      <w:rPr>
        <w:rFonts w:ascii="Arial" w:hAnsi="Arial"/>
        <w:b/>
        <w:color w:val="FFFFFF"/>
        <w:sz w:val="22"/>
      </w:rPr>
      <w:tcPr>
        <w:tcBorders>
          <w:top w:val="single" w:color="F3BA02" w:themeColor="accent3" w:themeTint="FE" w:sz="4" w:space="0"/>
          <w:left w:val="single" w:color="F3BA02" w:themeColor="accent3" w:themeTint="FE" w:sz="4" w:space="0"/>
          <w:bottom w:val="single" w:color="F3BA02" w:themeColor="accent3" w:themeTint="FE" w:sz="4" w:space="0"/>
          <w:right w:val="single" w:color="F3BA02" w:themeColor="accent3" w:themeTint="FE" w:sz="4" w:space="0"/>
        </w:tcBorders>
        <w:shd w:val="clear" w:color="F3BA02" w:themeColor="accent3" w:themeTint="FE" w:fill="F3BA02" w:themeFill="accent3" w:themeFillTint="FE"/>
      </w:tcPr>
    </w:tblStylePr>
    <w:tblStylePr w:type="lastRow">
      <w:rPr>
        <w:b/>
        <w:color w:val="404040"/>
      </w:rPr>
      <w:tcPr>
        <w:tcBorders>
          <w:top w:val="single" w:color="F3BA02"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EF2C9" w:themeColor="accent3" w:themeTint="34" w:fill="FEF2C9" w:themeFill="accent3" w:themeFillTint="34"/>
      </w:tcPr>
    </w:tblStylePr>
    <w:tblStylePr w:type="band1Horz">
      <w:rPr>
        <w:rFonts w:ascii="Arial" w:hAnsi="Arial"/>
        <w:color w:val="404040"/>
        <w:sz w:val="22"/>
      </w:rPr>
      <w:tcPr>
        <w:shd w:val="clear" w:color="FEF2C9" w:themeColor="accent3" w:themeTint="34" w:fill="FEF2C9" w:themeFill="accent3" w:themeFillTint="34"/>
      </w:tcPr>
    </w:tblStylePr>
  </w:style>
  <w:style w:type="table" w:customStyle="1" w:styleId="99">
    <w:name w:val="Grid Table 4 - Accent 4"/>
    <w:basedOn w:val="42"/>
    <w:qFormat/>
    <w:uiPriority w:val="59"/>
    <w:pPr>
      <w:spacing w:after="0" w:line="240" w:lineRule="auto"/>
    </w:pPr>
    <w:tblPr>
      <w:tblBorders>
        <w:top w:val="single" w:color="B1D994" w:themeColor="accent4" w:themeTint="90" w:sz="4" w:space="0"/>
        <w:left w:val="single" w:color="B1D994" w:themeColor="accent4" w:themeTint="90" w:sz="4" w:space="0"/>
        <w:bottom w:val="single" w:color="B1D994" w:themeColor="accent4" w:themeTint="90" w:sz="4" w:space="0"/>
        <w:right w:val="single" w:color="B1D994" w:themeColor="accent4" w:themeTint="90" w:sz="4" w:space="0"/>
        <w:insideH w:val="single" w:color="B1D994" w:themeColor="accent4" w:themeTint="90" w:sz="4" w:space="0"/>
        <w:insideV w:val="single" w:color="B1D994" w:themeColor="accent4" w:themeTint="90" w:sz="4" w:space="0"/>
      </w:tblBorders>
    </w:tblPr>
    <w:tblStylePr w:type="firstRow">
      <w:rPr>
        <w:rFonts w:ascii="Arial" w:hAnsi="Arial"/>
        <w:b/>
        <w:color w:val="FFFFFF"/>
        <w:sz w:val="22"/>
      </w:rPr>
      <w:tcPr>
        <w:tc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tcBorders>
        <w:shd w:val="clear" w:color="ABD78C" w:themeColor="accent4" w:themeTint="9A" w:fill="ABD78C" w:themeFill="accent4" w:themeFillTint="9A"/>
      </w:tcPr>
    </w:tblStylePr>
    <w:tblStylePr w:type="lastRow">
      <w:rPr>
        <w:b/>
        <w:color w:val="404040"/>
      </w:rPr>
      <w:tcPr>
        <w:tcBorders>
          <w:top w:val="single" w:color="ABD78C"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2F1D8" w:themeColor="accent4" w:themeTint="34" w:fill="E2F1D8" w:themeFill="accent4" w:themeFillTint="34"/>
      </w:tcPr>
    </w:tblStylePr>
    <w:tblStylePr w:type="band1Horz">
      <w:rPr>
        <w:rFonts w:ascii="Arial" w:hAnsi="Arial"/>
        <w:color w:val="404040"/>
        <w:sz w:val="22"/>
      </w:rPr>
      <w:tcPr>
        <w:shd w:val="clear" w:color="E2F1D8" w:themeColor="accent4" w:themeTint="34" w:fill="E2F1D8" w:themeFill="accent4" w:themeFillTint="34"/>
      </w:tcPr>
    </w:tblStylePr>
  </w:style>
  <w:style w:type="table" w:customStyle="1" w:styleId="100">
    <w:name w:val="Grid Table 4 - Accent 5"/>
    <w:basedOn w:val="42"/>
    <w:qFormat/>
    <w:uiPriority w:val="59"/>
    <w:pPr>
      <w:spacing w:after="0" w:line="240" w:lineRule="auto"/>
    </w:pPr>
    <w:tblPr>
      <w:tblBorders>
        <w:top w:val="single" w:color="85E0D8" w:themeColor="accent5" w:themeTint="90" w:sz="4" w:space="0"/>
        <w:left w:val="single" w:color="85E0D8" w:themeColor="accent5" w:themeTint="90" w:sz="4" w:space="0"/>
        <w:bottom w:val="single" w:color="85E0D8" w:themeColor="accent5" w:themeTint="90" w:sz="4" w:space="0"/>
        <w:right w:val="single" w:color="85E0D8" w:themeColor="accent5" w:themeTint="90" w:sz="4" w:space="0"/>
        <w:insideH w:val="single" w:color="85E0D8" w:themeColor="accent5" w:themeTint="90" w:sz="4" w:space="0"/>
        <w:insideV w:val="single" w:color="85E0D8" w:themeColor="accent5" w:themeTint="90" w:sz="4" w:space="0"/>
      </w:tblBorders>
    </w:tblPr>
    <w:tblStylePr w:type="firstRow">
      <w:rPr>
        <w:rFonts w:ascii="Arial" w:hAnsi="Arial"/>
        <w:b/>
        <w:color w:val="FFFFFF"/>
        <w:sz w:val="22"/>
      </w:rPr>
      <w:tcPr>
        <w:tcBorders>
          <w:top w:val="single" w:color="30C0B4" w:themeColor="accent5" w:sz="4" w:space="0"/>
          <w:left w:val="single" w:color="30C0B4" w:themeColor="accent5" w:sz="4" w:space="0"/>
          <w:bottom w:val="single" w:color="30C0B4" w:themeColor="accent5" w:sz="4" w:space="0"/>
          <w:right w:val="single" w:color="30C0B4" w:themeColor="accent5" w:sz="4" w:space="0"/>
        </w:tcBorders>
        <w:shd w:val="clear" w:color="30C0B4" w:themeColor="accent5" w:fill="30C0B4" w:themeFill="accent5"/>
      </w:tcPr>
    </w:tblStylePr>
    <w:tblStylePr w:type="lastRow">
      <w:rPr>
        <w:b/>
        <w:color w:val="404040"/>
      </w:rPr>
      <w:tcPr>
        <w:tcBorders>
          <w:top w:val="single" w:color="30C0B4"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2F3F1" w:themeColor="accent5" w:themeTint="34" w:fill="D2F3F1" w:themeFill="accent5" w:themeFillTint="34"/>
      </w:tcPr>
    </w:tblStylePr>
    <w:tblStylePr w:type="band1Horz">
      <w:rPr>
        <w:rFonts w:ascii="Arial" w:hAnsi="Arial"/>
        <w:color w:val="404040"/>
        <w:sz w:val="22"/>
      </w:rPr>
      <w:tcPr>
        <w:shd w:val="clear" w:color="D2F3F1" w:themeColor="accent5" w:themeTint="34" w:fill="D2F3F1" w:themeFill="accent5" w:themeFillTint="34"/>
      </w:tcPr>
    </w:tblStylePr>
  </w:style>
  <w:style w:type="table" w:customStyle="1" w:styleId="101">
    <w:name w:val="Grid Table 4 - Accent 6"/>
    <w:basedOn w:val="42"/>
    <w:qFormat/>
    <w:uiPriority w:val="59"/>
    <w:pPr>
      <w:spacing w:after="0" w:line="240" w:lineRule="auto"/>
    </w:pPr>
    <w:tblPr>
      <w:tblBorders>
        <w:top w:val="single" w:color="F099A4" w:themeColor="accent6" w:themeTint="90" w:sz="4" w:space="0"/>
        <w:left w:val="single" w:color="F099A4" w:themeColor="accent6" w:themeTint="90" w:sz="4" w:space="0"/>
        <w:bottom w:val="single" w:color="F099A4" w:themeColor="accent6" w:themeTint="90" w:sz="4" w:space="0"/>
        <w:right w:val="single" w:color="F099A4" w:themeColor="accent6" w:themeTint="90" w:sz="4" w:space="0"/>
        <w:insideH w:val="single" w:color="F099A4" w:themeColor="accent6" w:themeTint="90" w:sz="4" w:space="0"/>
        <w:insideV w:val="single" w:color="F099A4" w:themeColor="accent6" w:themeTint="90" w:sz="4" w:space="0"/>
      </w:tblBorders>
    </w:tblPr>
    <w:tblStylePr w:type="firstRow">
      <w:rPr>
        <w:rFonts w:ascii="Arial" w:hAnsi="Arial"/>
        <w:b/>
        <w:color w:val="FFFFFF"/>
        <w:sz w:val="22"/>
      </w:rPr>
      <w:tcPr>
        <w:tcBorders>
          <w:top w:val="single" w:color="E54C5E" w:themeColor="accent6" w:sz="4" w:space="0"/>
          <w:left w:val="single" w:color="E54C5E" w:themeColor="accent6" w:sz="4" w:space="0"/>
          <w:bottom w:val="single" w:color="E54C5E" w:themeColor="accent6" w:sz="4" w:space="0"/>
          <w:right w:val="single" w:color="E54C5E" w:themeColor="accent6" w:sz="4" w:space="0"/>
        </w:tcBorders>
        <w:shd w:val="clear" w:color="E54C5E" w:themeColor="accent6" w:fill="E54C5E" w:themeFill="accent6"/>
      </w:tcPr>
    </w:tblStylePr>
    <w:tblStylePr w:type="lastRow">
      <w:rPr>
        <w:b/>
        <w:color w:val="404040"/>
      </w:rPr>
      <w:tcPr>
        <w:tcBorders>
          <w:top w:val="single" w:color="E54C5E"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9DADE" w:themeColor="accent6" w:themeTint="34" w:fill="F9DADE" w:themeFill="accent6" w:themeFillTint="34"/>
      </w:tcPr>
    </w:tblStylePr>
    <w:tblStylePr w:type="band1Horz">
      <w:rPr>
        <w:rFonts w:ascii="Arial" w:hAnsi="Arial"/>
        <w:color w:val="404040"/>
        <w:sz w:val="22"/>
      </w:rPr>
      <w:tcPr>
        <w:shd w:val="clear" w:color="F9DADE" w:themeColor="accent6" w:themeTint="34" w:fill="F9DADE" w:themeFill="accent6" w:themeFillTint="34"/>
      </w:tcPr>
    </w:tblStylePr>
  </w:style>
  <w:style w:type="table" w:customStyle="1" w:styleId="102">
    <w:name w:val="Grid Table 5 Dark"/>
    <w:basedOn w:val="42"/>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103">
    <w:name w:val="Grid Table 5 Dark- Accent 1"/>
    <w:basedOn w:val="42"/>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874CB" w:themeColor="accent1" w:fill="4874CB" w:themeFill="accent1"/>
      </w:tcPr>
    </w:tblStylePr>
    <w:tblStylePr w:type="lastRow">
      <w:rPr>
        <w:rFonts w:ascii="Arial" w:hAnsi="Arial"/>
        <w:b/>
        <w:color w:val="FFFFFF"/>
        <w:sz w:val="22"/>
      </w:rPr>
      <w:tcPr>
        <w:tcBorders>
          <w:top w:val="single" w:color="FFFFFF" w:themeColor="light1" w:sz="4" w:space="0"/>
        </w:tcBorders>
        <w:shd w:val="clear" w:color="4874CB" w:themeColor="accent1" w:fill="4874CB" w:themeFill="accent1"/>
      </w:tcPr>
    </w:tblStylePr>
    <w:tblStylePr w:type="firstCol">
      <w:rPr>
        <w:rFonts w:ascii="Arial" w:hAnsi="Arial"/>
        <w:b/>
        <w:color w:val="FFFFFF"/>
        <w:sz w:val="22"/>
      </w:rPr>
      <w:tcPr>
        <w:shd w:val="clear" w:color="4874CB" w:themeColor="accent1" w:fill="4874CB" w:themeFill="accent1"/>
      </w:tcPr>
    </w:tblStylePr>
    <w:tblStylePr w:type="lastCol">
      <w:rPr>
        <w:rFonts w:ascii="Arial" w:hAnsi="Arial"/>
        <w:b/>
        <w:color w:val="FFFFFF"/>
        <w:sz w:val="22"/>
      </w:rPr>
      <w:tcPr>
        <w:shd w:val="clear" w:color="4874CB" w:themeColor="accent1" w:fill="4874CB" w:themeFill="accent1"/>
      </w:tcPr>
    </w:tblStylePr>
    <w:tblStylePr w:type="band1Vert">
      <w:tcPr>
        <w:shd w:val="clear" w:color="ABBFE7" w:themeColor="accent1" w:themeTint="75" w:fill="ABBFE7" w:themeFill="accent1" w:themeFillTint="75"/>
      </w:tcPr>
    </w:tblStylePr>
    <w:tblStylePr w:type="band1Horz">
      <w:tcPr>
        <w:shd w:val="clear" w:color="ABBFE7" w:themeColor="accent1" w:themeTint="75" w:fill="ABBFE7" w:themeFill="accent1" w:themeFillTint="75"/>
      </w:tcPr>
    </w:tblStylePr>
  </w:style>
  <w:style w:type="table" w:customStyle="1" w:styleId="104">
    <w:name w:val="Grid Table 5 Dark - Accent 2"/>
    <w:basedOn w:val="42"/>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EE822F" w:themeColor="accent2" w:fill="EE822F" w:themeFill="accent2"/>
      </w:tcPr>
    </w:tblStylePr>
    <w:tblStylePr w:type="lastRow">
      <w:rPr>
        <w:rFonts w:ascii="Arial" w:hAnsi="Arial"/>
        <w:b/>
        <w:color w:val="FFFFFF"/>
        <w:sz w:val="22"/>
      </w:rPr>
      <w:tcPr>
        <w:tcBorders>
          <w:top w:val="single" w:color="FFFFFF" w:themeColor="light1" w:sz="4" w:space="0"/>
        </w:tcBorders>
        <w:shd w:val="clear" w:color="EE822F" w:themeColor="accent2" w:fill="EE822F" w:themeFill="accent2"/>
      </w:tcPr>
    </w:tblStylePr>
    <w:tblStylePr w:type="firstCol">
      <w:rPr>
        <w:rFonts w:ascii="Arial" w:hAnsi="Arial"/>
        <w:b/>
        <w:color w:val="FFFFFF"/>
        <w:sz w:val="22"/>
      </w:rPr>
      <w:tcPr>
        <w:shd w:val="clear" w:color="EE822F" w:themeColor="accent2" w:fill="EE822F" w:themeFill="accent2"/>
      </w:tcPr>
    </w:tblStylePr>
    <w:tblStylePr w:type="lastCol">
      <w:rPr>
        <w:rFonts w:ascii="Arial" w:hAnsi="Arial"/>
        <w:b/>
        <w:color w:val="FFFFFF"/>
        <w:sz w:val="22"/>
      </w:rPr>
      <w:tcPr>
        <w:shd w:val="clear" w:color="EE822F" w:themeColor="accent2" w:fill="EE822F" w:themeFill="accent2"/>
      </w:tcPr>
    </w:tblStylePr>
    <w:tblStylePr w:type="band1Vert">
      <w:tcPr>
        <w:shd w:val="clear" w:color="F7C59F" w:themeColor="accent2" w:themeTint="75" w:fill="F7C59F" w:themeFill="accent2" w:themeFillTint="75"/>
      </w:tcPr>
    </w:tblStylePr>
    <w:tblStylePr w:type="band1Horz">
      <w:tcPr>
        <w:shd w:val="clear" w:color="F7C59F" w:themeColor="accent2" w:themeTint="75" w:fill="F7C59F" w:themeFill="accent2" w:themeFillTint="75"/>
      </w:tcPr>
    </w:tblStylePr>
  </w:style>
  <w:style w:type="table" w:customStyle="1" w:styleId="105">
    <w:name w:val="Grid Table 5 Dark - Accent 3"/>
    <w:basedOn w:val="42"/>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F2BA02" w:themeColor="accent3" w:fill="F2BA02" w:themeFill="accent3"/>
      </w:tcPr>
    </w:tblStylePr>
    <w:tblStylePr w:type="lastRow">
      <w:rPr>
        <w:rFonts w:ascii="Arial" w:hAnsi="Arial"/>
        <w:b/>
        <w:color w:val="FFFFFF"/>
        <w:sz w:val="22"/>
      </w:rPr>
      <w:tcPr>
        <w:tcBorders>
          <w:top w:val="single" w:color="FFFFFF" w:themeColor="light1" w:sz="4" w:space="0"/>
        </w:tcBorders>
        <w:shd w:val="clear" w:color="F2BA02" w:themeColor="accent3" w:fill="F2BA02" w:themeFill="accent3"/>
      </w:tcPr>
    </w:tblStylePr>
    <w:tblStylePr w:type="firstCol">
      <w:rPr>
        <w:rFonts w:ascii="Arial" w:hAnsi="Arial"/>
        <w:b/>
        <w:color w:val="FFFFFF"/>
        <w:sz w:val="22"/>
      </w:rPr>
      <w:tcPr>
        <w:shd w:val="clear" w:color="F2BA02" w:themeColor="accent3" w:fill="F2BA02" w:themeFill="accent3"/>
      </w:tcPr>
    </w:tblStylePr>
    <w:tblStylePr w:type="lastCol">
      <w:rPr>
        <w:rFonts w:ascii="Arial" w:hAnsi="Arial"/>
        <w:b/>
        <w:color w:val="FFFFFF"/>
        <w:sz w:val="22"/>
      </w:rPr>
      <w:tcPr>
        <w:shd w:val="clear" w:color="F2BA02" w:themeColor="accent3" w:fill="F2BA02" w:themeFill="accent3"/>
      </w:tcPr>
    </w:tblStylePr>
    <w:tblStylePr w:type="band1Vert">
      <w:tcPr>
        <w:shd w:val="clear" w:color="FDE185" w:themeColor="accent3" w:themeTint="75" w:fill="FDE185" w:themeFill="accent3" w:themeFillTint="75"/>
      </w:tcPr>
    </w:tblStylePr>
    <w:tblStylePr w:type="band1Horz">
      <w:tcPr>
        <w:shd w:val="clear" w:color="FDE185" w:themeColor="accent3" w:themeTint="75" w:fill="FDE185" w:themeFill="accent3" w:themeFillTint="75"/>
      </w:tcPr>
    </w:tblStylePr>
  </w:style>
  <w:style w:type="table" w:customStyle="1" w:styleId="106">
    <w:name w:val="Grid Table 5 Dark- Accent 4"/>
    <w:basedOn w:val="42"/>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75BD42" w:themeColor="accent4" w:fill="75BD42" w:themeFill="accent4"/>
      </w:tcPr>
    </w:tblStylePr>
    <w:tblStylePr w:type="lastRow">
      <w:rPr>
        <w:rFonts w:ascii="Arial" w:hAnsi="Arial"/>
        <w:b/>
        <w:color w:val="FFFFFF"/>
        <w:sz w:val="22"/>
      </w:rPr>
      <w:tcPr>
        <w:tcBorders>
          <w:top w:val="single" w:color="FFFFFF" w:themeColor="light1" w:sz="4" w:space="0"/>
        </w:tcBorders>
        <w:shd w:val="clear" w:color="75BD42" w:themeColor="accent4" w:fill="75BD42" w:themeFill="accent4"/>
      </w:tcPr>
    </w:tblStylePr>
    <w:tblStylePr w:type="firstCol">
      <w:rPr>
        <w:rFonts w:ascii="Arial" w:hAnsi="Arial"/>
        <w:b/>
        <w:color w:val="FFFFFF"/>
        <w:sz w:val="22"/>
      </w:rPr>
      <w:tcPr>
        <w:shd w:val="clear" w:color="75BD42" w:themeColor="accent4" w:fill="75BD42" w:themeFill="accent4"/>
      </w:tcPr>
    </w:tblStylePr>
    <w:tblStylePr w:type="lastCol">
      <w:rPr>
        <w:rFonts w:ascii="Arial" w:hAnsi="Arial"/>
        <w:b/>
        <w:color w:val="FFFFFF"/>
        <w:sz w:val="22"/>
      </w:rPr>
      <w:tcPr>
        <w:shd w:val="clear" w:color="75BD42" w:themeColor="accent4" w:fill="75BD42" w:themeFill="accent4"/>
      </w:tcPr>
    </w:tblStylePr>
    <w:tblStylePr w:type="band1Vert">
      <w:tcPr>
        <w:shd w:val="clear" w:color="BFE0A8" w:themeColor="accent4" w:themeTint="75" w:fill="BFE0A8" w:themeFill="accent4" w:themeFillTint="75"/>
      </w:tcPr>
    </w:tblStylePr>
    <w:tblStylePr w:type="band1Horz">
      <w:tcPr>
        <w:shd w:val="clear" w:color="BFE0A8" w:themeColor="accent4" w:themeTint="75" w:fill="BFE0A8" w:themeFill="accent4" w:themeFillTint="75"/>
      </w:tcPr>
    </w:tblStylePr>
  </w:style>
  <w:style w:type="table" w:customStyle="1" w:styleId="107">
    <w:name w:val="Grid Table 5 Dark - Accent 5"/>
    <w:basedOn w:val="42"/>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30C0B4" w:themeColor="accent5" w:fill="30C0B4" w:themeFill="accent5"/>
      </w:tcPr>
    </w:tblStylePr>
    <w:tblStylePr w:type="lastRow">
      <w:rPr>
        <w:rFonts w:ascii="Arial" w:hAnsi="Arial"/>
        <w:b/>
        <w:color w:val="FFFFFF"/>
        <w:sz w:val="22"/>
      </w:rPr>
      <w:tcPr>
        <w:tcBorders>
          <w:top w:val="single" w:color="FFFFFF" w:themeColor="light1" w:sz="4" w:space="0"/>
        </w:tcBorders>
        <w:shd w:val="clear" w:color="30C0B4" w:themeColor="accent5" w:fill="30C0B4" w:themeFill="accent5"/>
      </w:tcPr>
    </w:tblStylePr>
    <w:tblStylePr w:type="firstCol">
      <w:rPr>
        <w:rFonts w:ascii="Arial" w:hAnsi="Arial"/>
        <w:b/>
        <w:color w:val="FFFFFF"/>
        <w:sz w:val="22"/>
      </w:rPr>
      <w:tcPr>
        <w:shd w:val="clear" w:color="30C0B4" w:themeColor="accent5" w:fill="30C0B4" w:themeFill="accent5"/>
      </w:tcPr>
    </w:tblStylePr>
    <w:tblStylePr w:type="lastCol">
      <w:rPr>
        <w:rFonts w:ascii="Arial" w:hAnsi="Arial"/>
        <w:b/>
        <w:color w:val="FFFFFF"/>
        <w:sz w:val="22"/>
      </w:rPr>
      <w:tcPr>
        <w:shd w:val="clear" w:color="30C0B4" w:themeColor="accent5" w:fill="30C0B4" w:themeFill="accent5"/>
      </w:tcPr>
    </w:tblStylePr>
    <w:tblStylePr w:type="band1Vert">
      <w:tcPr>
        <w:shd w:val="clear" w:color="9BE6E0" w:themeColor="accent5" w:themeTint="75" w:fill="9BE6E0" w:themeFill="accent5" w:themeFillTint="75"/>
      </w:tcPr>
    </w:tblStylePr>
    <w:tblStylePr w:type="band1Horz">
      <w:tcPr>
        <w:shd w:val="clear" w:color="9BE6E0" w:themeColor="accent5" w:themeTint="75" w:fill="9BE6E0" w:themeFill="accent5" w:themeFillTint="75"/>
      </w:tcPr>
    </w:tblStylePr>
  </w:style>
  <w:style w:type="table" w:customStyle="1" w:styleId="108">
    <w:name w:val="Grid Table 5 Dark - Accent 6"/>
    <w:basedOn w:val="42"/>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E54C5E" w:themeColor="accent6" w:fill="E54C5E" w:themeFill="accent6"/>
      </w:tcPr>
    </w:tblStylePr>
    <w:tblStylePr w:type="lastRow">
      <w:rPr>
        <w:rFonts w:ascii="Arial" w:hAnsi="Arial"/>
        <w:b/>
        <w:color w:val="FFFFFF"/>
        <w:sz w:val="22"/>
      </w:rPr>
      <w:tcPr>
        <w:tcBorders>
          <w:top w:val="single" w:color="FFFFFF" w:themeColor="light1" w:sz="4" w:space="0"/>
        </w:tcBorders>
        <w:shd w:val="clear" w:color="E54C5E" w:themeColor="accent6" w:fill="E54C5E" w:themeFill="accent6"/>
      </w:tcPr>
    </w:tblStylePr>
    <w:tblStylePr w:type="firstCol">
      <w:rPr>
        <w:rFonts w:ascii="Arial" w:hAnsi="Arial"/>
        <w:b/>
        <w:color w:val="FFFFFF"/>
        <w:sz w:val="22"/>
      </w:rPr>
      <w:tcPr>
        <w:shd w:val="clear" w:color="E54C5E" w:themeColor="accent6" w:fill="E54C5E" w:themeFill="accent6"/>
      </w:tcPr>
    </w:tblStylePr>
    <w:tblStylePr w:type="lastCol">
      <w:rPr>
        <w:rFonts w:ascii="Arial" w:hAnsi="Arial"/>
        <w:b/>
        <w:color w:val="FFFFFF"/>
        <w:sz w:val="22"/>
      </w:rPr>
      <w:tcPr>
        <w:shd w:val="clear" w:color="E54C5E" w:themeColor="accent6" w:fill="E54C5E" w:themeFill="accent6"/>
      </w:tcPr>
    </w:tblStylePr>
    <w:tblStylePr w:type="band1Vert">
      <w:tcPr>
        <w:shd w:val="clear" w:color="F3ACB5" w:themeColor="accent6" w:themeTint="75" w:fill="F3ACB5" w:themeFill="accent6" w:themeFillTint="75"/>
      </w:tcPr>
    </w:tblStylePr>
    <w:tblStylePr w:type="band1Horz">
      <w:tcPr>
        <w:shd w:val="clear" w:color="F3ACB5" w:themeColor="accent6" w:themeTint="75" w:fill="F3ACB5" w:themeFill="accent6" w:themeFillTint="75"/>
      </w:tcPr>
    </w:tblStylePr>
  </w:style>
  <w:style w:type="table" w:customStyle="1" w:styleId="109">
    <w:name w:val="Grid Table 6 Colorful"/>
    <w:basedOn w:val="42"/>
    <w:qFormat/>
    <w:uiPriority w:val="99"/>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10">
    <w:name w:val="Grid Table 6 Colorful - Accent 1"/>
    <w:basedOn w:val="42"/>
    <w:qFormat/>
    <w:uiPriority w:val="99"/>
    <w:pPr>
      <w:spacing w:after="0" w:line="240" w:lineRule="auto"/>
    </w:pPr>
    <w:tblPr>
      <w:tblBorders>
        <w:top w:val="single" w:color="A3B9E4" w:themeColor="accent1" w:themeTint="80" w:sz="4" w:space="0"/>
        <w:left w:val="single" w:color="A3B9E4" w:themeColor="accent1" w:themeTint="80" w:sz="4" w:space="0"/>
        <w:bottom w:val="single" w:color="A3B9E4" w:themeColor="accent1" w:themeTint="80" w:sz="4" w:space="0"/>
        <w:right w:val="single" w:color="A3B9E4" w:themeColor="accent1" w:themeTint="80" w:sz="4" w:space="0"/>
        <w:insideH w:val="single" w:color="A3B9E4" w:themeColor="accent1" w:themeTint="80" w:sz="4" w:space="0"/>
        <w:insideV w:val="single" w:color="A3B9E4" w:themeColor="accent1" w:themeTint="80" w:sz="4" w:space="0"/>
      </w:tblBorders>
    </w:tblPr>
    <w:tblStylePr w:type="firstRow">
      <w:rPr>
        <w:b/>
        <w:color w:val="A4BAE5" w:themeColor="accent1" w:themeTint="80"/>
        <w14:textFill>
          <w14:solidFill>
            <w14:schemeClr w14:val="accent1">
              <w14:lumMod w14:val="50000"/>
              <w14:lumOff w14:val="50000"/>
            </w14:schemeClr>
          </w14:solidFill>
        </w14:textFill>
      </w:rPr>
      <w:tcPr>
        <w:tcBorders>
          <w:bottom w:val="single" w:color="A3B9E4" w:themeColor="accent1" w:themeTint="80" w:sz="12" w:space="0"/>
        </w:tcBorders>
      </w:tcPr>
    </w:tblStylePr>
    <w:tblStylePr w:type="lastRow">
      <w:rPr>
        <w:b/>
        <w:color w:val="A4BAE5" w:themeColor="accent1" w:themeTint="80"/>
        <w14:textFill>
          <w14:solidFill>
            <w14:schemeClr w14:val="accent1">
              <w14:lumMod w14:val="50000"/>
              <w14:lumOff w14:val="50000"/>
            </w14:schemeClr>
          </w14:solidFill>
        </w14:textFill>
      </w:rPr>
    </w:tblStylePr>
    <w:tblStylePr w:type="firstCol">
      <w:rPr>
        <w:b/>
        <w:color w:val="A4BAE5" w:themeColor="accent1" w:themeTint="80"/>
        <w14:textFill>
          <w14:solidFill>
            <w14:schemeClr w14:val="accent1">
              <w14:lumMod w14:val="50000"/>
              <w14:lumOff w14:val="50000"/>
            </w14:schemeClr>
          </w14:solidFill>
        </w14:textFill>
      </w:rPr>
    </w:tblStylePr>
    <w:tblStylePr w:type="lastCol">
      <w:rPr>
        <w:b/>
        <w:color w:val="A4BAE5" w:themeColor="accent1" w:themeTint="80"/>
        <w14:textFill>
          <w14:solidFill>
            <w14:schemeClr w14:val="accent1">
              <w14:lumMod w14:val="50000"/>
              <w14:lumOff w14:val="50000"/>
            </w14:schemeClr>
          </w14:solidFill>
        </w14:textFill>
      </w:rPr>
    </w:tblStylePr>
    <w:tblStylePr w:type="band1Vert">
      <w:tcPr>
        <w:shd w:val="clear" w:color="D9E2F4" w:themeColor="accent1" w:themeTint="34" w:fill="D9E2F4" w:themeFill="accent1" w:themeFillTint="34"/>
      </w:tcPr>
    </w:tblStylePr>
    <w:tblStylePr w:type="band1Horz">
      <w:rPr>
        <w:rFonts w:ascii="Arial" w:hAnsi="Arial"/>
        <w:color w:val="A4BAE5" w:themeColor="accent1" w:themeTint="80"/>
        <w:sz w:val="22"/>
        <w14:textFill>
          <w14:solidFill>
            <w14:schemeClr w14:val="accent1">
              <w14:lumMod w14:val="50000"/>
              <w14:lumOff w14:val="50000"/>
            </w14:schemeClr>
          </w14:solidFill>
        </w14:textFill>
      </w:rPr>
      <w:tcPr>
        <w:shd w:val="clear" w:color="D9E2F4" w:themeColor="accent1" w:themeTint="34" w:fill="D9E2F4" w:themeFill="accent1" w:themeFillTint="34"/>
      </w:tcPr>
    </w:tblStylePr>
    <w:tblStylePr w:type="band2Horz">
      <w:rPr>
        <w:rFonts w:ascii="Arial" w:hAnsi="Arial"/>
        <w:color w:val="A4BAE5" w:themeColor="accent1" w:themeTint="80"/>
        <w:sz w:val="22"/>
        <w14:textFill>
          <w14:solidFill>
            <w14:schemeClr w14:val="accent1">
              <w14:lumMod w14:val="50000"/>
              <w14:lumOff w14:val="50000"/>
            </w14:schemeClr>
          </w14:solidFill>
        </w14:textFill>
      </w:rPr>
    </w:tblStylePr>
  </w:style>
  <w:style w:type="table" w:customStyle="1" w:styleId="111">
    <w:name w:val="Grid Table 6 Colorful - Accent 2"/>
    <w:basedOn w:val="42"/>
    <w:qFormat/>
    <w:uiPriority w:val="99"/>
    <w:pPr>
      <w:spacing w:after="0" w:line="240" w:lineRule="auto"/>
    </w:pPr>
    <w:tblPr>
      <w:tbl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insideH w:val="single" w:color="F4B483" w:themeColor="accent2" w:themeTint="97" w:sz="4" w:space="0"/>
        <w:insideV w:val="single" w:color="F4B483" w:themeColor="accent2" w:themeTint="97" w:sz="4" w:space="0"/>
      </w:tblBorders>
    </w:tblPr>
    <w:tblStylePr w:type="firstRow">
      <w:rPr>
        <w:b/>
        <w:color w:val="F5B584" w:themeColor="accent2" w:themeTint="96"/>
        <w14:textFill>
          <w14:solidFill>
            <w14:schemeClr w14:val="accent2">
              <w14:lumMod w14:val="59000"/>
              <w14:lumOff w14:val="41000"/>
            </w14:schemeClr>
          </w14:solidFill>
        </w14:textFill>
      </w:rPr>
      <w:tcPr>
        <w:tcBorders>
          <w:bottom w:val="single" w:color="F4B483" w:themeColor="accent2" w:themeTint="97" w:sz="12" w:space="0"/>
        </w:tcBorders>
      </w:tcPr>
    </w:tblStylePr>
    <w:tblStylePr w:type="lastRow">
      <w:rPr>
        <w:b/>
        <w:color w:val="F5B584" w:themeColor="accent2" w:themeTint="96"/>
        <w14:textFill>
          <w14:solidFill>
            <w14:schemeClr w14:val="accent2">
              <w14:lumMod w14:val="59000"/>
              <w14:lumOff w14:val="41000"/>
            </w14:schemeClr>
          </w14:solidFill>
        </w14:textFill>
      </w:rPr>
    </w:tblStylePr>
    <w:tblStylePr w:type="firstCol">
      <w:rPr>
        <w:b/>
        <w:color w:val="F5B584" w:themeColor="accent2" w:themeTint="96"/>
        <w14:textFill>
          <w14:solidFill>
            <w14:schemeClr w14:val="accent2">
              <w14:lumMod w14:val="59000"/>
              <w14:lumOff w14:val="41000"/>
            </w14:schemeClr>
          </w14:solidFill>
        </w14:textFill>
      </w:rPr>
    </w:tblStylePr>
    <w:tblStylePr w:type="lastCol">
      <w:rPr>
        <w:b/>
        <w:color w:val="F5B584" w:themeColor="accent2" w:themeTint="96"/>
        <w14:textFill>
          <w14:solidFill>
            <w14:schemeClr w14:val="accent2">
              <w14:lumMod w14:val="59000"/>
              <w14:lumOff w14:val="41000"/>
            </w14:schemeClr>
          </w14:solidFill>
        </w14:textFill>
      </w:rPr>
    </w:tblStylePr>
    <w:tblStylePr w:type="band1Vert">
      <w:tcPr>
        <w:shd w:val="clear" w:color="FBE6D6" w:themeColor="accent2" w:themeTint="32" w:fill="FBE6D6" w:themeFill="accent2" w:themeFillTint="32"/>
      </w:tcPr>
    </w:tblStyle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BE6D6" w:themeColor="accent2" w:themeTint="32" w:fill="FBE6D6" w:themeFill="accent2" w:themeFillTint="32"/>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style>
  <w:style w:type="table" w:customStyle="1" w:styleId="112">
    <w:name w:val="Grid Table 6 Colorful - Accent 3"/>
    <w:basedOn w:val="42"/>
    <w:qFormat/>
    <w:uiPriority w:val="99"/>
    <w:pPr>
      <w:spacing w:after="0" w:line="240" w:lineRule="auto"/>
    </w:pPr>
    <w:tblPr>
      <w:tblBorders>
        <w:top w:val="single" w:color="F3BA02" w:themeColor="accent3" w:themeTint="FE" w:sz="4" w:space="0"/>
        <w:left w:val="single" w:color="F3BA02" w:themeColor="accent3" w:themeTint="FE" w:sz="4" w:space="0"/>
        <w:bottom w:val="single" w:color="F3BA02" w:themeColor="accent3" w:themeTint="FE" w:sz="4" w:space="0"/>
        <w:right w:val="single" w:color="F3BA02" w:themeColor="accent3" w:themeTint="FE" w:sz="4" w:space="0"/>
        <w:insideH w:val="single" w:color="F3BA02" w:themeColor="accent3" w:themeTint="FE" w:sz="4" w:space="0"/>
        <w:insideV w:val="single" w:color="F3BA02" w:themeColor="accent3" w:themeTint="FE" w:sz="4" w:space="0"/>
      </w:tblBorders>
    </w:tblPr>
    <w:tblStylePr w:type="firstRow">
      <w:rPr>
        <w:b/>
        <w:color w:val="F2BA02" w:themeColor="accent3" w:themeTint="FF"/>
        <w14:textFill>
          <w14:solidFill>
            <w14:schemeClr w14:val="accent3">
              <w14:lumMod w14:val="100000"/>
              <w14:lumOff w14:val="0"/>
            </w14:schemeClr>
          </w14:solidFill>
        </w14:textFill>
      </w:rPr>
      <w:tcPr>
        <w:tcBorders>
          <w:bottom w:val="single" w:color="F3BA02" w:themeColor="accent3" w:themeTint="FE" w:sz="12" w:space="0"/>
        </w:tcBorders>
      </w:tcPr>
    </w:tblStylePr>
    <w:tblStylePr w:type="lastRow">
      <w:rPr>
        <w:b/>
        <w:color w:val="F2BA02" w:themeColor="accent3" w:themeTint="FF"/>
        <w14:textFill>
          <w14:solidFill>
            <w14:schemeClr w14:val="accent3">
              <w14:lumMod w14:val="100000"/>
              <w14:lumOff w14:val="0"/>
            </w14:schemeClr>
          </w14:solidFill>
        </w14:textFill>
      </w:rPr>
    </w:tblStylePr>
    <w:tblStylePr w:type="firstCol">
      <w:rPr>
        <w:b/>
        <w:color w:val="F2BA02" w:themeColor="accent3" w:themeTint="FF"/>
        <w14:textFill>
          <w14:solidFill>
            <w14:schemeClr w14:val="accent3">
              <w14:lumMod w14:val="100000"/>
              <w14:lumOff w14:val="0"/>
            </w14:schemeClr>
          </w14:solidFill>
        </w14:textFill>
      </w:rPr>
    </w:tblStylePr>
    <w:tblStylePr w:type="lastCol">
      <w:rPr>
        <w:b/>
        <w:color w:val="F2BA02" w:themeColor="accent3" w:themeTint="FF"/>
        <w14:textFill>
          <w14:solidFill>
            <w14:schemeClr w14:val="accent3">
              <w14:lumMod w14:val="100000"/>
              <w14:lumOff w14:val="0"/>
            </w14:schemeClr>
          </w14:solidFill>
        </w14:textFill>
      </w:rPr>
    </w:tblStylePr>
    <w:tblStylePr w:type="band1Vert">
      <w:tcPr>
        <w:shd w:val="clear" w:color="FEF2C9" w:themeColor="accent3" w:themeTint="34" w:fill="FEF2C9" w:themeFill="accent3" w:themeFillTint="34"/>
      </w:tcPr>
    </w:tblStylePr>
    <w:tblStylePr w:type="band1Horz">
      <w:rPr>
        <w:rFonts w:ascii="Arial" w:hAnsi="Arial"/>
        <w:color w:val="F2BA02" w:themeColor="accent3" w:themeTint="FF"/>
        <w:sz w:val="22"/>
        <w14:textFill>
          <w14:solidFill>
            <w14:schemeClr w14:val="accent3">
              <w14:lumMod w14:val="100000"/>
              <w14:lumOff w14:val="0"/>
            </w14:schemeClr>
          </w14:solidFill>
        </w14:textFill>
      </w:rPr>
      <w:tcPr>
        <w:shd w:val="clear" w:color="FEF2C9" w:themeColor="accent3" w:themeTint="34" w:fill="FEF2C9" w:themeFill="accent3" w:themeFillTint="34"/>
      </w:tcPr>
    </w:tblStylePr>
    <w:tblStylePr w:type="band2Horz">
      <w:rPr>
        <w:rFonts w:ascii="Arial" w:hAnsi="Arial"/>
        <w:color w:val="F2BA02" w:themeColor="accent3" w:themeTint="FF"/>
        <w:sz w:val="22"/>
        <w14:textFill>
          <w14:solidFill>
            <w14:schemeClr w14:val="accent3">
              <w14:lumMod w14:val="100000"/>
              <w14:lumOff w14:val="0"/>
            </w14:schemeClr>
          </w14:solidFill>
        </w14:textFill>
      </w:rPr>
    </w:tblStylePr>
  </w:style>
  <w:style w:type="table" w:customStyle="1" w:styleId="113">
    <w:name w:val="Grid Table 6 Colorful - Accent 4"/>
    <w:basedOn w:val="42"/>
    <w:qFormat/>
    <w:uiPriority w:val="99"/>
    <w:pPr>
      <w:spacing w:after="0" w:line="240" w:lineRule="auto"/>
    </w:pPr>
    <w:tblPr>
      <w:tbl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insideH w:val="single" w:color="ABD78C" w:themeColor="accent4" w:themeTint="9A" w:sz="4" w:space="0"/>
        <w:insideV w:val="single" w:color="ABD78C" w:themeColor="accent4" w:themeTint="9A" w:sz="4" w:space="0"/>
      </w:tblBorders>
    </w:tblPr>
    <w:tblStylePr w:type="firstRow">
      <w:rPr>
        <w:b/>
        <w:color w:val="ACD78E" w:themeColor="accent4" w:themeTint="99"/>
        <w14:textFill>
          <w14:solidFill>
            <w14:schemeClr w14:val="accent4">
              <w14:lumMod w14:val="60000"/>
              <w14:lumOff w14:val="40000"/>
            </w14:schemeClr>
          </w14:solidFill>
        </w14:textFill>
      </w:rPr>
      <w:tcPr>
        <w:tcBorders>
          <w:bottom w:val="single" w:color="ABD78C" w:themeColor="accent4" w:themeTint="9A" w:sz="12" w:space="0"/>
        </w:tcBorders>
      </w:tcPr>
    </w:tblStylePr>
    <w:tblStylePr w:type="lastRow">
      <w:rPr>
        <w:b/>
        <w:color w:val="ACD78E" w:themeColor="accent4" w:themeTint="99"/>
        <w14:textFill>
          <w14:solidFill>
            <w14:schemeClr w14:val="accent4">
              <w14:lumMod w14:val="60000"/>
              <w14:lumOff w14:val="40000"/>
            </w14:schemeClr>
          </w14:solidFill>
        </w14:textFill>
      </w:rPr>
    </w:tblStylePr>
    <w:tblStylePr w:type="firstCol">
      <w:rPr>
        <w:b/>
        <w:color w:val="ACD78E" w:themeColor="accent4" w:themeTint="99"/>
        <w14:textFill>
          <w14:solidFill>
            <w14:schemeClr w14:val="accent4">
              <w14:lumMod w14:val="60000"/>
              <w14:lumOff w14:val="40000"/>
            </w14:schemeClr>
          </w14:solidFill>
        </w14:textFill>
      </w:rPr>
    </w:tblStylePr>
    <w:tblStylePr w:type="lastCol">
      <w:rPr>
        <w:b/>
        <w:color w:val="ACD78E" w:themeColor="accent4" w:themeTint="99"/>
        <w14:textFill>
          <w14:solidFill>
            <w14:schemeClr w14:val="accent4">
              <w14:lumMod w14:val="60000"/>
              <w14:lumOff w14:val="40000"/>
            </w14:schemeClr>
          </w14:solidFill>
        </w14:textFill>
      </w:rPr>
    </w:tblStylePr>
    <w:tblStylePr w:type="band1Vert">
      <w:tcPr>
        <w:shd w:val="clear" w:color="E2F1D8" w:themeColor="accent4" w:themeTint="34" w:fill="E2F1D8" w:themeFill="accent4" w:themeFillTint="34"/>
      </w:tcPr>
    </w:tblStyle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E2F1D8" w:themeColor="accent4" w:themeTint="34" w:fill="E2F1D8" w:themeFill="accent4" w:themeFillTint="34"/>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style>
  <w:style w:type="table" w:customStyle="1" w:styleId="114">
    <w:name w:val="Grid Table 6 Colorful - Accent 5"/>
    <w:basedOn w:val="42"/>
    <w:qFormat/>
    <w:uiPriority w:val="99"/>
    <w:pPr>
      <w:spacing w:after="0" w:line="240" w:lineRule="auto"/>
    </w:pPr>
    <w:tblPr>
      <w:tblBorders>
        <w:top w:val="single" w:color="30C0B4" w:themeColor="accent5" w:sz="4" w:space="0"/>
        <w:left w:val="single" w:color="30C0B4" w:themeColor="accent5" w:sz="4" w:space="0"/>
        <w:bottom w:val="single" w:color="30C0B4" w:themeColor="accent5" w:sz="4" w:space="0"/>
        <w:right w:val="single" w:color="30C0B4" w:themeColor="accent5" w:sz="4" w:space="0"/>
        <w:insideH w:val="single" w:color="30C0B4" w:themeColor="accent5" w:sz="4" w:space="0"/>
        <w:insideV w:val="single" w:color="30C0B4" w:themeColor="accent5" w:sz="4" w:space="0"/>
      </w:tblBorders>
    </w:tblPr>
    <w:tblStylePr w:type="firstRow">
      <w:rPr>
        <w:b/>
        <w:color w:val="1C6F68" w:themeColor="accent5" w:themeShade="94"/>
      </w:rPr>
      <w:tcPr>
        <w:tcBorders>
          <w:bottom w:val="single" w:color="30C0B4" w:themeColor="accent5" w:sz="12" w:space="0"/>
        </w:tcBorders>
      </w:tcPr>
    </w:tblStylePr>
    <w:tblStylePr w:type="lastRow">
      <w:rPr>
        <w:b/>
        <w:color w:val="1C6F68" w:themeColor="accent5" w:themeShade="94"/>
      </w:rPr>
    </w:tblStylePr>
    <w:tblStylePr w:type="firstCol">
      <w:rPr>
        <w:b/>
        <w:color w:val="1C6F68" w:themeColor="accent5" w:themeShade="94"/>
      </w:rPr>
    </w:tblStylePr>
    <w:tblStylePr w:type="lastCol">
      <w:rPr>
        <w:b/>
        <w:color w:val="1C6F68" w:themeColor="accent5" w:themeShade="94"/>
      </w:rPr>
    </w:tblStylePr>
    <w:tblStylePr w:type="band1Vert">
      <w:tcPr>
        <w:shd w:val="clear" w:color="D2F3F1" w:themeColor="accent5" w:themeTint="34" w:fill="D2F3F1" w:themeFill="accent5" w:themeFillTint="34"/>
      </w:tcPr>
    </w:tblStylePr>
    <w:tblStylePr w:type="band1Horz">
      <w:rPr>
        <w:rFonts w:ascii="Arial" w:hAnsi="Arial"/>
        <w:color w:val="1C6F68" w:themeColor="accent5" w:themeShade="94"/>
        <w:sz w:val="22"/>
      </w:rPr>
      <w:tcPr>
        <w:shd w:val="clear" w:color="D2F3F1" w:themeColor="accent5" w:themeTint="34" w:fill="D2F3F1" w:themeFill="accent5" w:themeFillTint="34"/>
      </w:tcPr>
    </w:tblStylePr>
    <w:tblStylePr w:type="band2Horz">
      <w:rPr>
        <w:rFonts w:ascii="Arial" w:hAnsi="Arial"/>
        <w:color w:val="1C6F68" w:themeColor="accent5" w:themeShade="94"/>
        <w:sz w:val="22"/>
      </w:rPr>
    </w:tblStylePr>
  </w:style>
  <w:style w:type="table" w:customStyle="1" w:styleId="115">
    <w:name w:val="Grid Table 6 Colorful - Accent 6"/>
    <w:basedOn w:val="42"/>
    <w:qFormat/>
    <w:uiPriority w:val="99"/>
    <w:pPr>
      <w:spacing w:after="0" w:line="240" w:lineRule="auto"/>
    </w:pPr>
    <w:tblPr>
      <w:tblBorders>
        <w:top w:val="single" w:color="E54C5E" w:themeColor="accent6" w:sz="4" w:space="0"/>
        <w:left w:val="single" w:color="E54C5E" w:themeColor="accent6" w:sz="4" w:space="0"/>
        <w:bottom w:val="single" w:color="E54C5E" w:themeColor="accent6" w:sz="4" w:space="0"/>
        <w:right w:val="single" w:color="E54C5E" w:themeColor="accent6" w:sz="4" w:space="0"/>
        <w:insideH w:val="single" w:color="E54C5E" w:themeColor="accent6" w:sz="4" w:space="0"/>
        <w:insideV w:val="single" w:color="E54C5E" w:themeColor="accent6" w:sz="4" w:space="0"/>
      </w:tblBorders>
    </w:tblPr>
    <w:tblStylePr w:type="firstRow">
      <w:rPr>
        <w:b/>
        <w:color w:val="1C6F68" w:themeColor="accent5" w:themeShade="94"/>
      </w:rPr>
      <w:tcPr>
        <w:tcBorders>
          <w:bottom w:val="single" w:color="E54C5E" w:themeColor="accent6" w:sz="12" w:space="0"/>
        </w:tcBorders>
      </w:tcPr>
    </w:tblStylePr>
    <w:tblStylePr w:type="lastRow">
      <w:rPr>
        <w:b/>
        <w:color w:val="1C6F68" w:themeColor="accent5" w:themeShade="94"/>
      </w:rPr>
    </w:tblStylePr>
    <w:tblStylePr w:type="firstCol">
      <w:rPr>
        <w:b/>
        <w:color w:val="1C6F68" w:themeColor="accent5" w:themeShade="94"/>
      </w:rPr>
    </w:tblStylePr>
    <w:tblStylePr w:type="lastCol">
      <w:rPr>
        <w:b/>
        <w:color w:val="1C6F68" w:themeColor="accent5" w:themeShade="94"/>
      </w:rPr>
    </w:tblStylePr>
    <w:tblStylePr w:type="band1Vert">
      <w:tcPr>
        <w:shd w:val="clear" w:color="F9DADE" w:themeColor="accent6" w:themeTint="34" w:fill="F9DADE" w:themeFill="accent6" w:themeFillTint="34"/>
      </w:tcPr>
    </w:tblStylePr>
    <w:tblStylePr w:type="band1Horz">
      <w:rPr>
        <w:rFonts w:ascii="Arial" w:hAnsi="Arial"/>
        <w:color w:val="1C6F68" w:themeColor="accent5" w:themeShade="94"/>
        <w:sz w:val="22"/>
      </w:rPr>
      <w:tcPr>
        <w:shd w:val="clear" w:color="F9DADE" w:themeColor="accent6" w:themeTint="34" w:fill="F9DADE" w:themeFill="accent6" w:themeFillTint="34"/>
      </w:tcPr>
    </w:tblStylePr>
    <w:tblStylePr w:type="band2Horz">
      <w:rPr>
        <w:rFonts w:ascii="Arial" w:hAnsi="Arial"/>
        <w:color w:val="1C6F68" w:themeColor="accent5" w:themeShade="94"/>
        <w:sz w:val="22"/>
      </w:rPr>
    </w:tblStylePr>
  </w:style>
  <w:style w:type="table" w:customStyle="1" w:styleId="116">
    <w:name w:val="Grid Table 7 Colorful"/>
    <w:basedOn w:val="42"/>
    <w:qFormat/>
    <w:uiPriority w:val="99"/>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17">
    <w:name w:val="Grid Table 7 Colorful - Accent 1"/>
    <w:basedOn w:val="42"/>
    <w:qFormat/>
    <w:uiPriority w:val="99"/>
    <w:pPr>
      <w:spacing w:after="0" w:line="240" w:lineRule="auto"/>
    </w:pPr>
    <w:tblPr>
      <w:tblBorders>
        <w:bottom w:val="single" w:color="A3B9E4" w:themeColor="accent1" w:themeTint="80" w:sz="4" w:space="0"/>
        <w:right w:val="single" w:color="A3B9E4" w:themeColor="accent1" w:themeTint="80" w:sz="4" w:space="0"/>
        <w:insideH w:val="single" w:color="A3B9E4" w:themeColor="accent1" w:themeTint="80" w:sz="4" w:space="0"/>
        <w:insideV w:val="single" w:color="A3B9E4" w:themeColor="accent1" w:themeTint="80" w:sz="4" w:space="0"/>
      </w:tblBorders>
    </w:tblPr>
    <w:tblStylePr w:type="firstRow">
      <w:rPr>
        <w:rFonts w:ascii="Arial" w:hAnsi="Arial"/>
        <w:b/>
        <w:color w:val="A4BAE5" w:themeColor="accent1" w:themeTint="80"/>
        <w:sz w:val="22"/>
        <w14:textFill>
          <w14:solidFill>
            <w14:schemeClr w14:val="accent1">
              <w14:lumMod w14:val="50000"/>
              <w14:lumOff w14:val="50000"/>
            </w14:schemeClr>
          </w14:solidFill>
        </w14:textFill>
      </w:rPr>
      <w:tcPr>
        <w:tcBorders>
          <w:top w:val="nil"/>
          <w:left w:val="nil"/>
          <w:bottom w:val="single" w:color="A3B9E4" w:themeColor="accent1" w:themeTint="80" w:sz="4" w:space="0"/>
          <w:right w:val="nil"/>
        </w:tcBorders>
        <w:shd w:val="clear" w:color="FFFFFF" w:themeColor="light1" w:fill="FFFFFF" w:themeFill="light1"/>
      </w:tcPr>
    </w:tblStylePr>
    <w:tblStylePr w:type="lastRow">
      <w:rPr>
        <w:rFonts w:ascii="Arial" w:hAnsi="Arial"/>
        <w:b/>
        <w:color w:val="A4BAE5" w:themeColor="accent1" w:themeTint="80"/>
        <w:sz w:val="22"/>
        <w14:textFill>
          <w14:solidFill>
            <w14:schemeClr w14:val="accent1">
              <w14:lumMod w14:val="50000"/>
              <w14:lumOff w14:val="50000"/>
            </w14:schemeClr>
          </w14:solidFill>
        </w14:textFill>
      </w:rPr>
      <w:tcPr>
        <w:tcBorders>
          <w:top w:val="single" w:color="A3B9E4" w:themeColor="accent1" w:themeTint="80" w:sz="4" w:space="0"/>
          <w:left w:val="nil"/>
          <w:bottom w:val="nil"/>
          <w:right w:val="nil"/>
        </w:tcBorders>
        <w:shd w:val="clear" w:color="FFFFFF" w:themeColor="light1" w:fill="FFFFFF" w:themeFill="light1"/>
      </w:tcPr>
    </w:tblStylePr>
    <w:tblStylePr w:type="firstCol">
      <w:pPr>
        <w:jc w:val="right"/>
      </w:pPr>
      <w:rPr>
        <w:rFonts w:ascii="Arial" w:hAnsi="Arial"/>
        <w:i/>
        <w:color w:val="A4BAE5" w:themeColor="accent1" w:themeTint="80"/>
        <w:sz w:val="22"/>
        <w14:textFill>
          <w14:solidFill>
            <w14:schemeClr w14:val="accent1">
              <w14:lumMod w14:val="50000"/>
              <w14:lumOff w14:val="50000"/>
            </w14:schemeClr>
          </w14:solidFill>
        </w14:textFill>
      </w:rPr>
      <w:tcPr>
        <w:tcBorders>
          <w:top w:val="nil"/>
          <w:left w:val="nil"/>
          <w:bottom w:val="nil"/>
          <w:right w:val="single" w:color="A3B9E4" w:themeColor="accent1" w:themeTint="80" w:sz="4" w:space="0"/>
        </w:tcBorders>
        <w:shd w:val="clear" w:color="FFFFFF" w:fill="auto"/>
      </w:tcPr>
    </w:tblStylePr>
    <w:tblStylePr w:type="lastCol">
      <w:rPr>
        <w:rFonts w:ascii="Arial" w:hAnsi="Arial"/>
        <w:i/>
        <w:color w:val="A4BAE5" w:themeColor="accent1" w:themeTint="80"/>
        <w:sz w:val="22"/>
        <w14:textFill>
          <w14:solidFill>
            <w14:schemeClr w14:val="accent1">
              <w14:lumMod w14:val="50000"/>
              <w14:lumOff w14:val="50000"/>
            </w14:schemeClr>
          </w14:solidFill>
        </w14:textFill>
      </w:rPr>
      <w:tcPr>
        <w:tcBorders>
          <w:top w:val="nil"/>
          <w:left w:val="single" w:color="A3B9E4" w:themeColor="accent1" w:themeTint="80" w:sz="4" w:space="0"/>
          <w:bottom w:val="nil"/>
          <w:right w:val="nil"/>
        </w:tcBorders>
        <w:shd w:val="clear" w:color="FFFFFF" w:fill="auto"/>
      </w:tcPr>
    </w:tblStylePr>
    <w:tblStylePr w:type="band1Vert">
      <w:tcPr>
        <w:shd w:val="clear" w:color="D9E2F4" w:themeColor="accent1" w:themeTint="34" w:fill="D9E2F4" w:themeFill="accent1" w:themeFillTint="34"/>
      </w:tcPr>
    </w:tblStylePr>
    <w:tblStylePr w:type="band1Horz">
      <w:rPr>
        <w:rFonts w:ascii="Arial" w:hAnsi="Arial"/>
        <w:color w:val="A4BAE5" w:themeColor="accent1" w:themeTint="80"/>
        <w:sz w:val="22"/>
        <w14:textFill>
          <w14:solidFill>
            <w14:schemeClr w14:val="accent1">
              <w14:lumMod w14:val="50000"/>
              <w14:lumOff w14:val="50000"/>
            </w14:schemeClr>
          </w14:solidFill>
        </w14:textFill>
      </w:rPr>
      <w:tcPr>
        <w:shd w:val="clear" w:color="D9E2F4" w:themeColor="accent1" w:themeTint="34" w:fill="D9E2F4" w:themeFill="accent1" w:themeFillTint="34"/>
      </w:tcPr>
    </w:tblStylePr>
    <w:tblStylePr w:type="band2Horz">
      <w:rPr>
        <w:rFonts w:ascii="Arial" w:hAnsi="Arial"/>
        <w:color w:val="A4BAE5" w:themeColor="accent1" w:themeTint="80"/>
        <w:sz w:val="22"/>
        <w14:textFill>
          <w14:solidFill>
            <w14:schemeClr w14:val="accent1">
              <w14:lumMod w14:val="50000"/>
              <w14:lumOff w14:val="50000"/>
            </w14:schemeClr>
          </w14:solidFill>
        </w14:textFill>
      </w:rPr>
    </w:tblStylePr>
  </w:style>
  <w:style w:type="table" w:customStyle="1" w:styleId="118">
    <w:name w:val="Grid Table 7 Colorful - Accent 2"/>
    <w:basedOn w:val="42"/>
    <w:qFormat/>
    <w:uiPriority w:val="99"/>
    <w:pPr>
      <w:spacing w:after="0" w:line="240" w:lineRule="auto"/>
    </w:pPr>
    <w:tblPr>
      <w:tblBorders>
        <w:bottom w:val="single" w:color="F4B483" w:themeColor="accent2" w:themeTint="97" w:sz="4" w:space="0"/>
        <w:right w:val="single" w:color="F4B483" w:themeColor="accent2" w:themeTint="97" w:sz="4" w:space="0"/>
        <w:insideH w:val="single" w:color="F4B483" w:themeColor="accent2" w:themeTint="97" w:sz="4" w:space="0"/>
        <w:insideV w:val="single" w:color="F4B483" w:themeColor="accent2" w:themeTint="97" w:sz="4" w:space="0"/>
      </w:tblBorders>
    </w:tblPr>
    <w:tblStylePr w:type="firstRow">
      <w:rPr>
        <w:rFonts w:ascii="Arial" w:hAnsi="Arial"/>
        <w:b/>
        <w:color w:val="F5B584" w:themeColor="accent2" w:themeTint="96"/>
        <w:sz w:val="22"/>
        <w14:textFill>
          <w14:solidFill>
            <w14:schemeClr w14:val="accent2">
              <w14:lumMod w14:val="59000"/>
              <w14:lumOff w14:val="41000"/>
            </w14:schemeClr>
          </w14:solidFill>
        </w14:textFill>
      </w:rPr>
      <w:tcPr>
        <w:tcBorders>
          <w:top w:val="nil"/>
          <w:left w:val="nil"/>
          <w:bottom w:val="single" w:color="F4B483" w:themeColor="accent2" w:themeTint="97" w:sz="4" w:space="0"/>
          <w:right w:val="nil"/>
        </w:tcBorders>
        <w:shd w:val="clear" w:color="FFFFFF" w:themeColor="light1" w:fill="FFFFFF" w:themeFill="light1"/>
      </w:tcPr>
    </w:tblStylePr>
    <w:tblStylePr w:type="lastRow">
      <w:rPr>
        <w:rFonts w:ascii="Arial" w:hAnsi="Arial"/>
        <w:b/>
        <w:color w:val="F5B584" w:themeColor="accent2" w:themeTint="96"/>
        <w:sz w:val="22"/>
        <w14:textFill>
          <w14:solidFill>
            <w14:schemeClr w14:val="accent2">
              <w14:lumMod w14:val="59000"/>
              <w14:lumOff w14:val="41000"/>
            </w14:schemeClr>
          </w14:solidFill>
        </w14:textFill>
      </w:rPr>
      <w:tcPr>
        <w:tcBorders>
          <w:top w:val="single" w:color="F4B483"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F5B584" w:themeColor="accent2" w:themeTint="96"/>
        <w:sz w:val="22"/>
        <w14:textFill>
          <w14:solidFill>
            <w14:schemeClr w14:val="accent2">
              <w14:lumMod w14:val="59000"/>
              <w14:lumOff w14:val="41000"/>
            </w14:schemeClr>
          </w14:solidFill>
        </w14:textFill>
      </w:rPr>
      <w:tcPr>
        <w:tcBorders>
          <w:top w:val="nil"/>
          <w:left w:val="nil"/>
          <w:bottom w:val="nil"/>
          <w:right w:val="single" w:color="F4B483" w:themeColor="accent2" w:themeTint="97" w:sz="4" w:space="0"/>
        </w:tcBorders>
        <w:shd w:val="clear" w:color="FFFFFF" w:fill="auto"/>
      </w:tcPr>
    </w:tblStylePr>
    <w:tblStylePr w:type="lastCol">
      <w:rPr>
        <w:rFonts w:ascii="Arial" w:hAnsi="Arial"/>
        <w:i/>
        <w:color w:val="F5B584" w:themeColor="accent2" w:themeTint="96"/>
        <w:sz w:val="22"/>
        <w14:textFill>
          <w14:solidFill>
            <w14:schemeClr w14:val="accent2">
              <w14:lumMod w14:val="59000"/>
              <w14:lumOff w14:val="41000"/>
            </w14:schemeClr>
          </w14:solidFill>
        </w14:textFill>
      </w:rPr>
      <w:tcPr>
        <w:tcBorders>
          <w:top w:val="nil"/>
          <w:left w:val="single" w:color="F4B483" w:themeColor="accent2" w:themeTint="97" w:sz="4" w:space="0"/>
          <w:bottom w:val="nil"/>
          <w:right w:val="nil"/>
        </w:tcBorders>
        <w:shd w:val="clear" w:color="FFFFFF" w:fill="auto"/>
      </w:tcPr>
    </w:tblStylePr>
    <w:tblStylePr w:type="band1Vert">
      <w:tcPr>
        <w:shd w:val="clear" w:color="FBE6D6" w:themeColor="accent2" w:themeTint="32" w:fill="FBE6D6" w:themeFill="accent2" w:themeFillTint="32"/>
      </w:tcPr>
    </w:tblStyle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BE6D6" w:themeColor="accent2" w:themeTint="32" w:fill="FBE6D6" w:themeFill="accent2" w:themeFillTint="32"/>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style>
  <w:style w:type="table" w:customStyle="1" w:styleId="119">
    <w:name w:val="Grid Table 7 Colorful - Accent 3"/>
    <w:basedOn w:val="42"/>
    <w:qFormat/>
    <w:uiPriority w:val="99"/>
    <w:pPr>
      <w:spacing w:after="0" w:line="240" w:lineRule="auto"/>
    </w:pPr>
    <w:tblPr>
      <w:tblBorders>
        <w:bottom w:val="single" w:color="F3BA02" w:themeColor="accent3" w:themeTint="FE" w:sz="4" w:space="0"/>
        <w:right w:val="single" w:color="F3BA02" w:themeColor="accent3" w:themeTint="FE" w:sz="4" w:space="0"/>
        <w:insideH w:val="single" w:color="F3BA02" w:themeColor="accent3" w:themeTint="FE" w:sz="4" w:space="0"/>
        <w:insideV w:val="single" w:color="F3BA02" w:themeColor="accent3" w:themeTint="FE" w:sz="4" w:space="0"/>
      </w:tblBorders>
    </w:tblPr>
    <w:tblStylePr w:type="firstRow">
      <w:rPr>
        <w:rFonts w:ascii="Arial" w:hAnsi="Arial"/>
        <w:b/>
        <w:color w:val="F2BA02" w:themeColor="accent3" w:themeTint="FF"/>
        <w:sz w:val="22"/>
        <w14:textFill>
          <w14:solidFill>
            <w14:schemeClr w14:val="accent3">
              <w14:lumMod w14:val="100000"/>
              <w14:lumOff w14:val="0"/>
            </w14:schemeClr>
          </w14:solidFill>
        </w14:textFill>
      </w:rPr>
      <w:tcPr>
        <w:tcBorders>
          <w:top w:val="nil"/>
          <w:left w:val="nil"/>
          <w:bottom w:val="single" w:color="F3BA02" w:themeColor="accent3" w:themeTint="FE" w:sz="4" w:space="0"/>
          <w:right w:val="nil"/>
        </w:tcBorders>
        <w:shd w:val="clear" w:color="FFFFFF" w:themeColor="light1" w:fill="FFFFFF" w:themeFill="light1"/>
      </w:tcPr>
    </w:tblStylePr>
    <w:tblStylePr w:type="lastRow">
      <w:rPr>
        <w:rFonts w:ascii="Arial" w:hAnsi="Arial"/>
        <w:b/>
        <w:color w:val="F2BA02" w:themeColor="accent3" w:themeTint="FF"/>
        <w:sz w:val="22"/>
        <w14:textFill>
          <w14:solidFill>
            <w14:schemeClr w14:val="accent3">
              <w14:lumMod w14:val="100000"/>
              <w14:lumOff w14:val="0"/>
            </w14:schemeClr>
          </w14:solidFill>
        </w14:textFill>
      </w:rPr>
      <w:tcPr>
        <w:tcBorders>
          <w:top w:val="single" w:color="F3BA02" w:themeColor="accent3" w:themeTint="FE" w:sz="4" w:space="0"/>
          <w:left w:val="nil"/>
          <w:bottom w:val="nil"/>
          <w:right w:val="nil"/>
        </w:tcBorders>
        <w:shd w:val="clear" w:color="FFFFFF" w:themeColor="light1" w:fill="FFFFFF" w:themeFill="light1"/>
      </w:tcPr>
    </w:tblStylePr>
    <w:tblStylePr w:type="firstCol">
      <w:pPr>
        <w:jc w:val="right"/>
      </w:pPr>
      <w:rPr>
        <w:rFonts w:ascii="Arial" w:hAnsi="Arial"/>
        <w:i/>
        <w:color w:val="F2BA02" w:themeColor="accent3" w:themeTint="FF"/>
        <w:sz w:val="22"/>
        <w14:textFill>
          <w14:solidFill>
            <w14:schemeClr w14:val="accent3">
              <w14:lumMod w14:val="100000"/>
              <w14:lumOff w14:val="0"/>
            </w14:schemeClr>
          </w14:solidFill>
        </w14:textFill>
      </w:rPr>
      <w:tcPr>
        <w:tcBorders>
          <w:top w:val="nil"/>
          <w:left w:val="nil"/>
          <w:bottom w:val="nil"/>
          <w:right w:val="single" w:color="F3BA02" w:themeColor="accent3" w:themeTint="FE" w:sz="4" w:space="0"/>
        </w:tcBorders>
        <w:shd w:val="clear" w:color="FFFFFF" w:fill="auto"/>
      </w:tcPr>
    </w:tblStylePr>
    <w:tblStylePr w:type="lastCol">
      <w:rPr>
        <w:rFonts w:ascii="Arial" w:hAnsi="Arial"/>
        <w:i/>
        <w:color w:val="F2BA02" w:themeColor="accent3" w:themeTint="FF"/>
        <w:sz w:val="22"/>
        <w14:textFill>
          <w14:solidFill>
            <w14:schemeClr w14:val="accent3">
              <w14:lumMod w14:val="100000"/>
              <w14:lumOff w14:val="0"/>
            </w14:schemeClr>
          </w14:solidFill>
        </w14:textFill>
      </w:rPr>
      <w:tcPr>
        <w:tcBorders>
          <w:top w:val="nil"/>
          <w:left w:val="single" w:color="F3BA02" w:themeColor="accent3" w:themeTint="FE" w:sz="4" w:space="0"/>
          <w:bottom w:val="nil"/>
          <w:right w:val="nil"/>
        </w:tcBorders>
        <w:shd w:val="clear" w:color="FFFFFF" w:fill="auto"/>
      </w:tcPr>
    </w:tblStylePr>
    <w:tblStylePr w:type="band1Vert">
      <w:tcPr>
        <w:shd w:val="clear" w:color="FEF2C9" w:themeColor="accent3" w:themeTint="34" w:fill="FEF2C9" w:themeFill="accent3" w:themeFillTint="34"/>
      </w:tcPr>
    </w:tblStylePr>
    <w:tblStylePr w:type="band1Horz">
      <w:rPr>
        <w:rFonts w:ascii="Arial" w:hAnsi="Arial"/>
        <w:color w:val="F2BA02" w:themeColor="accent3" w:themeTint="FF"/>
        <w:sz w:val="22"/>
        <w14:textFill>
          <w14:solidFill>
            <w14:schemeClr w14:val="accent3">
              <w14:lumMod w14:val="100000"/>
              <w14:lumOff w14:val="0"/>
            </w14:schemeClr>
          </w14:solidFill>
        </w14:textFill>
      </w:rPr>
      <w:tcPr>
        <w:shd w:val="clear" w:color="FEF2C9" w:themeColor="accent3" w:themeTint="34" w:fill="FEF2C9" w:themeFill="accent3" w:themeFillTint="34"/>
      </w:tcPr>
    </w:tblStylePr>
    <w:tblStylePr w:type="band2Horz">
      <w:rPr>
        <w:rFonts w:ascii="Arial" w:hAnsi="Arial"/>
        <w:color w:val="F2BA02" w:themeColor="accent3" w:themeTint="FF"/>
        <w:sz w:val="22"/>
        <w14:textFill>
          <w14:solidFill>
            <w14:schemeClr w14:val="accent3">
              <w14:lumMod w14:val="100000"/>
              <w14:lumOff w14:val="0"/>
            </w14:schemeClr>
          </w14:solidFill>
        </w14:textFill>
      </w:rPr>
    </w:tblStylePr>
  </w:style>
  <w:style w:type="table" w:customStyle="1" w:styleId="120">
    <w:name w:val="Grid Table 7 Colorful - Accent 4"/>
    <w:basedOn w:val="42"/>
    <w:qFormat/>
    <w:uiPriority w:val="99"/>
    <w:pPr>
      <w:spacing w:after="0" w:line="240" w:lineRule="auto"/>
    </w:pPr>
    <w:tblPr>
      <w:tblBorders>
        <w:bottom w:val="single" w:color="ABD78C" w:themeColor="accent4" w:themeTint="9A" w:sz="4" w:space="0"/>
        <w:right w:val="single" w:color="ABD78C" w:themeColor="accent4" w:themeTint="9A" w:sz="4" w:space="0"/>
        <w:insideH w:val="single" w:color="ABD78C" w:themeColor="accent4" w:themeTint="9A" w:sz="4" w:space="0"/>
        <w:insideV w:val="single" w:color="ABD78C" w:themeColor="accent4" w:themeTint="9A" w:sz="4" w:space="0"/>
      </w:tblBorders>
    </w:tblPr>
    <w:tblStylePr w:type="firstRow">
      <w:rPr>
        <w:rFonts w:ascii="Arial" w:hAnsi="Arial"/>
        <w:b/>
        <w:color w:val="ACD78E" w:themeColor="accent4" w:themeTint="99"/>
        <w:sz w:val="22"/>
        <w14:textFill>
          <w14:solidFill>
            <w14:schemeClr w14:val="accent4">
              <w14:lumMod w14:val="60000"/>
              <w14:lumOff w14:val="40000"/>
            </w14:schemeClr>
          </w14:solidFill>
        </w14:textFill>
      </w:rPr>
      <w:tcPr>
        <w:tcBorders>
          <w:top w:val="nil"/>
          <w:left w:val="nil"/>
          <w:bottom w:val="single" w:color="ABD78C" w:themeColor="accent4" w:themeTint="9A" w:sz="4" w:space="0"/>
          <w:right w:val="nil"/>
        </w:tcBorders>
        <w:shd w:val="clear" w:color="FFFFFF" w:themeColor="light1" w:fill="FFFFFF" w:themeFill="light1"/>
      </w:tcPr>
    </w:tblStylePr>
    <w:tblStylePr w:type="lastRow">
      <w:rPr>
        <w:rFonts w:ascii="Arial" w:hAnsi="Arial"/>
        <w:b/>
        <w:color w:val="ACD78E" w:themeColor="accent4" w:themeTint="99"/>
        <w:sz w:val="22"/>
        <w14:textFill>
          <w14:solidFill>
            <w14:schemeClr w14:val="accent4">
              <w14:lumMod w14:val="60000"/>
              <w14:lumOff w14:val="40000"/>
            </w14:schemeClr>
          </w14:solidFill>
        </w14:textFill>
      </w:rPr>
      <w:tcPr>
        <w:tcBorders>
          <w:top w:val="single" w:color="ABD78C"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ACD78E" w:themeColor="accent4" w:themeTint="99"/>
        <w:sz w:val="22"/>
        <w14:textFill>
          <w14:solidFill>
            <w14:schemeClr w14:val="accent4">
              <w14:lumMod w14:val="60000"/>
              <w14:lumOff w14:val="40000"/>
            </w14:schemeClr>
          </w14:solidFill>
        </w14:textFill>
      </w:rPr>
      <w:tcPr>
        <w:tcBorders>
          <w:top w:val="nil"/>
          <w:left w:val="nil"/>
          <w:bottom w:val="nil"/>
          <w:right w:val="single" w:color="ABD78C" w:themeColor="accent4" w:themeTint="9A" w:sz="4" w:space="0"/>
        </w:tcBorders>
        <w:shd w:val="clear" w:color="FFFFFF" w:fill="auto"/>
      </w:tcPr>
    </w:tblStylePr>
    <w:tblStylePr w:type="lastCol">
      <w:rPr>
        <w:rFonts w:ascii="Arial" w:hAnsi="Arial"/>
        <w:i/>
        <w:color w:val="ACD78E" w:themeColor="accent4" w:themeTint="99"/>
        <w:sz w:val="22"/>
        <w14:textFill>
          <w14:solidFill>
            <w14:schemeClr w14:val="accent4">
              <w14:lumMod w14:val="60000"/>
              <w14:lumOff w14:val="40000"/>
            </w14:schemeClr>
          </w14:solidFill>
        </w14:textFill>
      </w:rPr>
      <w:tcPr>
        <w:tcBorders>
          <w:top w:val="nil"/>
          <w:left w:val="single" w:color="ABD78C" w:themeColor="accent4" w:themeTint="9A" w:sz="4" w:space="0"/>
          <w:bottom w:val="nil"/>
          <w:right w:val="nil"/>
        </w:tcBorders>
        <w:shd w:val="clear" w:color="FFFFFF" w:fill="auto"/>
      </w:tcPr>
    </w:tblStylePr>
    <w:tblStylePr w:type="band1Vert">
      <w:tcPr>
        <w:shd w:val="clear" w:color="E2F1D8" w:themeColor="accent4" w:themeTint="34" w:fill="E2F1D8" w:themeFill="accent4" w:themeFillTint="34"/>
      </w:tcPr>
    </w:tblStyle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E2F1D8" w:themeColor="accent4" w:themeTint="34" w:fill="E2F1D8" w:themeFill="accent4" w:themeFillTint="34"/>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style>
  <w:style w:type="table" w:customStyle="1" w:styleId="121">
    <w:name w:val="Grid Table 7 Colorful - Accent 5"/>
    <w:basedOn w:val="42"/>
    <w:qFormat/>
    <w:uiPriority w:val="99"/>
    <w:pPr>
      <w:spacing w:after="0" w:line="240" w:lineRule="auto"/>
    </w:pPr>
    <w:tblPr>
      <w:tblBorders>
        <w:bottom w:val="single" w:color="85E0D8" w:themeColor="accent5" w:themeTint="90" w:sz="4" w:space="0"/>
        <w:right w:val="single" w:color="85E0D8" w:themeColor="accent5" w:themeTint="90" w:sz="4" w:space="0"/>
        <w:insideH w:val="single" w:color="85E0D8" w:themeColor="accent5" w:themeTint="90" w:sz="4" w:space="0"/>
        <w:insideV w:val="single" w:color="85E0D8" w:themeColor="accent5" w:themeTint="90" w:sz="4" w:space="0"/>
      </w:tblBorders>
    </w:tblPr>
    <w:tblStylePr w:type="firstRow">
      <w:rPr>
        <w:rFonts w:ascii="Arial" w:hAnsi="Arial"/>
        <w:b/>
        <w:color w:val="1C6F68" w:themeColor="accent5" w:themeShade="94"/>
        <w:sz w:val="22"/>
      </w:rPr>
      <w:tcPr>
        <w:tcBorders>
          <w:top w:val="nil"/>
          <w:left w:val="nil"/>
          <w:bottom w:val="single" w:color="85E0D8" w:themeColor="accent5" w:themeTint="90" w:sz="4" w:space="0"/>
          <w:right w:val="nil"/>
        </w:tcBorders>
        <w:shd w:val="clear" w:color="FFFFFF" w:themeColor="light1" w:fill="FFFFFF" w:themeFill="light1"/>
      </w:tcPr>
    </w:tblStylePr>
    <w:tblStylePr w:type="lastRow">
      <w:rPr>
        <w:rFonts w:ascii="Arial" w:hAnsi="Arial"/>
        <w:b/>
        <w:color w:val="1C6F68" w:themeColor="accent5" w:themeShade="94"/>
        <w:sz w:val="22"/>
      </w:rPr>
      <w:tcPr>
        <w:tcBorders>
          <w:top w:val="single" w:color="85E0D8" w:themeColor="accent5" w:themeTint="90" w:sz="4" w:space="0"/>
          <w:left w:val="nil"/>
          <w:bottom w:val="nil"/>
          <w:right w:val="nil"/>
        </w:tcBorders>
        <w:shd w:val="clear" w:color="FFFFFF" w:themeColor="light1" w:fill="FFFFFF" w:themeFill="light1"/>
      </w:tcPr>
    </w:tblStylePr>
    <w:tblStylePr w:type="firstCol">
      <w:pPr>
        <w:jc w:val="right"/>
      </w:pPr>
      <w:rPr>
        <w:rFonts w:ascii="Arial" w:hAnsi="Arial"/>
        <w:i/>
        <w:color w:val="1C6F68" w:themeColor="accent5" w:themeShade="94"/>
        <w:sz w:val="22"/>
      </w:rPr>
      <w:tcPr>
        <w:tcBorders>
          <w:top w:val="nil"/>
          <w:left w:val="nil"/>
          <w:bottom w:val="nil"/>
          <w:right w:val="single" w:color="85E0D8" w:themeColor="accent5" w:themeTint="90" w:sz="4" w:space="0"/>
        </w:tcBorders>
        <w:shd w:val="clear" w:color="FFFFFF" w:fill="auto"/>
      </w:tcPr>
    </w:tblStylePr>
    <w:tblStylePr w:type="lastCol">
      <w:rPr>
        <w:rFonts w:ascii="Arial" w:hAnsi="Arial"/>
        <w:i/>
        <w:color w:val="1C6F68" w:themeColor="accent5" w:themeShade="94"/>
        <w:sz w:val="22"/>
      </w:rPr>
      <w:tcPr>
        <w:tcBorders>
          <w:top w:val="nil"/>
          <w:left w:val="single" w:color="85E0D8" w:themeColor="accent5" w:themeTint="90" w:sz="4" w:space="0"/>
          <w:bottom w:val="nil"/>
          <w:right w:val="nil"/>
        </w:tcBorders>
        <w:shd w:val="clear" w:color="FFFFFF" w:fill="auto"/>
      </w:tcPr>
    </w:tblStylePr>
    <w:tblStylePr w:type="band1Vert">
      <w:tcPr>
        <w:shd w:val="clear" w:color="D2F3F1" w:themeColor="accent5" w:themeTint="34" w:fill="D2F3F1" w:themeFill="accent5" w:themeFillTint="34"/>
      </w:tcPr>
    </w:tblStylePr>
    <w:tblStylePr w:type="band1Horz">
      <w:rPr>
        <w:rFonts w:ascii="Arial" w:hAnsi="Arial"/>
        <w:color w:val="1C6F68" w:themeColor="accent5" w:themeShade="94"/>
        <w:sz w:val="22"/>
      </w:rPr>
      <w:tcPr>
        <w:shd w:val="clear" w:color="D2F3F1" w:themeColor="accent5" w:themeTint="34" w:fill="D2F3F1" w:themeFill="accent5" w:themeFillTint="34"/>
      </w:tcPr>
    </w:tblStylePr>
    <w:tblStylePr w:type="band2Horz">
      <w:rPr>
        <w:rFonts w:ascii="Arial" w:hAnsi="Arial"/>
        <w:color w:val="1C6F68" w:themeColor="accent5" w:themeShade="94"/>
        <w:sz w:val="22"/>
      </w:rPr>
    </w:tblStylePr>
  </w:style>
  <w:style w:type="table" w:customStyle="1" w:styleId="122">
    <w:name w:val="Grid Table 7 Colorful - Accent 6"/>
    <w:basedOn w:val="42"/>
    <w:qFormat/>
    <w:uiPriority w:val="99"/>
    <w:pPr>
      <w:spacing w:after="0" w:line="240" w:lineRule="auto"/>
    </w:pPr>
    <w:tblPr>
      <w:tblBorders>
        <w:bottom w:val="single" w:color="F099A4" w:themeColor="accent6" w:themeTint="90" w:sz="4" w:space="0"/>
        <w:right w:val="single" w:color="F099A4" w:themeColor="accent6" w:themeTint="90" w:sz="4" w:space="0"/>
        <w:insideH w:val="single" w:color="F099A4" w:themeColor="accent6" w:themeTint="90" w:sz="4" w:space="0"/>
        <w:insideV w:val="single" w:color="F099A4" w:themeColor="accent6" w:themeTint="90" w:sz="4" w:space="0"/>
      </w:tblBorders>
    </w:tblPr>
    <w:tblStylePr w:type="firstRow">
      <w:rPr>
        <w:rFonts w:ascii="Arial" w:hAnsi="Arial"/>
        <w:b/>
        <w:color w:val="9A1626" w:themeColor="accent6" w:themeShade="94"/>
        <w:sz w:val="22"/>
      </w:rPr>
      <w:tcPr>
        <w:tcBorders>
          <w:top w:val="nil"/>
          <w:left w:val="nil"/>
          <w:bottom w:val="single" w:color="F099A4" w:themeColor="accent6" w:themeTint="90" w:sz="4" w:space="0"/>
          <w:right w:val="nil"/>
        </w:tcBorders>
        <w:shd w:val="clear" w:color="FFFFFF" w:themeColor="light1" w:fill="FFFFFF" w:themeFill="light1"/>
      </w:tcPr>
    </w:tblStylePr>
    <w:tblStylePr w:type="lastRow">
      <w:rPr>
        <w:rFonts w:ascii="Arial" w:hAnsi="Arial"/>
        <w:b/>
        <w:color w:val="9A1626" w:themeColor="accent6" w:themeShade="94"/>
        <w:sz w:val="22"/>
      </w:rPr>
      <w:tcPr>
        <w:tcBorders>
          <w:top w:val="single" w:color="F099A4" w:themeColor="accent6" w:themeTint="90" w:sz="4" w:space="0"/>
          <w:left w:val="nil"/>
          <w:bottom w:val="nil"/>
          <w:right w:val="nil"/>
        </w:tcBorders>
        <w:shd w:val="clear" w:color="FFFFFF" w:themeColor="light1" w:fill="FFFFFF" w:themeFill="light1"/>
      </w:tcPr>
    </w:tblStylePr>
    <w:tblStylePr w:type="firstCol">
      <w:pPr>
        <w:jc w:val="right"/>
      </w:pPr>
      <w:rPr>
        <w:rFonts w:ascii="Arial" w:hAnsi="Arial"/>
        <w:i/>
        <w:color w:val="9A1626" w:themeColor="accent6" w:themeShade="94"/>
        <w:sz w:val="22"/>
      </w:rPr>
      <w:tcPr>
        <w:tcBorders>
          <w:top w:val="nil"/>
          <w:left w:val="nil"/>
          <w:bottom w:val="nil"/>
          <w:right w:val="single" w:color="F099A4" w:themeColor="accent6" w:themeTint="90" w:sz="4" w:space="0"/>
        </w:tcBorders>
        <w:shd w:val="clear" w:color="FFFFFF" w:fill="auto"/>
      </w:tcPr>
    </w:tblStylePr>
    <w:tblStylePr w:type="lastCol">
      <w:rPr>
        <w:rFonts w:ascii="Arial" w:hAnsi="Arial"/>
        <w:i/>
        <w:color w:val="9A1626" w:themeColor="accent6" w:themeShade="94"/>
        <w:sz w:val="22"/>
      </w:rPr>
      <w:tcPr>
        <w:tcBorders>
          <w:top w:val="nil"/>
          <w:left w:val="single" w:color="F099A4" w:themeColor="accent6" w:themeTint="90" w:sz="4" w:space="0"/>
          <w:bottom w:val="nil"/>
          <w:right w:val="nil"/>
        </w:tcBorders>
        <w:shd w:val="clear" w:color="FFFFFF" w:fill="auto"/>
      </w:tcPr>
    </w:tblStylePr>
    <w:tblStylePr w:type="band1Vert">
      <w:tcPr>
        <w:shd w:val="clear" w:color="F9DADE" w:themeColor="accent6" w:themeTint="34" w:fill="F9DADE" w:themeFill="accent6" w:themeFillTint="34"/>
      </w:tcPr>
    </w:tblStylePr>
    <w:tblStylePr w:type="band1Horz">
      <w:rPr>
        <w:rFonts w:ascii="Arial" w:hAnsi="Arial"/>
        <w:color w:val="9A1626" w:themeColor="accent6" w:themeShade="94"/>
        <w:sz w:val="22"/>
      </w:rPr>
      <w:tcPr>
        <w:shd w:val="clear" w:color="F9DADE" w:themeColor="accent6" w:themeTint="34" w:fill="F9DADE" w:themeFill="accent6" w:themeFillTint="34"/>
      </w:tcPr>
    </w:tblStylePr>
    <w:tblStylePr w:type="band2Horz">
      <w:rPr>
        <w:rFonts w:ascii="Arial" w:hAnsi="Arial"/>
        <w:color w:val="9A1626" w:themeColor="accent6" w:themeShade="94"/>
        <w:sz w:val="22"/>
      </w:rPr>
    </w:tblStylePr>
  </w:style>
  <w:style w:type="table" w:customStyle="1" w:styleId="123">
    <w:name w:val="List Table 1 Light"/>
    <w:basedOn w:val="42"/>
    <w:qFormat/>
    <w:uiPriority w:val="99"/>
    <w:pPr>
      <w:spacing w:after="0" w:line="240" w:lineRule="auto"/>
    </w:p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124">
    <w:name w:val="List Table 1 Light - Accent 1"/>
    <w:basedOn w:val="42"/>
    <w:qFormat/>
    <w:uiPriority w:val="99"/>
    <w:pPr>
      <w:spacing w:after="0" w:line="240" w:lineRule="auto"/>
    </w:pPr>
    <w:tblStylePr w:type="firstRow">
      <w:rPr>
        <w:b/>
        <w:color w:val="404040"/>
      </w:rPr>
      <w:tcPr>
        <w:tcBorders>
          <w:top w:val="nil"/>
          <w:left w:val="nil"/>
          <w:bottom w:val="single" w:color="4874CB" w:themeColor="accent1" w:sz="4" w:space="0"/>
          <w:right w:val="nil"/>
        </w:tcBorders>
      </w:tcPr>
    </w:tblStylePr>
    <w:tblStylePr w:type="lastRow">
      <w:rPr>
        <w:b/>
        <w:color w:val="404040"/>
      </w:rPr>
      <w:tcPr>
        <w:tcBorders>
          <w:top w:val="single" w:color="4874CB" w:themeColor="accen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1DCF1" w:themeColor="accent1" w:themeTint="40" w:fill="D1DCF1" w:themeFill="accent1" w:themeFillTint="40"/>
      </w:tcPr>
    </w:tblStylePr>
    <w:tblStylePr w:type="band1Horz">
      <w:tcPr>
        <w:shd w:val="clear" w:color="D1DCF1" w:themeColor="accent1" w:themeTint="40" w:fill="D1DCF1" w:themeFill="accent1" w:themeFillTint="40"/>
      </w:tcPr>
    </w:tblStylePr>
  </w:style>
  <w:style w:type="table" w:customStyle="1" w:styleId="125">
    <w:name w:val="List Table 1 Light - Accent 2"/>
    <w:basedOn w:val="42"/>
    <w:qFormat/>
    <w:uiPriority w:val="99"/>
    <w:pPr>
      <w:spacing w:after="0" w:line="240" w:lineRule="auto"/>
    </w:pPr>
    <w:tblStylePr w:type="firstRow">
      <w:rPr>
        <w:b/>
        <w:color w:val="404040"/>
      </w:rPr>
      <w:tcPr>
        <w:tcBorders>
          <w:top w:val="nil"/>
          <w:left w:val="nil"/>
          <w:bottom w:val="single" w:color="EE822F" w:themeColor="accent2" w:sz="4" w:space="0"/>
          <w:right w:val="nil"/>
        </w:tcBorders>
      </w:tcPr>
    </w:tblStylePr>
    <w:tblStylePr w:type="lastRow">
      <w:rPr>
        <w:b/>
        <w:color w:val="404040"/>
      </w:rPr>
      <w:tcPr>
        <w:tcBorders>
          <w:top w:val="single" w:color="EE822F" w:themeColor="accent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ADFCA" w:themeColor="accent2" w:themeTint="40" w:fill="FADFCA" w:themeFill="accent2" w:themeFillTint="40"/>
      </w:tcPr>
    </w:tblStylePr>
    <w:tblStylePr w:type="band1Horz">
      <w:tcPr>
        <w:shd w:val="clear" w:color="FADFCA" w:themeColor="accent2" w:themeTint="40" w:fill="FADFCA" w:themeFill="accent2" w:themeFillTint="40"/>
      </w:tcPr>
    </w:tblStylePr>
  </w:style>
  <w:style w:type="table" w:customStyle="1" w:styleId="126">
    <w:name w:val="List Table 1 Light - Accent 3"/>
    <w:basedOn w:val="42"/>
    <w:qFormat/>
    <w:uiPriority w:val="99"/>
    <w:pPr>
      <w:spacing w:after="0" w:line="240" w:lineRule="auto"/>
    </w:pPr>
    <w:tblStylePr w:type="firstRow">
      <w:rPr>
        <w:b/>
        <w:color w:val="404040"/>
      </w:rPr>
      <w:tcPr>
        <w:tcBorders>
          <w:top w:val="nil"/>
          <w:left w:val="nil"/>
          <w:bottom w:val="single" w:color="F2BA02" w:themeColor="accent3" w:sz="4" w:space="0"/>
          <w:right w:val="nil"/>
        </w:tcBorders>
      </w:tcPr>
    </w:tblStylePr>
    <w:tblStylePr w:type="lastRow">
      <w:rPr>
        <w:b/>
        <w:color w:val="404040"/>
      </w:rPr>
      <w:tcPr>
        <w:tcBorders>
          <w:top w:val="single" w:color="F2BA02" w:themeColor="accent3"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EEFBC" w:themeColor="accent3" w:themeTint="40" w:fill="FEEFBC" w:themeFill="accent3" w:themeFillTint="40"/>
      </w:tcPr>
    </w:tblStylePr>
    <w:tblStylePr w:type="band1Horz">
      <w:tcPr>
        <w:shd w:val="clear" w:color="FEEFBC" w:themeColor="accent3" w:themeTint="40" w:fill="FEEFBC" w:themeFill="accent3" w:themeFillTint="40"/>
      </w:tcPr>
    </w:tblStylePr>
  </w:style>
  <w:style w:type="table" w:customStyle="1" w:styleId="127">
    <w:name w:val="List Table 1 Light - Accent 4"/>
    <w:basedOn w:val="42"/>
    <w:qFormat/>
    <w:uiPriority w:val="99"/>
    <w:pPr>
      <w:spacing w:after="0" w:line="240" w:lineRule="auto"/>
    </w:pPr>
    <w:tblStylePr w:type="firstRow">
      <w:rPr>
        <w:b/>
        <w:color w:val="404040"/>
      </w:rPr>
      <w:tcPr>
        <w:tcBorders>
          <w:top w:val="nil"/>
          <w:left w:val="nil"/>
          <w:bottom w:val="single" w:color="75BD42" w:themeColor="accent4" w:sz="4" w:space="0"/>
          <w:right w:val="nil"/>
        </w:tcBorders>
      </w:tcPr>
    </w:tblStylePr>
    <w:tblStylePr w:type="lastRow">
      <w:rPr>
        <w:b/>
        <w:color w:val="404040"/>
      </w:rPr>
      <w:tcPr>
        <w:tcBorders>
          <w:top w:val="single" w:color="75BD42" w:themeColor="accent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CEECF" w:themeColor="accent4" w:themeTint="40" w:fill="DCEECF" w:themeFill="accent4" w:themeFillTint="40"/>
      </w:tcPr>
    </w:tblStylePr>
    <w:tblStylePr w:type="band1Horz">
      <w:tcPr>
        <w:shd w:val="clear" w:color="DCEECF" w:themeColor="accent4" w:themeTint="40" w:fill="DCEECF" w:themeFill="accent4" w:themeFillTint="40"/>
      </w:tcPr>
    </w:tblStylePr>
  </w:style>
  <w:style w:type="table" w:customStyle="1" w:styleId="128">
    <w:name w:val="List Table 1 Light - Accent 5"/>
    <w:basedOn w:val="42"/>
    <w:qFormat/>
    <w:uiPriority w:val="99"/>
    <w:pPr>
      <w:spacing w:after="0" w:line="240" w:lineRule="auto"/>
    </w:pPr>
    <w:tblStylePr w:type="firstRow">
      <w:rPr>
        <w:b/>
        <w:color w:val="404040"/>
      </w:rPr>
      <w:tcPr>
        <w:tcBorders>
          <w:top w:val="nil"/>
          <w:left w:val="nil"/>
          <w:bottom w:val="single" w:color="30C0B4" w:themeColor="accent5" w:sz="4" w:space="0"/>
          <w:right w:val="nil"/>
        </w:tcBorders>
      </w:tcPr>
    </w:tblStylePr>
    <w:tblStylePr w:type="lastRow">
      <w:rPr>
        <w:b/>
        <w:color w:val="404040"/>
      </w:rPr>
      <w:tcPr>
        <w:tcBorders>
          <w:top w:val="single" w:color="30C0B4" w:themeColor="accent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C8F1EE" w:themeColor="accent5" w:themeTint="40" w:fill="C8F1EE" w:themeFill="accent5" w:themeFillTint="40"/>
      </w:tcPr>
    </w:tblStylePr>
    <w:tblStylePr w:type="band1Horz">
      <w:tcPr>
        <w:shd w:val="clear" w:color="C8F1EE" w:themeColor="accent5" w:themeTint="40" w:fill="C8F1EE" w:themeFill="accent5" w:themeFillTint="40"/>
      </w:tcPr>
    </w:tblStylePr>
  </w:style>
  <w:style w:type="table" w:customStyle="1" w:styleId="129">
    <w:name w:val="List Table 1 Light - Accent 6"/>
    <w:basedOn w:val="42"/>
    <w:qFormat/>
    <w:uiPriority w:val="99"/>
    <w:pPr>
      <w:spacing w:after="0" w:line="240" w:lineRule="auto"/>
    </w:pPr>
    <w:tblStylePr w:type="firstRow">
      <w:rPr>
        <w:b/>
        <w:color w:val="404040"/>
      </w:rPr>
      <w:tcPr>
        <w:tcBorders>
          <w:top w:val="nil"/>
          <w:left w:val="nil"/>
          <w:bottom w:val="single" w:color="E54C5E" w:themeColor="accent6" w:sz="4" w:space="0"/>
          <w:right w:val="nil"/>
        </w:tcBorders>
      </w:tcPr>
    </w:tblStylePr>
    <w:tblStylePr w:type="lastRow">
      <w:rPr>
        <w:b/>
        <w:color w:val="404040"/>
      </w:rPr>
      <w:tcPr>
        <w:tcBorders>
          <w:top w:val="single" w:color="E54C5E" w:themeColor="accent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8D2D6" w:themeColor="accent6" w:themeTint="40" w:fill="F8D2D6" w:themeFill="accent6" w:themeFillTint="40"/>
      </w:tcPr>
    </w:tblStylePr>
    <w:tblStylePr w:type="band1Horz">
      <w:tcPr>
        <w:shd w:val="clear" w:color="F8D2D6" w:themeColor="accent6" w:themeTint="40" w:fill="F8D2D6" w:themeFill="accent6" w:themeFillTint="40"/>
      </w:tcPr>
    </w:tblStylePr>
  </w:style>
  <w:style w:type="table" w:customStyle="1" w:styleId="130">
    <w:name w:val="List Table 2"/>
    <w:basedOn w:val="42"/>
    <w:qFormat/>
    <w:uiPriority w:val="99"/>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31">
    <w:name w:val="List Table 2 - Accent 1"/>
    <w:basedOn w:val="42"/>
    <w:qFormat/>
    <w:uiPriority w:val="99"/>
    <w:pPr>
      <w:spacing w:after="0" w:line="240" w:lineRule="auto"/>
    </w:pPr>
    <w:tblPr>
      <w:tblBorders>
        <w:top w:val="single" w:color="97B0E1" w:themeColor="accent1" w:themeTint="90" w:sz="4" w:space="0"/>
        <w:bottom w:val="single" w:color="97B0E1" w:themeColor="accent1" w:themeTint="90" w:sz="4" w:space="0"/>
        <w:insideH w:val="single" w:color="97B0E1" w:themeColor="accent1" w:themeTint="90" w:sz="4" w:space="0"/>
      </w:tblBorders>
    </w:tblPr>
    <w:tblStylePr w:type="firstRow">
      <w:rPr>
        <w:rFonts w:ascii="Arial" w:hAnsi="Arial"/>
        <w:b/>
        <w:color w:val="404040"/>
        <w:sz w:val="22"/>
      </w:rPr>
      <w:tcPr>
        <w:tcBorders>
          <w:top w:val="single" w:color="97B0E1" w:themeColor="accent1" w:themeTint="90" w:sz="4" w:space="0"/>
          <w:left w:val="nil"/>
          <w:bottom w:val="single" w:color="97B0E1" w:themeColor="accent1" w:themeTint="90" w:sz="4" w:space="0"/>
          <w:right w:val="nil"/>
        </w:tcBorders>
      </w:tcPr>
    </w:tblStylePr>
    <w:tblStylePr w:type="lastRow">
      <w:rPr>
        <w:rFonts w:ascii="Arial" w:hAnsi="Arial"/>
        <w:b/>
        <w:color w:val="404040"/>
        <w:sz w:val="22"/>
      </w:rPr>
      <w:tcPr>
        <w:tcBorders>
          <w:top w:val="single" w:color="97B0E1" w:themeColor="accent1" w:themeTint="90" w:sz="4" w:space="0"/>
          <w:left w:val="nil"/>
          <w:bottom w:val="single" w:color="97B0E1" w:themeColor="accen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1DCF1" w:themeColor="accent1" w:themeTint="40" w:fill="D1DCF1" w:themeFill="accent1" w:themeFillTint="40"/>
      </w:tcPr>
    </w:tblStylePr>
    <w:tblStylePr w:type="band1Horz">
      <w:rPr>
        <w:rFonts w:ascii="Arial" w:hAnsi="Arial"/>
        <w:color w:val="404040"/>
        <w:sz w:val="22"/>
      </w:rPr>
      <w:tcPr>
        <w:shd w:val="clear" w:color="D1DCF1" w:themeColor="accent1" w:themeTint="40" w:fill="D1DCF1" w:themeFill="accent1" w:themeFillTint="40"/>
      </w:tcPr>
    </w:tblStylePr>
  </w:style>
  <w:style w:type="table" w:customStyle="1" w:styleId="132">
    <w:name w:val="List Table 2 - Accent 2"/>
    <w:basedOn w:val="42"/>
    <w:qFormat/>
    <w:uiPriority w:val="99"/>
    <w:pPr>
      <w:spacing w:after="0" w:line="240" w:lineRule="auto"/>
    </w:pPr>
    <w:tblPr>
      <w:tblBorders>
        <w:top w:val="single" w:color="F5B889" w:themeColor="accent2" w:themeTint="90" w:sz="4" w:space="0"/>
        <w:bottom w:val="single" w:color="F5B889" w:themeColor="accent2" w:themeTint="90" w:sz="4" w:space="0"/>
        <w:insideH w:val="single" w:color="F5B889" w:themeColor="accent2" w:themeTint="90" w:sz="4" w:space="0"/>
      </w:tblBorders>
    </w:tblPr>
    <w:tblStylePr w:type="firstRow">
      <w:rPr>
        <w:rFonts w:ascii="Arial" w:hAnsi="Arial"/>
        <w:b/>
        <w:color w:val="404040"/>
        <w:sz w:val="22"/>
      </w:rPr>
      <w:tcPr>
        <w:tcBorders>
          <w:top w:val="single" w:color="F5B889" w:themeColor="accent2" w:themeTint="90" w:sz="4" w:space="0"/>
          <w:left w:val="nil"/>
          <w:bottom w:val="single" w:color="F5B889" w:themeColor="accent2" w:themeTint="90" w:sz="4" w:space="0"/>
          <w:right w:val="nil"/>
        </w:tcBorders>
      </w:tcPr>
    </w:tblStylePr>
    <w:tblStylePr w:type="lastRow">
      <w:rPr>
        <w:rFonts w:ascii="Arial" w:hAnsi="Arial"/>
        <w:b/>
        <w:color w:val="404040"/>
        <w:sz w:val="22"/>
      </w:rPr>
      <w:tcPr>
        <w:tcBorders>
          <w:top w:val="single" w:color="F5B889" w:themeColor="accent2" w:themeTint="90" w:sz="4" w:space="0"/>
          <w:left w:val="nil"/>
          <w:bottom w:val="single" w:color="F5B889" w:themeColor="accent2"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ADFCA" w:themeColor="accent2" w:themeTint="40" w:fill="FADFCA" w:themeFill="accent2" w:themeFillTint="40"/>
      </w:tcPr>
    </w:tblStylePr>
    <w:tblStylePr w:type="band1Horz">
      <w:rPr>
        <w:rFonts w:ascii="Arial" w:hAnsi="Arial"/>
        <w:color w:val="404040"/>
        <w:sz w:val="22"/>
      </w:rPr>
      <w:tcPr>
        <w:shd w:val="clear" w:color="FADFCA" w:themeColor="accent2" w:themeTint="40" w:fill="FADFCA" w:themeFill="accent2" w:themeFillTint="40"/>
      </w:tcPr>
    </w:tblStylePr>
  </w:style>
  <w:style w:type="table" w:customStyle="1" w:styleId="133">
    <w:name w:val="List Table 2 - Accent 3"/>
    <w:basedOn w:val="42"/>
    <w:qFormat/>
    <w:uiPriority w:val="99"/>
    <w:pPr>
      <w:spacing w:after="0" w:line="240" w:lineRule="auto"/>
    </w:pPr>
    <w:tblPr>
      <w:tblBorders>
        <w:top w:val="single" w:color="FDDB6A" w:themeColor="accent3" w:themeTint="90" w:sz="4" w:space="0"/>
        <w:bottom w:val="single" w:color="FDDB6A" w:themeColor="accent3" w:themeTint="90" w:sz="4" w:space="0"/>
        <w:insideH w:val="single" w:color="FDDB6A" w:themeColor="accent3" w:themeTint="90" w:sz="4" w:space="0"/>
      </w:tblBorders>
    </w:tblPr>
    <w:tblStylePr w:type="firstRow">
      <w:rPr>
        <w:rFonts w:ascii="Arial" w:hAnsi="Arial"/>
        <w:b/>
        <w:color w:val="404040"/>
        <w:sz w:val="22"/>
      </w:rPr>
      <w:tcPr>
        <w:tcBorders>
          <w:top w:val="single" w:color="FDDB6A" w:themeColor="accent3" w:themeTint="90" w:sz="4" w:space="0"/>
          <w:left w:val="nil"/>
          <w:bottom w:val="single" w:color="FDDB6A" w:themeColor="accent3" w:themeTint="90" w:sz="4" w:space="0"/>
          <w:right w:val="nil"/>
        </w:tcBorders>
      </w:tcPr>
    </w:tblStylePr>
    <w:tblStylePr w:type="lastRow">
      <w:rPr>
        <w:rFonts w:ascii="Arial" w:hAnsi="Arial"/>
        <w:b/>
        <w:color w:val="404040"/>
        <w:sz w:val="22"/>
      </w:rPr>
      <w:tcPr>
        <w:tcBorders>
          <w:top w:val="single" w:color="FDDB6A" w:themeColor="accent3" w:themeTint="90" w:sz="4" w:space="0"/>
          <w:left w:val="nil"/>
          <w:bottom w:val="single" w:color="FDDB6A" w:themeColor="accent3"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EEFBC" w:themeColor="accent3" w:themeTint="40" w:fill="FEEFBC" w:themeFill="accent3" w:themeFillTint="40"/>
      </w:tcPr>
    </w:tblStylePr>
    <w:tblStylePr w:type="band1Horz">
      <w:rPr>
        <w:rFonts w:ascii="Arial" w:hAnsi="Arial"/>
        <w:color w:val="404040"/>
        <w:sz w:val="22"/>
      </w:rPr>
      <w:tcPr>
        <w:shd w:val="clear" w:color="FEEFBC" w:themeColor="accent3" w:themeTint="40" w:fill="FEEFBC" w:themeFill="accent3" w:themeFillTint="40"/>
      </w:tcPr>
    </w:tblStylePr>
  </w:style>
  <w:style w:type="table" w:customStyle="1" w:styleId="134">
    <w:name w:val="List Table 2 - Accent 4"/>
    <w:basedOn w:val="42"/>
    <w:qFormat/>
    <w:uiPriority w:val="99"/>
    <w:pPr>
      <w:spacing w:after="0" w:line="240" w:lineRule="auto"/>
    </w:pPr>
    <w:tblPr>
      <w:tblBorders>
        <w:top w:val="single" w:color="B1D994" w:themeColor="accent4" w:themeTint="90" w:sz="4" w:space="0"/>
        <w:bottom w:val="single" w:color="B1D994" w:themeColor="accent4" w:themeTint="90" w:sz="4" w:space="0"/>
        <w:insideH w:val="single" w:color="B1D994" w:themeColor="accent4" w:themeTint="90" w:sz="4" w:space="0"/>
      </w:tblBorders>
    </w:tblPr>
    <w:tblStylePr w:type="firstRow">
      <w:rPr>
        <w:rFonts w:ascii="Arial" w:hAnsi="Arial"/>
        <w:b/>
        <w:color w:val="404040"/>
        <w:sz w:val="22"/>
      </w:rPr>
      <w:tcPr>
        <w:tcBorders>
          <w:top w:val="single" w:color="B1D994" w:themeColor="accent4" w:themeTint="90" w:sz="4" w:space="0"/>
          <w:left w:val="nil"/>
          <w:bottom w:val="single" w:color="B1D994" w:themeColor="accent4" w:themeTint="90" w:sz="4" w:space="0"/>
          <w:right w:val="nil"/>
        </w:tcBorders>
      </w:tcPr>
    </w:tblStylePr>
    <w:tblStylePr w:type="lastRow">
      <w:rPr>
        <w:rFonts w:ascii="Arial" w:hAnsi="Arial"/>
        <w:b/>
        <w:color w:val="404040"/>
        <w:sz w:val="22"/>
      </w:rPr>
      <w:tcPr>
        <w:tcBorders>
          <w:top w:val="single" w:color="B1D994" w:themeColor="accent4" w:themeTint="90" w:sz="4" w:space="0"/>
          <w:left w:val="nil"/>
          <w:bottom w:val="single" w:color="B1D994" w:themeColor="accent4"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CEECF" w:themeColor="accent4" w:themeTint="40" w:fill="DCEECF" w:themeFill="accent4" w:themeFillTint="40"/>
      </w:tcPr>
    </w:tblStylePr>
    <w:tblStylePr w:type="band1Horz">
      <w:rPr>
        <w:rFonts w:ascii="Arial" w:hAnsi="Arial"/>
        <w:color w:val="404040"/>
        <w:sz w:val="22"/>
      </w:rPr>
      <w:tcPr>
        <w:shd w:val="clear" w:color="DCEECF" w:themeColor="accent4" w:themeTint="40" w:fill="DCEECF" w:themeFill="accent4" w:themeFillTint="40"/>
      </w:tcPr>
    </w:tblStylePr>
  </w:style>
  <w:style w:type="table" w:customStyle="1" w:styleId="135">
    <w:name w:val="List Table 2 - Accent 5"/>
    <w:basedOn w:val="42"/>
    <w:qFormat/>
    <w:uiPriority w:val="99"/>
    <w:pPr>
      <w:spacing w:after="0" w:line="240" w:lineRule="auto"/>
    </w:pPr>
    <w:tblPr>
      <w:tblBorders>
        <w:top w:val="single" w:color="85E0D8" w:themeColor="accent5" w:themeTint="90" w:sz="4" w:space="0"/>
        <w:bottom w:val="single" w:color="85E0D8" w:themeColor="accent5" w:themeTint="90" w:sz="4" w:space="0"/>
        <w:insideH w:val="single" w:color="85E0D8" w:themeColor="accent5" w:themeTint="90" w:sz="4" w:space="0"/>
      </w:tblBorders>
    </w:tblPr>
    <w:tblStylePr w:type="firstRow">
      <w:rPr>
        <w:rFonts w:ascii="Arial" w:hAnsi="Arial"/>
        <w:b/>
        <w:color w:val="404040"/>
        <w:sz w:val="22"/>
      </w:rPr>
      <w:tcPr>
        <w:tcBorders>
          <w:top w:val="single" w:color="85E0D8" w:themeColor="accent5" w:themeTint="90" w:sz="4" w:space="0"/>
          <w:left w:val="nil"/>
          <w:bottom w:val="single" w:color="85E0D8" w:themeColor="accent5" w:themeTint="90" w:sz="4" w:space="0"/>
          <w:right w:val="nil"/>
        </w:tcBorders>
      </w:tcPr>
    </w:tblStylePr>
    <w:tblStylePr w:type="lastRow">
      <w:rPr>
        <w:rFonts w:ascii="Arial" w:hAnsi="Arial"/>
        <w:b/>
        <w:color w:val="404040"/>
        <w:sz w:val="22"/>
      </w:rPr>
      <w:tcPr>
        <w:tcBorders>
          <w:top w:val="single" w:color="85E0D8" w:themeColor="accent5" w:themeTint="90" w:sz="4" w:space="0"/>
          <w:left w:val="nil"/>
          <w:bottom w:val="single" w:color="85E0D8" w:themeColor="accent5"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C8F1EE" w:themeColor="accent5" w:themeTint="40" w:fill="C8F1EE" w:themeFill="accent5" w:themeFillTint="40"/>
      </w:tcPr>
    </w:tblStylePr>
    <w:tblStylePr w:type="band1Horz">
      <w:rPr>
        <w:rFonts w:ascii="Arial" w:hAnsi="Arial"/>
        <w:color w:val="404040"/>
        <w:sz w:val="22"/>
      </w:rPr>
      <w:tcPr>
        <w:shd w:val="clear" w:color="C8F1EE" w:themeColor="accent5" w:themeTint="40" w:fill="C8F1EE" w:themeFill="accent5" w:themeFillTint="40"/>
      </w:tcPr>
    </w:tblStylePr>
  </w:style>
  <w:style w:type="table" w:customStyle="1" w:styleId="136">
    <w:name w:val="List Table 2 - Accent 6"/>
    <w:basedOn w:val="42"/>
    <w:qFormat/>
    <w:uiPriority w:val="99"/>
    <w:pPr>
      <w:spacing w:after="0" w:line="240" w:lineRule="auto"/>
    </w:pPr>
    <w:tblPr>
      <w:tblBorders>
        <w:top w:val="single" w:color="F099A4" w:themeColor="accent6" w:themeTint="90" w:sz="4" w:space="0"/>
        <w:bottom w:val="single" w:color="F099A4" w:themeColor="accent6" w:themeTint="90" w:sz="4" w:space="0"/>
        <w:insideH w:val="single" w:color="F099A4" w:themeColor="accent6" w:themeTint="90" w:sz="4" w:space="0"/>
      </w:tblBorders>
    </w:tblPr>
    <w:tblStylePr w:type="firstRow">
      <w:rPr>
        <w:rFonts w:ascii="Arial" w:hAnsi="Arial"/>
        <w:b/>
        <w:color w:val="404040"/>
        <w:sz w:val="22"/>
      </w:rPr>
      <w:tcPr>
        <w:tcBorders>
          <w:top w:val="single" w:color="F099A4" w:themeColor="accent6" w:themeTint="90" w:sz="4" w:space="0"/>
          <w:left w:val="nil"/>
          <w:bottom w:val="single" w:color="F099A4" w:themeColor="accent6" w:themeTint="90" w:sz="4" w:space="0"/>
          <w:right w:val="nil"/>
        </w:tcBorders>
      </w:tcPr>
    </w:tblStylePr>
    <w:tblStylePr w:type="lastRow">
      <w:rPr>
        <w:rFonts w:ascii="Arial" w:hAnsi="Arial"/>
        <w:b/>
        <w:color w:val="404040"/>
        <w:sz w:val="22"/>
      </w:rPr>
      <w:tcPr>
        <w:tcBorders>
          <w:top w:val="single" w:color="F099A4" w:themeColor="accent6" w:themeTint="90" w:sz="4" w:space="0"/>
          <w:left w:val="nil"/>
          <w:bottom w:val="single" w:color="F099A4" w:themeColor="accent6"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8D2D6" w:themeColor="accent6" w:themeTint="40" w:fill="F8D2D6" w:themeFill="accent6" w:themeFillTint="40"/>
      </w:tcPr>
    </w:tblStylePr>
    <w:tblStylePr w:type="band1Horz">
      <w:rPr>
        <w:rFonts w:ascii="Arial" w:hAnsi="Arial"/>
        <w:color w:val="404040"/>
        <w:sz w:val="22"/>
      </w:rPr>
      <w:tcPr>
        <w:shd w:val="clear" w:color="F8D2D6" w:themeColor="accent6" w:themeTint="40" w:fill="F8D2D6" w:themeFill="accent6" w:themeFillTint="40"/>
      </w:tcPr>
    </w:tblStylePr>
  </w:style>
  <w:style w:type="table" w:customStyle="1" w:styleId="137">
    <w:name w:val="List Table 3"/>
    <w:basedOn w:val="42"/>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138">
    <w:name w:val="List Table 3 - Accent 1"/>
    <w:basedOn w:val="42"/>
    <w:qFormat/>
    <w:uiPriority w:val="99"/>
    <w:pPr>
      <w:spacing w:after="0" w:line="240" w:lineRule="auto"/>
    </w:pPr>
    <w:tblPr>
      <w:tblBorders>
        <w:top w:val="single" w:color="4874CB" w:themeColor="accent1" w:sz="4" w:space="0"/>
        <w:left w:val="single" w:color="4874CB" w:themeColor="accent1" w:sz="4" w:space="0"/>
        <w:bottom w:val="single" w:color="4874CB" w:themeColor="accent1" w:sz="4" w:space="0"/>
        <w:right w:val="single" w:color="4874CB" w:themeColor="accent1" w:sz="4" w:space="0"/>
      </w:tblBorders>
    </w:tblPr>
    <w:tblStylePr w:type="firstRow">
      <w:rPr>
        <w:rFonts w:ascii="Arial" w:hAnsi="Arial"/>
        <w:b/>
        <w:color w:val="FFFFFF"/>
        <w:sz w:val="22"/>
      </w:rPr>
      <w:tcPr>
        <w:shd w:val="clear" w:color="4874CB" w:themeColor="accent1" w:fill="4874CB"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4874CB" w:themeColor="accent1" w:sz="4" w:space="0"/>
          <w:right w:val="single" w:color="4874CB" w:themeColor="accent1" w:sz="4" w:space="0"/>
        </w:tcBorders>
      </w:tcPr>
    </w:tblStylePr>
    <w:tblStylePr w:type="band1Horz">
      <w:rPr>
        <w:rFonts w:ascii="Arial" w:hAnsi="Arial"/>
        <w:color w:val="404040"/>
        <w:sz w:val="22"/>
      </w:rPr>
      <w:tcPr>
        <w:tcBorders>
          <w:top w:val="single" w:color="4874CB" w:themeColor="accent1" w:sz="4" w:space="0"/>
          <w:bottom w:val="single" w:color="4874CB" w:themeColor="accent1" w:sz="4" w:space="0"/>
        </w:tcBorders>
      </w:tcPr>
    </w:tblStylePr>
  </w:style>
  <w:style w:type="table" w:customStyle="1" w:styleId="139">
    <w:name w:val="List Table 3 - Accent 2"/>
    <w:basedOn w:val="42"/>
    <w:qFormat/>
    <w:uiPriority w:val="99"/>
    <w:pPr>
      <w:spacing w:after="0" w:line="240" w:lineRule="auto"/>
    </w:pPr>
    <w:tblPr>
      <w:tbl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tblBorders>
    </w:tblPr>
    <w:tblStylePr w:type="firstRow">
      <w:rPr>
        <w:rFonts w:ascii="Arial" w:hAnsi="Arial"/>
        <w:b/>
        <w:color w:val="FFFFFF"/>
        <w:sz w:val="22"/>
      </w:rPr>
      <w:tcPr>
        <w:shd w:val="clear" w:color="F4B483" w:themeColor="accent2" w:themeTint="97" w:fill="F4B483"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4B483" w:themeColor="accent2" w:themeTint="97" w:sz="4" w:space="0"/>
          <w:right w:val="single" w:color="F4B483" w:themeColor="accent2" w:themeTint="97" w:sz="4" w:space="0"/>
        </w:tcBorders>
      </w:tcPr>
    </w:tblStylePr>
    <w:tblStylePr w:type="band1Horz">
      <w:rPr>
        <w:rFonts w:ascii="Arial" w:hAnsi="Arial"/>
        <w:color w:val="404040"/>
        <w:sz w:val="22"/>
      </w:rPr>
      <w:tcPr>
        <w:tcBorders>
          <w:top w:val="single" w:color="F4B483" w:themeColor="accent2" w:themeTint="97" w:sz="4" w:space="0"/>
          <w:bottom w:val="single" w:color="F4B483" w:themeColor="accent2" w:themeTint="97" w:sz="4" w:space="0"/>
        </w:tcBorders>
      </w:tcPr>
    </w:tblStylePr>
  </w:style>
  <w:style w:type="table" w:customStyle="1" w:styleId="140">
    <w:name w:val="List Table 3 - Accent 3"/>
    <w:basedOn w:val="42"/>
    <w:qFormat/>
    <w:uiPriority w:val="99"/>
    <w:pPr>
      <w:spacing w:after="0" w:line="240" w:lineRule="auto"/>
    </w:pPr>
    <w:tblPr>
      <w:tblBorders>
        <w:top w:val="single" w:color="FDD961" w:themeColor="accent3" w:themeTint="98" w:sz="4" w:space="0"/>
        <w:left w:val="single" w:color="FDD961" w:themeColor="accent3" w:themeTint="98" w:sz="4" w:space="0"/>
        <w:bottom w:val="single" w:color="FDD961" w:themeColor="accent3" w:themeTint="98" w:sz="4" w:space="0"/>
        <w:right w:val="single" w:color="FDD961" w:themeColor="accent3" w:themeTint="98" w:sz="4" w:space="0"/>
      </w:tblBorders>
    </w:tblPr>
    <w:tblStylePr w:type="firstRow">
      <w:rPr>
        <w:rFonts w:ascii="Arial" w:hAnsi="Arial"/>
        <w:b/>
        <w:color w:val="FFFFFF"/>
        <w:sz w:val="22"/>
      </w:rPr>
      <w:tcPr>
        <w:shd w:val="clear" w:color="FDD961" w:themeColor="accent3" w:themeTint="98" w:fill="FDD961"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DD961" w:themeColor="accent3" w:themeTint="98" w:sz="4" w:space="0"/>
          <w:right w:val="single" w:color="FDD961" w:themeColor="accent3" w:themeTint="98" w:sz="4" w:space="0"/>
        </w:tcBorders>
      </w:tcPr>
    </w:tblStylePr>
    <w:tblStylePr w:type="band1Horz">
      <w:rPr>
        <w:rFonts w:ascii="Arial" w:hAnsi="Arial"/>
        <w:color w:val="404040"/>
        <w:sz w:val="22"/>
      </w:rPr>
      <w:tcPr>
        <w:tcBorders>
          <w:top w:val="single" w:color="FDD961" w:themeColor="accent3" w:themeTint="98" w:sz="4" w:space="0"/>
          <w:bottom w:val="single" w:color="FDD961" w:themeColor="accent3" w:themeTint="98" w:sz="4" w:space="0"/>
        </w:tcBorders>
      </w:tcPr>
    </w:tblStylePr>
  </w:style>
  <w:style w:type="table" w:customStyle="1" w:styleId="141">
    <w:name w:val="List Table 3 - Accent 4"/>
    <w:basedOn w:val="42"/>
    <w:qFormat/>
    <w:uiPriority w:val="99"/>
    <w:pPr>
      <w:spacing w:after="0" w:line="240" w:lineRule="auto"/>
    </w:pPr>
    <w:tblPr>
      <w:tbl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tblBorders>
    </w:tblPr>
    <w:tblStylePr w:type="firstRow">
      <w:rPr>
        <w:rFonts w:ascii="Arial" w:hAnsi="Arial"/>
        <w:b/>
        <w:color w:val="FFFFFF"/>
        <w:sz w:val="22"/>
      </w:rPr>
      <w:tcPr>
        <w:shd w:val="clear" w:color="ABD78C" w:themeColor="accent4" w:themeTint="9A" w:fill="ABD78C"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ABD78C" w:themeColor="accent4" w:themeTint="9A" w:sz="4" w:space="0"/>
          <w:right w:val="single" w:color="ABD78C" w:themeColor="accent4" w:themeTint="9A" w:sz="4" w:space="0"/>
        </w:tcBorders>
      </w:tcPr>
    </w:tblStylePr>
    <w:tblStylePr w:type="band1Horz">
      <w:rPr>
        <w:rFonts w:ascii="Arial" w:hAnsi="Arial"/>
        <w:color w:val="404040"/>
        <w:sz w:val="22"/>
      </w:rPr>
      <w:tcPr>
        <w:tcBorders>
          <w:top w:val="single" w:color="ABD78C" w:themeColor="accent4" w:themeTint="9A" w:sz="4" w:space="0"/>
          <w:bottom w:val="single" w:color="ABD78C" w:themeColor="accent4" w:themeTint="9A" w:sz="4" w:space="0"/>
        </w:tcBorders>
      </w:tcPr>
    </w:tblStylePr>
  </w:style>
  <w:style w:type="table" w:customStyle="1" w:styleId="142">
    <w:name w:val="List Table 3 - Accent 5"/>
    <w:basedOn w:val="42"/>
    <w:qFormat/>
    <w:uiPriority w:val="99"/>
    <w:pPr>
      <w:spacing w:after="0" w:line="240" w:lineRule="auto"/>
    </w:pPr>
    <w:tblPr>
      <w:tblBorders>
        <w:top w:val="single" w:color="7CDED6" w:themeColor="accent5" w:themeTint="9A" w:sz="4" w:space="0"/>
        <w:left w:val="single" w:color="7CDED6" w:themeColor="accent5" w:themeTint="9A" w:sz="4" w:space="0"/>
        <w:bottom w:val="single" w:color="7CDED6" w:themeColor="accent5" w:themeTint="9A" w:sz="4" w:space="0"/>
        <w:right w:val="single" w:color="7CDED6" w:themeColor="accent5" w:themeTint="9A" w:sz="4" w:space="0"/>
      </w:tblBorders>
    </w:tblPr>
    <w:tblStylePr w:type="firstRow">
      <w:rPr>
        <w:rFonts w:ascii="Arial" w:hAnsi="Arial"/>
        <w:b/>
        <w:color w:val="FFFFFF"/>
        <w:sz w:val="22"/>
      </w:rPr>
      <w:tcPr>
        <w:shd w:val="clear" w:color="7CDED6" w:themeColor="accent5" w:themeTint="9A" w:fill="7CDED6"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7CDED6" w:themeColor="accent5" w:themeTint="9A" w:sz="4" w:space="0"/>
          <w:right w:val="single" w:color="7CDED6" w:themeColor="accent5" w:themeTint="9A" w:sz="4" w:space="0"/>
        </w:tcBorders>
      </w:tcPr>
    </w:tblStylePr>
    <w:tblStylePr w:type="band1Horz">
      <w:rPr>
        <w:rFonts w:ascii="Arial" w:hAnsi="Arial"/>
        <w:color w:val="404040"/>
        <w:sz w:val="22"/>
      </w:rPr>
      <w:tcPr>
        <w:tcBorders>
          <w:top w:val="single" w:color="7CDED6" w:themeColor="accent5" w:themeTint="9A" w:sz="4" w:space="0"/>
          <w:bottom w:val="single" w:color="7CDED6" w:themeColor="accent5" w:themeTint="9A" w:sz="4" w:space="0"/>
        </w:tcBorders>
      </w:tcPr>
    </w:tblStylePr>
  </w:style>
  <w:style w:type="table" w:customStyle="1" w:styleId="143">
    <w:name w:val="List Table 3 - Accent 6"/>
    <w:basedOn w:val="42"/>
    <w:qFormat/>
    <w:uiPriority w:val="99"/>
    <w:pPr>
      <w:spacing w:after="0" w:line="240" w:lineRule="auto"/>
    </w:pPr>
    <w:tblPr>
      <w:tblBorders>
        <w:top w:val="single" w:color="EF949F" w:themeColor="accent6" w:themeTint="98" w:sz="4" w:space="0"/>
        <w:left w:val="single" w:color="EF949F" w:themeColor="accent6" w:themeTint="98" w:sz="4" w:space="0"/>
        <w:bottom w:val="single" w:color="EF949F" w:themeColor="accent6" w:themeTint="98" w:sz="4" w:space="0"/>
        <w:right w:val="single" w:color="EF949F" w:themeColor="accent6" w:themeTint="98" w:sz="4" w:space="0"/>
      </w:tblBorders>
    </w:tblPr>
    <w:tblStylePr w:type="firstRow">
      <w:rPr>
        <w:rFonts w:ascii="Arial" w:hAnsi="Arial"/>
        <w:b/>
        <w:color w:val="FFFFFF"/>
        <w:sz w:val="22"/>
      </w:rPr>
      <w:tcPr>
        <w:shd w:val="clear" w:color="EF949F" w:themeColor="accent6" w:themeTint="98" w:fill="EF949F"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EF949F" w:themeColor="accent6" w:themeTint="98" w:sz="4" w:space="0"/>
          <w:right w:val="single" w:color="EF949F" w:themeColor="accent6" w:themeTint="98" w:sz="4" w:space="0"/>
        </w:tcBorders>
      </w:tcPr>
    </w:tblStylePr>
    <w:tblStylePr w:type="band1Horz">
      <w:rPr>
        <w:rFonts w:ascii="Arial" w:hAnsi="Arial"/>
        <w:color w:val="404040"/>
        <w:sz w:val="22"/>
      </w:rPr>
      <w:tcPr>
        <w:tcBorders>
          <w:top w:val="single" w:color="EF949F" w:themeColor="accent6" w:themeTint="98" w:sz="4" w:space="0"/>
          <w:bottom w:val="single" w:color="EF949F" w:themeColor="accent6" w:themeTint="98" w:sz="4" w:space="0"/>
        </w:tcBorders>
      </w:tcPr>
    </w:tblStylePr>
  </w:style>
  <w:style w:type="table" w:customStyle="1" w:styleId="144">
    <w:name w:val="List Table 4"/>
    <w:basedOn w:val="42"/>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45">
    <w:name w:val="List Table 4 - Accent 1"/>
    <w:basedOn w:val="42"/>
    <w:qFormat/>
    <w:uiPriority w:val="99"/>
    <w:pPr>
      <w:spacing w:after="0" w:line="240" w:lineRule="auto"/>
    </w:pPr>
    <w:tblPr>
      <w:tblBorders>
        <w:top w:val="single" w:color="97B0E1" w:themeColor="accent1" w:themeTint="90" w:sz="4" w:space="0"/>
        <w:left w:val="single" w:color="97B0E1" w:themeColor="accent1" w:themeTint="90" w:sz="4" w:space="0"/>
        <w:bottom w:val="single" w:color="97B0E1" w:themeColor="accent1" w:themeTint="90" w:sz="4" w:space="0"/>
        <w:right w:val="single" w:color="97B0E1" w:themeColor="accent1" w:themeTint="90" w:sz="4" w:space="0"/>
        <w:insideH w:val="single" w:color="97B0E1" w:themeColor="accent1" w:themeTint="90" w:sz="4" w:space="0"/>
      </w:tblBorders>
    </w:tblPr>
    <w:tblStylePr w:type="firstRow">
      <w:rPr>
        <w:rFonts w:ascii="Arial" w:hAnsi="Arial"/>
        <w:b/>
        <w:color w:val="FFFFFF"/>
        <w:sz w:val="22"/>
      </w:rPr>
      <w:tcPr>
        <w:shd w:val="clear" w:color="4874CB" w:themeColor="accent1" w:fill="4874CB"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1DCF1" w:themeColor="accent1" w:themeTint="40" w:fill="D1DCF1" w:themeFill="accent1" w:themeFillTint="40"/>
      </w:tcPr>
    </w:tblStylePr>
    <w:tblStylePr w:type="band1Horz">
      <w:rPr>
        <w:rFonts w:ascii="Arial" w:hAnsi="Arial"/>
        <w:color w:val="404040"/>
        <w:sz w:val="22"/>
      </w:rPr>
      <w:tcPr>
        <w:shd w:val="clear" w:color="D1DCF1" w:themeColor="accent1" w:themeTint="40" w:fill="D1DCF1" w:themeFill="accent1" w:themeFillTint="40"/>
      </w:tcPr>
    </w:tblStylePr>
  </w:style>
  <w:style w:type="table" w:customStyle="1" w:styleId="146">
    <w:name w:val="List Table 4 - Accent 2"/>
    <w:basedOn w:val="42"/>
    <w:qFormat/>
    <w:uiPriority w:val="99"/>
    <w:pPr>
      <w:spacing w:after="0" w:line="240" w:lineRule="auto"/>
    </w:pPr>
    <w:tblPr>
      <w:tblBorders>
        <w:top w:val="single" w:color="F5B889" w:themeColor="accent2" w:themeTint="90" w:sz="4" w:space="0"/>
        <w:left w:val="single" w:color="F5B889" w:themeColor="accent2" w:themeTint="90" w:sz="4" w:space="0"/>
        <w:bottom w:val="single" w:color="F5B889" w:themeColor="accent2" w:themeTint="90" w:sz="4" w:space="0"/>
        <w:right w:val="single" w:color="F5B889" w:themeColor="accent2" w:themeTint="90" w:sz="4" w:space="0"/>
        <w:insideH w:val="single" w:color="F5B889" w:themeColor="accent2" w:themeTint="90" w:sz="4" w:space="0"/>
      </w:tblBorders>
    </w:tblPr>
    <w:tblStylePr w:type="firstRow">
      <w:rPr>
        <w:rFonts w:ascii="Arial" w:hAnsi="Arial"/>
        <w:b/>
        <w:color w:val="FFFFFF"/>
        <w:sz w:val="22"/>
      </w:rPr>
      <w:tcPr>
        <w:shd w:val="clear" w:color="EE822F" w:themeColor="accent2" w:fill="EE822F"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ADFCA" w:themeColor="accent2" w:themeTint="40" w:fill="FADFCA" w:themeFill="accent2" w:themeFillTint="40"/>
      </w:tcPr>
    </w:tblStylePr>
    <w:tblStylePr w:type="band1Horz">
      <w:rPr>
        <w:rFonts w:ascii="Arial" w:hAnsi="Arial"/>
        <w:color w:val="404040"/>
        <w:sz w:val="22"/>
      </w:rPr>
      <w:tcPr>
        <w:shd w:val="clear" w:color="FADFCA" w:themeColor="accent2" w:themeTint="40" w:fill="FADFCA" w:themeFill="accent2" w:themeFillTint="40"/>
      </w:tcPr>
    </w:tblStylePr>
  </w:style>
  <w:style w:type="table" w:customStyle="1" w:styleId="147">
    <w:name w:val="List Table 4 - Accent 3"/>
    <w:basedOn w:val="42"/>
    <w:qFormat/>
    <w:uiPriority w:val="99"/>
    <w:pPr>
      <w:spacing w:after="0" w:line="240" w:lineRule="auto"/>
    </w:pPr>
    <w:tblPr>
      <w:tblBorders>
        <w:top w:val="single" w:color="FDDB6A" w:themeColor="accent3" w:themeTint="90" w:sz="4" w:space="0"/>
        <w:left w:val="single" w:color="FDDB6A" w:themeColor="accent3" w:themeTint="90" w:sz="4" w:space="0"/>
        <w:bottom w:val="single" w:color="FDDB6A" w:themeColor="accent3" w:themeTint="90" w:sz="4" w:space="0"/>
        <w:right w:val="single" w:color="FDDB6A" w:themeColor="accent3" w:themeTint="90" w:sz="4" w:space="0"/>
        <w:insideH w:val="single" w:color="FDDB6A" w:themeColor="accent3" w:themeTint="90" w:sz="4" w:space="0"/>
      </w:tblBorders>
    </w:tblPr>
    <w:tblStylePr w:type="firstRow">
      <w:rPr>
        <w:rFonts w:ascii="Arial" w:hAnsi="Arial"/>
        <w:b/>
        <w:color w:val="FFFFFF"/>
        <w:sz w:val="22"/>
      </w:rPr>
      <w:tcPr>
        <w:shd w:val="clear" w:color="F2BA02" w:themeColor="accent3" w:fill="F2BA02"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EEFBC" w:themeColor="accent3" w:themeTint="40" w:fill="FEEFBC" w:themeFill="accent3" w:themeFillTint="40"/>
      </w:tcPr>
    </w:tblStylePr>
    <w:tblStylePr w:type="band1Horz">
      <w:rPr>
        <w:rFonts w:ascii="Arial" w:hAnsi="Arial"/>
        <w:color w:val="404040"/>
        <w:sz w:val="22"/>
      </w:rPr>
      <w:tcPr>
        <w:shd w:val="clear" w:color="FEEFBC" w:themeColor="accent3" w:themeTint="40" w:fill="FEEFBC" w:themeFill="accent3" w:themeFillTint="40"/>
      </w:tcPr>
    </w:tblStylePr>
  </w:style>
  <w:style w:type="table" w:customStyle="1" w:styleId="148">
    <w:name w:val="List Table 4 - Accent 4"/>
    <w:basedOn w:val="42"/>
    <w:qFormat/>
    <w:uiPriority w:val="99"/>
    <w:pPr>
      <w:spacing w:after="0" w:line="240" w:lineRule="auto"/>
    </w:pPr>
    <w:tblPr>
      <w:tblBorders>
        <w:top w:val="single" w:color="B1D994" w:themeColor="accent4" w:themeTint="90" w:sz="4" w:space="0"/>
        <w:left w:val="single" w:color="B1D994" w:themeColor="accent4" w:themeTint="90" w:sz="4" w:space="0"/>
        <w:bottom w:val="single" w:color="B1D994" w:themeColor="accent4" w:themeTint="90" w:sz="4" w:space="0"/>
        <w:right w:val="single" w:color="B1D994" w:themeColor="accent4" w:themeTint="90" w:sz="4" w:space="0"/>
        <w:insideH w:val="single" w:color="B1D994" w:themeColor="accent4" w:themeTint="90" w:sz="4" w:space="0"/>
      </w:tblBorders>
    </w:tblPr>
    <w:tblStylePr w:type="firstRow">
      <w:rPr>
        <w:rFonts w:ascii="Arial" w:hAnsi="Arial"/>
        <w:b/>
        <w:color w:val="FFFFFF"/>
        <w:sz w:val="22"/>
      </w:rPr>
      <w:tcPr>
        <w:shd w:val="clear" w:color="75BD42" w:themeColor="accent4" w:fill="75BD4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CEECF" w:themeColor="accent4" w:themeTint="40" w:fill="DCEECF" w:themeFill="accent4" w:themeFillTint="40"/>
      </w:tcPr>
    </w:tblStylePr>
    <w:tblStylePr w:type="band1Horz">
      <w:rPr>
        <w:rFonts w:ascii="Arial" w:hAnsi="Arial"/>
        <w:color w:val="404040"/>
        <w:sz w:val="22"/>
      </w:rPr>
      <w:tcPr>
        <w:shd w:val="clear" w:color="DCEECF" w:themeColor="accent4" w:themeTint="40" w:fill="DCEECF" w:themeFill="accent4" w:themeFillTint="40"/>
      </w:tcPr>
    </w:tblStylePr>
  </w:style>
  <w:style w:type="table" w:customStyle="1" w:styleId="149">
    <w:name w:val="List Table 4 - Accent 5"/>
    <w:basedOn w:val="42"/>
    <w:qFormat/>
    <w:uiPriority w:val="99"/>
    <w:pPr>
      <w:spacing w:after="0" w:line="240" w:lineRule="auto"/>
    </w:pPr>
    <w:tblPr>
      <w:tblBorders>
        <w:top w:val="single" w:color="85E0D8" w:themeColor="accent5" w:themeTint="90" w:sz="4" w:space="0"/>
        <w:left w:val="single" w:color="85E0D8" w:themeColor="accent5" w:themeTint="90" w:sz="4" w:space="0"/>
        <w:bottom w:val="single" w:color="85E0D8" w:themeColor="accent5" w:themeTint="90" w:sz="4" w:space="0"/>
        <w:right w:val="single" w:color="85E0D8" w:themeColor="accent5" w:themeTint="90" w:sz="4" w:space="0"/>
        <w:insideH w:val="single" w:color="85E0D8" w:themeColor="accent5" w:themeTint="90" w:sz="4" w:space="0"/>
      </w:tblBorders>
    </w:tblPr>
    <w:tblStylePr w:type="firstRow">
      <w:rPr>
        <w:rFonts w:ascii="Arial" w:hAnsi="Arial"/>
        <w:b/>
        <w:color w:val="FFFFFF"/>
        <w:sz w:val="22"/>
      </w:rPr>
      <w:tcPr>
        <w:shd w:val="clear" w:color="30C0B4" w:themeColor="accent5" w:fill="30C0B4"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C8F1EE" w:themeColor="accent5" w:themeTint="40" w:fill="C8F1EE" w:themeFill="accent5" w:themeFillTint="40"/>
      </w:tcPr>
    </w:tblStylePr>
    <w:tblStylePr w:type="band1Horz">
      <w:rPr>
        <w:rFonts w:ascii="Arial" w:hAnsi="Arial"/>
        <w:color w:val="404040"/>
        <w:sz w:val="22"/>
      </w:rPr>
      <w:tcPr>
        <w:shd w:val="clear" w:color="C8F1EE" w:themeColor="accent5" w:themeTint="40" w:fill="C8F1EE" w:themeFill="accent5" w:themeFillTint="40"/>
      </w:tcPr>
    </w:tblStylePr>
  </w:style>
  <w:style w:type="table" w:customStyle="1" w:styleId="150">
    <w:name w:val="List Table 4 - Accent 6"/>
    <w:basedOn w:val="42"/>
    <w:qFormat/>
    <w:uiPriority w:val="99"/>
    <w:pPr>
      <w:spacing w:after="0" w:line="240" w:lineRule="auto"/>
    </w:pPr>
    <w:tblPr>
      <w:tblBorders>
        <w:top w:val="single" w:color="F099A4" w:themeColor="accent6" w:themeTint="90" w:sz="4" w:space="0"/>
        <w:left w:val="single" w:color="F099A4" w:themeColor="accent6" w:themeTint="90" w:sz="4" w:space="0"/>
        <w:bottom w:val="single" w:color="F099A4" w:themeColor="accent6" w:themeTint="90" w:sz="4" w:space="0"/>
        <w:right w:val="single" w:color="F099A4" w:themeColor="accent6" w:themeTint="90" w:sz="4" w:space="0"/>
        <w:insideH w:val="single" w:color="F099A4" w:themeColor="accent6" w:themeTint="90" w:sz="4" w:space="0"/>
      </w:tblBorders>
    </w:tblPr>
    <w:tblStylePr w:type="firstRow">
      <w:rPr>
        <w:rFonts w:ascii="Arial" w:hAnsi="Arial"/>
        <w:b/>
        <w:color w:val="FFFFFF"/>
        <w:sz w:val="22"/>
      </w:rPr>
      <w:tcPr>
        <w:shd w:val="clear" w:color="E54C5E" w:themeColor="accent6" w:fill="E54C5E"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8D2D6" w:themeColor="accent6" w:themeTint="40" w:fill="F8D2D6" w:themeFill="accent6" w:themeFillTint="40"/>
      </w:tcPr>
    </w:tblStylePr>
    <w:tblStylePr w:type="band1Horz">
      <w:rPr>
        <w:rFonts w:ascii="Arial" w:hAnsi="Arial"/>
        <w:color w:val="404040"/>
        <w:sz w:val="22"/>
      </w:rPr>
      <w:tcPr>
        <w:shd w:val="clear" w:color="F8D2D6" w:themeColor="accent6" w:themeTint="40" w:fill="F8D2D6" w:themeFill="accent6" w:themeFillTint="40"/>
      </w:tcPr>
    </w:tblStylePr>
  </w:style>
  <w:style w:type="table" w:customStyle="1" w:styleId="151">
    <w:name w:val="List Table 5 Dark"/>
    <w:basedOn w:val="42"/>
    <w:qFormat/>
    <w:uiPriority w:val="99"/>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152">
    <w:name w:val="List Table 5 Dark - Accent 1"/>
    <w:basedOn w:val="42"/>
    <w:qFormat/>
    <w:uiPriority w:val="99"/>
    <w:pPr>
      <w:spacing w:after="0" w:line="240" w:lineRule="auto"/>
    </w:pPr>
    <w:tblPr>
      <w:tblBorders>
        <w:top w:val="single" w:color="4874CB" w:themeColor="accent1" w:sz="32" w:space="0"/>
        <w:left w:val="single" w:color="4874CB" w:themeColor="accent1" w:sz="32" w:space="0"/>
        <w:bottom w:val="single" w:color="4874CB" w:themeColor="accent1" w:sz="32" w:space="0"/>
        <w:right w:val="single" w:color="4874CB" w:themeColor="accent1" w:sz="32" w:space="0"/>
      </w:tblBorders>
    </w:tblPr>
    <w:tblStylePr w:type="firstRow">
      <w:rPr>
        <w:rFonts w:ascii="Arial" w:hAnsi="Arial"/>
        <w:b/>
        <w:color w:val="FFFFFF" w:themeColor="light1"/>
        <w:sz w:val="22"/>
        <w14:textFill>
          <w14:solidFill>
            <w14:schemeClr w14:val="lt1"/>
          </w14:solidFill>
        </w14:textFill>
      </w:rPr>
      <w:tcPr>
        <w:tcBorders>
          <w:top w:val="single" w:color="4874CB" w:themeColor="accent1" w:sz="32" w:space="0"/>
          <w:bottom w:val="single" w:color="FFFFFF" w:themeColor="light1" w:sz="12" w:space="0"/>
        </w:tcBorders>
        <w:shd w:val="clear" w:color="4874CB" w:themeColor="accent1" w:fill="4874CB" w:themeFill="accent1"/>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4874CB" w:themeColor="accent1" w:sz="32" w:space="0"/>
          <w:right w:val="single" w:color="FFFFFF" w:themeColor="light1" w:sz="4" w:space="0"/>
        </w:tcBorders>
      </w:tcPr>
    </w:tblStylePr>
    <w:tblStylePr w:type="lastCol">
      <w:tcPr>
        <w:tcBorders>
          <w:left w:val="single" w:color="FFFFFF" w:themeColor="light1" w:sz="4" w:space="0"/>
          <w:right w:val="single" w:color="4874CB" w:themeColor="accent1" w:sz="32" w:space="0"/>
        </w:tcBorders>
      </w:tcPr>
    </w:tblStylePr>
    <w:tblStylePr w:type="band1Vert">
      <w:tcPr>
        <w:tcBorders>
          <w:left w:val="single" w:color="FFFFFF" w:themeColor="light1" w:sz="4" w:space="0"/>
          <w:right w:val="single" w:color="FFFFFF" w:themeColor="light1" w:sz="4" w:space="0"/>
        </w:tcBorders>
        <w:shd w:val="clear" w:color="4874CB" w:themeColor="accent1" w:fill="4874CB" w:themeFill="accent1"/>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4874CB" w:themeColor="accent1" w:fill="4874CB" w:themeFill="accent1"/>
      </w:tcPr>
    </w:tblStylePr>
    <w:tblStylePr w:type="band2Horz">
      <w:tcPr>
        <w:tcBorders>
          <w:top w:val="single" w:color="FFFFFF" w:themeColor="light1" w:sz="4" w:space="0"/>
          <w:bottom w:val="single" w:color="FFFFFF" w:themeColor="light1" w:sz="4" w:space="0"/>
        </w:tcBorders>
        <w:shd w:val="clear" w:color="4874CB" w:themeColor="accent1" w:fill="4874CB" w:themeFill="accent1"/>
      </w:tcPr>
    </w:tblStylePr>
  </w:style>
  <w:style w:type="table" w:customStyle="1" w:styleId="153">
    <w:name w:val="List Table 5 Dark - Accent 2"/>
    <w:basedOn w:val="42"/>
    <w:qFormat/>
    <w:uiPriority w:val="99"/>
    <w:pPr>
      <w:spacing w:after="0" w:line="240" w:lineRule="auto"/>
    </w:pPr>
    <w:tblPr>
      <w:tblBorders>
        <w:top w:val="single" w:color="F4B483" w:themeColor="accent2" w:themeTint="97" w:sz="32" w:space="0"/>
        <w:left w:val="single" w:color="F4B483" w:themeColor="accent2" w:themeTint="97" w:sz="32" w:space="0"/>
        <w:bottom w:val="single" w:color="F4B483" w:themeColor="accent2" w:themeTint="97" w:sz="32" w:space="0"/>
        <w:right w:val="single" w:color="F4B483" w:themeColor="accent2" w:themeTint="97" w:sz="32" w:space="0"/>
      </w:tblBorders>
    </w:tblPr>
    <w:tblStylePr w:type="firstRow">
      <w:rPr>
        <w:rFonts w:ascii="Arial" w:hAnsi="Arial"/>
        <w:b/>
        <w:color w:val="FFFFFF" w:themeColor="light1"/>
        <w:sz w:val="22"/>
        <w14:textFill>
          <w14:solidFill>
            <w14:schemeClr w14:val="lt1"/>
          </w14:solidFill>
        </w14:textFill>
      </w:rPr>
      <w:tcPr>
        <w:tcBorders>
          <w:top w:val="single" w:color="F4B483" w:themeColor="accent2" w:themeTint="97" w:sz="32" w:space="0"/>
          <w:bottom w:val="single" w:color="FFFFFF" w:themeColor="light1" w:sz="12" w:space="0"/>
        </w:tcBorders>
        <w:shd w:val="clear" w:color="F4B483" w:themeColor="accent2" w:themeTint="97" w:fill="F4B483" w:themeFill="accent2" w:themeFillTint="97"/>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4B483" w:themeColor="accent2" w:themeTint="97" w:sz="32" w:space="0"/>
          <w:right w:val="single" w:color="FFFFFF" w:themeColor="light1" w:sz="4" w:space="0"/>
        </w:tcBorders>
      </w:tcPr>
    </w:tblStylePr>
    <w:tblStylePr w:type="lastCol">
      <w:tcPr>
        <w:tcBorders>
          <w:left w:val="single" w:color="FFFFFF" w:themeColor="light1" w:sz="4" w:space="0"/>
          <w:right w:val="single" w:color="F4B483" w:themeColor="accent2" w:themeTint="97" w:sz="32" w:space="0"/>
        </w:tcBorders>
      </w:tcPr>
    </w:tblStylePr>
    <w:tblStylePr w:type="band1Vert">
      <w:tcPr>
        <w:tcBorders>
          <w:left w:val="single" w:color="FFFFFF" w:themeColor="light1" w:sz="4" w:space="0"/>
          <w:right w:val="single" w:color="FFFFFF" w:themeColor="light1" w:sz="4" w:space="0"/>
        </w:tcBorders>
        <w:shd w:val="clear" w:color="F4B483" w:themeColor="accent2" w:themeTint="97" w:fill="F4B483" w:themeFill="accent2" w:themeFillTint="97"/>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4B483" w:themeColor="accent2" w:themeTint="97" w:fill="F4B483" w:themeFill="accent2" w:themeFillTint="97"/>
      </w:tcPr>
    </w:tblStylePr>
    <w:tblStylePr w:type="band2Horz">
      <w:tcPr>
        <w:tcBorders>
          <w:top w:val="single" w:color="FFFFFF" w:themeColor="light1" w:sz="4" w:space="0"/>
          <w:bottom w:val="single" w:color="FFFFFF" w:themeColor="light1" w:sz="4" w:space="0"/>
        </w:tcBorders>
        <w:shd w:val="clear" w:color="F4B483" w:themeColor="accent2" w:themeTint="97" w:fill="F4B483" w:themeFill="accent2" w:themeFillTint="97"/>
      </w:tcPr>
    </w:tblStylePr>
  </w:style>
  <w:style w:type="table" w:customStyle="1" w:styleId="154">
    <w:name w:val="List Table 5 Dark - Accent 3"/>
    <w:basedOn w:val="42"/>
    <w:qFormat/>
    <w:uiPriority w:val="99"/>
    <w:pPr>
      <w:spacing w:after="0" w:line="240" w:lineRule="auto"/>
    </w:pPr>
    <w:tblPr>
      <w:tblBorders>
        <w:top w:val="single" w:color="FDD961" w:themeColor="accent3" w:themeTint="98" w:sz="32" w:space="0"/>
        <w:left w:val="single" w:color="FDD961" w:themeColor="accent3" w:themeTint="98" w:sz="32" w:space="0"/>
        <w:bottom w:val="single" w:color="FDD961" w:themeColor="accent3" w:themeTint="98" w:sz="32" w:space="0"/>
        <w:right w:val="single" w:color="FDD961" w:themeColor="accent3" w:themeTint="98" w:sz="32" w:space="0"/>
      </w:tblBorders>
    </w:tblPr>
    <w:tblStylePr w:type="firstRow">
      <w:rPr>
        <w:rFonts w:ascii="Arial" w:hAnsi="Arial"/>
        <w:b/>
        <w:color w:val="FFFFFF" w:themeColor="light1"/>
        <w:sz w:val="22"/>
        <w14:textFill>
          <w14:solidFill>
            <w14:schemeClr w14:val="lt1"/>
          </w14:solidFill>
        </w14:textFill>
      </w:rPr>
      <w:tcPr>
        <w:tcBorders>
          <w:top w:val="single" w:color="FDD961" w:themeColor="accent3" w:themeTint="98" w:sz="32" w:space="0"/>
          <w:bottom w:val="single" w:color="FFFFFF" w:themeColor="light1" w:sz="12" w:space="0"/>
        </w:tcBorders>
        <w:shd w:val="clear" w:color="FDD961" w:themeColor="accent3" w:themeTint="98" w:fill="FDD961" w:themeFill="accent3"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DD961" w:themeColor="accent3" w:themeTint="98" w:sz="32" w:space="0"/>
          <w:right w:val="single" w:color="FFFFFF" w:themeColor="light1" w:sz="4" w:space="0"/>
        </w:tcBorders>
      </w:tcPr>
    </w:tblStylePr>
    <w:tblStylePr w:type="lastCol">
      <w:tcPr>
        <w:tcBorders>
          <w:left w:val="single" w:color="FFFFFF" w:themeColor="light1" w:sz="4" w:space="0"/>
          <w:right w:val="single" w:color="FDD961" w:themeColor="accent3" w:themeTint="98" w:sz="32" w:space="0"/>
        </w:tcBorders>
      </w:tcPr>
    </w:tblStylePr>
    <w:tblStylePr w:type="band1Vert">
      <w:tcPr>
        <w:tcBorders>
          <w:left w:val="single" w:color="FFFFFF" w:themeColor="light1" w:sz="4" w:space="0"/>
          <w:right w:val="single" w:color="FFFFFF" w:themeColor="light1" w:sz="4" w:space="0"/>
        </w:tcBorders>
        <w:shd w:val="clear" w:color="FDD961" w:themeColor="accent3" w:themeTint="98" w:fill="FDD961" w:themeFill="accent3"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DD961" w:themeColor="accent3" w:themeTint="98" w:fill="FDD961" w:themeFill="accent3" w:themeFillTint="98"/>
      </w:tcPr>
    </w:tblStylePr>
    <w:tblStylePr w:type="band2Horz">
      <w:tcPr>
        <w:tcBorders>
          <w:top w:val="single" w:color="FFFFFF" w:themeColor="light1" w:sz="4" w:space="0"/>
          <w:bottom w:val="single" w:color="FFFFFF" w:themeColor="light1" w:sz="4" w:space="0"/>
        </w:tcBorders>
        <w:shd w:val="clear" w:color="FDD961" w:themeColor="accent3" w:themeTint="98" w:fill="FDD961" w:themeFill="accent3" w:themeFillTint="98"/>
      </w:tcPr>
    </w:tblStylePr>
  </w:style>
  <w:style w:type="table" w:customStyle="1" w:styleId="155">
    <w:name w:val="List Table 5 Dark - Accent 4"/>
    <w:basedOn w:val="42"/>
    <w:qFormat/>
    <w:uiPriority w:val="99"/>
    <w:pPr>
      <w:spacing w:after="0" w:line="240" w:lineRule="auto"/>
    </w:pPr>
    <w:tblPr>
      <w:tblBorders>
        <w:top w:val="single" w:color="ABD78C" w:themeColor="accent4" w:themeTint="9A" w:sz="32" w:space="0"/>
        <w:left w:val="single" w:color="ABD78C" w:themeColor="accent4" w:themeTint="9A" w:sz="32" w:space="0"/>
        <w:bottom w:val="single" w:color="ABD78C" w:themeColor="accent4" w:themeTint="9A" w:sz="32" w:space="0"/>
        <w:right w:val="single" w:color="ABD78C" w:themeColor="accent4" w:themeTint="9A" w:sz="32" w:space="0"/>
      </w:tblBorders>
    </w:tblPr>
    <w:tblStylePr w:type="firstRow">
      <w:rPr>
        <w:rFonts w:ascii="Arial" w:hAnsi="Arial"/>
        <w:b/>
        <w:color w:val="FFFFFF" w:themeColor="light1"/>
        <w:sz w:val="22"/>
        <w14:textFill>
          <w14:solidFill>
            <w14:schemeClr w14:val="lt1"/>
          </w14:solidFill>
        </w14:textFill>
      </w:rPr>
      <w:tcPr>
        <w:tcBorders>
          <w:top w:val="single" w:color="ABD78C" w:themeColor="accent4" w:themeTint="9A" w:sz="32" w:space="0"/>
          <w:bottom w:val="single" w:color="FFFFFF" w:themeColor="light1" w:sz="12" w:space="0"/>
        </w:tcBorders>
        <w:shd w:val="clear" w:color="ABD78C" w:themeColor="accent4" w:themeTint="9A" w:fill="ABD78C" w:themeFill="accent4"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ABD78C" w:themeColor="accent4" w:themeTint="9A" w:sz="32" w:space="0"/>
          <w:right w:val="single" w:color="FFFFFF" w:themeColor="light1" w:sz="4" w:space="0"/>
        </w:tcBorders>
      </w:tcPr>
    </w:tblStylePr>
    <w:tblStylePr w:type="lastCol">
      <w:tcPr>
        <w:tcBorders>
          <w:left w:val="single" w:color="FFFFFF" w:themeColor="light1" w:sz="4" w:space="0"/>
          <w:right w:val="single" w:color="ABD78C" w:themeColor="accent4" w:themeTint="9A" w:sz="32" w:space="0"/>
        </w:tcBorders>
      </w:tcPr>
    </w:tblStylePr>
    <w:tblStylePr w:type="band1Vert">
      <w:tcPr>
        <w:tcBorders>
          <w:left w:val="single" w:color="FFFFFF" w:themeColor="light1" w:sz="4" w:space="0"/>
          <w:right w:val="single" w:color="FFFFFF" w:themeColor="light1" w:sz="4" w:space="0"/>
        </w:tcBorders>
        <w:shd w:val="clear" w:color="ABD78C" w:themeColor="accent4" w:themeTint="9A" w:fill="ABD78C" w:themeFill="accent4"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ABD78C" w:themeColor="accent4" w:themeTint="9A" w:fill="ABD78C" w:themeFill="accent4" w:themeFillTint="9A"/>
      </w:tcPr>
    </w:tblStylePr>
    <w:tblStylePr w:type="band2Horz">
      <w:tcPr>
        <w:tcBorders>
          <w:top w:val="single" w:color="FFFFFF" w:themeColor="light1" w:sz="4" w:space="0"/>
          <w:bottom w:val="single" w:color="FFFFFF" w:themeColor="light1" w:sz="4" w:space="0"/>
        </w:tcBorders>
        <w:shd w:val="clear" w:color="ABD78C" w:themeColor="accent4" w:themeTint="9A" w:fill="ABD78C" w:themeFill="accent4" w:themeFillTint="9A"/>
      </w:tcPr>
    </w:tblStylePr>
  </w:style>
  <w:style w:type="table" w:customStyle="1" w:styleId="156">
    <w:name w:val="List Table 5 Dark - Accent 5"/>
    <w:basedOn w:val="42"/>
    <w:qFormat/>
    <w:uiPriority w:val="99"/>
    <w:pPr>
      <w:spacing w:after="0" w:line="240" w:lineRule="auto"/>
    </w:pPr>
    <w:tblPr>
      <w:tblBorders>
        <w:top w:val="single" w:color="7CDED6" w:themeColor="accent5" w:themeTint="9A" w:sz="32" w:space="0"/>
        <w:left w:val="single" w:color="7CDED6" w:themeColor="accent5" w:themeTint="9A" w:sz="32" w:space="0"/>
        <w:bottom w:val="single" w:color="7CDED6" w:themeColor="accent5" w:themeTint="9A" w:sz="32" w:space="0"/>
        <w:right w:val="single" w:color="7CDED6" w:themeColor="accent5" w:themeTint="9A" w:sz="32" w:space="0"/>
      </w:tblBorders>
    </w:tblPr>
    <w:tblStylePr w:type="firstRow">
      <w:rPr>
        <w:rFonts w:ascii="Arial" w:hAnsi="Arial"/>
        <w:b/>
        <w:color w:val="FFFFFF" w:themeColor="light1"/>
        <w:sz w:val="22"/>
        <w14:textFill>
          <w14:solidFill>
            <w14:schemeClr w14:val="lt1"/>
          </w14:solidFill>
        </w14:textFill>
      </w:rPr>
      <w:tcPr>
        <w:tcBorders>
          <w:top w:val="single" w:color="7CDED6" w:themeColor="accent5" w:themeTint="9A" w:sz="32" w:space="0"/>
          <w:bottom w:val="single" w:color="FFFFFF" w:themeColor="light1" w:sz="12" w:space="0"/>
        </w:tcBorders>
        <w:shd w:val="clear" w:color="7CDED6" w:themeColor="accent5" w:themeTint="9A" w:fill="7CDED6" w:themeFill="accent5"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CDED6" w:themeColor="accent5" w:themeTint="9A" w:sz="32" w:space="0"/>
          <w:right w:val="single" w:color="FFFFFF" w:themeColor="light1" w:sz="4" w:space="0"/>
        </w:tcBorders>
      </w:tcPr>
    </w:tblStylePr>
    <w:tblStylePr w:type="lastCol">
      <w:tcPr>
        <w:tcBorders>
          <w:left w:val="single" w:color="FFFFFF" w:themeColor="light1" w:sz="4" w:space="0"/>
          <w:right w:val="single" w:color="7CDED6" w:themeColor="accent5" w:themeTint="9A" w:sz="32" w:space="0"/>
        </w:tcBorders>
      </w:tcPr>
    </w:tblStylePr>
    <w:tblStylePr w:type="band1Vert">
      <w:tcPr>
        <w:tcBorders>
          <w:left w:val="single" w:color="FFFFFF" w:themeColor="light1" w:sz="4" w:space="0"/>
          <w:right w:val="single" w:color="FFFFFF" w:themeColor="light1" w:sz="4" w:space="0"/>
        </w:tcBorders>
        <w:shd w:val="clear" w:color="7CDED6" w:themeColor="accent5" w:themeTint="9A" w:fill="7CDED6" w:themeFill="accent5"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CDED6" w:themeColor="accent5" w:themeTint="9A" w:fill="7CDED6" w:themeFill="accent5" w:themeFillTint="9A"/>
      </w:tcPr>
    </w:tblStylePr>
    <w:tblStylePr w:type="band2Horz">
      <w:tcPr>
        <w:tcBorders>
          <w:top w:val="single" w:color="FFFFFF" w:themeColor="light1" w:sz="4" w:space="0"/>
          <w:bottom w:val="single" w:color="FFFFFF" w:themeColor="light1" w:sz="4" w:space="0"/>
        </w:tcBorders>
        <w:shd w:val="clear" w:color="7CDED6" w:themeColor="accent5" w:themeTint="9A" w:fill="7CDED6" w:themeFill="accent5" w:themeFillTint="9A"/>
      </w:tcPr>
    </w:tblStylePr>
  </w:style>
  <w:style w:type="table" w:customStyle="1" w:styleId="157">
    <w:name w:val="List Table 5 Dark - Accent 6"/>
    <w:basedOn w:val="42"/>
    <w:qFormat/>
    <w:uiPriority w:val="99"/>
    <w:pPr>
      <w:spacing w:after="0" w:line="240" w:lineRule="auto"/>
    </w:pPr>
    <w:tblPr>
      <w:tblBorders>
        <w:top w:val="single" w:color="EF949F" w:themeColor="accent6" w:themeTint="98" w:sz="32" w:space="0"/>
        <w:left w:val="single" w:color="EF949F" w:themeColor="accent6" w:themeTint="98" w:sz="32" w:space="0"/>
        <w:bottom w:val="single" w:color="EF949F" w:themeColor="accent6" w:themeTint="98" w:sz="32" w:space="0"/>
        <w:right w:val="single" w:color="EF949F" w:themeColor="accent6" w:themeTint="98" w:sz="32" w:space="0"/>
      </w:tblBorders>
    </w:tblPr>
    <w:tblStylePr w:type="firstRow">
      <w:rPr>
        <w:rFonts w:ascii="Arial" w:hAnsi="Arial"/>
        <w:b/>
        <w:color w:val="FFFFFF" w:themeColor="light1"/>
        <w:sz w:val="22"/>
        <w14:textFill>
          <w14:solidFill>
            <w14:schemeClr w14:val="lt1"/>
          </w14:solidFill>
        </w14:textFill>
      </w:rPr>
      <w:tcPr>
        <w:tcBorders>
          <w:top w:val="single" w:color="EF949F" w:themeColor="accent6" w:themeTint="98" w:sz="32" w:space="0"/>
          <w:bottom w:val="single" w:color="FFFFFF" w:themeColor="light1" w:sz="12" w:space="0"/>
        </w:tcBorders>
        <w:shd w:val="clear" w:color="EF949F" w:themeColor="accent6" w:themeTint="98" w:fill="EF949F" w:themeFill="accent6"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EF949F" w:themeColor="accent6" w:themeTint="98" w:sz="32" w:space="0"/>
          <w:right w:val="single" w:color="FFFFFF" w:themeColor="light1" w:sz="4" w:space="0"/>
        </w:tcBorders>
      </w:tcPr>
    </w:tblStylePr>
    <w:tblStylePr w:type="lastCol">
      <w:tcPr>
        <w:tcBorders>
          <w:left w:val="single" w:color="FFFFFF" w:themeColor="light1" w:sz="4" w:space="0"/>
          <w:right w:val="single" w:color="EF949F" w:themeColor="accent6" w:themeTint="98" w:sz="32" w:space="0"/>
        </w:tcBorders>
      </w:tcPr>
    </w:tblStylePr>
    <w:tblStylePr w:type="band1Vert">
      <w:tcPr>
        <w:tcBorders>
          <w:left w:val="single" w:color="FFFFFF" w:themeColor="light1" w:sz="4" w:space="0"/>
          <w:right w:val="single" w:color="FFFFFF" w:themeColor="light1" w:sz="4" w:space="0"/>
        </w:tcBorders>
        <w:shd w:val="clear" w:color="EF949F" w:themeColor="accent6" w:themeTint="98" w:fill="EF949F" w:themeFill="accent6"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EF949F" w:themeColor="accent6" w:themeTint="98" w:fill="EF949F" w:themeFill="accent6" w:themeFillTint="98"/>
      </w:tcPr>
    </w:tblStylePr>
    <w:tblStylePr w:type="band2Horz">
      <w:tcPr>
        <w:tcBorders>
          <w:top w:val="single" w:color="FFFFFF" w:themeColor="light1" w:sz="4" w:space="0"/>
          <w:bottom w:val="single" w:color="FFFFFF" w:themeColor="light1" w:sz="4" w:space="0"/>
        </w:tcBorders>
        <w:shd w:val="clear" w:color="EF949F" w:themeColor="accent6" w:themeTint="98" w:fill="EF949F" w:themeFill="accent6" w:themeFillTint="98"/>
      </w:tcPr>
    </w:tblStylePr>
  </w:style>
  <w:style w:type="table" w:customStyle="1" w:styleId="158">
    <w:name w:val="List Table 6 Colorful"/>
    <w:basedOn w:val="42"/>
    <w:qFormat/>
    <w:uiPriority w:val="99"/>
    <w:pPr>
      <w:spacing w:after="0" w:line="240" w:lineRule="auto"/>
    </w:pPr>
    <w:tblPr>
      <w:tblBorders>
        <w:top w:val="single" w:color="7E7E7E" w:themeColor="text1" w:themeTint="80" w:sz="4" w:space="0"/>
        <w:bottom w:val="single" w:color="7E7E7E" w:themeColor="text1" w:themeTint="80" w:sz="4" w:space="0"/>
      </w:tblBorders>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159">
    <w:name w:val="List Table 6 Colorful - Accent 1"/>
    <w:basedOn w:val="42"/>
    <w:qFormat/>
    <w:uiPriority w:val="99"/>
    <w:pPr>
      <w:spacing w:after="0" w:line="240" w:lineRule="auto"/>
    </w:pPr>
    <w:tblPr>
      <w:tblBorders>
        <w:top w:val="single" w:color="4874CB" w:themeColor="accent1" w:sz="4" w:space="0"/>
        <w:bottom w:val="single" w:color="4874CB" w:themeColor="accent1" w:sz="4" w:space="0"/>
      </w:tblBorders>
    </w:tblPr>
    <w:tblStylePr w:type="firstRow">
      <w:rPr>
        <w:b/>
        <w:color w:val="23417C" w:themeColor="accent1" w:themeShade="94"/>
      </w:rPr>
      <w:tcPr>
        <w:tcBorders>
          <w:bottom w:val="single" w:color="4874CB" w:themeColor="accent1" w:sz="4" w:space="0"/>
        </w:tcBorders>
      </w:tcPr>
    </w:tblStylePr>
    <w:tblStylePr w:type="lastRow">
      <w:rPr>
        <w:b/>
        <w:color w:val="23417C" w:themeColor="accent1" w:themeShade="94"/>
      </w:rPr>
      <w:tcPr>
        <w:tcBorders>
          <w:top w:val="single" w:color="4874CB" w:themeColor="accent1" w:sz="4" w:space="0"/>
        </w:tcBorders>
      </w:tcPr>
    </w:tblStylePr>
    <w:tblStylePr w:type="firstCol">
      <w:rPr>
        <w:b/>
        <w:color w:val="23417C" w:themeColor="accent1" w:themeShade="94"/>
      </w:rPr>
    </w:tblStylePr>
    <w:tblStylePr w:type="lastCol">
      <w:rPr>
        <w:b/>
        <w:color w:val="23417C" w:themeColor="accent1" w:themeShade="94"/>
      </w:rPr>
    </w:tblStylePr>
    <w:tblStylePr w:type="band1Vert">
      <w:tcPr>
        <w:shd w:val="clear" w:color="D1DCF1" w:themeColor="accent1" w:themeTint="40" w:fill="D1DCF1" w:themeFill="accent1" w:themeFillTint="40"/>
      </w:tcPr>
    </w:tblStylePr>
    <w:tblStylePr w:type="band1Horz">
      <w:rPr>
        <w:rFonts w:ascii="Arial" w:hAnsi="Arial"/>
        <w:color w:val="23417C" w:themeColor="accent1" w:themeShade="94"/>
        <w:sz w:val="22"/>
      </w:rPr>
      <w:tcPr>
        <w:shd w:val="clear" w:color="D1DCF1" w:themeColor="accent1" w:themeTint="40" w:fill="D1DCF1" w:themeFill="accent1" w:themeFillTint="40"/>
      </w:tcPr>
    </w:tblStylePr>
    <w:tblStylePr w:type="band2Horz">
      <w:rPr>
        <w:rFonts w:ascii="Arial" w:hAnsi="Arial"/>
        <w:color w:val="23417C" w:themeColor="accent1" w:themeShade="94"/>
        <w:sz w:val="22"/>
      </w:rPr>
    </w:tblStylePr>
  </w:style>
  <w:style w:type="table" w:customStyle="1" w:styleId="160">
    <w:name w:val="List Table 6 Colorful - Accent 2"/>
    <w:basedOn w:val="42"/>
    <w:qFormat/>
    <w:uiPriority w:val="99"/>
    <w:pPr>
      <w:spacing w:after="0" w:line="240" w:lineRule="auto"/>
    </w:pPr>
    <w:tblPr>
      <w:tblBorders>
        <w:top w:val="single" w:color="F4B483" w:themeColor="accent2" w:themeTint="97" w:sz="4" w:space="0"/>
        <w:bottom w:val="single" w:color="F4B483" w:themeColor="accent2" w:themeTint="97" w:sz="4" w:space="0"/>
      </w:tblBorders>
    </w:tblPr>
    <w:tblStylePr w:type="firstRow">
      <w:rPr>
        <w:b/>
        <w:color w:val="F5B584" w:themeColor="accent2" w:themeTint="96"/>
        <w14:textFill>
          <w14:solidFill>
            <w14:schemeClr w14:val="accent2">
              <w14:lumMod w14:val="59000"/>
              <w14:lumOff w14:val="41000"/>
            </w14:schemeClr>
          </w14:solidFill>
        </w14:textFill>
      </w:rPr>
      <w:tcPr>
        <w:tcBorders>
          <w:bottom w:val="single" w:color="F4B483" w:themeColor="accent2" w:themeTint="97" w:sz="4" w:space="0"/>
        </w:tcBorders>
      </w:tcPr>
    </w:tblStylePr>
    <w:tblStylePr w:type="lastRow">
      <w:rPr>
        <w:b/>
        <w:color w:val="F5B584" w:themeColor="accent2" w:themeTint="96"/>
        <w14:textFill>
          <w14:solidFill>
            <w14:schemeClr w14:val="accent2">
              <w14:lumMod w14:val="59000"/>
              <w14:lumOff w14:val="41000"/>
            </w14:schemeClr>
          </w14:solidFill>
        </w14:textFill>
      </w:rPr>
      <w:tcPr>
        <w:tcBorders>
          <w:top w:val="single" w:color="F4B483" w:themeColor="accent2" w:themeTint="97" w:sz="4" w:space="0"/>
        </w:tcBorders>
      </w:tcPr>
    </w:tblStylePr>
    <w:tblStylePr w:type="firstCol">
      <w:rPr>
        <w:b/>
        <w:color w:val="F5B584" w:themeColor="accent2" w:themeTint="96"/>
        <w14:textFill>
          <w14:solidFill>
            <w14:schemeClr w14:val="accent2">
              <w14:lumMod w14:val="59000"/>
              <w14:lumOff w14:val="41000"/>
            </w14:schemeClr>
          </w14:solidFill>
        </w14:textFill>
      </w:rPr>
    </w:tblStylePr>
    <w:tblStylePr w:type="lastCol">
      <w:rPr>
        <w:b/>
        <w:color w:val="F5B584" w:themeColor="accent2" w:themeTint="96"/>
        <w14:textFill>
          <w14:solidFill>
            <w14:schemeClr w14:val="accent2">
              <w14:lumMod w14:val="59000"/>
              <w14:lumOff w14:val="41000"/>
            </w14:schemeClr>
          </w14:solidFill>
        </w14:textFill>
      </w:rPr>
    </w:tblStylePr>
    <w:tblStylePr w:type="band1Vert">
      <w:tcPr>
        <w:shd w:val="clear" w:color="FADFCA" w:themeColor="accent2" w:themeTint="40" w:fill="FADFCA" w:themeFill="accent2" w:themeFillTint="40"/>
      </w:tcPr>
    </w:tblStyle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ADFCA" w:themeColor="accent2" w:themeTint="40" w:fill="FADFCA" w:themeFill="accent2" w:themeFillTint="40"/>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style>
  <w:style w:type="table" w:customStyle="1" w:styleId="161">
    <w:name w:val="List Table 6 Colorful - Accent 3"/>
    <w:basedOn w:val="42"/>
    <w:qFormat/>
    <w:uiPriority w:val="99"/>
    <w:pPr>
      <w:spacing w:after="0" w:line="240" w:lineRule="auto"/>
    </w:pPr>
    <w:tblPr>
      <w:tblBorders>
        <w:top w:val="single" w:color="FDD961" w:themeColor="accent3" w:themeTint="98" w:sz="4" w:space="0"/>
        <w:bottom w:val="single" w:color="FDD961" w:themeColor="accent3" w:themeTint="98" w:sz="4" w:space="0"/>
      </w:tblBorders>
    </w:tblPr>
    <w:tblStylePr w:type="firstRow">
      <w:rPr>
        <w:b/>
        <w:color w:val="FED961" w:themeColor="accent3" w:themeTint="99"/>
        <w14:textFill>
          <w14:solidFill>
            <w14:schemeClr w14:val="accent3">
              <w14:lumMod w14:val="60000"/>
              <w14:lumOff w14:val="40000"/>
            </w14:schemeClr>
          </w14:solidFill>
        </w14:textFill>
      </w:rPr>
      <w:tcPr>
        <w:tcBorders>
          <w:bottom w:val="single" w:color="FDD961" w:themeColor="accent3" w:themeTint="98" w:sz="4" w:space="0"/>
        </w:tcBorders>
      </w:tcPr>
    </w:tblStylePr>
    <w:tblStylePr w:type="lastRow">
      <w:rPr>
        <w:b/>
        <w:color w:val="FED961" w:themeColor="accent3" w:themeTint="99"/>
        <w14:textFill>
          <w14:solidFill>
            <w14:schemeClr w14:val="accent3">
              <w14:lumMod w14:val="60000"/>
              <w14:lumOff w14:val="40000"/>
            </w14:schemeClr>
          </w14:solidFill>
        </w14:textFill>
      </w:rPr>
      <w:tcPr>
        <w:tcBorders>
          <w:top w:val="single" w:color="FDD961" w:themeColor="accent3" w:themeTint="98" w:sz="4" w:space="0"/>
        </w:tcBorders>
      </w:tcPr>
    </w:tblStylePr>
    <w:tblStylePr w:type="firstCol">
      <w:rPr>
        <w:b/>
        <w:color w:val="FED961" w:themeColor="accent3" w:themeTint="99"/>
        <w14:textFill>
          <w14:solidFill>
            <w14:schemeClr w14:val="accent3">
              <w14:lumMod w14:val="60000"/>
              <w14:lumOff w14:val="40000"/>
            </w14:schemeClr>
          </w14:solidFill>
        </w14:textFill>
      </w:rPr>
    </w:tblStylePr>
    <w:tblStylePr w:type="lastCol">
      <w:rPr>
        <w:b/>
        <w:color w:val="FED961" w:themeColor="accent3" w:themeTint="99"/>
        <w14:textFill>
          <w14:solidFill>
            <w14:schemeClr w14:val="accent3">
              <w14:lumMod w14:val="60000"/>
              <w14:lumOff w14:val="40000"/>
            </w14:schemeClr>
          </w14:solidFill>
        </w14:textFill>
      </w:rPr>
    </w:tblStylePr>
    <w:tblStylePr w:type="band1Vert">
      <w:tcPr>
        <w:shd w:val="clear" w:color="FEEFBC" w:themeColor="accent3" w:themeTint="40" w:fill="FEEFBC" w:themeFill="accent3" w:themeFillTint="40"/>
      </w:tcPr>
    </w:tblStylePr>
    <w:tblStylePr w:type="band1Horz">
      <w:rPr>
        <w:rFonts w:ascii="Arial" w:hAnsi="Arial"/>
        <w:color w:val="FED961" w:themeColor="accent3" w:themeTint="99"/>
        <w:sz w:val="22"/>
        <w14:textFill>
          <w14:solidFill>
            <w14:schemeClr w14:val="accent3">
              <w14:lumMod w14:val="60000"/>
              <w14:lumOff w14:val="40000"/>
            </w14:schemeClr>
          </w14:solidFill>
        </w14:textFill>
      </w:rPr>
      <w:tcPr>
        <w:shd w:val="clear" w:color="FEEFBC" w:themeColor="accent3" w:themeTint="40" w:fill="FEEFBC" w:themeFill="accent3" w:themeFillTint="40"/>
      </w:tcPr>
    </w:tblStylePr>
    <w:tblStylePr w:type="band2Horz">
      <w:rPr>
        <w:rFonts w:ascii="Arial" w:hAnsi="Arial"/>
        <w:color w:val="FED961" w:themeColor="accent3" w:themeTint="99"/>
        <w:sz w:val="22"/>
        <w14:textFill>
          <w14:solidFill>
            <w14:schemeClr w14:val="accent3">
              <w14:lumMod w14:val="60000"/>
              <w14:lumOff w14:val="40000"/>
            </w14:schemeClr>
          </w14:solidFill>
        </w14:textFill>
      </w:rPr>
    </w:tblStylePr>
  </w:style>
  <w:style w:type="table" w:customStyle="1" w:styleId="162">
    <w:name w:val="List Table 6 Colorful - Accent 4"/>
    <w:basedOn w:val="42"/>
    <w:qFormat/>
    <w:uiPriority w:val="99"/>
    <w:pPr>
      <w:spacing w:after="0" w:line="240" w:lineRule="auto"/>
    </w:pPr>
    <w:tblPr>
      <w:tblBorders>
        <w:top w:val="single" w:color="ABD78C" w:themeColor="accent4" w:themeTint="9A" w:sz="4" w:space="0"/>
        <w:bottom w:val="single" w:color="ABD78C" w:themeColor="accent4" w:themeTint="9A" w:sz="4" w:space="0"/>
      </w:tblBorders>
    </w:tblPr>
    <w:tblStylePr w:type="firstRow">
      <w:rPr>
        <w:b/>
        <w:color w:val="ACD78E" w:themeColor="accent4" w:themeTint="99"/>
        <w14:textFill>
          <w14:solidFill>
            <w14:schemeClr w14:val="accent4">
              <w14:lumMod w14:val="60000"/>
              <w14:lumOff w14:val="40000"/>
            </w14:schemeClr>
          </w14:solidFill>
        </w14:textFill>
      </w:rPr>
      <w:tcPr>
        <w:tcBorders>
          <w:bottom w:val="single" w:color="ABD78C" w:themeColor="accent4" w:themeTint="9A" w:sz="4" w:space="0"/>
        </w:tcBorders>
      </w:tcPr>
    </w:tblStylePr>
    <w:tblStylePr w:type="lastRow">
      <w:rPr>
        <w:b/>
        <w:color w:val="ACD78E" w:themeColor="accent4" w:themeTint="99"/>
        <w14:textFill>
          <w14:solidFill>
            <w14:schemeClr w14:val="accent4">
              <w14:lumMod w14:val="60000"/>
              <w14:lumOff w14:val="40000"/>
            </w14:schemeClr>
          </w14:solidFill>
        </w14:textFill>
      </w:rPr>
      <w:tcPr>
        <w:tcBorders>
          <w:top w:val="single" w:color="ABD78C" w:themeColor="accent4" w:themeTint="9A" w:sz="4" w:space="0"/>
        </w:tcBorders>
      </w:tcPr>
    </w:tblStylePr>
    <w:tblStylePr w:type="firstCol">
      <w:rPr>
        <w:b/>
        <w:color w:val="ACD78E" w:themeColor="accent4" w:themeTint="99"/>
        <w14:textFill>
          <w14:solidFill>
            <w14:schemeClr w14:val="accent4">
              <w14:lumMod w14:val="60000"/>
              <w14:lumOff w14:val="40000"/>
            </w14:schemeClr>
          </w14:solidFill>
        </w14:textFill>
      </w:rPr>
    </w:tblStylePr>
    <w:tblStylePr w:type="lastCol">
      <w:rPr>
        <w:b/>
        <w:color w:val="ACD78E" w:themeColor="accent4" w:themeTint="99"/>
        <w14:textFill>
          <w14:solidFill>
            <w14:schemeClr w14:val="accent4">
              <w14:lumMod w14:val="60000"/>
              <w14:lumOff w14:val="40000"/>
            </w14:schemeClr>
          </w14:solidFill>
        </w14:textFill>
      </w:rPr>
    </w:tblStylePr>
    <w:tblStylePr w:type="band1Vert">
      <w:tcPr>
        <w:shd w:val="clear" w:color="DCEECF" w:themeColor="accent4" w:themeTint="40" w:fill="DCEECF" w:themeFill="accent4" w:themeFillTint="40"/>
      </w:tcPr>
    </w:tblStyle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DCEECF" w:themeColor="accent4" w:themeTint="40" w:fill="DCEECF" w:themeFill="accent4" w:themeFillTint="40"/>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style>
  <w:style w:type="table" w:customStyle="1" w:styleId="163">
    <w:name w:val="List Table 6 Colorful - Accent 5"/>
    <w:basedOn w:val="42"/>
    <w:qFormat/>
    <w:uiPriority w:val="99"/>
    <w:pPr>
      <w:spacing w:after="0" w:line="240" w:lineRule="auto"/>
    </w:pPr>
    <w:tblPr>
      <w:tblBorders>
        <w:top w:val="single" w:color="7CDED6" w:themeColor="accent5" w:themeTint="9A" w:sz="4" w:space="0"/>
        <w:bottom w:val="single" w:color="7CDED6" w:themeColor="accent5" w:themeTint="9A" w:sz="4" w:space="0"/>
      </w:tblBorders>
    </w:tblPr>
    <w:tblStylePr w:type="firstRow">
      <w:rPr>
        <w:b/>
        <w:color w:val="7DDFD7" w:themeColor="accent5" w:themeTint="99"/>
        <w14:textFill>
          <w14:solidFill>
            <w14:schemeClr w14:val="accent5">
              <w14:lumMod w14:val="60000"/>
              <w14:lumOff w14:val="40000"/>
            </w14:schemeClr>
          </w14:solidFill>
        </w14:textFill>
      </w:rPr>
      <w:tcPr>
        <w:tcBorders>
          <w:bottom w:val="single" w:color="7CDED6" w:themeColor="accent5" w:themeTint="9A" w:sz="4" w:space="0"/>
        </w:tcBorders>
      </w:tcPr>
    </w:tblStylePr>
    <w:tblStylePr w:type="lastRow">
      <w:rPr>
        <w:b/>
        <w:color w:val="7DDFD7" w:themeColor="accent5" w:themeTint="99"/>
        <w14:textFill>
          <w14:solidFill>
            <w14:schemeClr w14:val="accent5">
              <w14:lumMod w14:val="60000"/>
              <w14:lumOff w14:val="40000"/>
            </w14:schemeClr>
          </w14:solidFill>
        </w14:textFill>
      </w:rPr>
      <w:tcPr>
        <w:tcBorders>
          <w:top w:val="single" w:color="7CDED6" w:themeColor="accent5" w:themeTint="9A" w:sz="4" w:space="0"/>
        </w:tcBorders>
      </w:tcPr>
    </w:tblStylePr>
    <w:tblStylePr w:type="firstCol">
      <w:rPr>
        <w:b/>
        <w:color w:val="7DDFD7" w:themeColor="accent5" w:themeTint="99"/>
        <w14:textFill>
          <w14:solidFill>
            <w14:schemeClr w14:val="accent5">
              <w14:lumMod w14:val="60000"/>
              <w14:lumOff w14:val="40000"/>
            </w14:schemeClr>
          </w14:solidFill>
        </w14:textFill>
      </w:rPr>
    </w:tblStylePr>
    <w:tblStylePr w:type="lastCol">
      <w:rPr>
        <w:b/>
        <w:color w:val="7DDFD7" w:themeColor="accent5" w:themeTint="99"/>
        <w14:textFill>
          <w14:solidFill>
            <w14:schemeClr w14:val="accent5">
              <w14:lumMod w14:val="60000"/>
              <w14:lumOff w14:val="40000"/>
            </w14:schemeClr>
          </w14:solidFill>
        </w14:textFill>
      </w:rPr>
    </w:tblStylePr>
    <w:tblStylePr w:type="band1Vert">
      <w:tcPr>
        <w:shd w:val="clear" w:color="C8F1EE" w:themeColor="accent5" w:themeTint="40" w:fill="C8F1EE" w:themeFill="accent5" w:themeFillTint="40"/>
      </w:tcPr>
    </w:tblStylePr>
    <w:tblStylePr w:type="band1Horz">
      <w:rPr>
        <w:rFonts w:ascii="Arial" w:hAnsi="Arial"/>
        <w:color w:val="7DDFD7" w:themeColor="accent5" w:themeTint="99"/>
        <w:sz w:val="22"/>
        <w14:textFill>
          <w14:solidFill>
            <w14:schemeClr w14:val="accent5">
              <w14:lumMod w14:val="60000"/>
              <w14:lumOff w14:val="40000"/>
            </w14:schemeClr>
          </w14:solidFill>
        </w14:textFill>
      </w:rPr>
      <w:tcPr>
        <w:shd w:val="clear" w:color="C8F1EE" w:themeColor="accent5" w:themeTint="40" w:fill="C8F1EE" w:themeFill="accent5" w:themeFillTint="40"/>
      </w:tcPr>
    </w:tblStylePr>
    <w:tblStylePr w:type="band2Horz">
      <w:rPr>
        <w:rFonts w:ascii="Arial" w:hAnsi="Arial"/>
        <w:color w:val="7DDFD7" w:themeColor="accent5" w:themeTint="99"/>
        <w:sz w:val="22"/>
        <w14:textFill>
          <w14:solidFill>
            <w14:schemeClr w14:val="accent5">
              <w14:lumMod w14:val="60000"/>
              <w14:lumOff w14:val="40000"/>
            </w14:schemeClr>
          </w14:solidFill>
        </w14:textFill>
      </w:rPr>
    </w:tblStylePr>
  </w:style>
  <w:style w:type="table" w:customStyle="1" w:styleId="164">
    <w:name w:val="List Table 6 Colorful - Accent 6"/>
    <w:basedOn w:val="42"/>
    <w:qFormat/>
    <w:uiPriority w:val="99"/>
    <w:pPr>
      <w:spacing w:after="0" w:line="240" w:lineRule="auto"/>
    </w:pPr>
    <w:tblPr>
      <w:tblBorders>
        <w:top w:val="single" w:color="EF949F" w:themeColor="accent6" w:themeTint="98" w:sz="4" w:space="0"/>
        <w:bottom w:val="single" w:color="EF949F" w:themeColor="accent6" w:themeTint="98" w:sz="4" w:space="0"/>
      </w:tblBorders>
    </w:tblPr>
    <w:tblStylePr w:type="firstRow">
      <w:rPr>
        <w:b/>
        <w:color w:val="EF949E" w:themeColor="accent6" w:themeTint="99"/>
        <w14:textFill>
          <w14:solidFill>
            <w14:schemeClr w14:val="accent6">
              <w14:lumMod w14:val="60000"/>
              <w14:lumOff w14:val="40000"/>
            </w14:schemeClr>
          </w14:solidFill>
        </w14:textFill>
      </w:rPr>
      <w:tcPr>
        <w:tcBorders>
          <w:bottom w:val="single" w:color="EF949F" w:themeColor="accent6" w:themeTint="98" w:sz="4" w:space="0"/>
        </w:tcBorders>
      </w:tcPr>
    </w:tblStylePr>
    <w:tblStylePr w:type="lastRow">
      <w:rPr>
        <w:b/>
        <w:color w:val="EF949E" w:themeColor="accent6" w:themeTint="99"/>
        <w14:textFill>
          <w14:solidFill>
            <w14:schemeClr w14:val="accent6">
              <w14:lumMod w14:val="60000"/>
              <w14:lumOff w14:val="40000"/>
            </w14:schemeClr>
          </w14:solidFill>
        </w14:textFill>
      </w:rPr>
      <w:tcPr>
        <w:tcBorders>
          <w:top w:val="single" w:color="EF949F" w:themeColor="accent6" w:themeTint="98" w:sz="4" w:space="0"/>
        </w:tcBorders>
      </w:tcPr>
    </w:tblStylePr>
    <w:tblStylePr w:type="firstCol">
      <w:rPr>
        <w:b/>
        <w:color w:val="EF949E" w:themeColor="accent6" w:themeTint="99"/>
        <w14:textFill>
          <w14:solidFill>
            <w14:schemeClr w14:val="accent6">
              <w14:lumMod w14:val="60000"/>
              <w14:lumOff w14:val="40000"/>
            </w14:schemeClr>
          </w14:solidFill>
        </w14:textFill>
      </w:rPr>
    </w:tblStylePr>
    <w:tblStylePr w:type="lastCol">
      <w:rPr>
        <w:b/>
        <w:color w:val="EF949E" w:themeColor="accent6" w:themeTint="99"/>
        <w14:textFill>
          <w14:solidFill>
            <w14:schemeClr w14:val="accent6">
              <w14:lumMod w14:val="60000"/>
              <w14:lumOff w14:val="40000"/>
            </w14:schemeClr>
          </w14:solidFill>
        </w14:textFill>
      </w:rPr>
    </w:tblStylePr>
    <w:tblStylePr w:type="band1Vert">
      <w:tcPr>
        <w:shd w:val="clear" w:color="F8D2D6" w:themeColor="accent6" w:themeTint="40" w:fill="F8D2D6" w:themeFill="accent6" w:themeFillTint="40"/>
      </w:tcPr>
    </w:tblStylePr>
    <w:tblStylePr w:type="band1Horz">
      <w:rPr>
        <w:rFonts w:ascii="Arial" w:hAnsi="Arial"/>
        <w:color w:val="EF949E" w:themeColor="accent6" w:themeTint="99"/>
        <w:sz w:val="22"/>
        <w14:textFill>
          <w14:solidFill>
            <w14:schemeClr w14:val="accent6">
              <w14:lumMod w14:val="60000"/>
              <w14:lumOff w14:val="40000"/>
            </w14:schemeClr>
          </w14:solidFill>
        </w14:textFill>
      </w:rPr>
      <w:tcPr>
        <w:shd w:val="clear" w:color="F8D2D6" w:themeColor="accent6" w:themeTint="40" w:fill="F8D2D6" w:themeFill="accent6" w:themeFillTint="40"/>
      </w:tcPr>
    </w:tblStylePr>
    <w:tblStylePr w:type="band2Horz">
      <w:rPr>
        <w:rFonts w:ascii="Arial" w:hAnsi="Arial"/>
        <w:color w:val="EF949E" w:themeColor="accent6" w:themeTint="99"/>
        <w:sz w:val="22"/>
        <w14:textFill>
          <w14:solidFill>
            <w14:schemeClr w14:val="accent6">
              <w14:lumMod w14:val="60000"/>
              <w14:lumOff w14:val="40000"/>
            </w14:schemeClr>
          </w14:solidFill>
        </w14:textFill>
      </w:rPr>
    </w:tblStylePr>
  </w:style>
  <w:style w:type="table" w:customStyle="1" w:styleId="165">
    <w:name w:val="List Table 7 Colorful"/>
    <w:basedOn w:val="42"/>
    <w:qFormat/>
    <w:uiPriority w:val="99"/>
    <w:pPr>
      <w:spacing w:after="0" w:line="240" w:lineRule="auto"/>
    </w:pPr>
    <w:tblPr>
      <w:tblBorders>
        <w:right w:val="single" w:color="7E7E7E" w:themeColor="text1" w:themeTint="80" w:sz="4" w:space="0"/>
      </w:tblBorders>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66">
    <w:name w:val="List Table 7 Colorful - Accent 1"/>
    <w:basedOn w:val="42"/>
    <w:qFormat/>
    <w:uiPriority w:val="99"/>
    <w:pPr>
      <w:spacing w:after="0" w:line="240" w:lineRule="auto"/>
    </w:pPr>
    <w:tblPr>
      <w:tblBorders>
        <w:right w:val="single" w:color="4874CB" w:themeColor="accent1" w:sz="4" w:space="0"/>
      </w:tblBorders>
    </w:tblPr>
    <w:tblStylePr w:type="firstRow">
      <w:rPr>
        <w:rFonts w:ascii="Arial" w:hAnsi="Arial"/>
        <w:i/>
        <w:color w:val="23417C" w:themeColor="accent1" w:themeShade="94"/>
        <w:sz w:val="22"/>
      </w:rPr>
      <w:tcPr>
        <w:tcBorders>
          <w:top w:val="nil"/>
          <w:left w:val="nil"/>
          <w:bottom w:val="single" w:color="4874CB" w:themeColor="accent1" w:sz="4" w:space="0"/>
          <w:right w:val="nil"/>
        </w:tcBorders>
        <w:shd w:val="clear" w:color="FFFFFF" w:themeColor="light1" w:fill="FFFFFF" w:themeFill="light1"/>
      </w:tcPr>
    </w:tblStylePr>
    <w:tblStylePr w:type="lastRow">
      <w:rPr>
        <w:rFonts w:ascii="Arial" w:hAnsi="Arial"/>
        <w:i/>
        <w:color w:val="23417C" w:themeColor="accent1" w:themeShade="94"/>
        <w:sz w:val="22"/>
      </w:rPr>
      <w:tcPr>
        <w:tcBorders>
          <w:top w:val="single" w:color="4874CB" w:themeColor="accent1" w:sz="4" w:space="0"/>
          <w:left w:val="nil"/>
          <w:bottom w:val="nil"/>
          <w:right w:val="nil"/>
        </w:tcBorders>
        <w:shd w:val="clear" w:color="FFFFFF" w:themeColor="light1" w:fill="FFFFFF" w:themeFill="light1"/>
      </w:tcPr>
    </w:tblStylePr>
    <w:tblStylePr w:type="firstCol">
      <w:pPr>
        <w:jc w:val="right"/>
      </w:pPr>
      <w:rPr>
        <w:rFonts w:ascii="Arial" w:hAnsi="Arial"/>
        <w:i/>
        <w:color w:val="23417C" w:themeColor="accent1" w:themeShade="94"/>
        <w:sz w:val="22"/>
      </w:rPr>
      <w:tcPr>
        <w:tcBorders>
          <w:top w:val="nil"/>
          <w:left w:val="nil"/>
          <w:bottom w:val="nil"/>
          <w:right w:val="single" w:color="4874CB" w:themeColor="accent1" w:sz="4" w:space="0"/>
        </w:tcBorders>
        <w:shd w:val="clear" w:color="FFFFFF" w:fill="auto"/>
      </w:tcPr>
    </w:tblStylePr>
    <w:tblStylePr w:type="lastCol">
      <w:rPr>
        <w:rFonts w:ascii="Arial" w:hAnsi="Arial"/>
        <w:i/>
        <w:color w:val="23417C" w:themeColor="accent1" w:themeShade="94"/>
        <w:sz w:val="22"/>
      </w:rPr>
      <w:tcPr>
        <w:tcBorders>
          <w:top w:val="nil"/>
          <w:left w:val="single" w:color="4874CB" w:themeColor="accent1" w:sz="4" w:space="0"/>
          <w:bottom w:val="nil"/>
          <w:right w:val="nil"/>
        </w:tcBorders>
        <w:shd w:val="clear" w:color="FFFFFF" w:fill="auto"/>
      </w:tcPr>
    </w:tblStylePr>
    <w:tblStylePr w:type="band1Vert">
      <w:tcPr>
        <w:shd w:val="clear" w:color="D1DCF1" w:themeColor="accent1" w:themeTint="40" w:fill="D1DCF1" w:themeFill="accent1" w:themeFillTint="40"/>
      </w:tcPr>
    </w:tblStylePr>
    <w:tblStylePr w:type="band1Horz">
      <w:rPr>
        <w:rFonts w:ascii="Arial" w:hAnsi="Arial"/>
        <w:color w:val="23417C" w:themeColor="accent1" w:themeShade="94"/>
        <w:sz w:val="22"/>
      </w:rPr>
      <w:tcPr>
        <w:shd w:val="clear" w:color="D1DCF1" w:themeColor="accent1" w:themeTint="40" w:fill="D1DCF1" w:themeFill="accent1" w:themeFillTint="40"/>
      </w:tcPr>
    </w:tblStylePr>
    <w:tblStylePr w:type="band2Horz">
      <w:rPr>
        <w:rFonts w:ascii="Arial" w:hAnsi="Arial"/>
        <w:color w:val="23417C" w:themeColor="accent1" w:themeShade="94"/>
        <w:sz w:val="22"/>
      </w:rPr>
    </w:tblStylePr>
  </w:style>
  <w:style w:type="table" w:customStyle="1" w:styleId="167">
    <w:name w:val="List Table 7 Colorful - Accent 2"/>
    <w:basedOn w:val="42"/>
    <w:qFormat/>
    <w:uiPriority w:val="99"/>
    <w:pPr>
      <w:spacing w:after="0" w:line="240" w:lineRule="auto"/>
    </w:pPr>
    <w:tblPr>
      <w:tblBorders>
        <w:right w:val="single" w:color="F4B483" w:themeColor="accent2" w:themeTint="97" w:sz="4" w:space="0"/>
      </w:tblBorders>
    </w:tblPr>
    <w:tblStylePr w:type="firstRow">
      <w:rPr>
        <w:rFonts w:ascii="Arial" w:hAnsi="Arial"/>
        <w:i/>
        <w:color w:val="F5B584" w:themeColor="accent2" w:themeTint="96"/>
        <w:sz w:val="22"/>
        <w14:textFill>
          <w14:solidFill>
            <w14:schemeClr w14:val="accent2">
              <w14:lumMod w14:val="59000"/>
              <w14:lumOff w14:val="41000"/>
            </w14:schemeClr>
          </w14:solidFill>
        </w14:textFill>
      </w:rPr>
      <w:tcPr>
        <w:tcBorders>
          <w:top w:val="nil"/>
          <w:left w:val="nil"/>
          <w:bottom w:val="single" w:color="F4B483" w:themeColor="accent2" w:themeTint="97" w:sz="4" w:space="0"/>
          <w:right w:val="nil"/>
        </w:tcBorders>
        <w:shd w:val="clear" w:color="FFFFFF" w:themeColor="light1" w:fill="FFFFFF" w:themeFill="light1"/>
      </w:tcPr>
    </w:tblStylePr>
    <w:tblStylePr w:type="lastRow">
      <w:rPr>
        <w:rFonts w:ascii="Arial" w:hAnsi="Arial"/>
        <w:i/>
        <w:color w:val="F5B584" w:themeColor="accent2" w:themeTint="96"/>
        <w:sz w:val="22"/>
        <w14:textFill>
          <w14:solidFill>
            <w14:schemeClr w14:val="accent2">
              <w14:lumMod w14:val="59000"/>
              <w14:lumOff w14:val="41000"/>
            </w14:schemeClr>
          </w14:solidFill>
        </w14:textFill>
      </w:rPr>
      <w:tcPr>
        <w:tcBorders>
          <w:top w:val="single" w:color="F4B483"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F5B584" w:themeColor="accent2" w:themeTint="96"/>
        <w:sz w:val="22"/>
        <w14:textFill>
          <w14:solidFill>
            <w14:schemeClr w14:val="accent2">
              <w14:lumMod w14:val="59000"/>
              <w14:lumOff w14:val="41000"/>
            </w14:schemeClr>
          </w14:solidFill>
        </w14:textFill>
      </w:rPr>
      <w:tcPr>
        <w:tcBorders>
          <w:top w:val="nil"/>
          <w:left w:val="nil"/>
          <w:bottom w:val="nil"/>
          <w:right w:val="single" w:color="F4B483" w:themeColor="accent2" w:themeTint="97" w:sz="4" w:space="0"/>
        </w:tcBorders>
        <w:shd w:val="clear" w:color="FFFFFF" w:fill="auto"/>
      </w:tcPr>
    </w:tblStylePr>
    <w:tblStylePr w:type="lastCol">
      <w:rPr>
        <w:rFonts w:ascii="Arial" w:hAnsi="Arial"/>
        <w:i/>
        <w:color w:val="F5B584" w:themeColor="accent2" w:themeTint="96"/>
        <w:sz w:val="22"/>
        <w14:textFill>
          <w14:solidFill>
            <w14:schemeClr w14:val="accent2">
              <w14:lumMod w14:val="59000"/>
              <w14:lumOff w14:val="41000"/>
            </w14:schemeClr>
          </w14:solidFill>
        </w14:textFill>
      </w:rPr>
      <w:tcPr>
        <w:tcBorders>
          <w:top w:val="nil"/>
          <w:left w:val="single" w:color="F4B483" w:themeColor="accent2" w:themeTint="97" w:sz="4" w:space="0"/>
          <w:bottom w:val="nil"/>
          <w:right w:val="nil"/>
        </w:tcBorders>
        <w:shd w:val="clear" w:color="FFFFFF" w:fill="auto"/>
      </w:tcPr>
    </w:tblStylePr>
    <w:tblStylePr w:type="band1Vert">
      <w:tcPr>
        <w:shd w:val="clear" w:color="FADFCA" w:themeColor="accent2" w:themeTint="40" w:fill="FADFCA" w:themeFill="accent2" w:themeFillTint="40"/>
      </w:tcPr>
    </w:tblStyle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ADFCA" w:themeColor="accent2" w:themeTint="40" w:fill="FADFCA" w:themeFill="accent2" w:themeFillTint="40"/>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style>
  <w:style w:type="table" w:customStyle="1" w:styleId="168">
    <w:name w:val="List Table 7 Colorful - Accent 3"/>
    <w:basedOn w:val="42"/>
    <w:qFormat/>
    <w:uiPriority w:val="99"/>
    <w:pPr>
      <w:spacing w:after="0" w:line="240" w:lineRule="auto"/>
    </w:pPr>
    <w:tblPr>
      <w:tblBorders>
        <w:right w:val="single" w:color="FDD961" w:themeColor="accent3" w:themeTint="98" w:sz="4" w:space="0"/>
      </w:tblBorders>
    </w:tblPr>
    <w:tblStylePr w:type="firstRow">
      <w:rPr>
        <w:rFonts w:ascii="Arial" w:hAnsi="Arial"/>
        <w:i/>
        <w:color w:val="FED961" w:themeColor="accent3" w:themeTint="99"/>
        <w:sz w:val="22"/>
        <w14:textFill>
          <w14:solidFill>
            <w14:schemeClr w14:val="accent3">
              <w14:lumMod w14:val="60000"/>
              <w14:lumOff w14:val="40000"/>
            </w14:schemeClr>
          </w14:solidFill>
        </w14:textFill>
      </w:rPr>
      <w:tcPr>
        <w:tcBorders>
          <w:top w:val="nil"/>
          <w:left w:val="nil"/>
          <w:bottom w:val="single" w:color="FDD961" w:themeColor="accent3" w:themeTint="98" w:sz="4" w:space="0"/>
          <w:right w:val="nil"/>
        </w:tcBorders>
        <w:shd w:val="clear" w:color="FFFFFF" w:themeColor="light1" w:fill="FFFFFF" w:themeFill="light1"/>
      </w:tcPr>
    </w:tblStylePr>
    <w:tblStylePr w:type="lastRow">
      <w:rPr>
        <w:rFonts w:ascii="Arial" w:hAnsi="Arial"/>
        <w:i/>
        <w:color w:val="FED961" w:themeColor="accent3" w:themeTint="99"/>
        <w:sz w:val="22"/>
        <w14:textFill>
          <w14:solidFill>
            <w14:schemeClr w14:val="accent3">
              <w14:lumMod w14:val="60000"/>
              <w14:lumOff w14:val="40000"/>
            </w14:schemeClr>
          </w14:solidFill>
        </w14:textFill>
      </w:rPr>
      <w:tcPr>
        <w:tcBorders>
          <w:top w:val="single" w:color="FDD961" w:themeColor="accent3" w:themeTint="98" w:sz="4" w:space="0"/>
          <w:left w:val="nil"/>
          <w:bottom w:val="nil"/>
          <w:right w:val="nil"/>
        </w:tcBorders>
        <w:shd w:val="clear" w:color="FFFFFF" w:themeColor="light1" w:fill="FFFFFF" w:themeFill="light1"/>
      </w:tcPr>
    </w:tblStylePr>
    <w:tblStylePr w:type="firstCol">
      <w:pPr>
        <w:jc w:val="right"/>
      </w:pPr>
      <w:rPr>
        <w:rFonts w:ascii="Arial" w:hAnsi="Arial"/>
        <w:i/>
        <w:color w:val="FED961" w:themeColor="accent3" w:themeTint="99"/>
        <w:sz w:val="22"/>
        <w14:textFill>
          <w14:solidFill>
            <w14:schemeClr w14:val="accent3">
              <w14:lumMod w14:val="60000"/>
              <w14:lumOff w14:val="40000"/>
            </w14:schemeClr>
          </w14:solidFill>
        </w14:textFill>
      </w:rPr>
      <w:tcPr>
        <w:tcBorders>
          <w:top w:val="nil"/>
          <w:left w:val="nil"/>
          <w:bottom w:val="nil"/>
          <w:right w:val="single" w:color="FDD961" w:themeColor="accent3" w:themeTint="98" w:sz="4" w:space="0"/>
        </w:tcBorders>
        <w:shd w:val="clear" w:color="FFFFFF" w:fill="auto"/>
      </w:tcPr>
    </w:tblStylePr>
    <w:tblStylePr w:type="lastCol">
      <w:rPr>
        <w:rFonts w:ascii="Arial" w:hAnsi="Arial"/>
        <w:i/>
        <w:color w:val="FED961" w:themeColor="accent3" w:themeTint="99"/>
        <w:sz w:val="22"/>
        <w14:textFill>
          <w14:solidFill>
            <w14:schemeClr w14:val="accent3">
              <w14:lumMod w14:val="60000"/>
              <w14:lumOff w14:val="40000"/>
            </w14:schemeClr>
          </w14:solidFill>
        </w14:textFill>
      </w:rPr>
      <w:tcPr>
        <w:tcBorders>
          <w:top w:val="nil"/>
          <w:left w:val="single" w:color="FDD961" w:themeColor="accent3" w:themeTint="98" w:sz="4" w:space="0"/>
          <w:bottom w:val="nil"/>
          <w:right w:val="nil"/>
        </w:tcBorders>
        <w:shd w:val="clear" w:color="FFFFFF" w:fill="auto"/>
      </w:tcPr>
    </w:tblStylePr>
    <w:tblStylePr w:type="band1Vert">
      <w:tcPr>
        <w:shd w:val="clear" w:color="FEEFBC" w:themeColor="accent3" w:themeTint="40" w:fill="FEEFBC" w:themeFill="accent3" w:themeFillTint="40"/>
      </w:tcPr>
    </w:tblStylePr>
    <w:tblStylePr w:type="band1Horz">
      <w:rPr>
        <w:rFonts w:ascii="Arial" w:hAnsi="Arial"/>
        <w:color w:val="FED961" w:themeColor="accent3" w:themeTint="99"/>
        <w:sz w:val="22"/>
        <w14:textFill>
          <w14:solidFill>
            <w14:schemeClr w14:val="accent3">
              <w14:lumMod w14:val="60000"/>
              <w14:lumOff w14:val="40000"/>
            </w14:schemeClr>
          </w14:solidFill>
        </w14:textFill>
      </w:rPr>
      <w:tcPr>
        <w:shd w:val="clear" w:color="FEEFBC" w:themeColor="accent3" w:themeTint="40" w:fill="FEEFBC" w:themeFill="accent3" w:themeFillTint="40"/>
      </w:tcPr>
    </w:tblStylePr>
    <w:tblStylePr w:type="band2Horz">
      <w:rPr>
        <w:rFonts w:ascii="Arial" w:hAnsi="Arial"/>
        <w:color w:val="FED961" w:themeColor="accent3" w:themeTint="99"/>
        <w:sz w:val="22"/>
        <w14:textFill>
          <w14:solidFill>
            <w14:schemeClr w14:val="accent3">
              <w14:lumMod w14:val="60000"/>
              <w14:lumOff w14:val="40000"/>
            </w14:schemeClr>
          </w14:solidFill>
        </w14:textFill>
      </w:rPr>
    </w:tblStylePr>
  </w:style>
  <w:style w:type="table" w:customStyle="1" w:styleId="169">
    <w:name w:val="List Table 7 Colorful - Accent 4"/>
    <w:basedOn w:val="42"/>
    <w:qFormat/>
    <w:uiPriority w:val="99"/>
    <w:pPr>
      <w:spacing w:after="0" w:line="240" w:lineRule="auto"/>
    </w:pPr>
    <w:tblPr>
      <w:tblBorders>
        <w:right w:val="single" w:color="ABD78C" w:themeColor="accent4" w:themeTint="9A" w:sz="4" w:space="0"/>
      </w:tblBorders>
    </w:tblPr>
    <w:tblStylePr w:type="firstRow">
      <w:rPr>
        <w:rFonts w:ascii="Arial" w:hAnsi="Arial"/>
        <w:i/>
        <w:color w:val="ACD78E" w:themeColor="accent4" w:themeTint="99"/>
        <w:sz w:val="22"/>
        <w14:textFill>
          <w14:solidFill>
            <w14:schemeClr w14:val="accent4">
              <w14:lumMod w14:val="60000"/>
              <w14:lumOff w14:val="40000"/>
            </w14:schemeClr>
          </w14:solidFill>
        </w14:textFill>
      </w:rPr>
      <w:tcPr>
        <w:tcBorders>
          <w:top w:val="nil"/>
          <w:left w:val="nil"/>
          <w:bottom w:val="single" w:color="ABD78C" w:themeColor="accent4" w:themeTint="9A" w:sz="4" w:space="0"/>
          <w:right w:val="nil"/>
        </w:tcBorders>
        <w:shd w:val="clear" w:color="FFFFFF" w:themeColor="light1" w:fill="FFFFFF" w:themeFill="light1"/>
      </w:tcPr>
    </w:tblStylePr>
    <w:tblStylePr w:type="lastRow">
      <w:rPr>
        <w:rFonts w:ascii="Arial" w:hAnsi="Arial"/>
        <w:i/>
        <w:color w:val="ACD78E" w:themeColor="accent4" w:themeTint="99"/>
        <w:sz w:val="22"/>
        <w14:textFill>
          <w14:solidFill>
            <w14:schemeClr w14:val="accent4">
              <w14:lumMod w14:val="60000"/>
              <w14:lumOff w14:val="40000"/>
            </w14:schemeClr>
          </w14:solidFill>
        </w14:textFill>
      </w:rPr>
      <w:tcPr>
        <w:tcBorders>
          <w:top w:val="single" w:color="ABD78C"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ACD78E" w:themeColor="accent4" w:themeTint="99"/>
        <w:sz w:val="22"/>
        <w14:textFill>
          <w14:solidFill>
            <w14:schemeClr w14:val="accent4">
              <w14:lumMod w14:val="60000"/>
              <w14:lumOff w14:val="40000"/>
            </w14:schemeClr>
          </w14:solidFill>
        </w14:textFill>
      </w:rPr>
      <w:tcPr>
        <w:tcBorders>
          <w:top w:val="nil"/>
          <w:left w:val="nil"/>
          <w:bottom w:val="nil"/>
          <w:right w:val="single" w:color="ABD78C" w:themeColor="accent4" w:themeTint="9A" w:sz="4" w:space="0"/>
        </w:tcBorders>
        <w:shd w:val="clear" w:color="FFFFFF" w:fill="auto"/>
      </w:tcPr>
    </w:tblStylePr>
    <w:tblStylePr w:type="lastCol">
      <w:rPr>
        <w:rFonts w:ascii="Arial" w:hAnsi="Arial"/>
        <w:i/>
        <w:color w:val="ACD78E" w:themeColor="accent4" w:themeTint="99"/>
        <w:sz w:val="22"/>
        <w14:textFill>
          <w14:solidFill>
            <w14:schemeClr w14:val="accent4">
              <w14:lumMod w14:val="60000"/>
              <w14:lumOff w14:val="40000"/>
            </w14:schemeClr>
          </w14:solidFill>
        </w14:textFill>
      </w:rPr>
      <w:tcPr>
        <w:tcBorders>
          <w:top w:val="nil"/>
          <w:left w:val="single" w:color="ABD78C" w:themeColor="accent4" w:themeTint="9A" w:sz="4" w:space="0"/>
          <w:bottom w:val="nil"/>
          <w:right w:val="nil"/>
        </w:tcBorders>
        <w:shd w:val="clear" w:color="FFFFFF" w:fill="auto"/>
      </w:tcPr>
    </w:tblStylePr>
    <w:tblStylePr w:type="band1Vert">
      <w:tcPr>
        <w:shd w:val="clear" w:color="DCEECF" w:themeColor="accent4" w:themeTint="40" w:fill="DCEECF" w:themeFill="accent4" w:themeFillTint="40"/>
      </w:tcPr>
    </w:tblStyle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DCEECF" w:themeColor="accent4" w:themeTint="40" w:fill="DCEECF" w:themeFill="accent4" w:themeFillTint="40"/>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style>
  <w:style w:type="table" w:customStyle="1" w:styleId="170">
    <w:name w:val="List Table 7 Colorful - Accent 5"/>
    <w:basedOn w:val="42"/>
    <w:qFormat/>
    <w:uiPriority w:val="99"/>
    <w:pPr>
      <w:spacing w:after="0" w:line="240" w:lineRule="auto"/>
    </w:pPr>
    <w:tblPr>
      <w:tblBorders>
        <w:right w:val="single" w:color="7CDED6" w:themeColor="accent5" w:themeTint="9A" w:sz="4" w:space="0"/>
      </w:tblBorders>
    </w:tblPr>
    <w:tblStylePr w:type="firstRow">
      <w:rPr>
        <w:rFonts w:ascii="Arial" w:hAnsi="Arial"/>
        <w:i/>
        <w:color w:val="7DDFD7" w:themeColor="accent5" w:themeTint="99"/>
        <w:sz w:val="22"/>
        <w14:textFill>
          <w14:solidFill>
            <w14:schemeClr w14:val="accent5">
              <w14:lumMod w14:val="60000"/>
              <w14:lumOff w14:val="40000"/>
            </w14:schemeClr>
          </w14:solidFill>
        </w14:textFill>
      </w:rPr>
      <w:tcPr>
        <w:tcBorders>
          <w:top w:val="nil"/>
          <w:left w:val="nil"/>
          <w:bottom w:val="single" w:color="7CDED6" w:themeColor="accent5" w:themeTint="9A" w:sz="4" w:space="0"/>
          <w:right w:val="nil"/>
        </w:tcBorders>
        <w:shd w:val="clear" w:color="FFFFFF" w:themeColor="light1" w:fill="FFFFFF" w:themeFill="light1"/>
      </w:tcPr>
    </w:tblStylePr>
    <w:tblStylePr w:type="lastRow">
      <w:rPr>
        <w:rFonts w:ascii="Arial" w:hAnsi="Arial"/>
        <w:i/>
        <w:color w:val="7DDFD7" w:themeColor="accent5" w:themeTint="99"/>
        <w:sz w:val="22"/>
        <w14:textFill>
          <w14:solidFill>
            <w14:schemeClr w14:val="accent5">
              <w14:lumMod w14:val="60000"/>
              <w14:lumOff w14:val="40000"/>
            </w14:schemeClr>
          </w14:solidFill>
        </w14:textFill>
      </w:rPr>
      <w:tcPr>
        <w:tcBorders>
          <w:top w:val="single" w:color="7CDED6" w:themeColor="accent5" w:themeTint="9A" w:sz="4" w:space="0"/>
          <w:left w:val="nil"/>
          <w:bottom w:val="nil"/>
          <w:right w:val="nil"/>
        </w:tcBorders>
        <w:shd w:val="clear" w:color="FFFFFF" w:themeColor="light1" w:fill="FFFFFF" w:themeFill="light1"/>
      </w:tcPr>
    </w:tblStylePr>
    <w:tblStylePr w:type="firstCol">
      <w:pPr>
        <w:jc w:val="right"/>
      </w:pPr>
      <w:rPr>
        <w:rFonts w:ascii="Arial" w:hAnsi="Arial"/>
        <w:i/>
        <w:color w:val="7DDFD7" w:themeColor="accent5" w:themeTint="99"/>
        <w:sz w:val="22"/>
        <w14:textFill>
          <w14:solidFill>
            <w14:schemeClr w14:val="accent5">
              <w14:lumMod w14:val="60000"/>
              <w14:lumOff w14:val="40000"/>
            </w14:schemeClr>
          </w14:solidFill>
        </w14:textFill>
      </w:rPr>
      <w:tcPr>
        <w:tcBorders>
          <w:top w:val="nil"/>
          <w:left w:val="nil"/>
          <w:bottom w:val="nil"/>
          <w:right w:val="single" w:color="7CDED6" w:themeColor="accent5" w:themeTint="9A" w:sz="4" w:space="0"/>
        </w:tcBorders>
        <w:shd w:val="clear" w:color="FFFFFF" w:fill="auto"/>
      </w:tcPr>
    </w:tblStylePr>
    <w:tblStylePr w:type="lastCol">
      <w:rPr>
        <w:rFonts w:ascii="Arial" w:hAnsi="Arial"/>
        <w:i/>
        <w:color w:val="7DDFD7" w:themeColor="accent5" w:themeTint="99"/>
        <w:sz w:val="22"/>
        <w14:textFill>
          <w14:solidFill>
            <w14:schemeClr w14:val="accent5">
              <w14:lumMod w14:val="60000"/>
              <w14:lumOff w14:val="40000"/>
            </w14:schemeClr>
          </w14:solidFill>
        </w14:textFill>
      </w:rPr>
      <w:tcPr>
        <w:tcBorders>
          <w:top w:val="nil"/>
          <w:left w:val="single" w:color="7CDED6" w:themeColor="accent5" w:themeTint="9A" w:sz="4" w:space="0"/>
          <w:bottom w:val="nil"/>
          <w:right w:val="nil"/>
        </w:tcBorders>
        <w:shd w:val="clear" w:color="FFFFFF" w:fill="auto"/>
      </w:tcPr>
    </w:tblStylePr>
    <w:tblStylePr w:type="band1Vert">
      <w:tcPr>
        <w:shd w:val="clear" w:color="C8F1EE" w:themeColor="accent5" w:themeTint="40" w:fill="C8F1EE" w:themeFill="accent5" w:themeFillTint="40"/>
      </w:tcPr>
    </w:tblStylePr>
    <w:tblStylePr w:type="band1Horz">
      <w:rPr>
        <w:rFonts w:ascii="Arial" w:hAnsi="Arial"/>
        <w:color w:val="7DDFD7" w:themeColor="accent5" w:themeTint="99"/>
        <w:sz w:val="22"/>
        <w14:textFill>
          <w14:solidFill>
            <w14:schemeClr w14:val="accent5">
              <w14:lumMod w14:val="60000"/>
              <w14:lumOff w14:val="40000"/>
            </w14:schemeClr>
          </w14:solidFill>
        </w14:textFill>
      </w:rPr>
      <w:tcPr>
        <w:shd w:val="clear" w:color="C8F1EE" w:themeColor="accent5" w:themeTint="40" w:fill="C8F1EE" w:themeFill="accent5" w:themeFillTint="40"/>
      </w:tcPr>
    </w:tblStylePr>
    <w:tblStylePr w:type="band2Horz">
      <w:rPr>
        <w:rFonts w:ascii="Arial" w:hAnsi="Arial"/>
        <w:color w:val="7DDFD7" w:themeColor="accent5" w:themeTint="99"/>
        <w:sz w:val="22"/>
        <w14:textFill>
          <w14:solidFill>
            <w14:schemeClr w14:val="accent5">
              <w14:lumMod w14:val="60000"/>
              <w14:lumOff w14:val="40000"/>
            </w14:schemeClr>
          </w14:solidFill>
        </w14:textFill>
      </w:rPr>
    </w:tblStylePr>
  </w:style>
  <w:style w:type="table" w:customStyle="1" w:styleId="171">
    <w:name w:val="List Table 7 Colorful - Accent 6"/>
    <w:basedOn w:val="42"/>
    <w:qFormat/>
    <w:uiPriority w:val="99"/>
    <w:pPr>
      <w:spacing w:after="0" w:line="240" w:lineRule="auto"/>
    </w:pPr>
    <w:tblPr>
      <w:tblBorders>
        <w:right w:val="single" w:color="EF949F" w:themeColor="accent6" w:themeTint="98" w:sz="4" w:space="0"/>
      </w:tblBorders>
    </w:tblPr>
    <w:tblStylePr w:type="firstRow">
      <w:rPr>
        <w:rFonts w:ascii="Arial" w:hAnsi="Arial"/>
        <w:i/>
        <w:color w:val="EF949E" w:themeColor="accent6" w:themeTint="99"/>
        <w:sz w:val="22"/>
        <w14:textFill>
          <w14:solidFill>
            <w14:schemeClr w14:val="accent6">
              <w14:lumMod w14:val="60000"/>
              <w14:lumOff w14:val="40000"/>
            </w14:schemeClr>
          </w14:solidFill>
        </w14:textFill>
      </w:rPr>
      <w:tcPr>
        <w:tcBorders>
          <w:top w:val="nil"/>
          <w:left w:val="nil"/>
          <w:bottom w:val="single" w:color="EF949F" w:themeColor="accent6" w:themeTint="98" w:sz="4" w:space="0"/>
          <w:right w:val="nil"/>
        </w:tcBorders>
        <w:shd w:val="clear" w:color="FFFFFF" w:themeColor="light1" w:fill="FFFFFF" w:themeFill="light1"/>
      </w:tcPr>
    </w:tblStylePr>
    <w:tblStylePr w:type="lastRow">
      <w:rPr>
        <w:rFonts w:ascii="Arial" w:hAnsi="Arial"/>
        <w:i/>
        <w:color w:val="EF949E" w:themeColor="accent6" w:themeTint="99"/>
        <w:sz w:val="22"/>
        <w14:textFill>
          <w14:solidFill>
            <w14:schemeClr w14:val="accent6">
              <w14:lumMod w14:val="60000"/>
              <w14:lumOff w14:val="40000"/>
            </w14:schemeClr>
          </w14:solidFill>
        </w14:textFill>
      </w:rPr>
      <w:tcPr>
        <w:tcBorders>
          <w:top w:val="single" w:color="EF949F" w:themeColor="accent6" w:themeTint="98" w:sz="4" w:space="0"/>
          <w:left w:val="nil"/>
          <w:bottom w:val="nil"/>
          <w:right w:val="nil"/>
        </w:tcBorders>
        <w:shd w:val="clear" w:color="FFFFFF" w:themeColor="light1" w:fill="FFFFFF" w:themeFill="light1"/>
      </w:tcPr>
    </w:tblStylePr>
    <w:tblStylePr w:type="firstCol">
      <w:pPr>
        <w:jc w:val="right"/>
      </w:pPr>
      <w:rPr>
        <w:rFonts w:ascii="Arial" w:hAnsi="Arial"/>
        <w:i/>
        <w:color w:val="EF949E" w:themeColor="accent6" w:themeTint="99"/>
        <w:sz w:val="22"/>
        <w14:textFill>
          <w14:solidFill>
            <w14:schemeClr w14:val="accent6">
              <w14:lumMod w14:val="60000"/>
              <w14:lumOff w14:val="40000"/>
            </w14:schemeClr>
          </w14:solidFill>
        </w14:textFill>
      </w:rPr>
      <w:tcPr>
        <w:tcBorders>
          <w:top w:val="nil"/>
          <w:left w:val="nil"/>
          <w:bottom w:val="nil"/>
          <w:right w:val="single" w:color="EF949F" w:themeColor="accent6" w:themeTint="98" w:sz="4" w:space="0"/>
        </w:tcBorders>
        <w:shd w:val="clear" w:color="FFFFFF" w:fill="auto"/>
      </w:tcPr>
    </w:tblStylePr>
    <w:tblStylePr w:type="lastCol">
      <w:rPr>
        <w:rFonts w:ascii="Arial" w:hAnsi="Arial"/>
        <w:i/>
        <w:color w:val="EF949E" w:themeColor="accent6" w:themeTint="99"/>
        <w:sz w:val="22"/>
        <w14:textFill>
          <w14:solidFill>
            <w14:schemeClr w14:val="accent6">
              <w14:lumMod w14:val="60000"/>
              <w14:lumOff w14:val="40000"/>
            </w14:schemeClr>
          </w14:solidFill>
        </w14:textFill>
      </w:rPr>
      <w:tcPr>
        <w:tcBorders>
          <w:top w:val="nil"/>
          <w:left w:val="single" w:color="EF949F" w:themeColor="accent6" w:themeTint="98" w:sz="4" w:space="0"/>
          <w:bottom w:val="nil"/>
          <w:right w:val="nil"/>
        </w:tcBorders>
        <w:shd w:val="clear" w:color="FFFFFF" w:fill="auto"/>
      </w:tcPr>
    </w:tblStylePr>
    <w:tblStylePr w:type="band1Vert">
      <w:tcPr>
        <w:shd w:val="clear" w:color="F8D2D6" w:themeColor="accent6" w:themeTint="40" w:fill="F8D2D6" w:themeFill="accent6" w:themeFillTint="40"/>
      </w:tcPr>
    </w:tblStylePr>
    <w:tblStylePr w:type="band1Horz">
      <w:rPr>
        <w:rFonts w:ascii="Arial" w:hAnsi="Arial"/>
        <w:color w:val="EF949E" w:themeColor="accent6" w:themeTint="99"/>
        <w:sz w:val="22"/>
        <w14:textFill>
          <w14:solidFill>
            <w14:schemeClr w14:val="accent6">
              <w14:lumMod w14:val="60000"/>
              <w14:lumOff w14:val="40000"/>
            </w14:schemeClr>
          </w14:solidFill>
        </w14:textFill>
      </w:rPr>
      <w:tcPr>
        <w:shd w:val="clear" w:color="F8D2D6" w:themeColor="accent6" w:themeTint="40" w:fill="F8D2D6" w:themeFill="accent6" w:themeFillTint="40"/>
      </w:tcPr>
    </w:tblStylePr>
    <w:tblStylePr w:type="band2Horz">
      <w:rPr>
        <w:rFonts w:ascii="Arial" w:hAnsi="Arial"/>
        <w:color w:val="EF949E" w:themeColor="accent6" w:themeTint="99"/>
        <w:sz w:val="22"/>
        <w14:textFill>
          <w14:solidFill>
            <w14:schemeClr w14:val="accent6">
              <w14:lumMod w14:val="60000"/>
              <w14:lumOff w14:val="40000"/>
            </w14:schemeClr>
          </w14:solidFill>
        </w14:textFill>
      </w:rPr>
    </w:tblStylePr>
  </w:style>
  <w:style w:type="table" w:customStyle="1" w:styleId="172">
    <w:name w:val="Lined - Accent"/>
    <w:basedOn w:val="42"/>
    <w:qFormat/>
    <w:uiPriority w:val="99"/>
    <w:pPr>
      <w:spacing w:after="0" w:line="240" w:lineRule="auto"/>
    </w:pPr>
    <w:rPr>
      <w:color w:val="404040"/>
    </w:r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73">
    <w:name w:val="Lined - Accent 1"/>
    <w:basedOn w:val="42"/>
    <w:qFormat/>
    <w:uiPriority w:val="99"/>
    <w:pPr>
      <w:spacing w:after="0" w:line="240" w:lineRule="auto"/>
    </w:pPr>
    <w:rPr>
      <w:color w:val="404040"/>
    </w:rPr>
    <w:tblStylePr w:type="firstRow">
      <w:rPr>
        <w:rFonts w:ascii="Arial" w:hAnsi="Arial"/>
        <w:color w:val="F2F2F2"/>
        <w:sz w:val="22"/>
      </w:rPr>
      <w:tcPr>
        <w:shd w:val="clear" w:color="577FCF" w:themeColor="accent1" w:themeTint="EA" w:fill="577FCF" w:themeFill="accent1" w:themeFillTint="EA"/>
      </w:tcPr>
    </w:tblStylePr>
    <w:tblStylePr w:type="lastRow">
      <w:rPr>
        <w:rFonts w:ascii="Arial" w:hAnsi="Arial"/>
        <w:color w:val="F2F2F2"/>
        <w:sz w:val="22"/>
      </w:rPr>
      <w:tcPr>
        <w:shd w:val="clear" w:color="577FCF" w:themeColor="accent1" w:themeTint="EA" w:fill="577FCF" w:themeFill="accent1" w:themeFillTint="EA"/>
      </w:tcPr>
    </w:tblStylePr>
    <w:tblStylePr w:type="firstCol">
      <w:rPr>
        <w:rFonts w:ascii="Arial" w:hAnsi="Arial"/>
        <w:color w:val="F2F2F2"/>
        <w:sz w:val="22"/>
      </w:rPr>
      <w:tcPr>
        <w:shd w:val="clear" w:color="577FCF" w:themeColor="accent1" w:themeTint="EA" w:fill="577FCF" w:themeFill="accent1" w:themeFillTint="EA"/>
      </w:tcPr>
    </w:tblStylePr>
    <w:tblStylePr w:type="lastCol">
      <w:rPr>
        <w:rFonts w:ascii="Arial" w:hAnsi="Arial"/>
        <w:color w:val="F2F2F2"/>
        <w:sz w:val="22"/>
      </w:rPr>
      <w:tcPr>
        <w:shd w:val="clear" w:color="577FCF" w:themeColor="accent1" w:themeTint="EA" w:fill="577FCF"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5D3EE" w:themeColor="accent1" w:themeTint="50" w:fill="C5D3EE"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5D3EE" w:themeColor="accent1" w:themeTint="50" w:fill="C5D3EE" w:themeFill="accent1" w:themeFillTint="50"/>
      </w:tcPr>
    </w:tblStylePr>
  </w:style>
  <w:style w:type="table" w:customStyle="1" w:styleId="174">
    <w:name w:val="Lined - Accent 2"/>
    <w:basedOn w:val="42"/>
    <w:qFormat/>
    <w:uiPriority w:val="99"/>
    <w:pPr>
      <w:spacing w:after="0" w:line="240" w:lineRule="auto"/>
    </w:pPr>
    <w:rPr>
      <w:color w:val="404040"/>
    </w:rPr>
    <w:tblStylePr w:type="firstRow">
      <w:rPr>
        <w:rFonts w:ascii="Arial" w:hAnsi="Arial"/>
        <w:color w:val="F2F2F2"/>
        <w:sz w:val="22"/>
      </w:rPr>
      <w:tcPr>
        <w:shd w:val="clear" w:color="F4B483" w:themeColor="accent2" w:themeTint="97" w:fill="F4B483" w:themeFill="accent2" w:themeFillTint="97"/>
      </w:tcPr>
    </w:tblStylePr>
    <w:tblStylePr w:type="lastRow">
      <w:rPr>
        <w:rFonts w:ascii="Arial" w:hAnsi="Arial"/>
        <w:color w:val="F2F2F2"/>
        <w:sz w:val="22"/>
      </w:rPr>
      <w:tcPr>
        <w:shd w:val="clear" w:color="F4B483" w:themeColor="accent2" w:themeTint="97" w:fill="F4B483" w:themeFill="accent2" w:themeFillTint="97"/>
      </w:tcPr>
    </w:tblStylePr>
    <w:tblStylePr w:type="firstCol">
      <w:rPr>
        <w:rFonts w:ascii="Arial" w:hAnsi="Arial"/>
        <w:color w:val="F2F2F2"/>
        <w:sz w:val="22"/>
      </w:rPr>
      <w:tcPr>
        <w:shd w:val="clear" w:color="F4B483" w:themeColor="accent2" w:themeTint="97" w:fill="F4B483" w:themeFill="accent2" w:themeFillTint="97"/>
      </w:tcPr>
    </w:tblStylePr>
    <w:tblStylePr w:type="lastCol">
      <w:rPr>
        <w:rFonts w:ascii="Arial" w:hAnsi="Arial"/>
        <w:color w:val="F2F2F2"/>
        <w:sz w:val="22"/>
      </w:rPr>
      <w:tcPr>
        <w:shd w:val="clear" w:color="F4B483" w:themeColor="accent2" w:themeTint="97" w:fill="F4B483"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BE6D6" w:themeColor="accent2" w:themeTint="32" w:fill="FBE6D6"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BE6D6" w:themeColor="accent2" w:themeTint="32" w:fill="FBE6D6" w:themeFill="accent2" w:themeFillTint="32"/>
      </w:tcPr>
    </w:tblStylePr>
  </w:style>
  <w:style w:type="table" w:customStyle="1" w:styleId="175">
    <w:name w:val="Lined - Accent 3"/>
    <w:basedOn w:val="42"/>
    <w:qFormat/>
    <w:uiPriority w:val="99"/>
    <w:pPr>
      <w:spacing w:after="0" w:line="240" w:lineRule="auto"/>
    </w:pPr>
    <w:rPr>
      <w:color w:val="404040"/>
    </w:rPr>
    <w:tblStylePr w:type="firstRow">
      <w:rPr>
        <w:rFonts w:ascii="Arial" w:hAnsi="Arial"/>
        <w:color w:val="F2F2F2"/>
        <w:sz w:val="22"/>
      </w:rPr>
      <w:tcPr>
        <w:shd w:val="clear" w:color="F3BA02" w:themeColor="accent3" w:themeTint="FE" w:fill="F3BA02" w:themeFill="accent3" w:themeFillTint="FE"/>
      </w:tcPr>
    </w:tblStylePr>
    <w:tblStylePr w:type="lastRow">
      <w:rPr>
        <w:rFonts w:ascii="Arial" w:hAnsi="Arial"/>
        <w:color w:val="F2F2F2"/>
        <w:sz w:val="22"/>
      </w:rPr>
      <w:tcPr>
        <w:shd w:val="clear" w:color="F3BA02" w:themeColor="accent3" w:themeTint="FE" w:fill="F3BA02" w:themeFill="accent3" w:themeFillTint="FE"/>
      </w:tcPr>
    </w:tblStylePr>
    <w:tblStylePr w:type="firstCol">
      <w:rPr>
        <w:rFonts w:ascii="Arial" w:hAnsi="Arial"/>
        <w:color w:val="F2F2F2"/>
        <w:sz w:val="22"/>
      </w:rPr>
      <w:tcPr>
        <w:shd w:val="clear" w:color="F3BA02" w:themeColor="accent3" w:themeTint="FE" w:fill="F3BA02" w:themeFill="accent3" w:themeFillTint="FE"/>
      </w:tcPr>
    </w:tblStylePr>
    <w:tblStylePr w:type="lastCol">
      <w:rPr>
        <w:rFonts w:ascii="Arial" w:hAnsi="Arial"/>
        <w:color w:val="F2F2F2"/>
        <w:sz w:val="22"/>
      </w:rPr>
      <w:tcPr>
        <w:shd w:val="clear" w:color="F3BA02" w:themeColor="accent3" w:themeTint="FE" w:fill="F3BA02"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FEF2C9" w:themeColor="accent3" w:themeTint="34" w:fill="FEF2C9"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FEF2C9" w:themeColor="accent3" w:themeTint="34" w:fill="FEF2C9" w:themeFill="accent3" w:themeFillTint="34"/>
      </w:tcPr>
    </w:tblStylePr>
  </w:style>
  <w:style w:type="table" w:customStyle="1" w:styleId="176">
    <w:name w:val="Lined - Accent 4"/>
    <w:basedOn w:val="42"/>
    <w:qFormat/>
    <w:uiPriority w:val="99"/>
    <w:pPr>
      <w:spacing w:after="0" w:line="240" w:lineRule="auto"/>
    </w:pPr>
    <w:rPr>
      <w:color w:val="404040"/>
    </w:rPr>
    <w:tblStylePr w:type="firstRow">
      <w:rPr>
        <w:rFonts w:ascii="Arial" w:hAnsi="Arial"/>
        <w:color w:val="F2F2F2"/>
        <w:sz w:val="22"/>
      </w:rPr>
      <w:tcPr>
        <w:shd w:val="clear" w:color="ABD78C" w:themeColor="accent4" w:themeTint="9A" w:fill="ABD78C" w:themeFill="accent4" w:themeFillTint="9A"/>
      </w:tcPr>
    </w:tblStylePr>
    <w:tblStylePr w:type="lastRow">
      <w:rPr>
        <w:rFonts w:ascii="Arial" w:hAnsi="Arial"/>
        <w:color w:val="F2F2F2"/>
        <w:sz w:val="22"/>
      </w:rPr>
      <w:tcPr>
        <w:shd w:val="clear" w:color="ABD78C" w:themeColor="accent4" w:themeTint="9A" w:fill="ABD78C" w:themeFill="accent4" w:themeFillTint="9A"/>
      </w:tcPr>
    </w:tblStylePr>
    <w:tblStylePr w:type="firstCol">
      <w:rPr>
        <w:rFonts w:ascii="Arial" w:hAnsi="Arial"/>
        <w:color w:val="F2F2F2"/>
        <w:sz w:val="22"/>
      </w:rPr>
      <w:tcPr>
        <w:shd w:val="clear" w:color="ABD78C" w:themeColor="accent4" w:themeTint="9A" w:fill="ABD78C" w:themeFill="accent4" w:themeFillTint="9A"/>
      </w:tcPr>
    </w:tblStylePr>
    <w:tblStylePr w:type="lastCol">
      <w:rPr>
        <w:rFonts w:ascii="Arial" w:hAnsi="Arial"/>
        <w:color w:val="F2F2F2"/>
        <w:sz w:val="22"/>
      </w:rPr>
      <w:tcPr>
        <w:shd w:val="clear" w:color="ABD78C" w:themeColor="accent4" w:themeTint="9A" w:fill="ABD78C"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2F1D8" w:themeColor="accent4" w:themeTint="34" w:fill="E2F1D8"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2F1D8" w:themeColor="accent4" w:themeTint="34" w:fill="E2F1D8" w:themeFill="accent4" w:themeFillTint="34"/>
      </w:tcPr>
    </w:tblStylePr>
  </w:style>
  <w:style w:type="table" w:customStyle="1" w:styleId="177">
    <w:name w:val="Lined - Accent 5"/>
    <w:basedOn w:val="42"/>
    <w:qFormat/>
    <w:uiPriority w:val="99"/>
    <w:pPr>
      <w:spacing w:after="0" w:line="240" w:lineRule="auto"/>
    </w:pPr>
    <w:rPr>
      <w:color w:val="404040"/>
    </w:rPr>
    <w:tblStylePr w:type="firstRow">
      <w:rPr>
        <w:rFonts w:ascii="Arial" w:hAnsi="Arial"/>
        <w:color w:val="F2F2F2"/>
        <w:sz w:val="22"/>
      </w:rPr>
      <w:tcPr>
        <w:shd w:val="clear" w:color="30C0B4" w:themeColor="accent5" w:fill="30C0B4" w:themeFill="accent5"/>
      </w:tcPr>
    </w:tblStylePr>
    <w:tblStylePr w:type="lastRow">
      <w:rPr>
        <w:rFonts w:ascii="Arial" w:hAnsi="Arial"/>
        <w:color w:val="F2F2F2"/>
        <w:sz w:val="22"/>
      </w:rPr>
      <w:tcPr>
        <w:shd w:val="clear" w:color="30C0B4" w:themeColor="accent5" w:fill="30C0B4" w:themeFill="accent5"/>
      </w:tcPr>
    </w:tblStylePr>
    <w:tblStylePr w:type="firstCol">
      <w:rPr>
        <w:rFonts w:ascii="Arial" w:hAnsi="Arial"/>
        <w:color w:val="F2F2F2"/>
        <w:sz w:val="22"/>
      </w:rPr>
      <w:tcPr>
        <w:shd w:val="clear" w:color="30C0B4" w:themeColor="accent5" w:fill="30C0B4" w:themeFill="accent5"/>
      </w:tcPr>
    </w:tblStylePr>
    <w:tblStylePr w:type="lastCol">
      <w:rPr>
        <w:rFonts w:ascii="Arial" w:hAnsi="Arial"/>
        <w:color w:val="F2F2F2"/>
        <w:sz w:val="22"/>
      </w:rPr>
      <w:tcPr>
        <w:shd w:val="clear" w:color="30C0B4" w:themeColor="accent5" w:fill="30C0B4" w:themeFill="accent5"/>
      </w:tcPr>
    </w:tblStylePr>
    <w:tblStylePr w:type="band1Vert">
      <w:rPr>
        <w:rFonts w:ascii="Arial" w:hAnsi="Arial"/>
        <w:color w:val="404040"/>
        <w:sz w:val="22"/>
      </w:rPr>
    </w:tblStylePr>
    <w:tblStylePr w:type="band2Vert">
      <w:rPr>
        <w:rFonts w:ascii="Arial" w:hAnsi="Arial"/>
        <w:color w:val="404040"/>
        <w:sz w:val="22"/>
      </w:rPr>
      <w:tcPr>
        <w:shd w:val="clear" w:color="D2F3F1" w:themeColor="accent5" w:themeTint="34" w:fill="D2F3F1"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2F3F1" w:themeColor="accent5" w:themeTint="34" w:fill="D2F3F1" w:themeFill="accent5" w:themeFillTint="34"/>
      </w:tcPr>
    </w:tblStylePr>
  </w:style>
  <w:style w:type="table" w:customStyle="1" w:styleId="178">
    <w:name w:val="Lined - Accent 6"/>
    <w:basedOn w:val="42"/>
    <w:qFormat/>
    <w:uiPriority w:val="99"/>
    <w:pPr>
      <w:spacing w:after="0" w:line="240" w:lineRule="auto"/>
    </w:pPr>
    <w:rPr>
      <w:color w:val="404040"/>
    </w:rPr>
    <w:tblStylePr w:type="firstRow">
      <w:rPr>
        <w:rFonts w:ascii="Arial" w:hAnsi="Arial"/>
        <w:color w:val="F2F2F2"/>
        <w:sz w:val="22"/>
      </w:rPr>
      <w:tcPr>
        <w:shd w:val="clear" w:color="E54C5E" w:themeColor="accent6" w:fill="E54C5E" w:themeFill="accent6"/>
      </w:tcPr>
    </w:tblStylePr>
    <w:tblStylePr w:type="lastRow">
      <w:rPr>
        <w:rFonts w:ascii="Arial" w:hAnsi="Arial"/>
        <w:color w:val="F2F2F2"/>
        <w:sz w:val="22"/>
      </w:rPr>
      <w:tcPr>
        <w:shd w:val="clear" w:color="E54C5E" w:themeColor="accent6" w:fill="E54C5E" w:themeFill="accent6"/>
      </w:tcPr>
    </w:tblStylePr>
    <w:tblStylePr w:type="firstCol">
      <w:rPr>
        <w:rFonts w:ascii="Arial" w:hAnsi="Arial"/>
        <w:color w:val="F2F2F2"/>
        <w:sz w:val="22"/>
      </w:rPr>
      <w:tcPr>
        <w:shd w:val="clear" w:color="E54C5E" w:themeColor="accent6" w:fill="E54C5E" w:themeFill="accent6"/>
      </w:tcPr>
    </w:tblStylePr>
    <w:tblStylePr w:type="lastCol">
      <w:rPr>
        <w:rFonts w:ascii="Arial" w:hAnsi="Arial"/>
        <w:color w:val="F2F2F2"/>
        <w:sz w:val="22"/>
      </w:rPr>
      <w:tcPr>
        <w:shd w:val="clear" w:color="E54C5E" w:themeColor="accent6" w:fill="E54C5E" w:themeFill="accent6"/>
      </w:tcPr>
    </w:tblStylePr>
    <w:tblStylePr w:type="band1Vert">
      <w:rPr>
        <w:rFonts w:ascii="Arial" w:hAnsi="Arial"/>
        <w:color w:val="404040"/>
        <w:sz w:val="22"/>
      </w:rPr>
    </w:tblStylePr>
    <w:tblStylePr w:type="band2Vert">
      <w:rPr>
        <w:rFonts w:ascii="Arial" w:hAnsi="Arial"/>
        <w:color w:val="404040"/>
        <w:sz w:val="22"/>
      </w:rPr>
      <w:tcPr>
        <w:shd w:val="clear" w:color="F9DADE" w:themeColor="accent6" w:themeTint="34" w:fill="F9DADE"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9DADE" w:themeColor="accent6" w:themeTint="34" w:fill="F9DADE" w:themeFill="accent6" w:themeFillTint="34"/>
      </w:tcPr>
    </w:tblStylePr>
  </w:style>
  <w:style w:type="table" w:customStyle="1" w:styleId="179">
    <w:name w:val="Bordered &amp; Lined - Accent"/>
    <w:basedOn w:val="42"/>
    <w:qFormat/>
    <w:uiPriority w:val="99"/>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80">
    <w:name w:val="Bordered &amp; Lined - Accent 1"/>
    <w:basedOn w:val="42"/>
    <w:qFormat/>
    <w:uiPriority w:val="99"/>
    <w:pPr>
      <w:spacing w:after="0" w:line="240" w:lineRule="auto"/>
    </w:pPr>
    <w:rPr>
      <w:color w:val="404040"/>
    </w:rPr>
    <w:tblPr>
      <w:tblBorders>
        <w:top w:val="single" w:color="23417D" w:themeColor="accent1" w:themeShade="95" w:sz="4" w:space="0"/>
        <w:left w:val="single" w:color="23417D" w:themeColor="accent1" w:themeShade="95" w:sz="4" w:space="0"/>
        <w:bottom w:val="single" w:color="23417D" w:themeColor="accent1" w:themeShade="95" w:sz="4" w:space="0"/>
        <w:right w:val="single" w:color="23417D" w:themeColor="accent1" w:themeShade="95" w:sz="4" w:space="0"/>
        <w:insideH w:val="single" w:color="23417D" w:themeColor="accent1" w:themeShade="95" w:sz="4" w:space="0"/>
        <w:insideV w:val="single" w:color="23417D" w:themeColor="accent1" w:themeShade="95" w:sz="4" w:space="0"/>
      </w:tblBorders>
    </w:tblPr>
    <w:tblStylePr w:type="firstRow">
      <w:rPr>
        <w:rFonts w:ascii="Arial" w:hAnsi="Arial"/>
        <w:color w:val="F2F2F2"/>
        <w:sz w:val="22"/>
      </w:rPr>
      <w:tcPr>
        <w:shd w:val="clear" w:color="577FCF" w:themeColor="accent1" w:themeTint="EA" w:fill="577FCF" w:themeFill="accent1" w:themeFillTint="EA"/>
      </w:tcPr>
    </w:tblStylePr>
    <w:tblStylePr w:type="lastRow">
      <w:rPr>
        <w:rFonts w:ascii="Arial" w:hAnsi="Arial"/>
        <w:color w:val="F2F2F2"/>
        <w:sz w:val="22"/>
      </w:rPr>
      <w:tcPr>
        <w:shd w:val="clear" w:color="577FCF" w:themeColor="accent1" w:themeTint="EA" w:fill="577FCF" w:themeFill="accent1" w:themeFillTint="EA"/>
      </w:tcPr>
    </w:tblStylePr>
    <w:tblStylePr w:type="firstCol">
      <w:rPr>
        <w:rFonts w:ascii="Arial" w:hAnsi="Arial"/>
        <w:color w:val="F2F2F2"/>
        <w:sz w:val="22"/>
      </w:rPr>
      <w:tcPr>
        <w:shd w:val="clear" w:color="577FCF" w:themeColor="accent1" w:themeTint="EA" w:fill="577FCF" w:themeFill="accent1" w:themeFillTint="EA"/>
      </w:tcPr>
    </w:tblStylePr>
    <w:tblStylePr w:type="lastCol">
      <w:rPr>
        <w:rFonts w:ascii="Arial" w:hAnsi="Arial"/>
        <w:color w:val="F2F2F2"/>
        <w:sz w:val="22"/>
      </w:rPr>
      <w:tcPr>
        <w:shd w:val="clear" w:color="577FCF" w:themeColor="accent1" w:themeTint="EA" w:fill="577FCF"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5D3EE" w:themeColor="accent1" w:themeTint="50" w:fill="C5D3EE"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5D3EE" w:themeColor="accent1" w:themeTint="50" w:fill="C5D3EE" w:themeFill="accent1" w:themeFillTint="50"/>
      </w:tcPr>
    </w:tblStylePr>
  </w:style>
  <w:style w:type="table" w:customStyle="1" w:styleId="181">
    <w:name w:val="Bordered &amp; Lined - Accent 2"/>
    <w:basedOn w:val="42"/>
    <w:qFormat/>
    <w:uiPriority w:val="99"/>
    <w:pPr>
      <w:spacing w:after="0" w:line="240" w:lineRule="auto"/>
    </w:pPr>
    <w:rPr>
      <w:color w:val="404040"/>
    </w:rPr>
    <w:tblPr>
      <w:tblBorders>
        <w:top w:val="single" w:color="994A0C" w:themeColor="accent2" w:themeShade="95" w:sz="4" w:space="0"/>
        <w:left w:val="single" w:color="994A0C" w:themeColor="accent2" w:themeShade="95" w:sz="4" w:space="0"/>
        <w:bottom w:val="single" w:color="994A0C" w:themeColor="accent2" w:themeShade="95" w:sz="4" w:space="0"/>
        <w:right w:val="single" w:color="994A0C" w:themeColor="accent2" w:themeShade="95" w:sz="4" w:space="0"/>
        <w:insideH w:val="single" w:color="994A0C" w:themeColor="accent2" w:themeShade="95" w:sz="4" w:space="0"/>
        <w:insideV w:val="single" w:color="994A0C" w:themeColor="accent2" w:themeShade="95" w:sz="4" w:space="0"/>
      </w:tblBorders>
    </w:tblPr>
    <w:tblStylePr w:type="firstRow">
      <w:rPr>
        <w:rFonts w:ascii="Arial" w:hAnsi="Arial"/>
        <w:color w:val="F2F2F2"/>
        <w:sz w:val="22"/>
      </w:rPr>
      <w:tcPr>
        <w:shd w:val="clear" w:color="F4B483" w:themeColor="accent2" w:themeTint="97" w:fill="F4B483" w:themeFill="accent2" w:themeFillTint="97"/>
      </w:tcPr>
    </w:tblStylePr>
    <w:tblStylePr w:type="lastRow">
      <w:rPr>
        <w:rFonts w:ascii="Arial" w:hAnsi="Arial"/>
        <w:color w:val="F2F2F2"/>
        <w:sz w:val="22"/>
      </w:rPr>
      <w:tcPr>
        <w:shd w:val="clear" w:color="F4B483" w:themeColor="accent2" w:themeTint="97" w:fill="F4B483" w:themeFill="accent2" w:themeFillTint="97"/>
      </w:tcPr>
    </w:tblStylePr>
    <w:tblStylePr w:type="firstCol">
      <w:rPr>
        <w:rFonts w:ascii="Arial" w:hAnsi="Arial"/>
        <w:color w:val="F2F2F2"/>
        <w:sz w:val="22"/>
      </w:rPr>
      <w:tcPr>
        <w:shd w:val="clear" w:color="F4B483" w:themeColor="accent2" w:themeTint="97" w:fill="F4B483" w:themeFill="accent2" w:themeFillTint="97"/>
      </w:tcPr>
    </w:tblStylePr>
    <w:tblStylePr w:type="lastCol">
      <w:rPr>
        <w:rFonts w:ascii="Arial" w:hAnsi="Arial"/>
        <w:color w:val="F2F2F2"/>
        <w:sz w:val="22"/>
      </w:rPr>
      <w:tcPr>
        <w:shd w:val="clear" w:color="F4B483" w:themeColor="accent2" w:themeTint="97" w:fill="F4B483"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BE6D6" w:themeColor="accent2" w:themeTint="32" w:fill="FBE6D6"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BE6D6" w:themeColor="accent2" w:themeTint="32" w:fill="FBE6D6" w:themeFill="accent2" w:themeFillTint="32"/>
      </w:tcPr>
    </w:tblStylePr>
  </w:style>
  <w:style w:type="table" w:customStyle="1" w:styleId="182">
    <w:name w:val="Bordered &amp; Lined - Accent 3"/>
    <w:basedOn w:val="42"/>
    <w:qFormat/>
    <w:uiPriority w:val="99"/>
    <w:pPr>
      <w:spacing w:after="0" w:line="240" w:lineRule="auto"/>
    </w:pPr>
    <w:rPr>
      <w:color w:val="404040"/>
    </w:rPr>
    <w:tblPr>
      <w:tblBorders>
        <w:top w:val="single" w:color="8D6C01" w:themeColor="accent3" w:themeShade="95" w:sz="4" w:space="0"/>
        <w:left w:val="single" w:color="8D6C01" w:themeColor="accent3" w:themeShade="95" w:sz="4" w:space="0"/>
        <w:bottom w:val="single" w:color="8D6C01" w:themeColor="accent3" w:themeShade="95" w:sz="4" w:space="0"/>
        <w:right w:val="single" w:color="8D6C01" w:themeColor="accent3" w:themeShade="95" w:sz="4" w:space="0"/>
        <w:insideH w:val="single" w:color="8D6C01" w:themeColor="accent3" w:themeShade="95" w:sz="4" w:space="0"/>
        <w:insideV w:val="single" w:color="8D6C01" w:themeColor="accent3" w:themeShade="95" w:sz="4" w:space="0"/>
      </w:tblBorders>
    </w:tblPr>
    <w:tblStylePr w:type="firstRow">
      <w:rPr>
        <w:rFonts w:ascii="Arial" w:hAnsi="Arial"/>
        <w:color w:val="F2F2F2"/>
        <w:sz w:val="22"/>
      </w:rPr>
      <w:tcPr>
        <w:shd w:val="clear" w:color="F3BA02" w:themeColor="accent3" w:themeTint="FE" w:fill="F3BA02" w:themeFill="accent3" w:themeFillTint="FE"/>
      </w:tcPr>
    </w:tblStylePr>
    <w:tblStylePr w:type="lastRow">
      <w:rPr>
        <w:rFonts w:ascii="Arial" w:hAnsi="Arial"/>
        <w:color w:val="F2F2F2"/>
        <w:sz w:val="22"/>
      </w:rPr>
      <w:tcPr>
        <w:shd w:val="clear" w:color="F3BA02" w:themeColor="accent3" w:themeTint="FE" w:fill="F3BA02" w:themeFill="accent3" w:themeFillTint="FE"/>
      </w:tcPr>
    </w:tblStylePr>
    <w:tblStylePr w:type="firstCol">
      <w:rPr>
        <w:rFonts w:ascii="Arial" w:hAnsi="Arial"/>
        <w:color w:val="F2F2F2"/>
        <w:sz w:val="22"/>
      </w:rPr>
      <w:tcPr>
        <w:shd w:val="clear" w:color="F3BA02" w:themeColor="accent3" w:themeTint="FE" w:fill="F3BA02" w:themeFill="accent3" w:themeFillTint="FE"/>
      </w:tcPr>
    </w:tblStylePr>
    <w:tblStylePr w:type="lastCol">
      <w:rPr>
        <w:rFonts w:ascii="Arial" w:hAnsi="Arial"/>
        <w:color w:val="F2F2F2"/>
        <w:sz w:val="22"/>
      </w:rPr>
      <w:tcPr>
        <w:shd w:val="clear" w:color="F3BA02" w:themeColor="accent3" w:themeTint="FE" w:fill="F3BA02"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FEF2C9" w:themeColor="accent3" w:themeTint="34" w:fill="FEF2C9"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FEF2C9" w:themeColor="accent3" w:themeTint="34" w:fill="FEF2C9" w:themeFill="accent3" w:themeFillTint="34"/>
      </w:tcPr>
    </w:tblStylePr>
  </w:style>
  <w:style w:type="table" w:customStyle="1" w:styleId="183">
    <w:name w:val="Bordered &amp; Lined - Accent 4"/>
    <w:basedOn w:val="42"/>
    <w:qFormat/>
    <w:uiPriority w:val="99"/>
    <w:pPr>
      <w:spacing w:after="0" w:line="240" w:lineRule="auto"/>
    </w:pPr>
    <w:rPr>
      <w:color w:val="404040"/>
    </w:rPr>
    <w:tblPr>
      <w:tblBorders>
        <w:top w:val="single" w:color="446E26" w:themeColor="accent4" w:themeShade="95" w:sz="4" w:space="0"/>
        <w:left w:val="single" w:color="446E26" w:themeColor="accent4" w:themeShade="95" w:sz="4" w:space="0"/>
        <w:bottom w:val="single" w:color="446E26" w:themeColor="accent4" w:themeShade="95" w:sz="4" w:space="0"/>
        <w:right w:val="single" w:color="446E26" w:themeColor="accent4" w:themeShade="95" w:sz="4" w:space="0"/>
        <w:insideH w:val="single" w:color="446E26" w:themeColor="accent4" w:themeShade="95" w:sz="4" w:space="0"/>
        <w:insideV w:val="single" w:color="446E26" w:themeColor="accent4" w:themeShade="95" w:sz="4" w:space="0"/>
      </w:tblBorders>
    </w:tblPr>
    <w:tblStylePr w:type="firstRow">
      <w:rPr>
        <w:rFonts w:ascii="Arial" w:hAnsi="Arial"/>
        <w:color w:val="F2F2F2"/>
        <w:sz w:val="22"/>
      </w:rPr>
      <w:tcPr>
        <w:shd w:val="clear" w:color="ABD78C" w:themeColor="accent4" w:themeTint="9A" w:fill="ABD78C" w:themeFill="accent4" w:themeFillTint="9A"/>
      </w:tcPr>
    </w:tblStylePr>
    <w:tblStylePr w:type="lastRow">
      <w:rPr>
        <w:rFonts w:ascii="Arial" w:hAnsi="Arial"/>
        <w:color w:val="F2F2F2"/>
        <w:sz w:val="22"/>
      </w:rPr>
      <w:tcPr>
        <w:shd w:val="clear" w:color="ABD78C" w:themeColor="accent4" w:themeTint="9A" w:fill="ABD78C" w:themeFill="accent4" w:themeFillTint="9A"/>
      </w:tcPr>
    </w:tblStylePr>
    <w:tblStylePr w:type="firstCol">
      <w:rPr>
        <w:rFonts w:ascii="Arial" w:hAnsi="Arial"/>
        <w:color w:val="F2F2F2"/>
        <w:sz w:val="22"/>
      </w:rPr>
      <w:tcPr>
        <w:shd w:val="clear" w:color="ABD78C" w:themeColor="accent4" w:themeTint="9A" w:fill="ABD78C" w:themeFill="accent4" w:themeFillTint="9A"/>
      </w:tcPr>
    </w:tblStylePr>
    <w:tblStylePr w:type="lastCol">
      <w:rPr>
        <w:rFonts w:ascii="Arial" w:hAnsi="Arial"/>
        <w:color w:val="F2F2F2"/>
        <w:sz w:val="22"/>
      </w:rPr>
      <w:tcPr>
        <w:shd w:val="clear" w:color="ABD78C" w:themeColor="accent4" w:themeTint="9A" w:fill="ABD78C"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2F1D8" w:themeColor="accent4" w:themeTint="34" w:fill="E2F1D8"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2F1D8" w:themeColor="accent4" w:themeTint="34" w:fill="E2F1D8" w:themeFill="accent4" w:themeFillTint="34"/>
      </w:tcPr>
    </w:tblStylePr>
  </w:style>
  <w:style w:type="table" w:customStyle="1" w:styleId="184">
    <w:name w:val="Bordered &amp; Lined - Accent 5"/>
    <w:basedOn w:val="42"/>
    <w:qFormat/>
    <w:uiPriority w:val="99"/>
    <w:pPr>
      <w:spacing w:after="0" w:line="240" w:lineRule="auto"/>
    </w:pPr>
    <w:rPr>
      <w:color w:val="404040"/>
    </w:rPr>
    <w:tblPr>
      <w:tblBorders>
        <w:top w:val="single" w:color="1C7069" w:themeColor="accent5" w:themeShade="95" w:sz="4" w:space="0"/>
        <w:left w:val="single" w:color="1C7069" w:themeColor="accent5" w:themeShade="95" w:sz="4" w:space="0"/>
        <w:bottom w:val="single" w:color="1C7069" w:themeColor="accent5" w:themeShade="95" w:sz="4" w:space="0"/>
        <w:right w:val="single" w:color="1C7069" w:themeColor="accent5" w:themeShade="95" w:sz="4" w:space="0"/>
        <w:insideH w:val="single" w:color="1C7069" w:themeColor="accent5" w:themeShade="95" w:sz="4" w:space="0"/>
        <w:insideV w:val="single" w:color="1C7069" w:themeColor="accent5" w:themeShade="95" w:sz="4" w:space="0"/>
      </w:tblBorders>
    </w:tblPr>
    <w:tblStylePr w:type="firstRow">
      <w:rPr>
        <w:rFonts w:ascii="Arial" w:hAnsi="Arial"/>
        <w:color w:val="F2F2F2"/>
        <w:sz w:val="22"/>
      </w:rPr>
      <w:tcPr>
        <w:shd w:val="clear" w:color="30C0B4" w:themeColor="accent5" w:fill="30C0B4" w:themeFill="accent5"/>
      </w:tcPr>
    </w:tblStylePr>
    <w:tblStylePr w:type="lastRow">
      <w:rPr>
        <w:rFonts w:ascii="Arial" w:hAnsi="Arial"/>
        <w:color w:val="F2F2F2"/>
        <w:sz w:val="22"/>
      </w:rPr>
      <w:tcPr>
        <w:shd w:val="clear" w:color="30C0B4" w:themeColor="accent5" w:fill="30C0B4" w:themeFill="accent5"/>
      </w:tcPr>
    </w:tblStylePr>
    <w:tblStylePr w:type="firstCol">
      <w:rPr>
        <w:rFonts w:ascii="Arial" w:hAnsi="Arial"/>
        <w:color w:val="F2F2F2"/>
        <w:sz w:val="22"/>
      </w:rPr>
      <w:tcPr>
        <w:shd w:val="clear" w:color="30C0B4" w:themeColor="accent5" w:fill="30C0B4" w:themeFill="accent5"/>
      </w:tcPr>
    </w:tblStylePr>
    <w:tblStylePr w:type="lastCol">
      <w:rPr>
        <w:rFonts w:ascii="Arial" w:hAnsi="Arial"/>
        <w:color w:val="F2F2F2"/>
        <w:sz w:val="22"/>
      </w:rPr>
      <w:tcPr>
        <w:shd w:val="clear" w:color="30C0B4" w:themeColor="accent5" w:fill="30C0B4" w:themeFill="accent5"/>
      </w:tcPr>
    </w:tblStylePr>
    <w:tblStylePr w:type="band1Vert">
      <w:rPr>
        <w:rFonts w:ascii="Arial" w:hAnsi="Arial"/>
        <w:color w:val="404040"/>
        <w:sz w:val="22"/>
      </w:rPr>
    </w:tblStylePr>
    <w:tblStylePr w:type="band2Vert">
      <w:rPr>
        <w:rFonts w:ascii="Arial" w:hAnsi="Arial"/>
        <w:color w:val="404040"/>
        <w:sz w:val="22"/>
      </w:rPr>
      <w:tcPr>
        <w:shd w:val="clear" w:color="D2F3F1" w:themeColor="accent5" w:themeTint="34" w:fill="D2F3F1"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2F3F1" w:themeColor="accent5" w:themeTint="34" w:fill="D2F3F1" w:themeFill="accent5" w:themeFillTint="34"/>
      </w:tcPr>
    </w:tblStylePr>
  </w:style>
  <w:style w:type="table" w:customStyle="1" w:styleId="185">
    <w:name w:val="Bordered &amp; Lined - Accent 6"/>
    <w:basedOn w:val="42"/>
    <w:qFormat/>
    <w:uiPriority w:val="99"/>
    <w:pPr>
      <w:spacing w:after="0" w:line="240" w:lineRule="auto"/>
    </w:pPr>
    <w:rPr>
      <w:color w:val="404040"/>
    </w:rPr>
    <w:tblPr>
      <w:tblBorders>
        <w:top w:val="single" w:color="9B1626" w:themeColor="accent6" w:themeShade="95" w:sz="4" w:space="0"/>
        <w:left w:val="single" w:color="9B1626" w:themeColor="accent6" w:themeShade="95" w:sz="4" w:space="0"/>
        <w:bottom w:val="single" w:color="9B1626" w:themeColor="accent6" w:themeShade="95" w:sz="4" w:space="0"/>
        <w:right w:val="single" w:color="9B1626" w:themeColor="accent6" w:themeShade="95" w:sz="4" w:space="0"/>
        <w:insideH w:val="single" w:color="9B1626" w:themeColor="accent6" w:themeShade="95" w:sz="4" w:space="0"/>
        <w:insideV w:val="single" w:color="9B1626" w:themeColor="accent6" w:themeShade="95" w:sz="4" w:space="0"/>
      </w:tblBorders>
    </w:tblPr>
    <w:tblStylePr w:type="firstRow">
      <w:rPr>
        <w:rFonts w:ascii="Arial" w:hAnsi="Arial"/>
        <w:color w:val="F2F2F2"/>
        <w:sz w:val="22"/>
      </w:rPr>
      <w:tcPr>
        <w:shd w:val="clear" w:color="E54C5E" w:themeColor="accent6" w:fill="E54C5E" w:themeFill="accent6"/>
      </w:tcPr>
    </w:tblStylePr>
    <w:tblStylePr w:type="lastRow">
      <w:rPr>
        <w:rFonts w:ascii="Arial" w:hAnsi="Arial"/>
        <w:color w:val="F2F2F2"/>
        <w:sz w:val="22"/>
      </w:rPr>
      <w:tcPr>
        <w:shd w:val="clear" w:color="E54C5E" w:themeColor="accent6" w:fill="E54C5E" w:themeFill="accent6"/>
      </w:tcPr>
    </w:tblStylePr>
    <w:tblStylePr w:type="firstCol">
      <w:rPr>
        <w:rFonts w:ascii="Arial" w:hAnsi="Arial"/>
        <w:color w:val="F2F2F2"/>
        <w:sz w:val="22"/>
      </w:rPr>
      <w:tcPr>
        <w:shd w:val="clear" w:color="E54C5E" w:themeColor="accent6" w:fill="E54C5E" w:themeFill="accent6"/>
      </w:tcPr>
    </w:tblStylePr>
    <w:tblStylePr w:type="lastCol">
      <w:rPr>
        <w:rFonts w:ascii="Arial" w:hAnsi="Arial"/>
        <w:color w:val="F2F2F2"/>
        <w:sz w:val="22"/>
      </w:rPr>
      <w:tcPr>
        <w:shd w:val="clear" w:color="E54C5E" w:themeColor="accent6" w:fill="E54C5E" w:themeFill="accent6"/>
      </w:tcPr>
    </w:tblStylePr>
    <w:tblStylePr w:type="band1Vert">
      <w:rPr>
        <w:rFonts w:ascii="Arial" w:hAnsi="Arial"/>
        <w:color w:val="404040"/>
        <w:sz w:val="22"/>
      </w:rPr>
    </w:tblStylePr>
    <w:tblStylePr w:type="band2Vert">
      <w:rPr>
        <w:rFonts w:ascii="Arial" w:hAnsi="Arial"/>
        <w:color w:val="404040"/>
        <w:sz w:val="22"/>
      </w:rPr>
      <w:tcPr>
        <w:shd w:val="clear" w:color="F9DADE" w:themeColor="accent6" w:themeTint="34" w:fill="F9DADE"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9DADE" w:themeColor="accent6" w:themeTint="34" w:fill="F9DADE" w:themeFill="accent6" w:themeFillTint="34"/>
      </w:tcPr>
    </w:tblStylePr>
  </w:style>
  <w:style w:type="table" w:customStyle="1" w:styleId="186">
    <w:name w:val="Bordered"/>
    <w:basedOn w:val="42"/>
    <w:qFormat/>
    <w:uiPriority w:val="99"/>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style>
  <w:style w:type="table" w:customStyle="1" w:styleId="187">
    <w:name w:val="Bordered - Accent 1"/>
    <w:basedOn w:val="42"/>
    <w:qFormat/>
    <w:uiPriority w:val="99"/>
    <w:pPr>
      <w:spacing w:after="0" w:line="240" w:lineRule="auto"/>
    </w:pPr>
    <w:tblPr>
      <w:tbl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insideH w:val="single" w:color="B5C6E9" w:themeColor="accent1" w:themeTint="67" w:sz="4" w:space="0"/>
        <w:insideV w:val="single" w:color="B5C6E9" w:themeColor="accent1" w:themeTint="67" w:sz="4" w:space="0"/>
      </w:tblBorders>
    </w:tblPr>
    <w:tblStylePr w:type="firstRow">
      <w:rPr>
        <w:rFonts w:ascii="Arial" w:hAnsi="Arial"/>
        <w:color w:val="404040"/>
        <w:sz w:val="22"/>
      </w:rPr>
      <w:tcPr>
        <w:tcBorders>
          <w:bottom w:val="single" w:color="4874CB" w:themeColor="accent1" w:sz="12" w:space="0"/>
        </w:tcBorders>
      </w:tcPr>
    </w:tblStylePr>
    <w:tblStylePr w:type="lastRow">
      <w:rPr>
        <w:rFonts w:ascii="Arial" w:hAnsi="Arial"/>
        <w:color w:val="404040"/>
        <w:sz w:val="22"/>
      </w:rPr>
      <w:tcPr>
        <w:tcBorders>
          <w:top w:val="single" w:color="4874CB" w:themeColor="accent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4874CB" w:themeColor="accent1" w:sz="12" w:space="0"/>
        </w:tcBorders>
      </w:tcPr>
    </w:tblStylePr>
    <w:tblStylePr w:type="band1Horz">
      <w:rPr>
        <w:rFonts w:ascii="Arial" w:hAnsi="Arial"/>
        <w:color w:val="404040"/>
        <w:sz w:val="22"/>
      </w:rPr>
      <w:tcPr>
        <w:tc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tcBorders>
      </w:tcPr>
    </w:tblStylePr>
  </w:style>
  <w:style w:type="table" w:customStyle="1" w:styleId="188">
    <w:name w:val="Bordered - Accent 2"/>
    <w:basedOn w:val="42"/>
    <w:qFormat/>
    <w:uiPriority w:val="99"/>
    <w:pPr>
      <w:spacing w:after="0" w:line="240" w:lineRule="auto"/>
    </w:pPr>
    <w:tblPr>
      <w:tbl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insideH w:val="single" w:color="F8CCAA" w:themeColor="accent2" w:themeTint="67" w:sz="4" w:space="0"/>
        <w:insideV w:val="single" w:color="F8CCAA" w:themeColor="accent2" w:themeTint="67" w:sz="4" w:space="0"/>
      </w:tblBorders>
    </w:tblPr>
    <w:tblStylePr w:type="firstRow">
      <w:rPr>
        <w:rFonts w:ascii="Arial" w:hAnsi="Arial"/>
        <w:color w:val="404040"/>
        <w:sz w:val="22"/>
      </w:rPr>
      <w:tcPr>
        <w:tcBorders>
          <w:bottom w:val="single" w:color="F4B483" w:themeColor="accent2" w:themeTint="97" w:sz="12" w:space="0"/>
        </w:tcBorders>
      </w:tcPr>
    </w:tblStylePr>
    <w:tblStylePr w:type="lastRow">
      <w:rPr>
        <w:rFonts w:ascii="Arial" w:hAnsi="Arial"/>
        <w:color w:val="404040"/>
        <w:sz w:val="22"/>
      </w:rPr>
      <w:tcPr>
        <w:tcBorders>
          <w:top w:val="single" w:color="F4B483"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4B483" w:themeColor="accent2" w:themeTint="97" w:sz="12" w:space="0"/>
        </w:tcBorders>
      </w:tcPr>
    </w:tblStylePr>
    <w:tblStylePr w:type="band1Horz">
      <w:rPr>
        <w:rFonts w:ascii="Arial" w:hAnsi="Arial"/>
        <w:color w:val="404040"/>
        <w:sz w:val="22"/>
      </w:rPr>
      <w:tcPr>
        <w:tc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tcBorders>
      </w:tcPr>
    </w:tblStylePr>
  </w:style>
  <w:style w:type="table" w:customStyle="1" w:styleId="189">
    <w:name w:val="Bordered - Accent 3"/>
    <w:basedOn w:val="42"/>
    <w:qFormat/>
    <w:uiPriority w:val="99"/>
    <w:pPr>
      <w:spacing w:after="0" w:line="240" w:lineRule="auto"/>
    </w:pPr>
    <w:tblPr>
      <w:tbl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insideH w:val="single" w:color="FEE594" w:themeColor="accent3" w:themeTint="67" w:sz="4" w:space="0"/>
        <w:insideV w:val="single" w:color="FEE594" w:themeColor="accent3" w:themeTint="67" w:sz="4" w:space="0"/>
      </w:tblBorders>
    </w:tblPr>
    <w:tblStylePr w:type="firstRow">
      <w:rPr>
        <w:rFonts w:ascii="Arial" w:hAnsi="Arial"/>
        <w:color w:val="404040"/>
        <w:sz w:val="22"/>
      </w:rPr>
      <w:tcPr>
        <w:tcBorders>
          <w:bottom w:val="single" w:color="FDD961" w:themeColor="accent3" w:themeTint="98" w:sz="12" w:space="0"/>
        </w:tcBorders>
      </w:tcPr>
    </w:tblStylePr>
    <w:tblStylePr w:type="lastRow">
      <w:rPr>
        <w:rFonts w:ascii="Arial" w:hAnsi="Arial"/>
        <w:color w:val="404040"/>
        <w:sz w:val="22"/>
      </w:rPr>
      <w:tcPr>
        <w:tcBorders>
          <w:top w:val="single" w:color="FDD961"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DD961" w:themeColor="accent3" w:themeTint="98" w:sz="12" w:space="0"/>
        </w:tcBorders>
      </w:tcPr>
    </w:tblStylePr>
    <w:tblStylePr w:type="band1Horz">
      <w:rPr>
        <w:rFonts w:ascii="Arial" w:hAnsi="Arial"/>
        <w:color w:val="404040"/>
        <w:sz w:val="22"/>
      </w:rPr>
      <w:tcPr>
        <w:tc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tcBorders>
      </w:tcPr>
    </w:tblStylePr>
  </w:style>
  <w:style w:type="table" w:customStyle="1" w:styleId="190">
    <w:name w:val="Bordered - Accent 4"/>
    <w:basedOn w:val="42"/>
    <w:qFormat/>
    <w:uiPriority w:val="99"/>
    <w:pPr>
      <w:spacing w:after="0" w:line="240" w:lineRule="auto"/>
    </w:pPr>
    <w:tblPr>
      <w:tbl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insideH w:val="single" w:color="C7E4B2" w:themeColor="accent4" w:themeTint="67" w:sz="4" w:space="0"/>
        <w:insideV w:val="single" w:color="C7E4B2" w:themeColor="accent4" w:themeTint="67" w:sz="4" w:space="0"/>
      </w:tblBorders>
    </w:tblPr>
    <w:tblStylePr w:type="firstRow">
      <w:rPr>
        <w:rFonts w:ascii="Arial" w:hAnsi="Arial"/>
        <w:color w:val="404040"/>
        <w:sz w:val="22"/>
      </w:rPr>
      <w:tcPr>
        <w:tcBorders>
          <w:bottom w:val="single" w:color="ABD78C" w:themeColor="accent4" w:themeTint="9A" w:sz="12" w:space="0"/>
        </w:tcBorders>
      </w:tcPr>
    </w:tblStylePr>
    <w:tblStylePr w:type="lastRow">
      <w:rPr>
        <w:rFonts w:ascii="Arial" w:hAnsi="Arial"/>
        <w:color w:val="404040"/>
        <w:sz w:val="22"/>
      </w:rPr>
      <w:tcPr>
        <w:tcBorders>
          <w:top w:val="single" w:color="ABD78C"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ABD78C" w:themeColor="accent4" w:themeTint="9A" w:sz="12" w:space="0"/>
        </w:tcBorders>
      </w:tcPr>
    </w:tblStylePr>
    <w:tblStylePr w:type="band1Horz">
      <w:rPr>
        <w:rFonts w:ascii="Arial" w:hAnsi="Arial"/>
        <w:color w:val="404040"/>
        <w:sz w:val="22"/>
      </w:rPr>
      <w:tcPr>
        <w:tc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tcBorders>
      </w:tcPr>
    </w:tblStylePr>
  </w:style>
  <w:style w:type="table" w:customStyle="1" w:styleId="191">
    <w:name w:val="Bordered - Accent 5"/>
    <w:basedOn w:val="42"/>
    <w:qFormat/>
    <w:uiPriority w:val="99"/>
    <w:pPr>
      <w:spacing w:after="0" w:line="240" w:lineRule="auto"/>
    </w:pPr>
    <w:tblPr>
      <w:tbl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insideH w:val="single" w:color="A7E9E3" w:themeColor="accent5" w:themeTint="67" w:sz="4" w:space="0"/>
        <w:insideV w:val="single" w:color="A7E9E3" w:themeColor="accent5" w:themeTint="67" w:sz="4" w:space="0"/>
      </w:tblBorders>
    </w:tblPr>
    <w:tblStylePr w:type="firstRow">
      <w:rPr>
        <w:rFonts w:ascii="Arial" w:hAnsi="Arial"/>
        <w:color w:val="404040"/>
        <w:sz w:val="22"/>
      </w:rPr>
      <w:tcPr>
        <w:tcBorders>
          <w:bottom w:val="single" w:color="7CDED6" w:themeColor="accent5" w:themeTint="9A" w:sz="12" w:space="0"/>
        </w:tcBorders>
      </w:tcPr>
    </w:tblStylePr>
    <w:tblStylePr w:type="lastRow">
      <w:rPr>
        <w:rFonts w:ascii="Arial" w:hAnsi="Arial"/>
        <w:color w:val="404040"/>
        <w:sz w:val="22"/>
      </w:rPr>
      <w:tcPr>
        <w:tcBorders>
          <w:top w:val="single" w:color="7CDED6"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CDED6" w:themeColor="accent5" w:themeTint="9A" w:sz="12" w:space="0"/>
        </w:tcBorders>
      </w:tcPr>
    </w:tblStylePr>
    <w:tblStylePr w:type="band1Horz">
      <w:rPr>
        <w:rFonts w:ascii="Arial" w:hAnsi="Arial"/>
        <w:color w:val="404040"/>
        <w:sz w:val="22"/>
      </w:rPr>
      <w:tcPr>
        <w:tc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tcBorders>
      </w:tcPr>
    </w:tblStylePr>
  </w:style>
  <w:style w:type="table" w:customStyle="1" w:styleId="192">
    <w:name w:val="Bordered - Accent 6"/>
    <w:basedOn w:val="42"/>
    <w:qFormat/>
    <w:uiPriority w:val="99"/>
    <w:pPr>
      <w:spacing w:after="0" w:line="240" w:lineRule="auto"/>
    </w:pPr>
    <w:tblPr>
      <w:tbl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insideH w:val="single" w:color="F4B6BD" w:themeColor="accent6" w:themeTint="67" w:sz="4" w:space="0"/>
        <w:insideV w:val="single" w:color="F4B6BD" w:themeColor="accent6" w:themeTint="67" w:sz="4" w:space="0"/>
      </w:tblBorders>
    </w:tblPr>
    <w:tblStylePr w:type="firstRow">
      <w:rPr>
        <w:rFonts w:ascii="Arial" w:hAnsi="Arial"/>
        <w:color w:val="404040"/>
        <w:sz w:val="22"/>
      </w:rPr>
      <w:tcPr>
        <w:tcBorders>
          <w:bottom w:val="single" w:color="EF949F" w:themeColor="accent6" w:themeTint="98" w:sz="12" w:space="0"/>
        </w:tcBorders>
      </w:tcPr>
    </w:tblStylePr>
    <w:tblStylePr w:type="lastRow">
      <w:rPr>
        <w:rFonts w:ascii="Arial" w:hAnsi="Arial"/>
        <w:color w:val="404040"/>
        <w:sz w:val="22"/>
      </w:rPr>
      <w:tcPr>
        <w:tcBorders>
          <w:top w:val="single" w:color="EF949F"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EF949F" w:themeColor="accent6" w:themeTint="98" w:sz="12" w:space="0"/>
        </w:tcBorders>
      </w:tcPr>
    </w:tblStylePr>
    <w:tblStylePr w:type="band1Horz">
      <w:rPr>
        <w:rFonts w:ascii="Arial" w:hAnsi="Arial"/>
        <w:color w:val="404040"/>
        <w:sz w:val="22"/>
      </w:rPr>
      <w:tcPr>
        <w:tc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tcBorders>
      </w:tcPr>
    </w:tblStylePr>
  </w:style>
  <w:style w:type="character" w:customStyle="1" w:styleId="193">
    <w:name w:val="Footnote Text Char"/>
    <w:link w:val="35"/>
    <w:qFormat/>
    <w:uiPriority w:val="99"/>
    <w:rPr>
      <w:sz w:val="18"/>
    </w:rPr>
  </w:style>
  <w:style w:type="character" w:customStyle="1" w:styleId="194">
    <w:name w:val="Endnote Text Char"/>
    <w:link w:val="27"/>
    <w:qFormat/>
    <w:uiPriority w:val="99"/>
    <w:rPr>
      <w:sz w:val="20"/>
    </w:rPr>
  </w:style>
  <w:style w:type="paragraph" w:customStyle="1" w:styleId="195">
    <w:name w:val="TOC Heading"/>
    <w:unhideWhenUsed/>
    <w:qFormat/>
    <w:uiPriority w:val="39"/>
    <w:rPr>
      <w:rFonts w:hint="default" w:ascii="Times New Roman" w:hAnsi="Times New Roman" w:eastAsia="宋体" w:cs="Times New Roman"/>
    </w:rPr>
  </w:style>
  <w:style w:type="paragraph" w:customStyle="1" w:styleId="196">
    <w:name w:val="正文首行缩进 21"/>
    <w:basedOn w:val="197"/>
    <w:next w:val="1"/>
    <w:qFormat/>
    <w:uiPriority w:val="0"/>
    <w:pPr>
      <w:spacing w:after="120" w:line="480" w:lineRule="exact"/>
      <w:ind w:left="420" w:firstLine="420"/>
    </w:pPr>
    <w:rPr>
      <w:szCs w:val="20"/>
    </w:rPr>
  </w:style>
  <w:style w:type="paragraph" w:customStyle="1" w:styleId="197">
    <w:name w:val="正文文本缩进1"/>
    <w:basedOn w:val="1"/>
    <w:next w:val="198"/>
    <w:qFormat/>
    <w:uiPriority w:val="0"/>
    <w:pPr>
      <w:spacing w:line="500" w:lineRule="exact"/>
      <w:ind w:left="1050"/>
    </w:pPr>
    <w:rPr>
      <w:rFonts w:ascii="仿宋_GB2312" w:eastAsia="仿宋_GB2312"/>
      <w:sz w:val="28"/>
    </w:rPr>
  </w:style>
  <w:style w:type="paragraph" w:customStyle="1" w:styleId="198">
    <w:name w:val="寄信人地址1"/>
    <w:basedOn w:val="1"/>
    <w:next w:val="199"/>
    <w:unhideWhenUsed/>
    <w:qFormat/>
    <w:uiPriority w:val="99"/>
    <w:rPr>
      <w:rFonts w:ascii="Arial" w:hAnsi="Arial"/>
    </w:rPr>
  </w:style>
  <w:style w:type="paragraph" w:customStyle="1" w:styleId="199">
    <w:name w:val="目录 71"/>
    <w:basedOn w:val="1"/>
    <w:next w:val="1"/>
    <w:qFormat/>
    <w:uiPriority w:val="0"/>
    <w:pPr>
      <w:ind w:left="1260"/>
      <w:jc w:val="left"/>
    </w:pPr>
    <w:rPr>
      <w:rFonts w:ascii="等线" w:eastAsia="等线"/>
      <w:sz w:val="18"/>
      <w:szCs w:val="18"/>
    </w:rPr>
  </w:style>
  <w:style w:type="paragraph" w:customStyle="1" w:styleId="200">
    <w:name w:val="正文文本11"/>
    <w:basedOn w:val="1"/>
    <w:next w:val="1"/>
    <w:qFormat/>
    <w:uiPriority w:val="0"/>
    <w:rPr>
      <w:rFonts w:ascii="楷体_GB2312" w:hAnsi="Arial" w:eastAsia="楷体_GB2312"/>
      <w:sz w:val="28"/>
      <w:szCs w:val="20"/>
    </w:rPr>
  </w:style>
  <w:style w:type="paragraph" w:customStyle="1" w:styleId="201">
    <w:name w:val="页脚1"/>
    <w:basedOn w:val="1"/>
    <w:qFormat/>
    <w:uiPriority w:val="99"/>
    <w:pPr>
      <w:tabs>
        <w:tab w:val="center" w:pos="4153"/>
        <w:tab w:val="right" w:pos="8306"/>
      </w:tabs>
      <w:jc w:val="left"/>
    </w:pPr>
    <w:rPr>
      <w:sz w:val="18"/>
      <w:szCs w:val="18"/>
    </w:rPr>
  </w:style>
  <w:style w:type="character" w:customStyle="1" w:styleId="202">
    <w:name w:val="页码1"/>
    <w:qFormat/>
    <w:uiPriority w:val="0"/>
  </w:style>
  <w:style w:type="character" w:customStyle="1" w:styleId="203">
    <w:name w:val="页眉 字符"/>
    <w:basedOn w:val="44"/>
    <w:link w:val="31"/>
    <w:qFormat/>
    <w:uiPriority w:val="0"/>
    <w:rPr>
      <w:sz w:val="18"/>
      <w:szCs w:val="18"/>
    </w:rPr>
  </w:style>
  <w:style w:type="character" w:customStyle="1" w:styleId="204">
    <w:name w:val="页脚 字符"/>
    <w:basedOn w:val="44"/>
    <w:link w:val="29"/>
    <w:qFormat/>
    <w:uiPriority w:val="0"/>
    <w:rPr>
      <w:sz w:val="18"/>
      <w:szCs w:val="18"/>
    </w:rPr>
  </w:style>
  <w:style w:type="character" w:customStyle="1" w:styleId="205">
    <w:name w:val="纯文本 字符"/>
    <w:basedOn w:val="44"/>
    <w:link w:val="24"/>
    <w:qFormat/>
    <w:uiPriority w:val="0"/>
    <w:rPr>
      <w:rFonts w:ascii="宋体" w:hAnsi="Courier New"/>
      <w:sz w:val="21"/>
    </w:rPr>
  </w:style>
  <w:style w:type="paragraph" w:styleId="206">
    <w:name w:val="List Paragraph"/>
    <w:basedOn w:val="1"/>
    <w:link w:val="211"/>
    <w:unhideWhenUsed/>
    <w:qFormat/>
    <w:uiPriority w:val="34"/>
    <w:pPr>
      <w:ind w:firstLine="420"/>
    </w:pPr>
  </w:style>
  <w:style w:type="character" w:customStyle="1" w:styleId="207">
    <w:name w:val="批注框文本 字符"/>
    <w:basedOn w:val="44"/>
    <w:link w:val="28"/>
    <w:qFormat/>
    <w:uiPriority w:val="0"/>
    <w:rPr>
      <w:sz w:val="18"/>
      <w:szCs w:val="18"/>
    </w:rPr>
  </w:style>
  <w:style w:type="paragraph" w:customStyle="1" w:styleId="208">
    <w:name w:val="普通正文"/>
    <w:basedOn w:val="1"/>
    <w:link w:val="218"/>
    <w:qFormat/>
    <w:uiPriority w:val="0"/>
    <w:pPr>
      <w:spacing w:before="120" w:after="120" w:line="360" w:lineRule="auto"/>
      <w:ind w:firstLine="480"/>
      <w:jc w:val="left"/>
    </w:pPr>
    <w:rPr>
      <w:rFonts w:ascii="Arial" w:hAnsi="Arial"/>
      <w:sz w:val="24"/>
    </w:rPr>
  </w:style>
  <w:style w:type="paragraph" w:customStyle="1" w:styleId="209">
    <w:name w:val="列出段落1"/>
    <w:basedOn w:val="1"/>
    <w:qFormat/>
    <w:uiPriority w:val="0"/>
    <w:pPr>
      <w:widowControl/>
      <w:ind w:left="720"/>
      <w:contextualSpacing/>
      <w:jc w:val="left"/>
    </w:pPr>
    <w:rPr>
      <w:rFonts w:ascii="Calibri" w:hAnsi="Calibri"/>
      <w:sz w:val="24"/>
      <w:lang w:eastAsia="en-US" w:bidi="en-US"/>
    </w:rPr>
  </w:style>
  <w:style w:type="paragraph" w:customStyle="1" w:styleId="210">
    <w:name w:val="正文 New New New New"/>
    <w:qFormat/>
    <w:uiPriority w:val="0"/>
    <w:pPr>
      <w:widowControl w:val="0"/>
      <w:jc w:val="both"/>
    </w:pPr>
    <w:rPr>
      <w:rFonts w:hint="default" w:ascii="Times New Roman" w:hAnsi="Times New Roman" w:eastAsia="宋体" w:cs="Times New Roman"/>
      <w:szCs w:val="24"/>
      <w:lang w:val="en-US" w:eastAsia="zh-CN" w:bidi="ar-SA"/>
    </w:rPr>
  </w:style>
  <w:style w:type="character" w:customStyle="1" w:styleId="211">
    <w:name w:val="列表段落 字符"/>
    <w:link w:val="206"/>
    <w:qFormat/>
    <w:uiPriority w:val="34"/>
    <w:rPr>
      <w:sz w:val="21"/>
      <w:szCs w:val="24"/>
    </w:rPr>
  </w:style>
  <w:style w:type="paragraph" w:customStyle="1" w:styleId="212">
    <w:name w:val="段"/>
    <w:next w:val="1"/>
    <w:qFormat/>
    <w:uiPriority w:val="0"/>
    <w:pPr>
      <w:tabs>
        <w:tab w:val="center" w:pos="4201"/>
        <w:tab w:val="right" w:leader="dot" w:pos="9298"/>
      </w:tabs>
      <w:spacing w:after="200" w:line="276" w:lineRule="auto"/>
      <w:ind w:firstLine="420"/>
      <w:jc w:val="both"/>
    </w:pPr>
    <w:rPr>
      <w:rFonts w:hint="default" w:ascii="宋体" w:hAnsiTheme="minorHAnsi" w:eastAsiaTheme="minorEastAsia" w:cstheme="minorBidi"/>
      <w:lang w:val="en-US" w:eastAsia="zh-CN" w:bidi="ar-SA"/>
    </w:rPr>
  </w:style>
  <w:style w:type="paragraph" w:customStyle="1" w:styleId="213">
    <w:name w:val="Default"/>
    <w:qFormat/>
    <w:uiPriority w:val="99"/>
    <w:pPr>
      <w:widowControl w:val="0"/>
    </w:pPr>
    <w:rPr>
      <w:rFonts w:hint="default" w:ascii="MS Mincho" w:hAnsi="Calibri" w:eastAsia="宋体" w:cs="Times New Roman"/>
      <w:color w:val="000000"/>
      <w:sz w:val="21"/>
      <w:szCs w:val="24"/>
      <w:lang w:val="en-US" w:eastAsia="zh-CN" w:bidi="ar-SA"/>
    </w:rPr>
  </w:style>
  <w:style w:type="character" w:customStyle="1" w:styleId="214">
    <w:name w:val="标题 2 Char"/>
    <w:link w:val="3"/>
    <w:qFormat/>
    <w:uiPriority w:val="9"/>
    <w:rPr>
      <w:rFonts w:ascii="宋体" w:hAnsi="宋体" w:eastAsia="宋体" w:cs="宋体"/>
      <w:b/>
      <w:bCs/>
      <w:sz w:val="24"/>
      <w:szCs w:val="36"/>
    </w:rPr>
  </w:style>
  <w:style w:type="character" w:customStyle="1" w:styleId="215">
    <w:name w:val="标题 3 Char"/>
    <w:link w:val="5"/>
    <w:qFormat/>
    <w:uiPriority w:val="0"/>
    <w:rPr>
      <w:rFonts w:ascii="Arial" w:hAnsi="Arial" w:eastAsia="宋体" w:cs="Arial"/>
      <w:b/>
      <w:sz w:val="22"/>
      <w:szCs w:val="30"/>
    </w:rPr>
  </w:style>
  <w:style w:type="paragraph" w:customStyle="1" w:styleId="216">
    <w:name w:val="Table Paragraph"/>
    <w:basedOn w:val="1"/>
    <w:qFormat/>
    <w:uiPriority w:val="1"/>
  </w:style>
  <w:style w:type="table" w:customStyle="1" w:styleId="217">
    <w:name w:val="Table Normal"/>
    <w:semiHidden/>
    <w:unhideWhenUsed/>
    <w:qFormat/>
    <w:uiPriority w:val="2"/>
    <w:tblPr>
      <w:tblCellMar>
        <w:top w:w="0" w:type="dxa"/>
        <w:left w:w="0" w:type="dxa"/>
        <w:bottom w:w="0" w:type="dxa"/>
        <w:right w:w="0" w:type="dxa"/>
      </w:tblCellMar>
    </w:tblPr>
  </w:style>
  <w:style w:type="character" w:customStyle="1" w:styleId="218">
    <w:name w:val="普通正文 Char"/>
    <w:link w:val="208"/>
    <w:qFormat/>
    <w:uiPriority w:val="0"/>
    <w:rPr>
      <w:rFonts w:ascii="Arial" w:hAnsi="Arial"/>
      <w:sz w:val="24"/>
    </w:rPr>
  </w:style>
  <w:style w:type="character" w:customStyle="1" w:styleId="219">
    <w:name w:val="正文文本 Char"/>
    <w:link w:val="16"/>
    <w:qFormat/>
    <w:uiPriority w:val="0"/>
    <w:rPr>
      <w:rFonts w:ascii="楷体_GB2312" w:hAnsi="Arial" w:eastAsia="楷体_GB2312"/>
      <w:sz w:val="28"/>
      <w:szCs w:val="20"/>
    </w:rPr>
  </w:style>
  <w:style w:type="character" w:customStyle="1" w:styleId="220">
    <w:name w:val="正文缩进 Char"/>
    <w:link w:val="4"/>
    <w:qFormat/>
    <w:uiPriority w:val="0"/>
    <w:rPr>
      <w:rFonts w:eastAsia="仿宋"/>
    </w:rPr>
  </w:style>
  <w:style w:type="paragraph" w:customStyle="1" w:styleId="221">
    <w:name w:val="Char"/>
    <w:basedOn w:val="1"/>
    <w:qFormat/>
    <w:uiPriority w:val="0"/>
    <w:pPr>
      <w:tabs>
        <w:tab w:val="left" w:pos="360"/>
      </w:tabs>
    </w:pPr>
    <w:rPr>
      <w:rFonts w:ascii="Times New Roman" w:hAnsi="Times New Roman"/>
      <w:sz w:val="24"/>
    </w:rPr>
  </w:style>
  <w:style w:type="paragraph" w:customStyle="1" w:styleId="222">
    <w:name w:val="Heading 3_1"/>
    <w:basedOn w:val="1"/>
    <w:next w:val="1"/>
    <w:unhideWhenUsed/>
    <w:qFormat/>
    <w:uiPriority w:val="0"/>
    <w:pPr>
      <w:keepNext/>
      <w:keepLines/>
      <w:spacing w:before="260" w:after="260" w:line="416" w:lineRule="auto"/>
      <w:outlineLvl w:val="2"/>
    </w:pPr>
    <w:rPr>
      <w:b/>
      <w:bCs/>
      <w:sz w:val="32"/>
      <w:szCs w:val="32"/>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Arial"/>
        <a:cs typeface="Arial"/>
      </a:majorFont>
      <a:minorFont>
        <a:latin typeface="Calibri"/>
        <a:ea typeface="Arial"/>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微软中国</Company>
  <Pages>63</Pages>
  <Words>14915</Words>
  <Characters>15925</Characters>
  <TotalTime>1094</TotalTime>
  <ScaleCrop>false</ScaleCrop>
  <LinksUpToDate>false</LinksUpToDate>
  <CharactersWithSpaces>15961</CharactersWithSpaces>
  <Application>WPS Office_12.1.0.28043_F1E327BC-269C-435d-A152-05C5408002CA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2024-12-17T02:11:00Z</dcterms:created>
  <dc:creator>Szf</dc:creator>
  <cp:lastModifiedBy>.</cp:lastModifiedBy>
  <cp:lastPrinted>2026-07-27T05:04:00Z</cp:lastPrinted>
  <dcterms:modified xsi:type="dcterms:W3CDTF">2026-07-29T02:04:08Z</dcterms:modified>
  <cp:revision>36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C14888B067D5453994264320E9E7D619_13</vt:lpwstr>
  </property>
  <property fmtid="{D5CDD505-2E9C-101B-9397-08002B2CF9AE}" pid="4" name="KSOTemplateDocerSaveRecord">
    <vt:lpwstr>eyJoZGlkIjoiYzRhNDJkYWM0NDE4MDc3OWNmYjliNzEzMGNkNDZlYTMiLCJ1c2VySWQiOiIzNTUyNzI1MjIifQ==</vt:lpwstr>
  </property>
</Properties>
</file>