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660" w:lineRule="exact"/>
        <w:rPr>
          <w:rFonts w:ascii="Arial Unicode MS" w:hAnsi="Arial Unicode MS" w:eastAsia="Arial Unicode MS" w:cs="Arial Unicode MS"/>
          <w:color w:val="000000"/>
          <w:sz w:val="44"/>
          <w:szCs w:val="44"/>
        </w:rPr>
      </w:pPr>
      <w:r>
        <w:rPr>
          <w:rFonts w:hint="eastAsia" w:ascii="Arial Unicode MS" w:hAnsi="Arial Unicode MS" w:eastAsia="Arial Unicode MS" w:cs="Arial Unicode MS"/>
          <w:color w:val="000000"/>
          <w:sz w:val="44"/>
          <w:szCs w:val="44"/>
        </w:rPr>
        <w:t xml:space="preserve">招　标　文　件</w:t>
      </w:r>
      <w:r/>
    </w:p>
    <w:p>
      <w:pPr>
        <w:ind w:firstLine="640"/>
        <w:jc w:val="left"/>
        <w:spacing w:before="120" w:after="120" w:line="660" w:lineRule="exact"/>
        <w:rPr>
          <w:rFonts w:ascii="Arial" w:hAnsi="Arial"/>
          <w:b/>
          <w:bCs/>
          <w:color w:val="000000"/>
          <w:sz w:val="32"/>
          <w:szCs w:val="24"/>
        </w:rPr>
      </w:pPr>
      <w:r>
        <w:rPr>
          <w:rFonts w:ascii="Arial" w:hAnsi="Arial"/>
          <w:b/>
          <w:bCs/>
          <w:color w:val="000000"/>
          <w:sz w:val="32"/>
          <w:szCs w:val="24"/>
        </w:rPr>
      </w:r>
      <w:r/>
    </w:p>
    <w:p>
      <w:pPr>
        <w:ind w:firstLine="640"/>
        <w:jc w:val="left"/>
        <w:spacing w:before="120" w:after="120" w:line="6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项目名称：江苏开放大学桥林校区E6会议室音视频设备采购</w:t>
      </w:r>
      <w:r/>
    </w:p>
    <w:p>
      <w:pPr>
        <w:ind w:firstLine="640"/>
        <w:spacing w:before="120" w:after="120" w:line="660" w:lineRule="exact"/>
        <w:rPr>
          <w:rFonts w:ascii="方正黑体_GBK" w:hAnsi="方正黑体_GBK" w:eastAsia="方正仿宋_GBK" w:cs="方正黑体_GBK"/>
          <w:color w:val="000000"/>
          <w:sz w:val="32"/>
          <w:szCs w:val="32"/>
        </w:rPr>
      </w:pPr>
      <w:r>
        <w:rPr>
          <w:rFonts w:hint="eastAsia" w:ascii="方正黑体_GBK" w:hAnsi="方正黑体_GBK" w:eastAsia="方正黑体_GBK" w:cs="方正黑体_GBK"/>
          <w:sz w:val="32"/>
          <w:szCs w:val="32"/>
        </w:rPr>
        <w:t xml:space="preserve">采购编号：</w:t>
      </w:r>
      <w:r>
        <w:rPr>
          <w:rFonts w:eastAsia="方正仿宋_GBK"/>
          <w:color w:val="000000"/>
          <w:sz w:val="32"/>
          <w:szCs w:val="32"/>
        </w:rPr>
        <w:t xml:space="preserve">JSZC-320000-SCZX-G2026-</w:t>
      </w:r>
      <w:r>
        <w:rPr>
          <w:rFonts w:hint="eastAsia" w:eastAsia="方正仿宋_GBK"/>
          <w:color w:val="000000"/>
          <w:sz w:val="32"/>
          <w:szCs w:val="32"/>
        </w:rPr>
        <w:t xml:space="preserve">0356</w:t>
      </w:r>
      <w:r/>
    </w:p>
    <w:p>
      <w:pPr>
        <w:ind w:firstLine="640"/>
        <w:jc w:val="left"/>
        <w:spacing w:before="120" w:after="120"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660" w:lineRule="exact"/>
        <w:rPr>
          <w:rFonts w:ascii="方正黑体_GBK" w:hAnsi="方正黑体_GBK" w:eastAsia="方正黑体_GBK" w:cs="方正黑体_GBK"/>
          <w:color w:val="000000"/>
          <w:sz w:val="24"/>
          <w:szCs w:val="24"/>
        </w:rPr>
      </w:pPr>
      <w:r>
        <w:rPr>
          <w:rFonts w:ascii="方正黑体_GBK" w:hAnsi="方正黑体_GBK" w:eastAsia="方正黑体_GBK" w:cs="方正黑体_GBK"/>
          <w:color w:val="000000"/>
          <w:sz w:val="24"/>
          <w:szCs w:val="24"/>
        </w:rPr>
      </w:r>
      <w:r/>
    </w:p>
    <w:p>
      <w:pPr>
        <w:jc w:val="center"/>
        <w:spacing w:before="120" w:after="120" w:line="660" w:lineRule="exact"/>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p>
    <w:p>
      <w:pPr>
        <w:jc w:val="center"/>
        <w:spacing w:before="120" w:after="120" w:line="660" w:lineRule="exact"/>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2026年</w:t>
      </w:r>
      <w:r>
        <w:rPr>
          <w:rFonts w:hint="eastAsia" w:ascii="方正黑体_GBK" w:hAnsi="方正黑体_GBK" w:eastAsia="方正黑体_GBK" w:cs="方正黑体_GBK"/>
          <w:color w:val="000000"/>
          <w:sz w:val="32"/>
          <w:szCs w:val="24"/>
        </w:rPr>
        <w:t xml:space="preserve">8</w:t>
      </w:r>
      <w:r>
        <w:rPr>
          <w:rFonts w:hint="eastAsia" w:ascii="方正黑体_GBK" w:hAnsi="方正黑体_GBK" w:eastAsia="方正黑体_GBK" w:cs="方正黑体_GBK"/>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660" w:lineRule="exact"/>
        <w:rPr>
          <w:rFonts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方正黑体_GBK" w:hAnsi="方正黑体_GBK" w:eastAsia="方正黑体_GBK" w:cs="方正黑体_GBK"/>
          <w:bCs/>
          <w:color w:val="000000"/>
          <w:sz w:val="32"/>
          <w:szCs w:val="32"/>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投标邀请……………………………………3 </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…………………………………8  </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合同文本……………………………………26</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第四章 采购需求……………………………………51</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………………………71</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第六章 投标文件格式………………………………78</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br w:type="page" w:clear="all"/>
      </w:r>
      <w:r/>
    </w:p>
    <w:p>
      <w:pPr>
        <w:jc w:val="center"/>
        <w:keepNext/>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受江苏开放大学的委托，江苏省政府采购中心就</w:t>
      </w:r>
      <w:bookmarkStart w:id="6" w:name="OLE_LINK41"/>
      <w:r>
        <w:rPr>
          <w:rFonts w:hint="eastAsia" w:ascii="方正仿宋_GBK" w:hAnsi="方正仿宋_GBK" w:eastAsia="方正仿宋_GBK" w:cs="方正仿宋_GBK"/>
          <w:color w:val="000000"/>
          <w:sz w:val="32"/>
          <w:szCs w:val="32"/>
        </w:rPr>
        <w:t xml:space="preserve">江苏开放大学桥林校区E6会议室音视频设备采购</w:t>
      </w:r>
      <w:bookmarkEnd w:id="6"/>
      <w:r>
        <w:rPr>
          <w:rFonts w:hint="eastAsia" w:ascii="方正仿宋_GBK" w:hAnsi="方正仿宋_GBK" w:eastAsia="方正仿宋_GBK" w:cs="方正仿宋_GBK"/>
          <w:color w:val="000000"/>
          <w:sz w:val="32"/>
          <w:szCs w:val="32"/>
        </w:rPr>
        <w:t xml:space="preserve">（</w:t>
      </w:r>
      <w:r>
        <w:rPr>
          <w:rFonts w:eastAsia="方正仿宋_GBK"/>
          <w:color w:val="000000"/>
          <w:sz w:val="32"/>
          <w:szCs w:val="32"/>
        </w:rPr>
        <w:t xml:space="preserve">JSZC-320000-SCZX-G2026-</w:t>
      </w:r>
      <w:r>
        <w:rPr>
          <w:rFonts w:hint="eastAsia" w:eastAsia="方正仿宋_GBK"/>
          <w:color w:val="000000"/>
          <w:sz w:val="32"/>
          <w:szCs w:val="32"/>
        </w:rPr>
        <w:t xml:space="preserve">0356</w:t>
      </w:r>
      <w:r>
        <w:rPr>
          <w:rFonts w:hint="eastAsia" w:ascii="方正仿宋_GBK" w:hAnsi="方正仿宋_GBK" w:eastAsia="方正仿宋_GBK" w:cs="方正仿宋_GBK"/>
          <w:color w:val="000000"/>
          <w:sz w:val="32"/>
          <w:szCs w:val="32"/>
        </w:rPr>
        <w:t xml:space="preserve">）项目进行公开招标采购，欢迎符合条件的供应商投标。</w:t>
      </w:r>
      <w:r/>
    </w:p>
    <w:p>
      <w:pPr>
        <w:ind w:firstLine="640"/>
        <w:spacing w:line="560" w:lineRule="exact"/>
        <w:rPr>
          <w:rFonts w:ascii="方正仿宋_GBK" w:hAnsi="方正仿宋_GBK" w:eastAsia="方正仿宋_GBK" w:cs="方正仿宋_GBK"/>
          <w:color w:val="000000"/>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rPr>
        <w:t xml:space="preserve">项目概况</w:t>
      </w:r>
      <w:r/>
    </w:p>
    <w:p>
      <w:pPr>
        <w:ind w:firstLine="640"/>
        <w:spacing w:line="560" w:lineRule="exact"/>
        <w:rPr>
          <w:rFonts w:ascii="方正仿宋_GBK" w:hAnsi="方正仿宋_GBK" w:eastAsia="方正仿宋_GBK" w:cs="方正仿宋_GBK"/>
          <w:color w:val="000000"/>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u w:val="single"/>
        </w:rPr>
        <w:t xml:space="preserve"> 江苏开放大学桥林校区E6会议室音视频设备采购</w:t>
      </w:r>
      <w:r>
        <w:rPr>
          <w:rFonts w:hint="eastAsia" w:ascii="方正仿宋_GBK" w:hAnsi="方正仿宋_GBK" w:eastAsia="方正仿宋_GBK" w:cs="方正仿宋_GBK"/>
          <w:color w:val="000000"/>
          <w:sz w:val="32"/>
          <w:szCs w:val="32"/>
        </w:rPr>
        <w:t xml:space="preserve">招标项目的潜在投标人可在</w:t>
      </w:r>
      <w:r>
        <w:rPr>
          <w:rFonts w:hint="eastAsia" w:ascii="方正仿宋_GBK" w:hAnsi="方正仿宋_GBK" w:eastAsia="方正仿宋_GBK" w:cs="方正仿宋_GBK"/>
          <w:color w:val="000000"/>
          <w:sz w:val="32"/>
          <w:szCs w:val="32"/>
          <w:u w:val="single"/>
        </w:rPr>
        <w:t xml:space="preserve">“江苏政府采购网”自行免费下载</w:t>
      </w:r>
      <w:r>
        <w:rPr>
          <w:rFonts w:hint="eastAsia" w:ascii="方正仿宋_GBK" w:hAnsi="方正仿宋_GBK" w:eastAsia="方正仿宋_GBK" w:cs="方正仿宋_GBK"/>
          <w:color w:val="000000"/>
          <w:sz w:val="32"/>
          <w:szCs w:val="32"/>
        </w:rPr>
        <w:t xml:space="preserve">招标文件，并于</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w:t>
      </w:r>
      <w:r>
        <w:rPr>
          <w:rFonts w:hint="eastAsia" w:eastAsia="方正仿宋_GBK"/>
          <w:color w:val="000000"/>
          <w:sz w:val="32"/>
          <w:szCs w:val="32"/>
        </w:rPr>
        <w:t xml:space="preserve">8</w:t>
      </w:r>
      <w:r>
        <w:rPr>
          <w:rFonts w:hint="eastAsia" w:ascii="方正仿宋_GBK" w:hAnsi="方正仿宋_GBK" w:eastAsia="方正仿宋_GBK" w:cs="方正仿宋_GBK"/>
          <w:bCs/>
          <w:color w:val="000000"/>
          <w:sz w:val="32"/>
          <w:szCs w:val="32"/>
        </w:rPr>
        <w:t xml:space="preserve">月</w:t>
      </w:r>
      <w:r>
        <w:rPr>
          <w:rFonts w:hint="eastAsia" w:ascii="方正仿宋_GBK" w:hAnsi="方正仿宋_GBK" w:eastAsia="方正仿宋_GBK" w:cs="方正仿宋_GBK"/>
          <w:bCs/>
          <w:color w:val="000000"/>
          <w:sz w:val="32"/>
          <w:szCs w:val="32"/>
        </w:rPr>
        <w:t xml:space="preserve">27</w:t>
      </w:r>
      <w:r>
        <w:rPr>
          <w:rFonts w:hint="eastAsia" w:ascii="方正仿宋_GBK" w:hAnsi="方正仿宋_GBK" w:eastAsia="方正仿宋_GBK" w:cs="方正仿宋_GBK"/>
          <w:bCs/>
          <w:color w:val="000000"/>
          <w:sz w:val="32"/>
          <w:szCs w:val="32"/>
        </w:rPr>
        <w:t xml:space="preserve">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color w:val="000000"/>
          <w:sz w:val="32"/>
          <w:szCs w:val="32"/>
        </w:rPr>
        <w:t xml:space="preserve">分（北京时间）前递交投标文件</w:t>
      </w:r>
      <w:r>
        <w:rPr>
          <w:rFonts w:hint="eastAsia" w:ascii="方正仿宋_GBK" w:hAnsi="方正仿宋_GBK" w:eastAsia="方正仿宋_GBK" w:cs="方正仿宋_GBK"/>
          <w:color w:val="000000"/>
          <w:sz w:val="32"/>
          <w:szCs w:val="32"/>
        </w:rPr>
        <w:t xml:space="preserve">。</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7" w:name="_Toc38985263"/>
      <w:r/>
      <w:bookmarkStart w:id="8" w:name="_Toc28359079"/>
      <w:r/>
      <w:bookmarkStart w:id="9" w:name="_Toc35393621"/>
      <w:r/>
      <w:bookmarkStart w:id="10" w:name="_Toc28359002"/>
      <w:r/>
      <w:bookmarkStart w:id="11" w:name="_Toc35393790"/>
      <w:r/>
      <w:bookmarkStart w:id="12" w:name="_Hlk24379207"/>
      <w:r>
        <w:rPr>
          <w:rFonts w:hint="eastAsia" w:ascii="方正黑体_GBK" w:hAnsi="方正黑体_GBK" w:eastAsia="方正黑体_GBK" w:cs="方正黑体_GBK"/>
          <w:color w:val="000000"/>
          <w:sz w:val="32"/>
          <w:szCs w:val="32"/>
        </w:rPr>
        <w:t xml:space="preserve">一、项目基本情况</w:t>
      </w:r>
      <w:bookmarkEnd w:id="7"/>
      <w:r/>
      <w:bookmarkEnd w:id="8"/>
      <w:r/>
      <w:bookmarkEnd w:id="9"/>
      <w:r/>
      <w:bookmarkEnd w:id="10"/>
      <w:r/>
      <w:bookmarkEnd w:id="11"/>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1.采购编号：</w:t>
      </w:r>
      <w:r>
        <w:rPr>
          <w:rFonts w:eastAsia="方正仿宋_GBK"/>
          <w:color w:val="000000"/>
          <w:sz w:val="32"/>
          <w:szCs w:val="32"/>
        </w:rPr>
        <w:t xml:space="preserve">JSZC-320000-SCZX-G2026-</w:t>
      </w:r>
      <w:r>
        <w:rPr>
          <w:rFonts w:hint="eastAsia" w:eastAsia="方正仿宋_GBK"/>
          <w:color w:val="000000"/>
          <w:sz w:val="32"/>
          <w:szCs w:val="32"/>
        </w:rPr>
        <w:t xml:space="preserve">0356</w:t>
      </w:r>
      <w:r/>
    </w:p>
    <w:p>
      <w:pPr>
        <w:ind w:firstLine="640"/>
        <w:spacing w:line="560" w:lineRule="exact"/>
        <w:rPr>
          <w:rFonts w:eastAsia="方正仿宋_GBK"/>
          <w:color w:val="000000"/>
          <w:sz w:val="32"/>
          <w:szCs w:val="32"/>
        </w:rPr>
      </w:pPr>
      <w:r>
        <w:rPr>
          <w:rFonts w:hint="eastAsia" w:ascii="方正仿宋_GBK" w:hAnsi="方正仿宋_GBK" w:eastAsia="方正仿宋_GBK" w:cs="方正仿宋_GBK"/>
          <w:color w:val="000000"/>
          <w:sz w:val="32"/>
          <w:szCs w:val="32"/>
        </w:rPr>
        <w:t xml:space="preserve">2.项目名称：</w:t>
      </w:r>
      <w:bookmarkEnd w:id="12"/>
      <w:r>
        <w:rPr>
          <w:rFonts w:hint="eastAsia" w:eastAsia="方正仿宋_GBK"/>
          <w:color w:val="000000"/>
          <w:sz w:val="32"/>
          <w:szCs w:val="32"/>
        </w:rPr>
        <w:t xml:space="preserve">江苏开放大学桥林校区</w:t>
      </w:r>
      <w:r>
        <w:rPr>
          <w:rFonts w:hint="eastAsia" w:eastAsia="方正仿宋_GBK"/>
          <w:color w:val="000000"/>
          <w:sz w:val="32"/>
          <w:szCs w:val="32"/>
        </w:rPr>
        <w:t xml:space="preserve">E6</w:t>
      </w:r>
      <w:r>
        <w:rPr>
          <w:rFonts w:hint="eastAsia" w:eastAsia="方正仿宋_GBK"/>
          <w:color w:val="000000"/>
          <w:sz w:val="32"/>
          <w:szCs w:val="32"/>
        </w:rPr>
        <w:t xml:space="preserve">会议室音视频设备采购</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3.预算金额</w:t>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57"/>
        <w:gridCol w:w="6743"/>
      </w:tblGrid>
      <w:tr>
        <w:trPr/>
        <w:tc>
          <w:tcPr>
            <w:tcW w:w="1657"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674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预算金额（人民币：万元）</w:t>
            </w:r>
            <w:r/>
          </w:p>
        </w:tc>
      </w:tr>
      <w:tr>
        <w:trPr/>
        <w:tc>
          <w:tcPr>
            <w:tcW w:w="1657"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674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eastAsia="方正仿宋_GBK"/>
                <w:color w:val="000000"/>
                <w:sz w:val="32"/>
                <w:szCs w:val="32"/>
              </w:rPr>
              <w:t xml:space="preserve">22</w:t>
            </w:r>
            <w:r/>
          </w:p>
        </w:tc>
      </w:tr>
    </w:tbl>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4.最高限价</w:t>
      </w:r>
      <w:r/>
    </w:p>
    <w:tbl>
      <w:tblPr>
        <w:tblW w:w="0" w:type="auto"/>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33"/>
        <w:gridCol w:w="6734"/>
      </w:tblGrid>
      <w:tr>
        <w:trPr>
          <w:trHeight w:val="506"/>
        </w:trPr>
        <w:tc>
          <w:tcPr>
            <w:tcW w:w="163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6734"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最高限价（人民币：万元）</w:t>
            </w:r>
            <w:r/>
          </w:p>
        </w:tc>
      </w:tr>
      <w:tr>
        <w:trPr/>
        <w:tc>
          <w:tcPr>
            <w:tcW w:w="163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6734" w:type="dxa"/>
            <w:textDirection w:val="lrTb"/>
            <w:noWrap w:val="false"/>
          </w:tcPr>
          <w:p>
            <w:pPr>
              <w:jc w:val="center"/>
              <w:spacing w:line="0" w:lineRule="atLeast"/>
              <w:rPr>
                <w:sz w:val="32"/>
                <w:szCs w:val="32"/>
              </w:rPr>
            </w:pPr>
            <w:r>
              <w:rPr>
                <w:rFonts w:hint="eastAsia" w:eastAsia="方正仿宋_GBK"/>
                <w:sz w:val="32"/>
                <w:szCs w:val="32"/>
              </w:rPr>
              <w:t xml:space="preserve">22</w:t>
            </w:r>
            <w:r/>
          </w:p>
        </w:tc>
      </w:tr>
    </w:tbl>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5.采购需求(简介)：江苏开放大学桥林校区部分启用在即，为进一步提升学校会议沟通效率，推动办公环境的数字化与智能化转型，本项目计划对两间核心会议室进行音视频系统的升级改造。建设重点围绕高清智能显示系统与一体化数字发言扩声系统展开，旨在打造集高清显示、便捷交互、全向拾音及高保真扩声于一体的现代化智能会议空间。需为E6三楼的两间会议室显示及发言扩声系统进行建设</w:t>
      </w:r>
      <w:r>
        <w:rPr>
          <w:rFonts w:hint="eastAsia" w:eastAsia="方正仿宋_GBK"/>
          <w:sz w:val="32"/>
          <w:szCs w:val="32"/>
        </w:rPr>
        <w:t xml:space="preserve">。</w:t>
      </w:r>
      <w:r>
        <w:rPr>
          <w:rFonts w:hint="eastAsia" w:ascii="方正仿宋_GBK" w:hAnsi="方正仿宋_GBK" w:eastAsia="方正仿宋_GBK" w:cs="方正仿宋_GBK"/>
          <w:sz w:val="32"/>
          <w:szCs w:val="32"/>
        </w:rPr>
        <w:t xml:space="preserve">（详细内容见本招标文件第四章）</w:t>
      </w:r>
      <w:r/>
    </w:p>
    <w:p>
      <w:pPr>
        <w:ind w:firstLine="640"/>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6.合同履行期限：</w:t>
      </w:r>
      <w:r>
        <w:rPr>
          <w:rFonts w:hint="eastAsia" w:eastAsia="方正仿宋_GBK"/>
          <w:sz w:val="32"/>
          <w:szCs w:val="32"/>
        </w:rPr>
        <w:t xml:space="preserve">合同签订后</w:t>
      </w:r>
      <w:r>
        <w:rPr>
          <w:rFonts w:hint="eastAsia" w:eastAsia="方正仿宋_GBK"/>
          <w:sz w:val="32"/>
          <w:szCs w:val="32"/>
        </w:rPr>
        <w:t xml:space="preserve">25</w:t>
      </w:r>
      <w:r>
        <w:rPr>
          <w:rFonts w:hint="eastAsia" w:eastAsia="方正仿宋_GBK"/>
          <w:sz w:val="32"/>
          <w:szCs w:val="32"/>
        </w:rPr>
        <w:t xml:space="preserve">个自然日内完成全部软硬件安装调试工作并投入使用，并提供</w:t>
      </w:r>
      <w:r>
        <w:rPr>
          <w:rFonts w:hint="eastAsia" w:eastAsia="方正仿宋_GBK"/>
          <w:sz w:val="32"/>
          <w:szCs w:val="32"/>
        </w:rPr>
        <w:t xml:space="preserve">3</w:t>
      </w:r>
      <w:r>
        <w:rPr>
          <w:rFonts w:hint="eastAsia" w:eastAsia="方正仿宋_GBK"/>
          <w:sz w:val="32"/>
          <w:szCs w:val="32"/>
        </w:rPr>
        <w:t xml:space="preserve">年原厂质保（自验收合格之日算起）。</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3" w:name="_Toc38985264"/>
      <w:r/>
      <w:bookmarkStart w:id="14" w:name="_Toc35393622"/>
      <w:r/>
      <w:bookmarkStart w:id="15" w:name="_Toc35393791"/>
      <w:r/>
      <w:bookmarkStart w:id="16" w:name="_Toc28359003"/>
      <w:r/>
      <w:bookmarkStart w:id="17" w:name="_Toc28359080"/>
      <w:r>
        <w:rPr>
          <w:rFonts w:hint="eastAsia" w:ascii="方正黑体_GBK" w:hAnsi="方正黑体_GBK" w:eastAsia="方正黑体_GBK" w:cs="方正黑体_GBK"/>
          <w:color w:val="000000"/>
          <w:sz w:val="32"/>
          <w:szCs w:val="32"/>
        </w:rPr>
        <w:t xml:space="preserve">二、申请人的资格要求</w:t>
      </w:r>
      <w:bookmarkEnd w:id="13"/>
      <w:r/>
      <w:bookmarkEnd w:id="14"/>
      <w:r/>
      <w:bookmarkEnd w:id="15"/>
      <w:r/>
      <w:bookmarkEnd w:id="16"/>
      <w:r/>
      <w:bookmarkEnd w:id="17"/>
      <w:r/>
      <w:r/>
    </w:p>
    <w:p>
      <w:pPr>
        <w:ind w:firstLine="640"/>
        <w:spacing w:line="560" w:lineRule="exact"/>
        <w:rPr>
          <w:rFonts w:ascii="方正楷体_GBK" w:hAnsi="方正楷体_GBK" w:eastAsia="方正楷体_GBK" w:cs="方正楷体_GBK"/>
          <w:color w:val="000000"/>
          <w:sz w:val="32"/>
          <w:szCs w:val="32"/>
        </w:rPr>
      </w:pPr>
      <w:r/>
      <w:bookmarkStart w:id="18" w:name="_Toc28359004"/>
      <w:r/>
      <w:bookmarkStart w:id="19" w:name="_Toc38985265"/>
      <w:r/>
      <w:bookmarkStart w:id="20" w:name="_Toc35393623"/>
      <w:r/>
      <w:bookmarkStart w:id="21" w:name="_Toc28359081"/>
      <w:r/>
      <w:bookmarkStart w:id="22" w:name="_Toc35393792"/>
      <w:r>
        <w:rPr>
          <w:rFonts w:hint="eastAsia" w:ascii="方正楷体_GBK" w:hAnsi="方正楷体_GBK" w:eastAsia="方正楷体_GBK" w:cs="方正楷体_GBK"/>
          <w:color w:val="000000"/>
          <w:sz w:val="32"/>
          <w:szCs w:val="32"/>
        </w:rPr>
        <w:t xml:space="preserve">（一）通用资格要求</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1.满足《中华人民共和国政府采购法》第二十二条规定，并提供下列材料：</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1.1法人或者其他组织的营业执照等证明文件，自然人的身份证明；</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1.2上一年度的财务状况报告（成立不满一年无需提供）；</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1.4具备履行合同所必需的设备和专业技术能力的书面声明；</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1.5参加政府采购活动前3年内在经营活动中没有重大违法记录的书面声明。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t>
      </w:r>
      <w:r>
        <w:rPr>
          <w:rFonts w:hint="eastAsia" w:eastAsia="方正仿宋_GBK"/>
          <w:sz w:val="32"/>
          <w:szCs w:val="32"/>
        </w:rPr>
        <w:t xml:space="preserve">www.creditchina.gov.cn</w:t>
      </w:r>
      <w:r>
        <w:rPr>
          <w:rFonts w:hint="eastAsia" w:ascii="方正仿宋_GBK" w:hAnsi="方正仿宋_GBK" w:eastAsia="方正仿宋_GBK" w:cs="方正仿宋_GBK"/>
          <w:sz w:val="32"/>
          <w:szCs w:val="32"/>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p>
    <w:p>
      <w:pPr>
        <w:ind w:firstLine="640"/>
        <w:spacing w:line="360" w:lineRule="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p>
    <w:tbl>
      <w:tblPr>
        <w:tblW w:w="0" w:type="auto"/>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01"/>
        <w:gridCol w:w="2968"/>
        <w:gridCol w:w="3667"/>
      </w:tblGrid>
      <w:tr>
        <w:trPr/>
        <w:tc>
          <w:tcPr>
            <w:tcW w:w="170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3667"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70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3667"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640"/>
        <w:spacing w:line="560" w:lineRule="exact"/>
        <w:rPr>
          <w:rFonts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 xml:space="preserve">（二）本项目的特定资格要求</w:t>
      </w:r>
      <w:r/>
    </w:p>
    <w:tbl>
      <w:tblPr>
        <w:tblW w:w="0" w:type="auto"/>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01"/>
        <w:gridCol w:w="6613"/>
      </w:tblGrid>
      <w:tr>
        <w:trPr/>
        <w:tc>
          <w:tcPr>
            <w:tcW w:w="170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661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70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661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eastAsia="方正仿宋_GBK"/>
                <w:sz w:val="32"/>
                <w:szCs w:val="32"/>
              </w:rPr>
              <w:t xml:space="preserve">无</w:t>
            </w:r>
            <w:r/>
          </w:p>
        </w:tc>
      </w:tr>
    </w:tbl>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bookmarkEnd w:id="18"/>
      <w:r/>
      <w:bookmarkEnd w:id="19"/>
      <w:r/>
      <w:bookmarkEnd w:id="20"/>
      <w:r/>
      <w:bookmarkEnd w:id="21"/>
      <w:r/>
      <w:bookmarkEnd w:id="22"/>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23" w:name="_Toc28359082"/>
      <w:r/>
      <w:bookmarkStart w:id="24" w:name="_Toc28359005"/>
      <w:r/>
      <w:bookmarkStart w:id="25" w:name="_Toc35393624"/>
      <w:r/>
      <w:bookmarkStart w:id="26" w:name="_Toc38985266"/>
      <w:r/>
      <w:bookmarkStart w:id="27" w:name="_Toc35393793"/>
      <w:r>
        <w:rPr>
          <w:rFonts w:hint="eastAsia" w:ascii="方正黑体_GBK" w:hAnsi="方正黑体_GBK" w:eastAsia="方正黑体_GBK" w:cs="方正黑体_GBK"/>
          <w:color w:val="000000"/>
          <w:sz w:val="32"/>
          <w:szCs w:val="32"/>
        </w:rPr>
        <w:t xml:space="preserve">四、提交投标文件</w:t>
      </w:r>
      <w:bookmarkEnd w:id="23"/>
      <w:r/>
      <w:bookmarkEnd w:id="24"/>
      <w:r>
        <w:rPr>
          <w:rFonts w:hint="eastAsia" w:ascii="方正黑体_GBK" w:hAnsi="方正黑体_GBK" w:eastAsia="方正黑体_GBK" w:cs="方正黑体_GBK"/>
          <w:color w:val="000000"/>
          <w:sz w:val="32"/>
          <w:szCs w:val="32"/>
        </w:rPr>
        <w:t xml:space="preserve">截止时间、开标时间和地点</w:t>
      </w:r>
      <w:bookmarkEnd w:id="25"/>
      <w:r/>
      <w:bookmarkEnd w:id="26"/>
      <w:r/>
      <w:bookmarkEnd w:id="27"/>
      <w:r/>
      <w:r/>
    </w:p>
    <w:p>
      <w:pPr>
        <w:ind w:firstLine="640"/>
        <w:spacing w:line="560" w:lineRule="exact"/>
        <w:rPr>
          <w:rFonts w:ascii="宋体" w:hAnsi="宋体"/>
          <w:bCs/>
          <w:color w:val="000000"/>
          <w:sz w:val="24"/>
          <w:szCs w:val="24"/>
          <w:u w:val="single"/>
        </w:rPr>
      </w:pPr>
      <w:r>
        <w:rPr>
          <w:rFonts w:hint="eastAsia" w:ascii="方正仿宋_GBK" w:hAnsi="方正仿宋_GBK" w:eastAsia="方正仿宋_GBK" w:cs="方正仿宋_GBK"/>
          <w:sz w:val="32"/>
          <w:szCs w:val="32"/>
        </w:rPr>
        <w:t xml:space="preserve">1.</w:t>
      </w:r>
      <w:r>
        <w:rPr>
          <w:rFonts w:hint="eastAsia" w:eastAsia="方正仿宋_GBK"/>
          <w:sz w:val="32"/>
          <w:szCs w:val="32"/>
        </w:rPr>
        <w:t xml:space="preserve">2026</w:t>
      </w:r>
      <w:r>
        <w:rPr>
          <w:rFonts w:hint="eastAsia" w:ascii="方正仿宋_GBK" w:hAnsi="方正仿宋_GBK" w:eastAsia="方正仿宋_GBK" w:cs="方正仿宋_GBK"/>
          <w:bCs/>
          <w:color w:val="000000"/>
          <w:sz w:val="32"/>
          <w:szCs w:val="32"/>
        </w:rPr>
        <w:t xml:space="preserve">年</w:t>
      </w:r>
      <w:r>
        <w:rPr>
          <w:rFonts w:hint="eastAsia" w:eastAsia="方正仿宋_GBK"/>
          <w:sz w:val="32"/>
          <w:szCs w:val="32"/>
        </w:rPr>
        <w:t xml:space="preserve">8</w:t>
      </w:r>
      <w:r>
        <w:rPr>
          <w:rFonts w:hint="eastAsia" w:ascii="方正仿宋_GBK" w:hAnsi="方正仿宋_GBK" w:eastAsia="方正仿宋_GBK" w:cs="方正仿宋_GBK"/>
          <w:bCs/>
          <w:color w:val="000000"/>
          <w:sz w:val="32"/>
          <w:szCs w:val="32"/>
        </w:rPr>
        <w:t xml:space="preserve">月</w:t>
      </w:r>
      <w:r>
        <w:rPr>
          <w:rFonts w:hint="eastAsia" w:ascii="方正仿宋_GBK" w:hAnsi="方正仿宋_GBK" w:eastAsia="方正仿宋_GBK" w:cs="方正仿宋_GBK"/>
          <w:bCs/>
          <w:color w:val="000000"/>
          <w:sz w:val="32"/>
          <w:szCs w:val="32"/>
        </w:rPr>
        <w:t xml:space="preserve">27</w:t>
      </w:r>
      <w:r>
        <w:rPr>
          <w:rFonts w:hint="eastAsia" w:ascii="方正仿宋_GBK" w:hAnsi="方正仿宋_GBK" w:eastAsia="方正仿宋_GBK" w:cs="方正仿宋_GBK"/>
          <w:bCs/>
          <w:color w:val="000000"/>
          <w:sz w:val="32"/>
          <w:szCs w:val="32"/>
        </w:rPr>
        <w:t xml:space="preserve">日</w:t>
      </w:r>
      <w:r>
        <w:rPr>
          <w:rFonts w:hint="eastAsia" w:eastAsia="方正仿宋_GBK"/>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sz w:val="32"/>
          <w:szCs w:val="32"/>
        </w:rPr>
        <w:t xml:space="preserve">30</w:t>
      </w:r>
      <w:r>
        <w:rPr>
          <w:rFonts w:hint="eastAsia" w:ascii="方正仿宋_GBK" w:hAnsi="方正仿宋_GBK" w:eastAsia="方正仿宋_GBK" w:cs="方正仿宋_GBK"/>
          <w:bCs/>
          <w:color w:val="000000"/>
          <w:sz w:val="32"/>
          <w:szCs w:val="32"/>
        </w:rPr>
        <w:t xml:space="preserve">分（北京时间）</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28" w:name="_Toc35393794"/>
      <w:r/>
      <w:bookmarkStart w:id="29" w:name="_Toc28359084"/>
      <w:r/>
      <w:bookmarkStart w:id="30" w:name="_Toc38985267"/>
      <w:r/>
      <w:bookmarkStart w:id="31" w:name="_Toc35393625"/>
      <w:r/>
      <w:bookmarkStart w:id="32" w:name="_Toc28359007"/>
      <w:r>
        <w:rPr>
          <w:rFonts w:hint="eastAsia" w:ascii="方正黑体_GBK" w:hAnsi="方正黑体_GBK" w:eastAsia="方正黑体_GBK" w:cs="方正黑体_GBK"/>
          <w:color w:val="000000"/>
          <w:sz w:val="32"/>
          <w:szCs w:val="32"/>
        </w:rPr>
        <w:t xml:space="preserve">五、公告期限</w:t>
      </w:r>
      <w:bookmarkEnd w:id="28"/>
      <w:r/>
      <w:bookmarkEnd w:id="29"/>
      <w:r/>
      <w:bookmarkEnd w:id="30"/>
      <w:r/>
      <w:bookmarkEnd w:id="31"/>
      <w:r/>
      <w:bookmarkEnd w:id="32"/>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bookmarkStart w:id="33" w:name="_Toc38985268"/>
      <w:r/>
      <w:bookmarkStart w:id="34" w:name="_Toc35393795"/>
      <w:r/>
      <w:bookmarkStart w:id="35" w:name="_Toc35393626"/>
      <w:r/>
      <w:r/>
    </w:p>
    <w:p>
      <w:pPr>
        <w:numPr>
          <w:ilvl w:val="0"/>
          <w:numId w:val="4"/>
        </w:numPr>
        <w:ind w:firstLine="640"/>
        <w:spacing w:line="5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其他补充事宜</w:t>
      </w:r>
      <w:bookmarkStart w:id="36" w:name="_Toc28359085"/>
      <w:r/>
      <w:bookmarkStart w:id="37" w:name="_Toc38985269"/>
      <w:r/>
      <w:bookmarkStart w:id="38" w:name="_Toc35393627"/>
      <w:r/>
      <w:bookmarkStart w:id="39" w:name="_Toc35393796"/>
      <w:r/>
      <w:bookmarkStart w:id="40" w:name="_Toc28359008"/>
      <w:r/>
      <w:bookmarkEnd w:id="33"/>
      <w:r/>
      <w:bookmarkEnd w:id="34"/>
      <w:r/>
      <w:bookmarkEnd w:id="35"/>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现场勘察：请各潜在投标人于2026年8</w:t>
      </w:r>
      <w:r>
        <w:rPr>
          <w:rFonts w:hint="eastAsia" w:ascii="方正仿宋_GBK" w:hAnsi="方正仿宋_GBK" w:eastAsia="方正仿宋_GBK" w:cs="方正仿宋_GBK"/>
          <w:sz w:val="32"/>
          <w:szCs w:val="32"/>
          <w:highlight w:val="white"/>
        </w:rPr>
        <w:t xml:space="preserve">月11日</w:t>
      </w:r>
      <w:r>
        <w:rPr>
          <w:rFonts w:hint="eastAsia" w:ascii="方正仿宋_GBK" w:hAnsi="方正仿宋_GBK" w:eastAsia="方正仿宋_GBK" w:cs="方正仿宋_GBK"/>
          <w:sz w:val="32"/>
          <w:szCs w:val="32"/>
        </w:rPr>
        <w:t xml:space="preserve">上午9</w:t>
      </w:r>
      <w:r>
        <w:rPr>
          <w:rFonts w:hint="eastAsia" w:ascii="方正仿宋_GBK" w:hAnsi="方正仿宋_GBK" w:eastAsia="方正仿宋_GBK" w:cs="方正仿宋_GBK"/>
          <w:sz w:val="32"/>
          <w:szCs w:val="32"/>
        </w:rPr>
        <w:t xml:space="preserve">：30</w:t>
      </w:r>
      <w:r>
        <w:rPr>
          <w:rFonts w:hint="eastAsia" w:ascii="方正仿宋_GBK" w:hAnsi="方正仿宋_GBK" w:eastAsia="方正仿宋_GBK" w:cs="方正仿宋_GBK"/>
          <w:sz w:val="32"/>
          <w:szCs w:val="32"/>
        </w:rPr>
        <w:t xml:space="preserve">前到达江苏开放大学桥林校区，上午9:30-11:00由采购人统一安排勘察项目现场。请供应商携带身份证按时参加。请对项目现场进行仔细认真地查勘，在随后的采购中，对现场资料和数据所作出的推论、解释和结论及由此造成的后果由供应商负责。</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sz w:val="32"/>
          <w:szCs w:val="32"/>
        </w:rPr>
        <w:t xml:space="preserve">集中地点：</w:t>
      </w:r>
      <w:r>
        <w:rPr>
          <w:rFonts w:hint="eastAsia" w:ascii="方正仿宋_GBK" w:hAnsi="方正仿宋_GBK" w:eastAsia="方正仿宋_GBK" w:cs="方正仿宋_GBK"/>
          <w:color w:val="000000"/>
          <w:sz w:val="32"/>
          <w:szCs w:val="32"/>
        </w:rPr>
        <w:t xml:space="preserve">南京市浦口区桥林街道</w:t>
      </w:r>
      <w:r/>
    </w:p>
    <w:p>
      <w:pPr>
        <w:ind w:firstLine="640"/>
        <w:jc w:val="left"/>
        <w:keepNext/>
        <w:spacing w:line="560" w:lineRule="exact"/>
        <w:rPr>
          <w:rFonts w:ascii="方正仿宋_GBK" w:hAnsi="方正仿宋_GBK" w:eastAsia="方正仿宋_GBK" w:cs="方正仿宋_GBK"/>
          <w:sz w:val="32"/>
          <w:szCs w:val="32"/>
        </w:rPr>
        <w:outlineLvl w:val="0"/>
      </w:pPr>
      <w:r>
        <w:rPr>
          <w:rFonts w:hint="eastAsia" w:ascii="方正仿宋_GBK" w:hAnsi="方正仿宋_GBK" w:eastAsia="方正仿宋_GBK" w:cs="方正仿宋_GBK"/>
          <w:sz w:val="32"/>
          <w:szCs w:val="32"/>
        </w:rPr>
        <w:t xml:space="preserve">勘察现场联系人：冯老师</w:t>
      </w:r>
      <w:r/>
    </w:p>
    <w:p>
      <w:pPr>
        <w:ind w:firstLine="640"/>
        <w:jc w:val="left"/>
        <w:keepNext/>
        <w:spacing w:line="560" w:lineRule="exact"/>
        <w:rPr>
          <w:rFonts w:ascii="方正仿宋_GBK" w:hAnsi="方正仿宋_GBK" w:eastAsia="方正仿宋_GBK" w:cs="方正仿宋_GBK"/>
          <w:sz w:val="32"/>
          <w:szCs w:val="32"/>
        </w:rPr>
        <w:outlineLvl w:val="0"/>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color w:val="000000"/>
          <w:sz w:val="32"/>
          <w:szCs w:val="32"/>
        </w:rPr>
        <w:t xml:space="preserve">025-86265423</w:t>
      </w:r>
      <w:r>
        <w:rPr>
          <w:rFonts w:hint="eastAsia" w:ascii="方正仿宋_GBK" w:hAnsi="方正仿宋_GBK" w:eastAsia="方正仿宋_GBK" w:cs="方正仿宋_GBK"/>
          <w:sz w:val="32"/>
          <w:szCs w:val="32"/>
        </w:rPr>
        <w:t xml:space="preserve">。</w:t>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七、本次招标联系方式</w:t>
      </w:r>
      <w:bookmarkEnd w:id="36"/>
      <w:r/>
      <w:bookmarkEnd w:id="37"/>
      <w:r/>
      <w:bookmarkEnd w:id="38"/>
      <w:r/>
      <w:bookmarkEnd w:id="39"/>
      <w:r/>
      <w:bookmarkEnd w:id="40"/>
      <w:r/>
      <w:r/>
    </w:p>
    <w:p>
      <w:pPr>
        <w:jc w:val="left"/>
        <w:spacing w:line="560" w:lineRule="exact"/>
        <w:widowControl/>
        <w:rPr>
          <w:rFonts w:ascii="方正仿宋_GBK" w:hAnsi="方正仿宋_GBK" w:eastAsia="方正仿宋_GBK" w:cs="方正仿宋_GBK"/>
          <w:color w:val="000000"/>
          <w:sz w:val="32"/>
          <w:szCs w:val="32"/>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32"/>
          <w:szCs w:val="32"/>
        </w:rPr>
        <w:t xml:space="preserve">1.采购人信息</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名 称：</w:t>
      </w:r>
      <w:r>
        <w:rPr>
          <w:rFonts w:hint="eastAsia" w:ascii="方正仿宋_GBK" w:hAnsi="方正仿宋_GBK" w:eastAsia="方正仿宋_GBK" w:cs="方正仿宋_GBK"/>
          <w:color w:val="000000"/>
          <w:sz w:val="32"/>
          <w:szCs w:val="32"/>
          <w:u w:val="single"/>
        </w:rPr>
        <w:t xml:space="preserve">　江苏开放大学　　</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　南京市江东北路399号　</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ascii="方正仿宋_GBK" w:hAnsi="方正仿宋_GBK" w:eastAsia="方正仿宋_GBK" w:cs="方正仿宋_GBK"/>
          <w:color w:val="000000"/>
          <w:sz w:val="32"/>
          <w:szCs w:val="32"/>
          <w:u w:val="single"/>
        </w:rPr>
        <w:tab/>
      </w:r>
      <w:r>
        <w:rPr>
          <w:rFonts w:hint="eastAsia" w:ascii="方正仿宋_GBK" w:hAnsi="方正仿宋_GBK" w:eastAsia="方正仿宋_GBK" w:cs="方正仿宋_GBK"/>
          <w:color w:val="000000"/>
          <w:sz w:val="32"/>
          <w:szCs w:val="32"/>
          <w:u w:val="single"/>
        </w:rPr>
        <w:t xml:space="preserve">吕老师    </w:t>
      </w:r>
      <w:r/>
    </w:p>
    <w:p>
      <w:pPr>
        <w:ind w:firstLine="640"/>
        <w:jc w:val="left"/>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　　025-86265605　</w:t>
      </w:r>
      <w:bookmarkStart w:id="41" w:name="_Toc28359009"/>
      <w:r/>
      <w:bookmarkStart w:id="42" w:name="_Toc28359086"/>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2.江苏省政府采购中心信息</w:t>
      </w:r>
      <w:bookmarkEnd w:id="41"/>
      <w:r/>
      <w:bookmarkEnd w:id="42"/>
      <w:r/>
      <w:r/>
    </w:p>
    <w:p>
      <w:pPr>
        <w:ind w:firstLine="640"/>
        <w:jc w:val="left"/>
        <w:keepNext/>
        <w:spacing w:line="560" w:lineRule="exact"/>
        <w:rPr>
          <w:rFonts w:ascii="方正仿宋_GBK" w:hAnsi="方正仿宋_GBK" w:eastAsia="方正仿宋_GBK" w:cs="方正仿宋_GBK"/>
          <w:color w:val="000000"/>
          <w:sz w:val="32"/>
          <w:szCs w:val="32"/>
        </w:rPr>
        <w:outlineLvl w:val="0"/>
      </w:pPr>
      <w:r/>
      <w:bookmarkStart w:id="43" w:name="_Toc28359010"/>
      <w:r/>
      <w:bookmarkStart w:id="44" w:name="_Toc28359087"/>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南京市汉中门大街145号省政务服务中心二期3楼南区</w:t>
      </w:r>
      <w:r/>
    </w:p>
    <w:p>
      <w:pPr>
        <w:ind w:firstLine="640"/>
        <w:jc w:val="left"/>
        <w:keepNext/>
        <w:spacing w:line="560" w:lineRule="exact"/>
        <w:rPr>
          <w:rFonts w:ascii="方正仿宋_GBK" w:hAnsi="方正仿宋_GBK" w:eastAsia="方正仿宋_GBK" w:cs="方正仿宋_GBK"/>
          <w:color w:val="000000"/>
          <w:sz w:val="32"/>
          <w:szCs w:val="32"/>
          <w:u w:val="single"/>
        </w:rPr>
        <w:outlineLvl w:val="0"/>
      </w:pPr>
      <w:r>
        <w:rPr>
          <w:rFonts w:hint="eastAsia" w:ascii="方正仿宋_GBK" w:hAnsi="方正仿宋_GBK" w:eastAsia="方正仿宋_GBK" w:cs="方正仿宋_GBK"/>
          <w:color w:val="000000"/>
          <w:sz w:val="32"/>
          <w:szCs w:val="32"/>
        </w:rPr>
        <w:t xml:space="preserve">联系人： </w:t>
      </w:r>
      <w:r>
        <w:rPr>
          <w:rFonts w:hint="eastAsia" w:ascii="方正仿宋_GBK" w:hAnsi="方正仿宋_GBK" w:eastAsia="方正仿宋_GBK" w:cs="方正仿宋_GBK"/>
          <w:color w:val="000000"/>
          <w:sz w:val="32"/>
          <w:szCs w:val="32"/>
          <w:u w:val="single"/>
        </w:rPr>
        <w:t xml:space="preserve"> 张文怡、王烨</w:t>
      </w:r>
      <w:r/>
    </w:p>
    <w:p>
      <w:pPr>
        <w:ind w:firstLine="640"/>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bookmarkEnd w:id="43"/>
      <w:r/>
      <w:bookmarkEnd w:id="44"/>
      <w:r>
        <w:rPr>
          <w:rFonts w:hint="eastAsia" w:ascii="方正仿宋_GBK" w:hAnsi="方正仿宋_GBK" w:eastAsia="方正仿宋_GBK" w:cs="方正仿宋_GBK"/>
          <w:color w:val="000000"/>
          <w:sz w:val="32"/>
          <w:szCs w:val="32"/>
          <w:u w:val="single"/>
        </w:rPr>
        <w:t xml:space="preserve">025-83668505、83668550</w:t>
      </w:r>
      <w:r/>
    </w:p>
    <w:p>
      <w:pPr>
        <w:ind w:firstLine="640"/>
        <w:jc w:val="left"/>
        <w:keepNext/>
        <w:spacing w:line="5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八、其他</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根据省财政厅《关于更换全省政府采购交易系统CA数字证书和电子签章的通知》（苏财购〔2023〕101号），</w:t>
      </w:r>
      <w:r>
        <w:rPr>
          <w:rFonts w:hint="eastAsia" w:ascii="方正仿宋_GBK" w:hAnsi="方正仿宋_GBK" w:eastAsia="方正仿宋_GBK" w:cs="方正仿宋_GBK"/>
          <w:sz w:val="32"/>
          <w:szCs w:val="32"/>
        </w:rPr>
        <w:t xml:space="preserve">“苏采云”政府采购交易系统（以下简称苏采云系统）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sz w:val="32"/>
          <w:szCs w:val="32"/>
        </w:rPr>
        <w:t xml:space="preserve">http://www.ccgp-jiangsu.gov.cn/jiangsu/zlxz/ee/ee3a4bc5a3454aa2b0d9312230633ce9.html</w:t>
      </w:r>
      <w:r>
        <w:rPr>
          <w:rFonts w:hint="eastAsia" w:eastAsia="方正仿宋_GBK"/>
          <w:sz w:val="32"/>
          <w:szCs w:val="32"/>
        </w:rPr>
        <w:t xml:space="preserve">。</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p>
    <w:p>
      <w:pPr>
        <w:ind w:right="840"/>
        <w:rPr>
          <w:rFonts w:ascii="宋体" w:hAnsi="宋体"/>
          <w:color w:val="000000"/>
          <w:sz w:val="24"/>
          <w:szCs w:val="24"/>
        </w:rPr>
      </w:pPr>
      <w:r>
        <w:rPr>
          <w:rFonts w:ascii="宋体" w:hAnsi="宋体"/>
          <w:color w:val="000000"/>
          <w:sz w:val="24"/>
          <w:szCs w:val="24"/>
        </w:rPr>
      </w:r>
      <w:r/>
    </w:p>
    <w:p>
      <w:pPr>
        <w:jc w:val="center"/>
        <w:keepNext/>
        <w:spacing w:line="660" w:lineRule="exact"/>
        <w:rPr>
          <w:rFonts w:ascii="方正黑体_GBK" w:hAnsi="方正黑体_GBK" w:eastAsia="方正黑体_GBK" w:cs="方正黑体_GBK"/>
          <w:color w:val="000000"/>
          <w:sz w:val="32"/>
          <w:szCs w:val="32"/>
        </w:rPr>
        <w:outlineLvl w:val="0"/>
      </w:pPr>
      <w:r/>
      <w:bookmarkStart w:id="45" w:name="_Toc120614211"/>
      <w:r>
        <w:rPr>
          <w:rFonts w:hint="eastAsia" w:ascii="方正黑体_GBK" w:hAnsi="方正黑体_GBK" w:eastAsia="方正黑体_GBK" w:cs="方正黑体_GBK"/>
          <w:color w:val="000000"/>
          <w:sz w:val="32"/>
          <w:szCs w:val="32"/>
        </w:rPr>
        <w:br w:type="page" w:clear="all"/>
        <w:t xml:space="preserve">第二章  </w:t>
      </w:r>
      <w:bookmarkStart w:id="46" w:name="_Toc20823274"/>
      <w:r/>
      <w:bookmarkStart w:id="47" w:name="_Toc513029202"/>
      <w:r/>
      <w:bookmarkStart w:id="48" w:name="_Toc120614213"/>
      <w:r/>
      <w:bookmarkStart w:id="49" w:name="_Toc16938518"/>
      <w:r/>
      <w:bookmarkEnd w:id="1"/>
      <w:r/>
      <w:bookmarkEnd w:id="2"/>
      <w:r/>
      <w:bookmarkEnd w:id="3"/>
      <w:r/>
      <w:bookmarkEnd w:id="4"/>
      <w:r/>
      <w:bookmarkEnd w:id="5"/>
      <w:r/>
      <w:bookmarkEnd w:id="45"/>
      <w:r>
        <w:rPr>
          <w:rFonts w:hint="eastAsia" w:ascii="方正黑体_GBK" w:hAnsi="方正黑体_GBK" w:eastAsia="方正黑体_GBK" w:cs="方正黑体_GBK"/>
          <w:color w:val="000000"/>
          <w:sz w:val="32"/>
          <w:szCs w:val="32"/>
        </w:rPr>
        <w:t xml:space="preserve">投标人须知</w:t>
      </w:r>
      <w:bookmarkEnd w:id="46"/>
      <w:r/>
      <w:bookmarkEnd w:id="47"/>
      <w:r/>
      <w:bookmarkEnd w:id="48"/>
      <w:r/>
      <w:bookmarkEnd w:id="49"/>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50" w:name="_Toc513029203"/>
      <w:r/>
      <w:bookmarkStart w:id="51" w:name="_Toc16938519"/>
      <w:r/>
      <w:bookmarkStart w:id="52" w:name="_Toc120614214"/>
      <w:r/>
      <w:bookmarkStart w:id="53" w:name="_Toc20823275"/>
      <w:r>
        <w:rPr>
          <w:rFonts w:hint="eastAsia" w:ascii="方正黑体_GBK" w:hAnsi="方正黑体_GBK" w:eastAsia="方正黑体_GBK" w:cs="方正黑体_GBK"/>
          <w:color w:val="000000"/>
          <w:sz w:val="32"/>
          <w:szCs w:val="32"/>
        </w:rPr>
        <w:t xml:space="preserve">一、总则</w:t>
      </w:r>
      <w:bookmarkEnd w:id="50"/>
      <w:r/>
      <w:bookmarkEnd w:id="51"/>
      <w:r/>
      <w:bookmarkEnd w:id="52"/>
      <w:r/>
      <w:bookmarkEnd w:id="53"/>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54" w:name="_Hlt16619475"/>
      <w:r/>
      <w:bookmarkStart w:id="55" w:name="_Toc458694821"/>
      <w:r/>
      <w:bookmarkStart w:id="56" w:name="_Toc513029204"/>
      <w:r/>
      <w:bookmarkStart w:id="57" w:name="_Toc20823276"/>
      <w:r/>
      <w:bookmarkStart w:id="58" w:name="_Toc16938520"/>
      <w:r/>
      <w:bookmarkEnd w:id="54"/>
      <w:r>
        <w:rPr>
          <w:rFonts w:hint="eastAsia" w:ascii="方正仿宋_GBK" w:hAnsi="方正仿宋_GBK" w:eastAsia="方正仿宋_GBK" w:cs="方正仿宋_GBK"/>
          <w:bCs/>
          <w:sz w:val="32"/>
          <w:szCs w:val="32"/>
        </w:rPr>
        <w:t xml:space="preserve">1</w:t>
      </w:r>
      <w:bookmarkEnd w:id="55"/>
      <w:r>
        <w:rPr>
          <w:rFonts w:hint="eastAsia" w:ascii="方正仿宋_GBK" w:hAnsi="方正仿宋_GBK" w:eastAsia="方正仿宋_GBK" w:cs="方正仿宋_GBK"/>
          <w:bCs/>
          <w:sz w:val="32"/>
          <w:szCs w:val="32"/>
        </w:rPr>
        <w:t xml:space="preserve">.招标方式</w:t>
      </w:r>
      <w:bookmarkEnd w:id="56"/>
      <w:r/>
      <w:bookmarkEnd w:id="57"/>
      <w:r/>
      <w:bookmarkEnd w:id="58"/>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59" w:name="_Toc16938521"/>
      <w:r/>
      <w:bookmarkStart w:id="60" w:name="_Toc513029205"/>
      <w:r/>
      <w:bookmarkStart w:id="61" w:name="_Toc20823277"/>
      <w:r>
        <w:rPr>
          <w:rFonts w:hint="eastAsia" w:ascii="方正仿宋_GBK" w:hAnsi="方正仿宋_GBK" w:eastAsia="方正仿宋_GBK" w:cs="方正仿宋_GBK"/>
          <w:bCs/>
          <w:sz w:val="32"/>
          <w:szCs w:val="32"/>
        </w:rPr>
        <w:t xml:space="preserve">2.合格的投标人</w:t>
      </w:r>
      <w:bookmarkEnd w:id="59"/>
      <w:r/>
      <w:bookmarkEnd w:id="60"/>
      <w:r/>
      <w:bookmarkEnd w:id="61"/>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62" w:name="_Toc513029206"/>
      <w:r/>
      <w:bookmarkStart w:id="63" w:name="_Toc20823278"/>
      <w:r/>
      <w:bookmarkStart w:id="64" w:name="_Toc16938522"/>
      <w:r>
        <w:rPr>
          <w:rFonts w:hint="eastAsia" w:ascii="方正仿宋_GBK" w:hAnsi="方正仿宋_GBK" w:eastAsia="方正仿宋_GBK" w:cs="方正仿宋_GBK"/>
          <w:bCs/>
          <w:sz w:val="32"/>
          <w:szCs w:val="32"/>
        </w:rPr>
        <w:t xml:space="preserve">3.适用法律</w:t>
      </w:r>
      <w:bookmarkEnd w:id="62"/>
      <w:r/>
      <w:bookmarkEnd w:id="63"/>
      <w:r/>
      <w:bookmarkEnd w:id="64"/>
      <w:r>
        <w:rPr>
          <w:rFonts w:hint="eastAsia" w:ascii="方正仿宋_GBK" w:hAnsi="方正仿宋_GBK" w:eastAsia="方正仿宋_GBK" w:cs="方正仿宋_GBK"/>
          <w:bCs/>
          <w:sz w:val="32"/>
          <w:szCs w:val="32"/>
        </w:rPr>
        <w:t xml:space="preserve">和标准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65" w:name="_Toc513029207"/>
      <w:r/>
      <w:bookmarkStart w:id="66" w:name="_Toc462564067"/>
      <w:r/>
      <w:bookmarkStart w:id="67" w:name="_Toc20823279"/>
      <w:r/>
      <w:bookmarkStart w:id="68" w:name="_Toc16938523"/>
      <w:r>
        <w:rPr>
          <w:rFonts w:hint="eastAsia" w:ascii="方正仿宋_GBK" w:hAnsi="方正仿宋_GBK" w:eastAsia="方正仿宋_GBK" w:cs="方正仿宋_GBK"/>
          <w:bCs/>
          <w:sz w:val="32"/>
          <w:szCs w:val="32"/>
        </w:rPr>
        <w:t xml:space="preserve">4.投标费用</w:t>
      </w:r>
      <w:bookmarkEnd w:id="65"/>
      <w:r/>
      <w:bookmarkEnd w:id="66"/>
      <w:r/>
      <w:bookmarkEnd w:id="67"/>
      <w:r/>
      <w:bookmarkEnd w:id="68"/>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69" w:name="_Toc20823281"/>
      <w:r/>
      <w:bookmarkStart w:id="70" w:name="_Toc513029209"/>
      <w:r/>
      <w:bookmarkStart w:id="71" w:name="_Toc16938525"/>
      <w:r/>
      <w:bookmarkStart w:id="72" w:name="_Toc120614215"/>
      <w:r>
        <w:rPr>
          <w:rFonts w:hint="eastAsia" w:ascii="方正黑体_GBK" w:hAnsi="方正黑体_GBK" w:eastAsia="方正黑体_GBK" w:cs="方正黑体_GBK"/>
          <w:color w:val="000000"/>
          <w:sz w:val="32"/>
          <w:szCs w:val="32"/>
        </w:rPr>
        <w:t xml:space="preserve">二、招标文件</w:t>
      </w:r>
      <w:bookmarkEnd w:id="69"/>
      <w:r/>
      <w:bookmarkEnd w:id="70"/>
      <w:r/>
      <w:bookmarkEnd w:id="71"/>
      <w:r/>
      <w:bookmarkEnd w:id="72"/>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73" w:name="_Toc513029210"/>
      <w:r/>
      <w:bookmarkStart w:id="74" w:name="_Toc16938526"/>
      <w:r/>
      <w:bookmarkStart w:id="75" w:name="_Toc20823282"/>
      <w:r>
        <w:rPr>
          <w:rFonts w:hint="eastAsia" w:ascii="方正仿宋_GBK" w:hAnsi="方正仿宋_GBK" w:eastAsia="方正仿宋_GBK" w:cs="方正仿宋_GBK"/>
          <w:bCs/>
          <w:sz w:val="32"/>
          <w:szCs w:val="32"/>
        </w:rPr>
        <w:t xml:space="preserve">6.招标文件构成</w:t>
      </w:r>
      <w:bookmarkEnd w:id="73"/>
      <w:r/>
      <w:bookmarkEnd w:id="74"/>
      <w:r/>
      <w:bookmarkEnd w:id="75"/>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请仔细检查招标文件是否齐全，如有缺漏请立即与采购中心联系解决。</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76" w:name="_Toc20823284"/>
      <w:r/>
      <w:bookmarkStart w:id="77" w:name="_Toc513029212"/>
      <w:r/>
      <w:bookmarkStart w:id="78" w:name="_Toc462564071"/>
      <w:r/>
      <w:bookmarkStart w:id="79" w:name="_Toc16938528"/>
      <w:r>
        <w:rPr>
          <w:rFonts w:hint="eastAsia" w:ascii="方正仿宋_GBK" w:hAnsi="方正仿宋_GBK" w:eastAsia="方正仿宋_GBK" w:cs="方正仿宋_GBK"/>
          <w:bCs/>
          <w:sz w:val="32"/>
          <w:szCs w:val="32"/>
        </w:rPr>
        <w:t xml:space="preserve">7.招标文件的修改</w:t>
      </w:r>
      <w:bookmarkEnd w:id="76"/>
      <w:r/>
      <w:bookmarkEnd w:id="77"/>
      <w:r/>
      <w:bookmarkEnd w:id="78"/>
      <w:r/>
      <w:bookmarkEnd w:id="79"/>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80" w:name="_Toc120614216"/>
      <w:r/>
      <w:bookmarkStart w:id="81" w:name="_Toc16938529"/>
      <w:r/>
      <w:bookmarkStart w:id="82" w:name="_Toc20823285"/>
      <w:r/>
      <w:bookmarkStart w:id="83" w:name="_Toc462564072"/>
      <w:r/>
      <w:bookmarkStart w:id="84" w:name="_Toc513029213"/>
      <w:r>
        <w:rPr>
          <w:rFonts w:hint="eastAsia" w:ascii="方正黑体_GBK" w:hAnsi="方正黑体_GBK" w:eastAsia="方正黑体_GBK" w:cs="方正黑体_GBK"/>
          <w:color w:val="000000"/>
          <w:sz w:val="32"/>
          <w:szCs w:val="32"/>
        </w:rPr>
        <w:t xml:space="preserve">三、投标文件的编制</w:t>
      </w:r>
      <w:bookmarkEnd w:id="80"/>
      <w:r/>
      <w:bookmarkEnd w:id="81"/>
      <w:r/>
      <w:bookmarkEnd w:id="82"/>
      <w:r/>
      <w:bookmarkEnd w:id="83"/>
      <w:r/>
      <w:bookmarkEnd w:id="84"/>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85" w:name="_Toc513029214"/>
      <w:r/>
      <w:bookmarkStart w:id="86" w:name="_Toc16938530"/>
      <w:r/>
      <w:bookmarkStart w:id="87" w:name="_Toc462564073"/>
      <w:r/>
      <w:bookmarkStart w:id="88" w:name="_Toc20823286"/>
      <w:r>
        <w:rPr>
          <w:rFonts w:hint="eastAsia" w:ascii="方正仿宋_GBK" w:hAnsi="方正仿宋_GBK" w:eastAsia="方正仿宋_GBK" w:cs="方正仿宋_GBK"/>
          <w:bCs/>
          <w:sz w:val="32"/>
          <w:szCs w:val="32"/>
        </w:rPr>
        <w:t xml:space="preserve">8.投标文件的语言及度量衡单位</w:t>
      </w:r>
      <w:bookmarkEnd w:id="85"/>
      <w:r/>
      <w:bookmarkEnd w:id="86"/>
      <w:r/>
      <w:bookmarkEnd w:id="87"/>
      <w:r/>
      <w:bookmarkEnd w:id="88"/>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 投标人提交的投标文件以及投标人与采购中心就有关投标的所有来往通知、函件和文件均应使用简体中文。</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8.2 除技术性能另有规定外，投标文件所使用的度量衡单位，均须采用国家法定计量单位。</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89" w:name="_Toc513029215"/>
      <w:r/>
      <w:bookmarkStart w:id="90" w:name="_Toc462564074"/>
      <w:r/>
      <w:bookmarkStart w:id="91" w:name="_Toc16938531"/>
      <w:r/>
      <w:bookmarkStart w:id="92" w:name="_Toc20823287"/>
      <w:r>
        <w:rPr>
          <w:rFonts w:hint="eastAsia" w:ascii="方正仿宋_GBK" w:hAnsi="方正仿宋_GBK" w:eastAsia="方正仿宋_GBK" w:cs="方正仿宋_GBK"/>
          <w:bCs/>
          <w:sz w:val="32"/>
          <w:szCs w:val="32"/>
        </w:rPr>
        <w:t xml:space="preserve">9.投标文件构成</w:t>
      </w:r>
      <w:bookmarkEnd w:id="89"/>
      <w:r/>
      <w:bookmarkEnd w:id="90"/>
      <w:r/>
      <w:bookmarkEnd w:id="91"/>
      <w:r/>
      <w:bookmarkEnd w:id="92"/>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9.2 如标书制作工具中格式和内容与“江苏政府采购网”发布的招标文件不一致，请以“江苏政府采购网”发布的招标文件为准。</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93" w:name="_Hlt26668975"/>
      <w:r/>
      <w:bookmarkStart w:id="94" w:name="_Hlt26670360"/>
      <w:r/>
      <w:bookmarkStart w:id="95" w:name="_Hlt26954838"/>
      <w:r/>
      <w:bookmarkStart w:id="96" w:name="_Toc14577357"/>
      <w:r/>
      <w:bookmarkStart w:id="97" w:name="_Toc49090507"/>
      <w:r/>
      <w:bookmarkStart w:id="98" w:name="_Toc513029216"/>
      <w:r/>
      <w:bookmarkStart w:id="99" w:name="_Toc513029219"/>
      <w:r/>
      <w:bookmarkStart w:id="100" w:name="_Toc14577354"/>
      <w:r/>
      <w:bookmarkStart w:id="101" w:name="_Toc49090509"/>
      <w:r/>
      <w:bookmarkStart w:id="102" w:name="_Toc49090508"/>
      <w:r/>
      <w:bookmarkStart w:id="103" w:name="_Toc14577355"/>
      <w:r/>
      <w:bookmarkEnd w:id="93"/>
      <w:r/>
      <w:bookmarkEnd w:id="94"/>
      <w:r/>
      <w:bookmarkEnd w:id="95"/>
      <w:r>
        <w:rPr>
          <w:rFonts w:hint="eastAsia" w:ascii="方正仿宋_GBK" w:hAnsi="方正仿宋_GBK" w:eastAsia="方正仿宋_GBK" w:cs="方正仿宋_GBK"/>
          <w:bCs/>
          <w:sz w:val="32"/>
          <w:szCs w:val="32"/>
        </w:rPr>
        <w:t xml:space="preserve">10.证明投标人及投标标的符合招标文件规定的文件</w:t>
      </w:r>
      <w:bookmarkEnd w:id="96"/>
      <w:r/>
      <w:bookmarkEnd w:id="97"/>
      <w:r/>
      <w:bookmarkEnd w:id="98"/>
      <w:r/>
      <w:bookmarkEnd w:id="99"/>
      <w:r/>
      <w:bookmarkEnd w:id="100"/>
      <w:r/>
      <w:bookmarkEnd w:id="101"/>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10.1 投标人应按照招标文件要求提交证明文件，证明其及投标标的符合招标文件规定。</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10.2招标文件对证明文件无明确形式要求的，证明文件可以以文字资料、图纸和数据等形式提交。</w:t>
      </w:r>
      <w:bookmarkEnd w:id="102"/>
      <w:r/>
      <w:bookmarkEnd w:id="103"/>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11.投标分项报价表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 投</w:t>
      </w:r>
      <w:bookmarkStart w:id="104" w:name="_Hlt26954840"/>
      <w:r/>
      <w:bookmarkEnd w:id="104"/>
      <w:r>
        <w:rPr>
          <w:rFonts w:hint="eastAsia" w:ascii="方正仿宋_GBK" w:hAnsi="方正仿宋_GBK" w:eastAsia="方正仿宋_GBK" w:cs="方正仿宋_GBK"/>
          <w:bCs/>
          <w:sz w:val="32"/>
          <w:szCs w:val="32"/>
        </w:rPr>
        <w:t xml:space="preserve">标人按照招标文件规定格式填报投标分项报价表</w:t>
      </w:r>
      <w:bookmarkStart w:id="105" w:name="_Hlt26670399"/>
      <w:r/>
      <w:bookmarkEnd w:id="105"/>
      <w:r>
        <w:rPr>
          <w:rFonts w:hint="eastAsia" w:ascii="方正仿宋_GBK" w:hAnsi="方正仿宋_GBK" w:eastAsia="方正仿宋_GBK" w:cs="方正仿宋_GBK"/>
          <w:bCs/>
          <w:sz w:val="32"/>
          <w:szCs w:val="32"/>
        </w:rPr>
        <w:t xml:space="preserve">。</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11.2投标货币。投标文件中的单价和总价无特殊规定的采用人民币报价，以元为单位标注。招标文件中另有规定的按规定执行。</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06" w:name="_Hlt26670486"/>
      <w:r/>
      <w:bookmarkStart w:id="107" w:name="_Hlt26954846"/>
      <w:r/>
      <w:bookmarkStart w:id="108" w:name="_Hlt26954848"/>
      <w:r/>
      <w:bookmarkStart w:id="109" w:name="_Hlt26954731"/>
      <w:r/>
      <w:bookmarkStart w:id="110" w:name="_Hlt26670482"/>
      <w:r/>
      <w:bookmarkEnd w:id="106"/>
      <w:r/>
      <w:bookmarkEnd w:id="107"/>
      <w:r/>
      <w:bookmarkEnd w:id="108"/>
      <w:r/>
      <w:bookmarkEnd w:id="109"/>
      <w:r/>
      <w:bookmarkEnd w:id="110"/>
      <w:r>
        <w:rPr>
          <w:rFonts w:hint="eastAsia" w:ascii="方正仿宋_GBK" w:hAnsi="方正仿宋_GBK" w:eastAsia="方正仿宋_GBK" w:cs="方正仿宋_GBK"/>
          <w:bCs/>
          <w:sz w:val="32"/>
          <w:szCs w:val="32"/>
        </w:rPr>
        <w:t xml:space="preserve">12.技术要求响应及偏离表、商务要求响应及偏离表</w:t>
      </w:r>
      <w:r/>
    </w:p>
    <w:p>
      <w:pPr>
        <w:ind w:firstLine="640"/>
        <w:spacing w:line="560" w:lineRule="exact"/>
        <w:tabs>
          <w:tab w:val="left" w:pos="900" w:leader="none"/>
        </w:tabs>
        <w:rPr>
          <w:rFonts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12.1 投标人需对招标文件中的技术要求与商务要求逐项作出响应或偏离，并说明原因。</w:t>
      </w:r>
      <w:r/>
    </w:p>
    <w:p>
      <w:pPr>
        <w:ind w:firstLine="640"/>
        <w:spacing w:line="560" w:lineRule="exact"/>
        <w:tabs>
          <w:tab w:val="left" w:pos="900" w:leader="none"/>
        </w:tabs>
        <w:rPr>
          <w:rFonts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12.2 投标人需按照招标文件要求，在投标文件中提供与技术要求和商务要求相关的证明材料。</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13.服务承诺、培训计划、人员安排及其他</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13.1 投标人需根据招标文件要求提供有关售后服务的管理制度，售后服务机构的分布情况，售后服务人员的数量、素质、技术水平及售后服务的反应能力等。</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13.2 投标人需根据招标文件要求提供培训计划。</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13.3 投标人需根据招标文件要求提供</w:t>
      </w:r>
      <w:r>
        <w:rPr>
          <w:rFonts w:hint="eastAsia" w:ascii="方正仿宋_GBK" w:hAnsi="方正仿宋_GBK" w:eastAsia="方正仿宋_GBK" w:cs="方正仿宋_GBK"/>
          <w:bCs/>
          <w:sz w:val="32"/>
          <w:szCs w:val="32"/>
          <w:lang w:val="zh-CN"/>
        </w:rPr>
        <w:t xml:space="preserve">所投标的的主要组成部分、功能设计、实现思路及关键技术等。</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11" w:name="_Toc14577359"/>
      <w:r/>
      <w:bookmarkStart w:id="112" w:name="_Toc49090510"/>
      <w:r>
        <w:rPr>
          <w:rFonts w:hint="eastAsia" w:ascii="方正仿宋_GBK" w:hAnsi="方正仿宋_GBK" w:eastAsia="方正仿宋_GBK" w:cs="方正仿宋_GBK"/>
          <w:bCs/>
          <w:sz w:val="32"/>
          <w:szCs w:val="32"/>
        </w:rPr>
        <w:t xml:space="preserve">14.投标函和开标一览表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14.1 投标人应按照招标文件中提供的格式完整、正确填写投标函、开标一览表。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14.2 对于采用货币报价的项目，开标一览表中的投标总报价应与投标分项报价表中的投标总报价一致，如不一致，不作为无效投标处理，但评标时按开标一览表中价格为准。</w:t>
      </w:r>
      <w:bookmarkEnd w:id="111"/>
      <w:r/>
      <w:bookmarkEnd w:id="112"/>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13" w:name="_Toc14577360"/>
      <w:r/>
      <w:bookmarkStart w:id="114" w:name="_Toc49090511"/>
      <w:r>
        <w:rPr>
          <w:rFonts w:hint="eastAsia" w:ascii="方正仿宋_GBK" w:hAnsi="方正仿宋_GBK" w:eastAsia="方正仿宋_GBK" w:cs="方正仿宋_GBK"/>
          <w:bCs/>
          <w:sz w:val="32"/>
          <w:szCs w:val="32"/>
        </w:rPr>
        <w:t xml:space="preserve">15.投标有效期</w:t>
      </w:r>
      <w:bookmarkEnd w:id="113"/>
      <w:r/>
      <w:bookmarkEnd w:id="114"/>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15.1投标有效期为采购中心规定的开标之日后六十（60）天。投标有效期比规定短的将被视为未实质性响应招标文件而予以拒绝。</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16.投标有效期的延长</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15" w:name="_Hlt26954852"/>
      <w:r/>
      <w:bookmarkStart w:id="116" w:name="_Hlt26954739"/>
      <w:r/>
      <w:bookmarkStart w:id="117" w:name="_Toc16938540"/>
      <w:r/>
      <w:bookmarkStart w:id="118" w:name="_Toc513029224"/>
      <w:r/>
      <w:bookmarkStart w:id="119" w:name="_Toc120614217"/>
      <w:r/>
      <w:bookmarkStart w:id="120" w:name="_Toc20823296"/>
      <w:r/>
      <w:bookmarkEnd w:id="115"/>
      <w:r/>
      <w:bookmarkEnd w:id="116"/>
      <w:r>
        <w:rPr>
          <w:rFonts w:hint="eastAsia" w:ascii="方正黑体_GBK" w:hAnsi="方正黑体_GBK" w:eastAsia="方正黑体_GBK" w:cs="方正黑体_GBK"/>
          <w:color w:val="000000"/>
          <w:sz w:val="32"/>
          <w:szCs w:val="32"/>
        </w:rPr>
        <w:t xml:space="preserve">四、投标文件的递交</w:t>
      </w:r>
      <w:bookmarkEnd w:id="117"/>
      <w:r/>
      <w:bookmarkEnd w:id="118"/>
      <w:r/>
      <w:bookmarkEnd w:id="119"/>
      <w:r/>
      <w:bookmarkEnd w:id="120"/>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21" w:name="_Toc20823297"/>
      <w:r/>
      <w:bookmarkStart w:id="122" w:name="_Toc513029225"/>
      <w:r/>
      <w:bookmarkStart w:id="123" w:name="_Toc16938541"/>
      <w:r/>
      <w:bookmarkStart w:id="124" w:name="_Toc462564084"/>
      <w:r>
        <w:rPr>
          <w:rFonts w:hint="eastAsia" w:ascii="方正仿宋_GBK" w:hAnsi="方正仿宋_GBK" w:eastAsia="方正仿宋_GBK" w:cs="方正仿宋_GBK"/>
          <w:bCs/>
          <w:sz w:val="32"/>
          <w:szCs w:val="32"/>
        </w:rPr>
        <w:t xml:space="preserve">17.电子投标文件</w:t>
      </w:r>
      <w:bookmarkEnd w:id="121"/>
      <w:r/>
      <w:bookmarkEnd w:id="122"/>
      <w:r/>
      <w:bookmarkEnd w:id="123"/>
      <w:r/>
      <w:bookmarkEnd w:id="124"/>
      <w:r>
        <w:rPr>
          <w:rFonts w:hint="eastAsia" w:ascii="方正仿宋_GBK" w:hAnsi="方正仿宋_GBK" w:eastAsia="方正仿宋_GBK" w:cs="方正仿宋_GBK"/>
          <w:bCs/>
          <w:sz w:val="32"/>
          <w:szCs w:val="32"/>
        </w:rPr>
        <w:t xml:space="preserve">的递交</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17.1投标人应当按照《操作手册》规定，在投标截止时间前制作并上传电子投标文件。</w:t>
      </w:r>
      <w:bookmarkStart w:id="125" w:name="_Toc16938542"/>
      <w:r/>
      <w:bookmarkStart w:id="126" w:name="_Toc20823298"/>
      <w:r/>
      <w:bookmarkStart w:id="127" w:name="_Toc513029226"/>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18.投标截止日期</w:t>
      </w:r>
      <w:bookmarkEnd w:id="125"/>
      <w:r/>
      <w:bookmarkEnd w:id="126"/>
      <w:r/>
      <w:bookmarkEnd w:id="127"/>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18.1 投标人上传电子投标文件的时间不得迟于招标公告中规定的投标截止时间。</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投标人应充分考虑到网络环境、网络带宽等风险因素，如因投标人自身原因造成的电子投标文件上传不成功的按照本招标文件第二章第26.1.2条规定做无效投标处理。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18.2 采购中心可以按照规定，通过修改招标文件酌情延长投标截止日期，在此情况下，投标人的所有权利和义务以及投标人受制的截止日期均应以延长后新的截止日期为准。</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28" w:name="_Toc16938543"/>
      <w:r/>
      <w:bookmarkStart w:id="129" w:name="_Toc20823299"/>
      <w:r/>
      <w:bookmarkStart w:id="130" w:name="_Toc513029227"/>
      <w:r>
        <w:rPr>
          <w:rFonts w:hint="eastAsia" w:ascii="方正仿宋_GBK" w:hAnsi="方正仿宋_GBK" w:eastAsia="方正仿宋_GBK" w:cs="方正仿宋_GBK"/>
          <w:bCs/>
          <w:sz w:val="32"/>
          <w:szCs w:val="32"/>
        </w:rPr>
        <w:t xml:space="preserve">19.投标文件</w:t>
      </w:r>
      <w:bookmarkEnd w:id="128"/>
      <w:r/>
      <w:bookmarkEnd w:id="129"/>
      <w:r/>
      <w:bookmarkEnd w:id="130"/>
      <w:r>
        <w:rPr>
          <w:rFonts w:hint="eastAsia" w:ascii="方正仿宋_GBK" w:hAnsi="方正仿宋_GBK" w:eastAsia="方正仿宋_GBK" w:cs="方正仿宋_GBK"/>
          <w:bCs/>
          <w:sz w:val="32"/>
          <w:szCs w:val="32"/>
        </w:rPr>
        <w:t xml:space="preserve">的拒收</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19.1 采购中心拒绝接收在其规定的投标截止时间后上传的任何投标文件。</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31" w:name="_Toc513029228"/>
      <w:r/>
      <w:bookmarkStart w:id="132" w:name="_Toc16938544"/>
      <w:r/>
      <w:bookmarkStart w:id="133" w:name="_Toc20823300"/>
      <w:r>
        <w:rPr>
          <w:rFonts w:hint="eastAsia" w:ascii="方正仿宋_GBK" w:hAnsi="方正仿宋_GBK" w:eastAsia="方正仿宋_GBK" w:cs="方正仿宋_GBK"/>
          <w:bCs/>
          <w:sz w:val="32"/>
          <w:szCs w:val="32"/>
        </w:rPr>
        <w:t xml:space="preserve">20.投标文件的撤回和修改</w:t>
      </w:r>
      <w:bookmarkEnd w:id="131"/>
      <w:r/>
      <w:bookmarkEnd w:id="132"/>
      <w:r/>
      <w:bookmarkEnd w:id="133"/>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 投标文件的撤回</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20.1.1 电子投标文件的撤回</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投标人可在投标截止时间前，撤回其电子投标文件，具体操作方法见《操作手册》。</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20.1.2 投标人撤回电子投标文件，则认为其不再参与本项目投标活动。</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 投标文件的修改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20.2.1投标人可在投标截止时间前，对其电子投标文件进行修改，具体操作方法见《操作手册》。</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20.2.2 在投标截止时间之后，投标人不得对其电子投标文件作任何修改。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20.3 在投标截止时间至招标文件中规定的投标有效期满之间的这段时间内，投标人不得撤回其投标。</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34" w:name="_Toc513029229"/>
      <w:r/>
      <w:bookmarkStart w:id="135" w:name="_Toc120614218"/>
      <w:r/>
      <w:bookmarkStart w:id="136" w:name="_Toc16938545"/>
      <w:r/>
      <w:bookmarkStart w:id="137" w:name="_Toc20823301"/>
      <w:r>
        <w:rPr>
          <w:rFonts w:hint="eastAsia" w:ascii="方正黑体_GBK" w:hAnsi="方正黑体_GBK" w:eastAsia="方正黑体_GBK" w:cs="方正黑体_GBK"/>
          <w:color w:val="000000"/>
          <w:sz w:val="32"/>
          <w:szCs w:val="32"/>
        </w:rPr>
        <w:t xml:space="preserve">五、开标与评标</w:t>
      </w:r>
      <w:bookmarkEnd w:id="134"/>
      <w:r/>
      <w:bookmarkEnd w:id="135"/>
      <w:r/>
      <w:bookmarkEnd w:id="136"/>
      <w:r/>
      <w:bookmarkEnd w:id="137"/>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38" w:name="_Toc513029230"/>
      <w:r/>
      <w:bookmarkStart w:id="139" w:name="_Toc20823302"/>
      <w:r/>
      <w:bookmarkStart w:id="140" w:name="_Toc16938546"/>
      <w:r>
        <w:rPr>
          <w:rFonts w:hint="eastAsia" w:ascii="方正仿宋_GBK" w:hAnsi="方正仿宋_GBK" w:eastAsia="方正仿宋_GBK" w:cs="方正仿宋_GBK"/>
          <w:bCs/>
          <w:sz w:val="32"/>
          <w:szCs w:val="32"/>
        </w:rPr>
        <w:t xml:space="preserve">21.开标</w:t>
      </w:r>
      <w:bookmarkEnd w:id="138"/>
      <w:r/>
      <w:bookmarkEnd w:id="139"/>
      <w:r/>
      <w:bookmarkEnd w:id="140"/>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21.1 采购中心将在招标公告中规定的时间和地点组织公开开标。投标人应当按照《操作手册》规定，参加开标活动和在苏采云系统规定的时间内对投标文件进行解密。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21.2开标仪式由采购中心组织。苏采云系统将自动对项目进行开标，并宣布各投标人名称和投标价格。</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21.3投标人在开标过程中涉及到的投标文件解密、开标结果确认等工作，应按照《操作手册》规定执行。</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21.4投标人如果对开标过程和开标记录有疑义，应当根据《操作手册》规定提出，如苏采云系统中《开标记录表》宣布后5分钟内未提出的，视同认可开标结果。</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41" w:name="_Toc513029231"/>
      <w:r/>
      <w:bookmarkStart w:id="142" w:name="_Toc16938547"/>
      <w:r/>
      <w:bookmarkStart w:id="143" w:name="_Toc20823303"/>
      <w:r>
        <w:rPr>
          <w:rFonts w:hint="eastAsia" w:ascii="方正仿宋_GBK" w:hAnsi="方正仿宋_GBK" w:eastAsia="方正仿宋_GBK" w:cs="方正仿宋_GBK"/>
          <w:bCs/>
          <w:sz w:val="32"/>
          <w:szCs w:val="32"/>
        </w:rPr>
        <w:t xml:space="preserve">22.评标委员会</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22.1 开标后，采购中心将立即组织评标委员会进行评标。</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22.2 评标委员会由采购人代表和有关技术、经济等方面的专家组成，且人员构成符合政府采购有关规定。</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22.3评标委员会独立工作，负责评审所有投标文件并确定中标候选人。</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23.评标过程的保密与公正</w:t>
      </w:r>
      <w:bookmarkEnd w:id="141"/>
      <w:r/>
      <w:bookmarkEnd w:id="142"/>
      <w:r/>
      <w:bookmarkEnd w:id="143"/>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23.1凡是与审查、澄清、评价和比较投标的有关资料以及授标建议等，采购人、评委、采购中心均不得向投标人或与评标无关的其他人员透露。</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23.2在评标过程中，投标人不得以任何行为影响评标过程，否则其投标文件将被作为无效投标文件。</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23.3 采购中心和评标委员会不向未中标的投标人解释未中标原因，也不公布评标过程中的相关细节。</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23.4 采用综合评分法的项目，未中标的投标人可于中标结果公告期限届满之日起通过苏采云系统查看自己的评审得分及排序情况。</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44" w:name="_Toc20823304"/>
      <w:r/>
      <w:bookmarkStart w:id="145" w:name="_Toc16938548"/>
      <w:r/>
      <w:bookmarkStart w:id="146" w:name="_Toc513029232"/>
      <w:r>
        <w:rPr>
          <w:rFonts w:hint="eastAsia" w:ascii="方正仿宋_GBK" w:hAnsi="方正仿宋_GBK" w:eastAsia="方正仿宋_GBK" w:cs="方正仿宋_GBK"/>
          <w:bCs/>
          <w:sz w:val="32"/>
          <w:szCs w:val="32"/>
        </w:rPr>
        <w:t xml:space="preserve">24.投标文件的澄清</w:t>
      </w:r>
      <w:bookmarkEnd w:id="144"/>
      <w:r/>
      <w:bookmarkEnd w:id="145"/>
      <w:r/>
      <w:bookmarkEnd w:id="146"/>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47" w:name="_Toc20823305"/>
      <w:r/>
      <w:bookmarkStart w:id="148" w:name="_Toc513029233"/>
      <w:r/>
      <w:bookmarkStart w:id="149" w:name="_Toc16938549"/>
      <w:r>
        <w:rPr>
          <w:rFonts w:hint="eastAsia" w:ascii="方正仿宋_GBK" w:hAnsi="方正仿宋_GBK" w:eastAsia="方正仿宋_GBK" w:cs="方正仿宋_GBK"/>
          <w:bCs/>
          <w:sz w:val="32"/>
          <w:szCs w:val="32"/>
        </w:rPr>
        <w:t xml:space="preserve">24.1评标期间，评标委员会对投标文件中含义不明确、同类问题表述不一致或者有明显文字和计算错误的内容 ，有权要求投标人作出必要的澄清、说明或者补正。</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投标人的澄清、说明或者补正不得超出投标文件的范围或者改变投标文件的实质性内容。</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评标委员会并非对每个投标人都做澄清要求。</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24.3 接到评标委员会澄清、说明和补正要求的投标人如未按规定做出澄清、说明和补正，其风险由投标人自行承担。</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25.对投标文件的初审</w:t>
      </w:r>
      <w:bookmarkEnd w:id="147"/>
      <w:r/>
      <w:bookmarkEnd w:id="148"/>
      <w:r/>
      <w:bookmarkEnd w:id="149"/>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25.1投标文件初审分为资格审查和符合性审查。</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25.1.1 资格审查：依据法律法规和招标文件的规定，由采购人对投标文件中的资格证明文件进行审查。资格审查的结论，采购人以书面形式向评标委员会进行反馈。</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采购人在进行资格性审查的同时，将在“信用中国”网站（</w:t>
      </w:r>
      <w:r>
        <w:rPr>
          <w:rFonts w:hint="eastAsia" w:eastAsia="方正仿宋_GBK"/>
          <w:sz w:val="32"/>
          <w:szCs w:val="32"/>
        </w:rPr>
        <w:t xml:space="preserve">www.creditchina.gov.cn</w:t>
      </w:r>
      <w:r>
        <w:rPr>
          <w:rFonts w:hint="eastAsia" w:ascii="方正仿宋_GBK" w:hAnsi="方正仿宋_GBK" w:eastAsia="方正仿宋_GBK" w:cs="方正仿宋_GBK"/>
          <w:bCs/>
          <w:sz w:val="32"/>
          <w:szCs w:val="32"/>
        </w:rPr>
        <w:t xml:space="preserve">）查询投标人的信用记录，以确定投标人是否具备投标资格,查询结果留存并归档。</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25.1.2 符合性审查：依据招标文件的规定，由评标委员会从投标文件的有效性、完整性和对招标文件的响应程度进行审查，以确定是否对招标文件的实质性要求作出响应。</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25.3如果投标文件实质上没有响应招标文件的要求，评标委员会将予以拒绝，投标人不得通过修改或撤销不符合要求的偏离或保留而使其投标成为实质性响应的投标。</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25.4评标委员会将对确定为实质性响应的投标进行进一步审核，看其是否有计算上或累加上的算术错误，修正错误的原则如下：</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（1）投标文件中开标一览表内容与投标文件中相应内容不一致的，以开标一览表为准。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（2）大写金额和小写金额不一致的，以大写金额为准。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（3）单价金额小数点或者百分比有明显错位的，以开标一览表的总价为准，并修改单价。</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（4）总价金额与按单价汇总金额不一致的，以单价金额计算结果为准。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同时出现两种以上错误的，按照前款规定的顺序修正。</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640"/>
        <w:spacing w:line="560" w:lineRule="exact"/>
        <w:tabs>
          <w:tab w:val="left" w:pos="900" w:leader="none"/>
        </w:tabs>
        <w:rPr>
          <w:rFonts w:ascii="方正仿宋_GBK" w:hAnsi="方正仿宋_GBK" w:eastAsia="方正仿宋_GBK" w:cs="方正仿宋_GBK"/>
          <w:bCs/>
          <w:sz w:val="32"/>
          <w:szCs w:val="32"/>
        </w:rPr>
      </w:pPr>
      <w:r/>
      <w:bookmarkStart w:id="150" w:name="_Toc16938550"/>
      <w:r/>
      <w:bookmarkStart w:id="151" w:name="_Toc513029234"/>
      <w:r/>
      <w:bookmarkStart w:id="152" w:name="_Toc20823306"/>
      <w:r>
        <w:rPr>
          <w:rFonts w:hint="eastAsia" w:ascii="方正仿宋_GBK" w:hAnsi="方正仿宋_GBK" w:eastAsia="方正仿宋_GBK" w:cs="方正仿宋_GBK"/>
          <w:bCs/>
          <w:sz w:val="32"/>
          <w:szCs w:val="32"/>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非单一产品采购项目，招标文件中将载明其中的核心产品。多家投标人提供的核心产品品牌相同的，按前两款规定处理。</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25.7投标人在开、评标全过程中应保持通讯畅通，及时登录苏采云系统查阅、答复相关信息，并安排专人与采购中心及评标委员会联系。</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 异常低价投标审查</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25.8.1 评标过程中出现下列情形之一的，评标委员会应当启动异常低价投标审查程序：</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（1）投标报价低于全部通过符合性审查供应商投标报价平均值50%的，即投标报价&lt;全部通过符合性审查供应商投标报价平均值×50%；</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（2）投标报价低于通过符合性审查的次低报价供应商投标报价50%的，即投标报价&lt;通过符合性审查的次低报价供应商投标报价×50%；</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（3）投标报价低于采购项目最高限价45%的，即投标报价&lt;采购项目最高限价×45%；</w:t>
      </w:r>
      <w:r/>
    </w:p>
    <w:p>
      <w:pPr>
        <w:ind w:firstLine="640"/>
        <w:spacing w:line="560" w:lineRule="exact"/>
        <w:tabs>
          <w:tab w:val="left" w:pos="90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（4）评标委员会基于专业判断，认为供应商报价过低，有可能影响产品质量或者不能诚信履约的其他情形。</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spacing w:line="560" w:lineRule="exact"/>
        <w:tabs>
          <w:tab w:val="left" w:pos="900" w:leader="none"/>
        </w:tabs>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keepLines/>
        <w:keepNext/>
        <w:spacing w:line="560" w:lineRule="exact"/>
        <w:rPr>
          <w:rFonts w:ascii="方正仿宋_GBK" w:hAnsi="方正仿宋_GBK" w:eastAsia="方正仿宋_GBK" w:cs="方正仿宋_GBK"/>
          <w:sz w:val="32"/>
          <w:szCs w:val="32"/>
        </w:rPr>
        <w:outlineLvl w:val="3"/>
      </w:pPr>
      <w:r>
        <w:rPr>
          <w:rFonts w:hint="eastAsia" w:ascii="方正仿宋_GBK" w:hAnsi="方正仿宋_GBK" w:eastAsia="方正仿宋_GBK" w:cs="方正仿宋_GBK"/>
          <w:sz w:val="32"/>
          <w:szCs w:val="32"/>
        </w:rPr>
        <w:t xml:space="preserve">2</w:t>
      </w:r>
      <w:bookmarkEnd w:id="150"/>
      <w:r/>
      <w:bookmarkEnd w:id="151"/>
      <w:r/>
      <w:bookmarkEnd w:id="152"/>
      <w:r>
        <w:rPr>
          <w:rFonts w:hint="eastAsia" w:ascii="方正仿宋_GBK" w:hAnsi="方正仿宋_GBK" w:eastAsia="方正仿宋_GBK" w:cs="方正仿宋_GBK"/>
          <w:sz w:val="32"/>
          <w:szCs w:val="32"/>
        </w:rPr>
        <w:t xml:space="preserve">6.无效投标条款和废标条款</w:t>
      </w:r>
      <w:bookmarkStart w:id="153" w:name="_Toc20823307"/>
      <w:r/>
      <w:bookmarkStart w:id="154" w:name="_Toc513029235"/>
      <w:r/>
      <w:bookmarkStart w:id="155" w:name="_Toc16938551"/>
      <w:r/>
      <w:r/>
    </w:p>
    <w:p>
      <w:pPr>
        <w:ind w:firstLine="640"/>
        <w:keepLines/>
        <w:keepNext/>
        <w:spacing w:line="560" w:lineRule="exact"/>
        <w:rPr>
          <w:rFonts w:ascii="方正仿宋_GBK" w:hAnsi="方正仿宋_GBK" w:eastAsia="方正仿宋_GBK" w:cs="方正仿宋_GBK"/>
          <w:bCs/>
          <w:sz w:val="32"/>
          <w:szCs w:val="32"/>
        </w:rPr>
        <w:outlineLvl w:val="3"/>
      </w:pPr>
      <w:r>
        <w:rPr>
          <w:rFonts w:hint="eastAsia" w:ascii="方正仿宋_GBK" w:hAnsi="方正仿宋_GBK" w:eastAsia="方正仿宋_GBK" w:cs="方正仿宋_GBK"/>
          <w:bCs/>
          <w:sz w:val="32"/>
          <w:szCs w:val="32"/>
        </w:rPr>
        <w:t xml:space="preserve">26.1无效投标条款</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26.1.1 投标人在</w:t>
      </w:r>
      <w:r>
        <w:rPr>
          <w:rFonts w:hint="eastAsia" w:ascii="方正仿宋_GBK" w:hAnsi="方正仿宋_GBK" w:eastAsia="方正仿宋_GBK" w:cs="方正仿宋_GBK"/>
          <w:sz w:val="32"/>
          <w:szCs w:val="32"/>
        </w:rPr>
        <w:t xml:space="preserve">苏采云系统</w:t>
      </w:r>
      <w:r>
        <w:rPr>
          <w:rFonts w:hint="eastAsia" w:ascii="方正仿宋_GBK" w:hAnsi="方正仿宋_GBK" w:eastAsia="方正仿宋_GBK" w:cs="方正仿宋_GBK"/>
          <w:bCs/>
          <w:sz w:val="32"/>
          <w:szCs w:val="32"/>
        </w:rPr>
        <w:t xml:space="preserve">规定的时间内未成功解密电子投标文件的。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 xml:space="preserve">26.1.2 投标人未按照招标文件</w:t>
      </w:r>
      <w:r>
        <w:rPr>
          <w:rFonts w:hint="eastAsia" w:ascii="方正仿宋_GBK" w:hAnsi="方正仿宋_GBK" w:eastAsia="方正仿宋_GBK" w:cs="方正仿宋_GBK"/>
          <w:bCs/>
          <w:color w:val="000000"/>
          <w:sz w:val="32"/>
          <w:szCs w:val="32"/>
        </w:rPr>
        <w:t xml:space="preserve">要求上传电子投标文件的。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.1.3 投标人</w:t>
      </w:r>
      <w:r>
        <w:rPr>
          <w:rFonts w:hint="eastAsia" w:ascii="方正仿宋_GBK" w:hAnsi="方正仿宋_GBK" w:eastAsia="方正仿宋_GBK" w:cs="方正仿宋_GBK"/>
          <w:bCs/>
          <w:sz w:val="32"/>
          <w:szCs w:val="32"/>
        </w:rPr>
        <w:t xml:space="preserve">同一采购包提</w:t>
      </w:r>
      <w:r>
        <w:rPr>
          <w:rFonts w:hint="eastAsia" w:ascii="方正仿宋_GBK" w:hAnsi="方正仿宋_GBK" w:eastAsia="方正仿宋_GBK" w:cs="方正仿宋_GBK"/>
          <w:bCs/>
          <w:color w:val="000000"/>
          <w:sz w:val="32"/>
          <w:szCs w:val="32"/>
        </w:rPr>
        <w:t xml:space="preserve">交两个（含两个）以上不同的投标报价的。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.1.4投标人不具备招标文件中规定资格要求的。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.1.5投标人的报价超过了采购预算或最高限价的。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.1.6未通过符合性审查的。</w:t>
      </w:r>
      <w:r/>
    </w:p>
    <w:p>
      <w:pPr>
        <w:ind w:firstLine="640"/>
        <w:spacing w:line="560" w:lineRule="exact"/>
        <w:rPr>
          <w:rFonts w:ascii="方正仿宋_GBK" w:hAnsi="方正仿宋_GBK" w:eastAsia="方正仿宋_GBK" w:cs="方正仿宋_GBK"/>
          <w:bCs/>
          <w:i/>
          <w:color w:val="000000"/>
          <w:sz w:val="32"/>
          <w:szCs w:val="32"/>
          <w:u w:val="single"/>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.1.8投标人被“信用中国”网站（</w:t>
      </w:r>
      <w:r>
        <w:rPr>
          <w:rFonts w:hint="eastAsia" w:eastAsia="方正仿宋_GBK"/>
          <w:sz w:val="32"/>
          <w:szCs w:val="32"/>
        </w:rPr>
        <w:t xml:space="preserve">www.creditchina.gov.cn</w:t>
      </w:r>
      <w:r>
        <w:rPr>
          <w:rFonts w:hint="eastAsia" w:ascii="方正仿宋_GBK" w:hAnsi="方正仿宋_GBK" w:eastAsia="方正仿宋_GBK" w:cs="方正仿宋_GBK"/>
          <w:bCs/>
          <w:color w:val="000000"/>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.1.9 投标文件含有采购人不能接受的附加条件的。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26.1.10 评标委员会按照本招标文件规定对投标人进行异常低价投标审查后，认为投标人不能证明其报价合理性的。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.1.12 投标文件未按照招标文件要求加盖CA电子公章的。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26.1.13 投标人所投标产品不符合招标文件中所列国家强制性标准的。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.1.14其他法律、法规及本招标文件规定的属无效投标的情形。</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.2废标条款 </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.2.1符合专业条件的供应商或者对招标文件作实质响应的供应商不足三家的。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26.2.2出现影响采购公正的违法、违规行为的。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.2.3因重大变故，采购任务取消的。</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26.2.4评标委员会认定招标文件存在歧义、重大缺陷导致评审工作无法进行。</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color w:val="000000"/>
          <w:sz w:val="32"/>
          <w:szCs w:val="32"/>
        </w:rPr>
        <w:t xml:space="preserve">26.2</w:t>
      </w:r>
      <w:r>
        <w:rPr>
          <w:rFonts w:hint="eastAsia" w:ascii="方正仿宋_GBK" w:hAnsi="方正仿宋_GBK" w:eastAsia="方正仿宋_GBK" w:cs="方正仿宋_GBK"/>
          <w:bCs/>
          <w:sz w:val="32"/>
          <w:szCs w:val="32"/>
        </w:rPr>
        <w:t xml:space="preserve">.5 因</w:t>
      </w:r>
      <w:r>
        <w:rPr>
          <w:rFonts w:hint="eastAsia" w:ascii="方正仿宋_GBK" w:hAnsi="方正仿宋_GBK" w:eastAsia="方正仿宋_GBK" w:cs="方正仿宋_GBK"/>
          <w:sz w:val="32"/>
          <w:szCs w:val="32"/>
        </w:rPr>
        <w:t xml:space="preserve">苏采云</w:t>
      </w:r>
      <w:r>
        <w:rPr>
          <w:rFonts w:hint="eastAsia" w:ascii="方正仿宋_GBK" w:hAnsi="方正仿宋_GBK" w:eastAsia="方正仿宋_GBK" w:cs="方正仿宋_GBK"/>
          <w:bCs/>
          <w:sz w:val="32"/>
          <w:szCs w:val="32"/>
        </w:rPr>
        <w:t xml:space="preserve">系统故障原因造成开标不成功的。  </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 xml:space="preserve">26.3 投标截止时间结束后</w:t>
      </w:r>
      <w:r>
        <w:rPr>
          <w:rFonts w:hint="eastAsia" w:ascii="方正仿宋_GBK" w:hAnsi="方正仿宋_GBK" w:eastAsia="方正仿宋_GBK" w:cs="方正仿宋_GBK"/>
          <w:bCs/>
          <w:color w:val="000000"/>
          <w:sz w:val="32"/>
          <w:szCs w:val="32"/>
        </w:rPr>
        <w:t xml:space="preserve">参加投标的供应商不足三家的处理：</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26.3.1如出现投标截止时间结束后参加投标的供应商或者在评标期间对招标文件做出实质响应的供应商不足三家情况，按政府采购相关规定执行。</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56" w:name="_Toc120614219"/>
      <w:r>
        <w:rPr>
          <w:rFonts w:hint="eastAsia" w:ascii="方正黑体_GBK" w:hAnsi="方正黑体_GBK" w:eastAsia="方正黑体_GBK" w:cs="方正黑体_GBK"/>
          <w:color w:val="000000"/>
          <w:sz w:val="32"/>
          <w:szCs w:val="32"/>
        </w:rPr>
        <w:t xml:space="preserve">六、</w:t>
      </w:r>
      <w:bookmarkEnd w:id="153"/>
      <w:r/>
      <w:bookmarkEnd w:id="154"/>
      <w:r/>
      <w:bookmarkEnd w:id="155"/>
      <w:r>
        <w:rPr>
          <w:rFonts w:hint="eastAsia" w:ascii="方正黑体_GBK" w:hAnsi="方正黑体_GBK" w:eastAsia="方正黑体_GBK" w:cs="方正黑体_GBK"/>
          <w:color w:val="000000"/>
          <w:sz w:val="32"/>
          <w:szCs w:val="32"/>
        </w:rPr>
        <w:t xml:space="preserve">定标</w:t>
      </w:r>
      <w:bookmarkEnd w:id="156"/>
      <w:r/>
      <w:r/>
    </w:p>
    <w:p>
      <w:pPr>
        <w:ind w:firstLine="640"/>
        <w:keepLines/>
        <w:keepNext/>
        <w:spacing w:line="560" w:lineRule="exact"/>
        <w:rPr>
          <w:rFonts w:ascii="方正仿宋_GBK" w:hAnsi="方正仿宋_GBK" w:eastAsia="方正仿宋_GBK" w:cs="方正仿宋_GBK"/>
          <w:bCs/>
          <w:color w:val="000000"/>
          <w:sz w:val="32"/>
          <w:szCs w:val="32"/>
        </w:rPr>
        <w:outlineLvl w:val="3"/>
      </w:pPr>
      <w:r/>
      <w:bookmarkStart w:id="157" w:name="_Toc513029238"/>
      <w:r/>
      <w:bookmarkStart w:id="158" w:name="_Toc20823310"/>
      <w:r/>
      <w:bookmarkStart w:id="159" w:name="_Toc16938554"/>
      <w:r>
        <w:rPr>
          <w:rFonts w:hint="eastAsia" w:ascii="方正仿宋_GBK" w:hAnsi="方正仿宋_GBK" w:eastAsia="方正仿宋_GBK" w:cs="方正仿宋_GBK"/>
          <w:bCs/>
          <w:color w:val="000000"/>
          <w:sz w:val="32"/>
          <w:szCs w:val="32"/>
        </w:rPr>
        <w:t xml:space="preserve">27</w:t>
      </w:r>
      <w:bookmarkEnd w:id="157"/>
      <w:r>
        <w:rPr>
          <w:rFonts w:hint="eastAsia" w:ascii="方正仿宋_GBK" w:hAnsi="方正仿宋_GBK" w:eastAsia="方正仿宋_GBK" w:cs="方正仿宋_GBK"/>
          <w:bCs/>
          <w:color w:val="000000"/>
          <w:sz w:val="32"/>
          <w:szCs w:val="32"/>
        </w:rPr>
        <w:t xml:space="preserve">.确定</w:t>
      </w:r>
      <w:bookmarkEnd w:id="158"/>
      <w:r/>
      <w:bookmarkEnd w:id="159"/>
      <w:r>
        <w:rPr>
          <w:rFonts w:hint="eastAsia" w:ascii="方正仿宋_GBK" w:hAnsi="方正仿宋_GBK" w:eastAsia="方正仿宋_GBK" w:cs="方正仿宋_GBK"/>
          <w:bCs/>
          <w:color w:val="000000"/>
          <w:sz w:val="32"/>
          <w:szCs w:val="32"/>
        </w:rPr>
        <w:t xml:space="preserve">中标单位</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27.1中标候选人的选取原则和数量见招标文件第五章规定。 </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27.2 采购人应根据评标委员会推荐的中标候选人确定中标供应商。</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bCs/>
          <w:color w:val="000000"/>
          <w:sz w:val="32"/>
          <w:szCs w:val="32"/>
        </w:rPr>
        <w:t xml:space="preserve">27.3 </w:t>
      </w:r>
      <w:r>
        <w:rPr>
          <w:rFonts w:hint="eastAsia" w:ascii="方正仿宋_GBK" w:hAnsi="方正仿宋_GBK" w:eastAsia="方正仿宋_GBK" w:cs="方正仿宋_GBK"/>
          <w:color w:val="000000"/>
          <w:sz w:val="32"/>
          <w:szCs w:val="32"/>
        </w:rPr>
        <w:t xml:space="preserve">采购中心将在“江苏政府采购网”发布中标公告，公告期限为1个工作日。</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 若有充分证据证明，中标供应商出现下列情况之一的，一经查实，将被取消中标资格：</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27.4.1提供虚假材料谋取中标的。</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27.4.2向采购人、采购中心行贿或者提供其他不正当利益的。</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27.4.3属于本文件规定的无效条件，但在评标过程中又未被评标委员会发现的。</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27.4.4与采购人或者其他供应商恶意串通的。</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27.4.5采取不正当手段诋毁、排挤其他供应商的。</w:t>
      </w:r>
      <w:r/>
    </w:p>
    <w:p>
      <w:pPr>
        <w:ind w:firstLine="640"/>
        <w:spacing w:line="560" w:lineRule="exact"/>
        <w:rPr>
          <w:rFonts w:ascii="方正仿宋_GBK" w:hAnsi="方正仿宋_GBK" w:eastAsia="方正仿宋_GBK" w:cs="方正仿宋_GBK"/>
          <w:color w:val="000000"/>
          <w:sz w:val="32"/>
          <w:szCs w:val="32"/>
        </w:rPr>
      </w:pPr>
      <w:r/>
      <w:bookmarkStart w:id="160" w:name="_Toc200451960"/>
      <w:r>
        <w:rPr>
          <w:rFonts w:hint="eastAsia" w:ascii="方正仿宋_GBK" w:hAnsi="方正仿宋_GBK" w:eastAsia="方正仿宋_GBK" w:cs="方正仿宋_GBK"/>
          <w:color w:val="000000"/>
          <w:sz w:val="32"/>
          <w:szCs w:val="32"/>
        </w:rPr>
        <w:t xml:space="preserve">27.5 有下列情形之一的，视为投标人串通投标，投标无效：</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27.5.1不同投标人的投标文件由同一单位或者个人编制。</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27.5.2不同投标人委托同一单位或者个人办理投标事宜。</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27.5.3 不同投标人的投标文件载明的项目管理成员或者联系人员为同一人。</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27.5.4不同投标人的投标文件异常一致或者投标报价呈规律性差异。</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28.质疑处理</w:t>
      </w:r>
      <w:bookmarkEnd w:id="160"/>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28.1 提出质疑的供应商应当是参与所质疑项目采购活动的供应商。潜在供应商依法获取其可质疑的采购文件的，可以对采购文件提出质疑。</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32"/>
          <w:szCs w:val="32"/>
        </w:rPr>
        <w:br w:type="textWrapping" w:clear="all"/>
        <w:t xml:space="preserve">　　28.2.2对采购过程提出质疑的，为各采购程序环节结束之日；</w:t>
      </w:r>
      <w:r>
        <w:rPr>
          <w:rFonts w:hint="eastAsia" w:ascii="方正仿宋_GBK" w:hAnsi="方正仿宋_GBK" w:eastAsia="方正仿宋_GBK" w:cs="方正仿宋_GBK"/>
          <w:color w:val="000000"/>
          <w:sz w:val="32"/>
          <w:szCs w:val="32"/>
        </w:rPr>
        <w:br w:type="textWrapping" w:clear="all"/>
        <w:t xml:space="preserve">　　28.2.3对中标或者成交结果提出质疑的，为中标或者成交结果公告期限届满之日。</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采购人及采购中心只接收以纸质原件形式送达的质疑，建议供应商尽量通过邮寄方式提交质疑（采购人和采购中心不接受无快递运单号的快递）。</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采购中心质疑接收部门为质疑处理科（快递运单上的收件人填写“质疑处理科”即可），联系地址：南京市汉中门大街145号省政务中心二期3楼南区3029室，联系电话：025-83668531。</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color w:val="000000"/>
          <w:sz w:val="32"/>
          <w:szCs w:val="32"/>
        </w:rPr>
        <w:t xml:space="preserve">采购人质疑接收人及联系方式见招标文件第一章。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 以下情形的质疑不予受理</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28.5.1 内容不符合《政府采购质疑和投诉办法》第十二条规定的质疑。</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28.5.2 超出政府采购法定期限的质疑。</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28.5.3 以传真、电子邮件等方式递交的非原件形式的质疑。</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28.5.4 未参加投标活动的供应商或在投标活动中自身权益未受到损害的供应商所提出的质疑。</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28.5.5供应商组成联合体参加投标，联合体中任何一方或多方未按要求签字、盖章、加盖公章的质疑。</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29.中标通知书</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Next/>
        <w:spacing w:line="560" w:lineRule="exact"/>
        <w:rPr>
          <w:rFonts w:ascii="方正黑体_GBK" w:hAnsi="方正黑体_GBK" w:eastAsia="方正黑体_GBK" w:cs="方正黑体_GBK"/>
          <w:color w:val="000000"/>
          <w:sz w:val="32"/>
          <w:szCs w:val="32"/>
        </w:rPr>
        <w:outlineLvl w:val="0"/>
      </w:pPr>
      <w:r/>
      <w:bookmarkStart w:id="161" w:name="_Toc20823308"/>
      <w:r/>
      <w:bookmarkStart w:id="162" w:name="_Toc120614220"/>
      <w:r/>
      <w:bookmarkStart w:id="163" w:name="_Toc16938552"/>
      <w:r/>
      <w:bookmarkStart w:id="164" w:name="_Toc513029236"/>
      <w:r>
        <w:rPr>
          <w:rFonts w:hint="eastAsia" w:ascii="方正黑体_GBK" w:hAnsi="方正黑体_GBK" w:eastAsia="方正黑体_GBK" w:cs="方正黑体_GBK"/>
          <w:color w:val="000000"/>
          <w:sz w:val="32"/>
          <w:szCs w:val="32"/>
        </w:rPr>
        <w:t xml:space="preserve">七、授予合同</w:t>
      </w:r>
      <w:bookmarkEnd w:id="161"/>
      <w:r/>
      <w:bookmarkEnd w:id="162"/>
      <w:r/>
      <w:bookmarkEnd w:id="163"/>
      <w:r/>
      <w:bookmarkEnd w:id="164"/>
      <w:r/>
      <w:r/>
    </w:p>
    <w:p>
      <w:pPr>
        <w:ind w:firstLine="640"/>
        <w:spacing w:line="560" w:lineRule="exact"/>
        <w:rPr>
          <w:rFonts w:ascii="方正仿宋_GBK" w:hAnsi="方正仿宋_GBK" w:eastAsia="方正仿宋_GBK" w:cs="方正仿宋_GBK"/>
          <w:color w:val="000000"/>
          <w:sz w:val="32"/>
          <w:szCs w:val="32"/>
        </w:rPr>
      </w:pPr>
      <w:r/>
      <w:bookmarkStart w:id="165" w:name="_Toc20823309"/>
      <w:r/>
      <w:bookmarkStart w:id="166" w:name="_Toc16938553"/>
      <w:r/>
      <w:bookmarkStart w:id="167" w:name="_Toc513029237"/>
      <w:r>
        <w:rPr>
          <w:rFonts w:hint="eastAsia" w:ascii="方正仿宋_GBK" w:hAnsi="方正仿宋_GBK" w:eastAsia="方正仿宋_GBK" w:cs="方正仿宋_GBK"/>
          <w:color w:val="000000"/>
          <w:sz w:val="32"/>
          <w:szCs w:val="32"/>
        </w:rPr>
        <w:t xml:space="preserve">30.签订合同</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30.l中标供应商应当在中标通知书发出之日起三十日内，按照招标文件确定的事项与采购人签订政府采购合同。</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30.2 招标文件、中标供应商的投标文件及招标过程中有关澄清、承诺文件均应作为合同附件。</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31.货物（包含与货物相关的服务）的追加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5"/>
      <w:r/>
      <w:bookmarkEnd w:id="166"/>
      <w:r/>
      <w:bookmarkEnd w:id="167"/>
      <w:r/>
      <w:r/>
    </w:p>
    <w:p>
      <w:pPr>
        <w:ind w:firstLine="640"/>
        <w:spacing w:line="560" w:lineRule="exact"/>
        <w:rPr>
          <w:rFonts w:ascii="方正仿宋_GBK" w:hAnsi="方正仿宋_GBK" w:eastAsia="方正仿宋_GBK" w:cs="方正仿宋_GBK"/>
          <w:color w:val="000000"/>
          <w:sz w:val="32"/>
          <w:szCs w:val="32"/>
        </w:rPr>
      </w:pPr>
      <w:r/>
      <w:bookmarkStart w:id="168" w:name="_Toc120614221"/>
      <w:r/>
      <w:bookmarkStart w:id="169" w:name="_Toc513029242"/>
      <w:r/>
      <w:bookmarkStart w:id="170" w:name="_Toc20823314"/>
      <w:r/>
      <w:bookmarkStart w:id="171" w:name="_Toc479757207"/>
      <w:r/>
      <w:bookmarkStart w:id="172" w:name="_Toc16938558"/>
      <w:r>
        <w:rPr>
          <w:rFonts w:hint="eastAsia" w:ascii="方正仿宋_GBK" w:hAnsi="方正仿宋_GBK" w:eastAsia="方正仿宋_GBK" w:cs="方正仿宋_GBK"/>
          <w:color w:val="000000"/>
          <w:sz w:val="32"/>
          <w:szCs w:val="32"/>
        </w:rPr>
        <w:t xml:space="preserve">32.政府采购履约资金扶持政策</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560"/>
        <w:keepNext/>
        <w:spacing w:line="660" w:lineRule="exact"/>
        <w:rPr>
          <w:rFonts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br w:type="page" w:clear="all"/>
        <w:t xml:space="preserve">第三章  合同</w:t>
      </w:r>
      <w:bookmarkEnd w:id="168"/>
      <w:r/>
      <w:bookmarkEnd w:id="169"/>
      <w:r/>
      <w:bookmarkEnd w:id="170"/>
      <w:r/>
      <w:bookmarkEnd w:id="171"/>
      <w:r/>
      <w:bookmarkEnd w:id="172"/>
      <w:r>
        <w:rPr>
          <w:rFonts w:hint="eastAsia" w:ascii="方正黑体_GBK" w:hAnsi="方正黑体_GBK" w:eastAsia="方正黑体_GBK" w:cs="方正黑体_GBK"/>
          <w:bCs/>
          <w:color w:val="000000"/>
          <w:sz w:val="32"/>
          <w:szCs w:val="32"/>
        </w:rPr>
        <w:t xml:space="preserve">文本</w:t>
      </w:r>
      <w:r/>
    </w:p>
    <w:p>
      <w:pPr>
        <w:spacing w:line="400" w:lineRule="exact"/>
        <w:rPr>
          <w:rFonts w:ascii="宋体" w:hAnsi="宋体"/>
          <w:bCs/>
          <w:color w:val="ff0000"/>
          <w:sz w:val="24"/>
          <w:szCs w:val="24"/>
        </w:rPr>
      </w:pPr>
      <w:r/>
      <w:bookmarkStart w:id="173" w:name="_Toc513029243"/>
      <w:r/>
      <w:bookmarkStart w:id="174" w:name="_Toc20823315"/>
      <w:r/>
      <w:bookmarkStart w:id="175" w:name="_Toc3995"/>
      <w:r/>
      <w:bookmarkStart w:id="176" w:name="_Toc16938559"/>
      <w:r/>
      <w:bookmarkStart w:id="177" w:name="_Hlt16619350"/>
      <w:r/>
      <w:bookmarkStart w:id="178" w:name="_Toc120614244"/>
      <w:r/>
      <w:bookmarkStart w:id="179" w:name="_Toc16938590"/>
      <w:r/>
      <w:bookmarkStart w:id="180" w:name="_Toc20823346"/>
      <w:r/>
      <w:bookmarkStart w:id="181" w:name="_Toc479757211"/>
      <w:r/>
      <w:bookmarkStart w:id="182" w:name="_Toc462564139"/>
      <w:r/>
      <w:r/>
    </w:p>
    <w:p>
      <w:pPr>
        <w:ind w:firstLine="640"/>
        <w:spacing w:line="560" w:lineRule="exact"/>
        <w:rPr>
          <w:rFonts w:ascii="方正仿宋_GBK" w:hAnsi="方正仿宋_GBK" w:eastAsia="方正仿宋_GBK" w:cs="方正仿宋_GBK"/>
          <w:bCs/>
          <w:sz w:val="32"/>
          <w:szCs w:val="32"/>
        </w:rPr>
      </w:pPr>
      <w:r>
        <w:rPr>
          <w:rFonts w:ascii="方正仿宋_GBK" w:hAnsi="方正仿宋_GBK" w:eastAsia="方正仿宋_GBK" w:cs="方正仿宋_GBK"/>
          <w:bCs/>
          <w:sz w:val="32"/>
          <w:szCs w:val="32"/>
        </w:rPr>
      </w:r>
      <w:bookmarkEnd w:id="173"/>
      <w:r/>
      <w:bookmarkEnd w:id="174"/>
      <w:r/>
      <w:bookmarkEnd w:id="175"/>
      <w:r/>
      <w:bookmarkEnd w:id="176"/>
      <w:r/>
      <w:r/>
    </w:p>
    <w:p>
      <w:pPr>
        <w:spacing w:line="500" w:lineRule="exact"/>
        <w:rPr>
          <w:rFonts w:ascii="宋体" w:hAnsi="宋体"/>
          <w:bCs/>
          <w:color w:val="000000"/>
          <w:sz w:val="24"/>
          <w:szCs w:val="24"/>
        </w:rPr>
      </w:pPr>
      <w:r>
        <w:rPr>
          <w:rFonts w:ascii="宋体" w:hAnsi="宋体"/>
          <w:bCs/>
          <w:color w:val="000000"/>
          <w:sz w:val="24"/>
          <w:szCs w:val="24"/>
        </w:rPr>
      </w:r>
      <w:r/>
    </w:p>
    <w:p>
      <w:pPr>
        <w:pStyle w:val="96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61"/>
        <w:jc w:val="center"/>
        <w:rPr>
          <w:rFonts w:ascii="宋体" w:hAnsi="宋体" w:eastAsia="宋体" w:cs="宋体"/>
          <w:spacing w:val="-20"/>
          <w:sz w:val="32"/>
          <w:szCs w:val="32"/>
        </w:rPr>
      </w:pPr>
      <w:r>
        <w:rPr>
          <w:rFonts w:ascii="宋体" w:hAnsi="宋体" w:eastAsia="宋体" w:cs="宋体"/>
          <w:spacing w:val="-20"/>
          <w:sz w:val="32"/>
          <w:szCs w:val="32"/>
        </w:rPr>
      </w:r>
      <w:r/>
    </w:p>
    <w:p>
      <w:pPr>
        <w:pStyle w:val="961"/>
        <w:jc w:val="center"/>
        <w:spacing w:line="660" w:lineRule="exact"/>
        <w:rPr>
          <w:rFonts w:ascii="方正黑体_GBK" w:hAnsi="方正黑体_GBK" w:eastAsia="方正黑体_GBK" w:cs="方正黑体_GBK"/>
          <w:color w:val="000000"/>
          <w:spacing w:val="-20"/>
          <w:sz w:val="32"/>
          <w:szCs w:val="32"/>
        </w:rPr>
      </w:pPr>
      <w:r>
        <w:rPr>
          <w:rFonts w:hint="eastAsia" w:ascii="方正黑体_GBK" w:hAnsi="方正黑体_GBK" w:eastAsia="方正黑体_GBK" w:cs="方正黑体_GBK"/>
          <w:color w:val="000000"/>
          <w:spacing w:val="-20"/>
          <w:sz w:val="32"/>
          <w:szCs w:val="32"/>
        </w:rPr>
        <w:t xml:space="preserve">财政部 政府采购货物买卖合同（试行）</w:t>
      </w:r>
      <w:r/>
    </w:p>
    <w:p>
      <w:pPr>
        <w:pStyle w:val="961"/>
        <w:jc w:val="center"/>
        <w:spacing w:line="660" w:lineRule="exact"/>
        <w:rPr>
          <w:rFonts w:ascii="方正黑体_GBK" w:hAnsi="方正黑体_GBK" w:eastAsia="方正黑体_GBK" w:cs="方正黑体_GBK"/>
          <w:color w:val="000000"/>
          <w:spacing w:val="-20"/>
          <w:sz w:val="32"/>
          <w:szCs w:val="32"/>
        </w:rPr>
      </w:pPr>
      <w:r>
        <w:rPr>
          <w:rFonts w:hint="eastAsia" w:ascii="方正黑体_GBK" w:hAnsi="方正黑体_GBK" w:eastAsia="方正黑体_GBK" w:cs="方正黑体_GBK"/>
          <w:color w:val="000000"/>
          <w:spacing w:val="-20"/>
          <w:sz w:val="32"/>
          <w:szCs w:val="32"/>
        </w:rPr>
        <w:t xml:space="preserve">范    本</w:t>
      </w:r>
      <w:r/>
    </w:p>
    <w:p>
      <w:pPr>
        <w:spacing w:line="660" w:lineRule="exact"/>
        <w:rPr>
          <w:rFonts w:ascii="宋体" w:hAnsi="宋体" w:cs="宋体"/>
          <w:b/>
          <w:bCs/>
          <w:color w:val="0070c0"/>
          <w:spacing w:val="-20"/>
          <w:sz w:val="40"/>
          <w:szCs w:val="40"/>
        </w:rPr>
      </w:pPr>
      <w:r>
        <w:rPr>
          <w:rFonts w:ascii="宋体" w:hAnsi="宋体" w:cs="宋体"/>
          <w:b/>
          <w:bCs/>
          <w:color w:val="0070c0"/>
          <w:spacing w:val="-20"/>
          <w:sz w:val="40"/>
          <w:szCs w:val="40"/>
        </w:rPr>
      </w:r>
      <w:r/>
    </w:p>
    <w:p>
      <w:pPr>
        <w:spacing w:line="660" w:lineRule="exact"/>
        <w:rPr>
          <w:rFonts w:ascii="宋体" w:hAnsi="宋体" w:cs="宋体"/>
          <w:b/>
          <w:bCs/>
          <w:spacing w:val="-20"/>
          <w:sz w:val="40"/>
          <w:szCs w:val="40"/>
        </w:rPr>
      </w:pPr>
      <w:r>
        <w:rPr>
          <w:rFonts w:ascii="宋体" w:hAnsi="宋体" w:cs="宋体"/>
          <w:b/>
          <w:bCs/>
          <w:spacing w:val="-20"/>
          <w:sz w:val="40"/>
          <w:szCs w:val="40"/>
        </w:rPr>
      </w:r>
      <w:r/>
    </w:p>
    <w:p>
      <w:pPr>
        <w:spacing w:line="660" w:lineRule="exact"/>
        <w:rPr>
          <w:rFonts w:ascii="宋体" w:hAnsi="宋体" w:cs="宋体"/>
          <w:b/>
          <w:bCs/>
          <w:spacing w:val="-20"/>
          <w:sz w:val="40"/>
          <w:szCs w:val="40"/>
        </w:rPr>
      </w:pPr>
      <w:r>
        <w:rPr>
          <w:rFonts w:ascii="宋体" w:hAnsi="宋体" w:cs="宋体"/>
          <w:b/>
          <w:bCs/>
          <w:spacing w:val="-20"/>
          <w:sz w:val="40"/>
          <w:szCs w:val="40"/>
        </w:rPr>
      </w:r>
      <w:r/>
    </w:p>
    <w:p>
      <w:pPr>
        <w:ind w:left="420"/>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w:t>
      </w:r>
      <w:r>
        <w:rPr>
          <w:rFonts w:hint="eastAsia" w:ascii="方正黑体_GBK" w:hAnsi="方正黑体_GBK" w:eastAsia="方正黑体_GBK" w:cs="方正黑体_GBK"/>
          <w:sz w:val="32"/>
          <w:szCs w:val="32"/>
          <w:u w:val="single"/>
        </w:rPr>
        <w:t xml:space="preserve">                             </w:t>
      </w:r>
      <w:r/>
    </w:p>
    <w:p>
      <w:pPr>
        <w:ind w:left="420"/>
        <w:spacing w:line="660" w:lineRule="exact"/>
        <w:rPr>
          <w:rFonts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合同编号：</w:t>
      </w:r>
      <w:r>
        <w:rPr>
          <w:rFonts w:hint="eastAsia" w:ascii="方正黑体_GBK" w:hAnsi="方正黑体_GBK" w:eastAsia="方正黑体_GBK" w:cs="方正黑体_GBK"/>
          <w:sz w:val="32"/>
          <w:szCs w:val="32"/>
          <w:u w:val="single"/>
        </w:rPr>
        <w:t xml:space="preserve">                             </w:t>
      </w:r>
      <w:r/>
    </w:p>
    <w:p>
      <w:pPr>
        <w:ind w:left="420"/>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甲    方：</w:t>
      </w:r>
      <w:r>
        <w:rPr>
          <w:rFonts w:hint="eastAsia" w:ascii="方正黑体_GBK" w:hAnsi="方正黑体_GBK" w:eastAsia="方正黑体_GBK" w:cs="方正黑体_GBK"/>
          <w:sz w:val="32"/>
          <w:szCs w:val="32"/>
          <w:u w:val="single"/>
        </w:rPr>
        <w:t xml:space="preserve">                             </w:t>
      </w:r>
      <w:r/>
    </w:p>
    <w:p>
      <w:pPr>
        <w:ind w:left="420"/>
        <w:spacing w:line="660" w:lineRule="exact"/>
        <w:rPr>
          <w:rFonts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乙    方：</w:t>
      </w:r>
      <w:r>
        <w:rPr>
          <w:rFonts w:hint="eastAsia" w:ascii="方正黑体_GBK" w:hAnsi="方正黑体_GBK" w:eastAsia="方正黑体_GBK" w:cs="方正黑体_GBK"/>
          <w:sz w:val="32"/>
          <w:szCs w:val="32"/>
          <w:u w:val="single"/>
        </w:rPr>
        <w:t xml:space="preserve">                             </w:t>
      </w:r>
      <w:r/>
    </w:p>
    <w:p>
      <w:pPr>
        <w:ind w:left="420"/>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签订时间：</w:t>
      </w:r>
      <w:r>
        <w:rPr>
          <w:rFonts w:hint="eastAsia" w:ascii="方正黑体_GBK" w:hAnsi="方正黑体_GBK" w:eastAsia="方正黑体_GBK" w:cs="方正黑体_GBK"/>
          <w:sz w:val="32"/>
          <w:szCs w:val="32"/>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pStyle w:val="932"/>
        <w:spacing w:line="660" w:lineRule="exact"/>
        <w:rPr>
          <w:rFonts w:ascii="黑体" w:hAnsi="华文中宋" w:eastAsia="黑体"/>
          <w:b w:val="0"/>
          <w:bCs w:val="0"/>
          <w:sz w:val="28"/>
          <w:szCs w:val="28"/>
        </w:rPr>
      </w:pPr>
      <w:r>
        <w:rPr>
          <w:rFonts w:hint="eastAsia" w:ascii="黑体" w:hAnsi="黑体" w:eastAsia="黑体"/>
          <w:b w:val="0"/>
          <w:bCs w:val="0"/>
          <w:sz w:val="32"/>
          <w:szCs w:val="32"/>
        </w:rPr>
        <w:br w:type="page" w:clear="all"/>
        <w:t xml:space="preserve">第一节 </w:t>
      </w:r>
      <w:r>
        <w:rPr>
          <w:rFonts w:hint="eastAsia" w:ascii="黑体" w:hAnsi="华文中宋" w:eastAsia="黑体"/>
          <w:b w:val="0"/>
          <w:bCs w:val="0"/>
          <w:sz w:val="32"/>
          <w:szCs w:val="32"/>
        </w:rPr>
        <w:t xml:space="preserve">政府采购合同协议书</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（采购人、受采购人委托签订合同的单位或采购文件约定的合同甲方）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乙方1（全称）：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（供应商）</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乙方2（全称）：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（联合体成员供应商或其他合同主体）（如有）</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乙方3（全称）：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（联合体成员供应商或其他合同主体）（如有）</w:t>
      </w:r>
      <w:r/>
    </w:p>
    <w:p>
      <w:pPr>
        <w:pStyle w:val="963"/>
        <w:ind w:left="0" w:firstLine="640"/>
        <w:spacing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640"/>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1.项目信息</w:t>
      </w:r>
      <w:r/>
    </w:p>
    <w:p>
      <w:pPr>
        <w:pStyle w:val="963"/>
        <w:numPr>
          <w:ilvl w:val="0"/>
          <w:numId w:val="5"/>
        </w:numPr>
        <w:ind w:left="0" w:firstLine="640"/>
        <w:spacing w:after="0"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采购项目名称：</w:t>
      </w:r>
      <w:r>
        <w:rPr>
          <w:rFonts w:hint="eastAsia" w:ascii="方正仿宋_GBK" w:hAnsi="方正仿宋_GBK" w:eastAsia="方正仿宋_GBK" w:cs="方正仿宋_GBK"/>
          <w:sz w:val="32"/>
          <w:szCs w:val="32"/>
          <w:u w:val="single"/>
        </w:rPr>
        <w:t xml:space="preserve">                                          </w:t>
      </w:r>
      <w:r/>
    </w:p>
    <w:p>
      <w:pPr>
        <w:pStyle w:val="963"/>
        <w:ind w:left="0" w:firstLine="640"/>
        <w:spacing w:after="0" w:line="560" w:lineRule="exact"/>
        <w:tabs>
          <w:tab w:val="left" w:pos="999"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采购项目编号：</w:t>
      </w:r>
      <w:r>
        <w:rPr>
          <w:rFonts w:hint="eastAsia" w:ascii="方正仿宋_GBK" w:hAnsi="方正仿宋_GBK" w:eastAsia="方正仿宋_GBK" w:cs="方正仿宋_GBK"/>
          <w:sz w:val="32"/>
          <w:szCs w:val="32"/>
          <w:u w:val="single"/>
        </w:rPr>
        <w:t xml:space="preserve">                                          </w:t>
      </w:r>
      <w:r/>
    </w:p>
    <w:p>
      <w:pPr>
        <w:pStyle w:val="963"/>
        <w:ind w:left="0" w:firstLine="640"/>
        <w:spacing w:after="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（2）采购计划编号：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（3）项目内容：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采购标的及数量（台/套</w:t>
      </w:r>
      <w:r>
        <w:rPr>
          <w:rFonts w:hint="eastAsia" w:ascii="方正仿宋_GBK" w:hAnsi="方正仿宋_GBK" w:eastAsia="方正仿宋_GBK" w:cs="方正仿宋_GBK"/>
          <w:sz w:val="32"/>
          <w:szCs w:val="32"/>
          <w:lang w:val="en"/>
        </w:rPr>
        <w:t xml:space="preserve">/个/架/组等</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lang w:val="en"/>
        </w:rPr>
        <w:t xml:space="preserve"> </w:t>
      </w:r>
      <w:r>
        <w:rPr>
          <w:rFonts w:hint="eastAsia" w:ascii="方正仿宋_GBK" w:hAnsi="方正仿宋_GBK" w:eastAsia="方正仿宋_GBK" w:cs="方正仿宋_GBK"/>
          <w:sz w:val="32"/>
          <w:szCs w:val="32"/>
        </w:rPr>
        <w:t xml:space="preserve">规格型号：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采购标的的技术要求、商务要求具体见附件。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①涉及信息类产品，请填写该产品关键部件的品牌、型号：</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（注：关键部件是指财政部会同有关部门发布的政府采购需求标准规定的需要通过国家有关部门指定的测评机构开展的安全可靠测评的软硬件，如CPU芯片、操作系统、数据库等。）</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②涉及车辆采购，请填写是否属于新能源汽车：</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是，《政府采购品目分类目录》底级品目名称：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数量：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金额：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4</w:t>
      </w:r>
      <w:r>
        <w:rPr>
          <w:rFonts w:hint="eastAsia" w:ascii="方正仿宋_GBK" w:hAnsi="方正仿宋_GBK" w:eastAsia="方正仿宋_GBK" w:cs="方正仿宋_GBK"/>
          <w:sz w:val="32"/>
          <w:szCs w:val="32"/>
        </w:rPr>
        <w:t xml:space="preserve">）政府采购组织形式：</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政府集中采购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部门集中采购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分散采购</w:t>
      </w:r>
      <w:r/>
    </w:p>
    <w:p>
      <w:pPr>
        <w:pStyle w:val="1043"/>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5</w:t>
      </w:r>
      <w:r>
        <w:rPr>
          <w:rFonts w:hint="eastAsia" w:ascii="方正仿宋_GBK" w:hAnsi="方正仿宋_GBK" w:eastAsia="方正仿宋_GBK" w:cs="方正仿宋_GBK"/>
          <w:sz w:val="32"/>
          <w:szCs w:val="32"/>
        </w:rPr>
        <w:t xml:space="preserve">）政府采购方式：</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公开招标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邀请招标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竞争性谈判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竞争性磋商</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询价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单一来源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框架协议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其他：</w:t>
      </w:r>
      <w:r>
        <w:rPr>
          <w:rFonts w:hint="eastAsia" w:ascii="方正仿宋_GBK" w:hAnsi="方正仿宋_GBK" w:eastAsia="方正仿宋_GBK" w:cs="方正仿宋_GBK"/>
          <w:sz w:val="32"/>
          <w:szCs w:val="32"/>
          <w:u w:val="single"/>
        </w:rPr>
        <w:t xml:space="preserve">          </w:t>
      </w:r>
      <w:r/>
    </w:p>
    <w:p>
      <w:pPr>
        <w:pStyle w:val="1043"/>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（注：在框架协议采购的第二阶段，可选择使用该合同文本）</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6</w:t>
      </w:r>
      <w:r>
        <w:rPr>
          <w:rFonts w:hint="eastAsia" w:ascii="方正仿宋_GBK" w:hAnsi="方正仿宋_GBK" w:eastAsia="方正仿宋_GBK" w:cs="方正仿宋_GBK"/>
          <w:sz w:val="32"/>
          <w:szCs w:val="32"/>
        </w:rPr>
        <w:t xml:space="preserve">）中标（成交）采购标的制造商是否为中小企业：</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ind w:firstLine="640"/>
        <w:spacing w:line="560" w:lineRule="exact"/>
        <w:rPr>
          <w:rFonts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本合同是否为专门面向中小企业的采购合同（中小企业预留合同）：</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ind w:firstLine="640"/>
        <w:spacing w:line="560" w:lineRule="exact"/>
        <w:rPr>
          <w:rFonts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若本项目不专门面向中小企业采购，是否给予小微企业评审优惠：</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ind w:firstLine="640"/>
        <w:spacing w:line="560" w:lineRule="exact"/>
        <w:rPr>
          <w:rFonts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中标（成交）采购标的制造商是否为残疾人福利性单位：</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中标（成交）采购标的制造商是否为监狱企业：</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7</w:t>
      </w:r>
      <w:r>
        <w:rPr>
          <w:rFonts w:hint="eastAsia" w:ascii="方正仿宋_GBK" w:hAnsi="方正仿宋_GBK" w:eastAsia="方正仿宋_GBK" w:cs="方正仿宋_GBK"/>
          <w:sz w:val="32"/>
          <w:szCs w:val="32"/>
        </w:rPr>
        <w:t xml:space="preserve">）合同是否分包：</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分包主要内容：</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分包供应商/制造商名称（如供应商和制造商不同，请分别填写）：</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分包供应商/制造商类型（如果供应商和制造商不同，只填写制造商类型）：</w:t>
      </w:r>
      <w:r/>
    </w:p>
    <w:p>
      <w:pPr>
        <w:ind w:firstLine="640"/>
        <w:spacing w:line="560" w:lineRule="exact"/>
        <w:rPr>
          <w:rFonts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大型企业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中型企业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小微型企业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残疾人福利性单位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监狱企业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其他</w:t>
      </w:r>
      <w:r/>
    </w:p>
    <w:p>
      <w:pPr>
        <w:ind w:firstLine="640"/>
        <w:spacing w:line="560" w:lineRule="exact"/>
        <w:rPr>
          <w:rFonts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8</w:t>
      </w:r>
      <w:r>
        <w:rPr>
          <w:rFonts w:hint="eastAsia" w:ascii="方正仿宋_GBK" w:hAnsi="方正仿宋_GBK" w:eastAsia="方正仿宋_GBK" w:cs="方正仿宋_GBK"/>
          <w:sz w:val="32"/>
          <w:szCs w:val="32"/>
        </w:rPr>
        <w:t xml:space="preserve">）中标（成交）供应商是否为外商投资企业：</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pStyle w:val="1043"/>
        <w:ind w:firstLine="640"/>
        <w:spacing w:line="560" w:lineRule="exact"/>
        <w:tabs>
          <w:tab w:val="left" w:pos="1340" w:leader="none"/>
        </w:tabs>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外商投资企业类型：</w:t>
      </w:r>
      <w:r>
        <w:rPr>
          <w:rFonts w:ascii="Wingdings" w:hAnsi="Wingdings" w:eastAsia="Wingdings" w:cs="Wingdings"/>
          <w:iCs/>
          <w:sz w:val="32"/>
          <w:szCs w:val="32"/>
        </w:rPr>
        <w:t xml:space="preserve"></w:t>
      </w:r>
      <w:r>
        <w:rPr>
          <w:rFonts w:hint="eastAsia" w:ascii="方正仿宋_GBK" w:hAnsi="方正仿宋_GBK" w:eastAsia="方正仿宋_GBK" w:cs="方正仿宋_GBK"/>
          <w:sz w:val="32"/>
          <w:szCs w:val="32"/>
        </w:rPr>
        <w:t xml:space="preserve">全部由外国投资者投资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部分由外国投资者投资</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9</w:t>
      </w:r>
      <w:r>
        <w:rPr>
          <w:rFonts w:hint="eastAsia" w:ascii="方正仿宋_GBK" w:hAnsi="方正仿宋_GBK" w:eastAsia="方正仿宋_GBK" w:cs="方正仿宋_GBK"/>
          <w:sz w:val="32"/>
          <w:szCs w:val="32"/>
        </w:rPr>
        <w:t xml:space="preserve">）是否涉及进口产品：</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是，《政府采购品目分类目录》底级品目名称：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金额：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国别：</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规格型号：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ind w:firstLine="640"/>
        <w:spacing w:line="560" w:lineRule="exact"/>
        <w:tabs>
          <w:tab w:val="left" w:pos="74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
        </w:rPr>
        <w:t xml:space="preserve">0</w:t>
      </w:r>
      <w:r>
        <w:rPr>
          <w:rFonts w:hint="eastAsia" w:ascii="方正仿宋_GBK" w:hAnsi="方正仿宋_GBK" w:eastAsia="方正仿宋_GBK" w:cs="方正仿宋_GBK"/>
          <w:sz w:val="32"/>
          <w:szCs w:val="32"/>
        </w:rPr>
        <w:t xml:space="preserve">）是否涉及节能产品：</w:t>
      </w:r>
      <w:r/>
    </w:p>
    <w:p>
      <w:pPr>
        <w:ind w:firstLine="640"/>
        <w:spacing w:line="560" w:lineRule="exact"/>
        <w:tabs>
          <w:tab w:val="left" w:pos="740" w:leader="none"/>
        </w:tabs>
        <w:rPr>
          <w:rFonts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是，《节能产品政府采购品目清单》的底级品目名称：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iCs/>
          <w:sz w:val="32"/>
          <w:szCs w:val="32"/>
        </w:rPr>
        <w:t xml:space="preserve">     </w:t>
      </w:r>
      <w:r/>
    </w:p>
    <w:p>
      <w:pPr>
        <w:ind w:firstLine="640"/>
        <w:spacing w:line="560" w:lineRule="exact"/>
        <w:tabs>
          <w:tab w:val="left" w:pos="740" w:leader="none"/>
        </w:tabs>
        <w:rPr>
          <w:rFonts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p>
    <w:p>
      <w:pPr>
        <w:ind w:firstLine="640"/>
        <w:spacing w:line="560" w:lineRule="exact"/>
        <w:tabs>
          <w:tab w:val="left" w:pos="74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ind w:firstLine="640"/>
        <w:spacing w:line="560" w:lineRule="exact"/>
        <w:tabs>
          <w:tab w:val="left" w:pos="74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是否涉及环境标志产品：</w:t>
      </w:r>
      <w:r/>
    </w:p>
    <w:p>
      <w:pPr>
        <w:ind w:firstLine="640"/>
        <w:spacing w:line="560" w:lineRule="exact"/>
        <w:tabs>
          <w:tab w:val="left" w:pos="74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是，《环境标志产品政府采购品目清单》的底级品目名称：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iCs/>
          <w:sz w:val="32"/>
          <w:szCs w:val="32"/>
        </w:rPr>
        <w:t xml:space="preserve"> </w:t>
      </w:r>
      <w:r/>
    </w:p>
    <w:p>
      <w:pPr>
        <w:ind w:firstLine="640"/>
        <w:spacing w:line="560" w:lineRule="exact"/>
        <w:tabs>
          <w:tab w:val="left" w:pos="740" w:leader="none"/>
        </w:tabs>
        <w:rPr>
          <w:rFonts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p>
    <w:p>
      <w:pPr>
        <w:ind w:firstLine="640"/>
        <w:spacing w:line="560" w:lineRule="exact"/>
        <w:tabs>
          <w:tab w:val="left" w:pos="740" w:leader="none"/>
        </w:tabs>
        <w:rPr>
          <w:rFonts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是否涉及绿色产品： </w:t>
      </w:r>
      <w:r/>
    </w:p>
    <w:p>
      <w:pPr>
        <w:pStyle w:val="1043"/>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是，绿色产品政府采购相关政策确定的底级品目名称：</w:t>
      </w:r>
      <w:r>
        <w:rPr>
          <w:rFonts w:hint="eastAsia" w:ascii="方正仿宋_GBK" w:hAnsi="方正仿宋_GBK" w:eastAsia="方正仿宋_GBK" w:cs="方正仿宋_GBK"/>
          <w:sz w:val="32"/>
          <w:szCs w:val="32"/>
          <w:u w:val="single"/>
        </w:rPr>
        <w:t xml:space="preserve">         </w:t>
      </w:r>
      <w:r/>
    </w:p>
    <w:p>
      <w:pPr>
        <w:pStyle w:val="1043"/>
        <w:ind w:firstLine="640"/>
        <w:spacing w:line="560" w:lineRule="exact"/>
        <w:rPr>
          <w:rFonts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p>
    <w:p>
      <w:pPr>
        <w:pStyle w:val="1043"/>
        <w:ind w:firstLine="960"/>
        <w:spacing w:line="560" w:lineRule="exact"/>
        <w:rPr>
          <w:rFonts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
        </w:rPr>
        <w:t xml:space="preserve">1</w:t>
      </w:r>
      <w:r>
        <w:rPr>
          <w:rFonts w:hint="eastAsia" w:ascii="方正仿宋_GBK" w:hAnsi="方正仿宋_GBK" w:eastAsia="方正仿宋_GBK" w:cs="方正仿宋_GBK"/>
          <w:sz w:val="32"/>
          <w:szCs w:val="32"/>
        </w:rPr>
        <w:t xml:space="preserve">）涉及商品包装和快递包装的，是否参考《商品包装政府采购需求标准（试行）》、《快递包装政府采购需求标准（试行）》明确产品及相关快递服务的具体包装要求：</w:t>
      </w:r>
      <w:r/>
    </w:p>
    <w:p>
      <w:pPr>
        <w:ind w:firstLine="960"/>
        <w:spacing w:line="560" w:lineRule="exact"/>
        <w:rPr>
          <w:rFonts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不涉及</w:t>
      </w:r>
      <w:r/>
    </w:p>
    <w:p>
      <w:pPr>
        <w:ind w:firstLine="640"/>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2.合同金额</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（1）合同金额小写：</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大写：</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分包金额（如有）小写：</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大写：</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（注：固定单价合同应填写单价和最高限价）</w:t>
      </w:r>
      <w:r/>
    </w:p>
    <w:p>
      <w:pPr>
        <w:ind w:left="42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合同定价方式（采用组合定价方式的，可以勾选多项）：</w:t>
      </w:r>
      <w:r/>
    </w:p>
    <w:p>
      <w:pPr>
        <w:ind w:firstLine="640"/>
        <w:spacing w:line="560" w:lineRule="exact"/>
      </w:pPr>
      <w:r>
        <w:rPr>
          <w:rFonts w:hint="eastAsia" w:ascii="方正仿宋_GBK" w:hAnsi="方正仿宋_GBK" w:eastAsia="方正仿宋_GBK" w:cs="方正仿宋_GBK"/>
          <w:sz w:val="32"/>
          <w:szCs w:val="32"/>
        </w:rPr>
        <w:t xml:space="preserve">（2）</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固定总价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固定单价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固定费率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成本补偿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绩效激励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其他     </w:t>
      </w:r>
      <w:r>
        <w:rPr>
          <w:rFonts w:hint="eastAsia"/>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（3）付款方式（按项目实际勾选填写）：</w:t>
      </w:r>
      <w:r/>
    </w:p>
    <w:p>
      <w:pPr>
        <w:ind w:firstLine="640"/>
        <w:spacing w:line="560" w:lineRule="exact"/>
        <w:rPr>
          <w:rFonts w:ascii="方正仿宋_GBK" w:hAnsi="方正仿宋_GBK" w:eastAsia="方正仿宋_GBK" w:cs="方正仿宋_GBK"/>
          <w:sz w:val="32"/>
          <w:szCs w:val="32"/>
          <w:u w:val="single"/>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全额付款：</w:t>
      </w:r>
      <w:r>
        <w:rPr>
          <w:rFonts w:hint="eastAsia" w:ascii="方正仿宋_GBK" w:hAnsi="方正仿宋_GBK" w:eastAsia="方正仿宋_GBK" w:cs="方正仿宋_GBK"/>
          <w:sz w:val="32"/>
          <w:szCs w:val="32"/>
          <w:u w:val="single"/>
        </w:rPr>
        <w:t xml:space="preserve">   （应明确一次性支付合同款项的条件）                    </w:t>
      </w:r>
      <w:r/>
    </w:p>
    <w:p>
      <w:pPr>
        <w:ind w:firstLine="640"/>
        <w:spacing w:line="560" w:lineRule="exact"/>
        <w:rPr>
          <w:rFonts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分期付款：</w:t>
      </w:r>
      <w:r>
        <w:rPr>
          <w:rFonts w:hint="eastAsia" w:ascii="方正仿宋_GBK" w:hAnsi="方正仿宋_GBK" w:eastAsia="方正仿宋_GBK" w:cs="方正仿宋_GBK"/>
          <w:sz w:val="32"/>
          <w:szCs w:val="32"/>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32"/>
          <w:szCs w:val="32"/>
        </w:rPr>
        <w:t xml:space="preserve">，其中涉及预付款的：</w:t>
      </w:r>
      <w:r>
        <w:rPr>
          <w:rFonts w:hint="eastAsia" w:ascii="方正仿宋_GBK" w:hAnsi="方正仿宋_GBK" w:eastAsia="方正仿宋_GBK" w:cs="方正仿宋_GBK"/>
          <w:sz w:val="32"/>
          <w:szCs w:val="32"/>
          <w:u w:val="single"/>
        </w:rPr>
        <w:t xml:space="preserve"> （应明确预付款的支付比例和支付条件） </w:t>
      </w:r>
      <w:r/>
    </w:p>
    <w:p>
      <w:pPr>
        <w:ind w:firstLine="640"/>
        <w:spacing w:line="560" w:lineRule="exact"/>
        <w:rPr>
          <w:rFonts w:ascii="方正仿宋_GBK" w:hAnsi="方正仿宋_GBK" w:eastAsia="方正仿宋_GBK" w:cs="方正仿宋_GBK"/>
          <w:sz w:val="32"/>
          <w:szCs w:val="32"/>
          <w:u w:val="single"/>
        </w:rPr>
      </w:pPr>
      <w:r>
        <w:rPr>
          <w:rFonts w:ascii="Wingdings" w:hAnsi="Wingdings" w:eastAsia="Wingdings" w:cs="Wingdings"/>
          <w:sz w:val="32"/>
          <w:szCs w:val="32"/>
          <w:u w:val="single"/>
        </w:rPr>
        <w:t xml:space="preserve"></w:t>
      </w:r>
      <w:r>
        <w:rPr>
          <w:rFonts w:hint="eastAsia" w:ascii="方正仿宋_GBK" w:hAnsi="方正仿宋_GBK" w:eastAsia="方正仿宋_GBK" w:cs="方正仿宋_GBK"/>
          <w:sz w:val="32"/>
          <w:szCs w:val="32"/>
          <w:u w:val="single"/>
        </w:rPr>
        <w:t xml:space="preserve">成本补偿：      （应明确按照成本补偿方式的支付方式和支付条件）   </w:t>
      </w:r>
      <w:r/>
    </w:p>
    <w:p>
      <w:pPr>
        <w:ind w:firstLine="640"/>
        <w:spacing w:line="560" w:lineRule="exact"/>
        <w:rPr>
          <w:rFonts w:ascii="方正仿宋_GBK" w:hAnsi="方正仿宋_GBK" w:eastAsia="方正仿宋_GBK" w:cs="方正仿宋_GBK"/>
          <w:sz w:val="32"/>
          <w:szCs w:val="32"/>
          <w:u w:val="single"/>
        </w:rPr>
      </w:pPr>
      <w:r>
        <w:rPr>
          <w:rFonts w:ascii="Wingdings" w:hAnsi="Wingdings" w:eastAsia="Wingdings" w:cs="Wingdings"/>
          <w:sz w:val="32"/>
          <w:szCs w:val="32"/>
          <w:u w:val="single"/>
        </w:rPr>
        <w:t xml:space="preserve"></w:t>
      </w:r>
      <w:r>
        <w:rPr>
          <w:rFonts w:hint="eastAsia" w:ascii="方正仿宋_GBK" w:hAnsi="方正仿宋_GBK" w:eastAsia="方正仿宋_GBK" w:cs="方正仿宋_GBK"/>
          <w:sz w:val="32"/>
          <w:szCs w:val="32"/>
          <w:u w:val="single"/>
        </w:rPr>
        <w:t xml:space="preserve">绩效激励：      （应明确按照绩效激励方式的支付方式和支付条件）   </w:t>
      </w:r>
      <w:r/>
    </w:p>
    <w:p>
      <w:pPr>
        <w:ind w:firstLine="640"/>
        <w:spacing w:line="560" w:lineRule="exact"/>
        <w:rPr>
          <w:rFonts w:ascii="方正仿宋_GBK" w:hAnsi="方正仿宋_GBK" w:eastAsia="方正仿宋_GBK" w:cs="方正仿宋_GBK"/>
          <w:b/>
          <w:sz w:val="32"/>
          <w:szCs w:val="32"/>
          <w:u w:val="single"/>
        </w:rPr>
      </w:pPr>
      <w:r>
        <w:rPr>
          <w:rFonts w:hint="eastAsia" w:ascii="方正仿宋_GBK" w:hAnsi="方正仿宋_GBK" w:eastAsia="方正仿宋_GBK" w:cs="方正仿宋_GBK"/>
          <w:b/>
          <w:sz w:val="32"/>
          <w:szCs w:val="32"/>
        </w:rPr>
        <w:t xml:space="preserve">3.合同履行</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（1）起始日期：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日，完成日期：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p>
    <w:p>
      <w:pPr>
        <w:ind w:firstLine="640"/>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（2）履约地点</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（3）履约担保：</w:t>
      </w:r>
      <w:r>
        <w:rPr>
          <w:rFonts w:hint="eastAsia" w:ascii="方正仿宋_GBK" w:hAnsi="方正仿宋_GBK" w:eastAsia="方正仿宋_GBK" w:cs="方正仿宋_GBK"/>
          <w:sz w:val="32"/>
          <w:szCs w:val="32"/>
        </w:rPr>
        <w:t xml:space="preserve">是否收取履约保证金：</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收取履约保证金形式：</w:t>
      </w:r>
      <w:r>
        <w:rPr>
          <w:rFonts w:hint="eastAsia" w:ascii="方正仿宋_GBK" w:hAnsi="方正仿宋_GBK" w:eastAsia="方正仿宋_GBK" w:cs="方正仿宋_GBK"/>
          <w:bCs/>
          <w:sz w:val="32"/>
          <w:szCs w:val="32"/>
          <w:u w:val="single"/>
        </w:rPr>
        <w:t xml:space="preserve">        保函                    </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收取履约保证金金额：</w:t>
      </w:r>
      <w:r>
        <w:rPr>
          <w:rFonts w:hint="eastAsia" w:ascii="方正仿宋_GBK" w:hAnsi="方正仿宋_GBK" w:eastAsia="方正仿宋_GBK" w:cs="方正仿宋_GBK"/>
          <w:bCs/>
          <w:sz w:val="32"/>
          <w:szCs w:val="32"/>
          <w:u w:val="single"/>
        </w:rPr>
        <w:t xml:space="preserve">        合同总价的10%                   </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履约担保期限：</w:t>
      </w:r>
      <w:r>
        <w:rPr>
          <w:rFonts w:hint="eastAsia" w:ascii="方正仿宋_GBK" w:hAnsi="方正仿宋_GBK" w:eastAsia="方正仿宋_GBK" w:cs="方正仿宋_GBK"/>
          <w:bCs/>
          <w:sz w:val="32"/>
          <w:szCs w:val="32"/>
          <w:u w:val="single"/>
        </w:rPr>
        <w:t xml:space="preserve">    自项目验收合格后半年                              </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履约保证金退还方式：按照相关规定和流程无息退还</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履约保证金退还条件：验收合格满半年后</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履约保证金不予退还的情形：未按合同要求履约</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（4）分期履行要求：</w:t>
      </w:r>
      <w:r>
        <w:rPr>
          <w:rFonts w:hint="eastAsia" w:ascii="方正仿宋_GBK" w:hAnsi="方正仿宋_GBK" w:eastAsia="方正仿宋_GBK" w:cs="方正仿宋_GBK"/>
          <w:bCs/>
          <w:sz w:val="32"/>
          <w:szCs w:val="32"/>
          <w:u w:val="single"/>
        </w:rPr>
        <w:t xml:space="preserve">                                                        </w:t>
      </w:r>
      <w:r/>
    </w:p>
    <w:p>
      <w:pPr>
        <w:ind w:firstLine="640"/>
        <w:spacing w:line="560" w:lineRule="exact"/>
        <w:rPr>
          <w:rFonts w:ascii="宋体" w:hAnsi="宋体" w:cs="宋体"/>
          <w:szCs w:val="21"/>
          <w:u w:val="single"/>
        </w:rPr>
      </w:pPr>
      <w:r>
        <w:rPr>
          <w:rFonts w:hint="eastAsia" w:ascii="方正仿宋_GBK" w:hAnsi="方正仿宋_GBK" w:eastAsia="方正仿宋_GBK" w:cs="方正仿宋_GBK"/>
          <w:bCs/>
          <w:sz w:val="32"/>
          <w:szCs w:val="32"/>
        </w:rPr>
        <w:t xml:space="preserve">（5）风险处置措施和替代方案：</w:t>
      </w:r>
      <w:r>
        <w:rPr>
          <w:rFonts w:hint="eastAsia" w:ascii="方正仿宋_GBK" w:hAnsi="方正仿宋_GBK" w:eastAsia="方正仿宋_GBK" w:cs="方正仿宋_GBK"/>
          <w:color w:val="0000ff"/>
          <w:sz w:val="32"/>
          <w:szCs w:val="32"/>
          <w:u w:val="single"/>
        </w:rPr>
        <w:t xml:space="preserve">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sz w:val="32"/>
          <w:szCs w:val="32"/>
          <w:u w:val="single"/>
        </w:rPr>
        <w:t xml:space="preserve">                                </w:t>
      </w:r>
      <w:r>
        <w:rPr>
          <w:rFonts w:hint="eastAsia" w:ascii="宋体" w:hAnsi="宋体" w:cs="宋体"/>
          <w:szCs w:val="21"/>
          <w:u w:val="single"/>
        </w:rPr>
        <w:t xml:space="preserve"> </w:t>
      </w:r>
      <w:r/>
    </w:p>
    <w:p>
      <w:pPr>
        <w:ind w:firstLine="640"/>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4.合同验收</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（1）验收组织方式：</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自行组织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委托第三方组织</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验收主体：</w:t>
      </w:r>
      <w:r>
        <w:rPr>
          <w:rFonts w:hint="eastAsia" w:ascii="方正仿宋_GBK" w:hAnsi="方正仿宋_GBK" w:eastAsia="方正仿宋_GBK" w:cs="方正仿宋_GBK"/>
          <w:bCs/>
          <w:sz w:val="32"/>
          <w:szCs w:val="32"/>
          <w:u w:val="single"/>
        </w:rPr>
        <w:t xml:space="preserve">                  </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是否邀请本项目的其他供应商参加验收：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是否邀请专家参加验收：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是否邀请服务对象参加验收：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是否邀请第三方检测机构参加验收：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是否进行抽查检测：</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是，抽查比例：</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ind w:firstLine="640"/>
        <w:spacing w:line="560" w:lineRule="exact"/>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是否存在破坏性检测：</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w:t>
      </w:r>
      <w:r>
        <w:rPr>
          <w:rFonts w:hint="eastAsia" w:ascii="方正仿宋_GBK" w:hAnsi="方正仿宋_GBK" w:eastAsia="方正仿宋_GBK" w:cs="方正仿宋_GBK"/>
          <w:bCs/>
          <w:sz w:val="32"/>
          <w:szCs w:val="32"/>
          <w:u w:val="single"/>
        </w:rPr>
        <w:t xml:space="preserve">（应明确对被破坏的检测产品的处理方式）</w:t>
      </w:r>
      <w:r/>
    </w:p>
    <w:p>
      <w:pPr>
        <w:ind w:firstLine="640"/>
        <w:spacing w:line="560" w:lineRule="exact"/>
        <w:rPr>
          <w:rFonts w:ascii="方正仿宋_GBK" w:hAnsi="方正仿宋_GBK" w:eastAsia="方正仿宋_GBK" w:cs="方正仿宋_GBK"/>
          <w:bCs/>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ind w:firstLine="640"/>
        <w:spacing w:line="560" w:lineRule="exact"/>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验收组织的其他事项：</w:t>
      </w:r>
      <w:r>
        <w:rPr>
          <w:rFonts w:hint="eastAsia" w:ascii="方正仿宋_GBK" w:hAnsi="方正仿宋_GBK" w:eastAsia="方正仿宋_GBK" w:cs="方正仿宋_GBK"/>
          <w:bCs/>
          <w:sz w:val="32"/>
          <w:szCs w:val="32"/>
          <w:u w:val="single"/>
        </w:rPr>
        <w:t xml:space="preserve">                </w:t>
      </w:r>
      <w:r/>
    </w:p>
    <w:p>
      <w:pPr>
        <w:ind w:firstLine="640"/>
        <w:spacing w:line="560" w:lineRule="exact"/>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（2）履约验收时间：</w:t>
      </w:r>
      <w:r>
        <w:rPr>
          <w:rFonts w:hint="eastAsia" w:ascii="方正仿宋_GBK" w:hAnsi="方正仿宋_GBK" w:eastAsia="方正仿宋_GBK" w:cs="方正仿宋_GBK"/>
          <w:bCs/>
          <w:sz w:val="32"/>
          <w:szCs w:val="32"/>
          <w:u w:val="single"/>
        </w:rPr>
        <w:t xml:space="preserve">（计划于何时验收/供应商提出验收申请之日起   日内组织验收） </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（3）履约验收方式：</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一次性验收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分期/分项验收：</w:t>
      </w:r>
      <w:r>
        <w:rPr>
          <w:rFonts w:hint="eastAsia" w:ascii="方正仿宋_GBK" w:hAnsi="方正仿宋_GBK" w:eastAsia="方正仿宋_GBK" w:cs="方正仿宋_GBK"/>
          <w:bCs/>
          <w:sz w:val="32"/>
          <w:szCs w:val="32"/>
          <w:u w:val="single"/>
        </w:rPr>
        <w:t xml:space="preserve"> （应明确分期</w:t>
      </w:r>
      <w:r>
        <w:rPr>
          <w:rFonts w:hint="eastAsia" w:ascii="方正仿宋_GBK" w:hAnsi="方正仿宋_GBK" w:eastAsia="方正仿宋_GBK" w:cs="方正仿宋_GBK"/>
          <w:bCs/>
          <w:sz w:val="32"/>
          <w:szCs w:val="32"/>
          <w:u w:val="single"/>
          <w:lang w:val="en"/>
        </w:rPr>
        <w:t xml:space="preserve">/分项验收的工作安排</w:t>
      </w:r>
      <w:r>
        <w:rPr>
          <w:rFonts w:hint="eastAsia" w:ascii="方正仿宋_GBK" w:hAnsi="方正仿宋_GBK" w:eastAsia="方正仿宋_GBK" w:cs="方正仿宋_GBK"/>
          <w:bCs/>
          <w:sz w:val="32"/>
          <w:szCs w:val="32"/>
          <w:u w:val="single"/>
        </w:rPr>
        <w:t xml:space="preserve">）  </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（4）履约验收程序：</w:t>
      </w:r>
      <w:r>
        <w:rPr>
          <w:rFonts w:hint="eastAsia" w:ascii="方正仿宋_GBK" w:hAnsi="方正仿宋_GBK" w:eastAsia="方正仿宋_GBK" w:cs="方正仿宋_GBK"/>
          <w:bCs/>
          <w:sz w:val="32"/>
          <w:szCs w:val="32"/>
          <w:u w:val="single"/>
        </w:rPr>
        <w:t xml:space="preserve">                                         </w:t>
      </w:r>
      <w:r/>
    </w:p>
    <w:p>
      <w:pPr>
        <w:ind w:firstLine="640"/>
        <w:spacing w:line="560" w:lineRule="exact"/>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（5）履约验收的内容：</w:t>
      </w:r>
      <w:r>
        <w:rPr>
          <w:rFonts w:hint="eastAsia" w:ascii="方正仿宋_GBK" w:hAnsi="方正仿宋_GBK" w:eastAsia="方正仿宋_GBK" w:cs="方正仿宋_GBK"/>
          <w:bCs/>
          <w:sz w:val="32"/>
          <w:szCs w:val="32"/>
          <w:u w:val="single"/>
        </w:rPr>
        <w:t xml:space="preserve"> （应当包括每一项技术和商务要求的履约情况，特别是落实政府采购扶持中小企业，支持绿色发展和乡村振兴等政策情况）                                      </w:t>
      </w:r>
      <w:r/>
    </w:p>
    <w:p>
      <w:pPr>
        <w:ind w:firstLine="640"/>
        <w:spacing w:line="560" w:lineRule="exact"/>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（6）履约验收标准：</w:t>
      </w:r>
      <w:r>
        <w:rPr>
          <w:rFonts w:hint="eastAsia" w:ascii="方正仿宋_GBK" w:hAnsi="方正仿宋_GBK" w:eastAsia="方正仿宋_GBK" w:cs="方正仿宋_GBK"/>
          <w:bCs/>
          <w:sz w:val="32"/>
          <w:szCs w:val="32"/>
          <w:u w:val="single"/>
        </w:rPr>
        <w:t xml:space="preserve">                                         </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（7）是否以采购活动中供应商提供的样品作为参考：</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ind w:firstLine="640"/>
        <w:spacing w:line="560" w:lineRule="exact"/>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（8）履约验收其他事项：</w:t>
      </w:r>
      <w:r>
        <w:rPr>
          <w:rFonts w:hint="eastAsia" w:ascii="方正仿宋_GBK" w:hAnsi="方正仿宋_GBK" w:eastAsia="方正仿宋_GBK" w:cs="方正仿宋_GBK"/>
          <w:bCs/>
          <w:sz w:val="32"/>
          <w:szCs w:val="32"/>
          <w:u w:val="single"/>
        </w:rPr>
        <w:t xml:space="preserve">      （产权过户登记等）          </w:t>
      </w:r>
      <w:r/>
    </w:p>
    <w:p>
      <w:pPr>
        <w:ind w:firstLine="640"/>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5.组成合同的文件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本协议书与下列文件一起构成合同文件，如下述文件之间有任何抵触、矛盾或歧义，应按以下顺序解释：</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（1）政府采购合同协议书及其变更、补充协议</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（2）政府采购合同专用条款</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（3）政府采购合同通用条款</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（4）中标（成交）通知书</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（5）投标（响应）文件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（6）采购文件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（7）有关技术文件，图纸</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w:t>
      </w:r>
      <w:r>
        <w:rPr>
          <w:rFonts w:hint="eastAsia" w:ascii="方正仿宋_GBK" w:hAnsi="方正仿宋_GBK" w:eastAsia="方正仿宋_GBK" w:cs="方正仿宋_GBK"/>
          <w:color w:val="000000"/>
          <w:sz w:val="32"/>
          <w:szCs w:val="32"/>
        </w:rPr>
        <w:t xml:space="preserve">国家法律、行政法规和规章制度规定或合同约定的作为合同组成部分的其他文件</w:t>
      </w:r>
      <w:r/>
    </w:p>
    <w:p>
      <w:pPr>
        <w:ind w:firstLine="640"/>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6.合同生效</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本合同自</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生效。</w:t>
      </w:r>
      <w:r/>
    </w:p>
    <w:p>
      <w:pPr>
        <w:ind w:firstLine="640"/>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7.合同份数</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本合同一式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份，甲方执</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份，乙方执</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份，均具有同等法律效力。</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合同订立时间：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合同订立地点：</w:t>
      </w:r>
      <w:r>
        <w:rPr>
          <w:rFonts w:hint="eastAsia" w:ascii="方正仿宋_GBK" w:hAnsi="方正仿宋_GBK" w:eastAsia="方正仿宋_GBK" w:cs="方正仿宋_GBK"/>
          <w:sz w:val="32"/>
          <w:szCs w:val="32"/>
          <w:u w:val="single"/>
        </w:rPr>
        <w:t xml:space="preserve">                           </w:t>
      </w:r>
      <w:r/>
    </w:p>
    <w:p>
      <w:pPr>
        <w:ind w:firstLine="640"/>
        <w:spacing w:line="560" w:lineRule="exact"/>
        <w:rPr>
          <w:rFonts w:ascii="方正仿宋_GBK" w:hAnsi="方正仿宋_GBK" w:eastAsia="方正仿宋_GBK" w:cs="方正仿宋_GBK"/>
          <w:b/>
          <w:bCs/>
          <w:sz w:val="32"/>
          <w:szCs w:val="32"/>
        </w:rPr>
      </w:pPr>
      <w:r>
        <w:rPr>
          <w:rFonts w:hint="eastAsia" w:ascii="方正仿宋_GBK" w:hAnsi="方正仿宋_GBK" w:eastAsia="方正仿宋_GBK" w:cs="方正仿宋_GBK"/>
          <w:sz w:val="32"/>
          <w:szCs w:val="32"/>
        </w:rPr>
        <w:t xml:space="preserve">附件：具体标的及其技术要求和商务要求、联合协议、分包意向协议等</w:t>
      </w:r>
      <w:r>
        <w:rPr>
          <w:rFonts w:hint="eastAsia" w:ascii="方正仿宋_GBK" w:hAnsi="方正仿宋_GBK" w:eastAsia="方正仿宋_GBK" w:cs="方正仿宋_GBK"/>
          <w:sz w:val="32"/>
          <w:szCs w:val="32"/>
          <w:lang w:val="en"/>
        </w:rPr>
        <w:t xml:space="preserve">   </w:t>
      </w:r>
      <w:r/>
    </w:p>
    <w:p>
      <w:pPr>
        <w:pStyle w:val="1011"/>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209"/>
        <w:gridCol w:w="3366"/>
        <w:gridCol w:w="1178"/>
        <w:gridCol w:w="3175"/>
      </w:tblGrid>
      <w:tr>
        <w:trPr>
          <w:trHeight w:val="490"/>
        </w:trPr>
        <w:tc>
          <w:tcPr>
            <w:gridSpan w:val="2"/>
            <w:tcW w:w="4575"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W w:w="4353"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1171"/>
        </w:trPr>
        <w:tc>
          <w:tcPr>
            <w:tcW w:w="1209" w:type="dxa"/>
            <w:vAlign w:val="center"/>
            <w:vMerge w:val="restart"/>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3366" w:type="dxa"/>
            <w:vAlign w:val="center"/>
            <w:vMerge w:val="restart"/>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3175"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483"/>
        </w:trPr>
        <w:tc>
          <w:tcPr>
            <w:tcW w:w="1209" w:type="dxa"/>
            <w:vAlign w:val="center"/>
            <w:vMerge w:val="continue"/>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66" w:type="dxa"/>
            <w:vAlign w:val="center"/>
            <w:vMerge w:val="continue"/>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209"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66"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78" w:type="dxa"/>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W w:w="3175" w:type="dxa"/>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63"/>
              <w:ind w:left="0"/>
              <w:jc w:val="left"/>
              <w:spacing w:before="156" w:after="0" w:line="360" w:lineRule="auto"/>
              <w:rPr>
                <w:rFonts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932"/>
        <w:spacing w:line="660" w:lineRule="exact"/>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32"/>
          <w:szCs w:val="32"/>
        </w:rPr>
        <w:t xml:space="preserve">第二节 政府采购合同通用条款</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 定义</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1.1合同当事人</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（1）采购人（以下称甲方）是指使用财政性资金，通过政府采购方式向供应商购买货物及其相关服务的国家机关、事业单位、团体组织。</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（2）供应商（以下称乙方）是指参加政府采购活动并且中标（成交），向采购人提供合同约定的货物及其相关服务的法人、非法人组织或者自然人。</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（3）其他合同主体是指除采购人和供应商以外，依法参与合同缔结或履行，享有权利、承担义务的合同当事人。</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1.2本合同下列术语应解释为：</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（2）“合同价款”系指根据本合同规定乙方在全面履行合同义务后甲方应支付给乙方的价款。</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技术资料和材料等。</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（4）“相关服务”系指根据合同规定，乙方应提供的与货物有关的技术、管理和</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义务。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（5）“分包”系指中标（成交）供应商按采购文件、投标（响应）文件的规定，根据分包意向协议，将中标（成交）项目中的部分履约内容，分给具有相应资质条件的供应商履行合同的行为。</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（7）其他术语解释，见【政府采购合同专用条款】。</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合同标的及金额</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任何费用。</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 履行合同的时间、地点和方式</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 乙方应当在约定的时间、地点，按照约定方式履行合同。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 甲方的权利和义务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4.2 甲方有权要求乙方按时提交各阶段有关安排计划，并有权定期核对乙方提供货物数量、规格、质量等内容。甲方有权督促乙方工作并要求乙方更换不符合要求的货物。</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4.3 甲方有权要求乙方对缺陷部分予以修复，并按合同约定享有货物保修及其他合同约定的权利。</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4.4 甲方应当按照合同约定及时对交付的货物进行验收，未在【政府采购合同专用条款】约定的期限内对乙方履约提出任何异议或者向乙方作出任何说明的，视为验收通过。</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4.5 甲方应当根据合同约定及时向乙方支付合同价款，不得以内部人员变更、履行内部付款流程等为由，拒绝或迟延支付。</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4.6 国家法律法规规定及【政府采购合同专用条款】约定应由甲方承担的其他义务和责任。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 乙方的权利和义务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签署合同后，乙方应确定项目负责人（或项目联系人），负责与本合同有关的事务。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5.3乙方有权根据合同约定向甲方收取合同价款。</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5.4国家法律法规规定及【政府采购合同专用条款】约定应由乙方承担的其他义务和责任。</w:t>
      </w:r>
      <w:r/>
    </w:p>
    <w:p>
      <w:pPr>
        <w:pStyle w:val="1043"/>
        <w:numPr>
          <w:ilvl w:val="0"/>
          <w:numId w:val="6"/>
        </w:num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合同履行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甲乙双方应当按照【政府采购合同专用条款】约定顺序履行合同义务；如果没有先后顺序的，应当同时履行。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 货物包装、运输、保险和交付要求</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 除【政府采购合同专用条款】另有约定外，乙方负责办理将货物运抵本合同规定的交货地点，并装卸、交付至甲方的一切运输事项，相关费用应包含在合同价款中。</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 货物保险要求按【政府采购合同专用条款】规定执行。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7.5 乙方在运输到达之前应提前通知甲方，并提示货物运输装卸的注意事项，甲方配合乙方做好货物的接收工作。</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7.6 如因包装、运输问题导致货物损毁、丢失或者品质下降，甲方有权要求降价、换货、拒收部分或整批货物，由此产生的费用和损失，均由乙方承担。</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 质量标准和保证</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 质量标准</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（2）采用中华人民共和国法定计量单位。</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（3）乙方所提供的货物应符合国家有关安全、环保、卫生的规定。</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（4）乙方应向甲方提交所提供货物的技术文件，包括相应的中文技术文件，如：产品目录、图纸、操作手册、使用说明、维护手册或服务指南等。上述文件应包装好随货物一同发运。</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8.2 保证</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（2）在质量保证期内所发现的缺陷，甲方应尽快以书面形式通知乙方。</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（3）乙方收到通知后，应在【政府采购合同专用条款】规定的响应时间内以合理的速度免费维修或更换有缺陷的货物或部件。</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（5）乙方在约定的时间内未能弥补缺陷，甲方可采取必要的补救措施，但其风险和费用将由乙方承担，甲方根据合同约定对乙方行使的其他权利不受影响。</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 权利瑕疵担保</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 乙方保证对其出售的货物享有合法的权利。</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乙方保证在交付的货物上不存在抵押权等担保物权。</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9.3 如甲方使用上述货物构成对第三人侵权的，则由乙方承担全部责任。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 知识产权保护</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保密义务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 合同价款支付</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合同价款支付按照国库集中支付制度及财政管理相关规定执行。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履约保证金</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13.1 乙方应当以支票、汇票、本票或者金融机构、担保机构出具的保函等非现金形式提交。</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售后服务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除项目不涉及或采购活动中明确约定无须承担外，乙方还应提供下列服务：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（1）货物的现场移动、安装、调试、启动监督及技术支持；</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（2）提供货物组装和维修所需的专用工具和辅助材料；</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（3）在【政府采购合同专用条款】约定的期限内对所有的货物实施运行监督、维修，但前提条件是该服务并不能免除乙方在质量保证期内所承担的义务；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（4）在制造商所在地或指定现场就货物的安装、启动、运营、维护、废弃处置等对甲方操作人员进行培训；</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（5）依照法律、行政法规的规定或者按照【政府采购合同专用条款】约定，货物在有效使用年限届满后应予回收的，乙方负有自行或者委托第三人对货物予以回收的义务；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（6）【政府采购合同专用条款】规定由乙方提供的其他服务。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 乙方提供的售后服务的费用已包含在合同价款中，甲方不再另行支付。</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违约责任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15.1质量瑕疵的违约责任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乙方提供的产品不符合合同约定的质量标准或存在产品质量缺陷，甲方有权要求乙方根据【政府采购合同专用条款】要求及时修理、重作、更换，并承担由此给甲方造成的损失。</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15.2 迟延交货的违约责任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15.3 迟延支付的违约责任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甲方存在迟延支付乙方合同款项的，应当承担【政府采购合同专用条款】规定的逾期付款利息。</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15.4其他违约责任根据项目实际需要按【政府采购合同专用条款】规定执行。</w:t>
      </w:r>
      <w:r/>
    </w:p>
    <w:p>
      <w:pPr>
        <w:pStyle w:val="1043"/>
        <w:numPr>
          <w:ilvl w:val="0"/>
          <w:numId w:val="7"/>
        </w:num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合同变更、中止与终止</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16.1合同的变更</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政府采购合同履行中，在不改变合同其他条款的前提下，甲方可以在合同价款10%的范围内追加与合同标的相同的货物，并就此与乙方协商一致后签订补充协议。</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16.2合同的中止</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（1）合同履行过程中因供应商就采购文件、采购过程或结果提起投诉的，甲方认为有必要的，可以中止合同的履行。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（4）甲方不得以行政区划调整、政府换届、机构或者职能调整以及相关责任人更替为由中止合同。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16.3合同的终止</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（1）合同因有效期限届满而终止；</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（2）乙方未按合同约定履行，构成根本性违约的，甲方有权终止合同，并追究乙方的违约责任。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16.4 涉及国家利益、社会公共利益的情形</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政府采购合同继续履行将损害国家利益和社会公共利益的，双方当事人应当变更、中止或者终止合同。有过错的一方应当承担赔偿责任，双方都有过错的，各自承担相应的责任。</w:t>
      </w:r>
      <w:r/>
    </w:p>
    <w:p>
      <w:pPr>
        <w:pStyle w:val="1043"/>
        <w:numPr>
          <w:ilvl w:val="0"/>
          <w:numId w:val="8"/>
        </w:num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合同分包</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17.1 乙方不得将合同转包给其他供应商。涉及合同分包的，乙方应根据采购文件和投标（响应）文件规定进行合同分包。</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17.2 乙方执行政府采购政策向中小企业依法分包的，乙方应当按采购文件和投标（响应）文件签订分包意向协议，分包意向协议属于本合同组成部分。</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 不可抗力</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18.1 不可抗力是指合同双方不能预见、不能避免且不能克服的客观情况。</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18.2 任何一方对由于不可抗力造成的部分或全部不能履行合同不承担违约责任。但迟延履行后发生不可抗力的，不能免除责任。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 解决争议的方法</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19.3 如甲乙双方有争议的事项不影响合同其他部分的履行，在争议解决期间，合同其他部分应当继续履行。</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 政府采购政策</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w:t>
      </w:r>
      <w:r>
        <w:rPr>
          <w:rFonts w:hint="eastAsia" w:ascii="方正仿宋_GBK" w:hAnsi="方正仿宋_GBK" w:eastAsia="方正仿宋_GBK" w:cs="方正仿宋_GBK"/>
          <w:sz w:val="32"/>
          <w:szCs w:val="32"/>
          <w:lang w:val="en-GB"/>
        </w:rPr>
        <w:t xml:space="preserve">本合同应当按照规定执行政府采购政策。</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 本合同依法执行政府采购政策的方式和内容，属于合同履约验收的范围。甲乙双方</w:t>
      </w:r>
      <w:r>
        <w:rPr>
          <w:rFonts w:hint="eastAsia" w:ascii="方正仿宋_GBK" w:hAnsi="方正仿宋_GBK" w:eastAsia="方正仿宋_GBK" w:cs="方正仿宋_GBK"/>
          <w:sz w:val="32"/>
          <w:szCs w:val="32"/>
          <w:lang w:val="en-GB"/>
        </w:rPr>
        <w:t xml:space="preserve">未按规定要求执行政府采购政策造成损失的</w:t>
      </w:r>
      <w:r>
        <w:rPr>
          <w:rFonts w:hint="eastAsia" w:ascii="方正仿宋_GBK" w:hAnsi="方正仿宋_GBK" w:eastAsia="方正仿宋_GBK" w:cs="方正仿宋_GBK"/>
          <w:sz w:val="32"/>
          <w:szCs w:val="32"/>
        </w:rPr>
        <w:t xml:space="preserve">，有过错的一方应当承担赔偿责任，双方都有过错的，各自承担相应的责任。</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法律适用</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本合同的订立、生效、解释、履行及与本合同有关的争议解决，均适用法律、行政法规。</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本合同条款与法律、行政法规的强制性规定不一致的，双方当事人应按照法律、行政法规的强制性规定修改本合同的相关条款。</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 通知</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22.1 本合同任何一方向对方发出的通知、信件、数据电文等，应当发送至本合同第一部分《政府采购合同协议书》所约定的通讯地址、联系人、联系电话或电子邮箱。</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 一方当事人变更名称、住所、联系人、联系电话或电子邮箱等信息的，应当在变更后3日内及时书面通知对方，对方实际收到变更通知前的送达仍为有效送达。</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22.3本合同一方给另一方的通知均应采用书面形式，传真或快递送到本合同中规定的对方的地址和办理签收手续。</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22.4通知以送达之日或通知书中规定的生效之日起生效，两者中以较迟之日为准。</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 合同未尽事项</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23.1合同未尽事项见【政府采购合同专用条款】。</w:t>
      </w:r>
      <w:r/>
    </w:p>
    <w:p>
      <w:pPr>
        <w:pStyle w:val="1043"/>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23.2合同附件与合同正文具有同等的法律效力。</w:t>
      </w:r>
      <w:r/>
    </w:p>
    <w:p>
      <w:pPr>
        <w:pStyle w:val="932"/>
        <w:spacing w:line="66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32"/>
          <w:szCs w:val="32"/>
        </w:rPr>
        <w:t xml:space="preserve">第三节 政府采购合同专用条款</w:t>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43"/>
              <w:ind w:firstLine="0"/>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W w:w="3065" w:type="dxa"/>
            <w:vAlign w:val="center"/>
            <w:textDirection w:val="lrTb"/>
            <w:noWrap w:val="false"/>
          </w:tcPr>
          <w:p>
            <w:pPr>
              <w:jc w:val="left"/>
              <w:spacing w:line="0" w:lineRule="atLeas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spacing w:line="0" w:lineRule="atLeast"/>
              <w:rPr>
                <w:rFonts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pStyle w:val="96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ascii="黑体" w:hAnsi="黑体" w:eastAsia="黑体"/>
          <w:sz w:val="32"/>
          <w:szCs w:val="32"/>
        </w:rPr>
      </w:pPr>
      <w:r>
        <w:rPr>
          <w:rFonts w:hint="eastAsia" w:ascii="黑体" w:hAnsi="黑体" w:eastAsia="黑体"/>
          <w:sz w:val="32"/>
          <w:szCs w:val="32"/>
        </w:rPr>
        <w:br w:type="page" w:clear="all"/>
      </w:r>
      <w:r/>
    </w:p>
    <w:p>
      <w:pPr>
        <w:pStyle w:val="932"/>
        <w:spacing w:line="660" w:lineRule="exact"/>
        <w:rPr>
          <w:rFonts w:ascii="黑体" w:hAnsi="黑体" w:eastAsia="黑体"/>
          <w:b w:val="0"/>
          <w:bCs w:val="0"/>
          <w:sz w:val="32"/>
          <w:szCs w:val="32"/>
        </w:rPr>
      </w:pPr>
      <w:r>
        <w:rPr>
          <w:rFonts w:hint="eastAsia" w:ascii="黑体" w:hAnsi="黑体" w:eastAsia="黑体"/>
          <w:b w:val="0"/>
          <w:bCs w:val="0"/>
          <w:sz w:val="32"/>
          <w:szCs w:val="32"/>
        </w:rPr>
        <w:t xml:space="preserve">第</w:t>
      </w:r>
      <w:bookmarkEnd w:id="177"/>
      <w:r>
        <w:rPr>
          <w:rFonts w:hint="eastAsia" w:ascii="黑体" w:hAnsi="黑体" w:eastAsia="黑体"/>
          <w:b w:val="0"/>
          <w:bCs w:val="0"/>
          <w:sz w:val="32"/>
          <w:szCs w:val="32"/>
        </w:rPr>
        <w:t xml:space="preserve">四章 采购需求</w:t>
      </w:r>
      <w:bookmarkEnd w:id="178"/>
      <w:r/>
      <w:bookmarkEnd w:id="179"/>
      <w:r/>
      <w:bookmarkEnd w:id="180"/>
      <w:r/>
      <w:r/>
    </w:p>
    <w:p>
      <w:pPr>
        <w:pStyle w:val="932"/>
        <w:jc w:val="left"/>
        <w:spacing w:line="560" w:lineRule="exact"/>
        <w:rPr>
          <w:rFonts w:ascii="黑体" w:hAnsi="黑体" w:eastAsia="黑体"/>
          <w:b w:val="0"/>
          <w:bCs w:val="0"/>
          <w:sz w:val="32"/>
          <w:szCs w:val="32"/>
        </w:rPr>
      </w:pPr>
      <w:r/>
      <w:bookmarkStart w:id="183" w:name="_Toc49090575"/>
      <w:r/>
      <w:bookmarkStart w:id="184" w:name="_Toc26554093"/>
      <w:r>
        <w:rPr>
          <w:rFonts w:hint="eastAsia" w:ascii="黑体" w:hAnsi="黑体" w:eastAsia="黑体"/>
          <w:b w:val="0"/>
          <w:bCs w:val="0"/>
          <w:sz w:val="32"/>
          <w:szCs w:val="32"/>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95"/>
        <w:gridCol w:w="917"/>
        <w:gridCol w:w="3853"/>
        <w:gridCol w:w="2677"/>
      </w:tblGrid>
      <w:tr>
        <w:trPr>
          <w:cantSplit/>
          <w:jc w:val="center"/>
          <w:trHeight w:val="701"/>
        </w:trPr>
        <w:tc>
          <w:tcPr>
            <w:tcW w:w="149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495" w:type="dxa"/>
            <w:vAlign w:val="center"/>
            <w:vMerge w:val="restart"/>
            <w:textDirection w:val="lrTb"/>
            <w:noWrap w:val="false"/>
          </w:tcPr>
          <w:p>
            <w:pPr>
              <w:jc w:val="center"/>
              <w:spacing w:line="0" w:lineRule="atLeast"/>
              <w:rPr>
                <w:rFonts w:ascii="方正仿宋_GBK" w:hAnsi="方正仿宋_GBK" w:eastAsia="方正仿宋_GBK" w:cs="方正仿宋_GBK"/>
                <w:sz w:val="28"/>
                <w:szCs w:val="28"/>
              </w:rPr>
            </w:pPr>
            <w:r>
              <w:rPr>
                <w:rFonts w:hint="eastAsia" w:eastAsia="方正仿宋_GBK"/>
                <w:sz w:val="32"/>
                <w:szCs w:val="32"/>
              </w:rPr>
              <w:t xml:space="preserve">1</w:t>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853" w:type="dxa"/>
            <w:vAlign w:val="center"/>
            <w:textDirection w:val="lrTb"/>
            <w:noWrap w:val="false"/>
          </w:tcPr>
          <w:p>
            <w:pPr>
              <w:jc w:val="center"/>
              <w:spacing w:line="0" w:lineRule="atLeas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LED 一体机</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35"/>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承重结构</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摄像机</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音箱</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音频一体机</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无线坐席麦克风</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手持麦克风</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无线信号拓展器</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会议一体机</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移动支架</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Merge w:val="continue"/>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全向麦</w:t>
            </w:r>
            <w:r/>
          </w:p>
        </w:tc>
        <w:tc>
          <w:tcPr>
            <w:tcW w:w="267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bl>
    <w:p>
      <w:pPr>
        <w:pStyle w:val="932"/>
        <w:jc w:val="left"/>
        <w:spacing w:line="560" w:lineRule="exact"/>
        <w:rPr>
          <w:rFonts w:ascii="黑体" w:hAnsi="黑体" w:eastAsia="黑体"/>
          <w:b w:val="0"/>
          <w:bCs w:val="0"/>
          <w:sz w:val="32"/>
          <w:szCs w:val="32"/>
        </w:rPr>
      </w:pPr>
      <w:r>
        <w:rPr>
          <w:rFonts w:hint="eastAsia" w:ascii="黑体" w:hAnsi="黑体" w:eastAsia="黑体"/>
          <w:b w:val="0"/>
          <w:bCs w:val="0"/>
          <w:sz w:val="32"/>
          <w:szCs w:val="32"/>
        </w:rPr>
        <w:t xml:space="preserve">二、政府采购中实施本国产品标准及相关政策</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40"/>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2"/>
        <w:jc w:val="left"/>
        <w:spacing w:line="560" w:lineRule="exact"/>
        <w:rPr>
          <w:rFonts w:ascii="黑体" w:hAnsi="黑体" w:eastAsia="黑体"/>
          <w:b w:val="0"/>
          <w:bCs w:val="0"/>
          <w:sz w:val="32"/>
          <w:szCs w:val="32"/>
        </w:rPr>
      </w:pPr>
      <w:r>
        <w:rPr>
          <w:rFonts w:hint="eastAsia" w:ascii="黑体" w:hAnsi="黑体" w:eastAsia="黑体"/>
          <w:b w:val="0"/>
          <w:bCs w:val="0"/>
          <w:sz w:val="32"/>
          <w:szCs w:val="32"/>
        </w:rPr>
        <w:t xml:space="preserve">三、技术要求</w:t>
      </w:r>
      <w:r>
        <w:rPr>
          <w:rFonts w:hint="eastAsia" w:ascii="方正仿宋_GBK" w:hAnsi="方正仿宋_GBK" w:eastAsia="方正仿宋_GBK" w:cs="方正仿宋_GBK"/>
          <w:b w:val="0"/>
          <w:color w:val="000000"/>
          <w:sz w:val="32"/>
          <w:szCs w:val="32"/>
        </w:rPr>
        <w:t xml:space="preserve">（打斜体加下划线的内容为实质性条款，不响应则为无效投标）</w:t>
      </w:r>
      <w:r/>
    </w:p>
    <w:p>
      <w:pPr>
        <w:pStyle w:val="933"/>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（一）技术参数</w:t>
      </w:r>
      <w:r/>
    </w:p>
    <w:tbl>
      <w:tblPr>
        <w:tblW w:w="9810" w:type="dxa"/>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0"/>
        <w:gridCol w:w="1290"/>
        <w:gridCol w:w="540"/>
        <w:gridCol w:w="555"/>
        <w:gridCol w:w="6180"/>
        <w:gridCol w:w="555"/>
      </w:tblGrid>
      <w:tr>
        <w:trPr>
          <w:trHeight w:val="644"/>
          <w:tblHeader/>
        </w:trPr>
        <w:tc>
          <w:tcPr>
            <w:tcW w:w="69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W w:w="129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名称</w:t>
            </w:r>
            <w:r/>
          </w:p>
        </w:tc>
        <w:tc>
          <w:tcPr>
            <w:tcBorders>
              <w:right w:val="single" w:color="auto" w:sz="4" w:space="0"/>
            </w:tcBorders>
            <w:tcW w:w="54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c>
          <w:tcPr>
            <w:tcBorders>
              <w:left w:val="single" w:color="auto" w:sz="4" w:space="0"/>
            </w:tcBorders>
            <w:tcW w:w="55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单位</w:t>
            </w:r>
            <w:r/>
          </w:p>
        </w:tc>
        <w:tc>
          <w:tcPr>
            <w:tcW w:w="618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技术要求</w:t>
            </w:r>
            <w:r/>
          </w:p>
        </w:tc>
        <w:tc>
          <w:tcPr>
            <w:tcW w:w="55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备注</w:t>
            </w:r>
            <w:r/>
          </w:p>
        </w:tc>
      </w:tr>
      <w:tr>
        <w:trPr>
          <w:trHeight w:val="953"/>
        </w:trPr>
        <w:tc>
          <w:tcPr>
            <w:tcW w:w="6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bottom w:val="single" w:color="auto" w:sz="4" w:space="0"/>
            </w:tcBorders>
            <w:tcW w:w="1290" w:type="dxa"/>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LED 一体机</w:t>
            </w:r>
            <w:r/>
          </w:p>
        </w:tc>
        <w:tc>
          <w:tcPr>
            <w:tcBorders>
              <w:right w:val="single" w:color="auto" w:sz="4" w:space="0"/>
            </w:tcBorders>
            <w:tcW w:w="5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6180" w:type="dxa"/>
            <w:vAlign w:val="center"/>
            <w:textDirection w:val="lrTb"/>
            <w:noWrap w:val="false"/>
          </w:tcPr>
          <w:p>
            <w:pPr>
              <w:contextualSpacing/>
              <w:ind w:firstLine="482"/>
              <w:keepLines/>
              <w:keepNext/>
              <w:spacing w:line="560" w:lineRule="exact"/>
              <w:rPr>
                <w:rFonts w:ascii="宋体" w:hAnsi="宋体" w:cs="宋体"/>
                <w:i/>
                <w:iCs/>
                <w:sz w:val="24"/>
                <w:szCs w:val="24"/>
                <w:u w:val="single"/>
              </w:rPr>
            </w:pPr>
            <w:r>
              <w:rPr>
                <w:rFonts w:hint="eastAsia" w:ascii="宋体" w:hAnsi="宋体" w:cs="宋体"/>
                <w:i/>
                <w:iCs/>
                <w:sz w:val="24"/>
                <w:szCs w:val="24"/>
                <w:u w:val="single"/>
              </w:rPr>
              <w:t xml:space="preserve">1.整机尺寸≥135寸，物理分辨率1920*1080，点间距≤1.57mm；</w:t>
            </w:r>
            <w:r/>
          </w:p>
          <w:p>
            <w:pPr>
              <w:rPr>
                <w:rFonts w:ascii="宋体" w:hAnsi="宋体" w:cs="宋体"/>
                <w:sz w:val="24"/>
                <w:szCs w:val="24"/>
              </w:rPr>
            </w:pPr>
            <w:r>
              <w:rPr>
                <w:rFonts w:hint="eastAsia" w:ascii="宋体" w:hAnsi="宋体" w:cs="宋体"/>
                <w:sz w:val="24"/>
                <w:szCs w:val="24"/>
              </w:rPr>
              <w:t xml:space="preserve">2.刷新频率≥3840Hz，灰度等级≥16bit，视角≥177度，亮度均匀性≥98%，拼缝≤0.1mm；为了让LED灯珠稳定性更好，LED灯珠采用top型，整机采用超窄边框设计，上边边框宽度≤6mm，下边边框宽度≤15mm，左边边框宽度≤6mm，右边边框宽度≤6mm</w:t>
            </w:r>
            <w:r/>
          </w:p>
          <w:p>
            <w:pPr>
              <w:rPr>
                <w:rFonts w:ascii="宋体" w:hAnsi="宋体" w:cs="宋体"/>
                <w:b/>
                <w:bCs/>
                <w:sz w:val="24"/>
                <w:szCs w:val="24"/>
              </w:rPr>
            </w:pPr>
            <w:r>
              <w:rPr>
                <w:rFonts w:hint="eastAsia" w:ascii="宋体" w:hAnsi="宋体" w:cs="宋体"/>
                <w:sz w:val="24"/>
                <w:szCs w:val="24"/>
              </w:rPr>
              <w:t xml:space="preserve">3.▲电源、接收卡、转接板三合一，即箱体内接收卡、电源、转接板3个模块的线路及元器件都集成在同一块PCB板上（接收卡和电源非插拔、焊接或螺丝固定于PCB板上），接收卡控制方案（FPGA）为国产芯片，功能包含但不限于交/直流电源、接收卡，配合不同点间距灯板即可正常工作；</w:t>
            </w:r>
            <w:r>
              <w:rPr>
                <w:rFonts w:ascii="宋体" w:hAnsi="宋体" w:cs="宋体"/>
                <w:b/>
                <w:bCs/>
                <w:sz w:val="24"/>
                <w:szCs w:val="24"/>
              </w:rPr>
              <w:t xml:space="preserve">（依据标准：室内用LED </w:t>
            </w:r>
            <w:bookmarkStart w:id="185" w:name="OLE_LINK36"/>
            <w:r/>
            <w:bookmarkStart w:id="186" w:name="OLE_LINK37"/>
            <w:r>
              <w:rPr>
                <w:rFonts w:ascii="宋体" w:hAnsi="宋体" w:cs="宋体"/>
                <w:b/>
                <w:bCs/>
                <w:sz w:val="24"/>
                <w:szCs w:val="24"/>
              </w:rPr>
              <w:t xml:space="preserve">显示屏多媒体系统验收规范</w:t>
            </w:r>
            <w:bookmarkStart w:id="187" w:name="OLE_LINK35"/>
            <w:r/>
            <w:bookmarkStart w:id="188" w:name="OLE_LINK34"/>
            <w:r/>
            <w:bookmarkEnd w:id="185"/>
            <w:r/>
            <w:bookmarkEnd w:id="186"/>
            <w:r>
              <w:rPr>
                <w:rFonts w:ascii="宋体" w:hAnsi="宋体" w:cs="宋体"/>
                <w:b/>
                <w:bCs/>
                <w:sz w:val="24"/>
                <w:szCs w:val="24"/>
              </w:rPr>
              <w:t xml:space="preserve">SJ/</w:t>
            </w:r>
            <w:r>
              <w:rPr>
                <w:rFonts w:hint="eastAsia" w:ascii="宋体" w:hAnsi="宋体" w:cs="宋体"/>
                <w:b/>
                <w:bCs/>
                <w:sz w:val="24"/>
                <w:szCs w:val="24"/>
              </w:rPr>
              <w:t xml:space="preserve">T </w:t>
            </w:r>
            <w:r>
              <w:rPr>
                <w:rFonts w:ascii="宋体" w:hAnsi="宋体" w:cs="宋体"/>
                <w:b/>
                <w:bCs/>
                <w:sz w:val="24"/>
                <w:szCs w:val="24"/>
              </w:rPr>
              <w:t xml:space="preserve">11711-2018</w:t>
            </w:r>
            <w:bookmarkEnd w:id="187"/>
            <w:r/>
            <w:bookmarkEnd w:id="188"/>
            <w:r>
              <w:rPr>
                <w:rFonts w:ascii="宋体" w:hAnsi="宋体" w:cs="宋体"/>
                <w:b/>
                <w:bCs/>
                <w:sz w:val="24"/>
                <w:szCs w:val="24"/>
              </w:rPr>
              <w:t xml:space="preserve">；提供带CMA标志的检测报告。）</w:t>
            </w:r>
            <w:r/>
          </w:p>
          <w:p>
            <w:pPr>
              <w:rPr>
                <w:rFonts w:ascii="宋体" w:hAnsi="宋体" w:cs="宋体"/>
                <w:sz w:val="24"/>
                <w:szCs w:val="24"/>
              </w:rPr>
            </w:pPr>
            <w:r>
              <w:rPr>
                <w:rFonts w:hint="eastAsia" w:ascii="宋体" w:hAnsi="宋体" w:cs="宋体"/>
                <w:sz w:val="24"/>
                <w:szCs w:val="24"/>
              </w:rPr>
              <w:t xml:space="preserve">4.采用前全维护、前安装设计，灯板与三合一板采用硬连方式（两块板卡连接无需排线、电源线），灯板支持热插拔，所有元器件皆可从正面拆装、维护，有效节约安装空间；</w:t>
            </w:r>
            <w:r/>
          </w:p>
          <w:p>
            <w:pPr>
              <w:rPr>
                <w:rFonts w:ascii="宋体" w:hAnsi="宋体" w:cs="宋体"/>
                <w:sz w:val="24"/>
                <w:szCs w:val="24"/>
              </w:rPr>
            </w:pPr>
            <w:r>
              <w:rPr>
                <w:rFonts w:hint="eastAsia" w:ascii="宋体" w:hAnsi="宋体" w:cs="宋体"/>
                <w:sz w:val="24"/>
                <w:szCs w:val="24"/>
              </w:rPr>
              <w:t xml:space="preserve">5.▲整机内置WiFi6无线网卡（不接受外接），支持2.4G、5G频段；整机支持蓝牙Bluetooth 5.4标准，支持AP与STA模式；系统≥Android 13.0，采用高性能国产CPU芯片，处理器参数≥CPU：4xA76+4xA55，8核CPU，4核GPU</w:t>
            </w:r>
            <w:r>
              <w:rPr>
                <w:rFonts w:ascii="宋体" w:hAnsi="宋体" w:cs="宋体"/>
                <w:b/>
                <w:bCs/>
                <w:sz w:val="24"/>
                <w:szCs w:val="24"/>
              </w:rPr>
              <w:t xml:space="preserve">（依据标准：</w:t>
            </w:r>
            <w:r>
              <w:rPr>
                <w:rFonts w:hint="eastAsia" w:ascii="宋体" w:hAnsi="宋体" w:cs="宋体"/>
                <w:b/>
                <w:bCs/>
                <w:sz w:val="24"/>
                <w:szCs w:val="24"/>
              </w:rPr>
              <w:t xml:space="preserve">音频/视频､信息和通信技术设备第1部分:安全要求IEC62368-1:2023</w:t>
            </w:r>
            <w:r>
              <w:rPr>
                <w:rFonts w:ascii="宋体" w:hAnsi="宋体" w:cs="宋体"/>
                <w:b/>
                <w:bCs/>
                <w:sz w:val="24"/>
                <w:szCs w:val="24"/>
              </w:rPr>
              <w:t xml:space="preserve">；提供带CMA标志的检测报告。）</w:t>
            </w:r>
            <w:r/>
          </w:p>
          <w:p>
            <w:pPr>
              <w:rPr>
                <w:rFonts w:ascii="宋体" w:hAnsi="宋体" w:cs="宋体"/>
                <w:b/>
                <w:sz w:val="24"/>
                <w:szCs w:val="24"/>
              </w:rPr>
            </w:pPr>
            <w:r>
              <w:rPr>
                <w:rFonts w:hint="eastAsia" w:ascii="宋体" w:hAnsi="宋体" w:cs="宋体"/>
                <w:sz w:val="24"/>
                <w:szCs w:val="24"/>
              </w:rPr>
              <w:t xml:space="preserve">6.支持7*24H连续正常工作，平均无故障运行时间≥100000小时；整屏最大功耗≤1.87KW，平均功耗≤0.623KW，整机待机功耗≤0.5W；整机一根电源线即可实现对其供电正常使用，无需特别准备其他供电部件如配电箱、配电柜、稳压电源等</w:t>
            </w:r>
            <w:r/>
          </w:p>
          <w:p>
            <w:pPr>
              <w:rPr>
                <w:rFonts w:ascii="宋体" w:hAnsi="宋体" w:cs="宋体"/>
                <w:b/>
                <w:sz w:val="24"/>
                <w:szCs w:val="24"/>
              </w:rPr>
            </w:pPr>
            <w:r>
              <w:rPr>
                <w:rFonts w:hint="eastAsia" w:ascii="宋体" w:hAnsi="宋体" w:cs="宋体"/>
                <w:sz w:val="24"/>
                <w:szCs w:val="24"/>
              </w:rPr>
              <w:t xml:space="preserve">7.▲整机无线模块（WiFi和蓝牙）采用独立模块化设计，无需拆卸整机后壳即可独立拆装；国产化投屏支持统信UOS及麒麟OS的电脑，通过客户端或者无线投屏器投屏；</w:t>
            </w:r>
            <w:r>
              <w:rPr>
                <w:rFonts w:ascii="宋体" w:hAnsi="宋体" w:cs="宋体"/>
                <w:b/>
                <w:bCs/>
                <w:sz w:val="24"/>
                <w:szCs w:val="24"/>
              </w:rPr>
              <w:t xml:space="preserve">（依据标准：</w:t>
            </w:r>
            <w:r>
              <w:rPr>
                <w:rFonts w:hint="eastAsia" w:ascii="宋体" w:hAnsi="宋体" w:cs="宋体"/>
                <w:b/>
                <w:bCs/>
                <w:sz w:val="24"/>
                <w:szCs w:val="24"/>
              </w:rPr>
              <w:t xml:space="preserve">音频/视频､信息和通信技术设备第1部分:安全要求IEC 62368-1:2023</w:t>
            </w:r>
            <w:r>
              <w:rPr>
                <w:rFonts w:ascii="宋体" w:hAnsi="宋体" w:cs="宋体"/>
                <w:b/>
                <w:bCs/>
                <w:sz w:val="24"/>
                <w:szCs w:val="24"/>
              </w:rPr>
              <w:t xml:space="preserve">；提供带CMA标志的检测报告。）</w:t>
            </w:r>
            <w:r/>
          </w:p>
          <w:p>
            <w:pPr>
              <w:rPr>
                <w:rFonts w:ascii="宋体" w:hAnsi="宋体" w:cs="宋体"/>
                <w:b/>
                <w:sz w:val="24"/>
                <w:szCs w:val="24"/>
              </w:rPr>
            </w:pPr>
            <w:r>
              <w:rPr>
                <w:rFonts w:hint="eastAsia" w:ascii="宋体" w:hAnsi="宋体" w:cs="宋体"/>
                <w:sz w:val="24"/>
                <w:szCs w:val="24"/>
              </w:rPr>
              <w:t xml:space="preserve">8.▲屏体正面为亚黑处理，反光率≤1.5%；采用黑色防眩光设计，防止炫光影响可提升视觉观感；支持抑制摩尔纹功能，减轻摩尔纹视觉主观效果85%；</w:t>
            </w:r>
            <w:r>
              <w:rPr>
                <w:rFonts w:ascii="宋体" w:hAnsi="宋体" w:cs="宋体"/>
                <w:b/>
                <w:bCs/>
                <w:sz w:val="24"/>
                <w:szCs w:val="24"/>
              </w:rPr>
              <w:t xml:space="preserve">（依据标准：</w:t>
            </w:r>
            <w:r>
              <w:rPr>
                <w:rFonts w:hint="eastAsia" w:ascii="宋体" w:hAnsi="宋体" w:cs="宋体"/>
                <w:b/>
                <w:bCs/>
                <w:sz w:val="24"/>
                <w:szCs w:val="24"/>
              </w:rPr>
              <w:t xml:space="preserve">室内用LED显示屏多媒体系统验收规范SJ/T 11711-2018 ，环境标志产品技术要求电子白板HJ </w:t>
            </w:r>
            <w:bookmarkStart w:id="189" w:name="OLE_LINK38"/>
            <w:r>
              <w:rPr>
                <w:rFonts w:hint="eastAsia" w:ascii="宋体" w:hAnsi="宋体" w:cs="宋体"/>
                <w:b/>
                <w:bCs/>
                <w:sz w:val="24"/>
                <w:szCs w:val="24"/>
              </w:rPr>
              <w:t xml:space="preserve">2545-2016</w:t>
            </w:r>
            <w:bookmarkEnd w:id="189"/>
            <w:r>
              <w:rPr>
                <w:rFonts w:ascii="宋体" w:hAnsi="宋体" w:cs="宋体"/>
                <w:b/>
                <w:bCs/>
                <w:sz w:val="24"/>
                <w:szCs w:val="24"/>
              </w:rPr>
              <w:t xml:space="preserve">；提供带CMA标志的检测报告。）</w:t>
            </w:r>
            <w:r/>
          </w:p>
          <w:p>
            <w:pPr>
              <w:rPr>
                <w:rFonts w:ascii="宋体" w:hAnsi="宋体" w:cs="宋体"/>
                <w:sz w:val="24"/>
                <w:szCs w:val="24"/>
              </w:rPr>
            </w:pPr>
            <w:r>
              <w:rPr>
                <w:rFonts w:hint="eastAsia" w:ascii="宋体" w:hAnsi="宋体" w:cs="宋体"/>
                <w:sz w:val="24"/>
                <w:szCs w:val="24"/>
              </w:rPr>
              <w:t xml:space="preserve">9.显示屏具备自动Gamma矫正技术，通过构造非线性校正曲线和色坐标变换系数矩阵实现了显示效果的不断改善，各项重要指标如色彩还原性、色温调节范围、亮度均匀性、刷新率、换帧频率等，均符合广电标准；</w:t>
            </w:r>
            <w:r/>
          </w:p>
          <w:p>
            <w:pPr>
              <w:rPr>
                <w:rFonts w:ascii="宋体" w:hAnsi="宋体" w:cs="宋体"/>
                <w:sz w:val="24"/>
                <w:szCs w:val="24"/>
              </w:rPr>
            </w:pPr>
            <w:r>
              <w:rPr>
                <w:rFonts w:hint="eastAsia" w:ascii="宋体" w:hAnsi="宋体" w:cs="宋体"/>
                <w:sz w:val="24"/>
                <w:szCs w:val="24"/>
              </w:rPr>
              <w:t xml:space="preserve">10.为保证显示屏整屏亮度和色彩的一致性，每个像素点需要具备单点亮度校正和单点颜色校正，且灯板储存校正系数，换灯板后校正系数自带读取不需要人工操作；</w:t>
            </w:r>
            <w:r/>
          </w:p>
          <w:p>
            <w:pPr>
              <w:rPr>
                <w:rFonts w:ascii="宋体" w:hAnsi="宋体" w:cs="宋体"/>
                <w:sz w:val="24"/>
                <w:szCs w:val="24"/>
              </w:rPr>
            </w:pPr>
            <w:r>
              <w:rPr>
                <w:rFonts w:hint="eastAsia" w:ascii="宋体" w:hAnsi="宋体" w:cs="宋体"/>
                <w:sz w:val="24"/>
                <w:szCs w:val="24"/>
              </w:rPr>
              <w:t xml:space="preserve">11.一体机系统采用自主研发优化的交互设计，屏体内主要的电源部件、安卓发送卡多合一控制部件、音频部件、无线通信部件均来自同一个公司或同一个集团公司研发设计；内置接受模块，除无线传屏器外不需要连接任何附加设备，可实现外部电脑音视频信号实时传输到设备上，支持免安装驱动，即插即用</w:t>
            </w:r>
            <w:r/>
          </w:p>
          <w:p>
            <w:pPr>
              <w:rPr>
                <w:rFonts w:ascii="宋体" w:hAnsi="宋体" w:cs="宋体"/>
                <w:sz w:val="24"/>
                <w:szCs w:val="24"/>
              </w:rPr>
            </w:pPr>
            <w:r>
              <w:rPr>
                <w:rFonts w:hint="eastAsia" w:ascii="宋体" w:hAnsi="宋体" w:cs="宋体"/>
                <w:sz w:val="24"/>
                <w:szCs w:val="24"/>
              </w:rPr>
              <w:t xml:space="preserve">12.支持沉浸式+个人端隐私保护，能避免如微信弹窗的尴尬，应用窗口投屏时，电脑屏幕仍能打开别的应用处理其他事情；传屏开启独占模式之后，进入沉浸模式，阻止其他人传屏，避免在使用过程中，用户经常被其他人传屏顶替掉，造成使用中断；可通过传屏工具栏暂停投屏功能进行画面冻结暂停，投屏电脑可自主进行其他操作，不影响整机的冻结画面内容显示；</w:t>
            </w:r>
            <w:r/>
          </w:p>
          <w:p>
            <w:pPr>
              <w:rPr>
                <w:rFonts w:ascii="宋体" w:hAnsi="宋体" w:cs="宋体"/>
                <w:sz w:val="24"/>
                <w:szCs w:val="24"/>
              </w:rPr>
            </w:pPr>
            <w:r>
              <w:rPr>
                <w:rFonts w:hint="eastAsia" w:ascii="宋体" w:hAnsi="宋体" w:cs="宋体"/>
                <w:sz w:val="24"/>
                <w:szCs w:val="24"/>
              </w:rPr>
              <w:t xml:space="preserve">13.支持无线传屏视频数据加密，加密方式：AES（CBC模式），128位，保障数据传输安全。</w:t>
            </w:r>
            <w:r/>
          </w:p>
          <w:p>
            <w:pPr>
              <w:rPr>
                <w:rFonts w:ascii="宋体" w:hAnsi="宋体" w:cs="宋体"/>
                <w:sz w:val="24"/>
                <w:szCs w:val="24"/>
              </w:rPr>
            </w:pPr>
            <w:r>
              <w:rPr>
                <w:rFonts w:hint="eastAsia" w:ascii="宋体" w:hAnsi="宋体" w:cs="宋体"/>
                <w:sz w:val="24"/>
                <w:szCs w:val="24"/>
              </w:rPr>
              <w:t xml:space="preserve">14.用户输入连接码传屏时，输入到一定位数后可以识别到唯一设备，并提示自动补全剩余的连接码，简化输入提示传屏效率；</w:t>
            </w:r>
            <w:r/>
          </w:p>
          <w:p>
            <w:pPr>
              <w:rPr>
                <w:rFonts w:ascii="宋体" w:hAnsi="宋体" w:cs="宋体"/>
                <w:sz w:val="24"/>
                <w:szCs w:val="24"/>
              </w:rPr>
            </w:pPr>
            <w:r>
              <w:rPr>
                <w:rFonts w:hint="eastAsia" w:ascii="宋体" w:hAnsi="宋体" w:cs="宋体"/>
                <w:sz w:val="24"/>
                <w:szCs w:val="24"/>
              </w:rPr>
              <w:t xml:space="preserve">15.▲支持集控管理平台软件对接，实现集控相关功能，如:远程桌面控制，恢复出厂设置，检查系统更新，开关机，命令行等功能；</w:t>
            </w:r>
            <w:r>
              <w:rPr>
                <w:rFonts w:ascii="宋体" w:hAnsi="宋体" w:cs="宋体"/>
                <w:b/>
                <w:bCs/>
                <w:sz w:val="24"/>
                <w:szCs w:val="24"/>
              </w:rPr>
              <w:t xml:space="preserve">（依据标准：</w:t>
            </w:r>
            <w:r>
              <w:rPr>
                <w:rFonts w:hint="eastAsia" w:ascii="宋体" w:hAnsi="宋体" w:cs="宋体"/>
                <w:b/>
                <w:bCs/>
                <w:sz w:val="24"/>
                <w:szCs w:val="24"/>
              </w:rPr>
              <w:t xml:space="preserve">音频/视频､信息和通信技术设备第1部分:安全要求IEC 62368-1:2023</w:t>
            </w:r>
            <w:r>
              <w:rPr>
                <w:rFonts w:ascii="宋体" w:hAnsi="宋体" w:cs="宋体"/>
                <w:b/>
                <w:bCs/>
                <w:sz w:val="24"/>
                <w:szCs w:val="24"/>
              </w:rPr>
              <w:t xml:space="preserve">；提供带CMA标志的检测报告。）</w:t>
            </w:r>
            <w:r/>
          </w:p>
        </w:tc>
        <w:tc>
          <w:tcPr>
            <w:tcW w:w="555" w:type="dxa"/>
            <w:vAlign w:val="center"/>
            <w:textDirection w:val="lrTb"/>
            <w:noWrap w:val="false"/>
          </w:tcPr>
          <w:p>
            <w:pPr>
              <w:jc w:val="left"/>
              <w:rPr>
                <w:rFonts w:ascii="宋体" w:hAnsi="宋体" w:cs="宋体"/>
                <w:b/>
                <w:sz w:val="24"/>
                <w:szCs w:val="24"/>
              </w:rPr>
            </w:pPr>
            <w:r>
              <w:rPr>
                <w:rFonts w:hint="eastAsia" w:ascii="宋体" w:hAnsi="宋体" w:cs="宋体"/>
                <w:b/>
                <w:sz w:val="24"/>
                <w:szCs w:val="24"/>
              </w:rPr>
              <w:t xml:space="preserve">核心产品</w:t>
            </w:r>
            <w:r/>
          </w:p>
        </w:tc>
      </w:tr>
      <w:tr>
        <w:trPr/>
        <w:tc>
          <w:tcPr>
            <w:tcW w:w="6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tcBorders>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承重结构</w:t>
            </w:r>
            <w:r/>
          </w:p>
        </w:tc>
        <w:tc>
          <w:tcPr>
            <w:tcBorders>
              <w:bottom w:val="single" w:color="auto" w:sz="4" w:space="0"/>
              <w:right w:val="single" w:color="auto" w:sz="4" w:space="0"/>
            </w:tcBorders>
            <w:tcW w:w="5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left w:val="single" w:color="auto" w:sz="4" w:space="0"/>
              <w:bottom w:val="single" w:color="auto" w:sz="4" w:space="0"/>
            </w:tcBorders>
            <w:tcW w:w="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w:t>
            </w:r>
            <w:r/>
          </w:p>
        </w:tc>
        <w:tc>
          <w:tcPr>
            <w:tcBorders>
              <w:bottom w:val="single" w:color="auto" w:sz="4" w:space="0"/>
            </w:tcBorders>
            <w:tcW w:w="6180" w:type="dxa"/>
            <w:vAlign w:val="center"/>
            <w:textDirection w:val="lrTb"/>
            <w:noWrap w:val="false"/>
          </w:tcPr>
          <w:p>
            <w:pPr>
              <w:jc w:val="left"/>
              <w:rPr>
                <w:rFonts w:ascii="宋体" w:hAnsi="宋体" w:cs="宋体"/>
                <w:bCs/>
                <w:sz w:val="24"/>
                <w:szCs w:val="24"/>
              </w:rPr>
            </w:pPr>
            <w:r>
              <w:rPr>
                <w:rFonts w:hint="eastAsia" w:ascii="宋体" w:hAnsi="宋体" w:cs="宋体"/>
                <w:bCs/>
                <w:sz w:val="24"/>
                <w:szCs w:val="24"/>
              </w:rPr>
              <w:t xml:space="preserve">1、</w:t>
            </w:r>
            <w:r>
              <w:rPr>
                <w:rStyle w:val="781"/>
                <w:rFonts w:hint="eastAsia"/>
              </w:rPr>
              <w:t xml:space="preserve">屏体承重钢结构符合国家标准的镀锌方管进行结构搭建</w:t>
            </w:r>
            <w:r/>
          </w:p>
          <w:p>
            <w:pPr>
              <w:jc w:val="left"/>
              <w:rPr>
                <w:rFonts w:ascii="宋体" w:hAnsi="宋体" w:cs="宋体"/>
                <w:bCs/>
                <w:sz w:val="24"/>
                <w:szCs w:val="24"/>
              </w:rPr>
            </w:pPr>
            <w:r>
              <w:rPr>
                <w:rFonts w:hint="eastAsia" w:ascii="宋体" w:hAnsi="宋体" w:cs="宋体"/>
                <w:bCs/>
                <w:sz w:val="24"/>
                <w:szCs w:val="24"/>
              </w:rPr>
              <w:t xml:space="preserve">2、为保证LED显示屏的安装精度、效果和结构安全，本次结构施工和LED显示屏调试应由设备制造商现场施工</w:t>
            </w:r>
            <w:r/>
          </w:p>
        </w:tc>
        <w:tc>
          <w:tcPr>
            <w:tcW w:w="555" w:type="dxa"/>
            <w:vAlign w:val="center"/>
            <w:textDirection w:val="lrTb"/>
            <w:noWrap w:val="false"/>
          </w:tcPr>
          <w:p>
            <w:pPr>
              <w:jc w:val="left"/>
              <w:rPr>
                <w:rFonts w:ascii="宋体" w:hAnsi="宋体" w:cs="宋体"/>
                <w:b/>
                <w:sz w:val="24"/>
                <w:szCs w:val="24"/>
              </w:rPr>
            </w:pPr>
            <w:r>
              <w:rPr>
                <w:rFonts w:ascii="宋体" w:hAnsi="宋体" w:cs="宋体"/>
                <w:b/>
                <w:sz w:val="24"/>
                <w:szCs w:val="24"/>
              </w:rPr>
            </w:r>
            <w:r/>
          </w:p>
        </w:tc>
      </w:tr>
      <w:tr>
        <w:trPr>
          <w:trHeight w:val="2002"/>
        </w:trPr>
        <w:tc>
          <w:tcPr>
            <w:tcW w:w="690" w:type="dxa"/>
            <w:vAlign w:val="center"/>
            <w:textDirection w:val="lrTb"/>
            <w:noWrap w:val="false"/>
          </w:tcPr>
          <w:p>
            <w:pPr>
              <w:jc w:val="center"/>
              <w:rPr>
                <w:sz w:val="24"/>
                <w:szCs w:val="24"/>
              </w:rPr>
            </w:pPr>
            <w:r>
              <w:rPr>
                <w:rFonts w:hint="eastAsia"/>
                <w:sz w:val="24"/>
                <w:szCs w:val="24"/>
              </w:rPr>
              <w:t xml:space="preserve">3</w:t>
            </w:r>
            <w:r/>
          </w:p>
        </w:tc>
        <w:tc>
          <w:tcPr>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摄像机</w:t>
            </w:r>
            <w:r/>
          </w:p>
        </w:tc>
        <w:tc>
          <w:tcPr>
            <w:tcBorders>
              <w:top w:val="single" w:color="auto" w:sz="4" w:space="0"/>
              <w:right w:val="single" w:color="auto" w:sz="4" w:space="0"/>
            </w:tcBorders>
            <w:tcW w:w="5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tcBorders>
            <w:tcW w:w="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Borders>
              <w:top w:val="single" w:color="auto" w:sz="4" w:space="0"/>
              <w:bottom w:val="single" w:color="auto" w:sz="4" w:space="0"/>
            </w:tcBorders>
            <w:tcW w:w="6180" w:type="dxa"/>
            <w:vAlign w:val="center"/>
            <w:textDirection w:val="lrTb"/>
            <w:noWrap w:val="false"/>
          </w:tcPr>
          <w:p>
            <w:pPr>
              <w:numPr>
                <w:ilvl w:val="0"/>
                <w:numId w:val="9"/>
              </w:numPr>
              <w:rPr>
                <w:rFonts w:ascii="宋体" w:hAnsi="宋体"/>
                <w:bCs/>
                <w:sz w:val="24"/>
                <w:szCs w:val="24"/>
              </w:rPr>
            </w:pPr>
            <w:r>
              <w:rPr>
                <w:rFonts w:hint="eastAsia" w:ascii="宋体" w:hAnsi="宋体"/>
                <w:bCs/>
                <w:sz w:val="24"/>
                <w:szCs w:val="24"/>
              </w:rPr>
              <w:t xml:space="preserve">采用双目摄像头设计,全景镜头采用1/2.8英寸846万像素的高品质CMOS传感器，可实现4KP30(3840x2160)超高分辨率的优质图像。</w:t>
            </w:r>
            <w:r/>
          </w:p>
          <w:p>
            <w:pPr>
              <w:numPr>
                <w:ilvl w:val="0"/>
                <w:numId w:val="9"/>
              </w:numPr>
              <w:rPr>
                <w:rFonts w:ascii="宋体" w:hAnsi="宋体"/>
                <w:bCs/>
                <w:sz w:val="24"/>
                <w:szCs w:val="24"/>
              </w:rPr>
            </w:pPr>
            <w:r>
              <w:rPr>
                <w:rFonts w:hint="eastAsia" w:ascii="宋体" w:hAnsi="宋体"/>
                <w:bCs/>
                <w:sz w:val="24"/>
                <w:szCs w:val="24"/>
              </w:rPr>
              <w:t xml:space="preserve">特写镜头采用1/1.8英寸842万像素的高品质CMOS传感器，可实现4KP30(3840x2160)超高分辨率的优质图像。向下兼容1080P、720P等多种分辨率。</w:t>
            </w:r>
            <w:r/>
          </w:p>
          <w:p>
            <w:pPr>
              <w:rPr>
                <w:rFonts w:ascii="宋体" w:hAnsi="宋体"/>
                <w:bCs/>
                <w:sz w:val="24"/>
                <w:szCs w:val="24"/>
              </w:rPr>
            </w:pPr>
            <w:r>
              <w:rPr>
                <w:rFonts w:hint="eastAsia" w:ascii="宋体" w:hAnsi="宋体"/>
                <w:bCs/>
                <w:sz w:val="24"/>
                <w:szCs w:val="24"/>
              </w:rPr>
              <w:t xml:space="preserve">3、特写镜头采用4K长焦镜头，水平视场角≥80°，垂直视角49.2°，光学变焦≥12倍，数字变焦≥16倍。</w:t>
            </w:r>
            <w:r/>
          </w:p>
          <w:p>
            <w:pPr>
              <w:rPr>
                <w:rFonts w:ascii="宋体" w:hAnsi="宋体"/>
                <w:bCs/>
                <w:sz w:val="24"/>
                <w:szCs w:val="24"/>
              </w:rPr>
            </w:pPr>
            <w:r>
              <w:rPr>
                <w:rFonts w:hint="eastAsia" w:ascii="宋体" w:hAnsi="宋体"/>
                <w:bCs/>
                <w:sz w:val="24"/>
                <w:szCs w:val="24"/>
              </w:rPr>
              <w:t xml:space="preserve">4、支持3D降噪，降低图像噪声，图像信噪比≥55dB。</w:t>
            </w:r>
            <w:r/>
          </w:p>
          <w:p>
            <w:pPr>
              <w:rPr>
                <w:rFonts w:ascii="宋体" w:hAnsi="宋体"/>
                <w:bCs/>
                <w:sz w:val="24"/>
                <w:szCs w:val="24"/>
              </w:rPr>
            </w:pPr>
            <w:r>
              <w:rPr>
                <w:rFonts w:hint="eastAsia" w:ascii="宋体" w:hAnsi="宋体"/>
                <w:bCs/>
                <w:sz w:val="24"/>
                <w:szCs w:val="24"/>
              </w:rPr>
              <w:t xml:space="preserve">5、支持HDMI1.4b，可直接输出 4K 无压缩数字视频。支持 LAN 输出4K高清视频，可同时输出 2 路高清数字信号。</w:t>
            </w:r>
            <w:r/>
          </w:p>
          <w:p>
            <w:pPr>
              <w:rPr>
                <w:rFonts w:ascii="宋体" w:hAnsi="宋体"/>
                <w:bCs/>
                <w:sz w:val="24"/>
                <w:szCs w:val="24"/>
              </w:rPr>
            </w:pPr>
            <w:r>
              <w:rPr>
                <w:rFonts w:hint="eastAsia" w:ascii="宋体" w:hAnsi="宋体"/>
                <w:bCs/>
                <w:sz w:val="24"/>
                <w:szCs w:val="24"/>
              </w:rPr>
              <w:t xml:space="preserve">6、支持水平、垂直翻转功能，支持背光补偿功能，支持自动白平衡, 支持手动调整白平衡，设置室内,、室外、一键式、 指定色温</w:t>
            </w:r>
            <w:r/>
          </w:p>
          <w:p>
            <w:pPr>
              <w:rPr>
                <w:rFonts w:ascii="宋体" w:hAnsi="宋体"/>
                <w:bCs/>
                <w:sz w:val="24"/>
                <w:szCs w:val="24"/>
              </w:rPr>
            </w:pPr>
            <w:r>
              <w:rPr>
                <w:rFonts w:hint="eastAsia" w:ascii="宋体" w:hAnsi="宋体"/>
                <w:bCs/>
                <w:sz w:val="24"/>
                <w:szCs w:val="24"/>
              </w:rPr>
              <w:t xml:space="preserve">7、特写镜头云台转动范围，水平：±170°，垂直：-90° ~ +90°。转动速度范围，水平：1.54° ~ 45°/s，垂直0.43° ~ 25°/s</w:t>
            </w:r>
            <w:r/>
          </w:p>
          <w:p>
            <w:pPr>
              <w:rPr>
                <w:rFonts w:ascii="宋体" w:hAnsi="宋体"/>
                <w:bCs/>
                <w:sz w:val="24"/>
                <w:szCs w:val="24"/>
              </w:rPr>
            </w:pPr>
            <w:r>
              <w:rPr>
                <w:rFonts w:hint="eastAsia" w:ascii="宋体" w:hAnsi="宋体"/>
                <w:bCs/>
                <w:sz w:val="24"/>
                <w:szCs w:val="24"/>
              </w:rPr>
              <w:t xml:space="preserve">8、支持预置位过程图像冻结功能，摄像机可设置不少于255个预置位，预置位精度≤0.1°。</w:t>
            </w:r>
            <w:r/>
          </w:p>
          <w:p>
            <w:pPr>
              <w:rPr>
                <w:rFonts w:ascii="宋体" w:hAnsi="宋体"/>
                <w:bCs/>
                <w:sz w:val="24"/>
                <w:szCs w:val="24"/>
              </w:rPr>
            </w:pPr>
            <w:r>
              <w:rPr>
                <w:rFonts w:hint="eastAsia" w:ascii="宋体" w:hAnsi="宋体"/>
                <w:bCs/>
                <w:sz w:val="24"/>
                <w:szCs w:val="24"/>
              </w:rPr>
              <w:t xml:space="preserve">9、支持内置麦克风，采用3阵列麦克风，可全向麦拾音，最远拾音距离6米。</w:t>
            </w:r>
            <w:r/>
          </w:p>
          <w:p>
            <w:pPr>
              <w:rPr>
                <w:rFonts w:ascii="宋体" w:hAnsi="宋体"/>
                <w:bCs/>
                <w:sz w:val="24"/>
                <w:szCs w:val="24"/>
              </w:rPr>
            </w:pPr>
            <w:r>
              <w:rPr>
                <w:rFonts w:hint="eastAsia" w:ascii="宋体" w:hAnsi="宋体"/>
                <w:bCs/>
                <w:sz w:val="24"/>
                <w:szCs w:val="24"/>
              </w:rPr>
              <w:t xml:space="preserve">10、可支持PoE供电，控制、供电、视频、音频仅需一条网线即可完成。</w:t>
            </w:r>
            <w:r/>
          </w:p>
          <w:p>
            <w:pPr>
              <w:rPr>
                <w:rFonts w:ascii="宋体" w:hAnsi="宋体"/>
                <w:bCs/>
                <w:sz w:val="24"/>
                <w:szCs w:val="24"/>
              </w:rPr>
            </w:pPr>
            <w:r>
              <w:rPr>
                <w:rFonts w:hint="eastAsia" w:ascii="宋体" w:hAnsi="宋体"/>
                <w:bCs/>
                <w:sz w:val="24"/>
                <w:szCs w:val="24"/>
              </w:rPr>
              <w:t xml:space="preserve">11、支持多种方式控制摄像机，可通过RS232、网络以及USB对摄像机进行控制，支持VISCA、网络VISCA协议、PELCO-D/P多种协议的对摄像机进行控制。</w:t>
            </w:r>
            <w:r/>
          </w:p>
          <w:p>
            <w:pPr>
              <w:rPr>
                <w:rFonts w:ascii="宋体" w:hAnsi="宋体"/>
                <w:bCs/>
                <w:sz w:val="24"/>
                <w:szCs w:val="24"/>
              </w:rPr>
            </w:pPr>
            <w:r>
              <w:rPr>
                <w:rFonts w:hint="eastAsia" w:ascii="宋体" w:hAnsi="宋体"/>
                <w:bCs/>
                <w:sz w:val="24"/>
                <w:szCs w:val="24"/>
              </w:rPr>
              <w:t xml:space="preserve">12、支持网口音视频编码输出，支持H.265/H.264/MJEPG三种视频编码标准；必须支持TCP/IP,HTTP,RTSP,RTMP/RTMPS,Onvif,DHCP,NDI|HX， SRT,GB/T 28181,组播等网络协议；网络视频编码码率最大可支持102400kbps，</w:t>
            </w:r>
            <w:r/>
          </w:p>
          <w:p>
            <w:pPr>
              <w:rPr>
                <w:rFonts w:ascii="宋体" w:hAnsi="宋体"/>
                <w:bCs/>
                <w:sz w:val="24"/>
                <w:szCs w:val="24"/>
              </w:rPr>
            </w:pPr>
            <w:r>
              <w:rPr>
                <w:rFonts w:hint="eastAsia" w:ascii="宋体" w:hAnsi="宋体"/>
                <w:bCs/>
                <w:sz w:val="24"/>
                <w:szCs w:val="24"/>
              </w:rPr>
              <w:t xml:space="preserve">13、支持音频LINE IN输入，摄像机可对音频进行编码。</w:t>
            </w:r>
            <w:r/>
          </w:p>
          <w:p>
            <w:pPr>
              <w:rPr>
                <w:rFonts w:ascii="宋体" w:hAnsi="宋体"/>
                <w:bCs/>
                <w:sz w:val="24"/>
                <w:szCs w:val="24"/>
              </w:rPr>
            </w:pPr>
            <w:r>
              <w:rPr>
                <w:rFonts w:hint="eastAsia" w:ascii="宋体" w:hAnsi="宋体"/>
                <w:bCs/>
                <w:sz w:val="24"/>
                <w:szCs w:val="24"/>
              </w:rPr>
              <w:t xml:space="preserve">14、支持USB2.0和USB3.0音视频输出，支持操作系统 Windows 7, Windows 8, Windows 10,Mac OS X， Android；支持YUY2 / H.264 / MJPEG  / H.265等编码格式，USB视频通信协议 UVC1.0-1.5，</w:t>
            </w:r>
            <w:r/>
          </w:p>
          <w:p>
            <w:pPr>
              <w:rPr>
                <w:rFonts w:ascii="宋体" w:hAnsi="宋体"/>
                <w:bCs/>
                <w:sz w:val="24"/>
                <w:szCs w:val="24"/>
              </w:rPr>
            </w:pPr>
            <w:r>
              <w:rPr>
                <w:rFonts w:hint="eastAsia" w:ascii="宋体" w:hAnsi="宋体"/>
                <w:bCs/>
                <w:sz w:val="24"/>
                <w:szCs w:val="24"/>
              </w:rPr>
              <w:t xml:space="preserve">15、支持UVC PTZ 控制。</w:t>
            </w:r>
            <w:r/>
          </w:p>
          <w:p>
            <w:pPr>
              <w:rPr>
                <w:rFonts w:ascii="宋体" w:hAnsi="宋体"/>
                <w:bCs/>
                <w:sz w:val="24"/>
                <w:szCs w:val="24"/>
              </w:rPr>
            </w:pPr>
            <w:r>
              <w:rPr>
                <w:rFonts w:hint="eastAsia" w:ascii="宋体" w:hAnsi="宋体"/>
                <w:bCs/>
                <w:sz w:val="24"/>
                <w:szCs w:val="24"/>
              </w:rPr>
              <w:t xml:space="preserve">16、DC 12V 2A输入，功耗≤20W 。</w:t>
            </w:r>
            <w:r/>
          </w:p>
          <w:p>
            <w:pPr>
              <w:rPr>
                <w:rFonts w:ascii="宋体" w:hAnsi="宋体"/>
                <w:bCs/>
                <w:sz w:val="24"/>
                <w:szCs w:val="24"/>
              </w:rPr>
            </w:pPr>
            <w:r>
              <w:rPr>
                <w:rFonts w:hint="eastAsia" w:ascii="宋体" w:hAnsi="宋体"/>
                <w:bCs/>
                <w:sz w:val="24"/>
                <w:szCs w:val="24"/>
              </w:rPr>
              <w:t xml:space="preserve">17、摄像机菜单界面至少支持中英文等多种国家语言。</w:t>
            </w:r>
            <w:r/>
          </w:p>
        </w:tc>
        <w:tc>
          <w:tcPr>
            <w:tcW w:w="555" w:type="dxa"/>
            <w:vAlign w:val="center"/>
            <w:textDirection w:val="lrTb"/>
            <w:noWrap w:val="false"/>
          </w:tcPr>
          <w:p>
            <w:pPr>
              <w:jc w:val="left"/>
              <w:rPr>
                <w:rFonts w:ascii="宋体" w:hAnsi="宋体"/>
                <w:b/>
                <w:sz w:val="24"/>
                <w:szCs w:val="24"/>
              </w:rPr>
            </w:pPr>
            <w:r>
              <w:rPr>
                <w:rFonts w:ascii="宋体" w:hAnsi="宋体"/>
                <w:b/>
                <w:sz w:val="24"/>
                <w:szCs w:val="24"/>
              </w:rPr>
            </w:r>
            <w:r/>
          </w:p>
        </w:tc>
      </w:tr>
      <w:tr>
        <w:trPr>
          <w:trHeight w:val="1183"/>
        </w:trPr>
        <w:tc>
          <w:tcPr>
            <w:tcW w:w="690" w:type="dxa"/>
            <w:vAlign w:val="center"/>
            <w:textDirection w:val="lrTb"/>
            <w:noWrap w:val="false"/>
          </w:tcPr>
          <w:p>
            <w:pPr>
              <w:jc w:val="center"/>
              <w:rPr>
                <w:sz w:val="24"/>
                <w:szCs w:val="24"/>
              </w:rPr>
            </w:pPr>
            <w:r>
              <w:rPr>
                <w:rFonts w:hint="eastAsia"/>
                <w:sz w:val="24"/>
                <w:szCs w:val="24"/>
              </w:rPr>
              <w:t xml:space="preserve">4</w:t>
            </w:r>
            <w:r/>
          </w:p>
        </w:tc>
        <w:tc>
          <w:tcPr>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音箱</w:t>
            </w:r>
            <w:r/>
          </w:p>
        </w:tc>
        <w:tc>
          <w:tcPr>
            <w:tcBorders>
              <w:right w:val="single" w:color="auto" w:sz="4" w:space="0"/>
            </w:tcBorders>
            <w:tcW w:w="5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6</w:t>
            </w:r>
            <w:r/>
          </w:p>
        </w:tc>
        <w:tc>
          <w:tcPr>
            <w:tcBorders>
              <w:left w:val="single" w:color="auto" w:sz="4" w:space="0"/>
            </w:tcBorders>
            <w:tcW w:w="55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只</w:t>
            </w:r>
            <w:r/>
          </w:p>
        </w:tc>
        <w:tc>
          <w:tcPr>
            <w:tcBorders>
              <w:top w:val="single" w:color="auto" w:sz="4" w:space="0"/>
            </w:tcBorders>
            <w:tcW w:w="6180" w:type="dxa"/>
            <w:vAlign w:val="center"/>
            <w:textDirection w:val="lrTb"/>
            <w:noWrap w:val="false"/>
          </w:tcPr>
          <w:p>
            <w:pPr>
              <w:rPr>
                <w:rFonts w:ascii="宋体" w:hAnsi="宋体"/>
                <w:bCs/>
                <w:sz w:val="24"/>
                <w:szCs w:val="24"/>
              </w:rPr>
            </w:pPr>
            <w:r>
              <w:rPr>
                <w:rFonts w:hint="eastAsia" w:ascii="宋体" w:hAnsi="宋体"/>
                <w:bCs/>
                <w:sz w:val="24"/>
                <w:szCs w:val="24"/>
              </w:rPr>
              <w:t xml:space="preserve">1、采用金属材质箱体，配合磁吸式声学花纹设计金属网</w:t>
            </w:r>
            <w:r/>
          </w:p>
          <w:p>
            <w:pPr>
              <w:rPr>
                <w:rFonts w:ascii="宋体" w:hAnsi="宋体"/>
                <w:bCs/>
                <w:sz w:val="24"/>
                <w:szCs w:val="24"/>
              </w:rPr>
            </w:pPr>
            <w:r>
              <w:rPr>
                <w:rFonts w:hint="eastAsia" w:ascii="宋体" w:hAnsi="宋体"/>
                <w:bCs/>
                <w:sz w:val="24"/>
                <w:szCs w:val="24"/>
              </w:rPr>
              <w:t xml:space="preserve">2、功率≥50W</w:t>
            </w:r>
            <w:r/>
          </w:p>
          <w:p>
            <w:pPr>
              <w:rPr>
                <w:rFonts w:ascii="宋体" w:hAnsi="宋体"/>
                <w:b/>
                <w:sz w:val="24"/>
                <w:szCs w:val="24"/>
              </w:rPr>
            </w:pPr>
            <w:r>
              <w:rPr>
                <w:rFonts w:hint="eastAsia" w:ascii="宋体" w:hAnsi="宋体"/>
                <w:bCs/>
                <w:sz w:val="24"/>
                <w:szCs w:val="24"/>
              </w:rPr>
              <w:t xml:space="preserve">3、▲支持 POE 传输，一根网线，即插即用，采用AES67网络音频协议，低延时，高保真，支持复位按键，设备快速调试与排除故障</w:t>
            </w:r>
            <w:r>
              <w:rPr>
                <w:rFonts w:ascii="宋体" w:hAnsi="宋体" w:cs="宋体"/>
                <w:b/>
                <w:bCs/>
                <w:sz w:val="24"/>
                <w:szCs w:val="24"/>
              </w:rPr>
              <w:t xml:space="preserve">（依据标准：</w:t>
            </w:r>
            <w:bookmarkStart w:id="190" w:name="OLE_LINK29"/>
            <w:r>
              <w:rPr>
                <w:rFonts w:hint="eastAsia" w:ascii="宋体" w:hAnsi="宋体" w:cs="宋体"/>
                <w:b/>
                <w:bCs/>
                <w:sz w:val="24"/>
                <w:szCs w:val="24"/>
              </w:rPr>
              <w:t xml:space="preserve">音频/视频､信息和通信技术设备</w:t>
            </w:r>
            <w:bookmarkEnd w:id="190"/>
            <w:r>
              <w:rPr>
                <w:rFonts w:hint="eastAsia" w:ascii="宋体" w:hAnsi="宋体" w:cs="宋体"/>
                <w:b/>
                <w:bCs/>
                <w:sz w:val="24"/>
                <w:szCs w:val="24"/>
              </w:rPr>
              <w:t xml:space="preserve">第1部分:安全要求</w:t>
            </w:r>
            <w:bookmarkStart w:id="191" w:name="OLE_LINK9"/>
            <w:r/>
            <w:bookmarkStart w:id="192" w:name="OLE_LINK10"/>
            <w:r>
              <w:rPr>
                <w:rFonts w:hint="eastAsia" w:ascii="宋体" w:hAnsi="宋体" w:cs="宋体"/>
                <w:b/>
                <w:bCs/>
                <w:sz w:val="24"/>
                <w:szCs w:val="24"/>
              </w:rPr>
              <w:t xml:space="preserve">IEC 62368-1:2023</w:t>
            </w:r>
            <w:bookmarkEnd w:id="191"/>
            <w:r/>
            <w:bookmarkEnd w:id="192"/>
            <w:r>
              <w:rPr>
                <w:rFonts w:hint="eastAsia" w:ascii="宋体" w:hAnsi="宋体" w:cs="宋体"/>
                <w:b/>
                <w:bCs/>
                <w:sz w:val="24"/>
                <w:szCs w:val="24"/>
              </w:rPr>
              <w:t xml:space="preserve">、公共安全视频监控数字视音频编解码技术测试规范 </w:t>
            </w:r>
            <w:bookmarkStart w:id="193" w:name="OLE_LINK20"/>
            <w:r/>
            <w:bookmarkStart w:id="194" w:name="OLE_LINK15"/>
            <w:r/>
            <w:bookmarkStart w:id="195" w:name="OLE_LINK16"/>
            <w:r/>
            <w:bookmarkStart w:id="196" w:name="OLE_LINK28"/>
            <w:r/>
            <w:bookmarkStart w:id="197" w:name="OLE_LINK30"/>
            <w:r>
              <w:rPr>
                <w:rFonts w:hint="eastAsia" w:ascii="宋体" w:hAnsi="宋体" w:cs="宋体"/>
                <w:b/>
                <w:bCs/>
                <w:sz w:val="24"/>
                <w:szCs w:val="24"/>
              </w:rPr>
              <w:t xml:space="preserve">GB/T 39274-2020</w:t>
            </w:r>
            <w:bookmarkEnd w:id="193"/>
            <w:r/>
            <w:bookmarkEnd w:id="194"/>
            <w:r/>
            <w:bookmarkEnd w:id="195"/>
            <w:r/>
            <w:bookmarkEnd w:id="196"/>
            <w:r/>
            <w:bookmarkEnd w:id="197"/>
            <w:r>
              <w:rPr>
                <w:rFonts w:hint="eastAsia" w:ascii="宋体" w:hAnsi="宋体" w:cs="宋体"/>
                <w:b/>
                <w:bCs/>
                <w:sz w:val="24"/>
                <w:szCs w:val="24"/>
              </w:rPr>
              <w:t xml:space="preserve">；</w:t>
            </w:r>
            <w:r>
              <w:rPr>
                <w:rFonts w:ascii="宋体" w:hAnsi="宋体" w:cs="宋体"/>
                <w:b/>
                <w:bCs/>
                <w:sz w:val="24"/>
                <w:szCs w:val="24"/>
              </w:rPr>
              <w:t xml:space="preserve">提供带CMA标志的检测报告。）</w:t>
            </w:r>
            <w:r/>
          </w:p>
        </w:tc>
        <w:tc>
          <w:tcPr>
            <w:tcW w:w="55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56"/>
        </w:trPr>
        <w:tc>
          <w:tcPr>
            <w:tcW w:w="690" w:type="dxa"/>
            <w:vAlign w:val="center"/>
            <w:textDirection w:val="lrTb"/>
            <w:noWrap w:val="false"/>
          </w:tcPr>
          <w:p>
            <w:pPr>
              <w:jc w:val="center"/>
              <w:rPr>
                <w:sz w:val="24"/>
                <w:szCs w:val="24"/>
              </w:rPr>
            </w:pPr>
            <w:r>
              <w:rPr>
                <w:rFonts w:hint="eastAsia"/>
                <w:sz w:val="24"/>
                <w:szCs w:val="24"/>
              </w:rPr>
              <w:t xml:space="preserve">5</w:t>
            </w:r>
            <w:r/>
          </w:p>
        </w:tc>
        <w:tc>
          <w:tcPr>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音频一体机</w:t>
            </w:r>
            <w:r/>
          </w:p>
        </w:tc>
        <w:tc>
          <w:tcPr>
            <w:tcBorders>
              <w:right w:val="single" w:color="auto" w:sz="4" w:space="0"/>
            </w:tcBorders>
            <w:tcW w:w="5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1</w:t>
            </w:r>
            <w:r/>
          </w:p>
        </w:tc>
        <w:tc>
          <w:tcPr>
            <w:tcBorders>
              <w:left w:val="single" w:color="auto" w:sz="4" w:space="0"/>
            </w:tcBorders>
            <w:tcW w:w="55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台</w:t>
            </w:r>
            <w:r/>
          </w:p>
        </w:tc>
        <w:tc>
          <w:tcPr>
            <w:tcBorders>
              <w:bottom w:val="single" w:color="auto" w:sz="4" w:space="0"/>
            </w:tcBorders>
            <w:tcW w:w="6180" w:type="dxa"/>
            <w:vAlign w:val="center"/>
            <w:textDirection w:val="lrTb"/>
            <w:noWrap w:val="false"/>
          </w:tcPr>
          <w:p>
            <w:pPr>
              <w:rPr>
                <w:rFonts w:ascii="宋体" w:hAnsi="宋体"/>
                <w:bCs/>
                <w:sz w:val="24"/>
                <w:szCs w:val="24"/>
              </w:rPr>
            </w:pPr>
            <w:r>
              <w:rPr>
                <w:rFonts w:hint="eastAsia" w:ascii="宋体" w:hAnsi="宋体"/>
                <w:bCs/>
                <w:sz w:val="24"/>
                <w:szCs w:val="24"/>
              </w:rPr>
              <w:t xml:space="preserve">1、采用一体化设计，基于数字网络架构开发，可实现一根网线传输音频及各类信息，同时支持线上会议和线下会议。</w:t>
            </w:r>
            <w:r/>
          </w:p>
          <w:p>
            <w:pPr>
              <w:rPr>
                <w:rFonts w:ascii="宋体" w:hAnsi="宋体" w:cs="宋体"/>
                <w:b/>
                <w:sz w:val="24"/>
                <w:szCs w:val="24"/>
              </w:rPr>
            </w:pPr>
            <w:r>
              <w:rPr>
                <w:rFonts w:hint="eastAsia" w:ascii="宋体" w:hAnsi="宋体"/>
                <w:bCs/>
                <w:sz w:val="24"/>
                <w:szCs w:val="24"/>
              </w:rPr>
              <w:t xml:space="preserve">2、▲整机硬件控制器、核心芯片等网络通信模块，均采用国产化器件；内置不少于450W电源模块，用于给POE音柱、有线手拉手麦克风等供电；前面板支持一个多功能旋钮，支持控制整体设备输出音量大小，支持对无线麦克风配对模式、有线麦克风配对模式、扬声器配对模式等功能模块进行选择与确认。</w:t>
            </w:r>
            <w:r>
              <w:rPr>
                <w:rFonts w:ascii="宋体" w:hAnsi="宋体" w:cs="宋体"/>
                <w:b/>
                <w:bCs/>
                <w:sz w:val="24"/>
                <w:szCs w:val="24"/>
              </w:rPr>
              <w:t xml:space="preserve">（依据标准：</w:t>
            </w:r>
            <w:r>
              <w:rPr>
                <w:rFonts w:hint="eastAsia" w:ascii="宋体" w:hAnsi="宋体" w:cs="宋体"/>
                <w:b/>
                <w:bCs/>
                <w:sz w:val="24"/>
                <w:szCs w:val="24"/>
              </w:rPr>
              <w:t xml:space="preserve">音频/视频､信息和通信技术设备第1部分:安全要求</w:t>
            </w:r>
            <w:bookmarkStart w:id="198" w:name="OLE_LINK17"/>
            <w:r/>
            <w:bookmarkStart w:id="199" w:name="OLE_LINK22"/>
            <w:r/>
            <w:bookmarkStart w:id="200" w:name="OLE_LINK18"/>
            <w:r/>
            <w:bookmarkStart w:id="201" w:name="OLE_LINK19"/>
            <w:r/>
            <w:bookmarkStart w:id="202" w:name="OLE_LINK21"/>
            <w:r>
              <w:rPr>
                <w:rFonts w:hint="eastAsia" w:ascii="宋体" w:hAnsi="宋体" w:cs="宋体"/>
                <w:b/>
                <w:bCs/>
                <w:sz w:val="24"/>
                <w:szCs w:val="24"/>
              </w:rPr>
              <w:t xml:space="preserve">IEC 62368-1</w:t>
            </w:r>
            <w:bookmarkEnd w:id="198"/>
            <w:r>
              <w:rPr>
                <w:rFonts w:hint="eastAsia" w:ascii="宋体" w:hAnsi="宋体" w:cs="宋体"/>
                <w:b/>
                <w:bCs/>
                <w:sz w:val="24"/>
                <w:szCs w:val="24"/>
              </w:rPr>
              <w:t xml:space="preserve">:2023</w:t>
            </w:r>
            <w:bookmarkEnd w:id="199"/>
            <w:r/>
            <w:bookmarkEnd w:id="200"/>
            <w:r/>
            <w:bookmarkEnd w:id="201"/>
            <w:r/>
            <w:bookmarkEnd w:id="202"/>
            <w:r>
              <w:rPr>
                <w:rFonts w:ascii="宋体" w:hAnsi="宋体" w:cs="宋体"/>
                <w:b/>
                <w:bCs/>
                <w:sz w:val="24"/>
                <w:szCs w:val="24"/>
              </w:rPr>
              <w:t xml:space="preserve">；提供带CMA标志的检测报告。）</w:t>
            </w:r>
            <w:r/>
          </w:p>
          <w:p>
            <w:pPr>
              <w:rPr>
                <w:rFonts w:ascii="宋体" w:hAnsi="宋体" w:cs="宋体"/>
                <w:b/>
                <w:sz w:val="24"/>
                <w:szCs w:val="24"/>
              </w:rPr>
            </w:pPr>
            <w:r>
              <w:rPr>
                <w:rFonts w:hint="eastAsia" w:ascii="宋体" w:hAnsi="宋体"/>
                <w:bCs/>
                <w:sz w:val="24"/>
                <w:szCs w:val="24"/>
              </w:rPr>
              <w:t xml:space="preserve">3、▲内置不少于6路90W的POE++网口，不少于1路30W的POE网口，不少于1路RJ45网口；</w:t>
            </w:r>
            <w:r>
              <w:rPr>
                <w:rFonts w:ascii="宋体" w:hAnsi="宋体" w:cs="宋体"/>
                <w:b/>
                <w:bCs/>
                <w:sz w:val="24"/>
                <w:szCs w:val="24"/>
              </w:rPr>
              <w:t xml:space="preserve">（依据标准：</w:t>
            </w:r>
            <w:r>
              <w:rPr>
                <w:rFonts w:hint="eastAsia" w:ascii="宋体" w:hAnsi="宋体" w:cs="宋体"/>
                <w:b/>
                <w:bCs/>
                <w:sz w:val="24"/>
                <w:szCs w:val="24"/>
              </w:rPr>
              <w:t xml:space="preserve">音频/视频､信息和通信技术设备第1部分:安全要求IEC 62368-1:2023</w:t>
            </w:r>
            <w:r>
              <w:rPr>
                <w:rFonts w:ascii="宋体" w:hAnsi="宋体" w:cs="宋体"/>
                <w:b/>
                <w:bCs/>
                <w:sz w:val="24"/>
                <w:szCs w:val="24"/>
              </w:rPr>
              <w:t xml:space="preserve">；提供带CMA标志的检测报告。）</w:t>
            </w:r>
            <w:r/>
          </w:p>
          <w:p>
            <w:pPr>
              <w:rPr>
                <w:rFonts w:ascii="宋体" w:hAnsi="宋体"/>
                <w:bCs/>
                <w:sz w:val="24"/>
                <w:szCs w:val="24"/>
              </w:rPr>
            </w:pPr>
            <w:r>
              <w:rPr>
                <w:rFonts w:hint="eastAsia" w:ascii="宋体" w:hAnsi="宋体"/>
                <w:bCs/>
                <w:sz w:val="24"/>
                <w:szCs w:val="24"/>
              </w:rPr>
              <w:t xml:space="preserve">4、支持适配同品牌无线接收模块，单台支持带载 199个无线麦克风，无线麦克风支持 2.4G+U 段双频备份，连接稳定，可靠性强。</w:t>
            </w:r>
            <w:r/>
          </w:p>
          <w:p>
            <w:pPr>
              <w:rPr>
                <w:rFonts w:ascii="宋体" w:hAnsi="宋体"/>
                <w:bCs/>
                <w:sz w:val="24"/>
                <w:szCs w:val="24"/>
              </w:rPr>
            </w:pPr>
            <w:r>
              <w:rPr>
                <w:rFonts w:hint="eastAsia" w:ascii="宋体" w:hAnsi="宋体"/>
                <w:bCs/>
                <w:sz w:val="24"/>
                <w:szCs w:val="24"/>
              </w:rPr>
              <w:t xml:space="preserve">5、单台设备支持带载 199 个有线麦克风，单台设备支持带载 199 个网络音柱/POE 天花喇叭。</w:t>
            </w:r>
            <w:r/>
          </w:p>
          <w:p>
            <w:pPr>
              <w:rPr>
                <w:rFonts w:ascii="宋体" w:hAnsi="宋体"/>
                <w:bCs/>
                <w:sz w:val="24"/>
                <w:szCs w:val="24"/>
              </w:rPr>
            </w:pPr>
            <w:r>
              <w:rPr>
                <w:rFonts w:hint="eastAsia" w:ascii="宋体" w:hAnsi="宋体"/>
                <w:bCs/>
                <w:sz w:val="24"/>
                <w:szCs w:val="24"/>
              </w:rPr>
              <w:t xml:space="preserve">6、设备内置有线会讨主机、音频处理器、功放等功能，支持一台设备实现拾、调音、扩音三大功能。</w:t>
            </w:r>
            <w:r/>
          </w:p>
          <w:p>
            <w:pPr>
              <w:rPr>
                <w:rFonts w:ascii="宋体" w:hAnsi="宋体"/>
                <w:bCs/>
                <w:sz w:val="24"/>
                <w:szCs w:val="24"/>
              </w:rPr>
            </w:pPr>
            <w:r>
              <w:rPr>
                <w:rFonts w:hint="eastAsia" w:ascii="宋体" w:hAnsi="宋体"/>
                <w:bCs/>
                <w:sz w:val="24"/>
                <w:szCs w:val="24"/>
              </w:rPr>
              <w:t xml:space="preserve">7、支持32进24出网络音频处理能力；</w:t>
            </w:r>
            <w:r/>
          </w:p>
          <w:p>
            <w:pPr>
              <w:rPr>
                <w:rFonts w:ascii="宋体" w:hAnsi="宋体"/>
                <w:bCs/>
                <w:sz w:val="24"/>
                <w:szCs w:val="24"/>
              </w:rPr>
            </w:pPr>
            <w:r>
              <w:rPr>
                <w:rFonts w:hint="eastAsia" w:ascii="宋体" w:hAnsi="宋体"/>
                <w:bCs/>
                <w:sz w:val="24"/>
                <w:szCs w:val="24"/>
              </w:rPr>
              <w:t xml:space="preserve">8、内置自动混音台，包括混音和自动混音功能，还具备混音分量控制功能，同时具备反馈消除、回声消除、噪声消除模块；支持同时开24支麦克风发言，且无啸叫等异常现象。</w:t>
            </w:r>
            <w:r/>
          </w:p>
          <w:p>
            <w:pPr>
              <w:rPr>
                <w:rFonts w:ascii="宋体" w:hAnsi="宋体"/>
                <w:bCs/>
                <w:sz w:val="24"/>
                <w:szCs w:val="24"/>
              </w:rPr>
            </w:pPr>
            <w:r>
              <w:rPr>
                <w:rFonts w:hint="eastAsia" w:ascii="宋体" w:hAnsi="宋体"/>
                <w:bCs/>
                <w:sz w:val="24"/>
                <w:szCs w:val="24"/>
              </w:rPr>
              <w:t xml:space="preserve">9、兼容 Dante 协议，支持兼容市面 BOSE、森海塞尔、舒尔等网络音频设备。</w:t>
            </w:r>
            <w:r/>
          </w:p>
          <w:p>
            <w:pPr>
              <w:rPr>
                <w:rFonts w:ascii="宋体" w:hAnsi="宋体" w:cs="宋体"/>
                <w:b/>
                <w:sz w:val="24"/>
                <w:szCs w:val="24"/>
              </w:rPr>
            </w:pPr>
            <w:r>
              <w:rPr>
                <w:rFonts w:hint="eastAsia" w:ascii="宋体" w:hAnsi="宋体"/>
                <w:bCs/>
                <w:sz w:val="24"/>
                <w:szCs w:val="24"/>
              </w:rPr>
              <w:t xml:space="preserve">10、▲支持同品牌会控屏控制，控制麦克风开关、扬声器音量大小、会后设备统一断电休眠等；支持远程控制设备休眠功能，一键管控；支持远程运维，监察设备运行状态，远程控制设备开关机、远程版本检测升级等功能。</w:t>
            </w:r>
            <w:r>
              <w:rPr>
                <w:rFonts w:ascii="宋体" w:hAnsi="宋体" w:cs="宋体"/>
                <w:b/>
                <w:bCs/>
                <w:sz w:val="24"/>
                <w:szCs w:val="24"/>
              </w:rPr>
              <w:t xml:space="preserve">（依据标准：</w:t>
            </w:r>
            <w:r>
              <w:rPr>
                <w:rFonts w:hint="eastAsia" w:ascii="宋体" w:hAnsi="宋体" w:cs="宋体"/>
                <w:b/>
                <w:bCs/>
                <w:sz w:val="24"/>
                <w:szCs w:val="24"/>
              </w:rPr>
              <w:t xml:space="preserve">公安视频会议室技术规范GA/T </w:t>
            </w:r>
            <w:bookmarkStart w:id="203" w:name="OLE_LINK31"/>
            <w:r/>
            <w:bookmarkStart w:id="204" w:name="OLE_LINK32"/>
            <w:r>
              <w:rPr>
                <w:rFonts w:hint="eastAsia" w:ascii="宋体" w:hAnsi="宋体" w:cs="宋体"/>
                <w:b/>
                <w:bCs/>
                <w:sz w:val="24"/>
                <w:szCs w:val="24"/>
              </w:rPr>
              <w:t xml:space="preserve">1794-2021</w:t>
            </w:r>
            <w:bookmarkEnd w:id="203"/>
            <w:r/>
            <w:bookmarkEnd w:id="204"/>
            <w:r>
              <w:rPr>
                <w:rFonts w:ascii="宋体" w:hAnsi="宋体" w:cs="宋体"/>
                <w:b/>
                <w:bCs/>
                <w:sz w:val="24"/>
                <w:szCs w:val="24"/>
              </w:rPr>
              <w:t xml:space="preserve">；提供带CMA标志的检测报告。）</w:t>
            </w:r>
            <w:r/>
          </w:p>
          <w:p>
            <w:pPr>
              <w:numPr>
                <w:ilvl w:val="255"/>
                <w:numId w:val="0"/>
              </w:numPr>
              <w:rPr>
                <w:rFonts w:ascii="宋体" w:hAnsi="宋体" w:cs="宋体"/>
                <w:b/>
                <w:sz w:val="24"/>
                <w:szCs w:val="24"/>
              </w:rPr>
            </w:pPr>
            <w:r>
              <w:rPr>
                <w:rFonts w:hint="eastAsia" w:ascii="宋体" w:hAnsi="宋体"/>
                <w:bCs/>
                <w:sz w:val="24"/>
                <w:szCs w:val="24"/>
              </w:rPr>
              <w:t xml:space="preserve">11、支持联动摄像机，实现摄像跟踪功能，声音画面同步；支持对接同品牌会议一体机，联动AI会议，实现智能撰写，实时翻译等功能。</w:t>
            </w:r>
            <w:r/>
          </w:p>
          <w:p>
            <w:pPr>
              <w:numPr>
                <w:ilvl w:val="255"/>
                <w:numId w:val="0"/>
              </w:numPr>
              <w:rPr>
                <w:rFonts w:ascii="宋体" w:hAnsi="宋体"/>
                <w:bCs/>
                <w:sz w:val="24"/>
                <w:szCs w:val="24"/>
              </w:rPr>
            </w:pPr>
            <w:r>
              <w:rPr>
                <w:rFonts w:hint="eastAsia" w:ascii="宋体" w:hAnsi="宋体" w:cs="宋体"/>
                <w:b/>
                <w:sz w:val="24"/>
                <w:szCs w:val="24"/>
              </w:rPr>
              <w:t xml:space="preserve">12、</w:t>
            </w:r>
            <w:r>
              <w:rPr>
                <w:rFonts w:hint="eastAsia" w:ascii="宋体" w:hAnsi="宋体"/>
                <w:bCs/>
                <w:sz w:val="24"/>
                <w:szCs w:val="24"/>
              </w:rPr>
              <w:t xml:space="preserve">支持对接同品牌全向麦克风，实现全向麦克风拾音，给到视频会议远端场景，支持同时开24支麦克风发言，且无啸叫等异常现象。</w:t>
            </w:r>
            <w:r/>
          </w:p>
          <w:p>
            <w:pPr>
              <w:rPr>
                <w:rFonts w:ascii="宋体" w:hAnsi="宋体" w:cs="宋体"/>
                <w:b/>
                <w:sz w:val="24"/>
                <w:szCs w:val="24"/>
              </w:rPr>
            </w:pPr>
            <w:r>
              <w:rPr>
                <w:rFonts w:hint="eastAsia" w:ascii="宋体" w:hAnsi="宋体"/>
                <w:bCs/>
                <w:sz w:val="24"/>
                <w:szCs w:val="24"/>
              </w:rPr>
              <w:t xml:space="preserve">13、▲支持web上AI自动调音，无需音频处理器的上位机软件调试即可满足会议室使用；web支持专业模式，支持可视化配置音频矩阵等功能，支持自主选择降噪等级；web支持人声均衡模式、男声优化、女声优化、演奏模式、原生直出等EQ模式选择。</w:t>
            </w:r>
            <w:r>
              <w:rPr>
                <w:rFonts w:ascii="宋体" w:hAnsi="宋体" w:cs="宋体"/>
                <w:b/>
                <w:bCs/>
                <w:sz w:val="24"/>
                <w:szCs w:val="24"/>
              </w:rPr>
              <w:t xml:space="preserve">（依据标准：</w:t>
            </w:r>
            <w:r>
              <w:rPr>
                <w:rFonts w:hint="eastAsia" w:ascii="宋体" w:hAnsi="宋体" w:cs="宋体"/>
                <w:b/>
                <w:bCs/>
                <w:sz w:val="24"/>
                <w:szCs w:val="24"/>
              </w:rPr>
              <w:t xml:space="preserve">公安视频会议室技术规范</w:t>
            </w:r>
            <w:bookmarkStart w:id="205" w:name="OLE_LINK12"/>
            <w:r/>
            <w:bookmarkStart w:id="206" w:name="OLE_LINK14"/>
            <w:r/>
            <w:bookmarkStart w:id="207" w:name="OLE_LINK13"/>
            <w:r>
              <w:rPr>
                <w:rFonts w:hint="eastAsia" w:ascii="宋体" w:hAnsi="宋体" w:cs="宋体"/>
                <w:b/>
                <w:bCs/>
                <w:sz w:val="24"/>
                <w:szCs w:val="24"/>
              </w:rPr>
              <w:t xml:space="preserve">GA/T 1794-2021</w:t>
            </w:r>
            <w:bookmarkEnd w:id="205"/>
            <w:r/>
            <w:bookmarkEnd w:id="206"/>
            <w:r/>
            <w:bookmarkEnd w:id="207"/>
            <w:r>
              <w:rPr>
                <w:rFonts w:ascii="宋体" w:hAnsi="宋体" w:cs="宋体"/>
                <w:b/>
                <w:bCs/>
                <w:sz w:val="24"/>
                <w:szCs w:val="24"/>
              </w:rPr>
              <w:t xml:space="preserve">；提供带CMA标志的检测报告。）</w:t>
            </w:r>
            <w:r/>
          </w:p>
          <w:p>
            <w:pPr>
              <w:rPr>
                <w:rFonts w:ascii="宋体" w:hAnsi="宋体"/>
                <w:bCs/>
                <w:sz w:val="24"/>
                <w:szCs w:val="24"/>
              </w:rPr>
            </w:pPr>
            <w:r>
              <w:rPr>
                <w:rFonts w:hint="eastAsia" w:ascii="宋体" w:hAnsi="宋体"/>
                <w:bCs/>
                <w:sz w:val="24"/>
                <w:szCs w:val="24"/>
              </w:rPr>
              <w:t xml:space="preserve">14、web支持开启和结束麦克风、扬声器的配对功能。</w:t>
            </w:r>
            <w:r/>
          </w:p>
          <w:p>
            <w:pPr>
              <w:rPr>
                <w:rFonts w:ascii="宋体" w:hAnsi="宋体"/>
                <w:bCs/>
                <w:sz w:val="24"/>
                <w:szCs w:val="24"/>
              </w:rPr>
            </w:pPr>
            <w:r>
              <w:rPr>
                <w:rFonts w:hint="eastAsia" w:ascii="宋体" w:hAnsi="宋体"/>
                <w:bCs/>
                <w:sz w:val="24"/>
                <w:szCs w:val="24"/>
              </w:rPr>
              <w:t xml:space="preserve">15、内置 NTP 时间校准服务器，可实时校准时间。</w:t>
            </w:r>
            <w:r/>
          </w:p>
          <w:p>
            <w:pPr>
              <w:rPr>
                <w:rFonts w:ascii="宋体" w:hAnsi="宋体"/>
                <w:bCs/>
                <w:sz w:val="24"/>
                <w:szCs w:val="24"/>
              </w:rPr>
            </w:pPr>
            <w:r>
              <w:rPr>
                <w:rFonts w:hint="eastAsia" w:ascii="宋体" w:hAnsi="宋体"/>
                <w:bCs/>
                <w:sz w:val="24"/>
                <w:szCs w:val="24"/>
              </w:rPr>
              <w:t xml:space="preserve">16、支持OTA固件升级，连接web即可实现设备固件更新；支持日志导出功能，可快速排查异常。</w:t>
            </w:r>
            <w:r/>
          </w:p>
          <w:p>
            <w:pPr>
              <w:rPr>
                <w:rFonts w:ascii="宋体" w:hAnsi="宋体"/>
                <w:b/>
                <w:sz w:val="24"/>
                <w:szCs w:val="24"/>
              </w:rPr>
            </w:pPr>
            <w:r>
              <w:rPr>
                <w:rFonts w:hint="eastAsia" w:ascii="宋体" w:hAnsi="宋体"/>
                <w:bCs/>
                <w:sz w:val="24"/>
                <w:szCs w:val="24"/>
              </w:rPr>
              <w:t xml:space="preserve">17、无需额外服务器，支持自定义订阅设备，可兼容不同电脑，支持windows电脑、MAC、国产化操作系统电脑；支持选择简体中文和英文。</w:t>
            </w:r>
            <w:r/>
          </w:p>
        </w:tc>
        <w:tc>
          <w:tcPr>
            <w:tcW w:w="55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969"/>
        </w:trPr>
        <w:tc>
          <w:tcPr>
            <w:tcBorders>
              <w:bottom w:val="single" w:color="auto" w:sz="4" w:space="0"/>
            </w:tcBorders>
            <w:tcW w:w="690" w:type="dxa"/>
            <w:vAlign w:val="center"/>
            <w:textDirection w:val="lrTb"/>
            <w:noWrap w:val="false"/>
          </w:tcPr>
          <w:p>
            <w:pPr>
              <w:jc w:val="center"/>
              <w:rPr>
                <w:sz w:val="24"/>
                <w:szCs w:val="24"/>
              </w:rPr>
            </w:pPr>
            <w:r>
              <w:rPr>
                <w:rFonts w:hint="eastAsia"/>
                <w:sz w:val="24"/>
                <w:szCs w:val="24"/>
              </w:rPr>
              <w:t xml:space="preserve">6</w:t>
            </w:r>
            <w:r/>
          </w:p>
        </w:tc>
        <w:tc>
          <w:tcPr>
            <w:tcBorders>
              <w:bottom w:val="single" w:color="auto" w:sz="4" w:space="0"/>
            </w:tcBorders>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无线坐席麦克风</w:t>
            </w:r>
            <w:r/>
          </w:p>
        </w:tc>
        <w:tc>
          <w:tcPr>
            <w:tcBorders>
              <w:bottom w:val="single" w:color="auto" w:sz="4" w:space="0"/>
              <w:right w:val="single" w:color="auto" w:sz="4" w:space="0"/>
            </w:tcBorders>
            <w:tcW w:w="5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12</w:t>
            </w:r>
            <w:r/>
          </w:p>
        </w:tc>
        <w:tc>
          <w:tcPr>
            <w:tcBorders>
              <w:left w:val="single" w:color="auto" w:sz="4" w:space="0"/>
              <w:bottom w:val="single" w:color="auto" w:sz="4" w:space="0"/>
            </w:tcBorders>
            <w:tcW w:w="55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只</w:t>
            </w:r>
            <w:r/>
          </w:p>
        </w:tc>
        <w:tc>
          <w:tcPr>
            <w:tcBorders>
              <w:top w:val="single" w:color="auto" w:sz="4" w:space="0"/>
              <w:bottom w:val="single" w:color="auto" w:sz="4" w:space="0"/>
            </w:tcBorders>
            <w:tcW w:w="6180"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、心型指向性麦克风，支持精准补助正前方声音，有效屏蔽侧面与后方杂音</w:t>
            </w:r>
            <w:r/>
          </w:p>
          <w:p>
            <w:pPr>
              <w:rPr>
                <w:rFonts w:ascii="宋体" w:hAnsi="宋体" w:cs="宋体"/>
                <w:b/>
                <w:sz w:val="24"/>
                <w:szCs w:val="24"/>
              </w:rPr>
            </w:pPr>
            <w:r>
              <w:rPr>
                <w:rFonts w:hint="eastAsia"/>
                <w:sz w:val="24"/>
                <w:szCs w:val="24"/>
              </w:rPr>
              <w:t xml:space="preserve">2</w:t>
            </w:r>
            <w:r>
              <w:rPr>
                <w:rFonts w:hint="eastAsia"/>
                <w:sz w:val="24"/>
                <w:szCs w:val="24"/>
              </w:rPr>
              <w:t xml:space="preserve">、▲支持</w:t>
            </w:r>
            <w:r>
              <w:rPr>
                <w:rFonts w:hint="eastAsia"/>
                <w:sz w:val="24"/>
                <w:szCs w:val="24"/>
              </w:rPr>
              <w:t xml:space="preserve">U</w:t>
            </w:r>
            <w:r>
              <w:rPr>
                <w:rFonts w:hint="eastAsia"/>
                <w:sz w:val="24"/>
                <w:szCs w:val="24"/>
              </w:rPr>
              <w:t xml:space="preserve">段和</w:t>
            </w:r>
            <w:r>
              <w:rPr>
                <w:rFonts w:hint="eastAsia"/>
                <w:sz w:val="24"/>
                <w:szCs w:val="24"/>
              </w:rPr>
              <w:t xml:space="preserve">2.4G </w:t>
            </w:r>
            <w:r>
              <w:rPr>
                <w:rFonts w:hint="eastAsia"/>
                <w:sz w:val="24"/>
                <w:szCs w:val="24"/>
              </w:rPr>
              <w:t xml:space="preserve">双频段备份技术</w:t>
            </w:r>
            <w:r>
              <w:rPr>
                <w:rFonts w:hint="eastAsia"/>
                <w:sz w:val="24"/>
                <w:szCs w:val="24"/>
              </w:rPr>
              <w:t xml:space="preserve">,</w:t>
            </w:r>
            <w:r>
              <w:rPr>
                <w:rFonts w:hint="eastAsia"/>
                <w:sz w:val="24"/>
                <w:szCs w:val="24"/>
              </w:rPr>
              <w:t xml:space="preserve">兼顾抗千扰和远距离传输功能</w:t>
            </w:r>
            <w:r>
              <w:rPr>
                <w:rFonts w:ascii="宋体" w:hAnsi="宋体" w:cs="宋体"/>
                <w:b/>
                <w:bCs/>
                <w:sz w:val="24"/>
                <w:szCs w:val="24"/>
              </w:rPr>
              <w:t xml:space="preserve">（依据标准：</w:t>
            </w:r>
            <w:r>
              <w:rPr>
                <w:rFonts w:hint="eastAsia" w:ascii="宋体" w:hAnsi="宋体" w:cs="宋体"/>
                <w:b/>
                <w:bCs/>
                <w:sz w:val="24"/>
                <w:szCs w:val="24"/>
              </w:rPr>
              <w:t xml:space="preserve">音频/视频､信息和通信技术设备第1部分:安全要求IEC </w:t>
            </w:r>
            <w:bookmarkStart w:id="208" w:name="OLE_LINK33"/>
            <w:r>
              <w:rPr>
                <w:rFonts w:hint="eastAsia" w:ascii="宋体" w:hAnsi="宋体" w:cs="宋体"/>
                <w:b/>
                <w:bCs/>
                <w:sz w:val="24"/>
                <w:szCs w:val="24"/>
              </w:rPr>
              <w:t xml:space="preserve">62368-1:2023</w:t>
            </w:r>
            <w:bookmarkEnd w:id="208"/>
            <w:r>
              <w:rPr>
                <w:rFonts w:ascii="宋体" w:hAnsi="宋体" w:cs="宋体"/>
                <w:b/>
                <w:bCs/>
                <w:sz w:val="24"/>
                <w:szCs w:val="24"/>
              </w:rPr>
              <w:t xml:space="preserve">；提供带CMA标志的检测报告。）</w:t>
            </w:r>
            <w:r/>
          </w:p>
          <w:p>
            <w:pPr>
              <w:rPr>
                <w:sz w:val="24"/>
                <w:szCs w:val="24"/>
              </w:rPr>
            </w:pPr>
            <w:r>
              <w:rPr>
                <w:rFonts w:hint="eastAsia"/>
                <w:sz w:val="24"/>
                <w:szCs w:val="24"/>
              </w:rPr>
              <w:t xml:space="preserve">3</w:t>
            </w:r>
            <w:r>
              <w:rPr>
                <w:rFonts w:hint="eastAsia"/>
                <w:sz w:val="24"/>
                <w:szCs w:val="24"/>
              </w:rPr>
              <w:t xml:space="preserve">、高灵敏度收音，支持</w:t>
            </w:r>
            <w:r>
              <w:rPr>
                <w:rFonts w:hint="eastAsia"/>
                <w:sz w:val="24"/>
                <w:szCs w:val="24"/>
              </w:rPr>
              <w:t xml:space="preserve">50cm</w:t>
            </w:r>
            <w:r>
              <w:rPr>
                <w:rFonts w:hint="eastAsia"/>
                <w:sz w:val="24"/>
                <w:szCs w:val="24"/>
              </w:rPr>
              <w:t xml:space="preserve">理想拾音距离，声音清晰还原</w:t>
            </w:r>
            <w:r/>
          </w:p>
          <w:p>
            <w:pPr>
              <w:rPr>
                <w:sz w:val="24"/>
                <w:szCs w:val="24"/>
              </w:rPr>
            </w:pPr>
            <w:r>
              <w:rPr>
                <w:rFonts w:hint="eastAsia"/>
                <w:sz w:val="24"/>
                <w:szCs w:val="24"/>
              </w:rPr>
              <w:t xml:space="preserve">4</w:t>
            </w:r>
            <w:r>
              <w:rPr>
                <w:rFonts w:hint="eastAsia"/>
                <w:sz w:val="24"/>
                <w:szCs w:val="24"/>
              </w:rPr>
              <w:t xml:space="preserve">、采用</w:t>
            </w:r>
            <w:r>
              <w:rPr>
                <w:rFonts w:hint="eastAsia"/>
                <w:sz w:val="24"/>
                <w:szCs w:val="24"/>
              </w:rPr>
              <w:t xml:space="preserve">18650</w:t>
            </w:r>
            <w:r>
              <w:rPr>
                <w:rFonts w:hint="eastAsia"/>
                <w:sz w:val="24"/>
                <w:szCs w:val="24"/>
              </w:rPr>
              <w:t xml:space="preserve">蓄电池供电</w:t>
            </w:r>
            <w:r>
              <w:rPr>
                <w:rFonts w:hint="eastAsia"/>
                <w:sz w:val="24"/>
                <w:szCs w:val="24"/>
              </w:rPr>
              <w:t xml:space="preserve">,</w:t>
            </w:r>
            <w:r>
              <w:rPr>
                <w:rFonts w:hint="eastAsia"/>
                <w:sz w:val="24"/>
                <w:szCs w:val="24"/>
              </w:rPr>
              <w:t xml:space="preserve">长续航</w:t>
            </w:r>
            <w:r>
              <w:rPr>
                <w:rFonts w:hint="eastAsia"/>
                <w:sz w:val="24"/>
                <w:szCs w:val="24"/>
              </w:rPr>
              <w:t xml:space="preserve">,</w:t>
            </w:r>
            <w:r>
              <w:rPr>
                <w:rFonts w:hint="eastAsia"/>
                <w:sz w:val="24"/>
                <w:szCs w:val="24"/>
              </w:rPr>
              <w:t xml:space="preserve">内置标准</w:t>
            </w:r>
            <w:r>
              <w:rPr>
                <w:rFonts w:hint="eastAsia"/>
                <w:sz w:val="24"/>
                <w:szCs w:val="24"/>
              </w:rPr>
              <w:t xml:space="preserve">Type-C </w:t>
            </w:r>
            <w:r>
              <w:rPr>
                <w:rFonts w:hint="eastAsia"/>
                <w:sz w:val="24"/>
                <w:szCs w:val="24"/>
              </w:rPr>
              <w:t xml:space="preserve">充电接口，方便快捷，且支持</w:t>
            </w:r>
            <w:r>
              <w:rPr>
                <w:rFonts w:hint="eastAsia"/>
                <w:sz w:val="24"/>
                <w:szCs w:val="24"/>
              </w:rPr>
              <w:t xml:space="preserve">4000mAh</w:t>
            </w:r>
            <w:r>
              <w:rPr>
                <w:rFonts w:hint="eastAsia"/>
                <w:sz w:val="24"/>
                <w:szCs w:val="24"/>
              </w:rPr>
              <w:t xml:space="preserve">蓄电池</w:t>
            </w:r>
            <w:r/>
          </w:p>
          <w:p>
            <w:pPr>
              <w:rPr>
                <w:sz w:val="24"/>
                <w:szCs w:val="24"/>
              </w:rPr>
            </w:pPr>
            <w:r>
              <w:rPr>
                <w:rFonts w:hint="eastAsia"/>
                <w:sz w:val="24"/>
                <w:szCs w:val="24"/>
              </w:rPr>
              <w:t xml:space="preserve">5</w:t>
            </w:r>
            <w:r>
              <w:rPr>
                <w:rFonts w:hint="eastAsia"/>
                <w:sz w:val="24"/>
                <w:szCs w:val="24"/>
              </w:rPr>
              <w:t xml:space="preserve">、支持系统自动配对功能，设备开机后可自动连接配对，缩短调试时间</w:t>
            </w:r>
            <w:r/>
          </w:p>
          <w:p>
            <w:pPr>
              <w:rPr>
                <w:sz w:val="24"/>
                <w:szCs w:val="24"/>
              </w:rPr>
            </w:pPr>
            <w:r>
              <w:rPr>
                <w:rFonts w:hint="eastAsia"/>
                <w:sz w:val="24"/>
                <w:szCs w:val="24"/>
              </w:rPr>
              <w:t xml:space="preserve">6</w:t>
            </w:r>
            <w:r>
              <w:rPr>
                <w:rFonts w:hint="eastAsia"/>
                <w:sz w:val="24"/>
                <w:szCs w:val="24"/>
              </w:rPr>
              <w:t xml:space="preserve">、支持按键复位功能</w:t>
            </w:r>
            <w:r/>
          </w:p>
          <w:p>
            <w:pPr>
              <w:rPr>
                <w:sz w:val="24"/>
                <w:szCs w:val="24"/>
              </w:rPr>
            </w:pPr>
            <w:r>
              <w:rPr>
                <w:rFonts w:hint="eastAsia"/>
                <w:sz w:val="24"/>
                <w:szCs w:val="24"/>
              </w:rPr>
              <w:t xml:space="preserve">7</w:t>
            </w:r>
            <w:r>
              <w:rPr>
                <w:rFonts w:hint="eastAsia"/>
                <w:sz w:val="24"/>
                <w:szCs w:val="24"/>
              </w:rPr>
              <w:t xml:space="preserve">、底座预置卡扣，可快速固定桌面，且方便拆卸</w:t>
            </w:r>
            <w:r/>
          </w:p>
        </w:tc>
        <w:tc>
          <w:tcPr>
            <w:tcBorders>
              <w:bottom w:val="single" w:color="auto" w:sz="4" w:space="0"/>
            </w:tcBorders>
            <w:tcW w:w="55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1525"/>
        </w:trPr>
        <w:tc>
          <w:tcPr>
            <w:tcBorders>
              <w:top w:val="single" w:color="auto" w:sz="4" w:space="0"/>
              <w:bottom w:val="single" w:color="auto" w:sz="4" w:space="0"/>
            </w:tcBorders>
            <w:tcW w:w="690" w:type="dxa"/>
            <w:vAlign w:val="center"/>
            <w:textDirection w:val="lrTb"/>
            <w:noWrap w:val="false"/>
          </w:tcPr>
          <w:p>
            <w:pPr>
              <w:jc w:val="center"/>
              <w:rPr>
                <w:sz w:val="24"/>
                <w:szCs w:val="24"/>
              </w:rPr>
            </w:pPr>
            <w:r>
              <w:rPr>
                <w:rFonts w:hint="eastAsia"/>
                <w:sz w:val="24"/>
                <w:szCs w:val="24"/>
              </w:rPr>
              <w:t xml:space="preserve">7</w:t>
            </w:r>
            <w:r/>
          </w:p>
        </w:tc>
        <w:tc>
          <w:tcPr>
            <w:tcBorders>
              <w:top w:val="single" w:color="auto" w:sz="4" w:space="0"/>
              <w:bottom w:val="single" w:color="auto" w:sz="4" w:space="0"/>
            </w:tcBorders>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手持麦克风</w:t>
            </w:r>
            <w:r/>
          </w:p>
        </w:tc>
        <w:tc>
          <w:tcPr>
            <w:tcBorders>
              <w:top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2</w:t>
            </w:r>
            <w:r/>
          </w:p>
        </w:tc>
        <w:tc>
          <w:tcPr>
            <w:tcBorders>
              <w:top w:val="single" w:color="auto" w:sz="4" w:space="0"/>
              <w:left w:val="single" w:color="auto" w:sz="4" w:space="0"/>
              <w:bottom w:val="single" w:color="auto" w:sz="4" w:space="0"/>
            </w:tcBorders>
            <w:tcW w:w="55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只</w:t>
            </w:r>
            <w:r/>
          </w:p>
        </w:tc>
        <w:tc>
          <w:tcPr>
            <w:tcBorders>
              <w:top w:val="single" w:color="auto" w:sz="4" w:space="0"/>
              <w:bottom w:val="single" w:color="auto" w:sz="4" w:space="0"/>
            </w:tcBorders>
            <w:tcW w:w="6180"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、心型指向性麦克风，支持精准补助正前方声音，有效屏蔽侧面与后方杂音</w:t>
            </w:r>
            <w:r/>
          </w:p>
          <w:p>
            <w:pPr>
              <w:rPr>
                <w:rFonts w:ascii="宋体" w:hAnsi="宋体" w:cs="宋体"/>
                <w:b/>
                <w:sz w:val="24"/>
                <w:szCs w:val="24"/>
              </w:rPr>
            </w:pPr>
            <w:r>
              <w:rPr>
                <w:rFonts w:hint="eastAsia"/>
                <w:sz w:val="24"/>
                <w:szCs w:val="24"/>
              </w:rPr>
              <w:t xml:space="preserve">2</w:t>
            </w:r>
            <w:r>
              <w:rPr>
                <w:rFonts w:hint="eastAsia"/>
                <w:sz w:val="24"/>
                <w:szCs w:val="24"/>
              </w:rPr>
              <w:t xml:space="preserve">、▲支持</w:t>
            </w:r>
            <w:r>
              <w:rPr>
                <w:rFonts w:hint="eastAsia"/>
                <w:sz w:val="24"/>
                <w:szCs w:val="24"/>
              </w:rPr>
              <w:t xml:space="preserve">U</w:t>
            </w:r>
            <w:r>
              <w:rPr>
                <w:rFonts w:hint="eastAsia"/>
                <w:sz w:val="24"/>
                <w:szCs w:val="24"/>
              </w:rPr>
              <w:t xml:space="preserve">段和</w:t>
            </w:r>
            <w:r>
              <w:rPr>
                <w:rFonts w:hint="eastAsia"/>
                <w:sz w:val="24"/>
                <w:szCs w:val="24"/>
              </w:rPr>
              <w:t xml:space="preserve">2.4G </w:t>
            </w:r>
            <w:r>
              <w:rPr>
                <w:rFonts w:hint="eastAsia"/>
                <w:sz w:val="24"/>
                <w:szCs w:val="24"/>
              </w:rPr>
              <w:t xml:space="preserve">双频段备份技术</w:t>
            </w:r>
            <w:r>
              <w:rPr>
                <w:rFonts w:hint="eastAsia"/>
                <w:sz w:val="24"/>
                <w:szCs w:val="24"/>
              </w:rPr>
              <w:t xml:space="preserve">,</w:t>
            </w:r>
            <w:r>
              <w:rPr>
                <w:rFonts w:hint="eastAsia"/>
                <w:sz w:val="24"/>
                <w:szCs w:val="24"/>
              </w:rPr>
              <w:t xml:space="preserve">兼顾抗千扰和远距离传输功能</w:t>
            </w:r>
            <w:r>
              <w:rPr>
                <w:rFonts w:ascii="宋体" w:hAnsi="宋体" w:cs="宋体"/>
                <w:b/>
                <w:bCs/>
                <w:sz w:val="24"/>
                <w:szCs w:val="24"/>
              </w:rPr>
              <w:t xml:space="preserve">（依据标准：</w:t>
            </w:r>
            <w:r>
              <w:rPr>
                <w:rFonts w:hint="eastAsia" w:ascii="宋体" w:hAnsi="宋体" w:cs="宋体"/>
                <w:b/>
                <w:bCs/>
                <w:sz w:val="24"/>
                <w:szCs w:val="24"/>
              </w:rPr>
              <w:t xml:space="preserve">音频/视频､信息和通信技术设备第1部分:安全要求IEC 62368-1:2023</w:t>
            </w:r>
            <w:r>
              <w:rPr>
                <w:rFonts w:ascii="宋体" w:hAnsi="宋体" w:cs="宋体"/>
                <w:b/>
                <w:bCs/>
                <w:sz w:val="24"/>
                <w:szCs w:val="24"/>
              </w:rPr>
              <w:t xml:space="preserve">；提供带CMA标志的检测报告。）</w:t>
            </w:r>
            <w:r/>
          </w:p>
          <w:p>
            <w:pPr>
              <w:rPr>
                <w:sz w:val="24"/>
                <w:szCs w:val="24"/>
              </w:rPr>
            </w:pPr>
            <w:r>
              <w:rPr>
                <w:rFonts w:hint="eastAsia"/>
                <w:sz w:val="24"/>
                <w:szCs w:val="24"/>
              </w:rPr>
              <w:t xml:space="preserve">3</w:t>
            </w:r>
            <w:r>
              <w:rPr>
                <w:rFonts w:hint="eastAsia"/>
                <w:sz w:val="24"/>
                <w:szCs w:val="24"/>
              </w:rPr>
              <w:t xml:space="preserve">、高灵敏度收音，支持</w:t>
            </w:r>
            <w:r>
              <w:rPr>
                <w:rFonts w:hint="eastAsia"/>
                <w:sz w:val="24"/>
                <w:szCs w:val="24"/>
              </w:rPr>
              <w:t xml:space="preserve">20cm</w:t>
            </w:r>
            <w:r>
              <w:rPr>
                <w:rFonts w:hint="eastAsia"/>
                <w:sz w:val="24"/>
                <w:szCs w:val="24"/>
              </w:rPr>
              <w:t xml:space="preserve">理想拾音距离，声音清晰还原</w:t>
            </w:r>
            <w:r/>
          </w:p>
          <w:p>
            <w:pPr>
              <w:rPr>
                <w:sz w:val="24"/>
                <w:szCs w:val="24"/>
              </w:rPr>
            </w:pPr>
            <w:r>
              <w:rPr>
                <w:rFonts w:hint="eastAsia"/>
                <w:sz w:val="24"/>
                <w:szCs w:val="24"/>
              </w:rPr>
              <w:t xml:space="preserve">4</w:t>
            </w:r>
            <w:r>
              <w:rPr>
                <w:rFonts w:hint="eastAsia"/>
                <w:sz w:val="24"/>
                <w:szCs w:val="24"/>
              </w:rPr>
              <w:t xml:space="preserve">、▲采用</w:t>
            </w:r>
            <w:r>
              <w:rPr>
                <w:rFonts w:hint="eastAsia"/>
                <w:sz w:val="24"/>
                <w:szCs w:val="24"/>
              </w:rPr>
              <w:t xml:space="preserve">18650 </w:t>
            </w:r>
            <w:r>
              <w:rPr>
                <w:rFonts w:hint="eastAsia"/>
                <w:sz w:val="24"/>
                <w:szCs w:val="24"/>
              </w:rPr>
              <w:t xml:space="preserve">蓄电池供电</w:t>
            </w:r>
            <w:r>
              <w:rPr>
                <w:rFonts w:hint="eastAsia"/>
                <w:sz w:val="24"/>
                <w:szCs w:val="24"/>
              </w:rPr>
              <w:t xml:space="preserve">,</w:t>
            </w:r>
            <w:r>
              <w:rPr>
                <w:rFonts w:hint="eastAsia"/>
                <w:sz w:val="24"/>
                <w:szCs w:val="24"/>
              </w:rPr>
              <w:t xml:space="preserve">长续航</w:t>
            </w:r>
            <w:r>
              <w:rPr>
                <w:rFonts w:hint="eastAsia"/>
                <w:sz w:val="24"/>
                <w:szCs w:val="24"/>
              </w:rPr>
              <w:t xml:space="preserve">,</w:t>
            </w:r>
            <w:r>
              <w:rPr>
                <w:rFonts w:hint="eastAsia"/>
                <w:sz w:val="24"/>
                <w:szCs w:val="24"/>
              </w:rPr>
              <w:t xml:space="preserve">内置标准</w:t>
            </w:r>
            <w:r>
              <w:rPr>
                <w:rFonts w:hint="eastAsia"/>
                <w:sz w:val="24"/>
                <w:szCs w:val="24"/>
              </w:rPr>
              <w:t xml:space="preserve"> Type-C </w:t>
            </w:r>
            <w:r>
              <w:rPr>
                <w:rFonts w:hint="eastAsia"/>
                <w:sz w:val="24"/>
                <w:szCs w:val="24"/>
              </w:rPr>
              <w:t xml:space="preserve">充电接口</w:t>
            </w:r>
            <w:r>
              <w:rPr>
                <w:rFonts w:hint="eastAsia"/>
                <w:sz w:val="24"/>
                <w:szCs w:val="24"/>
              </w:rPr>
              <w:t xml:space="preserve">,</w:t>
            </w:r>
            <w:r>
              <w:rPr>
                <w:rFonts w:hint="eastAsia"/>
                <w:sz w:val="24"/>
                <w:szCs w:val="24"/>
              </w:rPr>
              <w:t xml:space="preserve">方便快捷，且支持</w:t>
            </w:r>
            <w:r>
              <w:rPr>
                <w:rFonts w:hint="eastAsia"/>
                <w:sz w:val="24"/>
                <w:szCs w:val="24"/>
              </w:rPr>
              <w:t xml:space="preserve"> 4000mAh </w:t>
            </w:r>
            <w:r>
              <w:rPr>
                <w:rFonts w:hint="eastAsia"/>
                <w:sz w:val="24"/>
                <w:szCs w:val="24"/>
              </w:rPr>
              <w:t xml:space="preserve">蓄电池</w:t>
            </w:r>
            <w:r>
              <w:rPr>
                <w:rFonts w:ascii="宋体" w:hAnsi="宋体" w:cs="宋体"/>
                <w:b/>
                <w:bCs/>
                <w:sz w:val="24"/>
                <w:szCs w:val="24"/>
              </w:rPr>
              <w:t xml:space="preserve">（依据标准：</w:t>
            </w:r>
            <w:r>
              <w:rPr>
                <w:rFonts w:hint="eastAsia" w:ascii="宋体" w:hAnsi="宋体" w:cs="宋体"/>
                <w:b/>
                <w:bCs/>
                <w:sz w:val="24"/>
                <w:szCs w:val="24"/>
              </w:rPr>
              <w:t xml:space="preserve">音视频信息技术设备安全要求IEC 62368-1:2023</w:t>
            </w:r>
            <w:r>
              <w:rPr>
                <w:rFonts w:ascii="宋体" w:hAnsi="宋体" w:cs="宋体"/>
                <w:b/>
                <w:bCs/>
                <w:sz w:val="24"/>
                <w:szCs w:val="24"/>
              </w:rPr>
              <w:t xml:space="preserve">；提供带CMA标志的检测报告。）</w:t>
            </w:r>
            <w:r/>
          </w:p>
          <w:p>
            <w:pPr>
              <w:rPr>
                <w:sz w:val="24"/>
                <w:szCs w:val="24"/>
              </w:rPr>
            </w:pPr>
            <w:r>
              <w:rPr>
                <w:rFonts w:hint="eastAsia"/>
                <w:sz w:val="24"/>
                <w:szCs w:val="24"/>
              </w:rPr>
              <w:t xml:space="preserve">5</w:t>
            </w:r>
            <w:r>
              <w:rPr>
                <w:rFonts w:hint="eastAsia"/>
                <w:sz w:val="24"/>
                <w:szCs w:val="24"/>
              </w:rPr>
              <w:t xml:space="preserve">、支持系统自动配对功能，设备开机后可自动连接配对，缩短调试时间</w:t>
            </w:r>
            <w:r/>
          </w:p>
          <w:p>
            <w:pPr>
              <w:rPr>
                <w:sz w:val="24"/>
                <w:szCs w:val="24"/>
              </w:rPr>
            </w:pPr>
            <w:r>
              <w:rPr>
                <w:rFonts w:hint="eastAsia"/>
                <w:sz w:val="24"/>
                <w:szCs w:val="24"/>
              </w:rPr>
              <w:t xml:space="preserve">6</w:t>
            </w:r>
            <w:r>
              <w:rPr>
                <w:rFonts w:hint="eastAsia"/>
                <w:sz w:val="24"/>
                <w:szCs w:val="24"/>
              </w:rPr>
              <w:t xml:space="preserve">、支持按键复位功能</w:t>
            </w:r>
            <w:r/>
          </w:p>
        </w:tc>
        <w:tc>
          <w:tcPr>
            <w:tcBorders>
              <w:top w:val="single" w:color="auto" w:sz="4" w:space="0"/>
              <w:bottom w:val="single" w:color="auto" w:sz="4" w:space="0"/>
            </w:tcBorders>
            <w:tcW w:w="55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1525"/>
        </w:trPr>
        <w:tc>
          <w:tcPr>
            <w:tcBorders>
              <w:top w:val="single" w:color="auto" w:sz="4" w:space="0"/>
              <w:bottom w:val="single" w:color="auto" w:sz="4" w:space="0"/>
            </w:tcBorders>
            <w:tcW w:w="690" w:type="dxa"/>
            <w:vAlign w:val="center"/>
            <w:textDirection w:val="lrTb"/>
            <w:noWrap w:val="false"/>
          </w:tcPr>
          <w:p>
            <w:pPr>
              <w:jc w:val="center"/>
              <w:rPr>
                <w:sz w:val="24"/>
                <w:szCs w:val="24"/>
              </w:rPr>
            </w:pPr>
            <w:r>
              <w:rPr>
                <w:rFonts w:hint="eastAsia"/>
                <w:sz w:val="24"/>
                <w:szCs w:val="24"/>
              </w:rPr>
              <w:t xml:space="preserve">8</w:t>
            </w:r>
            <w:r/>
          </w:p>
        </w:tc>
        <w:tc>
          <w:tcPr>
            <w:tcBorders>
              <w:top w:val="single" w:color="auto" w:sz="4" w:space="0"/>
              <w:bottom w:val="single" w:color="auto" w:sz="4" w:space="0"/>
            </w:tcBorders>
            <w:tcW w:w="1290" w:type="dxa"/>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无线信号拓展器</w:t>
            </w:r>
            <w:r/>
          </w:p>
        </w:tc>
        <w:tc>
          <w:tcPr>
            <w:tcBorders>
              <w:top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tcBorders>
            <w:tcW w:w="55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auto" w:sz="4" w:space="0"/>
              <w:bottom w:val="single" w:color="auto" w:sz="4" w:space="0"/>
            </w:tcBorders>
            <w:tcW w:w="6180" w:type="dxa"/>
            <w:vAlign w:val="center"/>
            <w:textDirection w:val="lrTb"/>
            <w:noWrap w:val="false"/>
          </w:tcPr>
          <w:p>
            <w:pPr>
              <w:numPr>
                <w:ilvl w:val="0"/>
                <w:numId w:val="10"/>
              </w:numPr>
              <w:rPr>
                <w:sz w:val="24"/>
                <w:szCs w:val="24"/>
              </w:rPr>
            </w:pPr>
            <w:r>
              <w:rPr>
                <w:rFonts w:hint="eastAsia"/>
                <w:sz w:val="24"/>
                <w:szCs w:val="24"/>
              </w:rPr>
              <w:t xml:space="preserve">采用</w:t>
            </w:r>
            <w:r>
              <w:rPr>
                <w:rFonts w:hint="eastAsia"/>
                <w:sz w:val="24"/>
                <w:szCs w:val="24"/>
              </w:rPr>
              <w:t xml:space="preserve">AES67</w:t>
            </w:r>
            <w:r>
              <w:rPr>
                <w:rFonts w:hint="eastAsia"/>
                <w:sz w:val="24"/>
                <w:szCs w:val="24"/>
              </w:rPr>
              <w:t xml:space="preserve">网络音频协议，低延时，高保真</w:t>
            </w:r>
            <w:r/>
          </w:p>
          <w:p>
            <w:pPr>
              <w:numPr>
                <w:ilvl w:val="0"/>
                <w:numId w:val="10"/>
              </w:numPr>
              <w:rPr>
                <w:sz w:val="24"/>
                <w:szCs w:val="24"/>
              </w:rPr>
            </w:pPr>
            <w:r>
              <w:rPr>
                <w:rFonts w:hint="eastAsia"/>
                <w:sz w:val="24"/>
                <w:szCs w:val="24"/>
              </w:rPr>
              <w:t xml:space="preserve">▲支持</w:t>
            </w:r>
            <w:r>
              <w:rPr>
                <w:rFonts w:hint="eastAsia"/>
                <w:sz w:val="24"/>
                <w:szCs w:val="24"/>
              </w:rPr>
              <w:t xml:space="preserve">U</w:t>
            </w:r>
            <w:r>
              <w:rPr>
                <w:rFonts w:hint="eastAsia"/>
                <w:sz w:val="24"/>
                <w:szCs w:val="24"/>
              </w:rPr>
              <w:t xml:space="preserve">段和</w:t>
            </w:r>
            <w:r>
              <w:rPr>
                <w:rFonts w:hint="eastAsia"/>
                <w:sz w:val="24"/>
                <w:szCs w:val="24"/>
              </w:rPr>
              <w:t xml:space="preserve">2.4G</w:t>
            </w:r>
            <w:r>
              <w:rPr>
                <w:rFonts w:hint="eastAsia"/>
                <w:sz w:val="24"/>
                <w:szCs w:val="24"/>
              </w:rPr>
              <w:t xml:space="preserve">双频段备份技术，兼顾抗干扰和远距离传输功能支持系统自动配对功能，设备开机后可自动连接配对，缩短调试时间</w:t>
            </w:r>
            <w:r>
              <w:rPr>
                <w:rFonts w:hint="eastAsia" w:ascii="宋体" w:hAnsi="宋体" w:cs="宋体"/>
                <w:b/>
                <w:bCs/>
                <w:sz w:val="24"/>
                <w:szCs w:val="24"/>
              </w:rPr>
              <w:t xml:space="preserve">（依据标准：音频/视频､信息和通信技术设备第1部分:安全要求IEC 62368-1:2023；提供带CMA标志的检测报告。）</w:t>
            </w:r>
            <w:r/>
          </w:p>
          <w:p>
            <w:pPr>
              <w:numPr>
                <w:ilvl w:val="0"/>
                <w:numId w:val="10"/>
              </w:numPr>
              <w:rPr>
                <w:sz w:val="24"/>
                <w:szCs w:val="24"/>
              </w:rPr>
            </w:pPr>
            <w:r>
              <w:rPr>
                <w:rFonts w:hint="eastAsia"/>
                <w:sz w:val="24"/>
                <w:szCs w:val="24"/>
              </w:rPr>
              <w:t xml:space="preserve">支持适配器和</w:t>
            </w:r>
            <w:r>
              <w:rPr>
                <w:rFonts w:hint="eastAsia"/>
                <w:sz w:val="24"/>
                <w:szCs w:val="24"/>
              </w:rPr>
              <w:t xml:space="preserve">POE</w:t>
            </w:r>
            <w:r>
              <w:rPr>
                <w:rFonts w:hint="eastAsia"/>
                <w:sz w:val="24"/>
                <w:szCs w:val="24"/>
              </w:rPr>
              <w:t xml:space="preserve">网线双模式供电</w:t>
            </w:r>
            <w:r/>
          </w:p>
          <w:p>
            <w:pPr>
              <w:rPr>
                <w:sz w:val="24"/>
                <w:szCs w:val="24"/>
              </w:rPr>
            </w:pPr>
            <w:r>
              <w:rPr>
                <w:rFonts w:hint="eastAsia"/>
                <w:sz w:val="24"/>
                <w:szCs w:val="24"/>
              </w:rPr>
              <w:t xml:space="preserve">4</w:t>
            </w:r>
            <w:r>
              <w:rPr>
                <w:rFonts w:hint="eastAsia"/>
                <w:sz w:val="24"/>
                <w:szCs w:val="24"/>
              </w:rPr>
              <w:t xml:space="preserve">、支持</w:t>
            </w:r>
            <w:r>
              <w:rPr>
                <w:rFonts w:hint="eastAsia"/>
                <w:sz w:val="24"/>
                <w:szCs w:val="24"/>
              </w:rPr>
              <w:t xml:space="preserve">199</w:t>
            </w:r>
            <w:r>
              <w:rPr>
                <w:rFonts w:hint="eastAsia"/>
                <w:sz w:val="24"/>
                <w:szCs w:val="24"/>
              </w:rPr>
              <w:t xml:space="preserve">支麦克风同时连接，</w:t>
            </w:r>
            <w:r>
              <w:rPr>
                <w:rFonts w:hint="eastAsia"/>
                <w:sz w:val="24"/>
                <w:szCs w:val="24"/>
              </w:rPr>
              <w:t xml:space="preserve">6</w:t>
            </w:r>
            <w:r>
              <w:rPr>
                <w:rFonts w:hint="eastAsia"/>
                <w:sz w:val="24"/>
                <w:szCs w:val="24"/>
              </w:rPr>
              <w:t xml:space="preserve">人可同时发言</w:t>
            </w:r>
            <w:r/>
          </w:p>
        </w:tc>
        <w:tc>
          <w:tcPr>
            <w:tcBorders>
              <w:top w:val="single" w:color="auto" w:sz="4" w:space="0"/>
              <w:bottom w:val="single" w:color="auto" w:sz="4" w:space="0"/>
            </w:tcBorders>
            <w:tcW w:w="55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1396"/>
        </w:trPr>
        <w:tc>
          <w:tcPr>
            <w:tcBorders>
              <w:top w:val="single" w:color="auto" w:sz="4" w:space="0"/>
              <w:bottom w:val="single" w:color="auto" w:sz="4" w:space="0"/>
            </w:tcBorders>
            <w:tcW w:w="690" w:type="dxa"/>
            <w:vAlign w:val="center"/>
            <w:textDirection w:val="lrTb"/>
            <w:noWrap w:val="false"/>
          </w:tcPr>
          <w:p>
            <w:pPr>
              <w:jc w:val="center"/>
              <w:rPr>
                <w:sz w:val="24"/>
                <w:szCs w:val="24"/>
              </w:rPr>
            </w:pPr>
            <w:r>
              <w:rPr>
                <w:rFonts w:hint="eastAsia"/>
                <w:sz w:val="24"/>
                <w:szCs w:val="24"/>
              </w:rPr>
              <w:t xml:space="preserve">9</w:t>
            </w:r>
            <w:r/>
          </w:p>
        </w:tc>
        <w:tc>
          <w:tcPr>
            <w:tcBorders>
              <w:top w:val="single" w:color="auto" w:sz="4" w:space="0"/>
              <w:bottom w:val="single" w:color="auto" w:sz="4" w:space="0"/>
            </w:tcBorders>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会议一体机</w:t>
            </w:r>
            <w:r/>
          </w:p>
        </w:tc>
        <w:tc>
          <w:tcPr>
            <w:tcBorders>
              <w:top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tcBorders>
            <w:tcW w:w="55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台</w:t>
            </w:r>
            <w:r/>
          </w:p>
        </w:tc>
        <w:tc>
          <w:tcPr>
            <w:tcBorders>
              <w:top w:val="single" w:color="auto" w:sz="4" w:space="0"/>
              <w:bottom w:val="single" w:color="auto" w:sz="4" w:space="0"/>
            </w:tcBorders>
            <w:tcW w:w="6180"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尺寸：</w:t>
            </w:r>
            <w:r>
              <w:rPr>
                <w:rFonts w:hint="eastAsia"/>
                <w:sz w:val="24"/>
                <w:szCs w:val="24"/>
              </w:rPr>
              <w:t xml:space="preserve">86</w:t>
            </w:r>
            <w:r>
              <w:rPr>
                <w:rFonts w:hint="eastAsia"/>
                <w:sz w:val="24"/>
                <w:szCs w:val="24"/>
              </w:rPr>
              <w:t xml:space="preserve">英寸，分辨率：</w:t>
            </w:r>
            <w:r>
              <w:rPr>
                <w:rFonts w:hint="eastAsia"/>
                <w:sz w:val="24"/>
                <w:szCs w:val="24"/>
              </w:rPr>
              <w:t xml:space="preserve">3840(H)</w:t>
            </w:r>
            <w:r>
              <w:rPr>
                <w:rFonts w:hint="eastAsia"/>
                <w:sz w:val="24"/>
                <w:szCs w:val="24"/>
              </w:rPr>
              <w:t xml:space="preserve">×</w:t>
            </w:r>
            <w:r>
              <w:rPr>
                <w:rFonts w:hint="eastAsia"/>
                <w:sz w:val="24"/>
                <w:szCs w:val="24"/>
              </w:rPr>
              <w:t xml:space="preserve">2160(V)</w:t>
            </w:r>
            <w:r>
              <w:rPr>
                <w:rFonts w:hint="eastAsia"/>
                <w:sz w:val="24"/>
                <w:szCs w:val="24"/>
              </w:rPr>
              <w:t xml:space="preserve">，可视角度</w:t>
            </w:r>
            <w:r>
              <w:rPr>
                <w:rFonts w:hint="eastAsia"/>
                <w:sz w:val="24"/>
                <w:szCs w:val="24"/>
              </w:rPr>
              <w:t xml:space="preserve">178</w:t>
            </w:r>
            <w:r>
              <w:rPr>
                <w:rFonts w:hint="eastAsia"/>
                <w:sz w:val="24"/>
                <w:szCs w:val="24"/>
              </w:rPr>
              <w:t xml:space="preserve">°，显示比例</w:t>
            </w:r>
            <w:r>
              <w:rPr>
                <w:rFonts w:hint="eastAsia"/>
                <w:sz w:val="24"/>
                <w:szCs w:val="24"/>
              </w:rPr>
              <w:t xml:space="preserve">16</w:t>
            </w:r>
            <w:r>
              <w:rPr>
                <w:rFonts w:hint="eastAsia"/>
                <w:sz w:val="24"/>
                <w:szCs w:val="24"/>
              </w:rPr>
              <w:t xml:space="preserve">：</w:t>
            </w:r>
            <w:r>
              <w:rPr>
                <w:rFonts w:hint="eastAsia"/>
                <w:sz w:val="24"/>
                <w:szCs w:val="24"/>
              </w:rPr>
              <w:t xml:space="preserve">9</w:t>
            </w:r>
            <w:r>
              <w:rPr>
                <w:rFonts w:hint="eastAsia"/>
                <w:sz w:val="24"/>
                <w:szCs w:val="24"/>
              </w:rPr>
              <w:t xml:space="preserve">，对比度为</w:t>
            </w:r>
            <w:r>
              <w:rPr>
                <w:rFonts w:hint="eastAsia"/>
                <w:sz w:val="24"/>
                <w:szCs w:val="24"/>
              </w:rPr>
              <w:t xml:space="preserve">5000</w:t>
            </w:r>
            <w:r>
              <w:rPr>
                <w:rFonts w:hint="eastAsia"/>
                <w:sz w:val="24"/>
                <w:szCs w:val="24"/>
              </w:rPr>
              <w:t xml:space="preserve">：</w:t>
            </w:r>
            <w:r>
              <w:rPr>
                <w:rFonts w:hint="eastAsia"/>
                <w:sz w:val="24"/>
                <w:szCs w:val="24"/>
              </w:rPr>
              <w:t xml:space="preserve">1</w:t>
            </w:r>
            <w:r>
              <w:rPr>
                <w:rFonts w:hint="eastAsia"/>
                <w:sz w:val="24"/>
                <w:szCs w:val="24"/>
              </w:rPr>
              <w:t xml:space="preserve">，屏亮度≥</w:t>
            </w:r>
            <w:r>
              <w:rPr>
                <w:rFonts w:hint="eastAsia"/>
                <w:sz w:val="24"/>
                <w:szCs w:val="24"/>
              </w:rPr>
              <w:t xml:space="preserve">350cd/m</w:t>
            </w:r>
            <w:r>
              <w:rPr>
                <w:rFonts w:hint="eastAsia"/>
                <w:sz w:val="24"/>
                <w:szCs w:val="24"/>
              </w:rPr>
              <w:t xml:space="preserve">²，显示响应时间≤</w:t>
            </w:r>
            <w:r>
              <w:rPr>
                <w:rFonts w:hint="eastAsia"/>
                <w:sz w:val="24"/>
                <w:szCs w:val="24"/>
              </w:rPr>
              <w:t xml:space="preserve">8ms</w:t>
            </w:r>
            <w:r>
              <w:rPr>
                <w:rFonts w:hint="eastAsia"/>
                <w:sz w:val="24"/>
                <w:szCs w:val="24"/>
              </w:rPr>
              <w:t xml:space="preserve">。</w:t>
            </w:r>
            <w:r/>
          </w:p>
          <w:p>
            <w:pPr>
              <w:rPr>
                <w:sz w:val="24"/>
                <w:szCs w:val="24"/>
              </w:rPr>
            </w:pPr>
            <w:r>
              <w:rPr>
                <w:rFonts w:hint="eastAsia"/>
                <w:sz w:val="24"/>
                <w:szCs w:val="24"/>
              </w:rPr>
              <w:t xml:space="preserve">2.</w:t>
            </w:r>
            <w:r>
              <w:rPr>
                <w:rFonts w:hint="eastAsia"/>
                <w:sz w:val="24"/>
                <w:szCs w:val="24"/>
              </w:rPr>
              <w:t xml:space="preserve">整机液晶屏与屏幕保护层零贴合技术，减少显示面板与玻璃间的散射，偏光，画面显示更加通透清晰。</w:t>
            </w:r>
            <w:r/>
          </w:p>
          <w:p>
            <w:pPr>
              <w:rPr>
                <w:sz w:val="24"/>
                <w:szCs w:val="24"/>
              </w:rPr>
            </w:pPr>
            <w:r>
              <w:rPr>
                <w:rFonts w:hint="eastAsia"/>
                <w:sz w:val="24"/>
                <w:szCs w:val="24"/>
              </w:rPr>
              <w:t xml:space="preserve">3.</w:t>
            </w:r>
            <w:r>
              <w:rPr>
                <w:rFonts w:hint="eastAsia"/>
                <w:sz w:val="24"/>
                <w:szCs w:val="24"/>
              </w:rPr>
              <w:t xml:space="preserve">色域≥</w:t>
            </w:r>
            <w:r>
              <w:rPr>
                <w:rFonts w:hint="eastAsia"/>
                <w:sz w:val="24"/>
                <w:szCs w:val="24"/>
              </w:rPr>
              <w:t xml:space="preserve">72%NTSC</w:t>
            </w:r>
            <w:r>
              <w:rPr>
                <w:rFonts w:hint="eastAsia"/>
                <w:sz w:val="24"/>
                <w:szCs w:val="24"/>
              </w:rPr>
              <w:t xml:space="preserve">，可显示更真实更鲜艳的色彩；提供≥</w:t>
            </w:r>
            <w:r>
              <w:rPr>
                <w:rFonts w:hint="eastAsia"/>
                <w:sz w:val="24"/>
                <w:szCs w:val="24"/>
              </w:rPr>
              <w:t xml:space="preserve">3 </w:t>
            </w:r>
            <w:r>
              <w:rPr>
                <w:rFonts w:hint="eastAsia"/>
                <w:sz w:val="24"/>
                <w:szCs w:val="24"/>
              </w:rPr>
              <w:t xml:space="preserve">种图像模式，提供≥</w:t>
            </w:r>
            <w:r>
              <w:rPr>
                <w:rFonts w:hint="eastAsia"/>
                <w:sz w:val="24"/>
                <w:szCs w:val="24"/>
              </w:rPr>
              <w:t xml:space="preserve">6 </w:t>
            </w:r>
            <w:r>
              <w:rPr>
                <w:rFonts w:hint="eastAsia"/>
                <w:sz w:val="24"/>
                <w:szCs w:val="24"/>
              </w:rPr>
              <w:t xml:space="preserve">种色彩空间模式。</w:t>
            </w:r>
            <w:r/>
          </w:p>
          <w:p>
            <w:pPr>
              <w:rPr>
                <w:sz w:val="24"/>
                <w:szCs w:val="24"/>
              </w:rPr>
            </w:pPr>
            <w:r>
              <w:rPr>
                <w:rFonts w:hint="eastAsia"/>
                <w:sz w:val="24"/>
                <w:szCs w:val="24"/>
              </w:rPr>
              <w:t xml:space="preserve">4.</w:t>
            </w:r>
            <w:r>
              <w:rPr>
                <w:rFonts w:hint="eastAsia"/>
                <w:sz w:val="24"/>
                <w:szCs w:val="24"/>
              </w:rPr>
              <w:t xml:space="preserve">整机采用高度集成一体化设计，集成触摸显示屏、摄像头、麦克风、扬声器等模块。</w:t>
            </w:r>
            <w:r/>
          </w:p>
          <w:p>
            <w:pPr>
              <w:rPr>
                <w:sz w:val="24"/>
                <w:szCs w:val="24"/>
              </w:rPr>
            </w:pPr>
            <w:r>
              <w:rPr>
                <w:rFonts w:hint="eastAsia"/>
                <w:sz w:val="24"/>
                <w:szCs w:val="24"/>
              </w:rPr>
              <w:t xml:space="preserve">5.</w:t>
            </w:r>
            <w:r>
              <w:rPr>
                <w:rFonts w:hint="eastAsia"/>
                <w:sz w:val="24"/>
                <w:szCs w:val="24"/>
              </w:rPr>
              <w:t xml:space="preserve">▲屏幕正面上居中内置单颗</w:t>
            </w:r>
            <w:r>
              <w:rPr>
                <w:rFonts w:hint="eastAsia"/>
                <w:sz w:val="24"/>
                <w:szCs w:val="24"/>
              </w:rPr>
              <w:t xml:space="preserve">5000</w:t>
            </w:r>
            <w:r>
              <w:rPr>
                <w:rFonts w:hint="eastAsia"/>
                <w:sz w:val="24"/>
                <w:szCs w:val="24"/>
              </w:rPr>
              <w:t xml:space="preserve">万像素及以上高清摄像头，水平场视角≥</w:t>
            </w:r>
            <w:r>
              <w:rPr>
                <w:rFonts w:hint="eastAsia"/>
                <w:sz w:val="24"/>
                <w:szCs w:val="24"/>
              </w:rPr>
              <w:t xml:space="preserve">86</w:t>
            </w:r>
            <w:r>
              <w:rPr>
                <w:rFonts w:hint="eastAsia"/>
                <w:sz w:val="24"/>
                <w:szCs w:val="24"/>
              </w:rPr>
              <w:t xml:space="preserve">°，摄像头具备智能全景模式，无需机械转动，可根据与会人数自动调整焦距整机内置</w:t>
            </w:r>
            <w:r>
              <w:rPr>
                <w:rFonts w:hint="eastAsia"/>
                <w:sz w:val="24"/>
                <w:szCs w:val="24"/>
              </w:rPr>
              <w:t xml:space="preserve">8</w:t>
            </w:r>
            <w:r>
              <w:rPr>
                <w:rFonts w:hint="eastAsia"/>
                <w:sz w:val="24"/>
                <w:szCs w:val="24"/>
              </w:rPr>
              <w:t xml:space="preserve">阵列麦克风，实现≥</w:t>
            </w:r>
            <w:r>
              <w:rPr>
                <w:rFonts w:hint="eastAsia"/>
                <w:sz w:val="24"/>
                <w:szCs w:val="24"/>
              </w:rPr>
              <w:t xml:space="preserve">12</w:t>
            </w:r>
            <w:r>
              <w:rPr>
                <w:rFonts w:hint="eastAsia"/>
                <w:sz w:val="24"/>
                <w:szCs w:val="24"/>
              </w:rPr>
              <w:t xml:space="preserve">米有效拾音距离，采用</w:t>
            </w:r>
            <w:r>
              <w:rPr>
                <w:rFonts w:hint="eastAsia"/>
                <w:sz w:val="24"/>
                <w:szCs w:val="24"/>
              </w:rPr>
              <w:t xml:space="preserve">2.2</w:t>
            </w:r>
            <w:r>
              <w:rPr>
                <w:rFonts w:hint="eastAsia"/>
                <w:sz w:val="24"/>
                <w:szCs w:val="24"/>
              </w:rPr>
              <w:t xml:space="preserve">声道，内置</w:t>
            </w:r>
            <w:r>
              <w:rPr>
                <w:rFonts w:hint="eastAsia"/>
                <w:sz w:val="24"/>
                <w:szCs w:val="24"/>
              </w:rPr>
              <w:t xml:space="preserve">40W</w:t>
            </w:r>
            <w:r>
              <w:rPr>
                <w:rFonts w:hint="eastAsia"/>
                <w:sz w:val="24"/>
                <w:szCs w:val="24"/>
              </w:rPr>
              <w:t xml:space="preserve">发声扬声器，频响范围</w:t>
            </w:r>
            <w:r>
              <w:rPr>
                <w:rFonts w:hint="eastAsia"/>
                <w:sz w:val="24"/>
                <w:szCs w:val="24"/>
              </w:rPr>
              <w:t xml:space="preserve">180Hz-20kHz</w:t>
            </w:r>
            <w:r>
              <w:rPr>
                <w:rFonts w:hint="eastAsia"/>
                <w:sz w:val="24"/>
                <w:szCs w:val="24"/>
              </w:rPr>
              <w:t xml:space="preserve">。</w:t>
            </w:r>
            <w:r>
              <w:rPr>
                <w:rFonts w:hint="eastAsia" w:ascii="宋体" w:hAnsi="宋体" w:cs="宋体"/>
                <w:b/>
                <w:bCs/>
                <w:sz w:val="24"/>
                <w:szCs w:val="24"/>
              </w:rPr>
              <w:t xml:space="preserve">（依据标准：环境标志产品技术要求 电子白板HJ 2545-2016、音频/视频､信息和通信技术设备第1部分:安全要求</w:t>
            </w:r>
            <w:bookmarkStart w:id="209" w:name="OLE_LINK11"/>
            <w:r>
              <w:rPr>
                <w:rFonts w:hint="eastAsia" w:ascii="宋体" w:hAnsi="宋体" w:cs="宋体"/>
                <w:b/>
                <w:bCs/>
                <w:sz w:val="24"/>
                <w:szCs w:val="24"/>
              </w:rPr>
              <w:t xml:space="preserve">IEC 62368-1:2023</w:t>
            </w:r>
            <w:bookmarkEnd w:id="209"/>
            <w:r>
              <w:rPr>
                <w:rFonts w:hint="eastAsia" w:ascii="宋体" w:hAnsi="宋体" w:cs="宋体"/>
                <w:b/>
                <w:bCs/>
                <w:sz w:val="24"/>
                <w:szCs w:val="24"/>
              </w:rPr>
              <w:t xml:space="preserve">；提供带CMA标志的检测报告。）；</w:t>
            </w:r>
            <w:r/>
          </w:p>
          <w:p>
            <w:pPr>
              <w:rPr>
                <w:sz w:val="24"/>
                <w:szCs w:val="24"/>
              </w:rPr>
            </w:pPr>
            <w:r>
              <w:rPr>
                <w:rFonts w:hint="eastAsia"/>
                <w:sz w:val="24"/>
                <w:szCs w:val="24"/>
              </w:rPr>
              <w:t xml:space="preserve">6.</w:t>
            </w:r>
            <w:r>
              <w:rPr>
                <w:rFonts w:hint="eastAsia"/>
                <w:sz w:val="24"/>
                <w:szCs w:val="24"/>
              </w:rPr>
              <w:t xml:space="preserve">采用内嵌安卓方案，安卓系统版本不低于</w:t>
            </w:r>
            <w:r>
              <w:rPr>
                <w:rFonts w:hint="eastAsia"/>
                <w:sz w:val="24"/>
                <w:szCs w:val="24"/>
              </w:rPr>
              <w:t xml:space="preserve">Android 16.0</w:t>
            </w:r>
            <w:r>
              <w:rPr>
                <w:rFonts w:hint="eastAsia"/>
                <w:sz w:val="24"/>
                <w:szCs w:val="24"/>
              </w:rPr>
              <w:t xml:space="preserve">，支持选配</w:t>
            </w:r>
            <w:r>
              <w:rPr>
                <w:rFonts w:hint="eastAsia"/>
                <w:sz w:val="24"/>
                <w:szCs w:val="24"/>
              </w:rPr>
              <w:t xml:space="preserve">OPS</w:t>
            </w:r>
            <w:r>
              <w:rPr>
                <w:rFonts w:hint="eastAsia"/>
                <w:sz w:val="24"/>
                <w:szCs w:val="24"/>
              </w:rPr>
              <w:t xml:space="preserve">模块，支持双系统并行运行，无需关机可一键切换操作系统。</w:t>
            </w:r>
            <w:r/>
          </w:p>
          <w:p>
            <w:pPr>
              <w:rPr>
                <w:rFonts w:ascii="宋体" w:hAnsi="宋体" w:cs="宋体"/>
                <w:b/>
                <w:sz w:val="24"/>
                <w:szCs w:val="24"/>
              </w:rPr>
            </w:pPr>
            <w:r>
              <w:rPr>
                <w:rFonts w:hint="eastAsia"/>
                <w:sz w:val="24"/>
                <w:szCs w:val="24"/>
              </w:rPr>
              <w:t xml:space="preserve">7.</w:t>
            </w:r>
            <w:r>
              <w:rPr>
                <w:rFonts w:hint="eastAsia"/>
                <w:sz w:val="24"/>
                <w:szCs w:val="24"/>
              </w:rPr>
              <w:t xml:space="preserve">国产化操作系统传屏：支持统信</w:t>
            </w:r>
            <w:r>
              <w:rPr>
                <w:rFonts w:hint="eastAsia"/>
                <w:sz w:val="24"/>
                <w:szCs w:val="24"/>
              </w:rPr>
              <w:t xml:space="preserve">UOS</w:t>
            </w:r>
            <w:r>
              <w:rPr>
                <w:rFonts w:hint="eastAsia"/>
                <w:sz w:val="24"/>
                <w:szCs w:val="24"/>
              </w:rPr>
              <w:t xml:space="preserve">、麒麟</w:t>
            </w:r>
            <w:r>
              <w:rPr>
                <w:rFonts w:hint="eastAsia"/>
                <w:sz w:val="24"/>
                <w:szCs w:val="24"/>
              </w:rPr>
              <w:t xml:space="preserve">OS</w:t>
            </w:r>
            <w:r>
              <w:rPr>
                <w:rFonts w:hint="eastAsia"/>
                <w:sz w:val="24"/>
                <w:szCs w:val="24"/>
              </w:rPr>
              <w:t xml:space="preserve">等系统的电脑，通过软件客户端进行无线传屏功能应用。</w:t>
            </w:r>
            <w:r/>
          </w:p>
          <w:p>
            <w:pPr>
              <w:rPr>
                <w:sz w:val="24"/>
                <w:szCs w:val="24"/>
              </w:rPr>
            </w:pPr>
            <w:r>
              <w:rPr>
                <w:rFonts w:hint="eastAsia"/>
                <w:sz w:val="24"/>
                <w:szCs w:val="24"/>
              </w:rPr>
              <w:t xml:space="preserve">8.</w:t>
            </w:r>
            <w:r>
              <w:rPr>
                <w:rFonts w:hint="eastAsia"/>
                <w:sz w:val="24"/>
                <w:szCs w:val="24"/>
              </w:rPr>
              <w:t xml:space="preserve">安卓系统搭载</w:t>
            </w:r>
            <w:r>
              <w:rPr>
                <w:rFonts w:hint="eastAsia"/>
                <w:sz w:val="24"/>
                <w:szCs w:val="24"/>
              </w:rPr>
              <w:t xml:space="preserve">8</w:t>
            </w:r>
            <w:r>
              <w:rPr>
                <w:rFonts w:hint="eastAsia"/>
                <w:sz w:val="24"/>
                <w:szCs w:val="24"/>
              </w:rPr>
              <w:t xml:space="preserve">核</w:t>
            </w:r>
            <w:r>
              <w:rPr>
                <w:rFonts w:hint="eastAsia"/>
                <w:sz w:val="24"/>
                <w:szCs w:val="24"/>
              </w:rPr>
              <w:t xml:space="preserve">CPU</w:t>
            </w:r>
            <w:r>
              <w:rPr>
                <w:rFonts w:hint="eastAsia"/>
                <w:sz w:val="24"/>
                <w:szCs w:val="24"/>
              </w:rPr>
              <w:t xml:space="preserve">，</w:t>
            </w:r>
            <w:r>
              <w:rPr>
                <w:rFonts w:hint="eastAsia"/>
                <w:sz w:val="24"/>
                <w:szCs w:val="24"/>
              </w:rPr>
              <w:t xml:space="preserve">4G</w:t>
            </w:r>
            <w:r>
              <w:rPr>
                <w:rFonts w:hint="eastAsia"/>
                <w:sz w:val="24"/>
                <w:szCs w:val="24"/>
              </w:rPr>
              <w:t xml:space="preserve">运行内存，</w:t>
            </w:r>
            <w:r>
              <w:rPr>
                <w:rFonts w:hint="eastAsia"/>
                <w:sz w:val="24"/>
                <w:szCs w:val="24"/>
              </w:rPr>
              <w:t xml:space="preserve">128G</w:t>
            </w:r>
            <w:r>
              <w:rPr>
                <w:rFonts w:hint="eastAsia"/>
                <w:sz w:val="24"/>
                <w:szCs w:val="24"/>
              </w:rPr>
              <w:t xml:space="preserve">存储空间。</w:t>
            </w:r>
            <w:r/>
          </w:p>
          <w:p>
            <w:pPr>
              <w:rPr>
                <w:sz w:val="24"/>
                <w:szCs w:val="24"/>
              </w:rPr>
            </w:pPr>
            <w:r>
              <w:rPr>
                <w:rFonts w:hint="eastAsia"/>
                <w:sz w:val="24"/>
                <w:szCs w:val="24"/>
              </w:rPr>
              <w:t xml:space="preserve">9.OPS</w:t>
            </w:r>
            <w:r>
              <w:rPr>
                <w:rFonts w:hint="eastAsia"/>
                <w:sz w:val="24"/>
                <w:szCs w:val="24"/>
              </w:rPr>
              <w:t xml:space="preserve">模块配置：要求提供</w:t>
            </w:r>
            <w:r>
              <w:rPr>
                <w:rFonts w:hint="eastAsia"/>
                <w:sz w:val="24"/>
                <w:szCs w:val="24"/>
              </w:rPr>
              <w:t xml:space="preserve">Windows 11</w:t>
            </w:r>
            <w:r>
              <w:rPr>
                <w:rFonts w:hint="eastAsia"/>
                <w:sz w:val="24"/>
                <w:szCs w:val="24"/>
              </w:rPr>
              <w:t xml:space="preserve">正版操作系统，</w:t>
            </w:r>
            <w:r>
              <w:rPr>
                <w:rFonts w:hint="eastAsia"/>
                <w:sz w:val="24"/>
                <w:szCs w:val="24"/>
              </w:rPr>
              <w:t xml:space="preserve">CPU</w:t>
            </w:r>
            <w:r>
              <w:rPr>
                <w:rFonts w:hint="eastAsia"/>
                <w:sz w:val="24"/>
                <w:szCs w:val="24"/>
              </w:rPr>
              <w:t xml:space="preserve">配置不低于</w:t>
            </w:r>
            <w:r>
              <w:rPr>
                <w:rFonts w:hint="eastAsia"/>
                <w:sz w:val="24"/>
                <w:szCs w:val="24"/>
              </w:rPr>
              <w:t xml:space="preserve">12</w:t>
            </w:r>
            <w:r>
              <w:rPr>
                <w:rFonts w:hint="eastAsia"/>
                <w:sz w:val="24"/>
                <w:szCs w:val="24"/>
              </w:rPr>
              <w:t xml:space="preserve">代</w:t>
            </w:r>
            <w:r>
              <w:rPr>
                <w:rFonts w:hint="eastAsia"/>
                <w:sz w:val="24"/>
                <w:szCs w:val="24"/>
              </w:rPr>
              <w:t xml:space="preserve">I5</w:t>
            </w:r>
            <w:r>
              <w:rPr>
                <w:rFonts w:hint="eastAsia"/>
                <w:sz w:val="24"/>
                <w:szCs w:val="24"/>
              </w:rPr>
              <w:t xml:space="preserve">、内存不低于</w:t>
            </w:r>
            <w:r>
              <w:rPr>
                <w:rFonts w:hint="eastAsia"/>
                <w:sz w:val="24"/>
                <w:szCs w:val="24"/>
              </w:rPr>
              <w:t xml:space="preserve">8GB</w:t>
            </w:r>
            <w:r>
              <w:rPr>
                <w:rFonts w:hint="eastAsia"/>
                <w:sz w:val="24"/>
                <w:szCs w:val="24"/>
              </w:rPr>
              <w:t xml:space="preserve">、硬盘不低于</w:t>
            </w:r>
            <w:r>
              <w:rPr>
                <w:rFonts w:hint="eastAsia"/>
                <w:sz w:val="24"/>
                <w:szCs w:val="24"/>
              </w:rPr>
              <w:t xml:space="preserve">256GB</w:t>
            </w:r>
            <w:r>
              <w:rPr>
                <w:rFonts w:hint="eastAsia"/>
                <w:sz w:val="24"/>
                <w:szCs w:val="24"/>
              </w:rPr>
              <w:t xml:space="preserve">。</w:t>
            </w:r>
            <w:r/>
          </w:p>
          <w:p>
            <w:pPr>
              <w:rPr>
                <w:sz w:val="24"/>
                <w:szCs w:val="24"/>
              </w:rPr>
            </w:pPr>
            <w:r>
              <w:rPr>
                <w:rFonts w:hint="eastAsia"/>
                <w:sz w:val="24"/>
                <w:szCs w:val="24"/>
              </w:rPr>
              <w:t xml:space="preserve">10.</w:t>
            </w:r>
            <w:r>
              <w:rPr>
                <w:rFonts w:hint="eastAsia"/>
                <w:sz w:val="24"/>
                <w:szCs w:val="24"/>
              </w:rPr>
              <w:t xml:space="preserve">▲落笔批注：支持智能识别书写笔，实现书写笔下笔自动进入批注模式，无需手动点击批注模式，更贴合真实使用体验。</w:t>
            </w:r>
            <w:r>
              <w:rPr>
                <w:rFonts w:hint="eastAsia" w:ascii="宋体" w:hAnsi="宋体" w:cs="宋体"/>
                <w:b/>
                <w:bCs/>
                <w:sz w:val="24"/>
                <w:szCs w:val="24"/>
              </w:rPr>
              <w:t xml:space="preserve">（依据标准：环境标志产品技术要求 电子白板HJ 2545-2016、音频/视频､信息和通信技术设备第1部分:安全要求IEC 62368-1:2023；提供带CMA标志的检测报告。）</w:t>
            </w:r>
            <w:r/>
          </w:p>
          <w:p>
            <w:pPr>
              <w:rPr>
                <w:sz w:val="24"/>
                <w:szCs w:val="24"/>
              </w:rPr>
            </w:pPr>
            <w:r>
              <w:rPr>
                <w:rFonts w:hint="eastAsia"/>
                <w:sz w:val="24"/>
                <w:szCs w:val="24"/>
              </w:rPr>
              <w:t xml:space="preserve">11.I/O</w:t>
            </w:r>
            <w:r>
              <w:rPr>
                <w:rFonts w:hint="eastAsia"/>
                <w:sz w:val="24"/>
                <w:szCs w:val="24"/>
              </w:rPr>
              <w:t xml:space="preserve">接口</w:t>
            </w:r>
            <w:r>
              <w:rPr>
                <w:rFonts w:hint="eastAsia"/>
                <w:sz w:val="24"/>
                <w:szCs w:val="24"/>
              </w:rPr>
              <w:t xml:space="preserve">:</w:t>
            </w:r>
            <w:r>
              <w:rPr>
                <w:rFonts w:hint="eastAsia"/>
                <w:sz w:val="24"/>
                <w:szCs w:val="24"/>
              </w:rPr>
              <w:t xml:space="preserve">前置面板具备如下接口：</w:t>
            </w:r>
            <w:r>
              <w:rPr>
                <w:rFonts w:hint="eastAsia"/>
                <w:sz w:val="24"/>
                <w:szCs w:val="24"/>
              </w:rPr>
              <w:t xml:space="preserve">1*Type-C</w:t>
            </w:r>
            <w:r>
              <w:rPr>
                <w:rFonts w:hint="eastAsia"/>
                <w:sz w:val="24"/>
                <w:szCs w:val="24"/>
              </w:rPr>
              <w:t xml:space="preserve">，</w:t>
            </w:r>
            <w:r>
              <w:rPr>
                <w:rFonts w:hint="eastAsia"/>
                <w:sz w:val="24"/>
                <w:szCs w:val="24"/>
              </w:rPr>
              <w:t xml:space="preserve">2*USB 3.0 Type-A</w:t>
            </w:r>
            <w:r>
              <w:rPr>
                <w:rFonts w:hint="eastAsia"/>
                <w:sz w:val="24"/>
                <w:szCs w:val="24"/>
              </w:rPr>
              <w:t xml:space="preserve">，侧置具备如下接口：</w:t>
            </w:r>
            <w:r>
              <w:rPr>
                <w:rFonts w:hint="eastAsia"/>
                <w:sz w:val="24"/>
                <w:szCs w:val="24"/>
              </w:rPr>
              <w:t xml:space="preserve">1*TOUCH</w:t>
            </w:r>
            <w:r>
              <w:rPr>
                <w:rFonts w:hint="eastAsia"/>
                <w:sz w:val="24"/>
                <w:szCs w:val="24"/>
              </w:rPr>
              <w:t xml:space="preserve">；</w:t>
            </w:r>
            <w:r>
              <w:rPr>
                <w:rFonts w:hint="eastAsia"/>
                <w:sz w:val="24"/>
                <w:szCs w:val="24"/>
              </w:rPr>
              <w:t xml:space="preserve">2*HDMI IN</w:t>
            </w:r>
            <w:r>
              <w:rPr>
                <w:rFonts w:hint="eastAsia"/>
                <w:sz w:val="24"/>
                <w:szCs w:val="24"/>
              </w:rPr>
              <w:t xml:space="preserve">；</w:t>
            </w:r>
            <w:r>
              <w:rPr>
                <w:rFonts w:hint="eastAsia"/>
                <w:sz w:val="24"/>
                <w:szCs w:val="24"/>
              </w:rPr>
              <w:t xml:space="preserve">1*RS232</w:t>
            </w:r>
            <w:r>
              <w:rPr>
                <w:rFonts w:hint="eastAsia"/>
                <w:sz w:val="24"/>
                <w:szCs w:val="24"/>
              </w:rPr>
              <w:t xml:space="preserve">；</w:t>
            </w:r>
            <w:r>
              <w:rPr>
                <w:rFonts w:hint="eastAsia"/>
                <w:sz w:val="24"/>
                <w:szCs w:val="24"/>
              </w:rPr>
              <w:t xml:space="preserve">1*USB 3.0</w:t>
            </w:r>
            <w:r>
              <w:rPr>
                <w:rFonts w:hint="eastAsia"/>
                <w:sz w:val="24"/>
                <w:szCs w:val="24"/>
              </w:rPr>
              <w:t xml:space="preserve">；</w:t>
            </w:r>
            <w:r>
              <w:rPr>
                <w:rFonts w:hint="eastAsia"/>
                <w:sz w:val="24"/>
                <w:szCs w:val="24"/>
              </w:rPr>
              <w:t xml:space="preserve">1*RJ45</w:t>
            </w:r>
            <w:r>
              <w:rPr>
                <w:rFonts w:hint="eastAsia"/>
                <w:sz w:val="24"/>
                <w:szCs w:val="24"/>
              </w:rPr>
              <w:t xml:space="preserve">；</w:t>
            </w:r>
            <w:r>
              <w:rPr>
                <w:rFonts w:hint="eastAsia"/>
                <w:sz w:val="24"/>
                <w:szCs w:val="24"/>
              </w:rPr>
              <w:t xml:space="preserve">1*AUDIO OUT</w:t>
            </w:r>
            <w:r>
              <w:rPr>
                <w:rFonts w:hint="eastAsia"/>
                <w:sz w:val="24"/>
                <w:szCs w:val="24"/>
              </w:rPr>
              <w:t xml:space="preserve">；</w:t>
            </w:r>
            <w:r>
              <w:rPr>
                <w:rFonts w:hint="eastAsia"/>
                <w:sz w:val="24"/>
                <w:szCs w:val="24"/>
              </w:rPr>
              <w:t xml:space="preserve">1*HDMI OUT</w:t>
            </w:r>
            <w:r>
              <w:rPr>
                <w:rFonts w:hint="eastAsia"/>
                <w:sz w:val="24"/>
                <w:szCs w:val="24"/>
              </w:rPr>
              <w:t xml:space="preserve">。</w:t>
            </w:r>
            <w:r/>
          </w:p>
          <w:p>
            <w:pPr>
              <w:rPr>
                <w:sz w:val="24"/>
                <w:szCs w:val="24"/>
              </w:rPr>
            </w:pPr>
            <w:r>
              <w:rPr>
                <w:rFonts w:hint="eastAsia"/>
                <w:sz w:val="24"/>
                <w:szCs w:val="24"/>
              </w:rPr>
              <w:t xml:space="preserve">12.</w:t>
            </w:r>
            <w:r>
              <w:rPr>
                <w:rFonts w:hint="eastAsia"/>
                <w:sz w:val="24"/>
                <w:szCs w:val="24"/>
              </w:rPr>
              <w:t xml:space="preserve">设备采用红外触控技术，支持采用被动红外笔及手指进行触摸书写，支持</w:t>
            </w:r>
            <w:r>
              <w:rPr>
                <w:rFonts w:hint="eastAsia"/>
                <w:sz w:val="24"/>
                <w:szCs w:val="24"/>
              </w:rPr>
              <w:t xml:space="preserve">40</w:t>
            </w:r>
            <w:r>
              <w:rPr>
                <w:rFonts w:hint="eastAsia"/>
                <w:sz w:val="24"/>
                <w:szCs w:val="24"/>
              </w:rPr>
              <w:t xml:space="preserve">点及以上触摸，触控分辨率：</w:t>
            </w:r>
            <w:r>
              <w:rPr>
                <w:rFonts w:hint="eastAsia"/>
                <w:sz w:val="24"/>
                <w:szCs w:val="24"/>
              </w:rPr>
              <w:t xml:space="preserve">32768</w:t>
            </w:r>
            <w:r>
              <w:rPr>
                <w:rFonts w:hint="eastAsia"/>
                <w:sz w:val="24"/>
                <w:szCs w:val="24"/>
              </w:rPr>
              <w:t xml:space="preserve">（</w:t>
            </w:r>
            <w:r>
              <w:rPr>
                <w:rFonts w:hint="eastAsia"/>
                <w:sz w:val="24"/>
                <w:szCs w:val="24"/>
              </w:rPr>
              <w:t xml:space="preserve">W</w:t>
            </w:r>
            <w:r>
              <w:rPr>
                <w:rFonts w:hint="eastAsia"/>
                <w:sz w:val="24"/>
                <w:szCs w:val="24"/>
              </w:rPr>
              <w:t xml:space="preserve">）</w:t>
            </w:r>
            <w:r>
              <w:rPr>
                <w:rFonts w:hint="eastAsia"/>
                <w:sz w:val="24"/>
                <w:szCs w:val="24"/>
              </w:rPr>
              <w:t xml:space="preserve">*32768</w:t>
            </w:r>
            <w:r>
              <w:rPr>
                <w:rFonts w:hint="eastAsia"/>
                <w:sz w:val="24"/>
                <w:szCs w:val="24"/>
              </w:rPr>
              <w:t xml:space="preserve">（</w:t>
            </w:r>
            <w:r>
              <w:rPr>
                <w:rFonts w:hint="eastAsia"/>
                <w:sz w:val="24"/>
                <w:szCs w:val="24"/>
              </w:rPr>
              <w:t xml:space="preserve">D</w:t>
            </w:r>
            <w:r>
              <w:rPr>
                <w:rFonts w:hint="eastAsia"/>
                <w:sz w:val="24"/>
                <w:szCs w:val="24"/>
              </w:rPr>
              <w:t xml:space="preserve">），触摸精度±</w:t>
            </w:r>
            <w:r>
              <w:rPr>
                <w:rFonts w:hint="eastAsia"/>
                <w:sz w:val="24"/>
                <w:szCs w:val="24"/>
              </w:rPr>
              <w:t xml:space="preserve">2mm</w:t>
            </w:r>
            <w:r>
              <w:rPr>
                <w:rFonts w:hint="eastAsia"/>
                <w:sz w:val="24"/>
                <w:szCs w:val="24"/>
              </w:rPr>
              <w:t xml:space="preserve">，最小识别物</w:t>
            </w:r>
            <w:r>
              <w:rPr>
                <w:rFonts w:hint="eastAsia"/>
                <w:sz w:val="24"/>
                <w:szCs w:val="24"/>
              </w:rPr>
              <w:t xml:space="preserve">3mm</w:t>
            </w:r>
            <w:r>
              <w:rPr>
                <w:rFonts w:hint="eastAsia"/>
                <w:sz w:val="24"/>
                <w:szCs w:val="24"/>
              </w:rPr>
              <w:t xml:space="preserve">，响应时间≤</w:t>
            </w:r>
            <w:r>
              <w:rPr>
                <w:rFonts w:hint="eastAsia"/>
                <w:sz w:val="24"/>
                <w:szCs w:val="24"/>
              </w:rPr>
              <w:t xml:space="preserve">8ms</w:t>
            </w:r>
            <w:r>
              <w:rPr>
                <w:rFonts w:hint="eastAsia"/>
                <w:sz w:val="24"/>
                <w:szCs w:val="24"/>
              </w:rPr>
              <w:t xml:space="preserve">，书写高度≤</w:t>
            </w:r>
            <w:r>
              <w:rPr>
                <w:rFonts w:hint="eastAsia"/>
                <w:sz w:val="24"/>
                <w:szCs w:val="24"/>
              </w:rPr>
              <w:t xml:space="preserve">3mm</w:t>
            </w:r>
            <w:r/>
          </w:p>
          <w:p>
            <w:pPr>
              <w:rPr>
                <w:sz w:val="24"/>
                <w:szCs w:val="24"/>
              </w:rPr>
            </w:pPr>
            <w:r>
              <w:rPr>
                <w:rFonts w:hint="eastAsia"/>
                <w:sz w:val="24"/>
                <w:szCs w:val="24"/>
              </w:rPr>
              <w:t xml:space="preserve">13.</w:t>
            </w:r>
            <w:r>
              <w:rPr>
                <w:rFonts w:hint="eastAsia"/>
                <w:sz w:val="24"/>
                <w:szCs w:val="24"/>
              </w:rPr>
              <w:t xml:space="preserve">文件快传：打开设备文件快传应用二维码，支持微信直接扫码将聊天记录文件上传至大屏打开展示，且基于文件防泄露考虑，设备会定期进行临时文件清除。</w:t>
            </w:r>
            <w:r/>
          </w:p>
          <w:p>
            <w:pPr>
              <w:rPr>
                <w:sz w:val="24"/>
                <w:szCs w:val="24"/>
              </w:rPr>
            </w:pPr>
            <w:r>
              <w:rPr>
                <w:rFonts w:hint="eastAsia"/>
                <w:sz w:val="24"/>
                <w:szCs w:val="24"/>
              </w:rPr>
              <w:t xml:space="preserve">14.</w:t>
            </w:r>
            <w:r>
              <w:rPr>
                <w:rFonts w:hint="eastAsia"/>
                <w:sz w:val="24"/>
                <w:szCs w:val="24"/>
              </w:rPr>
              <w:t xml:space="preserve">传屏展示：手机和电脑支持混合传屏展示，最多支持</w:t>
            </w:r>
            <w:r>
              <w:rPr>
                <w:rFonts w:hint="eastAsia"/>
                <w:sz w:val="24"/>
                <w:szCs w:val="24"/>
              </w:rPr>
              <w:t xml:space="preserve">4</w:t>
            </w:r>
            <w:r>
              <w:rPr>
                <w:rFonts w:hint="eastAsia"/>
                <w:sz w:val="24"/>
                <w:szCs w:val="24"/>
              </w:rPr>
              <w:t xml:space="preserve">个画面同屏展示，可对每个电脑传屏内容进行独立反向操作，最多可连接</w:t>
            </w:r>
            <w:r>
              <w:rPr>
                <w:rFonts w:hint="eastAsia"/>
                <w:sz w:val="24"/>
                <w:szCs w:val="24"/>
              </w:rPr>
              <w:t xml:space="preserve">32</w:t>
            </w:r>
            <w:r>
              <w:rPr>
                <w:rFonts w:hint="eastAsia"/>
                <w:sz w:val="24"/>
                <w:szCs w:val="24"/>
              </w:rPr>
              <w:t xml:space="preserve">台设备。</w:t>
            </w:r>
            <w:r/>
          </w:p>
          <w:p>
            <w:pPr>
              <w:rPr>
                <w:sz w:val="24"/>
                <w:szCs w:val="24"/>
              </w:rPr>
            </w:pPr>
            <w:r>
              <w:rPr>
                <w:rFonts w:hint="eastAsia"/>
                <w:sz w:val="24"/>
                <w:szCs w:val="24"/>
              </w:rPr>
              <w:t xml:space="preserve">15.</w:t>
            </w:r>
            <w:r>
              <w:rPr>
                <w:rFonts w:hint="eastAsia"/>
                <w:sz w:val="24"/>
                <w:szCs w:val="24"/>
              </w:rPr>
              <w:t xml:space="preserve">无网连接传屏：当电脑与大屏无法连接在同一网络时，可通过建立</w:t>
            </w:r>
            <w:r>
              <w:rPr>
                <w:rFonts w:hint="eastAsia"/>
                <w:sz w:val="24"/>
                <w:szCs w:val="24"/>
              </w:rPr>
              <w:t xml:space="preserve">WiFi P2P</w:t>
            </w:r>
            <w:r>
              <w:rPr>
                <w:rFonts w:hint="eastAsia"/>
                <w:sz w:val="24"/>
                <w:szCs w:val="24"/>
              </w:rPr>
              <w:t xml:space="preserve">点对点链路，快速传屏</w:t>
            </w:r>
            <w:r/>
          </w:p>
          <w:p>
            <w:pPr>
              <w:rPr>
                <w:sz w:val="24"/>
                <w:szCs w:val="24"/>
              </w:rPr>
            </w:pPr>
            <w:r>
              <w:rPr>
                <w:rFonts w:hint="eastAsia"/>
                <w:sz w:val="24"/>
                <w:szCs w:val="24"/>
              </w:rPr>
              <w:t xml:space="preserve">16.</w:t>
            </w:r>
            <w:r>
              <w:rPr>
                <w:rFonts w:hint="eastAsia"/>
                <w:sz w:val="24"/>
                <w:szCs w:val="24"/>
              </w:rPr>
              <w:t xml:space="preserve">在无线传屏客户端传屏码输入框输入连接码时，当输入到一定位数后，可以识别到唯一的设备，并提示自动补全剩余的连接码，简化输入，提升传屏效率</w:t>
            </w:r>
            <w:r/>
          </w:p>
          <w:p>
            <w:pPr>
              <w:rPr>
                <w:sz w:val="24"/>
                <w:szCs w:val="24"/>
              </w:rPr>
            </w:pPr>
            <w:r>
              <w:rPr>
                <w:rFonts w:hint="eastAsia"/>
                <w:sz w:val="24"/>
                <w:szCs w:val="24"/>
              </w:rPr>
              <w:t xml:space="preserve">17.</w:t>
            </w:r>
            <w:r>
              <w:rPr>
                <w:rFonts w:hint="eastAsia"/>
                <w:sz w:val="24"/>
                <w:szCs w:val="24"/>
              </w:rPr>
              <w:t xml:space="preserve">集控管理：支持集控管理平台软件对接，实现集控相关功能，如：远程桌面控制、恢复出厂设置、检查系统更新、关机、命令行控制等功能。</w:t>
            </w:r>
            <w:r/>
          </w:p>
          <w:p>
            <w:pPr>
              <w:rPr>
                <w:sz w:val="24"/>
                <w:szCs w:val="24"/>
              </w:rPr>
            </w:pPr>
            <w:r>
              <w:rPr>
                <w:sz w:val="24"/>
                <w:szCs w:val="24"/>
              </w:rPr>
            </w:r>
            <w:r/>
          </w:p>
        </w:tc>
        <w:tc>
          <w:tcPr>
            <w:tcBorders>
              <w:top w:val="single" w:color="auto" w:sz="4" w:space="0"/>
              <w:bottom w:val="single" w:color="auto" w:sz="4" w:space="0"/>
            </w:tcBorders>
            <w:tcW w:w="55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351"/>
        </w:trPr>
        <w:tc>
          <w:tcPr>
            <w:tcBorders>
              <w:top w:val="single" w:color="auto" w:sz="4" w:space="0"/>
              <w:bottom w:val="single" w:color="auto" w:sz="4" w:space="0"/>
            </w:tcBorders>
            <w:tcW w:w="690" w:type="dxa"/>
            <w:vAlign w:val="center"/>
            <w:textDirection w:val="lrTb"/>
            <w:noWrap w:val="false"/>
          </w:tcPr>
          <w:p>
            <w:pPr>
              <w:jc w:val="center"/>
              <w:rPr>
                <w:sz w:val="24"/>
                <w:szCs w:val="24"/>
              </w:rPr>
            </w:pPr>
            <w:r>
              <w:rPr>
                <w:rFonts w:hint="eastAsia"/>
                <w:sz w:val="24"/>
                <w:szCs w:val="24"/>
              </w:rPr>
              <w:t xml:space="preserve">10</w:t>
            </w:r>
            <w:r/>
          </w:p>
        </w:tc>
        <w:tc>
          <w:tcPr>
            <w:tcBorders>
              <w:top w:val="single" w:color="auto" w:sz="4" w:space="0"/>
              <w:bottom w:val="single" w:color="auto" w:sz="4" w:space="0"/>
            </w:tcBorders>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移动支架</w:t>
            </w:r>
            <w:r/>
          </w:p>
        </w:tc>
        <w:tc>
          <w:tcPr>
            <w:tcBorders>
              <w:top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tcBorders>
            <w:tcW w:w="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个</w:t>
            </w:r>
            <w:r/>
          </w:p>
        </w:tc>
        <w:tc>
          <w:tcPr>
            <w:tcBorders>
              <w:top w:val="single" w:color="auto" w:sz="4" w:space="0"/>
              <w:bottom w:val="single" w:color="auto" w:sz="4" w:space="0"/>
            </w:tcBorders>
            <w:tcW w:w="6180"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时尚支架，可搭载</w:t>
            </w:r>
            <w:r>
              <w:rPr>
                <w:rFonts w:hint="eastAsia"/>
                <w:sz w:val="24"/>
                <w:szCs w:val="24"/>
              </w:rPr>
              <w:t xml:space="preserve">55/65/75/86</w:t>
            </w:r>
            <w:r>
              <w:rPr>
                <w:rFonts w:hint="eastAsia"/>
                <w:sz w:val="24"/>
                <w:szCs w:val="24"/>
              </w:rPr>
              <w:t xml:space="preserve">寸会议屏</w:t>
            </w:r>
            <w:r/>
          </w:p>
        </w:tc>
        <w:tc>
          <w:tcPr>
            <w:tcBorders>
              <w:top w:val="single" w:color="auto" w:sz="4" w:space="0"/>
              <w:bottom w:val="single" w:color="auto" w:sz="4" w:space="0"/>
            </w:tcBorders>
            <w:tcW w:w="55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1396"/>
        </w:trPr>
        <w:tc>
          <w:tcPr>
            <w:tcW w:w="690" w:type="dxa"/>
            <w:vAlign w:val="center"/>
            <w:textDirection w:val="lrTb"/>
            <w:noWrap w:val="false"/>
          </w:tcPr>
          <w:p>
            <w:pPr>
              <w:jc w:val="center"/>
              <w:rPr>
                <w:sz w:val="24"/>
                <w:szCs w:val="24"/>
              </w:rPr>
            </w:pPr>
            <w:r>
              <w:rPr>
                <w:sz w:val="24"/>
                <w:szCs w:val="24"/>
              </w:rPr>
              <w:t xml:space="preserve">11</w:t>
            </w:r>
            <w:r/>
          </w:p>
        </w:tc>
        <w:tc>
          <w:tcPr>
            <w:tcW w:w="12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
                <w:bCs/>
                <w:color w:val="000000"/>
                <w:sz w:val="24"/>
                <w:szCs w:val="24"/>
              </w:rPr>
              <w:t xml:space="preserve">全向麦</w:t>
            </w:r>
            <w:r/>
          </w:p>
        </w:tc>
        <w:tc>
          <w:tcPr>
            <w:tcW w:w="540" w:type="dxa"/>
            <w:vAlign w:val="center"/>
            <w:textDirection w:val="lrTb"/>
            <w:noWrap w:val="false"/>
          </w:tcPr>
          <w:p>
            <w:pPr>
              <w:ind w:firstLine="240"/>
              <w:rPr>
                <w:rFonts w:ascii="宋体" w:hAnsi="宋体" w:cs="宋体"/>
                <w:sz w:val="24"/>
                <w:szCs w:val="24"/>
              </w:rPr>
            </w:pPr>
            <w:r>
              <w:rPr>
                <w:rFonts w:hint="eastAsia" w:ascii="宋体" w:hAnsi="宋体" w:cs="宋体"/>
                <w:sz w:val="24"/>
                <w:szCs w:val="24"/>
              </w:rPr>
              <w:t xml:space="preserve">2</w:t>
            </w:r>
            <w:r/>
          </w:p>
        </w:tc>
        <w:tc>
          <w:tcPr>
            <w:tcW w:w="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6180" w:type="dxa"/>
            <w:textDirection w:val="lrTb"/>
            <w:noWrap w:val="false"/>
          </w:tcPr>
          <w:p>
            <w:pPr>
              <w:rPr>
                <w:sz w:val="24"/>
                <w:szCs w:val="24"/>
              </w:rPr>
            </w:pPr>
            <w:r>
              <w:rPr>
                <w:rFonts w:hint="eastAsia"/>
                <w:sz w:val="24"/>
                <w:szCs w:val="24"/>
              </w:rPr>
              <w:t xml:space="preserve">1.</w:t>
            </w:r>
            <w:r>
              <w:rPr>
                <w:rFonts w:hint="eastAsia"/>
                <w:sz w:val="24"/>
                <w:szCs w:val="24"/>
              </w:rPr>
              <w:t xml:space="preserve">整机具有</w:t>
            </w:r>
            <w:r>
              <w:rPr>
                <w:rFonts w:hint="eastAsia"/>
                <w:sz w:val="24"/>
                <w:szCs w:val="24"/>
              </w:rPr>
              <w:t xml:space="preserve">5</w:t>
            </w:r>
            <w:r>
              <w:rPr>
                <w:rFonts w:hint="eastAsia"/>
                <w:sz w:val="24"/>
                <w:szCs w:val="24"/>
              </w:rPr>
              <w:t xml:space="preserve">个按键，接听、挂断、音量</w:t>
            </w:r>
            <w:r>
              <w:rPr>
                <w:rFonts w:hint="eastAsia"/>
                <w:sz w:val="24"/>
                <w:szCs w:val="24"/>
              </w:rPr>
              <w:t xml:space="preserve">+</w:t>
            </w:r>
            <w:r>
              <w:rPr>
                <w:rFonts w:hint="eastAsia"/>
                <w:sz w:val="24"/>
                <w:szCs w:val="24"/>
              </w:rPr>
              <w:t xml:space="preserve">、音量</w:t>
            </w:r>
            <w:r>
              <w:rPr>
                <w:rFonts w:hint="eastAsia"/>
                <w:sz w:val="24"/>
                <w:szCs w:val="24"/>
              </w:rPr>
              <w:t xml:space="preserve">-</w:t>
            </w:r>
            <w:r>
              <w:rPr>
                <w:rFonts w:hint="eastAsia"/>
                <w:sz w:val="24"/>
                <w:szCs w:val="24"/>
              </w:rPr>
              <w:t xml:space="preserve">、麦克风打开</w:t>
            </w:r>
            <w:r>
              <w:rPr>
                <w:rFonts w:hint="eastAsia"/>
                <w:sz w:val="24"/>
                <w:szCs w:val="24"/>
              </w:rPr>
              <w:t xml:space="preserve">/</w:t>
            </w:r>
            <w:r>
              <w:rPr>
                <w:rFonts w:hint="eastAsia"/>
                <w:sz w:val="24"/>
                <w:szCs w:val="24"/>
              </w:rPr>
              <w:t xml:space="preserve">关闭，每个按键均有指示灯</w:t>
            </w:r>
            <w:r/>
          </w:p>
          <w:p>
            <w:pPr>
              <w:rPr>
                <w:sz w:val="24"/>
                <w:szCs w:val="24"/>
              </w:rPr>
            </w:pPr>
            <w:r>
              <w:rPr>
                <w:rFonts w:hint="eastAsia"/>
                <w:sz w:val="24"/>
                <w:szCs w:val="24"/>
              </w:rPr>
              <w:t xml:space="preserve">2.</w:t>
            </w:r>
            <w:r>
              <w:rPr>
                <w:rFonts w:hint="eastAsia"/>
                <w:sz w:val="24"/>
                <w:szCs w:val="24"/>
              </w:rPr>
              <w:t xml:space="preserve">整机支持全双工双讲音频通话</w:t>
            </w:r>
            <w:r/>
          </w:p>
          <w:p>
            <w:pPr>
              <w:rPr>
                <w:sz w:val="24"/>
                <w:szCs w:val="24"/>
              </w:rPr>
            </w:pPr>
            <w:r>
              <w:rPr>
                <w:rFonts w:hint="eastAsia"/>
                <w:sz w:val="24"/>
                <w:szCs w:val="24"/>
              </w:rPr>
              <w:t xml:space="preserve">3.</w:t>
            </w:r>
            <w:r>
              <w:rPr>
                <w:rFonts w:hint="eastAsia"/>
                <w:sz w:val="24"/>
                <w:szCs w:val="24"/>
              </w:rPr>
              <w:t xml:space="preserve">整机支持</w:t>
            </w:r>
            <w:r>
              <w:rPr>
                <w:rFonts w:hint="eastAsia"/>
                <w:sz w:val="24"/>
                <w:szCs w:val="24"/>
              </w:rPr>
              <w:t xml:space="preserve"> USB Type-c </w:t>
            </w:r>
            <w:r>
              <w:rPr>
                <w:rFonts w:hint="eastAsia"/>
                <w:sz w:val="24"/>
                <w:szCs w:val="24"/>
              </w:rPr>
              <w:t xml:space="preserve">连接、</w:t>
            </w:r>
            <w:r>
              <w:rPr>
                <w:rFonts w:hint="eastAsia"/>
                <w:sz w:val="24"/>
                <w:szCs w:val="24"/>
              </w:rPr>
              <w:t xml:space="preserve">USB dongle </w:t>
            </w:r>
            <w:r>
              <w:rPr>
                <w:rFonts w:hint="eastAsia"/>
                <w:sz w:val="24"/>
                <w:szCs w:val="24"/>
              </w:rPr>
              <w:t xml:space="preserve">和</w:t>
            </w:r>
            <w:r>
              <w:rPr>
                <w:rFonts w:hint="eastAsia"/>
                <w:sz w:val="24"/>
                <w:szCs w:val="24"/>
              </w:rPr>
              <w:t xml:space="preserve">RJ45 </w:t>
            </w:r>
            <w:r>
              <w:rPr>
                <w:rFonts w:hint="eastAsia"/>
                <w:sz w:val="24"/>
                <w:szCs w:val="24"/>
              </w:rPr>
              <w:t xml:space="preserve">三种方式连接</w:t>
            </w:r>
            <w:r/>
          </w:p>
          <w:p>
            <w:pPr>
              <w:rPr>
                <w:sz w:val="24"/>
                <w:szCs w:val="24"/>
              </w:rPr>
            </w:pPr>
            <w:r>
              <w:rPr>
                <w:rFonts w:hint="eastAsia"/>
                <w:sz w:val="24"/>
                <w:szCs w:val="24"/>
              </w:rPr>
              <w:t xml:space="preserve">4.</w:t>
            </w:r>
            <w:r>
              <w:rPr>
                <w:rFonts w:hint="eastAsia"/>
                <w:sz w:val="24"/>
                <w:szCs w:val="24"/>
              </w:rPr>
              <w:t xml:space="preserve">▲最高支持</w:t>
            </w:r>
            <w:r>
              <w:rPr>
                <w:rFonts w:hint="eastAsia"/>
                <w:sz w:val="24"/>
                <w:szCs w:val="24"/>
              </w:rPr>
              <w:t xml:space="preserve">8 </w:t>
            </w:r>
            <w:r>
              <w:rPr>
                <w:rFonts w:hint="eastAsia"/>
                <w:sz w:val="24"/>
                <w:szCs w:val="24"/>
              </w:rPr>
              <w:t xml:space="preserve">个麦克风级联，整机采用</w:t>
            </w:r>
            <w:r>
              <w:rPr>
                <w:rFonts w:hint="eastAsia"/>
                <w:sz w:val="24"/>
                <w:szCs w:val="24"/>
              </w:rPr>
              <w:t xml:space="preserve">8 </w:t>
            </w:r>
            <w:r>
              <w:rPr>
                <w:rFonts w:hint="eastAsia"/>
                <w:sz w:val="24"/>
                <w:szCs w:val="24"/>
              </w:rPr>
              <w:t xml:space="preserve">单元麦克风可控阵列，单个麦克风最远拾音范围达</w:t>
            </w:r>
            <w:r>
              <w:rPr>
                <w:rFonts w:hint="eastAsia"/>
                <w:sz w:val="24"/>
                <w:szCs w:val="24"/>
              </w:rPr>
              <w:t xml:space="preserve">8 </w:t>
            </w:r>
            <w:r>
              <w:rPr>
                <w:rFonts w:hint="eastAsia"/>
                <w:sz w:val="24"/>
                <w:szCs w:val="24"/>
              </w:rPr>
              <w:t xml:space="preserve">米半径</w:t>
            </w:r>
            <w:r/>
          </w:p>
          <w:p>
            <w:pPr>
              <w:rPr>
                <w:rFonts w:ascii="宋体" w:hAnsi="宋体" w:cs="宋体"/>
                <w:b/>
                <w:bCs/>
                <w:sz w:val="24"/>
                <w:szCs w:val="24"/>
              </w:rPr>
            </w:pPr>
            <w:r>
              <w:rPr>
                <w:rFonts w:hint="eastAsia" w:ascii="宋体" w:hAnsi="宋体" w:cs="宋体"/>
                <w:b/>
                <w:bCs/>
                <w:sz w:val="24"/>
                <w:szCs w:val="24"/>
              </w:rPr>
              <w:t xml:space="preserve">（依据标准：音频/视频､信息和通信技术设备第1部分:安全要求 62368-1:2023；提供带CMA标志的检测报告。）</w:t>
            </w:r>
            <w:r/>
          </w:p>
          <w:p>
            <w:pPr>
              <w:rPr>
                <w:sz w:val="24"/>
                <w:szCs w:val="24"/>
              </w:rPr>
            </w:pPr>
            <w:r>
              <w:rPr>
                <w:rFonts w:hint="eastAsia"/>
                <w:sz w:val="24"/>
                <w:szCs w:val="24"/>
              </w:rPr>
              <w:t xml:space="preserve">5.</w:t>
            </w:r>
            <w:r>
              <w:rPr>
                <w:rFonts w:hint="eastAsia"/>
                <w:sz w:val="24"/>
                <w:szCs w:val="24"/>
              </w:rPr>
              <w:t xml:space="preserve">支持腾讯天籁</w:t>
            </w:r>
            <w:r>
              <w:rPr>
                <w:rFonts w:hint="eastAsia"/>
                <w:sz w:val="24"/>
                <w:szCs w:val="24"/>
              </w:rPr>
              <w:t xml:space="preserve">AI </w:t>
            </w:r>
            <w:r>
              <w:rPr>
                <w:rFonts w:hint="eastAsia"/>
                <w:sz w:val="24"/>
                <w:szCs w:val="24"/>
              </w:rPr>
              <w:t xml:space="preserve">降噪，能够对多种常见噪声进行针对性消除</w:t>
            </w:r>
            <w:r/>
          </w:p>
          <w:p>
            <w:pPr>
              <w:rPr>
                <w:sz w:val="24"/>
                <w:szCs w:val="24"/>
              </w:rPr>
            </w:pPr>
            <w:r>
              <w:rPr>
                <w:rFonts w:hint="eastAsia"/>
                <w:sz w:val="24"/>
                <w:szCs w:val="24"/>
              </w:rPr>
              <w:t xml:space="preserve">6.</w:t>
            </w:r>
            <w:r>
              <w:rPr>
                <w:rFonts w:hint="eastAsia"/>
                <w:sz w:val="24"/>
                <w:szCs w:val="24"/>
              </w:rPr>
              <w:t xml:space="preserve">支持腾讯天籁时钟协同深度学习回声消除技术，支持多源多径回声消除</w:t>
            </w:r>
            <w:r/>
          </w:p>
          <w:p>
            <w:pPr>
              <w:numPr>
                <w:ilvl w:val="0"/>
                <w:numId w:val="11"/>
              </w:numPr>
              <w:rPr>
                <w:sz w:val="24"/>
                <w:szCs w:val="24"/>
              </w:rPr>
            </w:pPr>
            <w:r>
              <w:rPr>
                <w:rFonts w:hint="eastAsia"/>
                <w:sz w:val="24"/>
                <w:szCs w:val="24"/>
              </w:rPr>
              <w:t xml:space="preserve">支持按麦克风物理按钮静音</w:t>
            </w:r>
            <w:r>
              <w:rPr>
                <w:rFonts w:hint="eastAsia"/>
                <w:sz w:val="24"/>
                <w:szCs w:val="24"/>
              </w:rPr>
              <w:t xml:space="preserve">/</w:t>
            </w:r>
            <w:r>
              <w:rPr>
                <w:rFonts w:hint="eastAsia"/>
                <w:sz w:val="24"/>
                <w:szCs w:val="24"/>
              </w:rPr>
              <w:t xml:space="preserve">开音与腾讯会议软件会中的静音</w:t>
            </w:r>
            <w:r>
              <w:rPr>
                <w:rFonts w:hint="eastAsia"/>
                <w:sz w:val="24"/>
                <w:szCs w:val="24"/>
              </w:rPr>
              <w:t xml:space="preserve">/</w:t>
            </w:r>
            <w:r>
              <w:rPr>
                <w:rFonts w:hint="eastAsia"/>
                <w:sz w:val="24"/>
                <w:szCs w:val="24"/>
              </w:rPr>
              <w:t xml:space="preserve">开音进行联动</w:t>
            </w:r>
            <w:r>
              <w:rPr>
                <w:rFonts w:hint="eastAsia"/>
                <w:sz w:val="24"/>
                <w:szCs w:val="24"/>
              </w:rPr>
              <w:t xml:space="preserve"> </w:t>
            </w:r>
            <w:r/>
          </w:p>
          <w:p>
            <w:pPr>
              <w:rPr>
                <w:sz w:val="24"/>
                <w:szCs w:val="24"/>
              </w:rPr>
            </w:pPr>
            <w:r>
              <w:rPr>
                <w:rFonts w:hint="eastAsia"/>
                <w:sz w:val="24"/>
                <w:szCs w:val="24"/>
              </w:rPr>
              <w:t xml:space="preserve">8.</w:t>
            </w:r>
            <w:r>
              <w:rPr>
                <w:rFonts w:hint="eastAsia"/>
                <w:sz w:val="24"/>
                <w:szCs w:val="24"/>
              </w:rPr>
              <w:t xml:space="preserve">支持按麦克风物理按钮静音</w:t>
            </w:r>
            <w:r>
              <w:rPr>
                <w:rFonts w:hint="eastAsia"/>
                <w:sz w:val="24"/>
                <w:szCs w:val="24"/>
              </w:rPr>
              <w:t xml:space="preserve">/</w:t>
            </w:r>
            <w:r>
              <w:rPr>
                <w:rFonts w:hint="eastAsia"/>
                <w:sz w:val="24"/>
                <w:szCs w:val="24"/>
              </w:rPr>
              <w:t xml:space="preserve">开音与腾讯会议</w:t>
            </w:r>
            <w:r>
              <w:rPr>
                <w:rFonts w:hint="eastAsia"/>
                <w:sz w:val="24"/>
                <w:szCs w:val="24"/>
              </w:rPr>
              <w:t xml:space="preserve"> Rooms </w:t>
            </w:r>
            <w:r>
              <w:rPr>
                <w:rFonts w:hint="eastAsia"/>
                <w:sz w:val="24"/>
                <w:szCs w:val="24"/>
              </w:rPr>
              <w:t xml:space="preserve">软件会中的静音</w:t>
            </w:r>
            <w:r>
              <w:rPr>
                <w:rFonts w:hint="eastAsia"/>
                <w:sz w:val="24"/>
                <w:szCs w:val="24"/>
              </w:rPr>
              <w:t xml:space="preserve">/</w:t>
            </w:r>
            <w:r>
              <w:rPr>
                <w:rFonts w:hint="eastAsia"/>
                <w:sz w:val="24"/>
                <w:szCs w:val="24"/>
              </w:rPr>
              <w:t xml:space="preserve">开音进行联动</w:t>
            </w:r>
            <w:r/>
          </w:p>
          <w:p>
            <w:pPr>
              <w:rPr>
                <w:sz w:val="24"/>
                <w:szCs w:val="24"/>
              </w:rPr>
            </w:pPr>
            <w:r>
              <w:rPr>
                <w:rFonts w:hint="eastAsia"/>
                <w:sz w:val="24"/>
                <w:szCs w:val="24"/>
              </w:rPr>
              <w:t xml:space="preserve">9. </w:t>
            </w:r>
            <w:r>
              <w:rPr>
                <w:rFonts w:hint="eastAsia"/>
                <w:sz w:val="24"/>
                <w:szCs w:val="24"/>
              </w:rPr>
              <w:t xml:space="preserve">支持设备连接到</w:t>
            </w:r>
            <w:r>
              <w:rPr>
                <w:rFonts w:hint="eastAsia"/>
                <w:sz w:val="24"/>
                <w:szCs w:val="24"/>
              </w:rPr>
              <w:t xml:space="preserve"> windows </w:t>
            </w:r>
            <w:r>
              <w:rPr>
                <w:rFonts w:hint="eastAsia"/>
                <w:sz w:val="24"/>
                <w:szCs w:val="24"/>
              </w:rPr>
              <w:t xml:space="preserve">笔记本电脑后，通过麦克风物理按键音量</w:t>
            </w:r>
            <w:r>
              <w:rPr>
                <w:rFonts w:hint="eastAsia"/>
                <w:sz w:val="24"/>
                <w:szCs w:val="24"/>
              </w:rPr>
              <w:t xml:space="preserve">+ -</w:t>
            </w:r>
            <w:r>
              <w:rPr>
                <w:rFonts w:hint="eastAsia"/>
                <w:sz w:val="24"/>
                <w:szCs w:val="24"/>
              </w:rPr>
              <w:t xml:space="preserve">键可以同步调整</w:t>
            </w:r>
            <w:r>
              <w:rPr>
                <w:rFonts w:hint="eastAsia"/>
                <w:sz w:val="24"/>
                <w:szCs w:val="24"/>
              </w:rPr>
              <w:t xml:space="preserve"> PC/</w:t>
            </w:r>
            <w:r>
              <w:rPr>
                <w:rFonts w:hint="eastAsia"/>
                <w:sz w:val="24"/>
                <w:szCs w:val="24"/>
              </w:rPr>
              <w:t xml:space="preserve">笔记本的扬声器音量，支持</w:t>
            </w:r>
            <w:r>
              <w:rPr>
                <w:rFonts w:hint="eastAsia"/>
                <w:sz w:val="24"/>
                <w:szCs w:val="24"/>
              </w:rPr>
              <w:t xml:space="preserve">windows10 </w:t>
            </w:r>
            <w:r>
              <w:rPr>
                <w:rFonts w:hint="eastAsia"/>
                <w:sz w:val="24"/>
                <w:szCs w:val="24"/>
              </w:rPr>
              <w:t xml:space="preserve">和</w:t>
            </w:r>
            <w:r>
              <w:rPr>
                <w:rFonts w:hint="eastAsia"/>
                <w:sz w:val="24"/>
                <w:szCs w:val="24"/>
              </w:rPr>
              <w:t xml:space="preserve">windows11 </w:t>
            </w:r>
            <w:r/>
          </w:p>
        </w:tc>
        <w:tc>
          <w:tcPr>
            <w:tcW w:w="555" w:type="dxa"/>
            <w:textDirection w:val="lrTb"/>
            <w:noWrap w:val="false"/>
          </w:tcPr>
          <w:p>
            <w:pPr>
              <w:jc w:val="left"/>
              <w:rPr>
                <w:rFonts w:ascii="宋体" w:hAnsi="宋体" w:cs="宋体"/>
                <w:sz w:val="24"/>
                <w:szCs w:val="24"/>
              </w:rPr>
            </w:pPr>
            <w:r>
              <w:rPr>
                <w:rFonts w:ascii="宋体" w:hAnsi="宋体" w:cs="宋体"/>
                <w:sz w:val="24"/>
                <w:szCs w:val="24"/>
              </w:rPr>
            </w:r>
            <w:r/>
          </w:p>
        </w:tc>
      </w:tr>
    </w:tbl>
    <w:p>
      <w:pPr>
        <w:contextualSpacing/>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投标人所提供的产品须符合但不局限于以下标准： </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《厅堂扩声系统设计规范》GB50371-2006</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《会议电视系统工程设计规范》YD5032-97；</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《剧院建筑设计规范》GYJ57-2000；</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《厅堂扩声系统声学特性指标》GB25 WH01-93-86；</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《厅堂扩声特性测量方法》GB4959-95；</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《民用建筑隔声设计规范》GBJ118-88；</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《声系统设备互连的优选配接值》GB/T14197-93；</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《客观评价厅堂语言可懂度的RASTI法》GB/T14476-93；</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《厅堂混响时间测量规范》GBJ76-84；</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《会议系统的电及其音频性能要求》GB/T15381-94；</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《智能建筑设计标准》GB/T50314-2000；</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《民用建筑电气设计规范》JGJ/T16-92；</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《民用企业通讯接地设计规范》GBJ115-87；</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《中华人民共和国公共安全行业标准》GA/T75-94；</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《电气线路和电气设备安装》17．（94D801）；</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《电气装置安装工程施工及验收设计规范》GB50254-50259-96。</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《建筑照明设计标准》GB50034—2004</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ascii="方正仿宋_GBK" w:hAnsi="方正仿宋_GBK" w:eastAsia="方正仿宋_GBK" w:cs="方正仿宋_GBK"/>
          <w:color w:val="000000"/>
          <w:sz w:val="32"/>
          <w:szCs w:val="32"/>
        </w:rPr>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除上述技术规范外，若有遗缺，按国家或行业现行的有关规定执行，国家和行业不全的按本地有关部门规定和标准执行，并满足招标方建设要求。</w:t>
      </w:r>
      <w:r/>
    </w:p>
    <w:p>
      <w:pPr>
        <w:pStyle w:val="932"/>
        <w:jc w:val="left"/>
        <w:spacing w:line="560" w:lineRule="exact"/>
        <w:rPr>
          <w:rFonts w:ascii="黑体" w:hAnsi="黑体" w:eastAsia="黑体"/>
          <w:b w:val="0"/>
          <w:bCs w:val="0"/>
          <w:sz w:val="32"/>
          <w:szCs w:val="32"/>
        </w:rPr>
      </w:pPr>
      <w:r>
        <w:rPr>
          <w:rFonts w:hint="eastAsia" w:ascii="黑体" w:hAnsi="黑体" w:eastAsia="黑体"/>
          <w:b w:val="0"/>
          <w:bCs w:val="0"/>
          <w:sz w:val="32"/>
          <w:szCs w:val="32"/>
        </w:rPr>
        <w:t xml:space="preserve">四、商务要求</w:t>
      </w:r>
      <w:r/>
    </w:p>
    <w:p>
      <w:pPr>
        <w:contextualSpacing/>
        <w:jc w:val="left"/>
        <w:keepLines/>
        <w:keepNext/>
        <w:spacing w:line="560" w:lineRule="exact"/>
        <w:rPr>
          <w:rFonts w:ascii="方正仿宋_GBK" w:hAnsi="方正仿宋_GBK" w:eastAsia="方正仿宋_GBK" w:cs="方正仿宋_GBK"/>
          <w:b/>
          <w:bCs/>
          <w:color w:val="000000"/>
          <w:sz w:val="32"/>
          <w:szCs w:val="32"/>
        </w:rPr>
        <w:outlineLvl w:val="1"/>
      </w:pPr>
      <w:r>
        <w:rPr>
          <w:rFonts w:hint="eastAsia" w:ascii="方正仿宋_GBK" w:hAnsi="方正仿宋_GBK" w:eastAsia="方正仿宋_GBK" w:cs="方正仿宋_GBK"/>
          <w:b/>
          <w:bCs/>
          <w:color w:val="000000"/>
          <w:sz w:val="32"/>
          <w:szCs w:val="32"/>
        </w:rPr>
        <w:t xml:space="preserve">（一）服务要求</w:t>
      </w:r>
      <w:r/>
    </w:p>
    <w:p>
      <w:pPr>
        <w:contextualSpacing/>
        <w:ind w:firstLine="482"/>
        <w:jc w:val="left"/>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1、质量及服务保障</w:t>
      </w:r>
      <w:r/>
    </w:p>
    <w:p>
      <w:pPr>
        <w:contextualSpacing/>
        <w:ind w:firstLine="482"/>
        <w:keepLines/>
        <w:keepNext/>
        <w:spacing w:line="560" w:lineRule="exact"/>
        <w:rPr>
          <w:rFonts w:ascii="方正仿宋_GBK" w:hAnsi="方正仿宋_GBK" w:eastAsia="方正仿宋_GBK" w:cs="方正仿宋_GBK"/>
          <w:i/>
          <w:iCs/>
          <w:sz w:val="32"/>
          <w:szCs w:val="32"/>
          <w:u w:val="single"/>
        </w:rPr>
      </w:pPr>
      <w:r>
        <w:rPr>
          <w:rFonts w:hint="eastAsia" w:ascii="方正仿宋_GBK" w:hAnsi="方正仿宋_GBK" w:eastAsia="方正仿宋_GBK" w:cs="方正仿宋_GBK"/>
          <w:i/>
          <w:iCs/>
          <w:sz w:val="32"/>
          <w:szCs w:val="32"/>
          <w:u w:val="single"/>
        </w:rPr>
        <w:t xml:space="preserve">（1）本次采购的产品包含3年原厂质保（自项目终验之日起计算，包括：硬件设备维修、配套软件版本升级等）。投标文件中产品报价包含3年原厂质保费用，维修不另外收取任何费用。</w:t>
      </w:r>
      <w:r/>
    </w:p>
    <w:p>
      <w:pPr>
        <w:contextualSpacing/>
        <w:ind w:firstLine="482"/>
        <w:keepLines/>
        <w:keepNext/>
        <w:spacing w:line="560" w:lineRule="exact"/>
        <w:rPr>
          <w:rFonts w:ascii="方正仿宋_GBK" w:hAnsi="方正仿宋_GBK" w:eastAsia="方正仿宋_GBK" w:cs="方正仿宋_GBK"/>
          <w:i/>
          <w:iCs/>
          <w:sz w:val="32"/>
          <w:szCs w:val="32"/>
          <w:u w:val="single"/>
        </w:rPr>
      </w:pPr>
      <w:r>
        <w:rPr>
          <w:rFonts w:hint="eastAsia" w:ascii="方正仿宋_GBK" w:hAnsi="方正仿宋_GBK" w:eastAsia="方正仿宋_GBK" w:cs="方正仿宋_GBK"/>
          <w:i/>
          <w:iCs/>
          <w:sz w:val="32"/>
          <w:szCs w:val="32"/>
          <w:u w:val="single"/>
        </w:rPr>
        <w:t xml:space="preserve">（2）投标人中标后提供的所有硬件设备和配套系统软件等质保用户必须是本次项目采购人。 </w:t>
      </w:r>
      <w:r/>
    </w:p>
    <w:p>
      <w:pPr>
        <w:contextualSpacing/>
        <w:ind w:firstLine="482"/>
        <w:keepLines/>
        <w:keepNext/>
        <w:spacing w:line="560" w:lineRule="exact"/>
      </w:pPr>
      <w:r>
        <w:rPr>
          <w:rFonts w:hint="eastAsia" w:ascii="方正仿宋_GBK" w:hAnsi="方正仿宋_GBK" w:eastAsia="方正仿宋_GBK" w:cs="方正仿宋_GBK"/>
          <w:i/>
          <w:iCs/>
          <w:sz w:val="32"/>
          <w:szCs w:val="32"/>
          <w:u w:val="single"/>
        </w:rPr>
        <w:t xml:space="preserve">（3）投标人报价应包含与本次采购项目有关的所有费用。包含但不限于设计、人员、设备、安装、调试、线材、验收、售后服务、伴随配套服务等所有含税费用，本项目终验前采购人不再为本项目支付合同外的其他费用。</w:t>
      </w:r>
      <w:r/>
    </w:p>
    <w:p>
      <w:pPr>
        <w:contextualSpacing/>
        <w:ind w:firstLine="482"/>
        <w:keepLines/>
        <w:keepNext/>
        <w:spacing w:line="560" w:lineRule="exact"/>
      </w:pPr>
      <w:r>
        <w:rPr>
          <w:rFonts w:hint="eastAsia" w:ascii="方正仿宋_GBK" w:hAnsi="方正仿宋_GBK" w:eastAsia="方正仿宋_GBK" w:cs="方正仿宋_GBK"/>
          <w:i/>
          <w:iCs/>
          <w:sz w:val="32"/>
          <w:szCs w:val="32"/>
          <w:u w:val="single"/>
        </w:rPr>
        <w:t xml:space="preserve">（4）投标人所投相同类型产品须为同一品牌，即所有音箱为同一品牌，所有功放为同一品牌，所有麦克风为同一品牌。</w:t>
      </w:r>
      <w:r/>
    </w:p>
    <w:p>
      <w:pPr>
        <w:ind w:firstLine="482"/>
        <w:spacing w:line="560" w:lineRule="exact"/>
        <w:rPr>
          <w:rFonts w:ascii="方正仿宋_GBK" w:hAnsi="方正仿宋_GBK" w:eastAsia="方正仿宋_GBK" w:cs="方正仿宋_GBK"/>
          <w:i/>
          <w:iCs/>
          <w:sz w:val="32"/>
          <w:szCs w:val="32"/>
          <w:u w:val="single"/>
        </w:rPr>
      </w:pPr>
      <w:r>
        <w:rPr>
          <w:rFonts w:hint="eastAsia" w:ascii="方正仿宋_GBK" w:hAnsi="方正仿宋_GBK" w:eastAsia="方正仿宋_GBK" w:cs="方正仿宋_GBK"/>
          <w:i/>
          <w:iCs/>
          <w:sz w:val="32"/>
          <w:szCs w:val="32"/>
          <w:u w:val="single"/>
        </w:rPr>
        <w:t xml:space="preserve">（5）投标人须提供重要会议支持服务，重要会议期间根据采购人要求提供技术人员到场进行保障，配合调试（每年提供服务不超过5次），服务期3年。</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2、验收要求</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中标人按约完成所有货物供货并完成安装、调试交付采购人使用后，由中标人出具自检报告向采购人提交初步验收申请；初步验收通过后进入试运行期，稳定试运行不少于3个月后，由中标人出具试运行报告向采购人提交最终验收申请。采购人在20个工作日内组织相关验收并完成此项工作，采购人经核实认为可以验收的将书面确认。</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如果采购人验收不合格的，中标人应当在采购人要求的期限内整改，如果中标人延期整改的，每逾期一天，中标人应按合同总金额每天0.1％的比例支付违约金。</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申请验收前投标人应根据采购人提供的验收文件模板，提供项目验收相关材料，包含项目实施过程材料、相关验收资料等，并形成完整的验收档案资料。</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3、运维要求</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质保期3年，投标人质保期内需提供产品维护等方面的保障和技术支持服务，提供7×24小时的技术支持响应。出现故障时，投标人接到通知后必须派技术人员3小时内赶到现场检查处理。遇到重大事件应无条件响应，且具备现场1小时内支持的能力。</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在质保期内，投标人应成立专业技术服务团队，确保本项目范围内的硬件和软件能够正常使用，尽快排除故障、修复或更换零部件，上述费用以及因更换所发生的运输、保险、安装、检测等有关的全部费用，均含在本项目投标报价中。</w:t>
      </w:r>
      <w:r/>
    </w:p>
    <w:p>
      <w:pPr>
        <w:contextualSpacing/>
        <w:ind w:firstLine="640"/>
        <w:keepLines/>
        <w:keepNext/>
        <w:spacing w:line="560" w:lineRule="exact"/>
        <w:rPr>
          <w:rFonts w:ascii="方正仿宋_GBK" w:hAnsi="方正仿宋_GBK" w:eastAsia="方正仿宋_GBK" w:cs="方正仿宋_GBK"/>
          <w:b/>
          <w:bCs/>
          <w:color w:val="000000"/>
          <w:sz w:val="32"/>
          <w:szCs w:val="32"/>
        </w:rPr>
        <w:outlineLvl w:val="1"/>
      </w:pPr>
      <w:r>
        <w:rPr>
          <w:rFonts w:hint="eastAsia" w:ascii="方正仿宋_GBK" w:hAnsi="方正仿宋_GBK" w:eastAsia="方正仿宋_GBK" w:cs="方正仿宋_GBK"/>
          <w:b/>
          <w:bCs/>
          <w:color w:val="000000"/>
          <w:sz w:val="32"/>
          <w:szCs w:val="32"/>
        </w:rPr>
        <w:t xml:space="preserve">（二）履约能力要求</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1、成功案例</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投标人具有2023年1月1日（以合同签订日期为准）以来，完成过类似项目（</w:t>
      </w:r>
      <w:bookmarkStart w:id="210" w:name="OLE_LINK24"/>
      <w:r/>
      <w:bookmarkStart w:id="211" w:name="OLE_LINK23"/>
      <w:r>
        <w:rPr>
          <w:rFonts w:hint="eastAsia" w:ascii="方正仿宋_GBK" w:hAnsi="方正仿宋_GBK" w:eastAsia="方正仿宋_GBK" w:cs="方正仿宋_GBK"/>
          <w:color w:val="000000"/>
          <w:sz w:val="32"/>
          <w:szCs w:val="32"/>
        </w:rPr>
        <w:t xml:space="preserve">同时包含LED屏，音响设备</w:t>
      </w:r>
      <w:bookmarkEnd w:id="210"/>
      <w:r/>
      <w:bookmarkEnd w:id="211"/>
      <w:r>
        <w:rPr>
          <w:rFonts w:hint="eastAsia" w:ascii="方正仿宋_GBK" w:hAnsi="方正仿宋_GBK" w:eastAsia="方正仿宋_GBK" w:cs="方正仿宋_GBK"/>
          <w:color w:val="000000"/>
          <w:sz w:val="32"/>
          <w:szCs w:val="32"/>
        </w:rPr>
        <w:t xml:space="preserve">）的成功案例。</w:t>
      </w:r>
      <w:r/>
    </w:p>
    <w:p>
      <w:pPr>
        <w:contextualSpacing/>
        <w:ind w:firstLine="640"/>
        <w:keepLines/>
        <w:keepNext/>
        <w:spacing w:line="560" w:lineRule="exact"/>
        <w:rPr>
          <w:rFonts w:ascii="方正仿宋_GBK" w:hAnsi="方正仿宋_GBK" w:eastAsia="方正仿宋_GBK" w:cs="方正仿宋_GBK"/>
          <w:b/>
          <w:bCs/>
          <w:color w:val="000000"/>
          <w:sz w:val="32"/>
          <w:szCs w:val="32"/>
        </w:rPr>
        <w:outlineLvl w:val="1"/>
      </w:pPr>
      <w:r>
        <w:rPr>
          <w:rFonts w:hint="eastAsia" w:ascii="方正仿宋_GBK" w:hAnsi="方正仿宋_GBK" w:eastAsia="方正仿宋_GBK" w:cs="方正仿宋_GBK"/>
          <w:b/>
          <w:bCs/>
          <w:color w:val="000000"/>
          <w:sz w:val="32"/>
          <w:szCs w:val="32"/>
        </w:rPr>
        <w:t xml:space="preserve">（三）其他商务要求</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i/>
          <w:iCs/>
          <w:color w:val="000000"/>
          <w:sz w:val="32"/>
          <w:szCs w:val="32"/>
          <w:u w:val="single"/>
        </w:rPr>
        <w:t xml:space="preserve">1.交货期：合同签订后25个自然日内完成全部软硬件安装调试工作并投入使用。。</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3.交付地点：江苏开放大学桥林校区E6三楼会议室和接待室。</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4.付款方式：</w:t>
      </w:r>
      <w:r/>
    </w:p>
    <w:p>
      <w:pPr>
        <w:ind w:firstLine="640"/>
        <w:spacing w:line="560" w:lineRule="exact"/>
        <w:tabs>
          <w:tab w:val="left" w:pos="4785" w:leader="none"/>
        </w:tabs>
        <w:rPr>
          <w:rFonts w:ascii="方正仿宋_GBK" w:hAnsi="方正仿宋_GBK" w:eastAsia="方正仿宋_GBK" w:cs="方正仿宋_GBK"/>
          <w:i/>
          <w:iCs/>
          <w:color w:val="000000"/>
          <w:sz w:val="32"/>
          <w:szCs w:val="32"/>
          <w:u w:val="single"/>
        </w:rPr>
      </w:pPr>
      <w:r>
        <w:rPr>
          <w:rFonts w:hint="eastAsia" w:ascii="方正仿宋_GBK" w:hAnsi="方正仿宋_GBK" w:eastAsia="方正仿宋_GBK" w:cs="方正仿宋_GBK"/>
          <w:i/>
          <w:iCs/>
          <w:color w:val="000000"/>
          <w:sz w:val="32"/>
          <w:szCs w:val="32"/>
          <w:u w:val="single"/>
        </w:rPr>
        <w:t xml:space="preserve">学校不提供预付款，在合同规定的工期内，货物全部交付安装完成，经采购人正式组织验收合格，且供应商配合采购人完成固定资产登记后10个工作日内，支付至合同总价的100%。</w:t>
      </w:r>
      <w:r/>
    </w:p>
    <w:p>
      <w:pPr>
        <w:pStyle w:val="932"/>
        <w:jc w:val="left"/>
        <w:spacing w:line="560" w:lineRule="exact"/>
        <w:rPr>
          <w:rFonts w:ascii="黑体" w:hAnsi="黑体" w:eastAsia="黑体"/>
          <w:b w:val="0"/>
          <w:bCs w:val="0"/>
          <w:sz w:val="32"/>
          <w:szCs w:val="32"/>
        </w:rPr>
      </w:pPr>
      <w:r>
        <w:rPr>
          <w:rFonts w:hint="eastAsia" w:ascii="黑体" w:hAnsi="黑体" w:eastAsia="黑体"/>
          <w:b w:val="0"/>
          <w:bCs w:val="0"/>
          <w:sz w:val="32"/>
          <w:szCs w:val="32"/>
        </w:rPr>
        <w:t xml:space="preserve">五、其他要求</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（一）项目属性：货物类项目。</w:t>
      </w:r>
      <w:r/>
    </w:p>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（二）核心产品</w:t>
      </w:r>
      <w:r/>
    </w:p>
    <w:tbl>
      <w:tblPr>
        <w:tblW w:w="0" w:type="auto"/>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30"/>
        <w:gridCol w:w="6603"/>
      </w:tblGrid>
      <w:tr>
        <w:trPr/>
        <w:tc>
          <w:tcPr>
            <w:tcW w:w="2130" w:type="dxa"/>
            <w:vAlign w:val="center"/>
            <w:textDirection w:val="lrTb"/>
            <w:noWrap w:val="false"/>
          </w:tcPr>
          <w:p>
            <w:pPr>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6603" w:type="dxa"/>
            <w:vAlign w:val="center"/>
            <w:textDirection w:val="lrTb"/>
            <w:noWrap w:val="false"/>
          </w:tcPr>
          <w:p>
            <w:pPr>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2130" w:type="dxa"/>
            <w:vAlign w:val="center"/>
            <w:textDirection w:val="lrTb"/>
            <w:noWrap w:val="false"/>
          </w:tcPr>
          <w:p>
            <w:pPr>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6603" w:type="dxa"/>
            <w:vAlign w:val="center"/>
            <w:textDirection w:val="lrTb"/>
            <w:noWrap w:val="false"/>
          </w:tcPr>
          <w:p>
            <w:pPr>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LED一体机</w:t>
            </w:r>
            <w:r/>
          </w:p>
        </w:tc>
      </w:tr>
    </w:tbl>
    <w:p>
      <w:pPr>
        <w:ind w:firstLine="640"/>
        <w:spacing w:line="560" w:lineRule="exact"/>
        <w:rPr>
          <w:rFonts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（三）进口产品投标</w:t>
      </w:r>
      <w:r/>
    </w:p>
    <w:tbl>
      <w:tblPr>
        <w:tblW w:w="0" w:type="auto"/>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50"/>
        <w:gridCol w:w="6583"/>
      </w:tblGrid>
      <w:tr>
        <w:trPr>
          <w:trHeight w:val="595"/>
        </w:trPr>
        <w:tc>
          <w:tcPr>
            <w:tcW w:w="2150" w:type="dxa"/>
            <w:vAlign w:val="center"/>
            <w:textDirection w:val="lrTb"/>
            <w:noWrap w:val="false"/>
          </w:tcPr>
          <w:p>
            <w:pPr>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6583" w:type="dxa"/>
            <w:vAlign w:val="center"/>
            <w:textDirection w:val="lrTb"/>
            <w:noWrap w:val="false"/>
          </w:tcPr>
          <w:p>
            <w:pPr>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是否接受进口产品投标（是/否）</w:t>
            </w:r>
            <w:r/>
          </w:p>
        </w:tc>
      </w:tr>
      <w:tr>
        <w:trPr>
          <w:trHeight w:val="555"/>
        </w:trPr>
        <w:tc>
          <w:tcPr>
            <w:tcW w:w="2150" w:type="dxa"/>
            <w:vAlign w:val="center"/>
            <w:textDirection w:val="lrTb"/>
            <w:noWrap w:val="false"/>
          </w:tcPr>
          <w:p>
            <w:pPr>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6583" w:type="dxa"/>
            <w:vAlign w:val="center"/>
            <w:textDirection w:val="lrTb"/>
            <w:noWrap w:val="false"/>
          </w:tcPr>
          <w:p>
            <w:pPr>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contextualSpacing/>
        <w:ind w:firstLine="640"/>
        <w:jc w:val="left"/>
        <w:keepLines/>
        <w:keepNext/>
        <w:spacing w:line="560" w:lineRule="exact"/>
        <w:rPr>
          <w:rFonts w:ascii="方正仿宋_GBK" w:hAnsi="方正仿宋_GBK" w:eastAsia="方正仿宋_GBK" w:cs="方正仿宋_GBK"/>
          <w:b/>
          <w:bCs/>
          <w:color w:val="000000"/>
          <w:sz w:val="32"/>
          <w:szCs w:val="32"/>
        </w:rPr>
        <w:outlineLvl w:val="1"/>
      </w:pPr>
      <w:r/>
      <w:bookmarkStart w:id="212" w:name="_Toc120614281"/>
      <w:r>
        <w:rPr>
          <w:rFonts w:hint="eastAsia" w:ascii="方正仿宋_GBK" w:hAnsi="方正仿宋_GBK" w:eastAsia="方正仿宋_GBK" w:cs="方正仿宋_GBK"/>
          <w:color w:val="000000"/>
          <w:sz w:val="32"/>
          <w:szCs w:val="32"/>
        </w:rPr>
        <w:t xml:space="preserve">（四）服务响应方案要求</w:t>
      </w:r>
      <w:r/>
    </w:p>
    <w:p>
      <w:pPr>
        <w:contextualSpacing/>
        <w:ind w:firstLine="640"/>
        <w:keepLines/>
        <w:keepNext/>
        <w:spacing w:line="560" w:lineRule="exact"/>
        <w:rPr>
          <w:rFonts w:ascii="方正仿宋_GBK" w:hAnsi="方正仿宋_GBK" w:eastAsia="方正仿宋_GBK" w:cs="方正仿宋_GBK"/>
          <w:color w:val="000000"/>
          <w:sz w:val="32"/>
          <w:szCs w:val="32"/>
        </w:rPr>
      </w:pPr>
      <w:r/>
      <w:bookmarkStart w:id="213" w:name="OLE_LINK27"/>
      <w:r>
        <w:rPr>
          <w:rFonts w:hint="eastAsia" w:ascii="方正仿宋_GBK" w:hAnsi="方正仿宋_GBK" w:eastAsia="方正仿宋_GBK" w:cs="方正仿宋_GBK"/>
          <w:color w:val="000000"/>
          <w:sz w:val="32"/>
          <w:szCs w:val="32"/>
        </w:rPr>
        <w:t xml:space="preserve">1、项目建设方案要求</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投标人针对本项目提供项目建设方案，要求包括：</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项目重难点分析。详细分析本项目的建设背景，根据采购人提出的建设要求针对性设计方案，明确建设目标，对关键业务场景、业务痛点进行分析。需充分理解项目在音频能力、现场效果、会议控制等方面的功能要求。</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整体架构设计。投标人需进行完善合理的项目设计，方案应能满足质量可靠、科学合理、安全可靠、功能齐全、扩展性强、集成方便、使用简单的要求，针对本项目的重点难点提供详细的设计思路、技术框架及路线、可靠性设计、安全性设计等内容。</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深化和优化设计。根据项目建设内容提供清晰的、分层的现场音频系统效果图，展示各会议室产品设计逻辑及其配合关系。提供产品实施效果图，线路设计图等，确保能够准确表达方案意图和设计效果，效果图所示产品部署点位与实际部署应无较大差异。</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2、实施组织方案要求</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投标人针对本项目提供实施组织方案，要求包括：</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实施计划安排。项目组织实施过程中，需要科学安排项目实施进度，规范有序地完成项目实施。投标人应提供项目实施组织方案，根据采购人要求的工期长度，按时保质完成，方案至少包含项目进度计划、设备安装调试、项目团队组织配置、进度管理、质量管理、建设团队管理、风险管理等多个方面内容，需在实施方案中明确每间会议室实施计划和分别工期。</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团队分工明细。项目组织实施过程中，应有明确的人员分工、计划安排，职责划分清晰，确保各环节责任到人。方案需详细列出项目经理、技术工程师、安装人员等关键角色的具体职责。通过科学的人力资源配置和严谨的管理措施，保障项目高效推进，实现预期建设目标，确保系统稳定运行及后期维护服务的连续性。</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质量保障措施。投标人需制定完善的质量保障体系，包括设备进场检验、施工过程质量控制、系统测试验收等环节的具体措施。确保每个阶段都有明确的质量标准和检查机制。对可能出现的质量问题有预防和纠正方案。同时，建立项目文档管理制度，详细记录设备参数、施工日志。</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现场实施过程中采购人对产品安装方式提出要求的，需按采购人要求执行，所有相关费用包含在投标总价中。</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3、售后服务方案要求</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投标人针对本项目提供售后服务方案，要求包括：</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（1）售后服务。投标人应根据项目需求提供具体详实的售后服务方案，至少包括：售后服务体系、售后服务方式、售后服务内容、售后响应能力等。</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（2）售后技术支持。中标人对提供的货物在质保期内，因产品质量而导致的缺陷，必须免费提供包修、包换、包退服务。中标人须在“三包”范围内无偿提供该货物的技术支持。</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（3）设备巡检。每半年对现场设备进行巡检、调试、维护，对所有设备故障问题统一协调处理。</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4、培训方案要求</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投标人针对本项目提供培训方案，要求包括：</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培训方案设计。投标人应针对本项目制定详细的培训方案，包括：培训计划、培训人数、培训内容和培训方式等内容。培训地点由投标人指定，培训人数不少于3人。培训内容包含但不限于所有日常配置使用、排除硬件故障、设备升级步骤等内容，应充分利用现场设备环境针对后期不同使用场景进行预演操作培训。</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（2）培训人员。培训讲师应具备相关设备的专业知识和丰富的培训经验。</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（3）培训资料提供。投标人需提供完整的培训资料，包括操作手册、维护指南、常见故障排除手册等。</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所有相关费用包含在投标总价中。</w:t>
      </w:r>
      <w:r/>
    </w:p>
    <w:p>
      <w:pPr>
        <w:contextualSpacing/>
        <w:ind w:firstLine="640"/>
        <w:keepLines/>
        <w:keepNex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5、重大活动保障方案要求</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（1）保障响应小组。投标人应制定完善的重大活动保障方案，‌投标人需明确重大活动时期（节假日与重大活动期间）的保障团队架构‌，设立重大活动保障小组，明确小组分工。</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（2）保障响应能力。保障小组要参与采购人重大活动组织实施流程，能够提供专业保障服务，配合采购人完成重大活动演练，包括设备检测、调试、保障等。</w:t>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（3）保障资源投入。投标人需承诺在重大活动期间，提供充足的备品备件、应急设备和专业技术人员。</w:t>
      </w:r>
      <w:bookmarkEnd w:id="213"/>
      <w:r/>
      <w:r/>
    </w:p>
    <w:p>
      <w:pPr>
        <w:pStyle w:val="1045"/>
        <w:ind w:firstLine="640"/>
        <w:jc w:val="both"/>
        <w:spacing w:line="560" w:lineRule="exact"/>
        <w:tabs>
          <w:tab w:val="center" w:pos="7143" w:leader="none"/>
          <w:tab w:val="right" w:pos="14287"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所有相关费用包含在投标总价中。</w:t>
      </w:r>
      <w:r/>
    </w:p>
    <w:p>
      <w:pPr>
        <w:pStyle w:val="932"/>
        <w:spacing w:line="660" w:lineRule="exact"/>
        <w:rPr>
          <w:rFonts w:ascii="黑体" w:hAnsi="黑体" w:eastAsia="黑体"/>
          <w:b w:val="0"/>
          <w:bCs w:val="0"/>
          <w:sz w:val="32"/>
          <w:szCs w:val="32"/>
        </w:rPr>
      </w:pPr>
      <w:r>
        <w:rPr>
          <w:rFonts w:hint="eastAsia" w:ascii="黑体" w:hAnsi="黑体" w:eastAsia="黑体"/>
          <w:b w:val="0"/>
          <w:bCs w:val="0"/>
          <w:sz w:val="32"/>
          <w:szCs w:val="32"/>
        </w:rPr>
        <w:br w:type="page" w:clear="all"/>
        <w:t xml:space="preserve">第五章  评标方法与评标标准</w:t>
      </w:r>
      <w:r/>
    </w:p>
    <w:p>
      <w:pPr>
        <w:ind w:firstLine="640"/>
        <w:spacing w:line="560" w:lineRule="exact"/>
        <w:rPr>
          <w:rFonts w:ascii="宋体" w:hAnsi="宋体"/>
          <w:color w:val="000000"/>
          <w:sz w:val="32"/>
          <w:szCs w:val="32"/>
        </w:rPr>
      </w:pPr>
      <w:r>
        <w:rPr>
          <w:rFonts w:hint="eastAsia" w:ascii="方正仿宋_GBK" w:hAnsi="方正仿宋_GBK" w:eastAsia="方正仿宋_GBK" w:cs="方正仿宋_GBK"/>
          <w:color w:val="000000"/>
          <w:sz w:val="32"/>
          <w:szCs w:val="32"/>
        </w:rPr>
        <w:t xml:space="preserve">采用综合评分法的，评标结果按评审后得分由高到低顺序排列。得分相同的，按投标报价由低到高顺序排列。得分且投标报价相同的并列。</w:t>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71"/>
        <w:gridCol w:w="2183"/>
        <w:gridCol w:w="5063"/>
      </w:tblGrid>
      <w:tr>
        <w:trPr/>
        <w:tc>
          <w:tcPr>
            <w:tcW w:w="1671"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textDirection w:val="lrTb"/>
            <w:noWrap w:val="false"/>
          </w:tcPr>
          <w:p>
            <w:pPr>
              <w:jc w:val="left"/>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640"/>
        <w:jc w:val="left"/>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
          <w:sz w:val="32"/>
          <w:szCs w:val="32"/>
        </w:rPr>
        <w:t xml:space="preserve">政府采购政策功能落实</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1.小微型企业价格扣除</w:t>
      </w:r>
      <w:r/>
    </w:p>
    <w:p>
      <w:pPr>
        <w:ind w:firstLine="480"/>
        <w:jc w:val="left"/>
        <w:spacing w:before="120" w:after="120" w:line="560" w:lineRule="exact"/>
        <w:rPr>
          <w:rFonts w:ascii="宋体" w:hAnsi="宋体"/>
          <w:color w:val="000000"/>
          <w:sz w:val="24"/>
          <w:szCs w:val="24"/>
        </w:rPr>
      </w:pPr>
      <w:r>
        <w:rPr>
          <w:rFonts w:hint="eastAsia" w:ascii="方正仿宋_GBK" w:hAnsi="方正仿宋_GBK" w:eastAsia="方正仿宋_GBK" w:cs="方正仿宋_GBK"/>
          <w:color w:val="000000"/>
          <w:sz w:val="32"/>
          <w:szCs w:val="32"/>
        </w:rPr>
        <w:t xml:space="preserve">（1）本项目对小型和微型企业产品给予10%的扣除价格，用扣除后的价格参与评审。</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（2）供应商需按照采购文件的要求提供相应的《中小微企业声明函》。</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2.残疾人福利单位价格扣除</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（1）本项目对残疾人福利性单位视同小型、微型企业，给予10%的价格扣除，用扣除后的价格参与评审。</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（2）残疾人福利单位需按照采购文件的要求提供《残疾人福利性单位声明函》。</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（3）残疾人福利单位标准请参照《关于促进残疾人就业政府采购政策的通知》（财库〔2017〕141号）。</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3.监狱和戒毒企业价格扣除</w:t>
      </w:r>
      <w:r/>
    </w:p>
    <w:p>
      <w:pPr>
        <w:ind w:firstLine="640"/>
        <w:spacing w:line="560" w:lineRule="exact"/>
        <w:rPr>
          <w:rFonts w:ascii="宋体" w:hAnsi="宋体"/>
          <w:color w:val="000000"/>
          <w:sz w:val="24"/>
          <w:szCs w:val="24"/>
        </w:rPr>
      </w:pPr>
      <w:r>
        <w:rPr>
          <w:rFonts w:hint="eastAsia" w:ascii="方正仿宋_GBK" w:hAnsi="方正仿宋_GBK" w:eastAsia="方正仿宋_GBK" w:cs="方正仿宋_GBK"/>
          <w:color w:val="000000"/>
          <w:sz w:val="32"/>
          <w:szCs w:val="32"/>
        </w:rPr>
        <w:t xml:space="preserve">（1）本项目对监狱和戒毒企业（简称监狱企业）视同小型、微型企业，给予10%的价格扣除，用扣除后的价格参与评审。</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（3）监狱企业标准请参照《关于政府采购支持监狱企业发展有关问题的通知》（财库〔2014〕68号）。</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4.残疾人福利单位、监狱企业属于小型、微型企业的，不重复享受政策。</w:t>
      </w:r>
      <w:r/>
    </w:p>
    <w:p>
      <w:pPr>
        <w:ind w:firstLine="640"/>
        <w:spacing w:line="560" w:lineRule="exact"/>
        <w:rPr>
          <w:rFonts w:ascii="华文新魏" w:hAnsi="宋体" w:eastAsia="华文新魏"/>
          <w:color w:val="000000"/>
          <w:sz w:val="36"/>
          <w:szCs w:val="36"/>
        </w:rPr>
      </w:pPr>
      <w:r>
        <w:rPr>
          <w:rFonts w:hint="eastAsia" w:ascii="方正仿宋_GBK" w:hAnsi="方正仿宋_GBK" w:eastAsia="方正仿宋_GBK" w:cs="方正仿宋_GBK"/>
          <w:color w:val="000000"/>
          <w:sz w:val="32"/>
          <w:szCs w:val="32"/>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640"/>
        <w:jc w:val="left"/>
        <w:spacing w:before="120" w:after="120" w:line="560" w:lineRule="exact"/>
        <w:rPr>
          <w:rFonts w:ascii="宋体" w:hAnsi="宋体"/>
          <w:color w:val="000000"/>
          <w:sz w:val="24"/>
          <w:szCs w:val="24"/>
        </w:rPr>
      </w:pPr>
      <w:r>
        <w:rPr>
          <w:rFonts w:hint="eastAsia" w:ascii="方正仿宋_GBK" w:hAnsi="方正仿宋_GBK" w:eastAsia="方正仿宋_GBK" w:cs="方正仿宋_GBK"/>
          <w:color w:val="000000"/>
          <w:sz w:val="32"/>
          <w:szCs w:val="32"/>
        </w:rPr>
        <w:t xml:space="preserve">6.联合体各方均为小型、微型企业（残疾人福利单位、监狱企业）的，联合体享受10%价格扣除，用扣除后的价格参与评审。</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7.采购本国产品的支持政策</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7.1 本项目政府采购活动中既有本国产品又有非本国产品参与竞争的，依法对本国产品给予价格评审优惠，对本国产品的报价给予20%的价格扣除，用扣除后的价格参与评审。</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7.3 供应商需按照招标文件的要求提供《关于符合本国产品标准的声明函》（以下简称《声明函》），如不提供将不享受本国产品价格评审优惠。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32"/>
          <w:szCs w:val="32"/>
          <w:u w:val="single"/>
        </w:rPr>
        <w:t xml:space="preserve"> / </w:t>
      </w:r>
      <w:r>
        <w:rPr>
          <w:rFonts w:hint="eastAsia" w:ascii="方正仿宋_GBK" w:hAnsi="方正仿宋_GBK" w:eastAsia="方正仿宋_GBK" w:cs="方正仿宋_GBK"/>
          <w:color w:val="000000"/>
          <w:sz w:val="32"/>
          <w:szCs w:val="32"/>
        </w:rPr>
        <w:t xml:space="preserve"> ”的地方无需填写），三项信息中任意一项未填写的视为该项产品不符合本国产品标准，不享受本国产品价格评审优惠。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40"/>
        <w:jc w:val="left"/>
        <w:spacing w:before="120" w:after="120" w:line="0" w:lineRule="atLeast"/>
        <w:rPr>
          <w:rFonts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评标方法与评标标准</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（一）投标报价（30分）</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价格分采用低价优先法计算，即满足采购文件要求且投标价格最低的供应商投标报价为评标基准价，其价格分为满分30分，其它投标人的价格分统一按照以下公式计算：投标报价得分=（评标基准价/该投标人的投标报价）×30分。</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（二）技术要求响应情况（33分)</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2.1根据投标人</w:t>
      </w:r>
      <w:r>
        <w:rPr>
          <w:rFonts w:hint="eastAsia" w:ascii="方正仿宋_GBK" w:hAnsi="方正仿宋_GBK" w:eastAsia="方正仿宋_GBK" w:cs="方正仿宋_GBK"/>
          <w:sz w:val="32"/>
          <w:szCs w:val="32"/>
        </w:rPr>
        <w:t xml:space="preserve">对本项目第四章采购需求中技术参数</w:t>
      </w:r>
      <w:r>
        <w:rPr>
          <w:rFonts w:hint="eastAsia" w:ascii="方正仿宋_GBK" w:hAnsi="方正仿宋_GBK" w:eastAsia="方正仿宋_GBK" w:cs="方正仿宋_GBK"/>
          <w:sz w:val="32"/>
          <w:szCs w:val="32"/>
        </w:rPr>
        <w:t xml:space="preserve">响应情况进行评分：打斜体加下划线的内容为实质性条款，不满足则为无效投标。其他指标全部满足招标文件第四章采购需求“三、技术要求”中产品</w:t>
      </w:r>
      <w:r>
        <w:rPr>
          <w:rFonts w:hint="eastAsia" w:ascii="方正仿宋_GBK" w:hAnsi="方正仿宋_GBK" w:eastAsia="方正仿宋_GBK" w:cs="方正仿宋_GBK"/>
          <w:sz w:val="32"/>
          <w:szCs w:val="32"/>
        </w:rPr>
        <w:t xml:space="preserve">技术</w:t>
      </w:r>
      <w:r>
        <w:rPr>
          <w:rFonts w:hint="eastAsia" w:ascii="方正仿宋_GBK" w:hAnsi="方正仿宋_GBK" w:eastAsia="方正仿宋_GBK" w:cs="方正仿宋_GBK"/>
          <w:sz w:val="32"/>
          <w:szCs w:val="32"/>
        </w:rPr>
        <w:t xml:space="preserve">参数得33分（共计97项参数）</w:t>
      </w:r>
      <w:r>
        <w:rPr>
          <w:rFonts w:hint="eastAsia" w:ascii="方正仿宋_GBK" w:hAnsi="方正仿宋_GBK" w:eastAsia="方正仿宋_GBK" w:cs="方正仿宋_GBK"/>
          <w:sz w:val="32"/>
          <w:szCs w:val="32"/>
        </w:rPr>
        <w:t xml:space="preserve">：</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w:t>
      </w:r>
      <w:r>
        <w:rPr>
          <w:rFonts w:hint="eastAsia" w:ascii="方正仿宋_GBK" w:hAnsi="方正仿宋_GBK" w:eastAsia="方正仿宋_GBK" w:cs="方正仿宋_GBK"/>
          <w:sz w:val="32"/>
          <w:szCs w:val="32"/>
        </w:rPr>
        <w:t xml:space="preserve">打▲项</w:t>
      </w:r>
      <w:r>
        <w:rPr>
          <w:rFonts w:hint="eastAsia" w:ascii="方正仿宋_GBK" w:hAnsi="方正仿宋_GBK" w:eastAsia="方正仿宋_GBK" w:cs="方正仿宋_GBK"/>
          <w:sz w:val="32"/>
          <w:szCs w:val="32"/>
        </w:rPr>
        <w:t xml:space="preserve">技术要求</w:t>
      </w:r>
      <w:r>
        <w:rPr>
          <w:rFonts w:hint="eastAsia" w:ascii="方正仿宋_GBK" w:hAnsi="方正仿宋_GBK" w:eastAsia="方正仿宋_GBK" w:cs="方正仿宋_GBK"/>
          <w:sz w:val="32"/>
          <w:szCs w:val="32"/>
        </w:rPr>
        <w:t xml:space="preserve">为重要指标，每有一项不满足扣1分（17个▲项）</w:t>
      </w:r>
      <w:r>
        <w:rPr>
          <w:rFonts w:hint="eastAsia" w:ascii="方正仿宋_GBK" w:hAnsi="方正仿宋_GBK" w:eastAsia="方正仿宋_GBK" w:cs="方正仿宋_GBK"/>
          <w:sz w:val="32"/>
          <w:szCs w:val="32"/>
        </w:rPr>
        <w:t xml:space="preserve">，最高得17分</w:t>
      </w:r>
      <w:r>
        <w:rPr>
          <w:rFonts w:hint="eastAsia" w:ascii="方正仿宋_GBK" w:hAnsi="方正仿宋_GBK" w:eastAsia="方正仿宋_GBK" w:cs="方正仿宋_GBK"/>
          <w:sz w:val="32"/>
          <w:szCs w:val="32"/>
        </w:rPr>
        <w:t xml:space="preserve">；</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w:t>
      </w:r>
      <w:r>
        <w:rPr>
          <w:rFonts w:hint="eastAsia" w:ascii="方正仿宋_GBK" w:hAnsi="方正仿宋_GBK" w:eastAsia="方正仿宋_GBK" w:cs="方正仿宋_GBK"/>
          <w:sz w:val="32"/>
          <w:szCs w:val="32"/>
        </w:rPr>
        <w:t xml:space="preserve">其他</w:t>
      </w:r>
      <w:r>
        <w:rPr>
          <w:rFonts w:hint="eastAsia" w:ascii="方正仿宋_GBK" w:hAnsi="方正仿宋_GBK" w:eastAsia="方正仿宋_GBK" w:cs="方正仿宋_GBK"/>
          <w:sz w:val="32"/>
          <w:szCs w:val="32"/>
        </w:rPr>
        <w:t xml:space="preserve">技术要求</w:t>
      </w:r>
      <w:r>
        <w:rPr>
          <w:rFonts w:hint="eastAsia" w:ascii="方正仿宋_GBK" w:hAnsi="方正仿宋_GBK" w:eastAsia="方正仿宋_GBK" w:cs="方正仿宋_GBK"/>
          <w:sz w:val="32"/>
          <w:szCs w:val="32"/>
        </w:rPr>
        <w:t xml:space="preserve">每有一项不满足扣0.2分（80个），扣完为止</w:t>
      </w:r>
      <w:r>
        <w:rPr>
          <w:rFonts w:hint="eastAsia" w:ascii="方正仿宋_GBK" w:hAnsi="方正仿宋_GBK" w:eastAsia="方正仿宋_GBK" w:cs="方正仿宋_GBK"/>
          <w:sz w:val="32"/>
          <w:szCs w:val="32"/>
        </w:rPr>
        <w:t xml:space="preserve">，最高得16分</w:t>
      </w:r>
      <w:r>
        <w:rPr>
          <w:rFonts w:hint="eastAsia" w:ascii="方正仿宋_GBK" w:hAnsi="方正仿宋_GBK" w:eastAsia="方正仿宋_GBK" w:cs="方正仿宋_GBK"/>
          <w:sz w:val="32"/>
          <w:szCs w:val="32"/>
        </w:rPr>
        <w:t xml:space="preserve">。投标人需按照本</w:t>
      </w:r>
      <w:r>
        <w:rPr>
          <w:rFonts w:hint="eastAsia" w:ascii="方正仿宋_GBK" w:hAnsi="方正仿宋_GBK" w:eastAsia="方正仿宋_GBK" w:cs="方正仿宋_GBK"/>
          <w:sz w:val="32"/>
          <w:szCs w:val="32"/>
        </w:rPr>
        <w:t xml:space="preserve">招标</w:t>
      </w:r>
      <w:r>
        <w:rPr>
          <w:rFonts w:hint="eastAsia" w:ascii="方正仿宋_GBK" w:hAnsi="方正仿宋_GBK" w:eastAsia="方正仿宋_GBK" w:cs="方正仿宋_GBK"/>
          <w:sz w:val="32"/>
          <w:szCs w:val="32"/>
        </w:rPr>
        <w:t xml:space="preserve">文件的技术参数要求，在“技术要求响应及偏离表”中如实详细填列所投产品的参数及服务承诺，表明不能响应的具体参数项，招标文件要求提供证明材料的，必须按要求提供，否则视为负偏离</w:t>
      </w:r>
      <w:r>
        <w:rPr>
          <w:rFonts w:hint="eastAsia" w:ascii="方正仿宋_GBK" w:hAnsi="方正仿宋_GBK" w:eastAsia="方正仿宋_GBK" w:cs="方正仿宋_GBK"/>
          <w:sz w:val="32"/>
          <w:szCs w:val="32"/>
        </w:rPr>
        <w:t xml:space="preserve">。</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（三）服务方案（25分）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3.1</w:t>
      </w:r>
      <w:r>
        <w:rPr>
          <w:rFonts w:hint="eastAsia" w:ascii="方正仿宋_GBK" w:hAnsi="方正仿宋_GBK" w:eastAsia="方正仿宋_GBK" w:cs="方正仿宋_GBK"/>
          <w:sz w:val="32"/>
          <w:szCs w:val="32"/>
        </w:rPr>
        <w:t xml:space="preserve">项目建设方案（5分）。评委根据投标文件对招标文件第四章“采购需求”中“项目建设方案”要求的响应情况进行评审：</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（1）投标文件未符合“项目建设方案”中全部条款要求的，视为不符合招标文件，本项得0分。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（2）投标文件符合“项目建设方案”中全部条款要求的，视为符合招标文件，本项得3分。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经评委认定，投标文件对“项目建设方案”中“项目重难点分析”、“整体架构设计”两项要求的响应内容全部优于招标文件要求的（投标文件对“项目建设方案”中除“项目重难点分析”、“整体架构设计”外其他要求响应内容符合招标文件要求），本项得5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3.2实施组织方案</w:t>
      </w:r>
      <w:r>
        <w:rPr>
          <w:rFonts w:hint="eastAsia" w:ascii="方正仿宋_GBK" w:hAnsi="方正仿宋_GBK" w:eastAsia="方正仿宋_GBK" w:cs="方正仿宋_GBK"/>
          <w:sz w:val="32"/>
          <w:szCs w:val="32"/>
        </w:rPr>
        <w:t xml:space="preserve">（5分）。评委根据投标文件对招标文件第四章“采购需求”中“</w:t>
      </w:r>
      <w:r>
        <w:rPr>
          <w:rFonts w:ascii="方正仿宋_GBK" w:hAnsi="方正仿宋_GBK" w:eastAsia="方正仿宋_GBK" w:cs="方正仿宋_GBK"/>
          <w:sz w:val="32"/>
          <w:szCs w:val="32"/>
        </w:rPr>
        <w:t xml:space="preserve">实施组织方案</w:t>
      </w:r>
      <w:r>
        <w:rPr>
          <w:rFonts w:hint="eastAsia" w:ascii="方正仿宋_GBK" w:hAnsi="方正仿宋_GBK" w:eastAsia="方正仿宋_GBK" w:cs="方正仿宋_GBK"/>
          <w:sz w:val="32"/>
          <w:szCs w:val="32"/>
        </w:rPr>
        <w:t xml:space="preserve">”要求的响应情况进行评审：</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（1）投标文件未符合“</w:t>
      </w:r>
      <w:r>
        <w:rPr>
          <w:rFonts w:ascii="方正仿宋_GBK" w:hAnsi="方正仿宋_GBK" w:eastAsia="方正仿宋_GBK" w:cs="方正仿宋_GBK"/>
          <w:sz w:val="32"/>
          <w:szCs w:val="32"/>
        </w:rPr>
        <w:t xml:space="preserve">实施组织</w:t>
      </w:r>
      <w:r>
        <w:rPr>
          <w:rFonts w:hint="eastAsia" w:ascii="方正仿宋_GBK" w:hAnsi="方正仿宋_GBK" w:eastAsia="方正仿宋_GBK" w:cs="方正仿宋_GBK"/>
          <w:sz w:val="32"/>
          <w:szCs w:val="32"/>
        </w:rPr>
        <w:t xml:space="preserve">方案”中全部条款要求的，视为不符合招标文件，本项得0分。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（2）投标文件符合“</w:t>
      </w:r>
      <w:r>
        <w:rPr>
          <w:rFonts w:ascii="方正仿宋_GBK" w:hAnsi="方正仿宋_GBK" w:eastAsia="方正仿宋_GBK" w:cs="方正仿宋_GBK"/>
          <w:sz w:val="32"/>
          <w:szCs w:val="32"/>
        </w:rPr>
        <w:t xml:space="preserve">实施组织</w:t>
      </w:r>
      <w:r>
        <w:rPr>
          <w:rFonts w:hint="eastAsia" w:ascii="方正仿宋_GBK" w:hAnsi="方正仿宋_GBK" w:eastAsia="方正仿宋_GBK" w:cs="方正仿宋_GBK"/>
          <w:sz w:val="32"/>
          <w:szCs w:val="32"/>
        </w:rPr>
        <w:t xml:space="preserve">方案”中全部条款要求的，视为符合招标文件，本项得3分。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（3）经评委认定，投标文件对“</w:t>
      </w:r>
      <w:r>
        <w:rPr>
          <w:rFonts w:ascii="方正仿宋_GBK" w:hAnsi="方正仿宋_GBK" w:eastAsia="方正仿宋_GBK" w:cs="方正仿宋_GBK"/>
          <w:sz w:val="32"/>
          <w:szCs w:val="32"/>
        </w:rPr>
        <w:t xml:space="preserve">实施组织</w:t>
      </w:r>
      <w:r>
        <w:rPr>
          <w:rFonts w:hint="eastAsia" w:ascii="方正仿宋_GBK" w:hAnsi="方正仿宋_GBK" w:eastAsia="方正仿宋_GBK" w:cs="方正仿宋_GBK"/>
          <w:sz w:val="32"/>
          <w:szCs w:val="32"/>
        </w:rPr>
        <w:t xml:space="preserve">方案”中“实施计划安排”、“团队分工明细”两项要求的响应内容全部优于招标文件要求的（投标文件对“</w:t>
      </w:r>
      <w:r>
        <w:rPr>
          <w:rFonts w:ascii="方正仿宋_GBK" w:hAnsi="方正仿宋_GBK" w:eastAsia="方正仿宋_GBK" w:cs="方正仿宋_GBK"/>
          <w:sz w:val="32"/>
          <w:szCs w:val="32"/>
        </w:rPr>
        <w:t xml:space="preserve">实施组织</w:t>
      </w:r>
      <w:r>
        <w:rPr>
          <w:rFonts w:hint="eastAsia" w:ascii="方正仿宋_GBK" w:hAnsi="方正仿宋_GBK" w:eastAsia="方正仿宋_GBK" w:cs="方正仿宋_GBK"/>
          <w:sz w:val="32"/>
          <w:szCs w:val="32"/>
        </w:rPr>
        <w:t xml:space="preserve">方案”中除“实施计划安排”、“团队分工明细”外其他要求响应内容符合招标文件要求），本项得5分</w:t>
      </w:r>
      <w:r>
        <w:rPr>
          <w:rFonts w:ascii="方正仿宋_GBK" w:hAnsi="方正仿宋_GBK" w:eastAsia="方正仿宋_GBK" w:cs="方正仿宋_GBK"/>
          <w:sz w:val="32"/>
          <w:szCs w:val="32"/>
        </w:rPr>
        <w:t xml:space="preserve">。</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3.3售后服务方案</w:t>
      </w:r>
      <w:r>
        <w:rPr>
          <w:rFonts w:hint="eastAsia" w:ascii="方正仿宋_GBK" w:hAnsi="方正仿宋_GBK" w:eastAsia="方正仿宋_GBK" w:cs="方正仿宋_GBK"/>
          <w:sz w:val="32"/>
          <w:szCs w:val="32"/>
        </w:rPr>
        <w:t xml:space="preserve">（5分）。评委根据投标文件对招标文件第四章“采购需求”中“</w:t>
      </w:r>
      <w:r>
        <w:rPr>
          <w:rFonts w:ascii="方正仿宋_GBK" w:hAnsi="方正仿宋_GBK" w:eastAsia="方正仿宋_GBK" w:cs="方正仿宋_GBK"/>
          <w:sz w:val="32"/>
          <w:szCs w:val="32"/>
        </w:rPr>
        <w:t xml:space="preserve">售后服务方案</w:t>
      </w:r>
      <w:r>
        <w:rPr>
          <w:rFonts w:hint="eastAsia" w:ascii="方正仿宋_GBK" w:hAnsi="方正仿宋_GBK" w:eastAsia="方正仿宋_GBK" w:cs="方正仿宋_GBK"/>
          <w:sz w:val="32"/>
          <w:szCs w:val="32"/>
        </w:rPr>
        <w:t xml:space="preserve">”要求的响应情况进行评审：</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（1）投标文件未符合“</w:t>
      </w:r>
      <w:r>
        <w:rPr>
          <w:rFonts w:ascii="方正仿宋_GBK" w:hAnsi="方正仿宋_GBK" w:eastAsia="方正仿宋_GBK" w:cs="方正仿宋_GBK"/>
          <w:sz w:val="32"/>
          <w:szCs w:val="32"/>
        </w:rPr>
        <w:t xml:space="preserve">售后服务</w:t>
      </w:r>
      <w:r>
        <w:rPr>
          <w:rFonts w:hint="eastAsia" w:ascii="方正仿宋_GBK" w:hAnsi="方正仿宋_GBK" w:eastAsia="方正仿宋_GBK" w:cs="方正仿宋_GBK"/>
          <w:sz w:val="32"/>
          <w:szCs w:val="32"/>
        </w:rPr>
        <w:t xml:space="preserve">方案”中全部条款要求的，视为不符合招标文件，本项得0分。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（2）投标文件符合“</w:t>
      </w:r>
      <w:r>
        <w:rPr>
          <w:rFonts w:ascii="方正仿宋_GBK" w:hAnsi="方正仿宋_GBK" w:eastAsia="方正仿宋_GBK" w:cs="方正仿宋_GBK"/>
          <w:sz w:val="32"/>
          <w:szCs w:val="32"/>
        </w:rPr>
        <w:t xml:space="preserve">售后服务</w:t>
      </w:r>
      <w:r>
        <w:rPr>
          <w:rFonts w:hint="eastAsia" w:ascii="方正仿宋_GBK" w:hAnsi="方正仿宋_GBK" w:eastAsia="方正仿宋_GBK" w:cs="方正仿宋_GBK"/>
          <w:sz w:val="32"/>
          <w:szCs w:val="32"/>
        </w:rPr>
        <w:t xml:space="preserve">方案”中全部条款要求的，视为符合招标文件，本项得3分。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（3）经评委认定，投标文件对“</w:t>
      </w:r>
      <w:r>
        <w:rPr>
          <w:rFonts w:ascii="方正仿宋_GBK" w:hAnsi="方正仿宋_GBK" w:eastAsia="方正仿宋_GBK" w:cs="方正仿宋_GBK"/>
          <w:sz w:val="32"/>
          <w:szCs w:val="32"/>
        </w:rPr>
        <w:t xml:space="preserve">售后服务</w:t>
      </w:r>
      <w:r>
        <w:rPr>
          <w:rFonts w:hint="eastAsia" w:ascii="方正仿宋_GBK" w:hAnsi="方正仿宋_GBK" w:eastAsia="方正仿宋_GBK" w:cs="方正仿宋_GBK"/>
          <w:sz w:val="32"/>
          <w:szCs w:val="32"/>
        </w:rPr>
        <w:t xml:space="preserve">方案”中“售后服务”、“售后技术支持”两项要求的响应内容全部优于招标文件要求的（投标文件对“</w:t>
      </w:r>
      <w:r>
        <w:rPr>
          <w:rFonts w:ascii="方正仿宋_GBK" w:hAnsi="方正仿宋_GBK" w:eastAsia="方正仿宋_GBK" w:cs="方正仿宋_GBK"/>
          <w:sz w:val="32"/>
          <w:szCs w:val="32"/>
        </w:rPr>
        <w:t xml:space="preserve">售后服务</w:t>
      </w:r>
      <w:r>
        <w:rPr>
          <w:rFonts w:hint="eastAsia" w:ascii="方正仿宋_GBK" w:hAnsi="方正仿宋_GBK" w:eastAsia="方正仿宋_GBK" w:cs="方正仿宋_GBK"/>
          <w:sz w:val="32"/>
          <w:szCs w:val="32"/>
        </w:rPr>
        <w:t xml:space="preserve">方案”中除“售后服务”、“售后技术支持”外其他要求响应内容符合招标文件要求），本项得5分</w:t>
      </w:r>
      <w:r>
        <w:rPr>
          <w:rFonts w:ascii="方正仿宋_GBK" w:hAnsi="方正仿宋_GBK" w:eastAsia="方正仿宋_GBK" w:cs="方正仿宋_GBK"/>
          <w:sz w:val="32"/>
          <w:szCs w:val="32"/>
        </w:rPr>
        <w:t xml:space="preserve">。</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3.4培训方案</w:t>
      </w:r>
      <w:r>
        <w:rPr>
          <w:rFonts w:hint="eastAsia" w:ascii="方正仿宋_GBK" w:hAnsi="方正仿宋_GBK" w:eastAsia="方正仿宋_GBK" w:cs="方正仿宋_GBK"/>
          <w:sz w:val="32"/>
          <w:szCs w:val="32"/>
        </w:rPr>
        <w:t xml:space="preserve">（5分）。评委根据投标文件对招标文件第四章“采购需求”中“</w:t>
      </w:r>
      <w:r>
        <w:rPr>
          <w:rFonts w:ascii="方正仿宋_GBK" w:hAnsi="方正仿宋_GBK" w:eastAsia="方正仿宋_GBK" w:cs="方正仿宋_GBK"/>
          <w:sz w:val="32"/>
          <w:szCs w:val="32"/>
        </w:rPr>
        <w:t xml:space="preserve">培训方案</w:t>
      </w:r>
      <w:r>
        <w:rPr>
          <w:rFonts w:hint="eastAsia" w:ascii="方正仿宋_GBK" w:hAnsi="方正仿宋_GBK" w:eastAsia="方正仿宋_GBK" w:cs="方正仿宋_GBK"/>
          <w:sz w:val="32"/>
          <w:szCs w:val="32"/>
        </w:rPr>
        <w:t xml:space="preserve">”要求的响应情况进行评审：</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（1）投标文件未符合“</w:t>
      </w:r>
      <w:r>
        <w:rPr>
          <w:rFonts w:ascii="方正仿宋_GBK" w:hAnsi="方正仿宋_GBK" w:eastAsia="方正仿宋_GBK" w:cs="方正仿宋_GBK"/>
          <w:sz w:val="32"/>
          <w:szCs w:val="32"/>
        </w:rPr>
        <w:t xml:space="preserve">培训方案</w:t>
      </w:r>
      <w:r>
        <w:rPr>
          <w:rFonts w:hint="eastAsia" w:ascii="方正仿宋_GBK" w:hAnsi="方正仿宋_GBK" w:eastAsia="方正仿宋_GBK" w:cs="方正仿宋_GBK"/>
          <w:sz w:val="32"/>
          <w:szCs w:val="32"/>
        </w:rPr>
        <w:t xml:space="preserve">方案”中全部条款要求的，视为不符合招标文件，本项得0分。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（2）投标文件符合“</w:t>
      </w:r>
      <w:r>
        <w:rPr>
          <w:rFonts w:ascii="方正仿宋_GBK" w:hAnsi="方正仿宋_GBK" w:eastAsia="方正仿宋_GBK" w:cs="方正仿宋_GBK"/>
          <w:sz w:val="32"/>
          <w:szCs w:val="32"/>
        </w:rPr>
        <w:t xml:space="preserve">培训</w:t>
      </w:r>
      <w:r>
        <w:rPr>
          <w:rFonts w:hint="eastAsia" w:ascii="方正仿宋_GBK" w:hAnsi="方正仿宋_GBK" w:eastAsia="方正仿宋_GBK" w:cs="方正仿宋_GBK"/>
          <w:sz w:val="32"/>
          <w:szCs w:val="32"/>
        </w:rPr>
        <w:t xml:space="preserve">方案”中全部条款要求的，视为符合招标文件，本项得3分。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（3）经评委认定，投标文件对“</w:t>
      </w:r>
      <w:r>
        <w:rPr>
          <w:rFonts w:ascii="方正仿宋_GBK" w:hAnsi="方正仿宋_GBK" w:eastAsia="方正仿宋_GBK" w:cs="方正仿宋_GBK"/>
          <w:sz w:val="32"/>
          <w:szCs w:val="32"/>
        </w:rPr>
        <w:t xml:space="preserve">培训</w:t>
      </w:r>
      <w:r>
        <w:rPr>
          <w:rFonts w:hint="eastAsia" w:ascii="方正仿宋_GBK" w:hAnsi="方正仿宋_GBK" w:eastAsia="方正仿宋_GBK" w:cs="方正仿宋_GBK"/>
          <w:sz w:val="32"/>
          <w:szCs w:val="32"/>
        </w:rPr>
        <w:t xml:space="preserve">方案”中“培训方案设计”、“培训人员”两项要求的响应内容全部优于招标文件要求的（投标文件对“</w:t>
      </w:r>
      <w:r>
        <w:rPr>
          <w:rFonts w:ascii="方正仿宋_GBK" w:hAnsi="方正仿宋_GBK" w:eastAsia="方正仿宋_GBK" w:cs="方正仿宋_GBK"/>
          <w:sz w:val="32"/>
          <w:szCs w:val="32"/>
        </w:rPr>
        <w:t xml:space="preserve">培训</w:t>
      </w:r>
      <w:r>
        <w:rPr>
          <w:rFonts w:hint="eastAsia" w:ascii="方正仿宋_GBK" w:hAnsi="方正仿宋_GBK" w:eastAsia="方正仿宋_GBK" w:cs="方正仿宋_GBK"/>
          <w:sz w:val="32"/>
          <w:szCs w:val="32"/>
        </w:rPr>
        <w:t xml:space="preserve">方案”中除“培训方案设计”、“培训人员”外其他要求响应内容符合招标文件要求），本项得5分</w:t>
      </w:r>
      <w:r>
        <w:rPr>
          <w:rFonts w:ascii="方正仿宋_GBK" w:hAnsi="方正仿宋_GBK" w:eastAsia="方正仿宋_GBK" w:cs="方正仿宋_GBK"/>
          <w:sz w:val="32"/>
          <w:szCs w:val="32"/>
        </w:rPr>
        <w:t xml:space="preserve">。</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3.5重大活动保障方案</w:t>
      </w:r>
      <w:r>
        <w:rPr>
          <w:rFonts w:hint="eastAsia" w:ascii="方正仿宋_GBK" w:hAnsi="方正仿宋_GBK" w:eastAsia="方正仿宋_GBK" w:cs="方正仿宋_GBK"/>
          <w:sz w:val="32"/>
          <w:szCs w:val="32"/>
        </w:rPr>
        <w:t xml:space="preserve">（5分）。评委根据投标文件对招标文件第四章“采购需求”中“</w:t>
      </w:r>
      <w:r>
        <w:rPr>
          <w:rFonts w:ascii="方正仿宋_GBK" w:hAnsi="方正仿宋_GBK" w:eastAsia="方正仿宋_GBK" w:cs="方正仿宋_GBK"/>
          <w:sz w:val="32"/>
          <w:szCs w:val="32"/>
        </w:rPr>
        <w:t xml:space="preserve">重大活动保障方案</w:t>
      </w:r>
      <w:r>
        <w:rPr>
          <w:rFonts w:hint="eastAsia" w:ascii="方正仿宋_GBK" w:hAnsi="方正仿宋_GBK" w:eastAsia="方正仿宋_GBK" w:cs="方正仿宋_GBK"/>
          <w:sz w:val="32"/>
          <w:szCs w:val="32"/>
        </w:rPr>
        <w:t xml:space="preserve">”要求的响应情况进行评审：</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（1）投标文件未符合“</w:t>
      </w:r>
      <w:r>
        <w:rPr>
          <w:rFonts w:ascii="方正仿宋_GBK" w:hAnsi="方正仿宋_GBK" w:eastAsia="方正仿宋_GBK" w:cs="方正仿宋_GBK"/>
          <w:sz w:val="32"/>
          <w:szCs w:val="32"/>
        </w:rPr>
        <w:t xml:space="preserve">重大活动保障</w:t>
      </w:r>
      <w:r>
        <w:rPr>
          <w:rFonts w:hint="eastAsia" w:ascii="方正仿宋_GBK" w:hAnsi="方正仿宋_GBK" w:eastAsia="方正仿宋_GBK" w:cs="方正仿宋_GBK"/>
          <w:sz w:val="32"/>
          <w:szCs w:val="32"/>
        </w:rPr>
        <w:t xml:space="preserve">方案”中全部条款要求的，视为不符合招标文件，本项得0分。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（2）投标文件符合“</w:t>
      </w:r>
      <w:r>
        <w:rPr>
          <w:rFonts w:ascii="方正仿宋_GBK" w:hAnsi="方正仿宋_GBK" w:eastAsia="方正仿宋_GBK" w:cs="方正仿宋_GBK"/>
          <w:sz w:val="32"/>
          <w:szCs w:val="32"/>
        </w:rPr>
        <w:t xml:space="preserve">重大活动保障</w:t>
      </w:r>
      <w:r>
        <w:rPr>
          <w:rFonts w:hint="eastAsia" w:ascii="方正仿宋_GBK" w:hAnsi="方正仿宋_GBK" w:eastAsia="方正仿宋_GBK" w:cs="方正仿宋_GBK"/>
          <w:sz w:val="32"/>
          <w:szCs w:val="32"/>
        </w:rPr>
        <w:t xml:space="preserve">方案”中全部条款要求的，视为符合招标文件，本项得3分。</w:t>
      </w:r>
      <w:r/>
    </w:p>
    <w:p>
      <w:pPr>
        <w:pStyle w:val="992"/>
        <w:ind w:firstLine="640"/>
        <w:jc w:val="both"/>
        <w:spacing w:before="0" w:beforeAutospacing="0" w:after="0" w:afterAutospacing="0" w:line="560" w:lineRule="exact"/>
        <w:widowControl w:val="off"/>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（3）经评委认定，投标文件对“</w:t>
      </w:r>
      <w:r>
        <w:rPr>
          <w:rFonts w:ascii="方正仿宋_GBK" w:hAnsi="方正仿宋_GBK" w:eastAsia="方正仿宋_GBK" w:cs="方正仿宋_GBK"/>
          <w:sz w:val="32"/>
          <w:szCs w:val="32"/>
        </w:rPr>
        <w:t xml:space="preserve">重大活动保障</w:t>
      </w:r>
      <w:r>
        <w:rPr>
          <w:rFonts w:hint="eastAsia" w:ascii="方正仿宋_GBK" w:hAnsi="方正仿宋_GBK" w:eastAsia="方正仿宋_GBK" w:cs="方正仿宋_GBK"/>
          <w:sz w:val="32"/>
          <w:szCs w:val="32"/>
        </w:rPr>
        <w:t xml:space="preserve">方案”中“保障响应小组”、“保障响应能力”两项要求的响应内容全部优于招标文件要求的（投标文件对“</w:t>
      </w:r>
      <w:r>
        <w:rPr>
          <w:rFonts w:ascii="方正仿宋_GBK" w:hAnsi="方正仿宋_GBK" w:eastAsia="方正仿宋_GBK" w:cs="方正仿宋_GBK"/>
          <w:sz w:val="32"/>
          <w:szCs w:val="32"/>
        </w:rPr>
        <w:t xml:space="preserve">重大活动保障</w:t>
      </w:r>
      <w:r>
        <w:rPr>
          <w:rFonts w:hint="eastAsia" w:ascii="方正仿宋_GBK" w:hAnsi="方正仿宋_GBK" w:eastAsia="方正仿宋_GBK" w:cs="方正仿宋_GBK"/>
          <w:sz w:val="32"/>
          <w:szCs w:val="32"/>
        </w:rPr>
        <w:t xml:space="preserve">方案”中除</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t xml:space="preserve">保障响应小组”、“保障响应能力”外其他要求响应内容符合招标文件要求），本项得5分</w:t>
      </w:r>
      <w:r>
        <w:rPr>
          <w:rFonts w:ascii="方正仿宋_GBK" w:hAnsi="方正仿宋_GBK" w:eastAsia="方正仿宋_GBK" w:cs="方正仿宋_GBK"/>
          <w:sz w:val="32"/>
          <w:szCs w:val="32"/>
        </w:rPr>
        <w:t xml:space="preserve">。</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（四）成功案例（10分）</w:t>
      </w:r>
      <w:r/>
    </w:p>
    <w:p>
      <w:pPr>
        <w:pStyle w:val="992"/>
        <w:ind w:firstLine="640"/>
        <w:jc w:val="both"/>
        <w:spacing w:before="0" w:beforeAutospacing="0" w:after="0" w:afterAutospacing="0"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4.1投标人提供以下项目案例：投标人提供202</w:t>
      </w:r>
      <w:r>
        <w:rPr>
          <w:rFonts w:hint="eastAsia" w:ascii="方正仿宋_GBK" w:hAnsi="方正仿宋_GBK" w:eastAsia="方正仿宋_GBK" w:cs="方正仿宋_GBK"/>
          <w:sz w:val="32"/>
          <w:szCs w:val="32"/>
        </w:rPr>
        <w:t xml:space="preserve">3</w:t>
      </w:r>
      <w:r>
        <w:rPr>
          <w:rFonts w:ascii="方正仿宋_GBK" w:hAnsi="方正仿宋_GBK" w:eastAsia="方正仿宋_GBK" w:cs="方正仿宋_GBK"/>
          <w:sz w:val="32"/>
          <w:szCs w:val="32"/>
        </w:rPr>
        <w:t xml:space="preserve">年1月1日（以合同签订日期为准）以来与本项目类似案例</w:t>
      </w:r>
      <w:r>
        <w:rPr>
          <w:rFonts w:hint="eastAsia" w:ascii="方正仿宋_GBK" w:hAnsi="方正仿宋_GBK" w:eastAsia="方正仿宋_GBK" w:cs="方正仿宋_GBK"/>
          <w:color w:val="000000"/>
          <w:sz w:val="32"/>
          <w:szCs w:val="32"/>
          <w:u w:val="none"/>
        </w:rPr>
        <w:t xml:space="preserve">（</w:t>
      </w:r>
      <w:r>
        <w:rPr>
          <w:rFonts w:hint="eastAsia" w:ascii="方正仿宋_GBK" w:hAnsi="方正仿宋_GBK" w:eastAsia="方正仿宋_GBK" w:cs="方正仿宋_GBK"/>
          <w:color w:val="000000"/>
          <w:sz w:val="32"/>
          <w:szCs w:val="32"/>
        </w:rPr>
        <w:t xml:space="preserve">须同时包含LED屏和音响设备）</w:t>
      </w:r>
      <w:r>
        <w:rPr>
          <w:rFonts w:ascii="方正仿宋_GBK" w:hAnsi="方正仿宋_GBK" w:eastAsia="方正仿宋_GBK" w:cs="方正仿宋_GBK"/>
          <w:sz w:val="32"/>
          <w:szCs w:val="32"/>
        </w:rPr>
        <w:t xml:space="preserve">，有1个得</w:t>
      </w:r>
      <w:r>
        <w:rPr>
          <w:rFonts w:hint="eastAsia" w:ascii="方正仿宋_GBK" w:hAnsi="方正仿宋_GBK" w:eastAsia="方正仿宋_GBK" w:cs="方正仿宋_GBK"/>
          <w:sz w:val="32"/>
          <w:szCs w:val="32"/>
        </w:rPr>
        <w:t xml:space="preserve">2</w:t>
      </w:r>
      <w:r>
        <w:rPr>
          <w:rFonts w:ascii="方正仿宋_GBK" w:hAnsi="方正仿宋_GBK" w:eastAsia="方正仿宋_GBK" w:cs="方正仿宋_GBK"/>
          <w:sz w:val="32"/>
          <w:szCs w:val="32"/>
        </w:rPr>
        <w:t xml:space="preserve">分，最多得</w:t>
      </w:r>
      <w:r>
        <w:rPr>
          <w:rFonts w:hint="eastAsia" w:ascii="方正仿宋_GBK" w:hAnsi="方正仿宋_GBK" w:eastAsia="方正仿宋_GBK" w:cs="方正仿宋_GBK"/>
          <w:sz w:val="32"/>
          <w:szCs w:val="32"/>
        </w:rPr>
        <w:t xml:space="preserve">10</w:t>
      </w:r>
      <w:r>
        <w:rPr>
          <w:rFonts w:ascii="方正仿宋_GBK" w:hAnsi="方正仿宋_GBK" w:eastAsia="方正仿宋_GBK" w:cs="方正仿宋_GBK"/>
          <w:sz w:val="32"/>
          <w:szCs w:val="32"/>
        </w:rPr>
        <w:t xml:space="preserve">分，须提供合同</w:t>
      </w:r>
      <w:r>
        <w:rPr>
          <w:rFonts w:hint="eastAsia" w:ascii="方正仿宋_GBK" w:hAnsi="方正仿宋_GBK" w:eastAsia="方正仿宋_GBK" w:cs="方正仿宋_GBK"/>
          <w:sz w:val="32"/>
          <w:szCs w:val="32"/>
        </w:rPr>
        <w:t xml:space="preserve">复印件或</w:t>
      </w:r>
      <w:r>
        <w:rPr>
          <w:rFonts w:ascii="方正仿宋_GBK" w:hAnsi="方正仿宋_GBK" w:eastAsia="方正仿宋_GBK" w:cs="方正仿宋_GBK"/>
          <w:sz w:val="32"/>
          <w:szCs w:val="32"/>
        </w:rPr>
        <w:t xml:space="preserve">扫描件并加盖投标人</w:t>
      </w:r>
      <w:r>
        <w:rPr>
          <w:rFonts w:hint="eastAsia" w:ascii="方正仿宋_GBK" w:hAnsi="方正仿宋_GBK" w:eastAsia="方正仿宋_GBK" w:cs="方正仿宋_GBK"/>
          <w:sz w:val="32"/>
          <w:szCs w:val="32"/>
        </w:rPr>
        <w:t xml:space="preserve">公</w:t>
      </w:r>
      <w:r>
        <w:rPr>
          <w:rFonts w:ascii="方正仿宋_GBK" w:hAnsi="方正仿宋_GBK" w:eastAsia="方正仿宋_GBK" w:cs="方正仿宋_GBK"/>
          <w:sz w:val="32"/>
          <w:szCs w:val="32"/>
        </w:rPr>
        <w:t xml:space="preserve">章。</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（五）节能环保（2分）</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5.1投标产品属于财政部、国家发改委公布的“节能产品品目清单”范围内的，投标人提供国家确定的认证机构出具的、处于有效期之内的该节能产品认证证书复印件的，有1个得0.5分，最多得1分。</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5.2 投标产品属于财政部、生态环境部公布的“环境标志产品品目清单”范围内的，投标人提供国家确定的认证机构出具的、处于有效期内的该投标产品环境标志产品认证证书复印件的，有1个得0.5分，最多得1分。</w:t>
      </w:r>
      <w:r/>
    </w:p>
    <w:p>
      <w:r/>
      <w:r/>
    </w:p>
    <w:p>
      <w:pPr>
        <w:jc w:val="center"/>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b/>
          <w:bCs/>
          <w:sz w:val="32"/>
          <w:szCs w:val="32"/>
        </w:rPr>
        <w:t xml:space="preserve">第六章  投标</w:t>
      </w:r>
      <w:bookmarkEnd w:id="183"/>
      <w:r/>
      <w:bookmarkEnd w:id="184"/>
      <w:r/>
      <w:bookmarkEnd w:id="212"/>
      <w:r>
        <w:rPr>
          <w:rFonts w:hint="eastAsia" w:ascii="黑体" w:hAnsi="黑体" w:eastAsia="黑体"/>
          <w:b/>
          <w:bCs/>
          <w:sz w:val="32"/>
          <w:szCs w:val="32"/>
        </w:rPr>
        <w:t xml:space="preserve">文件格式</w:t>
      </w:r>
      <w:r/>
    </w:p>
    <w:p>
      <w:pPr>
        <w:jc w:val="center"/>
        <w:rPr>
          <w:rFonts w:ascii="宋体" w:hAnsi="宋体"/>
          <w:b/>
          <w:color w:val="000000"/>
          <w:sz w:val="72"/>
          <w:szCs w:val="21"/>
        </w:rPr>
      </w:pPr>
      <w:r/>
      <w:bookmarkStart w:id="214" w:name="_Hlt26671244"/>
      <w:r/>
      <w:bookmarkStart w:id="215" w:name="_Hlt26955039"/>
      <w:r/>
      <w:bookmarkStart w:id="216" w:name="_Toc26554094"/>
      <w:r/>
      <w:bookmarkStart w:id="217" w:name="_Toc49090576"/>
      <w:r/>
      <w:bookmarkStart w:id="218" w:name="_Toc120614282"/>
      <w:r/>
      <w:bookmarkEnd w:id="214"/>
      <w:r/>
      <w:bookmarkEnd w:id="215"/>
      <w:r/>
      <w:r/>
    </w:p>
    <w:p>
      <w:pPr>
        <w:jc w:val="center"/>
        <w:spacing w:line="660" w:lineRule="exact"/>
        <w:rPr>
          <w:rFonts w:ascii="方正小标宋_GBK" w:hAnsi="方正小标宋_GBK" w:eastAsia="方正小标宋_GBK" w:cs="方正小标宋_GBK"/>
          <w:bCs/>
          <w:color w:val="000000"/>
          <w:sz w:val="44"/>
          <w:szCs w:val="44"/>
        </w:rPr>
      </w:pPr>
      <w:r>
        <w:rPr>
          <w:rFonts w:hint="eastAsia" w:ascii="方正小标宋_GBK" w:hAnsi="方正小标宋_GBK" w:eastAsia="方正小标宋_GBK" w:cs="方正小标宋_GBK"/>
          <w:bCs/>
          <w:color w:val="000000"/>
          <w:sz w:val="44"/>
          <w:szCs w:val="44"/>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960"/>
        <w:spacing w:line="660" w:lineRule="exact"/>
        <w:rPr>
          <w:rFonts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项 目 名 称：</w:t>
      </w:r>
      <w:r>
        <w:rPr>
          <w:rFonts w:hint="eastAsia" w:ascii="方正黑体_GBK" w:hAnsi="方正黑体_GBK" w:eastAsia="方正黑体_GBK" w:cs="方正黑体_GBK"/>
          <w:bCs/>
          <w:color w:val="000000"/>
          <w:sz w:val="32"/>
          <w:szCs w:val="32"/>
          <w:u w:val="single"/>
        </w:rPr>
        <w:t xml:space="preserve">               </w:t>
      </w:r>
      <w:r/>
    </w:p>
    <w:p>
      <w:pPr>
        <w:ind w:firstLine="960"/>
        <w:spacing w:line="660" w:lineRule="exact"/>
        <w:rPr>
          <w:rFonts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采 购 编 号：</w:t>
      </w:r>
      <w:r>
        <w:rPr>
          <w:rFonts w:hint="eastAsia" w:ascii="方正黑体_GBK" w:hAnsi="方正黑体_GBK" w:eastAsia="方正黑体_GBK" w:cs="方正黑体_GBK"/>
          <w:bCs/>
          <w:color w:val="000000"/>
          <w:sz w:val="32"/>
          <w:szCs w:val="32"/>
          <w:u w:val="single"/>
        </w:rPr>
        <w:t xml:space="preserve">               </w:t>
      </w:r>
      <w:r/>
    </w:p>
    <w:p>
      <w:pPr>
        <w:spacing w:line="660" w:lineRule="exact"/>
        <w:rPr>
          <w:rFonts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      投标人名称 ：</w:t>
      </w:r>
      <w:r>
        <w:rPr>
          <w:rFonts w:hint="eastAsia" w:ascii="方正黑体_GBK" w:hAnsi="方正黑体_GBK" w:eastAsia="方正黑体_GBK" w:cs="方正黑体_GBK"/>
          <w:bCs/>
          <w:color w:val="000000"/>
          <w:sz w:val="32"/>
          <w:szCs w:val="32"/>
          <w:u w:val="single"/>
        </w:rPr>
        <w:t xml:space="preserve">（加盖CA电子公章）</w:t>
      </w:r>
      <w:r/>
    </w:p>
    <w:p>
      <w:pPr>
        <w:spacing w:line="660" w:lineRule="exact"/>
        <w:rPr>
          <w:rFonts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      日      期 ：</w:t>
      </w:r>
      <w:r>
        <w:rPr>
          <w:rFonts w:hint="eastAsia" w:ascii="方正黑体_GBK" w:hAnsi="方正黑体_GBK" w:eastAsia="方正黑体_GBK" w:cs="方正黑体_GBK"/>
          <w:bCs/>
          <w:color w:val="000000"/>
          <w:sz w:val="32"/>
          <w:szCs w:val="32"/>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br w:type="page" w:clear="all"/>
        <w:t xml:space="preserve">投标文件的组成</w:t>
      </w:r>
      <w:r/>
    </w:p>
    <w:p>
      <w:pPr>
        <w:jc w:val="center"/>
        <w:spacing w:line="440" w:lineRule="exact"/>
        <w:rPr>
          <w:rFonts w:ascii="宋体" w:hAnsi="宋体"/>
          <w:b/>
          <w:bCs/>
          <w:sz w:val="32"/>
          <w:szCs w:val="32"/>
        </w:rPr>
      </w:pPr>
      <w:r>
        <w:rPr>
          <w:rFonts w:ascii="宋体" w:hAnsi="宋体"/>
          <w:b/>
          <w:bCs/>
          <w:sz w:val="32"/>
          <w:szCs w:val="32"/>
        </w:rPr>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1.开标一览表（格式见附件1）</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2.投标分项报价表（格式见附件2）</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3.技术要求响应及偏离表（格式见附件3）</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4.商务要求响应及偏离表（格式见附件4）</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1.法人或者其他组织的营业执照等证明文件，自然人的身份证明</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2.上一年度的财务状况报告（投标人成立不满一年无需提供）</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4.具备履行合同所必需的设备和专业技术能力的书面声明（格式见附件5）</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5.参加政府采购活动前 3 年内在经营活动中没有重大违法记录的书面声明（格式见附件6）</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6.特定资格要求的证明文件（如果本项目对投标人做出特定资格要求的，必须提供）</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7.在“信用中国”网站</w:t>
      </w:r>
      <w:r>
        <w:rPr>
          <w:rFonts w:eastAsia="方正仿宋_GBK"/>
          <w:color w:val="000000"/>
          <w:sz w:val="32"/>
          <w:szCs w:val="32"/>
        </w:rPr>
        <w:t xml:space="preserve">（</w:t>
      </w:r>
      <w:r>
        <w:rPr>
          <w:rFonts w:eastAsia="方正仿宋_GBK"/>
          <w:sz w:val="32"/>
          <w:szCs w:val="32"/>
        </w:rPr>
        <w:t xml:space="preserve">www.creditchina.gov.cn</w:t>
      </w:r>
      <w:r>
        <w:rPr>
          <w:rFonts w:eastAsia="方正仿宋_GBK"/>
          <w:color w:val="000000"/>
          <w:sz w:val="32"/>
          <w:szCs w:val="32"/>
        </w:rPr>
        <w:t xml:space="preserve">）</w:t>
      </w:r>
      <w:r>
        <w:rPr>
          <w:rFonts w:hint="eastAsia" w:ascii="方正仿宋_GBK" w:hAnsi="方正仿宋_GBK" w:eastAsia="方正仿宋_GBK" w:cs="方正仿宋_GBK"/>
          <w:color w:val="000000"/>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8.法人授权书（格式见附件7）</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9.投标函（格式见附件8）</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总备注：上述“资格审查内容”中1-5条、8、9条投标人必须在投标文件中提供相关材料，否则作无效投标处理。</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的实质性要求逐条做出响应，并按照招标文件要求提供证明材料，否则作无效投标处理。（格式见附件11）</w:t>
      </w:r>
      <w:r/>
    </w:p>
    <w:p>
      <w:pPr>
        <w:ind w:firstLine="640"/>
        <w:jc w:val="left"/>
        <w:spacing w:line="5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1.中小微企业声明函（格式见附件9）</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3.关于符合本国产品标准的声明函（格式见附件12）</w:t>
      </w:r>
      <w:r/>
    </w:p>
    <w:p>
      <w:pPr>
        <w:ind w:firstLine="480"/>
        <w:spacing w:line="400" w:lineRule="exact"/>
        <w:rPr>
          <w:rFonts w:ascii="宋体" w:hAnsi="宋体"/>
          <w:sz w:val="24"/>
          <w:szCs w:val="21"/>
        </w:rPr>
      </w:pPr>
      <w:r>
        <w:rPr>
          <w:rFonts w:ascii="宋体" w:hAnsi="宋体"/>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rPr>
          <w:rFonts w:ascii="宋体" w:hAnsi="宋体"/>
          <w:b/>
          <w:sz w:val="24"/>
          <w:szCs w:val="21"/>
        </w:rPr>
      </w:pPr>
      <w:r>
        <w:rPr>
          <w:rFonts w:ascii="宋体" w:hAnsi="宋体"/>
          <w:b/>
          <w:sz w:val="24"/>
          <w:szCs w:val="21"/>
        </w:rPr>
      </w:r>
      <w:r/>
    </w:p>
    <w:p>
      <w:pPr>
        <w:jc w:val="left"/>
        <w:widowControl/>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br w:type="page" w:clear="all"/>
      </w:r>
      <w:r/>
    </w:p>
    <w:p>
      <w:pP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 开标一览表</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XXXX</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JSZC-320000-SCZX-G20XX-XXXX  </w:t>
      </w:r>
      <w:r>
        <w:rPr>
          <w:rFonts w:hint="eastAsia" w:ascii="方正仿宋_GBK" w:hAnsi="方正仿宋_GBK" w:eastAsia="方正仿宋_GBK" w:cs="方正仿宋_GBK"/>
          <w:sz w:val="32"/>
          <w:szCs w:val="32"/>
        </w:rPr>
        <w:t xml:space="preserve">                                 </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sz w:val="32"/>
          <w:szCs w:val="32"/>
        </w:rPr>
        <w:t xml:space="preserve">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小写：                             （人民币：元）</w:t>
            </w:r>
            <w:r/>
          </w:p>
        </w:tc>
      </w:tr>
      <w:tr>
        <w:trPr>
          <w:cantSplit/>
          <w:trHeight w:val="505"/>
        </w:trPr>
        <w:tc>
          <w:tcPr>
            <w:tcW w:w="2481" w:type="dxa"/>
            <w:vAlign w:val="center"/>
            <w:textDirection w:val="lrTb"/>
            <w:noWrap w:val="false"/>
          </w:tcPr>
          <w:p>
            <w:pPr>
              <w:jc w:val="center"/>
              <w:spacing w:line="300" w:lineRule="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核心产品品牌</w:t>
            </w:r>
            <w:r/>
          </w:p>
        </w:tc>
        <w:tc>
          <w:tcPr>
            <w:tcW w:w="6405" w:type="dxa"/>
            <w:vAlign w:val="center"/>
            <w:textDirection w:val="lrTb"/>
            <w:noWrap w:val="false"/>
          </w:tcPr>
          <w:p>
            <w:pPr>
              <w:jc w:val="left"/>
              <w:spacing w:line="50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tc>
      </w:tr>
    </w:tbl>
    <w:p>
      <w:pPr>
        <w:rPr>
          <w:rFonts w:ascii="宋体" w:hAnsi="宋体"/>
          <w:sz w:val="24"/>
          <w:szCs w:val="24"/>
        </w:rPr>
      </w:pPr>
      <w:r>
        <w:rPr>
          <w:rFonts w:ascii="宋体" w:hAnsi="宋体"/>
          <w:sz w:val="24"/>
          <w:szCs w:val="24"/>
        </w:rPr>
      </w:r>
      <w:r/>
    </w:p>
    <w:p>
      <w:pPr>
        <w:ind w:firstLine="640"/>
        <w:spacing w:line="560" w:lineRule="exact"/>
        <w:rPr>
          <w:rFonts w:ascii="方正黑体_GBK" w:hAnsi="方正黑体_GBK" w:eastAsia="方正黑体_GBK" w:cs="方正黑体_GBK"/>
          <w:b/>
          <w:sz w:val="32"/>
          <w:szCs w:val="32"/>
        </w:rPr>
      </w:pPr>
      <w:r>
        <w:rPr>
          <w:rFonts w:ascii="方正黑体_GBK" w:hAnsi="方正黑体_GBK" w:eastAsia="方正黑体_GBK" w:cs="方正黑体_GBK"/>
          <w:b/>
          <w:sz w:val="32"/>
          <w:szCs w:val="32"/>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投标分项报价表（采购包号：XX）</w:t>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jc w:val="center"/>
              <w:spacing w:line="0" w:lineRule="atLeas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992"/>
              <w:spacing w:before="0" w:beforeAutospacing="0" w:after="0" w:afterAutospacing="0"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4.投标人需认真填写本报价表，尤其注意规格型号的准确填写。</w:t>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附件3-1  证明材料1，证明材料2，……</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jc w:val="center"/>
        <w:spacing w:line="660" w:lineRule="exact"/>
        <w:rPr>
          <w:rFonts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附件4 商务要求响应及偏离表（采购包号：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560" w:lineRule="exact"/>
        <w:rPr>
          <w:rFonts w:ascii="宋体" w:hAnsi="宋体"/>
          <w:sz w:val="24"/>
          <w:szCs w:val="24"/>
        </w:rPr>
      </w:pPr>
      <w:r>
        <w:rPr>
          <w:rFonts w:hint="eastAsia" w:ascii="方正仿宋_GBK" w:hAnsi="方正仿宋_GBK" w:eastAsia="方正仿宋_GBK" w:cs="方正仿宋_GBK"/>
          <w:sz w:val="32"/>
          <w:szCs w:val="32"/>
        </w:rPr>
        <w:t xml:space="preserve">附件4-1  证明材料1，证明材料2，……</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rPr>
          <w:rFonts w:ascii="宋体" w:hAnsi="宋体"/>
          <w:b/>
          <w:color w:val="000000"/>
          <w:sz w:val="24"/>
          <w:szCs w:val="21"/>
        </w:rPr>
      </w:pPr>
      <w:r>
        <w:rPr>
          <w:rFonts w:ascii="宋体" w:hAnsi="宋体"/>
          <w:b/>
          <w:color w:val="000000"/>
          <w:sz w:val="24"/>
          <w:szCs w:val="21"/>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bookmarkStart w:id="219" w:name="_GoBack"/>
      <w:r/>
      <w:bookmarkEnd w:id="219"/>
      <w:r/>
      <w:r/>
    </w:p>
    <w:p>
      <w:pPr>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bookmarkStart w:id="220" w:name="_Toc120614284"/>
      <w:r/>
      <w:bookmarkEnd w:id="216"/>
      <w:r/>
      <w:bookmarkEnd w:id="217"/>
      <w:r/>
      <w:bookmarkEnd w:id="218"/>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法人授权书</w:t>
      </w:r>
      <w:r/>
    </w:p>
    <w:p>
      <w:pPr>
        <w:ind w:firstLine="640"/>
        <w:spacing w:line="560" w:lineRule="exact"/>
        <w:tabs>
          <w:tab w:val="left" w:pos="360"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（投标人名称）授权</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color w:val="000000"/>
          <w:sz w:val="32"/>
          <w:szCs w:val="32"/>
        </w:rPr>
        <w:t xml:space="preserve">，</w:t>
      </w:r>
      <w:r>
        <w:rPr>
          <w:rFonts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ind w:firstLine="640"/>
        <w:spacing w:line="560" w:lineRule="exact"/>
        <w:tabs>
          <w:tab w:val="left" w:pos="360"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年</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月</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日起生效，特此声明。</w:t>
      </w:r>
      <w:r/>
    </w:p>
    <w:p>
      <w:pPr>
        <w:ind w:firstLine="640"/>
        <w:spacing w:line="560" w:lineRule="exact"/>
        <w:tabs>
          <w:tab w:val="left" w:pos="360" w:leader="none"/>
        </w:tabs>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p>
    <w:p>
      <w:pPr>
        <w:ind w:firstLine="640"/>
        <w:spacing w:line="560" w:lineRule="exact"/>
        <w:tabs>
          <w:tab w:val="left" w:pos="360" w:leader="none"/>
        </w:tabs>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被授权人联系电话：（手机）</w:t>
      </w:r>
      <w:r>
        <w:rPr>
          <w:rFonts w:hint="eastAsia" w:ascii="方正仿宋_GBK" w:hAnsi="方正仿宋_GBK" w:eastAsia="方正仿宋_GBK" w:cs="方正仿宋_GBK"/>
          <w:color w:val="000000"/>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ind w:firstLine="640"/>
        <w:spacing w:line="560" w:lineRule="exact"/>
        <w:tabs>
          <w:tab w:val="left" w:pos="360"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授权单位名称：</w:t>
      </w:r>
      <w:r>
        <w:rPr>
          <w:rFonts w:hint="eastAsia" w:ascii="方正仿宋_GBK" w:hAnsi="方正仿宋_GBK" w:eastAsia="方正仿宋_GBK" w:cs="方正仿宋_GBK"/>
          <w:color w:val="000000"/>
          <w:sz w:val="32"/>
          <w:szCs w:val="32"/>
          <w:u w:val="single"/>
        </w:rPr>
        <w:t xml:space="preserve">（加盖CA电子公章） </w:t>
      </w:r>
      <w:r/>
    </w:p>
    <w:p>
      <w:pPr>
        <w:ind w:firstLine="640"/>
        <w:spacing w:line="560" w:lineRule="exact"/>
        <w:tabs>
          <w:tab w:val="left" w:pos="360" w:leader="none"/>
        </w:tabs>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单位地址：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p>
    <w:p>
      <w:pPr>
        <w:ind w:firstLine="640"/>
        <w:spacing w:line="560" w:lineRule="exact"/>
        <w:tabs>
          <w:tab w:val="left" w:pos="360" w:leader="none"/>
        </w:tabs>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    期：</w:t>
      </w:r>
      <w:bookmarkStart w:id="221" w:name="_格式3__银行出具的资信证明"/>
      <w:r/>
      <w:bookmarkStart w:id="222" w:name="_Hlt26671380"/>
      <w:r/>
      <w:bookmarkStart w:id="223" w:name="_Hlt26955070"/>
      <w:r/>
      <w:bookmarkEnd w:id="221"/>
      <w:r/>
      <w:bookmarkEnd w:id="222"/>
      <w:r/>
      <w:bookmarkEnd w:id="223"/>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p>
    <w:p>
      <w:pPr>
        <w:spacing w:line="660" w:lineRule="exact"/>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Cs/>
          <w:sz w:val="32"/>
          <w:szCs w:val="32"/>
        </w:rPr>
        <w:t xml:space="preserve">附件8                    投标函</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w:t>
      </w:r>
      <w:r>
        <w:rPr>
          <w:rFonts w:hint="eastAsia" w:ascii="方正仿宋_GBK" w:hAnsi="方正仿宋_GBK" w:eastAsia="方正仿宋_GBK" w:cs="方正仿宋_GBK"/>
          <w:color w:val="000000"/>
          <w:sz w:val="32"/>
          <w:szCs w:val="32"/>
        </w:rPr>
        <w:t xml:space="preserve">的招标文件，正式授权下述签字人</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(姓名)代表我方</w:t>
      </w:r>
      <w:r>
        <w:rPr>
          <w:rFonts w:eastAsia="方正仿宋_GBK"/>
          <w:sz w:val="32"/>
          <w:szCs w:val="32"/>
          <w:u w:val="single"/>
        </w:rPr>
        <w:t xml:space="preserve">XX</w:t>
      </w:r>
      <w:r>
        <w:rPr>
          <w:rFonts w:hint="eastAsia" w:ascii="方正仿宋_GBK" w:hAnsi="方正仿宋_GBK" w:eastAsia="方正仿宋_GBK" w:cs="方正仿宋_GBK"/>
          <w:color w:val="000000"/>
          <w:sz w:val="32"/>
          <w:szCs w:val="32"/>
        </w:rPr>
        <w:t xml:space="preserve">（投标人的名称），全权处理本次项目投标的有关事宜。</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据此函，</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签字人兹宣布同意如下：</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1.按招标文件规定的各项要求，向买方提供所需货物（包含与货物相关的服务）。</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2.我们完全理解贵方不一定将合同授予最低报价的投标人。</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3.我们已详细审核全部招标文件及其有效补充文件。</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4.我们同意从规定的开标日期起遵循本投标文件，并在规定的投标有效期期满之前均具有约束力。</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5.同意向贵方提供贵方可能另外要求的与投标有关的任何证据或资料，并保证我方已提供和将要提供的文件是真实的、准确的。</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6.一旦我方中标,我方将根据招标文件的规定，严格履行合同的责任和义务,并保证在招标文件规定的时间内完成项目，交付买方验收、使用。</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7.与本投标有关的正式通讯地址为：</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邮          编：</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电          话：</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传          真：</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投标人开户行：</w:t>
      </w:r>
      <w:r/>
    </w:p>
    <w:p>
      <w:pPr>
        <w:ind w:firstLine="640"/>
        <w:jc w:val="left"/>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账          号： </w:t>
      </w:r>
      <w:r/>
    </w:p>
    <w:p>
      <w:pPr>
        <w:ind w:left="420" w:firstLine="480"/>
        <w:jc w:val="left"/>
        <w:spacing w:line="420" w:lineRule="exact"/>
        <w:rPr>
          <w:rFonts w:ascii="宋体" w:hAnsi="宋体"/>
          <w:sz w:val="24"/>
          <w:szCs w:val="21"/>
        </w:rPr>
      </w:pPr>
      <w:r>
        <w:rPr>
          <w:rFonts w:ascii="宋体" w:hAnsi="宋体"/>
          <w:sz w:val="24"/>
          <w:szCs w:val="21"/>
        </w:rPr>
      </w:r>
      <w:r/>
    </w:p>
    <w:p>
      <w:pPr>
        <w:ind w:left="3830"/>
        <w:jc w:val="left"/>
        <w:spacing w:line="560" w:lineRule="exact"/>
        <w:rPr>
          <w:rFonts w:ascii="宋体" w:hAnsi="宋体"/>
          <w:color w:val="000000"/>
          <w:sz w:val="32"/>
          <w:szCs w:val="32"/>
        </w:rPr>
      </w:pPr>
      <w:r>
        <w:rPr>
          <w:rFonts w:hint="eastAsia" w:ascii="方正仿宋_GBK" w:hAnsi="方正仿宋_GBK" w:eastAsia="方正仿宋_GBK" w:cs="方正仿宋_GBK"/>
          <w:sz w:val="32"/>
          <w:szCs w:val="32"/>
        </w:rPr>
        <w:t xml:space="preserve">供应商全称（加盖CA电子公章）：</w:t>
      </w:r>
      <w:r>
        <w:rPr>
          <w:rFonts w:hint="eastAsia" w:ascii="方正仿宋_GBK" w:hAnsi="方正仿宋_GBK" w:eastAsia="方正仿宋_GBK" w:cs="方正仿宋_GBK"/>
          <w:color w:val="000000"/>
          <w:sz w:val="32"/>
          <w:szCs w:val="32"/>
        </w:rPr>
        <w:t xml:space="preserve">日    期：___年____月____日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Cs/>
          <w:color w:val="000000"/>
          <w:sz w:val="24"/>
          <w:szCs w:val="21"/>
        </w:rPr>
      </w:pPr>
      <w:r>
        <w:rPr>
          <w:rFonts w:ascii="宋体" w:hAnsi="宋体"/>
          <w:bCs/>
          <w:color w:val="000000"/>
          <w:sz w:val="24"/>
          <w:szCs w:val="21"/>
        </w:rPr>
      </w:r>
      <w:r/>
    </w:p>
    <w:p>
      <w:pP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中小微企业声明函（货物类项目）（采购包号：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（采购单位名称）采购编号为</w:t>
      </w:r>
      <w:r>
        <w:rPr>
          <w:rFonts w:eastAsia="方正仿宋_GBK"/>
          <w:color w:val="000000"/>
          <w:sz w:val="32"/>
          <w:szCs w:val="32"/>
        </w:rPr>
        <w:t xml:space="preserve">JSZC-320000-SCZX-G20XX-XXXX</w:t>
      </w:r>
      <w:r>
        <w:rPr>
          <w:rFonts w:eastAsia="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t xml:space="preserve">）的采购活动，提供的货物全部由符合政策要求的中小微企业制造。相关企业（含联合体中的中小微企业、签订采购包意向协议的中小微企业）的具体情况如下：</w:t>
      </w:r>
      <w:r/>
    </w:p>
    <w:p>
      <w:pPr>
        <w:ind w:firstLine="640"/>
        <w:spacing w:line="560" w:lineRule="exact"/>
        <w:rPr>
          <w:rFonts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（供应商填写招标文件中明确的所属行业）行业；投标产品制造商为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万元，属于</w:t>
      </w:r>
      <w:r>
        <w:rPr>
          <w:rFonts w:hint="eastAsia" w:ascii="方正仿宋_GBK" w:hAnsi="方正仿宋_GBK" w:eastAsia="方正仿宋_GBK" w:cs="方正仿宋_GBK"/>
          <w:sz w:val="32"/>
          <w:szCs w:val="32"/>
          <w:u w:val="single"/>
        </w:rPr>
        <w:t xml:space="preserve">（□中型企业 □小型企业 □微型企业）；</w:t>
      </w:r>
      <w:r/>
    </w:p>
    <w:p>
      <w:pPr>
        <w:ind w:firstLine="640"/>
        <w:spacing w:line="560" w:lineRule="exact"/>
        <w:rPr>
          <w:rFonts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（供应商填写招标文件中明确的所属行业）行业；投标产品制造商为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万元，属于</w:t>
      </w:r>
      <w:r>
        <w:rPr>
          <w:rFonts w:hint="eastAsia" w:ascii="方正仿宋_GBK" w:hAnsi="方正仿宋_GBK" w:eastAsia="方正仿宋_GBK" w:cs="方正仿宋_GBK"/>
          <w:sz w:val="32"/>
          <w:szCs w:val="32"/>
          <w:u w:val="single"/>
        </w:rPr>
        <w:t xml:space="preserve">（□中型企业 □小型企业 □微型企业）；</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ind w:right="180" w:firstLine="640"/>
        <w:jc w:val="right"/>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企业名称（加盖CA电子公章）：</w:t>
      </w:r>
      <w:r/>
    </w:p>
    <w:p>
      <w:pPr>
        <w:ind w:right="480"/>
        <w:jc w:val="right"/>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r>
        <w:rPr>
          <w:rFonts w:hint="eastAsia" w:ascii="方正仿宋_GBK" w:hAnsi="方正仿宋_GBK" w:eastAsia="方正仿宋_GBK" w:cs="方正仿宋_GBK"/>
          <w:color w:val="000000"/>
          <w:sz w:val="32"/>
          <w:szCs w:val="32"/>
        </w:rPr>
        <w:t xml:space="preserve">___年____月____日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ind w:firstLine="640"/>
        <w:jc w:val="left"/>
        <w:spacing w:line="560" w:lineRule="exact"/>
        <w:rPr>
          <w:rFonts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32"/>
          <w:szCs w:val="32"/>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方正黑体_GBK" w:hAnsi="方正黑体_GBK" w:eastAsia="方正黑体_GBK" w:cs="方正黑体_GBK"/>
          <w:bCs/>
          <w:sz w:val="32"/>
          <w:szCs w:val="32"/>
        </w:rPr>
        <w:t xml:space="preserve">附件10残疾人福利性单位声明函（货物类项目）（采购包号：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eastAsia="方正仿宋_GBK"/>
          <w:color w:val="000000"/>
          <w:sz w:val="32"/>
          <w:szCs w:val="32"/>
        </w:rPr>
        <w:t xml:space="preserve">JSZC-320000-SCZX-G20XX-XXXX</w:t>
      </w:r>
      <w:r>
        <w:rPr>
          <w:rFonts w:eastAsia="方正仿宋_GBK"/>
          <w:sz w:val="32"/>
          <w:szCs w:val="32"/>
        </w:rPr>
        <w:t xml:space="preserve">，</w:t>
      </w:r>
      <w:r>
        <w:rPr>
          <w:rFonts w:hint="eastAsia" w:ascii="方正仿宋_GBK" w:hAnsi="方正仿宋_GBK" w:eastAsia="方正仿宋_GBK" w:cs="方正仿宋_GBK"/>
          <w:sz w:val="32"/>
          <w:szCs w:val="32"/>
          <w:u w:val="single"/>
        </w:rPr>
        <w:t xml:space="preserve">      </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t xml:space="preserve">）采购活动提供本单位制造的货物，或者提供其他残疾人福利性单位制造的货物（不包括使用非残疾人福利性单位注册商标的货物）。</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非专门面向中小微型企业采购的项目，供应商如不提供此声明函，价格将不做相应扣除。</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ind w:firstLine="624"/>
        <w:spacing w:line="588" w:lineRule="exact"/>
        <w:rPr>
          <w:rFonts w:ascii="方正仿宋_GB2312" w:eastAsia="方正仿宋_GB2312"/>
          <w:spacing w:val="6"/>
          <w:sz w:val="30"/>
          <w:szCs w:val="30"/>
        </w:rPr>
      </w:pPr>
      <w:r>
        <w:rPr>
          <w:rFonts w:ascii="方正仿宋_GB2312" w:eastAsia="方正仿宋_GB2312"/>
          <w:spacing w:val="6"/>
          <w:sz w:val="30"/>
          <w:szCs w:val="30"/>
        </w:rPr>
      </w:r>
      <w:r/>
    </w:p>
    <w:p>
      <w:pPr>
        <w:ind w:right="180" w:firstLine="624"/>
        <w:jc w:val="right"/>
        <w:spacing w:line="560" w:lineRule="exact"/>
        <w:rPr>
          <w:rFonts w:ascii="方正仿宋_GBK" w:hAnsi="方正仿宋_GBK" w:eastAsia="方正仿宋_GBK" w:cs="方正仿宋_GBK"/>
          <w:sz w:val="32"/>
          <w:szCs w:val="32"/>
        </w:rPr>
      </w:pPr>
      <w:r>
        <w:rPr>
          <w:rFonts w:hint="eastAsia" w:ascii="方正仿宋_GB2312" w:eastAsia="方正仿宋_GB2312"/>
          <w:spacing w:val="6"/>
          <w:sz w:val="30"/>
          <w:szCs w:val="30"/>
        </w:rPr>
        <w:t xml:space="preserve">             </w:t>
      </w:r>
      <w:r>
        <w:rPr>
          <w:rFonts w:hint="eastAsia" w:ascii="宋体" w:hAnsi="宋体"/>
          <w:sz w:val="24"/>
          <w:szCs w:val="21"/>
        </w:rPr>
        <w:t xml:space="preserve">   </w:t>
      </w:r>
      <w:r>
        <w:rPr>
          <w:rFonts w:hint="eastAsia" w:ascii="方正仿宋_GBK" w:hAnsi="方正仿宋_GBK" w:eastAsia="方正仿宋_GBK" w:cs="方正仿宋_GBK"/>
          <w:sz w:val="32"/>
          <w:szCs w:val="32"/>
        </w:rPr>
        <w:t xml:space="preserve">供应商全称（加盖CA电子公章）：</w:t>
      </w:r>
      <w:r/>
    </w:p>
    <w:p>
      <w:pPr>
        <w:ind w:right="180" w:firstLine="640"/>
        <w:jc w:val="right"/>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  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0"/>
        <w:jc w:val="left"/>
        <w:spacing w:line="560" w:lineRule="exact"/>
        <w:rPr>
          <w:rFonts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附件11 实质性要求响应及偏离表（采购包号：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spacing w:line="400" w:lineRule="exact"/>
        <w:rPr>
          <w:rFonts w:ascii="宋体" w:hAnsi="宋体"/>
          <w:sz w:val="24"/>
          <w:szCs w:val="24"/>
        </w:rPr>
      </w:pPr>
      <w:r>
        <w:rPr>
          <w:rFonts w:ascii="宋体" w:hAnsi="宋体"/>
          <w:sz w:val="24"/>
          <w:szCs w:val="24"/>
        </w:rPr>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逐条做出明确响应。</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p>
    <w:p>
      <w:pPr>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ind w:firstLine="320"/>
        <w:jc w:val="left"/>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附件12  关于符合本国产品标准的声明函（采购包号：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pStyle w:val="992"/>
        <w:ind w:firstLine="640"/>
        <w:spacing w:before="0" w:beforeAutospacing="0" w:after="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2"/>
        <w:ind w:firstLine="640"/>
        <w:spacing w:before="30" w:beforeAutospacing="0" w:after="3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1.</w:t>
      </w:r>
      <w:r>
        <w:rPr>
          <w:rStyle w:val="1004"/>
          <w:rFonts w:hint="eastAsia" w:ascii="方正仿宋_GBK" w:hAnsi="方正仿宋_GBK" w:eastAsia="方正仿宋_GBK" w:cs="方正仿宋_GBK"/>
          <w:i w:val="0"/>
          <w:sz w:val="32"/>
          <w:szCs w:val="32"/>
          <w:u w:val="single"/>
          <w:shd w:val="clear" w:color="auto" w:fill="ffffff"/>
        </w:rPr>
        <w:t xml:space="preserve">（产品名称1）</w:t>
      </w:r>
      <w:r>
        <w:rPr>
          <w:rStyle w:val="1004"/>
          <w:rFonts w:hint="eastAsia" w:ascii="方正仿宋_GBK" w:hAnsi="方正仿宋_GBK" w:eastAsia="方正仿宋_GBK" w:cs="方正仿宋_GBK"/>
          <w:i w:val="0"/>
          <w:sz w:val="32"/>
          <w:szCs w:val="32"/>
          <w:shd w:val="clear" w:color="auto" w:fill="ffffff"/>
          <w:vertAlign w:val="superscript"/>
        </w:rPr>
        <w:t xml:space="preserve">1</w:t>
      </w:r>
      <w:r>
        <w:rPr>
          <w:rFonts w:hint="eastAsia" w:ascii="方正仿宋_GBK" w:hAnsi="方正仿宋_GBK" w:eastAsia="方正仿宋_GBK" w:cs="方正仿宋_GBK"/>
          <w:sz w:val="32"/>
          <w:szCs w:val="32"/>
          <w:shd w:val="clear" w:color="auto" w:fill="ffffff"/>
        </w:rPr>
        <w:t xml:space="preserve">，生产厂为</w:t>
      </w:r>
      <w:r>
        <w:rPr>
          <w:rStyle w:val="1004"/>
          <w:rFonts w:hint="eastAsia" w:ascii="方正仿宋_GBK" w:hAnsi="方正仿宋_GBK" w:eastAsia="方正仿宋_GBK" w:cs="方正仿宋_GBK"/>
          <w:i w:val="0"/>
          <w:sz w:val="32"/>
          <w:szCs w:val="32"/>
          <w:u w:val="single"/>
          <w:shd w:val="clear" w:color="auto" w:fill="ffffff"/>
        </w:rPr>
        <w:t xml:space="preserve">（厂名）</w:t>
      </w:r>
      <w:r>
        <w:rPr>
          <w:rStyle w:val="1004"/>
          <w:rFonts w:hint="eastAsia" w:ascii="方正仿宋_GBK" w:hAnsi="方正仿宋_GBK" w:eastAsia="方正仿宋_GBK" w:cs="方正仿宋_GBK"/>
          <w:i w:val="0"/>
          <w:sz w:val="32"/>
          <w:szCs w:val="32"/>
          <w:shd w:val="clear" w:color="auto" w:fill="ffffff"/>
          <w:vertAlign w:val="superscript"/>
        </w:rPr>
        <w:t xml:space="preserve">2</w:t>
      </w:r>
      <w:r>
        <w:rPr>
          <w:rFonts w:hint="eastAsia" w:ascii="方正仿宋_GBK" w:hAnsi="方正仿宋_GBK" w:eastAsia="方正仿宋_GBK" w:cs="方正仿宋_GBK"/>
          <w:sz w:val="32"/>
          <w:szCs w:val="32"/>
          <w:shd w:val="clear" w:color="auto" w:fill="ffffff"/>
        </w:rPr>
        <w:t xml:space="preserve">，厂址为</w:t>
      </w:r>
      <w:r>
        <w:rPr>
          <w:rStyle w:val="1004"/>
          <w:rFonts w:hint="eastAsia" w:ascii="方正仿宋_GBK" w:hAnsi="方正仿宋_GBK" w:eastAsia="方正仿宋_GBK" w:cs="方正仿宋_GBK"/>
          <w:i w:val="0"/>
          <w:sz w:val="32"/>
          <w:szCs w:val="32"/>
          <w:u w:val="single"/>
          <w:shd w:val="clear" w:color="auto" w:fill="ffffff"/>
        </w:rPr>
        <w:t xml:space="preserve">（生产厂址）</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的中国境内生产的组件成本占比≥</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shd w:val="clear" w:color="auto" w:fill="ffffff"/>
          <w:vertAlign w:val="superscript"/>
        </w:rPr>
        <w:t xml:space="preserve">3</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shd w:val="clear" w:color="auto" w:fill="ffffff"/>
          <w:vertAlign w:val="superscript"/>
        </w:rPr>
        <w:t xml:space="preserve">4</w:t>
      </w:r>
      <w:r>
        <w:rPr>
          <w:rFonts w:hint="eastAsia" w:ascii="方正仿宋_GBK" w:hAnsi="方正仿宋_GBK" w:eastAsia="方正仿宋_GBK" w:cs="方正仿宋_GBK"/>
          <w:sz w:val="32"/>
          <w:szCs w:val="32"/>
          <w:shd w:val="clear" w:color="auto" w:fill="ffffff"/>
        </w:rPr>
        <w:t xml:space="preserve">在中国境内生产。</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shd w:val="clear" w:color="auto" w:fill="ffffff"/>
          <w:vertAlign w:val="superscript"/>
        </w:rPr>
        <w:t xml:space="preserve">5</w:t>
      </w:r>
      <w:r>
        <w:rPr>
          <w:rFonts w:hint="eastAsia" w:ascii="方正仿宋_GBK" w:hAnsi="方正仿宋_GBK" w:eastAsia="方正仿宋_GBK" w:cs="方正仿宋_GBK"/>
          <w:sz w:val="32"/>
          <w:szCs w:val="32"/>
          <w:shd w:val="clear" w:color="auto" w:fill="ffffff"/>
        </w:rPr>
        <w:t xml:space="preserve">在中国境内完成。</w:t>
      </w:r>
      <w:r/>
    </w:p>
    <w:p>
      <w:pPr>
        <w:pStyle w:val="992"/>
        <w:ind w:firstLine="640"/>
        <w:spacing w:before="30" w:beforeAutospacing="0" w:after="3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2.</w:t>
      </w:r>
      <w:r>
        <w:rPr>
          <w:rStyle w:val="1004"/>
          <w:rFonts w:hint="eastAsia" w:ascii="方正仿宋_GBK" w:hAnsi="方正仿宋_GBK" w:eastAsia="方正仿宋_GBK" w:cs="方正仿宋_GBK"/>
          <w:i w:val="0"/>
          <w:sz w:val="32"/>
          <w:szCs w:val="32"/>
          <w:u w:val="single"/>
          <w:shd w:val="clear" w:color="auto" w:fill="ffffff"/>
        </w:rPr>
        <w:t xml:space="preserve">（产品名称2）</w:t>
      </w:r>
      <w:r>
        <w:rPr>
          <w:rFonts w:hint="eastAsia" w:ascii="方正仿宋_GBK" w:hAnsi="方正仿宋_GBK" w:eastAsia="方正仿宋_GBK" w:cs="方正仿宋_GBK"/>
          <w:sz w:val="32"/>
          <w:szCs w:val="32"/>
          <w:shd w:val="clear" w:color="auto" w:fill="ffffff"/>
        </w:rPr>
        <w:t xml:space="preserve">，生产厂为</w:t>
      </w:r>
      <w:r>
        <w:rPr>
          <w:rStyle w:val="1004"/>
          <w:rFonts w:hint="eastAsia" w:ascii="方正仿宋_GBK" w:hAnsi="方正仿宋_GBK" w:eastAsia="方正仿宋_GBK" w:cs="方正仿宋_GBK"/>
          <w:i w:val="0"/>
          <w:sz w:val="32"/>
          <w:szCs w:val="32"/>
          <w:u w:val="single"/>
          <w:shd w:val="clear" w:color="auto" w:fill="ffffff"/>
        </w:rPr>
        <w:t xml:space="preserve">（厂名）</w:t>
      </w:r>
      <w:r>
        <w:rPr>
          <w:rFonts w:hint="eastAsia" w:ascii="方正仿宋_GBK" w:hAnsi="方正仿宋_GBK" w:eastAsia="方正仿宋_GBK" w:cs="方正仿宋_GBK"/>
          <w:sz w:val="32"/>
          <w:szCs w:val="32"/>
          <w:shd w:val="clear" w:color="auto" w:fill="ffffff"/>
        </w:rPr>
        <w:t xml:space="preserve">，厂址为</w:t>
      </w:r>
      <w:r>
        <w:rPr>
          <w:rStyle w:val="1004"/>
          <w:rFonts w:hint="eastAsia" w:ascii="方正仿宋_GBK" w:hAnsi="方正仿宋_GBK" w:eastAsia="方正仿宋_GBK" w:cs="方正仿宋_GBK"/>
          <w:i w:val="0"/>
          <w:sz w:val="32"/>
          <w:szCs w:val="32"/>
          <w:u w:val="single"/>
          <w:shd w:val="clear" w:color="auto" w:fill="ffffff"/>
        </w:rPr>
        <w:t xml:space="preserve">（生产厂址）</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的中国境内生产的组件成本占比≥</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在中国境内生产。</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在中国境内完成。</w:t>
      </w:r>
      <w:r/>
    </w:p>
    <w:p>
      <w:pPr>
        <w:pStyle w:val="992"/>
        <w:ind w:firstLine="640"/>
        <w:spacing w:before="30" w:beforeAutospacing="0" w:after="3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w:t>
      </w:r>
      <w:r/>
    </w:p>
    <w:p>
      <w:pPr>
        <w:pStyle w:val="992"/>
        <w:ind w:firstLine="640"/>
        <w:spacing w:before="30" w:beforeAutospacing="0" w:after="3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本公司（单位）对上述声明内容的真实性负责。如有虚假，愿承担相应法律责任。</w:t>
      </w:r>
      <w:r/>
    </w:p>
    <w:p>
      <w:pPr>
        <w:pStyle w:val="992"/>
        <w:spacing w:before="30" w:beforeAutospacing="0" w:after="30" w:afterAutospacing="0" w:line="0" w:lineRule="atLeast"/>
      </w:pPr>
      <w:r/>
      <w:r/>
    </w:p>
    <w:p>
      <w:pPr>
        <w:pStyle w:val="992"/>
        <w:ind w:firstLine="480"/>
        <w:spacing w:before="30" w:beforeAutospacing="0" w:after="30" w:afterAutospacing="0" w:line="560" w:lineRule="exact"/>
        <w:rPr>
          <w:rFonts w:ascii="方正仿宋_GBK" w:hAnsi="方正仿宋_GBK" w:eastAsia="方正仿宋_GBK" w:cs="方正仿宋_GBK"/>
          <w:sz w:val="32"/>
          <w:szCs w:val="32"/>
          <w:shd w:val="clear" w:color="auto" w:fill="ffffff"/>
        </w:rPr>
      </w:pPr>
      <w:r>
        <w:rPr>
          <w:rFonts w:hint="eastAsia"/>
          <w:shd w:val="clear" w:color="auto" w:fill="ffffff"/>
        </w:rPr>
        <w:t xml:space="preserve">  </w:t>
      </w:r>
      <w:r>
        <w:rPr>
          <w:rFonts w:hint="eastAsia" w:ascii="方正仿宋_GBK" w:hAnsi="方正仿宋_GBK" w:eastAsia="方正仿宋_GBK" w:cs="方正仿宋_GBK"/>
          <w:sz w:val="32"/>
          <w:szCs w:val="32"/>
          <w:shd w:val="clear" w:color="auto" w:fill="ffffff"/>
        </w:rPr>
        <w:t xml:space="preserve">           公司（单位）名称（加盖CA电子公章）：　 </w:t>
      </w:r>
      <w:r/>
    </w:p>
    <w:p>
      <w:pPr>
        <w:pStyle w:val="992"/>
        <w:ind w:firstLine="640"/>
        <w:spacing w:before="30" w:beforeAutospacing="0" w:after="30" w:afterAutospacing="0" w:line="560" w:lineRule="exact"/>
      </w:pPr>
      <w:r>
        <w:rPr>
          <w:rFonts w:hint="eastAsia" w:ascii="方正仿宋_GBK" w:hAnsi="方正仿宋_GBK" w:eastAsia="方正仿宋_GBK" w:cs="方正仿宋_GBK"/>
          <w:sz w:val="32"/>
          <w:szCs w:val="32"/>
          <w:shd w:val="clear" w:color="auto" w:fill="ffffff"/>
        </w:rPr>
        <w:t xml:space="preserve">           日期：___年____月____日   </w:t>
      </w:r>
      <w:r>
        <w:rPr>
          <w:rFonts w:hint="eastAsia"/>
          <w:shd w:val="clear" w:color="auto" w:fill="ffffff"/>
        </w:rPr>
        <w:t xml:space="preserve">     </w:t>
      </w:r>
      <w:r/>
    </w:p>
    <w:p>
      <w:pPr>
        <w:pStyle w:val="992"/>
        <w:spacing w:before="30" w:beforeAutospacing="0" w:after="30" w:afterAutospacing="0" w:line="0" w:lineRule="atLeast"/>
      </w:pPr>
      <w:r>
        <w:rPr>
          <w:rFonts w:hint="eastAsia"/>
          <w:shd w:val="clear" w:color="auto" w:fill="ffffff"/>
        </w:rPr>
        <w:t xml:space="preserve">__________________</w:t>
      </w:r>
      <w:r/>
    </w:p>
    <w:p>
      <w:pPr>
        <w:pStyle w:val="992"/>
        <w:ind w:firstLine="640"/>
        <w:spacing w:before="30" w:beforeAutospacing="0" w:after="3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1.产品如有型号，请在“产品名称”栏一并填写。</w:t>
      </w:r>
      <w:r/>
    </w:p>
    <w:p>
      <w:pPr>
        <w:pStyle w:val="992"/>
        <w:ind w:firstLine="640"/>
        <w:spacing w:before="30" w:beforeAutospacing="0" w:after="3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2.生产厂名与厂址应与生产厂营业执照载明的相关信息保持一致。</w:t>
      </w:r>
      <w:r/>
    </w:p>
    <w:p>
      <w:pPr>
        <w:pStyle w:val="992"/>
        <w:ind w:firstLine="640"/>
        <w:spacing w:before="30" w:beforeAutospacing="0" w:after="3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3.该产品的中国境内生产的组件成本占比相关要求实施前，“规定比例”栏可不填，下同。</w:t>
      </w:r>
      <w:r/>
    </w:p>
    <w:p>
      <w:pPr>
        <w:pStyle w:val="992"/>
        <w:ind w:firstLine="640"/>
        <w:spacing w:before="30" w:beforeAutospacing="0" w:after="30" w:afterAutospacing="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4.该产品的关键组件要求实施前，“关键组件”栏可不填，下同。</w:t>
      </w:r>
      <w:r/>
    </w:p>
    <w:p>
      <w:pPr>
        <w:pStyle w:val="992"/>
        <w:ind w:firstLine="640"/>
        <w:spacing w:before="30" w:beforeAutospacing="0" w:after="30" w:afterAutospacing="0" w:line="560" w:lineRule="exact"/>
        <w:rPr>
          <w:rFonts w:ascii="方正仿宋_GBK" w:hAnsi="方正仿宋_GBK" w:eastAsia="方正仿宋_GBK" w:cs="方正仿宋_GBK"/>
          <w:sz w:val="32"/>
          <w:szCs w:val="32"/>
          <w:shd w:val="clear" w:color="auto" w:fill="ffffff"/>
        </w:rPr>
      </w:pPr>
      <w:r>
        <w:rPr>
          <w:rFonts w:hint="eastAsia" w:ascii="方正仿宋_GBK" w:hAnsi="方正仿宋_GBK" w:eastAsia="方正仿宋_GBK" w:cs="方正仿宋_GBK"/>
          <w:sz w:val="32"/>
          <w:szCs w:val="32"/>
          <w:shd w:val="clear" w:color="auto" w:fill="ffffff"/>
        </w:rPr>
        <w:t xml:space="preserve">5.该产品的关键工序要求实施前，“关键工序”栏可不填，下同。</w:t>
      </w:r>
      <w:r/>
    </w:p>
    <w:p>
      <w:pPr>
        <w:pStyle w:val="992"/>
        <w:ind w:firstLine="640"/>
        <w:spacing w:before="30" w:beforeAutospacing="0" w:after="30" w:afterAutospacing="0" w:line="560" w:lineRule="exact"/>
        <w:rPr>
          <w:rFonts w:ascii="方正仿宋_GBK" w:hAnsi="方正仿宋_GBK" w:eastAsia="方正仿宋_GBK" w:cs="方正仿宋_GBK"/>
          <w:sz w:val="32"/>
          <w:szCs w:val="32"/>
          <w:shd w:val="clear" w:color="auto" w:fill="ffffff"/>
        </w:rPr>
      </w:pPr>
      <w:r>
        <w:rPr>
          <w:rFonts w:hint="eastAsia" w:ascii="方正仿宋_GBK" w:hAnsi="方正仿宋_GBK" w:eastAsia="方正仿宋_GBK" w:cs="方正仿宋_GBK"/>
          <w:sz w:val="32"/>
          <w:szCs w:val="32"/>
          <w:shd w:val="clear" w:color="auto" w:fill="ffffff"/>
        </w:rPr>
        <w:t xml:space="preserve">6.《声明函》中标注“</w:t>
      </w:r>
      <w:r>
        <w:rPr>
          <w:rFonts w:hint="eastAsia" w:ascii="方正仿宋_GBK" w:hAnsi="方正仿宋_GBK" w:eastAsia="方正仿宋_GBK" w:cs="方正仿宋_GBK"/>
          <w:sz w:val="32"/>
          <w:szCs w:val="32"/>
          <w:u w:val="single"/>
          <w:shd w:val="clear" w:color="auto" w:fill="ffffff"/>
        </w:rPr>
        <w:t xml:space="preserve">  </w:t>
      </w:r>
      <w:r>
        <w:rPr>
          <w:rStyle w:val="1004"/>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81"/>
      <w:r/>
      <w:bookmarkEnd w:id="182"/>
      <w:r/>
      <w:bookmarkEnd w:id="220"/>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left"/>
        <w:widowControl/>
        <w:rPr>
          <w:rFonts w:ascii="宋体" w:hAnsi="宋体" w:cs="仿宋"/>
          <w:b/>
          <w:bCs/>
          <w:color w:val="000000"/>
          <w:sz w:val="32"/>
          <w:szCs w:val="32"/>
        </w:rPr>
      </w:pPr>
      <w:r>
        <w:rPr>
          <w:rFonts w:ascii="宋体" w:hAnsi="宋体" w:cs="仿宋"/>
          <w:b/>
          <w:bCs/>
          <w:color w:val="000000"/>
          <w:sz w:val="32"/>
          <w:szCs w:val="32"/>
        </w:rPr>
        <w:br w:type="page" w:clear="all"/>
      </w:r>
      <w:r/>
    </w:p>
    <w:p>
      <w:pPr>
        <w:rPr>
          <w:rFonts w:ascii="宋体" w:hAnsi="宋体" w:cs="仿宋"/>
          <w:b/>
          <w:bCs/>
          <w:color w:val="000000"/>
          <w:sz w:val="32"/>
          <w:szCs w:val="32"/>
        </w:rPr>
      </w:pPr>
      <w:r>
        <w:rPr>
          <w:rFonts w:ascii="宋体" w:hAnsi="宋体" w:cs="仿宋"/>
          <w:b/>
          <w:bCs/>
          <w:color w:val="000000"/>
          <w:sz w:val="32"/>
          <w:szCs w:val="32"/>
        </w:rPr>
      </w:r>
      <w:r/>
    </w:p>
    <w:p>
      <w:pPr>
        <w:ind w:firstLine="320"/>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p>
    <w:p>
      <w:pPr>
        <w:spacing w:before="312"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一、质疑供应商基本信息</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质疑供应商：</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授权代表：</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二、质疑项目基本情况</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质疑项目的名称：</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质疑项目的编号：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包号：</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采购人名称：</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采购文件获取日期：</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三、质疑事项具体内容</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质疑事项1：</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事实依据：</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法律依据：</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质疑事项2</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w:t>
      </w:r>
      <w:r/>
    </w:p>
    <w:p>
      <w:pPr>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四、与质疑事项相关的质疑请求</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请求：</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签字(签章)：                   公章：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日期：    </w:t>
      </w:r>
      <w:r/>
    </w:p>
    <w:p>
      <w:pPr>
        <w:ind w:firstLine="640"/>
        <w:spacing w:line="560" w:lineRule="exact"/>
        <w:rPr>
          <w:rFonts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质疑函制作说明：</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1.供应商提出质疑时，应提交质疑函和必要的证明材料。</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3.质疑供应商若对项目的某一采购包进行质疑，质疑函中应列明具体采购包号。</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4.质疑函的质疑事项应具体、明确，并有必要的事实依据和法律依据。</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5.质疑函的质疑请求应与质疑事项相关。</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7"/>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10"/>
  </w:num>
  <w:num w:numId="5">
    <w:abstractNumId w:val="2"/>
  </w:num>
  <w:num w:numId="6">
    <w:abstractNumId w:val="8"/>
  </w:num>
  <w:num w:numId="7">
    <w:abstractNumId w:val="6"/>
  </w:num>
  <w:num w:numId="8">
    <w:abstractNumId w:val="7"/>
  </w:num>
  <w:num w:numId="9">
    <w:abstractNumId w:val="1"/>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755"/>
    <w:link w:val="746"/>
    <w:uiPriority w:val="9"/>
    <w:rPr>
      <w:rFonts w:ascii="Arial" w:hAnsi="Arial" w:eastAsia="Arial" w:cs="Arial"/>
      <w:sz w:val="40"/>
      <w:szCs w:val="40"/>
    </w:rPr>
  </w:style>
  <w:style w:type="character" w:styleId="728">
    <w:name w:val="Heading 2 Char"/>
    <w:basedOn w:val="755"/>
    <w:link w:val="747"/>
    <w:uiPriority w:val="9"/>
    <w:rPr>
      <w:rFonts w:ascii="Arial" w:hAnsi="Arial" w:eastAsia="Arial" w:cs="Arial"/>
      <w:sz w:val="34"/>
    </w:rPr>
  </w:style>
  <w:style w:type="character" w:styleId="729">
    <w:name w:val="Heading 3 Char"/>
    <w:basedOn w:val="755"/>
    <w:link w:val="748"/>
    <w:uiPriority w:val="9"/>
    <w:rPr>
      <w:rFonts w:ascii="Arial" w:hAnsi="Arial" w:eastAsia="Arial" w:cs="Arial"/>
      <w:sz w:val="30"/>
      <w:szCs w:val="30"/>
    </w:rPr>
  </w:style>
  <w:style w:type="character" w:styleId="730">
    <w:name w:val="Heading 4 Char"/>
    <w:basedOn w:val="755"/>
    <w:link w:val="749"/>
    <w:uiPriority w:val="9"/>
    <w:rPr>
      <w:rFonts w:ascii="Arial" w:hAnsi="Arial" w:eastAsia="Arial" w:cs="Arial"/>
      <w:b/>
      <w:bCs/>
      <w:sz w:val="26"/>
      <w:szCs w:val="26"/>
    </w:rPr>
  </w:style>
  <w:style w:type="character" w:styleId="731">
    <w:name w:val="Heading 5 Char"/>
    <w:basedOn w:val="755"/>
    <w:link w:val="750"/>
    <w:uiPriority w:val="9"/>
    <w:rPr>
      <w:rFonts w:ascii="Arial" w:hAnsi="Arial" w:eastAsia="Arial" w:cs="Arial"/>
      <w:b/>
      <w:bCs/>
      <w:sz w:val="24"/>
      <w:szCs w:val="24"/>
    </w:rPr>
  </w:style>
  <w:style w:type="character" w:styleId="732">
    <w:name w:val="Heading 6 Char"/>
    <w:basedOn w:val="755"/>
    <w:link w:val="751"/>
    <w:uiPriority w:val="9"/>
    <w:rPr>
      <w:rFonts w:ascii="Arial" w:hAnsi="Arial" w:eastAsia="Arial" w:cs="Arial"/>
      <w:b/>
      <w:bCs/>
      <w:sz w:val="22"/>
      <w:szCs w:val="22"/>
    </w:rPr>
  </w:style>
  <w:style w:type="character" w:styleId="733">
    <w:name w:val="Heading 7 Char"/>
    <w:basedOn w:val="755"/>
    <w:link w:val="752"/>
    <w:uiPriority w:val="9"/>
    <w:rPr>
      <w:rFonts w:ascii="Arial" w:hAnsi="Arial" w:eastAsia="Arial" w:cs="Arial"/>
      <w:b/>
      <w:bCs/>
      <w:i/>
      <w:iCs/>
      <w:sz w:val="22"/>
      <w:szCs w:val="22"/>
    </w:rPr>
  </w:style>
  <w:style w:type="character" w:styleId="734">
    <w:name w:val="Heading 8 Char"/>
    <w:basedOn w:val="755"/>
    <w:link w:val="753"/>
    <w:uiPriority w:val="9"/>
    <w:rPr>
      <w:rFonts w:ascii="Arial" w:hAnsi="Arial" w:eastAsia="Arial" w:cs="Arial"/>
      <w:i/>
      <w:iCs/>
      <w:sz w:val="22"/>
      <w:szCs w:val="22"/>
    </w:rPr>
  </w:style>
  <w:style w:type="character" w:styleId="735">
    <w:name w:val="Heading 9 Char"/>
    <w:basedOn w:val="755"/>
    <w:link w:val="754"/>
    <w:uiPriority w:val="9"/>
    <w:rPr>
      <w:rFonts w:ascii="Arial" w:hAnsi="Arial" w:eastAsia="Arial" w:cs="Arial"/>
      <w:i/>
      <w:iCs/>
      <w:sz w:val="21"/>
      <w:szCs w:val="21"/>
    </w:rPr>
  </w:style>
  <w:style w:type="character" w:styleId="736">
    <w:name w:val="Title Char"/>
    <w:basedOn w:val="755"/>
    <w:link w:val="776"/>
    <w:uiPriority w:val="10"/>
    <w:rPr>
      <w:sz w:val="48"/>
      <w:szCs w:val="48"/>
    </w:rPr>
  </w:style>
  <w:style w:type="character" w:styleId="737">
    <w:name w:val="Subtitle Char"/>
    <w:basedOn w:val="755"/>
    <w:link w:val="770"/>
    <w:uiPriority w:val="11"/>
    <w:rPr>
      <w:sz w:val="24"/>
      <w:szCs w:val="24"/>
    </w:rPr>
  </w:style>
  <w:style w:type="character" w:styleId="738">
    <w:name w:val="Quote Char"/>
    <w:link w:val="796"/>
    <w:uiPriority w:val="29"/>
    <w:rPr>
      <w:i/>
    </w:rPr>
  </w:style>
  <w:style w:type="character" w:styleId="739">
    <w:name w:val="Intense Quote Char"/>
    <w:link w:val="798"/>
    <w:uiPriority w:val="30"/>
    <w:rPr>
      <w:i/>
    </w:rPr>
  </w:style>
  <w:style w:type="character" w:styleId="740">
    <w:name w:val="Header Char"/>
    <w:basedOn w:val="755"/>
    <w:link w:val="767"/>
    <w:uiPriority w:val="99"/>
  </w:style>
  <w:style w:type="character" w:styleId="741">
    <w:name w:val="Caption Char"/>
    <w:basedOn w:val="759"/>
    <w:link w:val="766"/>
    <w:uiPriority w:val="99"/>
  </w:style>
  <w:style w:type="character" w:styleId="742">
    <w:name w:val="Footnote Text Char"/>
    <w:link w:val="771"/>
    <w:uiPriority w:val="99"/>
    <w:rPr>
      <w:sz w:val="18"/>
    </w:rPr>
  </w:style>
  <w:style w:type="character" w:styleId="743">
    <w:name w:val="Endnote Text Char"/>
    <w:link w:val="764"/>
    <w:uiPriority w:val="99"/>
    <w:rPr>
      <w:sz w:val="20"/>
    </w:rPr>
  </w:style>
  <w:style w:type="paragraph" w:styleId="744">
    <w:name w:val="TOC Heading"/>
    <w:uiPriority w:val="39"/>
    <w:unhideWhenUsed/>
  </w:style>
  <w:style w:type="paragraph" w:styleId="745" w:default="1">
    <w:name w:val="Normal"/>
    <w:qFormat/>
    <w:pPr>
      <w:jc w:val="both"/>
      <w:widowControl w:val="off"/>
    </w:pPr>
    <w:rPr>
      <w:sz w:val="21"/>
      <w:szCs w:val="22"/>
    </w:rPr>
  </w:style>
  <w:style w:type="paragraph" w:styleId="746">
    <w:name w:val="Heading 1"/>
    <w:basedOn w:val="745"/>
    <w:next w:val="745"/>
    <w:link w:val="783"/>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84"/>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85"/>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86"/>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87"/>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88"/>
    <w:uiPriority w:val="9"/>
    <w:unhideWhenUsed/>
    <w:qFormat/>
    <w:pPr>
      <w:keepLines/>
      <w:keepNext/>
      <w:spacing w:before="320" w:after="200"/>
      <w:outlineLvl w:val="5"/>
    </w:pPr>
    <w:rPr>
      <w:rFonts w:ascii="Arial" w:hAnsi="Arial" w:eastAsia="Arial" w:cs="Arial"/>
      <w:b/>
      <w:bCs/>
      <w:sz w:val="22"/>
    </w:rPr>
  </w:style>
  <w:style w:type="paragraph" w:styleId="752">
    <w:name w:val="Heading 7"/>
    <w:basedOn w:val="745"/>
    <w:next w:val="745"/>
    <w:link w:val="789"/>
    <w:uiPriority w:val="9"/>
    <w:unhideWhenUsed/>
    <w:qFormat/>
    <w:pPr>
      <w:keepLines/>
      <w:keepNext/>
      <w:spacing w:before="320" w:after="200"/>
      <w:outlineLvl w:val="6"/>
    </w:pPr>
    <w:rPr>
      <w:rFonts w:ascii="Arial" w:hAnsi="Arial" w:eastAsia="Arial" w:cs="Arial"/>
      <w:b/>
      <w:bCs/>
      <w:i/>
      <w:iCs/>
      <w:sz w:val="22"/>
    </w:rPr>
  </w:style>
  <w:style w:type="paragraph" w:styleId="753">
    <w:name w:val="Heading 8"/>
    <w:basedOn w:val="745"/>
    <w:next w:val="745"/>
    <w:link w:val="790"/>
    <w:uiPriority w:val="9"/>
    <w:unhideWhenUsed/>
    <w:qFormat/>
    <w:pPr>
      <w:keepLines/>
      <w:keepNext/>
      <w:spacing w:before="320" w:after="200"/>
      <w:outlineLvl w:val="7"/>
    </w:pPr>
    <w:rPr>
      <w:rFonts w:ascii="Arial" w:hAnsi="Arial" w:eastAsia="Arial" w:cs="Arial"/>
      <w:i/>
      <w:iCs/>
      <w:sz w:val="22"/>
    </w:rPr>
  </w:style>
  <w:style w:type="paragraph" w:styleId="754">
    <w:name w:val="Heading 9"/>
    <w:basedOn w:val="745"/>
    <w:next w:val="745"/>
    <w:link w:val="791"/>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paragraph" w:styleId="758">
    <w:name w:val="toc 7"/>
    <w:basedOn w:val="745"/>
    <w:next w:val="745"/>
    <w:uiPriority w:val="39"/>
    <w:unhideWhenUsed/>
    <w:qFormat/>
    <w:pPr>
      <w:ind w:left="1701"/>
      <w:spacing w:after="57"/>
    </w:pPr>
  </w:style>
  <w:style w:type="paragraph" w:styleId="759">
    <w:name w:val="Caption"/>
    <w:basedOn w:val="745"/>
    <w:next w:val="745"/>
    <w:uiPriority w:val="35"/>
    <w:semiHidden/>
    <w:unhideWhenUsed/>
    <w:qFormat/>
    <w:pPr>
      <w:spacing w:line="276" w:lineRule="auto"/>
    </w:pPr>
    <w:rPr>
      <w:b/>
      <w:bCs/>
      <w:color w:val="4f81bd" w:themeColor="accent1"/>
      <w:sz w:val="18"/>
      <w:szCs w:val="18"/>
    </w:rPr>
  </w:style>
  <w:style w:type="paragraph" w:styleId="760">
    <w:name w:val="annotation text"/>
    <w:basedOn w:val="745"/>
    <w:link w:val="1047"/>
    <w:uiPriority w:val="99"/>
    <w:semiHidden/>
    <w:unhideWhenUsed/>
    <w:qFormat/>
    <w:pPr>
      <w:jc w:val="left"/>
    </w:pPr>
  </w:style>
  <w:style w:type="paragraph" w:styleId="761">
    <w:name w:val="toc 5"/>
    <w:basedOn w:val="745"/>
    <w:next w:val="745"/>
    <w:uiPriority w:val="39"/>
    <w:unhideWhenUsed/>
    <w:qFormat/>
    <w:pPr>
      <w:ind w:left="1134"/>
      <w:spacing w:after="57"/>
    </w:pPr>
  </w:style>
  <w:style w:type="paragraph" w:styleId="762">
    <w:name w:val="toc 3"/>
    <w:basedOn w:val="745"/>
    <w:next w:val="745"/>
    <w:uiPriority w:val="39"/>
    <w:unhideWhenUsed/>
    <w:qFormat/>
    <w:pPr>
      <w:ind w:left="567"/>
      <w:spacing w:after="57"/>
    </w:pPr>
  </w:style>
  <w:style w:type="paragraph" w:styleId="763">
    <w:name w:val="toc 8"/>
    <w:basedOn w:val="745"/>
    <w:next w:val="745"/>
    <w:uiPriority w:val="39"/>
    <w:unhideWhenUsed/>
    <w:qFormat/>
    <w:pPr>
      <w:ind w:left="1984"/>
      <w:spacing w:after="57"/>
    </w:pPr>
  </w:style>
  <w:style w:type="paragraph" w:styleId="764">
    <w:name w:val="endnote text"/>
    <w:basedOn w:val="745"/>
    <w:link w:val="929"/>
    <w:uiPriority w:val="99"/>
    <w:semiHidden/>
    <w:unhideWhenUsed/>
    <w:qFormat/>
    <w:rPr>
      <w:sz w:val="20"/>
    </w:rPr>
  </w:style>
  <w:style w:type="paragraph" w:styleId="765">
    <w:name w:val="Balloon Text"/>
    <w:basedOn w:val="745"/>
    <w:link w:val="1049"/>
    <w:uiPriority w:val="99"/>
    <w:semiHidden/>
    <w:unhideWhenUsed/>
    <w:qFormat/>
    <w:rPr>
      <w:sz w:val="18"/>
      <w:szCs w:val="18"/>
    </w:rPr>
  </w:style>
  <w:style w:type="paragraph" w:styleId="766">
    <w:name w:val="Footer"/>
    <w:basedOn w:val="745"/>
    <w:link w:val="802"/>
    <w:uiPriority w:val="99"/>
    <w:unhideWhenUsed/>
    <w:qFormat/>
    <w:pPr>
      <w:tabs>
        <w:tab w:val="center" w:pos="7143" w:leader="none"/>
        <w:tab w:val="right" w:pos="14287" w:leader="none"/>
      </w:tabs>
    </w:pPr>
  </w:style>
  <w:style w:type="paragraph" w:styleId="767">
    <w:name w:val="Header"/>
    <w:basedOn w:val="745"/>
    <w:link w:val="800"/>
    <w:uiPriority w:val="99"/>
    <w:unhideWhenUsed/>
    <w:qFormat/>
    <w:pPr>
      <w:tabs>
        <w:tab w:val="center" w:pos="7143" w:leader="none"/>
        <w:tab w:val="right" w:pos="14287" w:leader="none"/>
      </w:tabs>
    </w:pPr>
  </w:style>
  <w:style w:type="paragraph" w:styleId="768">
    <w:name w:val="toc 1"/>
    <w:basedOn w:val="745"/>
    <w:next w:val="745"/>
    <w:uiPriority w:val="39"/>
    <w:unhideWhenUsed/>
    <w:qFormat/>
    <w:pPr>
      <w:spacing w:after="57"/>
    </w:pPr>
  </w:style>
  <w:style w:type="paragraph" w:styleId="769">
    <w:name w:val="toc 4"/>
    <w:basedOn w:val="745"/>
    <w:next w:val="745"/>
    <w:uiPriority w:val="39"/>
    <w:unhideWhenUsed/>
    <w:qFormat/>
    <w:pPr>
      <w:ind w:left="850"/>
      <w:spacing w:after="57"/>
    </w:pPr>
  </w:style>
  <w:style w:type="paragraph" w:styleId="770">
    <w:name w:val="Subtitle"/>
    <w:basedOn w:val="745"/>
    <w:next w:val="745"/>
    <w:link w:val="795"/>
    <w:uiPriority w:val="11"/>
    <w:qFormat/>
    <w:pPr>
      <w:spacing w:before="200" w:after="200"/>
    </w:pPr>
    <w:rPr>
      <w:sz w:val="24"/>
      <w:szCs w:val="24"/>
    </w:rPr>
  </w:style>
  <w:style w:type="paragraph" w:styleId="771">
    <w:name w:val="footnote text"/>
    <w:basedOn w:val="745"/>
    <w:link w:val="928"/>
    <w:uiPriority w:val="99"/>
    <w:semiHidden/>
    <w:unhideWhenUsed/>
    <w:qFormat/>
    <w:pPr>
      <w:spacing w:after="40"/>
    </w:pPr>
    <w:rPr>
      <w:sz w:val="18"/>
    </w:rPr>
  </w:style>
  <w:style w:type="paragraph" w:styleId="772">
    <w:name w:val="toc 6"/>
    <w:basedOn w:val="745"/>
    <w:next w:val="745"/>
    <w:uiPriority w:val="39"/>
    <w:unhideWhenUsed/>
    <w:qFormat/>
    <w:pPr>
      <w:ind w:left="1417"/>
      <w:spacing w:after="57"/>
    </w:pPr>
  </w:style>
  <w:style w:type="paragraph" w:styleId="773">
    <w:name w:val="table of figures"/>
    <w:basedOn w:val="745"/>
    <w:next w:val="745"/>
    <w:uiPriority w:val="99"/>
    <w:unhideWhenUsed/>
    <w:qFormat/>
  </w:style>
  <w:style w:type="paragraph" w:styleId="774">
    <w:name w:val="toc 2"/>
    <w:basedOn w:val="745"/>
    <w:next w:val="745"/>
    <w:uiPriority w:val="39"/>
    <w:unhideWhenUsed/>
    <w:qFormat/>
    <w:pPr>
      <w:ind w:left="283"/>
      <w:spacing w:after="57"/>
    </w:pPr>
  </w:style>
  <w:style w:type="paragraph" w:styleId="775">
    <w:name w:val="toc 9"/>
    <w:basedOn w:val="745"/>
    <w:next w:val="745"/>
    <w:uiPriority w:val="39"/>
    <w:unhideWhenUsed/>
    <w:qFormat/>
    <w:pPr>
      <w:ind w:left="2268"/>
      <w:spacing w:after="57"/>
    </w:pPr>
  </w:style>
  <w:style w:type="paragraph" w:styleId="776">
    <w:name w:val="Title"/>
    <w:basedOn w:val="745"/>
    <w:next w:val="745"/>
    <w:link w:val="794"/>
    <w:uiPriority w:val="10"/>
    <w:qFormat/>
    <w:pPr>
      <w:contextualSpacing/>
      <w:spacing w:before="300" w:after="200"/>
    </w:pPr>
    <w:rPr>
      <w:sz w:val="48"/>
      <w:szCs w:val="48"/>
    </w:rPr>
  </w:style>
  <w:style w:type="paragraph" w:styleId="777">
    <w:name w:val="annotation subject"/>
    <w:basedOn w:val="760"/>
    <w:next w:val="760"/>
    <w:link w:val="1048"/>
    <w:uiPriority w:val="99"/>
    <w:semiHidden/>
    <w:unhideWhenUsed/>
    <w:qFormat/>
    <w:rPr>
      <w:b/>
      <w:bCs/>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rPr>
  </w:style>
  <w:style w:type="character" w:styleId="781">
    <w:name w:val="annotation reference"/>
    <w:basedOn w:val="755"/>
    <w:uiPriority w:val="99"/>
    <w:semiHidden/>
    <w:unhideWhenUsed/>
    <w:qFormat/>
    <w:rPr>
      <w:sz w:val="21"/>
      <w:szCs w:val="21"/>
    </w:rPr>
  </w:style>
  <w:style w:type="character" w:styleId="782">
    <w:name w:val="footnote reference"/>
    <w:uiPriority w:val="99"/>
    <w:unhideWhenUsed/>
    <w:qFormat/>
    <w:rPr>
      <w:vertAlign w:val="superscript"/>
    </w:rPr>
  </w:style>
  <w:style w:type="character" w:styleId="783" w:customStyle="1">
    <w:name w:val="标题 1 Char"/>
    <w:link w:val="746"/>
    <w:uiPriority w:val="9"/>
    <w:qFormat/>
    <w:rPr>
      <w:rFonts w:ascii="Arial" w:hAnsi="Arial" w:eastAsia="Arial" w:cs="Arial"/>
      <w:sz w:val="40"/>
      <w:szCs w:val="40"/>
    </w:rPr>
  </w:style>
  <w:style w:type="character" w:styleId="784" w:customStyle="1">
    <w:name w:val="标题 2 Char"/>
    <w:link w:val="747"/>
    <w:uiPriority w:val="9"/>
    <w:qFormat/>
    <w:rPr>
      <w:rFonts w:ascii="Arial" w:hAnsi="Arial" w:eastAsia="Arial" w:cs="Arial"/>
      <w:sz w:val="34"/>
    </w:rPr>
  </w:style>
  <w:style w:type="character" w:styleId="785" w:customStyle="1">
    <w:name w:val="标题 3 Char"/>
    <w:link w:val="748"/>
    <w:uiPriority w:val="9"/>
    <w:qFormat/>
    <w:rPr>
      <w:rFonts w:ascii="Arial" w:hAnsi="Arial" w:eastAsia="Arial" w:cs="Arial"/>
      <w:sz w:val="30"/>
      <w:szCs w:val="30"/>
    </w:rPr>
  </w:style>
  <w:style w:type="character" w:styleId="786" w:customStyle="1">
    <w:name w:val="标题 4 Char"/>
    <w:link w:val="749"/>
    <w:uiPriority w:val="9"/>
    <w:qFormat/>
    <w:rPr>
      <w:rFonts w:ascii="Arial" w:hAnsi="Arial" w:eastAsia="Arial" w:cs="Arial"/>
      <w:b/>
      <w:bCs/>
      <w:sz w:val="26"/>
      <w:szCs w:val="26"/>
    </w:rPr>
  </w:style>
  <w:style w:type="character" w:styleId="787" w:customStyle="1">
    <w:name w:val="标题 5 Char"/>
    <w:link w:val="750"/>
    <w:uiPriority w:val="9"/>
    <w:qFormat/>
    <w:rPr>
      <w:rFonts w:ascii="Arial" w:hAnsi="Arial" w:eastAsia="Arial" w:cs="Arial"/>
      <w:b/>
      <w:bCs/>
      <w:sz w:val="24"/>
      <w:szCs w:val="24"/>
    </w:rPr>
  </w:style>
  <w:style w:type="character" w:styleId="788" w:customStyle="1">
    <w:name w:val="标题 6 Char"/>
    <w:link w:val="751"/>
    <w:uiPriority w:val="9"/>
    <w:qFormat/>
    <w:rPr>
      <w:rFonts w:ascii="Arial" w:hAnsi="Arial" w:eastAsia="Arial" w:cs="Arial"/>
      <w:b/>
      <w:bCs/>
      <w:sz w:val="22"/>
      <w:szCs w:val="22"/>
    </w:rPr>
  </w:style>
  <w:style w:type="character" w:styleId="789" w:customStyle="1">
    <w:name w:val="标题 7 Char"/>
    <w:link w:val="752"/>
    <w:uiPriority w:val="9"/>
    <w:qFormat/>
    <w:rPr>
      <w:rFonts w:ascii="Arial" w:hAnsi="Arial" w:eastAsia="Arial" w:cs="Arial"/>
      <w:b/>
      <w:bCs/>
      <w:i/>
      <w:iCs/>
      <w:sz w:val="22"/>
      <w:szCs w:val="22"/>
    </w:rPr>
  </w:style>
  <w:style w:type="character" w:styleId="790" w:customStyle="1">
    <w:name w:val="标题 8 Char"/>
    <w:link w:val="753"/>
    <w:uiPriority w:val="9"/>
    <w:qFormat/>
    <w:rPr>
      <w:rFonts w:ascii="Arial" w:hAnsi="Arial" w:eastAsia="Arial" w:cs="Arial"/>
      <w:i/>
      <w:iCs/>
      <w:sz w:val="22"/>
      <w:szCs w:val="22"/>
    </w:rPr>
  </w:style>
  <w:style w:type="character" w:styleId="791" w:customStyle="1">
    <w:name w:val="标题 9 Char"/>
    <w:link w:val="754"/>
    <w:uiPriority w:val="9"/>
    <w:qFormat/>
    <w:rPr>
      <w:rFonts w:ascii="Arial" w:hAnsi="Arial" w:eastAsia="Arial" w:cs="Arial"/>
      <w:i/>
      <w:iCs/>
      <w:sz w:val="21"/>
      <w:szCs w:val="21"/>
    </w:rPr>
  </w:style>
  <w:style w:type="paragraph" w:styleId="792">
    <w:name w:val="List Paragraph"/>
    <w:basedOn w:val="745"/>
    <w:uiPriority w:val="34"/>
    <w:qFormat/>
    <w:pPr>
      <w:contextualSpacing/>
      <w:ind w:left="720"/>
    </w:pPr>
  </w:style>
  <w:style w:type="paragraph" w:styleId="793">
    <w:name w:val="No Spacing"/>
    <w:uiPriority w:val="1"/>
    <w:qFormat/>
  </w:style>
  <w:style w:type="character" w:styleId="794" w:customStyle="1">
    <w:name w:val="标题 Char"/>
    <w:link w:val="776"/>
    <w:uiPriority w:val="10"/>
    <w:qFormat/>
    <w:rPr>
      <w:sz w:val="48"/>
      <w:szCs w:val="48"/>
    </w:rPr>
  </w:style>
  <w:style w:type="character" w:styleId="795" w:customStyle="1">
    <w:name w:val="副标题 Char"/>
    <w:link w:val="770"/>
    <w:uiPriority w:val="11"/>
    <w:qFormat/>
    <w:rPr>
      <w:sz w:val="24"/>
      <w:szCs w:val="24"/>
    </w:rPr>
  </w:style>
  <w:style w:type="paragraph" w:styleId="796">
    <w:name w:val="Quote"/>
    <w:basedOn w:val="745"/>
    <w:next w:val="745"/>
    <w:link w:val="797"/>
    <w:uiPriority w:val="29"/>
    <w:qFormat/>
    <w:pPr>
      <w:ind w:left="720" w:right="720"/>
    </w:pPr>
    <w:rPr>
      <w:i/>
    </w:rPr>
  </w:style>
  <w:style w:type="character" w:styleId="797" w:customStyle="1">
    <w:name w:val="引用 Char"/>
    <w:link w:val="796"/>
    <w:uiPriority w:val="29"/>
    <w:qFormat/>
    <w:rPr>
      <w:i/>
    </w:rPr>
  </w:style>
  <w:style w:type="paragraph" w:styleId="798">
    <w:name w:val="Intense Quote"/>
    <w:basedOn w:val="745"/>
    <w:next w:val="745"/>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30"/>
    <w:qFormat/>
    <w:rPr>
      <w:i/>
    </w:rPr>
  </w:style>
  <w:style w:type="character" w:styleId="800" w:customStyle="1">
    <w:name w:val="页眉 Char"/>
    <w:link w:val="767"/>
    <w:uiPriority w:val="99"/>
    <w:qFormat/>
  </w:style>
  <w:style w:type="character" w:styleId="801" w:customStyle="1">
    <w:name w:val="Footer Char"/>
    <w:uiPriority w:val="99"/>
    <w:qFormat/>
  </w:style>
  <w:style w:type="character" w:styleId="802" w:customStyle="1">
    <w:name w:val="页脚 Char"/>
    <w:link w:val="766"/>
    <w:uiPriority w:val="99"/>
    <w:qFormat/>
  </w:style>
  <w:style w:type="table" w:styleId="80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4"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1"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3"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0"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Char"/>
    <w:link w:val="771"/>
    <w:uiPriority w:val="99"/>
    <w:qFormat/>
    <w:rPr>
      <w:sz w:val="18"/>
    </w:rPr>
  </w:style>
  <w:style w:type="character" w:styleId="929" w:customStyle="1">
    <w:name w:val="尾注文本 Char"/>
    <w:link w:val="764"/>
    <w:uiPriority w:val="99"/>
    <w:qFormat/>
    <w:rPr>
      <w:sz w:val="20"/>
    </w:rPr>
  </w:style>
  <w:style w:type="paragraph" w:styleId="930" w:customStyle="1">
    <w:name w:val="TOC 标题1"/>
    <w:uiPriority w:val="39"/>
    <w:unhideWhenUsed/>
    <w:qFormat/>
  </w:style>
  <w:style w:type="paragraph" w:styleId="931" w:customStyle="1">
    <w:name w:val="标题 11"/>
    <w:basedOn w:val="745"/>
    <w:next w:val="745"/>
    <w:link w:val="943"/>
    <w:qFormat/>
    <w:pPr>
      <w:jc w:val="center"/>
      <w:keepNext/>
      <w:outlineLvl w:val="0"/>
    </w:pPr>
    <w:rPr>
      <w:rFonts w:ascii="方正楷体_GB2312" w:eastAsia="方正楷体_GB2312"/>
      <w:sz w:val="28"/>
      <w:szCs w:val="28"/>
    </w:rPr>
  </w:style>
  <w:style w:type="paragraph" w:styleId="932" w:customStyle="1">
    <w:name w:val="标题 21"/>
    <w:basedOn w:val="745"/>
    <w:next w:val="933"/>
    <w:link w:val="944"/>
    <w:qFormat/>
    <w:pPr>
      <w:jc w:val="center"/>
      <w:keepLines/>
      <w:keepNext/>
      <w:spacing w:before="260" w:after="260" w:line="416" w:lineRule="auto"/>
      <w:outlineLvl w:val="1"/>
    </w:pPr>
    <w:rPr>
      <w:rFonts w:ascii="Arial" w:hAnsi="Arial" w:eastAsia="幼圆" w:cs="Arial"/>
      <w:b/>
      <w:bCs/>
      <w:sz w:val="44"/>
      <w:szCs w:val="44"/>
    </w:rPr>
  </w:style>
  <w:style w:type="paragraph" w:styleId="933" w:customStyle="1">
    <w:name w:val="正文缩进11"/>
    <w:basedOn w:val="745"/>
    <w:link w:val="945"/>
    <w:qFormat/>
    <w:pPr>
      <w:ind w:firstLine="420"/>
    </w:pPr>
    <w:rPr>
      <w:szCs w:val="21"/>
    </w:rPr>
  </w:style>
  <w:style w:type="paragraph" w:styleId="934" w:customStyle="1">
    <w:name w:val="标题 31"/>
    <w:basedOn w:val="745"/>
    <w:next w:val="933"/>
    <w:link w:val="946"/>
    <w:qFormat/>
    <w:pPr>
      <w:keepLines/>
      <w:keepNext/>
      <w:spacing w:before="260" w:after="260" w:line="416" w:lineRule="auto"/>
      <w:outlineLvl w:val="2"/>
    </w:pPr>
    <w:rPr>
      <w:b/>
      <w:bCs/>
      <w:sz w:val="32"/>
      <w:szCs w:val="32"/>
    </w:rPr>
  </w:style>
  <w:style w:type="paragraph" w:styleId="935" w:customStyle="1">
    <w:name w:val="标题 41"/>
    <w:basedOn w:val="745"/>
    <w:next w:val="933"/>
    <w:link w:val="947"/>
    <w:qFormat/>
    <w:pPr>
      <w:keepLines/>
      <w:keepNext/>
      <w:spacing w:before="280" w:after="290" w:line="376" w:lineRule="auto"/>
      <w:outlineLvl w:val="3"/>
    </w:pPr>
    <w:rPr>
      <w:rFonts w:ascii="Arial" w:hAnsi="Arial" w:eastAsia="黑体" w:cs="Arial"/>
      <w:b/>
      <w:bCs/>
      <w:sz w:val="28"/>
      <w:szCs w:val="28"/>
    </w:rPr>
  </w:style>
  <w:style w:type="paragraph" w:styleId="936" w:customStyle="1">
    <w:name w:val="标题 51"/>
    <w:basedOn w:val="745"/>
    <w:next w:val="933"/>
    <w:link w:val="948"/>
    <w:qFormat/>
    <w:pPr>
      <w:keepNext/>
      <w:outlineLvl w:val="4"/>
    </w:pPr>
    <w:rPr>
      <w:rFonts w:ascii="宋体"/>
      <w:color w:val="000000"/>
      <w:sz w:val="28"/>
      <w:szCs w:val="28"/>
    </w:rPr>
  </w:style>
  <w:style w:type="paragraph" w:styleId="937" w:customStyle="1">
    <w:name w:val="标题 61"/>
    <w:basedOn w:val="745"/>
    <w:next w:val="745"/>
    <w:link w:val="949"/>
    <w:qFormat/>
    <w:pPr>
      <w:numPr>
        <w:ilvl w:val="5"/>
        <w:numId w:val="1"/>
      </w:numPr>
      <w:keepLines/>
      <w:keepNext/>
      <w:spacing w:before="240" w:after="64" w:line="320" w:lineRule="auto"/>
      <w:outlineLvl w:val="5"/>
    </w:pPr>
    <w:rPr>
      <w:rFonts w:ascii="Arial" w:hAnsi="Arial" w:eastAsia="黑体"/>
      <w:b/>
      <w:bCs/>
      <w:sz w:val="24"/>
      <w:szCs w:val="24"/>
    </w:rPr>
  </w:style>
  <w:style w:type="paragraph" w:styleId="938" w:customStyle="1">
    <w:name w:val="标题 71"/>
    <w:basedOn w:val="745"/>
    <w:next w:val="745"/>
    <w:link w:val="950"/>
    <w:qFormat/>
    <w:pPr>
      <w:numPr>
        <w:ilvl w:val="6"/>
        <w:numId w:val="1"/>
      </w:numPr>
      <w:keepLines/>
      <w:keepNext/>
      <w:spacing w:before="240" w:after="64" w:line="320" w:lineRule="auto"/>
      <w:outlineLvl w:val="6"/>
    </w:pPr>
    <w:rPr>
      <w:b/>
      <w:bCs/>
      <w:sz w:val="24"/>
      <w:szCs w:val="24"/>
    </w:rPr>
  </w:style>
  <w:style w:type="paragraph" w:styleId="939" w:customStyle="1">
    <w:name w:val="标题 81"/>
    <w:basedOn w:val="745"/>
    <w:next w:val="745"/>
    <w:link w:val="951"/>
    <w:qFormat/>
    <w:pPr>
      <w:numPr>
        <w:ilvl w:val="7"/>
        <w:numId w:val="1"/>
      </w:numPr>
      <w:keepLines/>
      <w:keepNext/>
      <w:spacing w:before="240" w:after="64" w:line="320" w:lineRule="auto"/>
      <w:outlineLvl w:val="7"/>
    </w:pPr>
    <w:rPr>
      <w:rFonts w:ascii="Arial" w:hAnsi="Arial" w:eastAsia="黑体"/>
      <w:sz w:val="24"/>
      <w:szCs w:val="24"/>
    </w:rPr>
  </w:style>
  <w:style w:type="paragraph" w:styleId="940" w:customStyle="1">
    <w:name w:val="标题 91"/>
    <w:basedOn w:val="745"/>
    <w:next w:val="745"/>
    <w:link w:val="952"/>
    <w:qFormat/>
    <w:pPr>
      <w:numPr>
        <w:ilvl w:val="8"/>
        <w:numId w:val="1"/>
      </w:numPr>
      <w:keepLines/>
      <w:keepNext/>
      <w:spacing w:before="240" w:after="64" w:line="320" w:lineRule="auto"/>
      <w:outlineLvl w:val="8"/>
    </w:pPr>
    <w:rPr>
      <w:rFonts w:ascii="Arial" w:hAnsi="Arial" w:eastAsia="黑体"/>
      <w:szCs w:val="21"/>
    </w:rPr>
  </w:style>
  <w:style w:type="character" w:styleId="941" w:customStyle="1">
    <w:name w:val="默认段落字体1"/>
    <w:uiPriority w:val="1"/>
    <w:unhideWhenUsed/>
    <w:qFormat/>
  </w:style>
  <w:style w:type="table" w:styleId="942" w:customStyle="1">
    <w:name w:val="普通表格1"/>
    <w:uiPriority w:val="99"/>
    <w:unhideWhenUsed/>
    <w:qFormat/>
    <w:tblPr>
      <w:tblCellMar>
        <w:left w:w="0" w:type="dxa"/>
        <w:top w:w="0" w:type="dxa"/>
        <w:right w:w="0" w:type="dxa"/>
        <w:bottom w:w="0" w:type="dxa"/>
      </w:tblCellMar>
    </w:tblPr>
  </w:style>
  <w:style w:type="character" w:styleId="943" w:customStyle="1">
    <w:name w:val="标题 1 字符"/>
    <w:link w:val="931"/>
    <w:qFormat/>
    <w:rPr>
      <w:rFonts w:ascii="方正楷体_GB2312" w:hAnsi="Times New Roman" w:eastAsia="方正楷体_GB2312" w:cs="Times New Roman"/>
      <w:sz w:val="28"/>
      <w:szCs w:val="28"/>
    </w:rPr>
  </w:style>
  <w:style w:type="character" w:styleId="944" w:customStyle="1">
    <w:name w:val="标题 2 字符"/>
    <w:link w:val="932"/>
    <w:qFormat/>
    <w:rPr>
      <w:rFonts w:ascii="Arial" w:hAnsi="Arial" w:eastAsia="幼圆" w:cs="Arial"/>
      <w:b/>
      <w:bCs/>
      <w:sz w:val="44"/>
      <w:szCs w:val="44"/>
    </w:rPr>
  </w:style>
  <w:style w:type="character" w:styleId="945" w:customStyle="1">
    <w:name w:val="正文缩进 字符"/>
    <w:link w:val="933"/>
    <w:qFormat/>
    <w:rPr>
      <w:szCs w:val="21"/>
    </w:rPr>
  </w:style>
  <w:style w:type="character" w:styleId="946" w:customStyle="1">
    <w:name w:val="标题 3 字符"/>
    <w:link w:val="934"/>
    <w:qFormat/>
    <w:rPr>
      <w:rFonts w:ascii="Times New Roman" w:hAnsi="Times New Roman" w:eastAsia="宋体" w:cs="Times New Roman"/>
      <w:b/>
      <w:bCs/>
      <w:sz w:val="32"/>
      <w:szCs w:val="32"/>
    </w:rPr>
  </w:style>
  <w:style w:type="character" w:styleId="947" w:customStyle="1">
    <w:name w:val="标题 4 字符"/>
    <w:link w:val="935"/>
    <w:qFormat/>
    <w:rPr>
      <w:rFonts w:ascii="Arial" w:hAnsi="Arial" w:eastAsia="黑体" w:cs="Arial"/>
      <w:b/>
      <w:bCs/>
      <w:sz w:val="28"/>
      <w:szCs w:val="28"/>
    </w:rPr>
  </w:style>
  <w:style w:type="character" w:styleId="948" w:customStyle="1">
    <w:name w:val="标题 5 字符"/>
    <w:link w:val="936"/>
    <w:qFormat/>
    <w:rPr>
      <w:rFonts w:ascii="宋体" w:hAnsi="Times New Roman" w:eastAsia="宋体" w:cs="Times New Roman"/>
      <w:color w:val="000000"/>
      <w:sz w:val="28"/>
      <w:szCs w:val="28"/>
    </w:rPr>
  </w:style>
  <w:style w:type="character" w:styleId="949" w:customStyle="1">
    <w:name w:val="标题 6 字符"/>
    <w:link w:val="937"/>
    <w:qFormat/>
    <w:rPr>
      <w:rFonts w:ascii="Arial" w:hAnsi="Arial" w:eastAsia="黑体" w:cs="Times New Roman"/>
      <w:b/>
      <w:bCs/>
      <w:sz w:val="24"/>
      <w:szCs w:val="24"/>
    </w:rPr>
  </w:style>
  <w:style w:type="character" w:styleId="950" w:customStyle="1">
    <w:name w:val="标题 7 字符"/>
    <w:link w:val="938"/>
    <w:qFormat/>
    <w:rPr>
      <w:rFonts w:ascii="Times New Roman" w:hAnsi="Times New Roman" w:eastAsia="宋体" w:cs="Times New Roman"/>
      <w:b/>
      <w:bCs/>
      <w:sz w:val="24"/>
      <w:szCs w:val="24"/>
    </w:rPr>
  </w:style>
  <w:style w:type="character" w:styleId="951" w:customStyle="1">
    <w:name w:val="标题 8 字符"/>
    <w:link w:val="939"/>
    <w:qFormat/>
    <w:rPr>
      <w:rFonts w:ascii="Arial" w:hAnsi="Arial" w:eastAsia="黑体" w:cs="Times New Roman"/>
      <w:sz w:val="24"/>
      <w:szCs w:val="24"/>
    </w:rPr>
  </w:style>
  <w:style w:type="character" w:styleId="952" w:customStyle="1">
    <w:name w:val="标题 9 字符"/>
    <w:link w:val="940"/>
    <w:qFormat/>
    <w:rPr>
      <w:rFonts w:ascii="Arial" w:hAnsi="Arial" w:eastAsia="黑体" w:cs="Times New Roman"/>
      <w:szCs w:val="21"/>
    </w:rPr>
  </w:style>
  <w:style w:type="paragraph" w:styleId="953" w:customStyle="1">
    <w:name w:val="列表 31"/>
    <w:basedOn w:val="745"/>
    <w:qFormat/>
    <w:pPr>
      <w:ind w:left="100" w:hanging="200"/>
    </w:pPr>
    <w:rPr>
      <w:szCs w:val="21"/>
    </w:rPr>
  </w:style>
  <w:style w:type="paragraph" w:styleId="954" w:customStyle="1">
    <w:name w:val="目录 71"/>
    <w:basedOn w:val="745"/>
    <w:next w:val="745"/>
    <w:semiHidden/>
    <w:qFormat/>
    <w:pPr>
      <w:ind w:left="1260"/>
      <w:jc w:val="left"/>
    </w:pPr>
    <w:rPr>
      <w:szCs w:val="21"/>
    </w:rPr>
  </w:style>
  <w:style w:type="paragraph" w:styleId="955" w:customStyle="1">
    <w:name w:val="文档结构图1"/>
    <w:basedOn w:val="745"/>
    <w:link w:val="956"/>
    <w:semiHidden/>
    <w:qFormat/>
    <w:pPr>
      <w:shd w:val="clear" w:color="auto" w:fill="000080"/>
    </w:pPr>
    <w:rPr>
      <w:szCs w:val="21"/>
    </w:rPr>
  </w:style>
  <w:style w:type="character" w:styleId="956" w:customStyle="1">
    <w:name w:val="文档结构图 字符"/>
    <w:link w:val="955"/>
    <w:semiHidden/>
    <w:qFormat/>
    <w:rPr>
      <w:rFonts w:ascii="Times New Roman" w:hAnsi="Times New Roman" w:eastAsia="宋体" w:cs="Times New Roman"/>
      <w:szCs w:val="21"/>
      <w:shd w:val="clear" w:color="auto" w:fill="000080"/>
    </w:rPr>
  </w:style>
  <w:style w:type="paragraph" w:styleId="957" w:customStyle="1">
    <w:name w:val="批注文字1"/>
    <w:basedOn w:val="745"/>
    <w:link w:val="958"/>
    <w:unhideWhenUsed/>
    <w:qFormat/>
    <w:pPr>
      <w:jc w:val="left"/>
    </w:pPr>
  </w:style>
  <w:style w:type="character" w:styleId="958" w:customStyle="1">
    <w:name w:val="批注文字 字符"/>
    <w:link w:val="957"/>
    <w:uiPriority w:val="99"/>
    <w:semiHidden/>
    <w:qFormat/>
  </w:style>
  <w:style w:type="paragraph" w:styleId="959" w:customStyle="1">
    <w:name w:val="正文文本 31"/>
    <w:basedOn w:val="745"/>
    <w:link w:val="960"/>
    <w:qFormat/>
    <w:rPr>
      <w:rFonts w:ascii="方正仿宋_GB2312" w:hAnsi="Arial" w:eastAsia="方正仿宋_GB2312"/>
      <w:sz w:val="32"/>
      <w:szCs w:val="32"/>
    </w:rPr>
  </w:style>
  <w:style w:type="character" w:styleId="960" w:customStyle="1">
    <w:name w:val="正文文本 3 字符"/>
    <w:link w:val="959"/>
    <w:qFormat/>
    <w:rPr>
      <w:rFonts w:ascii="方正仿宋_GB2312" w:hAnsi="Arial" w:eastAsia="方正仿宋_GB2312" w:cs="Times New Roman"/>
      <w:sz w:val="32"/>
      <w:szCs w:val="32"/>
    </w:rPr>
  </w:style>
  <w:style w:type="paragraph" w:styleId="961" w:customStyle="1">
    <w:name w:val="正文文本11"/>
    <w:basedOn w:val="745"/>
    <w:link w:val="962"/>
    <w:qFormat/>
    <w:rPr>
      <w:rFonts w:ascii="方正楷体_GB2312" w:hAnsi="Arial" w:eastAsia="方正楷体_GB2312"/>
      <w:sz w:val="28"/>
      <w:szCs w:val="28"/>
    </w:rPr>
  </w:style>
  <w:style w:type="character" w:styleId="962" w:customStyle="1">
    <w:name w:val="正文文本 字符"/>
    <w:link w:val="961"/>
    <w:qFormat/>
    <w:rPr>
      <w:rFonts w:ascii="方正楷体_GB2312" w:hAnsi="Arial" w:eastAsia="方正楷体_GB2312" w:cs="Times New Roman"/>
      <w:sz w:val="28"/>
      <w:szCs w:val="28"/>
    </w:rPr>
  </w:style>
  <w:style w:type="paragraph" w:styleId="963" w:customStyle="1">
    <w:name w:val="正文文本缩进1"/>
    <w:basedOn w:val="745"/>
    <w:link w:val="964"/>
    <w:unhideWhenUsed/>
    <w:qFormat/>
    <w:pPr>
      <w:ind w:left="420"/>
      <w:spacing w:after="120"/>
    </w:pPr>
  </w:style>
  <w:style w:type="character" w:styleId="964" w:customStyle="1">
    <w:name w:val="正文文本缩进 字符"/>
    <w:link w:val="963"/>
    <w:uiPriority w:val="99"/>
    <w:semiHidden/>
    <w:qFormat/>
  </w:style>
  <w:style w:type="paragraph" w:styleId="965" w:customStyle="1">
    <w:name w:val="列表 21"/>
    <w:basedOn w:val="745"/>
    <w:qFormat/>
    <w:pPr>
      <w:ind w:left="100" w:hanging="200"/>
    </w:pPr>
    <w:rPr>
      <w:szCs w:val="21"/>
    </w:rPr>
  </w:style>
  <w:style w:type="paragraph" w:styleId="966" w:customStyle="1">
    <w:name w:val="目录 51"/>
    <w:basedOn w:val="745"/>
    <w:next w:val="745"/>
    <w:semiHidden/>
    <w:qFormat/>
    <w:pPr>
      <w:ind w:left="840"/>
      <w:jc w:val="left"/>
    </w:pPr>
    <w:rPr>
      <w:szCs w:val="21"/>
    </w:rPr>
  </w:style>
  <w:style w:type="paragraph" w:styleId="967" w:customStyle="1">
    <w:name w:val="目录 31"/>
    <w:basedOn w:val="745"/>
    <w:next w:val="745"/>
    <w:semiHidden/>
    <w:qFormat/>
    <w:pPr>
      <w:ind w:left="420"/>
      <w:jc w:val="left"/>
    </w:pPr>
    <w:rPr>
      <w:i/>
      <w:iCs/>
      <w:szCs w:val="24"/>
    </w:rPr>
  </w:style>
  <w:style w:type="paragraph" w:styleId="968" w:customStyle="1">
    <w:name w:val="纯文本1"/>
    <w:basedOn w:val="745"/>
    <w:link w:val="969"/>
    <w:qFormat/>
    <w:rPr>
      <w:rFonts w:ascii="宋体" w:hAnsi="Courier New" w:cs="Courier New"/>
      <w:szCs w:val="21"/>
    </w:rPr>
  </w:style>
  <w:style w:type="character" w:styleId="969" w:customStyle="1">
    <w:name w:val="纯文本 字符"/>
    <w:link w:val="968"/>
    <w:qFormat/>
    <w:rPr>
      <w:rFonts w:ascii="宋体" w:hAnsi="Courier New" w:eastAsia="宋体" w:cs="Courier New"/>
      <w:szCs w:val="21"/>
    </w:rPr>
  </w:style>
  <w:style w:type="paragraph" w:styleId="970" w:customStyle="1">
    <w:name w:val="目录 81"/>
    <w:basedOn w:val="745"/>
    <w:next w:val="745"/>
    <w:semiHidden/>
    <w:qFormat/>
    <w:pPr>
      <w:ind w:left="1470"/>
      <w:jc w:val="left"/>
    </w:pPr>
    <w:rPr>
      <w:szCs w:val="21"/>
    </w:rPr>
  </w:style>
  <w:style w:type="paragraph" w:styleId="971" w:customStyle="1">
    <w:name w:val="日期1"/>
    <w:basedOn w:val="745"/>
    <w:next w:val="745"/>
    <w:link w:val="972"/>
    <w:qFormat/>
    <w:rPr>
      <w:sz w:val="24"/>
      <w:szCs w:val="24"/>
    </w:rPr>
  </w:style>
  <w:style w:type="character" w:styleId="972" w:customStyle="1">
    <w:name w:val="日期 字符"/>
    <w:link w:val="971"/>
    <w:qFormat/>
    <w:rPr>
      <w:rFonts w:ascii="Times New Roman" w:hAnsi="Times New Roman" w:eastAsia="宋体" w:cs="Times New Roman"/>
      <w:sz w:val="24"/>
      <w:szCs w:val="24"/>
    </w:rPr>
  </w:style>
  <w:style w:type="paragraph" w:styleId="973" w:customStyle="1">
    <w:name w:val="正文文本缩进 21"/>
    <w:basedOn w:val="745"/>
    <w:link w:val="974"/>
    <w:qFormat/>
    <w:pPr>
      <w:ind w:left="630" w:firstLine="645"/>
    </w:pPr>
    <w:rPr>
      <w:rFonts w:ascii="Arial" w:hAnsi="Arial" w:eastAsia="方正仿宋_GB2312" w:cs="Arial"/>
      <w:sz w:val="32"/>
      <w:szCs w:val="32"/>
    </w:rPr>
  </w:style>
  <w:style w:type="character" w:styleId="974" w:customStyle="1">
    <w:name w:val="正文文本缩进 2 字符"/>
    <w:link w:val="973"/>
    <w:qFormat/>
    <w:rPr>
      <w:rFonts w:ascii="Arial" w:hAnsi="Arial" w:eastAsia="方正仿宋_GB2312" w:cs="Arial"/>
      <w:sz w:val="32"/>
      <w:szCs w:val="32"/>
    </w:rPr>
  </w:style>
  <w:style w:type="paragraph" w:styleId="975" w:customStyle="1">
    <w:name w:val="批注框文本1"/>
    <w:basedOn w:val="745"/>
    <w:link w:val="976"/>
    <w:semiHidden/>
    <w:qFormat/>
    <w:rPr>
      <w:sz w:val="18"/>
      <w:szCs w:val="18"/>
    </w:rPr>
  </w:style>
  <w:style w:type="character" w:styleId="976" w:customStyle="1">
    <w:name w:val="批注框文本 字符"/>
    <w:link w:val="975"/>
    <w:semiHidden/>
    <w:qFormat/>
    <w:rPr>
      <w:rFonts w:ascii="Times New Roman" w:hAnsi="Times New Roman" w:eastAsia="宋体" w:cs="Times New Roman"/>
      <w:sz w:val="18"/>
      <w:szCs w:val="18"/>
    </w:rPr>
  </w:style>
  <w:style w:type="paragraph" w:styleId="977" w:customStyle="1">
    <w:name w:val="页脚11"/>
    <w:basedOn w:val="745"/>
    <w:link w:val="978"/>
    <w:uiPriority w:val="99"/>
    <w:qFormat/>
    <w:pPr>
      <w:jc w:val="left"/>
      <w:tabs>
        <w:tab w:val="center" w:pos="4153" w:leader="none"/>
        <w:tab w:val="right" w:pos="8306" w:leader="none"/>
      </w:tabs>
    </w:pPr>
    <w:rPr>
      <w:sz w:val="18"/>
      <w:szCs w:val="18"/>
    </w:rPr>
  </w:style>
  <w:style w:type="character" w:styleId="978" w:customStyle="1">
    <w:name w:val="页脚 字符"/>
    <w:link w:val="977"/>
    <w:uiPriority w:val="99"/>
    <w:qFormat/>
    <w:rPr>
      <w:rFonts w:ascii="Times New Roman" w:hAnsi="Times New Roman" w:eastAsia="宋体" w:cs="Times New Roman"/>
      <w:sz w:val="18"/>
      <w:szCs w:val="18"/>
    </w:rPr>
  </w:style>
  <w:style w:type="paragraph" w:styleId="979" w:customStyle="1">
    <w:name w:val="页眉1"/>
    <w:basedOn w:val="745"/>
    <w:link w:val="980"/>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字符"/>
    <w:link w:val="979"/>
    <w:qFormat/>
    <w:rPr>
      <w:rFonts w:ascii="Times New Roman" w:hAnsi="Times New Roman" w:eastAsia="宋体" w:cs="Times New Roman"/>
      <w:sz w:val="18"/>
      <w:szCs w:val="18"/>
    </w:rPr>
  </w:style>
  <w:style w:type="paragraph" w:styleId="981" w:customStyle="1">
    <w:name w:val="目录 11"/>
    <w:basedOn w:val="745"/>
    <w:next w:val="745"/>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目录 41"/>
    <w:basedOn w:val="745"/>
    <w:next w:val="745"/>
    <w:semiHidden/>
    <w:qFormat/>
    <w:pPr>
      <w:ind w:left="630"/>
      <w:jc w:val="left"/>
    </w:pPr>
    <w:rPr>
      <w:szCs w:val="21"/>
    </w:rPr>
  </w:style>
  <w:style w:type="paragraph" w:styleId="983" w:customStyle="1">
    <w:name w:val="列表1"/>
    <w:basedOn w:val="745"/>
    <w:qFormat/>
    <w:pPr>
      <w:ind w:left="200" w:hanging="200"/>
    </w:pPr>
    <w:rPr>
      <w:szCs w:val="21"/>
    </w:rPr>
  </w:style>
  <w:style w:type="paragraph" w:styleId="984" w:customStyle="1">
    <w:name w:val="目录 61"/>
    <w:basedOn w:val="745"/>
    <w:next w:val="745"/>
    <w:semiHidden/>
    <w:qFormat/>
    <w:pPr>
      <w:ind w:left="1050"/>
      <w:jc w:val="left"/>
    </w:pPr>
    <w:rPr>
      <w:szCs w:val="21"/>
    </w:rPr>
  </w:style>
  <w:style w:type="paragraph" w:styleId="985" w:customStyle="1">
    <w:name w:val="正文文本缩进 31"/>
    <w:basedOn w:val="745"/>
    <w:link w:val="986"/>
    <w:qFormat/>
    <w:pPr>
      <w:ind w:left="645" w:firstLine="645"/>
    </w:pPr>
    <w:rPr>
      <w:rFonts w:ascii="Arial" w:hAnsi="Arial" w:eastAsia="方正仿宋_GB2312" w:cs="Arial"/>
      <w:color w:val="ffff00"/>
      <w:sz w:val="32"/>
      <w:szCs w:val="32"/>
    </w:rPr>
  </w:style>
  <w:style w:type="character" w:styleId="986" w:customStyle="1">
    <w:name w:val="正文文本缩进 3 字符"/>
    <w:link w:val="985"/>
    <w:qFormat/>
    <w:rPr>
      <w:rFonts w:ascii="Arial" w:hAnsi="Arial" w:eastAsia="方正仿宋_GB2312" w:cs="Arial"/>
      <w:color w:val="ffff00"/>
      <w:sz w:val="32"/>
      <w:szCs w:val="32"/>
    </w:rPr>
  </w:style>
  <w:style w:type="paragraph" w:styleId="987" w:customStyle="1">
    <w:name w:val="图表目录1"/>
    <w:basedOn w:val="745"/>
    <w:next w:val="745"/>
    <w:semiHidden/>
    <w:qFormat/>
    <w:pPr>
      <w:ind w:left="840" w:hanging="420"/>
    </w:pPr>
    <w:rPr>
      <w:szCs w:val="21"/>
    </w:rPr>
  </w:style>
  <w:style w:type="paragraph" w:styleId="988" w:customStyle="1">
    <w:name w:val="目录 21"/>
    <w:basedOn w:val="745"/>
    <w:next w:val="745"/>
    <w:semiHidden/>
    <w:qFormat/>
    <w:pPr>
      <w:ind w:left="210"/>
      <w:jc w:val="left"/>
    </w:pPr>
    <w:rPr>
      <w:smallCaps/>
      <w:szCs w:val="24"/>
    </w:rPr>
  </w:style>
  <w:style w:type="paragraph" w:styleId="989" w:customStyle="1">
    <w:name w:val="目录 91"/>
    <w:basedOn w:val="745"/>
    <w:next w:val="745"/>
    <w:semiHidden/>
    <w:qFormat/>
    <w:pPr>
      <w:ind w:left="1680"/>
      <w:jc w:val="left"/>
    </w:pPr>
    <w:rPr>
      <w:szCs w:val="21"/>
    </w:rPr>
  </w:style>
  <w:style w:type="paragraph" w:styleId="990" w:customStyle="1">
    <w:name w:val="正文文本 21"/>
    <w:basedOn w:val="745"/>
    <w:link w:val="991"/>
    <w:qFormat/>
    <w:pPr>
      <w:jc w:val="center"/>
      <w:widowControl/>
    </w:pPr>
    <w:rPr>
      <w:rFonts w:ascii="方正楷体_GB2312" w:eastAsia="方正楷体_GB2312"/>
      <w:sz w:val="28"/>
      <w:szCs w:val="28"/>
    </w:rPr>
  </w:style>
  <w:style w:type="character" w:styleId="991" w:customStyle="1">
    <w:name w:val="正文文本 2 字符"/>
    <w:link w:val="990"/>
    <w:qFormat/>
    <w:rPr>
      <w:rFonts w:ascii="方正楷体_GB2312" w:hAnsi="Times New Roman" w:eastAsia="方正楷体_GB2312" w:cs="Times New Roman"/>
      <w:sz w:val="28"/>
      <w:szCs w:val="28"/>
    </w:rPr>
  </w:style>
  <w:style w:type="paragraph" w:styleId="992"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993" w:customStyle="1">
    <w:name w:val="索引 11"/>
    <w:basedOn w:val="745"/>
    <w:next w:val="745"/>
    <w:semiHidden/>
    <w:qFormat/>
    <w:pPr>
      <w:spacing w:line="240" w:lineRule="atLeast"/>
    </w:pPr>
    <w:rPr>
      <w:b/>
      <w:bCs/>
      <w:szCs w:val="21"/>
    </w:rPr>
  </w:style>
  <w:style w:type="paragraph" w:styleId="994" w:customStyle="1">
    <w:name w:val="批注主题1"/>
    <w:basedOn w:val="957"/>
    <w:next w:val="957"/>
    <w:link w:val="995"/>
    <w:semiHidden/>
    <w:qFormat/>
    <w:rPr>
      <w:b/>
      <w:bCs/>
      <w:szCs w:val="21"/>
    </w:rPr>
  </w:style>
  <w:style w:type="character" w:styleId="995" w:customStyle="1">
    <w:name w:val="批注主题 字符"/>
    <w:link w:val="994"/>
    <w:semiHidden/>
    <w:qFormat/>
    <w:rPr>
      <w:rFonts w:ascii="Times New Roman" w:hAnsi="Times New Roman" w:eastAsia="宋体" w:cs="Times New Roman"/>
      <w:b/>
      <w:bCs/>
      <w:szCs w:val="21"/>
    </w:rPr>
  </w:style>
  <w:style w:type="paragraph" w:styleId="996" w:customStyle="1">
    <w:name w:val="正文首行缩进1"/>
    <w:basedOn w:val="745"/>
    <w:link w:val="997"/>
    <w:qFormat/>
    <w:pPr>
      <w:ind w:firstLine="200"/>
      <w:spacing w:line="360" w:lineRule="auto"/>
    </w:pPr>
    <w:rPr>
      <w:rFonts w:ascii="方正仿宋_GB2312" w:eastAsia="方正仿宋_GB2312"/>
      <w:sz w:val="30"/>
      <w:szCs w:val="30"/>
    </w:rPr>
  </w:style>
  <w:style w:type="character" w:styleId="997" w:customStyle="1">
    <w:name w:val="正文首行缩进 字符"/>
    <w:link w:val="996"/>
    <w:qFormat/>
    <w:rPr>
      <w:rFonts w:ascii="方正仿宋_GB2312" w:hAnsi="Times New Roman" w:eastAsia="方正仿宋_GB2312" w:cs="Times New Roman"/>
      <w:sz w:val="30"/>
      <w:szCs w:val="30"/>
    </w:rPr>
  </w:style>
  <w:style w:type="paragraph" w:styleId="998" w:customStyle="1">
    <w:name w:val="正文首行缩进 21"/>
    <w:basedOn w:val="963"/>
    <w:link w:val="999"/>
    <w:qFormat/>
    <w:pPr>
      <w:ind w:left="0" w:firstLine="420"/>
      <w:spacing w:after="0" w:line="360" w:lineRule="auto"/>
    </w:pPr>
    <w:rPr>
      <w:rFonts w:ascii="宋体" w:hAnsi="宋体"/>
      <w:szCs w:val="20"/>
    </w:rPr>
  </w:style>
  <w:style w:type="character" w:styleId="999" w:customStyle="1">
    <w:name w:val="正文首行缩进 2 字符"/>
    <w:link w:val="998"/>
    <w:qFormat/>
    <w:rPr>
      <w:rFonts w:ascii="宋体" w:hAnsi="宋体" w:eastAsia="宋体" w:cs="Times New Roman"/>
      <w:szCs w:val="20"/>
    </w:rPr>
  </w:style>
  <w:style w:type="table" w:styleId="1000" w:customStyle="1">
    <w:name w:val="网格型1"/>
    <w:basedOn w:val="942"/>
    <w:qFormat/>
    <w:pPr>
      <w:jc w:val="both"/>
      <w:widowControl w:val="off"/>
    </w:pPr>
    <w:tblPr/>
  </w:style>
  <w:style w:type="character" w:styleId="1001" w:customStyle="1">
    <w:name w:val="要点1"/>
    <w:qFormat/>
    <w:rPr>
      <w:b/>
      <w:bCs/>
    </w:rPr>
  </w:style>
  <w:style w:type="character" w:styleId="1002" w:customStyle="1">
    <w:name w:val="页码1"/>
    <w:qFormat/>
  </w:style>
  <w:style w:type="character" w:styleId="1003" w:customStyle="1">
    <w:name w:val="已访问的超链接1"/>
    <w:qFormat/>
    <w:rPr>
      <w:color w:val="800080"/>
      <w:u w:val="single"/>
    </w:rPr>
  </w:style>
  <w:style w:type="character" w:styleId="1004" w:customStyle="1">
    <w:name w:val="强调1"/>
    <w:qFormat/>
    <w:rPr>
      <w:i/>
    </w:rPr>
  </w:style>
  <w:style w:type="character" w:styleId="1005" w:customStyle="1">
    <w:name w:val="超链接1"/>
    <w:qFormat/>
    <w:rPr>
      <w:color w:val="0000ff"/>
      <w:u w:val="single"/>
    </w:rPr>
  </w:style>
  <w:style w:type="character" w:styleId="1006" w:customStyle="1">
    <w:name w:val="批注引用1"/>
    <w:semiHidden/>
    <w:qFormat/>
    <w:rPr>
      <w:sz w:val="21"/>
      <w:szCs w:val="21"/>
    </w:rPr>
  </w:style>
  <w:style w:type="character" w:styleId="1007" w:customStyle="1">
    <w:name w:val="font5 Char"/>
    <w:qFormat/>
    <w:rPr>
      <w:rFonts w:ascii="宋体" w:hAnsi="宋体" w:eastAsia="宋体"/>
      <w:sz w:val="28"/>
      <w:szCs w:val="28"/>
      <w:lang w:val="en-US" w:eastAsia="zh-CN" w:bidi="ar-SA"/>
    </w:rPr>
  </w:style>
  <w:style w:type="character" w:styleId="1008" w:customStyle="1">
    <w:name w:val="二级目录 Char"/>
    <w:link w:val="1009"/>
    <w:qFormat/>
    <w:rPr>
      <w:b/>
      <w:sz w:val="30"/>
      <w:szCs w:val="28"/>
    </w:rPr>
  </w:style>
  <w:style w:type="paragraph" w:styleId="1009" w:customStyle="1">
    <w:name w:val="二级目录"/>
    <w:next w:val="745"/>
    <w:link w:val="1008"/>
    <w:qFormat/>
    <w:pPr>
      <w:ind w:left="907" w:hanging="907"/>
      <w:tabs>
        <w:tab w:val="left" w:pos="907" w:leader="none"/>
        <w:tab w:val="left" w:pos="1145" w:leader="none"/>
      </w:tabs>
      <w:outlineLvl w:val="1"/>
    </w:pPr>
    <w:rPr>
      <w:b/>
      <w:sz w:val="30"/>
      <w:szCs w:val="28"/>
    </w:rPr>
  </w:style>
  <w:style w:type="character" w:styleId="1010" w:customStyle="1">
    <w:name w:val="列出段落 Char"/>
    <w:link w:val="1011"/>
    <w:qFormat/>
    <w:rPr>
      <w:rFonts w:ascii="Calibri" w:hAnsi="Calibri"/>
      <w:sz w:val="24"/>
      <w:szCs w:val="24"/>
      <w:lang w:eastAsia="en-US" w:bidi="en-US"/>
    </w:rPr>
  </w:style>
  <w:style w:type="paragraph" w:styleId="1011" w:customStyle="1">
    <w:name w:val="列出段落1"/>
    <w:basedOn w:val="745"/>
    <w:link w:val="1010"/>
    <w:qFormat/>
    <w:pPr>
      <w:contextualSpacing/>
      <w:ind w:left="720"/>
      <w:jc w:val="left"/>
      <w:widowControl/>
    </w:pPr>
    <w:rPr>
      <w:rFonts w:ascii="Calibri" w:hAnsi="Calibri"/>
      <w:sz w:val="24"/>
      <w:szCs w:val="24"/>
      <w:lang w:eastAsia="en-US" w:bidi="en-US"/>
    </w:rPr>
  </w:style>
  <w:style w:type="paragraph" w:styleId="1012" w:customStyle="1">
    <w:name w:val="Body Text(ch)"/>
    <w:basedOn w:val="745"/>
    <w:next w:val="961"/>
    <w:qFormat/>
    <w:pPr>
      <w:spacing w:after="120"/>
    </w:pPr>
    <w:rPr>
      <w:rFonts w:ascii="宋体" w:hAnsi="Arial"/>
      <w:bCs/>
      <w:iCs/>
      <w:szCs w:val="24"/>
    </w:rPr>
  </w:style>
  <w:style w:type="paragraph" w:styleId="1013" w:customStyle="1">
    <w:name w:val="xl27"/>
    <w:basedOn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6"/>
    <w:basedOn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w:basedOn w:val="745"/>
    <w:qFormat/>
    <w:pPr>
      <w:ind w:firstLine="200"/>
      <w:tabs>
        <w:tab w:val="left" w:pos="360" w:leader="none"/>
      </w:tabs>
    </w:pPr>
    <w:rPr>
      <w:sz w:val="28"/>
      <w:szCs w:val="30"/>
    </w:rPr>
  </w:style>
  <w:style w:type="paragraph" w:styleId="1016" w:customStyle="1">
    <w:name w:val="Char1"/>
    <w:basedOn w:val="955"/>
    <w:qFormat/>
    <w:rPr>
      <w:rFonts w:ascii="Tahoma" w:hAnsi="Tahoma"/>
      <w:sz w:val="24"/>
      <w:szCs w:val="24"/>
    </w:rPr>
  </w:style>
  <w:style w:type="paragraph" w:styleId="1017" w:customStyle="1">
    <w:name w:val="普通正文"/>
    <w:basedOn w:val="745"/>
    <w:qFormat/>
    <w:pPr>
      <w:ind w:firstLine="480"/>
      <w:jc w:val="left"/>
      <w:spacing w:before="120" w:after="120" w:line="360" w:lineRule="auto"/>
    </w:pPr>
    <w:rPr>
      <w:rFonts w:ascii="Arial" w:hAnsi="Arial"/>
      <w:sz w:val="24"/>
      <w:szCs w:val="24"/>
    </w:rPr>
  </w:style>
  <w:style w:type="paragraph" w:styleId="1018" w:customStyle="1">
    <w:name w:val="table_lines"/>
    <w:basedOn w:val="745"/>
    <w:qFormat/>
    <w:pPr>
      <w:jc w:val="left"/>
      <w:widowControl/>
    </w:pPr>
    <w:rPr>
      <w:sz w:val="20"/>
      <w:szCs w:val="20"/>
      <w:lang w:val="de-DE" w:eastAsia="de-DE"/>
    </w:rPr>
  </w:style>
  <w:style w:type="paragraph" w:styleId="1019" w:customStyle="1">
    <w:name w:val="附录1"/>
    <w:qFormat/>
    <w:pPr>
      <w:numPr>
        <w:numId w:val="2"/>
      </w:numPr>
      <w:spacing w:before="240" w:line="600" w:lineRule="atLeast"/>
    </w:pPr>
    <w:rPr>
      <w:b/>
      <w:i/>
      <w:sz w:val="28"/>
    </w:rPr>
  </w:style>
  <w:style w:type="paragraph" w:styleId="1020" w:customStyle="1">
    <w:name w:val="font7"/>
    <w:basedOn w:val="745"/>
    <w:qFormat/>
    <w:pPr>
      <w:jc w:val="left"/>
      <w:spacing w:before="100" w:beforeAutospacing="1" w:after="100" w:afterAutospacing="1"/>
      <w:widowControl/>
    </w:pPr>
    <w:rPr>
      <w:rFonts w:hint="eastAsia" w:ascii="宋体" w:hAnsi="宋体"/>
      <w:sz w:val="18"/>
      <w:szCs w:val="18"/>
    </w:rPr>
  </w:style>
  <w:style w:type="paragraph" w:styleId="1021" w:customStyle="1">
    <w:name w:val="Char Char Char Char"/>
    <w:basedOn w:val="955"/>
    <w:qFormat/>
    <w:pPr>
      <w:spacing w:line="360" w:lineRule="auto"/>
    </w:pPr>
    <w:rPr>
      <w:rFonts w:ascii="Tahoma" w:hAnsi="Tahoma"/>
      <w:sz w:val="24"/>
      <w:szCs w:val="24"/>
    </w:rPr>
  </w:style>
  <w:style w:type="paragraph" w:styleId="1022" w:customStyle="1">
    <w:name w:val="列出段落2"/>
    <w:basedOn w:val="745"/>
    <w:qFormat/>
    <w:pPr>
      <w:contextualSpacing/>
      <w:ind w:left="720"/>
      <w:jc w:val="left"/>
      <w:widowControl/>
    </w:pPr>
    <w:rPr>
      <w:rFonts w:ascii="Calibri" w:hAnsi="Calibri"/>
      <w:sz w:val="24"/>
      <w:szCs w:val="24"/>
      <w:lang w:eastAsia="en-US" w:bidi="en-US"/>
    </w:rPr>
  </w:style>
  <w:style w:type="paragraph" w:styleId="1023" w:customStyle="1">
    <w:name w:val="4"/>
    <w:basedOn w:val="745"/>
    <w:next w:val="985"/>
    <w:qFormat/>
    <w:pPr>
      <w:ind w:firstLine="420"/>
      <w:spacing w:line="360" w:lineRule="auto"/>
    </w:pPr>
    <w:rPr>
      <w:color w:val="ff0000"/>
      <w:sz w:val="24"/>
      <w:szCs w:val="24"/>
    </w:rPr>
  </w:style>
  <w:style w:type="paragraph" w:styleId="1024" w:customStyle="1">
    <w:name w:val="普通 (Web)"/>
    <w:basedOn w:val="745"/>
    <w:qFormat/>
    <w:pPr>
      <w:jc w:val="left"/>
      <w:spacing w:before="100" w:beforeAutospacing="1" w:after="100" w:afterAutospacing="1"/>
      <w:widowControl/>
    </w:pPr>
    <w:rPr>
      <w:rFonts w:ascii="宋体" w:hAnsi="宋体"/>
      <w:sz w:val="24"/>
      <w:szCs w:val="24"/>
    </w:rPr>
  </w:style>
  <w:style w:type="paragraph" w:styleId="1025" w:customStyle="1">
    <w:name w:val="Char Char Char Char Char Char Char Char Char Char"/>
    <w:basedOn w:val="745"/>
    <w:qFormat/>
    <w:pPr>
      <w:spacing w:line="360" w:lineRule="auto"/>
    </w:pPr>
    <w:rPr>
      <w:sz w:val="24"/>
      <w:szCs w:val="20"/>
    </w:rPr>
  </w:style>
  <w:style w:type="paragraph" w:styleId="1026" w:customStyle="1">
    <w:name w:val="样式1"/>
    <w:basedOn w:val="745"/>
    <w:qFormat/>
    <w:pPr>
      <w:numPr>
        <w:numId w:val="3"/>
      </w:numPr>
    </w:pPr>
    <w:rPr>
      <w:rFonts w:ascii="宋体" w:hAnsi="宋体"/>
      <w:szCs w:val="21"/>
    </w:rPr>
  </w:style>
  <w:style w:type="paragraph" w:styleId="1027" w:customStyle="1">
    <w:name w:val="font6"/>
    <w:basedOn w:val="745"/>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4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45"/>
    <w:next w:val="745"/>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30" w:customStyle="1">
    <w:name w:val="标题3"/>
    <w:basedOn w:val="745"/>
    <w:next w:val="745"/>
    <w:qFormat/>
    <w:pPr>
      <w:ind w:firstLine="624"/>
      <w:spacing w:line="590" w:lineRule="atLeast"/>
    </w:pPr>
    <w:rPr>
      <w:rFonts w:ascii="方正黑体_GBK" w:eastAsia="方正黑体_GBK"/>
      <w:sz w:val="32"/>
      <w:szCs w:val="32"/>
    </w:rPr>
  </w:style>
  <w:style w:type="paragraph" w:styleId="1031" w:customStyle="1">
    <w:name w:val="xl24"/>
    <w:basedOn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9"/>
    <w:basedOn w:val="74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Char Char Char Char Char Char Char Char"/>
    <w:basedOn w:val="745"/>
    <w:qFormat/>
    <w:pPr>
      <w:jc w:val="left"/>
      <w:spacing w:after="160" w:line="240" w:lineRule="exact"/>
      <w:widowControl/>
    </w:pPr>
    <w:rPr>
      <w:rFonts w:ascii="Verdana" w:hAnsi="Verdana"/>
      <w:sz w:val="20"/>
      <w:szCs w:val="20"/>
      <w:lang w:eastAsia="en-US"/>
    </w:rPr>
  </w:style>
  <w:style w:type="paragraph" w:styleId="1034" w:customStyle="1">
    <w:name w:val="xl28"/>
    <w:basedOn w:val="7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customStyle="1">
    <w:name w:val="Char Char Char Char Char Char Char Char1"/>
    <w:basedOn w:val="745"/>
    <w:qFormat/>
    <w:pPr>
      <w:jc w:val="left"/>
      <w:spacing w:after="160" w:line="240" w:lineRule="exact"/>
      <w:widowControl/>
    </w:pPr>
    <w:rPr>
      <w:rFonts w:ascii="Verdana" w:hAnsi="Verdana"/>
      <w:sz w:val="20"/>
      <w:szCs w:val="20"/>
      <w:lang w:eastAsia="en-US"/>
    </w:rPr>
  </w:style>
  <w:style w:type="paragraph" w:styleId="1036" w:customStyle="1">
    <w:name w:val="xl30"/>
    <w:basedOn w:val="745"/>
    <w:qFormat/>
    <w:pPr>
      <w:jc w:val="center"/>
      <w:spacing w:before="100" w:beforeAutospacing="1" w:after="100" w:afterAutospacing="1"/>
      <w:widowControl/>
    </w:pPr>
    <w:rPr>
      <w:rFonts w:ascii="宋体" w:hAnsi="宋体"/>
      <w:b/>
      <w:bCs/>
      <w:sz w:val="36"/>
      <w:szCs w:val="36"/>
    </w:rPr>
  </w:style>
  <w:style w:type="paragraph" w:styleId="1037" w:customStyle="1">
    <w:name w:val="Char Char Char Char1"/>
    <w:basedOn w:val="955"/>
    <w:qFormat/>
    <w:pPr>
      <w:spacing w:line="360" w:lineRule="auto"/>
    </w:pPr>
    <w:rPr>
      <w:rFonts w:ascii="Tahoma" w:hAnsi="Tahoma"/>
      <w:sz w:val="24"/>
      <w:szCs w:val="24"/>
    </w:rPr>
  </w:style>
  <w:style w:type="paragraph" w:styleId="1038" w:customStyle="1">
    <w:name w:val="table_1stline"/>
    <w:basedOn w:val="745"/>
    <w:qFormat/>
    <w:pPr>
      <w:jc w:val="left"/>
      <w:spacing w:before="120"/>
      <w:widowControl/>
    </w:pPr>
    <w:rPr>
      <w:bCs/>
      <w:sz w:val="20"/>
      <w:szCs w:val="20"/>
      <w:lang w:val="de-DE" w:eastAsia="de-DE"/>
    </w:rPr>
  </w:style>
  <w:style w:type="paragraph" w:styleId="1039" w:customStyle="1">
    <w:name w:val="font5"/>
    <w:basedOn w:val="745"/>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45"/>
    <w:next w:val="74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sz w:val="21"/>
      <w:szCs w:val="21"/>
    </w:rPr>
  </w:style>
  <w:style w:type="paragraph" w:styleId="1042" w:customStyle="1">
    <w:name w:val="无间隔1"/>
    <w:uiPriority w:val="99"/>
    <w:qFormat/>
    <w:pPr>
      <w:jc w:val="both"/>
      <w:widowControl w:val="off"/>
    </w:pPr>
    <w:rPr>
      <w:sz w:val="21"/>
      <w:szCs w:val="21"/>
    </w:rPr>
  </w:style>
  <w:style w:type="paragraph" w:styleId="1043" w:customStyle="1">
    <w:name w:val="AONormal"/>
    <w:qFormat/>
    <w:pPr>
      <w:ind w:firstLine="440"/>
      <w:spacing w:line="400" w:lineRule="exact"/>
    </w:pPr>
    <w:rPr>
      <w:rFonts w:ascii="华文楷体" w:hAnsi="华文楷体" w:eastAsia="华文楷体" w:cs="华文楷体"/>
      <w:sz w:val="22"/>
      <w:szCs w:val="21"/>
    </w:rPr>
  </w:style>
  <w:style w:type="paragraph" w:styleId="1044" w:customStyle="1">
    <w:name w:val="正文文本1"/>
    <w:basedOn w:val="745"/>
    <w:next w:val="745"/>
    <w:qFormat/>
    <w:rPr>
      <w:rFonts w:ascii="方正楷体_GB2312" w:hAnsi="Arial" w:eastAsia="方正楷体_GB2312"/>
      <w:sz w:val="28"/>
      <w:szCs w:val="28"/>
    </w:rPr>
  </w:style>
  <w:style w:type="paragraph" w:styleId="1045" w:customStyle="1">
    <w:name w:val="页脚1"/>
    <w:basedOn w:val="745"/>
    <w:uiPriority w:val="99"/>
    <w:qFormat/>
    <w:pPr>
      <w:jc w:val="left"/>
      <w:tabs>
        <w:tab w:val="center" w:pos="4153" w:leader="none"/>
        <w:tab w:val="right" w:pos="8306" w:leader="none"/>
      </w:tabs>
    </w:pPr>
    <w:rPr>
      <w:sz w:val="18"/>
      <w:szCs w:val="18"/>
    </w:rPr>
  </w:style>
  <w:style w:type="paragraph" w:styleId="1046" w:customStyle="1">
    <w:name w:val="正文缩进1"/>
    <w:basedOn w:val="745"/>
    <w:qFormat/>
    <w:pPr>
      <w:ind w:firstLine="420"/>
    </w:pPr>
    <w:rPr>
      <w:szCs w:val="21"/>
    </w:rPr>
  </w:style>
  <w:style w:type="character" w:styleId="1047" w:customStyle="1">
    <w:name w:val="批注文字 Char"/>
    <w:basedOn w:val="755"/>
    <w:link w:val="760"/>
    <w:uiPriority w:val="99"/>
    <w:semiHidden/>
    <w:qFormat/>
    <w:rPr>
      <w:sz w:val="21"/>
      <w:szCs w:val="22"/>
    </w:rPr>
  </w:style>
  <w:style w:type="character" w:styleId="1048" w:customStyle="1">
    <w:name w:val="批注主题 Char"/>
    <w:basedOn w:val="1047"/>
    <w:link w:val="777"/>
    <w:uiPriority w:val="99"/>
    <w:semiHidden/>
    <w:qFormat/>
    <w:rPr>
      <w:b/>
      <w:bCs/>
      <w:sz w:val="21"/>
      <w:szCs w:val="22"/>
    </w:rPr>
  </w:style>
  <w:style w:type="character" w:styleId="1049" w:customStyle="1">
    <w:name w:val="批注框文本 Char"/>
    <w:basedOn w:val="755"/>
    <w:link w:val="765"/>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张文怡</cp:lastModifiedBy>
  <cp:revision>74</cp:revision>
  <dcterms:created xsi:type="dcterms:W3CDTF">2026-08-03T02:16:00Z</dcterms:created>
  <dcterms:modified xsi:type="dcterms:W3CDTF">2026-08-05T01:41:05Z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eyJoZGlkIjoiZWEwOTIyZGQyMDliYzE2M2I4NDM1ZDA3NGEyNDBlMjQiLCJ1c2VySWQiOiIxNjY1NzQ1MjU0In0=</vt:lpwstr>
  </property>
  <property fmtid="{D5CDD505-2E9C-101B-9397-08002B2CF9AE}" pid="3" name="KSOProductBuildVer">
    <vt:lpwstr>2052-12.1.0.23542</vt:lpwstr>
  </property>
  <property fmtid="{D5CDD505-2E9C-101B-9397-08002B2CF9AE}" pid="4" name="ICV">
    <vt:lpwstr>3E3BF38DB9194361AA976EA653574AA8_13</vt:lpwstr>
  </property>
</Properties>
</file>