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7"/>
        <w:ind w:firstLine="0"/>
        <w:spacing w:before="0" w:after="0"/>
        <w:rPr>
          <w:rFonts w:hint="eastAsia" w:ascii="宋体" w:hAnsi="宋体"/>
        </w:rPr>
      </w:pPr>
      <w:r>
        <w:rPr>
          <w:rFonts w:hint="eastAsia" w:ascii="宋体" w:hAnsi="宋体"/>
        </w:rPr>
      </w:r>
      <w:r/>
    </w:p>
    <w:p>
      <w:pPr>
        <w:pStyle w:val="997"/>
        <w:ind w:firstLine="0"/>
        <w:jc w:val="center"/>
        <w:rPr>
          <w:rFonts w:hint="eastAsia" w:ascii="宋体" w:hAnsi="宋体"/>
          <w:b/>
          <w:bCs/>
          <w:sz w:val="84"/>
        </w:rPr>
      </w:pPr>
      <w:r>
        <w:rPr>
          <w:rFonts w:hint="eastAsia" w:ascii="宋体" w:hAnsi="宋体"/>
          <w:b/>
          <w:bCs/>
          <w:sz w:val="84"/>
        </w:rPr>
      </w:r>
      <w:r/>
    </w:p>
    <w:p>
      <w:pPr>
        <w:pStyle w:val="997"/>
        <w:ind w:firstLine="0"/>
        <w:jc w:val="center"/>
        <w:rPr>
          <w:rFonts w:hint="eastAsia" w:ascii="宋体" w:hAnsi="宋体"/>
          <w:bCs/>
          <w:sz w:val="72"/>
          <w:szCs w:val="72"/>
        </w:rPr>
      </w:pPr>
      <w:r>
        <w:rPr>
          <w:rFonts w:hint="eastAsia" w:ascii="宋体" w:hAnsi="宋体"/>
          <w:bCs/>
          <w:sz w:val="72"/>
          <w:szCs w:val="72"/>
        </w:rPr>
        <w:t xml:space="preserve">单一来源采购文件</w:t>
      </w:r>
      <w:r/>
    </w:p>
    <w:p>
      <w:pPr>
        <w:pStyle w:val="997"/>
        <w:ind w:firstLine="0"/>
        <w:jc w:val="center"/>
        <w:rPr>
          <w:rFonts w:hint="eastAsia" w:ascii="宋体" w:hAnsi="宋体"/>
          <w:b/>
          <w:bCs/>
          <w:sz w:val="32"/>
        </w:rPr>
      </w:pPr>
      <w:r>
        <w:rPr>
          <w:rFonts w:hint="eastAsia" w:ascii="宋体" w:hAnsi="宋体"/>
          <w:b/>
          <w:bCs/>
          <w:sz w:val="32"/>
        </w:rPr>
      </w:r>
      <w:r/>
    </w:p>
    <w:p>
      <w:pPr>
        <w:pStyle w:val="997"/>
        <w:ind w:firstLine="1727"/>
        <w:rPr>
          <w:rFonts w:hint="eastAsia" w:ascii="宋体" w:hAnsi="宋体"/>
          <w:b/>
          <w:bCs/>
          <w:spacing w:val="-8"/>
          <w:sz w:val="36"/>
          <w:szCs w:val="36"/>
        </w:rPr>
      </w:pPr>
      <w:r>
        <w:rPr>
          <w:rFonts w:hint="eastAsia" w:ascii="宋体" w:hAnsi="宋体"/>
          <w:b/>
          <w:bCs/>
          <w:spacing w:val="-8"/>
          <w:sz w:val="36"/>
          <w:szCs w:val="36"/>
        </w:rPr>
        <w:t xml:space="preserve">项目名称：徐</w:t>
      </w:r>
      <w:r>
        <w:rPr>
          <w:rFonts w:hint="eastAsia" w:ascii="宋体" w:hAnsi="宋体"/>
          <w:b/>
          <w:bCs/>
          <w:spacing w:val="-8"/>
          <w:sz w:val="36"/>
          <w:szCs w:val="36"/>
        </w:rPr>
        <w:t xml:space="preserve">医</w:t>
      </w:r>
      <w:r>
        <w:rPr>
          <w:rFonts w:hint="eastAsia" w:ascii="宋体" w:hAnsi="宋体"/>
          <w:b/>
          <w:bCs/>
          <w:spacing w:val="-8"/>
          <w:sz w:val="36"/>
          <w:szCs w:val="36"/>
        </w:rPr>
        <w:t xml:space="preserve">附院</w:t>
      </w:r>
      <w:r>
        <w:rPr>
          <w:rFonts w:hint="eastAsia" w:ascii="宋体" w:hAnsi="宋体"/>
          <w:b/>
          <w:bCs/>
          <w:spacing w:val="-8"/>
          <w:sz w:val="36"/>
          <w:szCs w:val="36"/>
        </w:rPr>
        <w:t xml:space="preserve">医</w:t>
      </w:r>
      <w:r>
        <w:rPr>
          <w:rFonts w:hint="eastAsia" w:ascii="宋体" w:hAnsi="宋体"/>
          <w:b/>
          <w:bCs/>
          <w:spacing w:val="-8"/>
          <w:sz w:val="36"/>
          <w:szCs w:val="36"/>
        </w:rPr>
        <w:t xml:space="preserve">废处置服务项目</w:t>
      </w:r>
      <w:r/>
    </w:p>
    <w:p>
      <w:pPr>
        <w:pStyle w:val="997"/>
        <w:ind w:firstLine="1727"/>
        <w:rPr>
          <w:rFonts w:hint="eastAsia" w:ascii="宋体" w:hAnsi="宋体"/>
          <w:b/>
          <w:bCs/>
          <w:sz w:val="32"/>
        </w:rPr>
      </w:pPr>
      <w:r>
        <w:rPr>
          <w:rFonts w:hint="eastAsia" w:ascii="宋体" w:hAnsi="宋体"/>
          <w:b/>
          <w:bCs/>
          <w:spacing w:val="-8"/>
          <w:sz w:val="36"/>
          <w:szCs w:val="36"/>
        </w:rPr>
        <w:t xml:space="preserve">项目编号：</w:t>
      </w:r>
      <w:r>
        <w:rPr>
          <w:rFonts w:ascii="宋体" w:hAnsi="宋体"/>
          <w:b/>
          <w:bCs/>
          <w:sz w:val="32"/>
        </w:rPr>
        <w:t xml:space="preserve">JSZC-320000-HWZX-D2026-0412</w:t>
      </w:r>
      <w:r>
        <w:rPr>
          <w:rFonts w:ascii="宋体" w:hAnsi="宋体"/>
          <w:b/>
          <w:bCs/>
          <w:sz w:val="32"/>
        </w:rPr>
        <w:tab/>
      </w:r>
      <w:r/>
    </w:p>
    <w:p>
      <w:pPr>
        <w:pStyle w:val="994"/>
        <w:ind w:firstLine="1807"/>
        <w:rPr>
          <w:rFonts w:hint="eastAsia" w:ascii="宋体" w:hAnsi="宋体" w:cstheme="minorBidi"/>
          <w:b/>
          <w:bCs/>
          <w:sz w:val="36"/>
          <w:szCs w:val="36"/>
        </w:rPr>
      </w:pPr>
      <w:r>
        <w:rPr>
          <w:rFonts w:hint="eastAsia" w:ascii="宋体" w:hAnsi="宋体" w:cstheme="minorBidi"/>
          <w:b/>
          <w:bCs/>
          <w:sz w:val="36"/>
          <w:szCs w:val="36"/>
        </w:rPr>
        <w:t xml:space="preserve">采购代理编号：0675-266JOC003550</w:t>
      </w:r>
      <w:r/>
    </w:p>
    <w:p>
      <w:pPr>
        <w:pStyle w:val="997"/>
        <w:ind w:firstLine="0"/>
        <w:spacing w:before="0" w:after="0"/>
        <w:rPr>
          <w:rFonts w:hint="eastAsia" w:ascii="宋体" w:hAnsi="宋体"/>
        </w:rPr>
      </w:pPr>
      <w:r>
        <w:rPr>
          <w:rFonts w:hint="eastAsia" w:ascii="宋体" w:hAnsi="宋体"/>
        </w:rPr>
      </w:r>
      <w:r/>
    </w:p>
    <w:p>
      <w:pPr>
        <w:pStyle w:val="997"/>
        <w:ind w:firstLine="0"/>
        <w:spacing w:before="0" w:after="0"/>
        <w:rPr>
          <w:rFonts w:hint="eastAsia" w:ascii="宋体" w:hAnsi="宋体"/>
        </w:rPr>
      </w:pPr>
      <w:r>
        <w:rPr>
          <w:rFonts w:hint="eastAsia" w:ascii="宋体" w:hAnsi="宋体"/>
        </w:rPr>
      </w:r>
      <w:r/>
    </w:p>
    <w:p>
      <w:pPr>
        <w:pStyle w:val="997"/>
        <w:ind w:firstLine="0"/>
        <w:spacing w:before="0" w:after="0"/>
        <w:rPr>
          <w:rFonts w:hint="eastAsia" w:ascii="宋体" w:hAnsi="宋体"/>
        </w:rPr>
      </w:pPr>
      <w:r>
        <w:rPr>
          <w:rFonts w:hint="eastAsia" w:ascii="宋体" w:hAnsi="宋体"/>
        </w:rPr>
      </w:r>
      <w:r/>
    </w:p>
    <w:p>
      <w:pPr>
        <w:pStyle w:val="997"/>
        <w:ind w:firstLine="0"/>
        <w:spacing w:before="0" w:after="0"/>
        <w:rPr>
          <w:rFonts w:hint="eastAsia" w:ascii="宋体" w:hAnsi="宋体"/>
        </w:rPr>
      </w:pPr>
      <w:r>
        <w:rPr>
          <w:rFonts w:hint="eastAsia" w:ascii="宋体" w:hAnsi="宋体"/>
        </w:rPr>
      </w:r>
      <w:r/>
    </w:p>
    <w:p>
      <w:pPr>
        <w:pStyle w:val="997"/>
        <w:ind w:firstLine="0"/>
        <w:spacing w:before="0" w:after="0"/>
        <w:rPr>
          <w:rFonts w:hint="eastAsia" w:ascii="宋体" w:hAnsi="宋体"/>
        </w:rPr>
      </w:pPr>
      <w:r>
        <w:rPr>
          <w:rFonts w:hint="eastAsia" w:ascii="宋体" w:hAnsi="宋体"/>
        </w:rPr>
      </w:r>
      <w:r/>
    </w:p>
    <w:p>
      <w:pPr>
        <w:pStyle w:val="997"/>
        <w:ind w:firstLine="0"/>
        <w:spacing w:before="0" w:after="0"/>
        <w:rPr>
          <w:rFonts w:hint="eastAsia" w:ascii="宋体" w:hAnsi="宋体"/>
        </w:rPr>
      </w:pPr>
      <w:r>
        <w:rPr>
          <w:rFonts w:hint="eastAsia" w:ascii="宋体" w:hAnsi="宋体"/>
        </w:rPr>
      </w:r>
      <w:r/>
    </w:p>
    <w:p>
      <w:pPr>
        <w:pStyle w:val="997"/>
        <w:ind w:firstLine="0"/>
        <w:spacing w:before="0" w:after="0"/>
        <w:rPr>
          <w:rFonts w:hint="eastAsia" w:ascii="宋体" w:hAnsi="宋体"/>
        </w:rPr>
      </w:pPr>
      <w:r>
        <w:rPr>
          <w:rFonts w:hint="eastAsia" w:ascii="宋体" w:hAnsi="宋体"/>
        </w:rPr>
      </w:r>
      <w:r/>
    </w:p>
    <w:p>
      <w:pPr>
        <w:pStyle w:val="997"/>
        <w:ind w:firstLine="0"/>
        <w:spacing w:before="0" w:after="0"/>
        <w:rPr>
          <w:rFonts w:hint="eastAsia" w:ascii="宋体" w:hAnsi="宋体"/>
        </w:rPr>
      </w:pPr>
      <w:r>
        <w:rPr>
          <w:rFonts w:hint="eastAsia" w:ascii="宋体" w:hAnsi="宋体"/>
        </w:rPr>
      </w:r>
      <w:r/>
    </w:p>
    <w:p>
      <w:pPr>
        <w:jc w:val="center"/>
        <w:spacing w:before="120" w:after="120" w:line="700" w:lineRule="exact"/>
        <w:rPr>
          <w:rFonts w:hint="eastAsia" w:ascii="宋体" w:hAnsi="宋体" w:cs="宋体"/>
          <w:b/>
          <w:bCs/>
          <w:sz w:val="36"/>
          <w:szCs w:val="36"/>
        </w:rPr>
      </w:pPr>
      <w:r>
        <w:rPr>
          <w:rFonts w:hint="eastAsia" w:ascii="宋体" w:hAnsi="宋体" w:cs="宋体"/>
          <w:b/>
          <w:bCs/>
          <w:sz w:val="36"/>
          <w:szCs w:val="36"/>
        </w:rPr>
        <w:t xml:space="preserve"> 徐州医科大学附属医院</w:t>
      </w:r>
      <w:r/>
    </w:p>
    <w:p>
      <w:pPr>
        <w:jc w:val="center"/>
        <w:spacing w:before="120" w:after="120" w:line="700" w:lineRule="exact"/>
        <w:rPr>
          <w:rFonts w:hint="eastAsia" w:ascii="宋体" w:hAnsi="宋体" w:cs="宋体"/>
          <w:b/>
          <w:bCs/>
          <w:sz w:val="36"/>
          <w:szCs w:val="36"/>
        </w:rPr>
      </w:pPr>
      <w:r>
        <w:rPr>
          <w:rFonts w:hint="eastAsia" w:ascii="宋体" w:hAnsi="宋体" w:cs="宋体"/>
          <w:b/>
          <w:bCs/>
          <w:sz w:val="36"/>
          <w:szCs w:val="36"/>
        </w:rPr>
        <w:t xml:space="preserve"> 2026年7月</w:t>
      </w:r>
      <w:r/>
    </w:p>
    <w:p>
      <w:pPr>
        <w:pStyle w:val="997"/>
        <w:ind w:firstLine="0"/>
        <w:jc w:val="center"/>
        <w:rPr>
          <w:rFonts w:hint="eastAsia" w:ascii="宋体" w:hAnsi="宋体"/>
        </w:rPr>
      </w:pPr>
      <w:r>
        <w:rPr>
          <w:rFonts w:hint="eastAsia" w:ascii="宋体" w:hAnsi="宋体"/>
        </w:rPr>
      </w:r>
      <w:r/>
    </w:p>
    <w:p>
      <w:pPr>
        <w:jc w:val="center"/>
        <w:spacing w:line="1120" w:lineRule="exact"/>
        <w:rPr>
          <w:rFonts w:hint="eastAsia" w:ascii="宋体" w:hAnsi="宋体"/>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720" w:equalWidth="1"/>
          <w:docGrid w:linePitch="360"/>
          <w:titlePg/>
        </w:sectPr>
        <w:outlineLvl w:val="0"/>
      </w:pPr>
      <w:r/>
      <w:bookmarkStart w:id="0" w:name="_Toc416161794"/>
      <w:r/>
      <w:bookmarkStart w:id="1" w:name="_Toc20823272"/>
      <w:r/>
      <w:bookmarkStart w:id="2" w:name="_Toc523127445"/>
      <w:r/>
      <w:bookmarkStart w:id="3" w:name="_Toc120614211"/>
      <w:r/>
      <w:bookmarkStart w:id="4" w:name="_Toc513029200"/>
      <w:r/>
      <w:bookmarkStart w:id="5" w:name="_Toc479757206"/>
      <w:r/>
      <w:bookmarkStart w:id="6" w:name="_Toc16938516"/>
      <w:r/>
      <w:r/>
    </w:p>
    <w:p>
      <w:pPr>
        <w:pStyle w:val="999"/>
        <w:numPr>
          <w:ilvl w:val="0"/>
          <w:numId w:val="0"/>
        </w:numPr>
        <w:rPr>
          <w:rFonts w:hint="eastAsia" w:ascii="宋体"/>
        </w:rPr>
      </w:pPr>
      <w:r>
        <w:rPr>
          <w:rFonts w:hint="eastAsia" w:ascii="宋体"/>
        </w:rPr>
      </w:r>
      <w:r/>
    </w:p>
    <w:p>
      <w:pPr>
        <w:jc w:val="center"/>
        <w:spacing w:line="1120" w:lineRule="exact"/>
        <w:rPr>
          <w:rFonts w:hint="eastAsia" w:ascii="宋体" w:hAnsi="宋体"/>
          <w:sz w:val="44"/>
          <w:szCs w:val="44"/>
        </w:rPr>
        <w:outlineLvl w:val="0"/>
      </w:pPr>
      <w:r>
        <w:rPr>
          <w:rFonts w:hint="eastAsia" w:ascii="宋体" w:hAnsi="宋体"/>
          <w:sz w:val="44"/>
          <w:szCs w:val="44"/>
        </w:rPr>
        <w:t xml:space="preserve">目   录</w:t>
      </w:r>
      <w:r/>
    </w:p>
    <w:p>
      <w:pPr>
        <w:ind w:firstLine="300"/>
        <w:jc w:val="both"/>
        <w:spacing w:line="1120" w:lineRule="exact"/>
        <w:rPr>
          <w:rFonts w:hint="eastAsia" w:ascii="宋体" w:hAnsi="宋体"/>
          <w:sz w:val="30"/>
          <w:szCs w:val="30"/>
        </w:rPr>
      </w:pPr>
      <w:r>
        <w:rPr>
          <w:rFonts w:hint="eastAsia" w:ascii="宋体" w:hAnsi="宋体"/>
          <w:sz w:val="30"/>
          <w:szCs w:val="30"/>
        </w:rPr>
        <w:t xml:space="preserve">第一章  </w:t>
      </w:r>
      <w:bookmarkStart w:id="7" w:name="OLE_LINK77"/>
      <w:r>
        <w:rPr>
          <w:rFonts w:hint="eastAsia" w:ascii="宋体" w:hAnsi="宋体"/>
          <w:sz w:val="30"/>
          <w:szCs w:val="30"/>
        </w:rPr>
        <w:t xml:space="preserve">单一来源采购邀请</w:t>
      </w:r>
      <w:bookmarkEnd w:id="7"/>
      <w:r>
        <w:rPr>
          <w:rFonts w:hint="eastAsia" w:ascii="宋体" w:hAnsi="宋体"/>
          <w:sz w:val="30"/>
          <w:szCs w:val="30"/>
        </w:rPr>
        <w:t xml:space="preserve">……</w:t>
      </w:r>
      <w:r>
        <w:rPr>
          <w:rFonts w:hint="eastAsia" w:ascii="宋体" w:hAnsi="宋体"/>
          <w:sz w:val="30"/>
          <w:szCs w:val="30"/>
        </w:rPr>
        <w:t xml:space="preserve">………………………………</w:t>
      </w:r>
      <w:r>
        <w:rPr>
          <w:rFonts w:ascii="宋体" w:hAnsi="宋体"/>
          <w:sz w:val="30"/>
          <w:szCs w:val="30"/>
        </w:rPr>
        <w:t xml:space="preserve">…</w:t>
      </w:r>
      <w:r>
        <w:rPr>
          <w:rFonts w:hint="eastAsia" w:ascii="宋体" w:hAnsi="宋体"/>
          <w:sz w:val="30"/>
          <w:szCs w:val="30"/>
        </w:rPr>
        <w:t xml:space="preserve">……</w:t>
      </w:r>
      <w:r>
        <w:rPr>
          <w:rFonts w:hint="eastAsia" w:ascii="宋体" w:hAnsi="宋体"/>
          <w:sz w:val="30"/>
          <w:szCs w:val="30"/>
        </w:rPr>
        <w:t xml:space="preserve">2</w:t>
      </w:r>
      <w:r/>
    </w:p>
    <w:p>
      <w:pPr>
        <w:ind w:firstLine="300"/>
        <w:jc w:val="both"/>
        <w:spacing w:line="1120" w:lineRule="exact"/>
        <w:rPr>
          <w:rFonts w:hint="eastAsia" w:ascii="宋体" w:hAnsi="宋体"/>
          <w:sz w:val="30"/>
          <w:szCs w:val="30"/>
        </w:rPr>
      </w:pPr>
      <w:r>
        <w:rPr>
          <w:rFonts w:hint="eastAsia" w:ascii="宋体" w:hAnsi="宋体"/>
          <w:sz w:val="30"/>
          <w:szCs w:val="30"/>
        </w:rPr>
        <w:t xml:space="preserve">第二章  </w:t>
      </w:r>
      <w:bookmarkStart w:id="8" w:name="OLE_LINK78"/>
      <w:r>
        <w:rPr>
          <w:rFonts w:hint="eastAsia" w:ascii="宋体" w:hAnsi="宋体"/>
          <w:bCs/>
          <w:sz w:val="30"/>
          <w:szCs w:val="30"/>
        </w:rPr>
        <w:t xml:space="preserve">供应商须知</w:t>
      </w:r>
      <w:bookmarkEnd w:id="8"/>
      <w:r>
        <w:rPr>
          <w:rFonts w:hint="eastAsia" w:ascii="宋体" w:hAnsi="宋体"/>
          <w:sz w:val="30"/>
          <w:szCs w:val="30"/>
        </w:rPr>
        <w:t xml:space="preserve">……</w:t>
      </w:r>
      <w:r>
        <w:rPr>
          <w:rFonts w:hint="eastAsia" w:ascii="宋体" w:hAnsi="宋体"/>
          <w:sz w:val="30"/>
          <w:szCs w:val="30"/>
        </w:rPr>
        <w:t xml:space="preserve">…………………………………</w:t>
      </w:r>
      <w:r>
        <w:rPr>
          <w:rFonts w:ascii="宋体" w:hAnsi="宋体"/>
          <w:sz w:val="30"/>
          <w:szCs w:val="30"/>
        </w:rPr>
        <w:t xml:space="preserve">…</w:t>
      </w:r>
      <w:r>
        <w:rPr>
          <w:rFonts w:hint="eastAsia" w:ascii="宋体" w:hAnsi="宋体"/>
          <w:sz w:val="30"/>
          <w:szCs w:val="30"/>
        </w:rPr>
        <w:t xml:space="preserve">………</w:t>
      </w:r>
      <w:r>
        <w:rPr>
          <w:rFonts w:hint="eastAsia" w:ascii="宋体" w:hAnsi="宋体"/>
          <w:sz w:val="30"/>
          <w:szCs w:val="30"/>
        </w:rPr>
        <w:t xml:space="preserve">5</w:t>
      </w:r>
      <w:r/>
    </w:p>
    <w:p>
      <w:pPr>
        <w:ind w:firstLine="300"/>
        <w:jc w:val="both"/>
        <w:spacing w:line="1120" w:lineRule="exact"/>
        <w:rPr>
          <w:rFonts w:hint="eastAsia" w:ascii="宋体" w:hAnsi="宋体"/>
          <w:sz w:val="30"/>
          <w:szCs w:val="30"/>
        </w:rPr>
      </w:pPr>
      <w:r>
        <w:rPr>
          <w:rFonts w:hint="eastAsia" w:ascii="宋体" w:hAnsi="宋体"/>
          <w:sz w:val="30"/>
          <w:szCs w:val="30"/>
        </w:rPr>
        <w:t xml:space="preserve">第三章  </w:t>
      </w:r>
      <w:bookmarkStart w:id="9" w:name="OLE_LINK24"/>
      <w:r>
        <w:rPr>
          <w:rFonts w:hint="eastAsia" w:ascii="宋体" w:hAnsi="宋体"/>
          <w:sz w:val="30"/>
          <w:szCs w:val="30"/>
        </w:rPr>
        <w:t xml:space="preserve">合同条款及格式</w:t>
      </w:r>
      <w:bookmarkEnd w:id="9"/>
      <w:r>
        <w:rPr>
          <w:rFonts w:hint="eastAsia" w:ascii="宋体" w:hAnsi="宋体"/>
          <w:sz w:val="30"/>
          <w:szCs w:val="30"/>
        </w:rPr>
        <w:t xml:space="preserve">……</w:t>
      </w:r>
      <w:r>
        <w:rPr>
          <w:rFonts w:hint="eastAsia" w:ascii="宋体" w:hAnsi="宋体"/>
          <w:sz w:val="30"/>
          <w:szCs w:val="30"/>
        </w:rPr>
        <w:t xml:space="preserve">…………………………</w:t>
      </w:r>
      <w:r>
        <w:rPr>
          <w:rFonts w:ascii="宋体" w:hAnsi="宋体"/>
          <w:sz w:val="30"/>
          <w:szCs w:val="30"/>
        </w:rPr>
        <w:t xml:space="preserve">…</w:t>
      </w:r>
      <w:r>
        <w:rPr>
          <w:rFonts w:hint="eastAsia" w:ascii="宋体" w:hAnsi="宋体"/>
          <w:sz w:val="30"/>
          <w:szCs w:val="30"/>
        </w:rPr>
        <w:t xml:space="preserve">…………</w:t>
      </w:r>
      <w:r>
        <w:rPr>
          <w:rFonts w:hint="eastAsia" w:ascii="宋体" w:hAnsi="宋体"/>
          <w:sz w:val="30"/>
          <w:szCs w:val="30"/>
        </w:rPr>
        <w:t xml:space="preserve">14</w:t>
      </w:r>
      <w:r/>
    </w:p>
    <w:p>
      <w:pPr>
        <w:ind w:firstLine="300"/>
        <w:jc w:val="both"/>
        <w:spacing w:line="1120" w:lineRule="exact"/>
        <w:rPr>
          <w:rFonts w:hint="eastAsia" w:ascii="宋体" w:hAnsi="宋体"/>
          <w:sz w:val="30"/>
          <w:szCs w:val="30"/>
        </w:rPr>
      </w:pPr>
      <w:r>
        <w:rPr>
          <w:rFonts w:hint="eastAsia" w:ascii="宋体" w:hAnsi="宋体"/>
          <w:sz w:val="30"/>
          <w:szCs w:val="30"/>
        </w:rPr>
        <w:t xml:space="preserve">第四章 </w:t>
      </w:r>
      <w:bookmarkStart w:id="10" w:name="OLE_LINK79"/>
      <w:r>
        <w:rPr>
          <w:rFonts w:hint="eastAsia" w:ascii="宋体" w:hAnsi="宋体"/>
          <w:sz w:val="30"/>
          <w:szCs w:val="30"/>
        </w:rPr>
        <w:t xml:space="preserve"> </w:t>
      </w:r>
      <w:bookmarkStart w:id="11" w:name="OLE_LINK21"/>
      <w:r>
        <w:rPr>
          <w:rFonts w:hint="eastAsia" w:ascii="宋体" w:hAnsi="宋体"/>
          <w:sz w:val="30"/>
          <w:szCs w:val="30"/>
        </w:rPr>
        <w:t xml:space="preserve">项目需求</w:t>
      </w:r>
      <w:bookmarkEnd w:id="10"/>
      <w:r/>
      <w:bookmarkEnd w:id="11"/>
      <w:r>
        <w:rPr>
          <w:rFonts w:hint="eastAsia" w:ascii="宋体" w:hAnsi="宋体"/>
          <w:sz w:val="30"/>
          <w:szCs w:val="30"/>
        </w:rPr>
        <w:t xml:space="preserve">……</w:t>
      </w:r>
      <w:r>
        <w:rPr>
          <w:rFonts w:hint="eastAsia" w:ascii="宋体" w:hAnsi="宋体"/>
          <w:sz w:val="30"/>
          <w:szCs w:val="30"/>
        </w:rPr>
        <w:t xml:space="preserve">…………………</w:t>
      </w:r>
      <w:r>
        <w:rPr>
          <w:rFonts w:ascii="宋体" w:hAnsi="宋体"/>
          <w:sz w:val="30"/>
          <w:szCs w:val="30"/>
        </w:rPr>
        <w:t xml:space="preserve">…</w:t>
      </w:r>
      <w:r>
        <w:rPr>
          <w:rFonts w:hint="eastAsia" w:ascii="宋体" w:hAnsi="宋体"/>
          <w:sz w:val="30"/>
          <w:szCs w:val="30"/>
        </w:rPr>
        <w:t xml:space="preserve">……………</w:t>
      </w:r>
      <w:r>
        <w:rPr>
          <w:rFonts w:ascii="宋体" w:hAnsi="宋体"/>
          <w:sz w:val="30"/>
          <w:szCs w:val="30"/>
        </w:rPr>
        <w:t xml:space="preserve">…</w:t>
      </w:r>
      <w:r>
        <w:rPr>
          <w:rFonts w:hint="eastAsia" w:ascii="宋体" w:hAnsi="宋体"/>
          <w:sz w:val="30"/>
          <w:szCs w:val="30"/>
        </w:rPr>
        <w:t xml:space="preserve">…………</w:t>
      </w:r>
      <w:r>
        <w:rPr>
          <w:rFonts w:hint="eastAsia" w:ascii="宋体" w:hAnsi="宋体"/>
          <w:sz w:val="30"/>
          <w:szCs w:val="30"/>
        </w:rPr>
        <w:t xml:space="preserve">19</w:t>
      </w:r>
      <w:r/>
    </w:p>
    <w:p>
      <w:pPr>
        <w:ind w:firstLine="300"/>
        <w:jc w:val="both"/>
        <w:spacing w:line="1120" w:lineRule="exact"/>
        <w:rPr>
          <w:rFonts w:hint="eastAsia" w:ascii="宋体" w:hAnsi="宋体"/>
          <w:sz w:val="30"/>
          <w:szCs w:val="30"/>
        </w:rPr>
      </w:pPr>
      <w:r>
        <w:rPr>
          <w:rFonts w:hint="eastAsia" w:ascii="宋体" w:hAnsi="宋体"/>
          <w:sz w:val="30"/>
          <w:szCs w:val="30"/>
        </w:rPr>
        <w:t xml:space="preserve">第五章  </w:t>
      </w:r>
      <w:bookmarkStart w:id="12" w:name="OLE_LINK80"/>
      <w:r>
        <w:rPr>
          <w:rFonts w:hint="eastAsia" w:ascii="宋体" w:hAnsi="宋体"/>
          <w:sz w:val="30"/>
          <w:szCs w:val="30"/>
        </w:rPr>
        <w:t xml:space="preserve">响应文件格式</w:t>
      </w:r>
      <w:bookmarkEnd w:id="12"/>
      <w:r>
        <w:rPr>
          <w:rFonts w:hint="eastAsia" w:ascii="宋体" w:hAnsi="宋体"/>
          <w:sz w:val="30"/>
          <w:szCs w:val="30"/>
        </w:rPr>
        <w:t xml:space="preserve">……</w:t>
      </w:r>
      <w:r>
        <w:rPr>
          <w:rFonts w:hint="eastAsia" w:ascii="宋体" w:hAnsi="宋体"/>
          <w:sz w:val="30"/>
          <w:szCs w:val="30"/>
        </w:rPr>
        <w:t xml:space="preserve">……………</w:t>
      </w:r>
      <w:r>
        <w:rPr>
          <w:rFonts w:ascii="宋体" w:hAnsi="宋体"/>
          <w:sz w:val="30"/>
          <w:szCs w:val="30"/>
        </w:rPr>
        <w:t xml:space="preserve">…</w:t>
      </w:r>
      <w:r>
        <w:rPr>
          <w:rFonts w:hint="eastAsia" w:ascii="宋体" w:hAnsi="宋体"/>
          <w:sz w:val="30"/>
          <w:szCs w:val="30"/>
        </w:rPr>
        <w:t xml:space="preserve">…………</w:t>
      </w:r>
      <w:r>
        <w:rPr>
          <w:rFonts w:ascii="宋体" w:hAnsi="宋体"/>
          <w:sz w:val="30"/>
          <w:szCs w:val="30"/>
        </w:rPr>
        <w:t xml:space="preserve">…</w:t>
      </w:r>
      <w:r>
        <w:rPr>
          <w:rFonts w:hint="eastAsia" w:ascii="宋体" w:hAnsi="宋体"/>
          <w:sz w:val="30"/>
          <w:szCs w:val="30"/>
        </w:rPr>
        <w:t xml:space="preserve">…………</w:t>
      </w:r>
      <w:r>
        <w:rPr>
          <w:rFonts w:hint="eastAsia" w:ascii="宋体" w:hAnsi="宋体"/>
          <w:sz w:val="30"/>
          <w:szCs w:val="30"/>
        </w:rPr>
        <w:t xml:space="preserve">20</w:t>
      </w:r>
      <w:r/>
    </w:p>
    <w:p>
      <w:pPr>
        <w:ind w:firstLine="1788"/>
        <w:spacing w:before="100" w:beforeAutospacing="1" w:after="100" w:afterAutospacing="1" w:line="360" w:lineRule="auto"/>
        <w:rPr>
          <w:rFonts w:hint="eastAsia" w:ascii="宋体" w:hAnsi="宋体"/>
          <w:sz w:val="30"/>
          <w:szCs w:val="30"/>
        </w:rPr>
      </w:pPr>
      <w:r>
        <w:rPr>
          <w:rFonts w:hint="eastAsia" w:ascii="宋体" w:hAnsi="宋体"/>
          <w:sz w:val="30"/>
          <w:szCs w:val="30"/>
        </w:rPr>
      </w:r>
      <w:r/>
    </w:p>
    <w:p>
      <w:pPr>
        <w:ind w:firstLine="643"/>
        <w:jc w:val="center"/>
        <w:spacing w:line="500" w:lineRule="exact"/>
        <w:rPr>
          <w:rFonts w:hint="eastAsia" w:ascii="宋体" w:hAnsi="宋体"/>
          <w:b/>
          <w:bCs/>
          <w:sz w:val="32"/>
          <w:szCs w:val="32"/>
        </w:rPr>
      </w:pPr>
      <w:r>
        <w:rPr>
          <w:rFonts w:hint="eastAsia" w:ascii="宋体" w:hAnsi="宋体"/>
          <w:b/>
          <w:bCs/>
          <w:sz w:val="32"/>
          <w:szCs w:val="32"/>
        </w:rPr>
      </w:r>
      <w:r/>
    </w:p>
    <w:p>
      <w:pPr>
        <w:ind w:firstLine="643"/>
        <w:jc w:val="center"/>
        <w:spacing w:line="500" w:lineRule="exact"/>
        <w:rPr>
          <w:rFonts w:hint="eastAsia" w:ascii="宋体" w:hAnsi="宋体"/>
          <w:b/>
          <w:bCs/>
          <w:sz w:val="32"/>
          <w:szCs w:val="32"/>
        </w:rPr>
      </w:pPr>
      <w:r>
        <w:rPr>
          <w:rFonts w:hint="eastAsia" w:ascii="宋体" w:hAnsi="宋体"/>
          <w:b/>
          <w:bCs/>
          <w:sz w:val="32"/>
          <w:szCs w:val="32"/>
        </w:rPr>
      </w:r>
      <w:r/>
    </w:p>
    <w:p>
      <w:pPr>
        <w:ind w:firstLine="643"/>
        <w:jc w:val="center"/>
        <w:spacing w:line="500" w:lineRule="exact"/>
        <w:rPr>
          <w:rFonts w:hint="eastAsia" w:ascii="宋体" w:hAnsi="宋体"/>
          <w:b/>
          <w:bCs/>
          <w:sz w:val="32"/>
          <w:szCs w:val="32"/>
        </w:rPr>
      </w:pPr>
      <w:r>
        <w:rPr>
          <w:rFonts w:hint="eastAsia" w:ascii="宋体" w:hAnsi="宋体"/>
          <w:b/>
          <w:bCs/>
          <w:sz w:val="32"/>
          <w:szCs w:val="32"/>
        </w:rPr>
      </w:r>
      <w:r/>
    </w:p>
    <w:p>
      <w:pPr>
        <w:ind w:firstLine="643"/>
        <w:jc w:val="center"/>
        <w:spacing w:line="500" w:lineRule="exact"/>
        <w:rPr>
          <w:rFonts w:hint="eastAsia" w:ascii="宋体" w:hAnsi="宋体"/>
          <w:b/>
          <w:bCs/>
          <w:sz w:val="32"/>
          <w:szCs w:val="32"/>
        </w:rPr>
      </w:pPr>
      <w:r>
        <w:rPr>
          <w:rFonts w:hint="eastAsia" w:ascii="宋体" w:hAnsi="宋体"/>
          <w:b/>
          <w:bCs/>
          <w:sz w:val="32"/>
          <w:szCs w:val="32"/>
        </w:rPr>
      </w:r>
      <w:r/>
    </w:p>
    <w:p>
      <w:pPr>
        <w:ind w:firstLine="643"/>
        <w:jc w:val="center"/>
        <w:spacing w:line="500" w:lineRule="exact"/>
        <w:rPr>
          <w:rFonts w:hint="eastAsia" w:ascii="宋体" w:hAnsi="宋体"/>
          <w:b/>
          <w:bCs/>
          <w:sz w:val="32"/>
          <w:szCs w:val="32"/>
        </w:rPr>
      </w:pPr>
      <w:r>
        <w:rPr>
          <w:rFonts w:hint="eastAsia" w:ascii="宋体" w:hAnsi="宋体"/>
          <w:b/>
          <w:bCs/>
          <w:sz w:val="32"/>
          <w:szCs w:val="32"/>
        </w:rPr>
      </w:r>
      <w:r/>
    </w:p>
    <w:p>
      <w:pPr>
        <w:ind w:firstLine="643"/>
        <w:jc w:val="center"/>
        <w:spacing w:line="500" w:lineRule="exact"/>
        <w:rPr>
          <w:rFonts w:hint="eastAsia" w:ascii="宋体" w:hAnsi="宋体"/>
          <w:b/>
          <w:bCs/>
          <w:sz w:val="32"/>
          <w:szCs w:val="32"/>
        </w:rPr>
      </w:pPr>
      <w:r>
        <w:rPr>
          <w:rFonts w:hint="eastAsia" w:ascii="宋体" w:hAnsi="宋体"/>
          <w:b/>
          <w:bCs/>
          <w:sz w:val="32"/>
          <w:szCs w:val="32"/>
        </w:rPr>
      </w:r>
      <w:r/>
    </w:p>
    <w:p>
      <w:pPr>
        <w:ind w:firstLine="643"/>
        <w:jc w:val="center"/>
        <w:spacing w:line="500" w:lineRule="exact"/>
        <w:rPr>
          <w:rFonts w:hint="eastAsia" w:ascii="宋体" w:hAnsi="宋体"/>
          <w:b/>
          <w:bCs/>
          <w:sz w:val="32"/>
          <w:szCs w:val="32"/>
        </w:rPr>
      </w:pPr>
      <w:r>
        <w:rPr>
          <w:rFonts w:hint="eastAsia" w:ascii="宋体" w:hAnsi="宋体"/>
          <w:b/>
          <w:bCs/>
          <w:sz w:val="32"/>
          <w:szCs w:val="32"/>
        </w:rPr>
      </w:r>
      <w:r/>
    </w:p>
    <w:p>
      <w:pPr>
        <w:pStyle w:val="999"/>
        <w:numPr>
          <w:ilvl w:val="0"/>
          <w:numId w:val="0"/>
        </w:numPr>
        <w:rPr>
          <w:rFonts w:hint="eastAsia" w:ascii="宋体"/>
        </w:rPr>
      </w:pPr>
      <w:r>
        <w:rPr>
          <w:rFonts w:hint="eastAsia" w:ascii="宋体"/>
        </w:rPr>
      </w:r>
      <w:r/>
    </w:p>
    <w:p>
      <w:pPr>
        <w:rPr>
          <w:rFonts w:hint="eastAsia" w:ascii="宋体" w:hAnsi="宋体"/>
        </w:rPr>
      </w:pPr>
      <w:r>
        <w:rPr>
          <w:rFonts w:hint="eastAsia" w:ascii="宋体" w:hAnsi="宋体"/>
        </w:rPr>
      </w:r>
      <w:r/>
    </w:p>
    <w:p>
      <w:pPr>
        <w:ind w:firstLine="643"/>
        <w:jc w:val="center"/>
        <w:spacing w:line="500" w:lineRule="exact"/>
        <w:rPr>
          <w:rFonts w:hint="eastAsia" w:ascii="宋体" w:hAnsi="宋体"/>
          <w:b/>
          <w:bCs/>
          <w:sz w:val="32"/>
          <w:szCs w:val="32"/>
        </w:rPr>
      </w:pPr>
      <w:r>
        <w:rPr>
          <w:rFonts w:hint="eastAsia" w:ascii="宋体" w:hAnsi="宋体"/>
          <w:b/>
          <w:bCs/>
          <w:sz w:val="32"/>
          <w:szCs w:val="32"/>
        </w:rPr>
      </w:r>
      <w:r/>
    </w:p>
    <w:p>
      <w:pPr>
        <w:ind w:firstLine="643"/>
        <w:jc w:val="center"/>
        <w:spacing w:line="500" w:lineRule="exact"/>
        <w:rPr>
          <w:rFonts w:hint="eastAsia" w:ascii="宋体" w:hAnsi="宋体"/>
          <w:b/>
          <w:bCs/>
          <w:sz w:val="32"/>
          <w:szCs w:val="32"/>
        </w:rPr>
      </w:pPr>
      <w:r>
        <w:rPr>
          <w:rFonts w:hint="eastAsia" w:ascii="宋体" w:hAnsi="宋体"/>
          <w:b/>
          <w:bCs/>
          <w:sz w:val="32"/>
          <w:szCs w:val="32"/>
        </w:rPr>
      </w:r>
      <w:r/>
    </w:p>
    <w:p>
      <w:pPr>
        <w:ind w:firstLine="643"/>
        <w:jc w:val="center"/>
        <w:spacing w:line="500" w:lineRule="exact"/>
        <w:rPr>
          <w:rFonts w:hint="eastAsia" w:ascii="黑体" w:hAnsi="宋体" w:eastAsia="黑体" w:cs="黑体"/>
          <w:b/>
          <w:sz w:val="44"/>
          <w:szCs w:val="44"/>
        </w:rPr>
      </w:pPr>
      <w:r>
        <w:rPr>
          <w:rFonts w:hint="eastAsia" w:ascii="黑体" w:hAnsi="宋体" w:eastAsia="黑体" w:cs="黑体"/>
          <w:b/>
          <w:sz w:val="44"/>
          <w:szCs w:val="44"/>
        </w:rPr>
        <w:t xml:space="preserve">第一章 单一来源采购邀请</w:t>
      </w:r>
      <w:bookmarkEnd w:id="0"/>
      <w:r/>
      <w:r/>
    </w:p>
    <w:p>
      <w:pPr>
        <w:ind w:firstLine="480"/>
        <w:spacing w:line="380" w:lineRule="exact"/>
        <w:rPr>
          <w:rFonts w:hint="eastAsia" w:ascii="宋体" w:hAnsi="宋体"/>
          <w:bCs/>
          <w:sz w:val="24"/>
          <w:szCs w:val="24"/>
        </w:rPr>
      </w:pPr>
      <w:r>
        <w:rPr>
          <w:rFonts w:hint="eastAsia" w:ascii="宋体" w:hAnsi="宋体"/>
          <w:bCs/>
          <w:sz w:val="24"/>
        </w:rPr>
        <w:t xml:space="preserve">  </w:t>
      </w:r>
      <w:r>
        <w:rPr>
          <w:rFonts w:hint="eastAsia" w:ascii="宋体" w:hAnsi="宋体"/>
          <w:bCs/>
          <w:sz w:val="24"/>
          <w:szCs w:val="24"/>
        </w:rPr>
        <w:t xml:space="preserve"> </w:t>
      </w:r>
      <w:r/>
    </w:p>
    <w:p>
      <w:pPr>
        <w:spacing w:line="360" w:lineRule="auto"/>
        <w:rPr>
          <w:rFonts w:hint="eastAsia" w:ascii="宋体" w:hAnsi="宋体"/>
          <w:bCs/>
          <w:sz w:val="24"/>
          <w:szCs w:val="24"/>
        </w:rPr>
      </w:pPr>
      <w:r/>
      <w:bookmarkStart w:id="13" w:name="OLE_LINK81"/>
      <w:r/>
      <w:bookmarkStart w:id="14" w:name="_Toc416161795"/>
      <w:r>
        <w:rPr>
          <w:rFonts w:hint="eastAsia" w:ascii="宋体" w:hAnsi="宋体"/>
          <w:bCs/>
          <w:sz w:val="24"/>
          <w:szCs w:val="24"/>
        </w:rPr>
        <w:t xml:space="preserve">徐州</w:t>
      </w:r>
      <w:r>
        <w:rPr>
          <w:rFonts w:hint="eastAsia" w:ascii="宋体" w:hAnsi="宋体"/>
          <w:bCs/>
          <w:sz w:val="24"/>
          <w:szCs w:val="24"/>
        </w:rPr>
        <w:t xml:space="preserve">市危险</w:t>
      </w:r>
      <w:r>
        <w:rPr>
          <w:rFonts w:hint="eastAsia" w:ascii="宋体" w:hAnsi="宋体"/>
          <w:bCs/>
          <w:sz w:val="24"/>
          <w:szCs w:val="24"/>
        </w:rPr>
        <w:t xml:space="preserve">废物集中处置中心有限公司</w:t>
      </w:r>
      <w:bookmarkEnd w:id="13"/>
      <w:r>
        <w:rPr>
          <w:rFonts w:hint="eastAsia" w:ascii="宋体" w:hAnsi="宋体"/>
          <w:bCs/>
          <w:sz w:val="24"/>
          <w:szCs w:val="24"/>
        </w:rPr>
        <w:t xml:space="preserve">:</w:t>
      </w:r>
      <w:r/>
    </w:p>
    <w:p>
      <w:pPr>
        <w:ind w:firstLine="420"/>
        <w:spacing w:line="360" w:lineRule="auto"/>
        <w:rPr>
          <w:rFonts w:hint="eastAsia" w:ascii="宋体" w:hAnsi="宋体"/>
          <w:bCs/>
          <w:sz w:val="24"/>
          <w:szCs w:val="24"/>
        </w:rPr>
      </w:pPr>
      <w:r>
        <w:rPr>
          <w:rFonts w:hint="eastAsia" w:ascii="宋体" w:hAnsi="宋体"/>
          <w:bCs/>
          <w:sz w:val="24"/>
          <w:szCs w:val="24"/>
        </w:rPr>
        <w:t xml:space="preserve">江苏海外集团国际工程咨询有限公司受采购人委托，邀请贵单位（以下简称“供应商”）就下述项目所需的服务提交响应文件并进行单一来源采购的协商。</w:t>
      </w:r>
      <w:bookmarkStart w:id="15" w:name="_Toc35393621"/>
      <w:r/>
      <w:bookmarkStart w:id="16" w:name="_Toc35393790"/>
      <w:r/>
      <w:bookmarkStart w:id="17" w:name="_Toc28359079"/>
      <w:r/>
      <w:bookmarkStart w:id="18" w:name="_Toc28359002"/>
      <w:r/>
      <w:bookmarkStart w:id="19" w:name="_Hlk24379207"/>
      <w:r/>
      <w:bookmarkEnd w:id="15"/>
      <w:r/>
      <w:bookmarkEnd w:id="16"/>
      <w:r/>
      <w:bookmarkEnd w:id="17"/>
      <w:r/>
      <w:bookmarkEnd w:id="18"/>
      <w:r/>
      <w:bookmarkEnd w:id="19"/>
      <w:r/>
      <w:r/>
    </w:p>
    <w:p>
      <w:pPr>
        <w:spacing w:line="360" w:lineRule="auto"/>
        <w:rPr>
          <w:rFonts w:hint="eastAsia" w:ascii="宋体" w:hAnsi="宋体"/>
          <w:b/>
          <w:sz w:val="24"/>
          <w:szCs w:val="24"/>
        </w:rPr>
      </w:pPr>
      <w:r>
        <w:rPr>
          <w:rFonts w:hint="eastAsia" w:ascii="宋体" w:hAnsi="宋体"/>
          <w:b/>
          <w:sz w:val="24"/>
          <w:szCs w:val="24"/>
        </w:rPr>
        <w:t xml:space="preserve">一、项目基本情况</w:t>
      </w:r>
      <w:r/>
    </w:p>
    <w:p>
      <w:pPr>
        <w:spacing w:line="360" w:lineRule="auto"/>
        <w:rPr>
          <w:rFonts w:hint="eastAsia" w:ascii="宋体" w:hAnsi="宋体"/>
          <w:bCs/>
          <w:sz w:val="24"/>
          <w:szCs w:val="24"/>
        </w:rPr>
      </w:pPr>
      <w:r>
        <w:rPr>
          <w:rFonts w:hint="eastAsia" w:ascii="宋体" w:hAnsi="宋体"/>
          <w:bCs/>
          <w:sz w:val="24"/>
          <w:szCs w:val="24"/>
        </w:rPr>
        <w:t xml:space="preserve">1.项目编号：</w:t>
      </w:r>
      <w:r>
        <w:rPr>
          <w:rFonts w:ascii="宋体" w:hAnsi="宋体"/>
          <w:bCs/>
          <w:sz w:val="24"/>
          <w:szCs w:val="24"/>
        </w:rPr>
        <w:t xml:space="preserve">JSZC-320000-HWZX-D2026-0412</w:t>
      </w:r>
      <w:r>
        <w:rPr>
          <w:rFonts w:ascii="宋体" w:hAnsi="宋体"/>
          <w:bCs/>
          <w:sz w:val="24"/>
          <w:szCs w:val="24"/>
        </w:rPr>
        <w:tab/>
      </w:r>
      <w:r/>
    </w:p>
    <w:p>
      <w:pPr>
        <w:spacing w:line="360" w:lineRule="auto"/>
        <w:rPr>
          <w:rFonts w:hint="eastAsia" w:ascii="宋体" w:hAnsi="宋体"/>
          <w:bCs/>
          <w:sz w:val="24"/>
          <w:szCs w:val="24"/>
        </w:rPr>
      </w:pPr>
      <w:r>
        <w:rPr>
          <w:rFonts w:hint="eastAsia" w:ascii="宋体" w:hAnsi="宋体"/>
          <w:bCs/>
          <w:sz w:val="24"/>
          <w:szCs w:val="24"/>
        </w:rPr>
        <w:t xml:space="preserve">2.项目名称：徐</w:t>
      </w:r>
      <w:r>
        <w:rPr>
          <w:rFonts w:hint="eastAsia" w:ascii="宋体" w:hAnsi="宋体"/>
          <w:bCs/>
          <w:sz w:val="24"/>
          <w:szCs w:val="24"/>
        </w:rPr>
        <w:t xml:space="preserve">医</w:t>
      </w:r>
      <w:r>
        <w:rPr>
          <w:rFonts w:hint="eastAsia" w:ascii="宋体" w:hAnsi="宋体"/>
          <w:bCs/>
          <w:sz w:val="24"/>
          <w:szCs w:val="24"/>
        </w:rPr>
        <w:t xml:space="preserve">附院</w:t>
      </w:r>
      <w:r>
        <w:rPr>
          <w:rFonts w:hint="eastAsia" w:ascii="宋体" w:hAnsi="宋体"/>
          <w:bCs/>
          <w:sz w:val="24"/>
          <w:szCs w:val="24"/>
        </w:rPr>
        <w:t xml:space="preserve">医</w:t>
      </w:r>
      <w:r>
        <w:rPr>
          <w:rFonts w:hint="eastAsia" w:ascii="宋体" w:hAnsi="宋体"/>
          <w:bCs/>
          <w:sz w:val="24"/>
          <w:szCs w:val="24"/>
        </w:rPr>
        <w:t xml:space="preserve">废处置服务项目</w:t>
      </w:r>
      <w:r/>
    </w:p>
    <w:p>
      <w:pPr>
        <w:spacing w:line="360" w:lineRule="auto"/>
        <w:rPr>
          <w:rFonts w:hint="eastAsia" w:ascii="宋体" w:hAnsi="宋体"/>
          <w:bCs/>
          <w:sz w:val="24"/>
          <w:szCs w:val="24"/>
        </w:rPr>
      </w:pPr>
      <w:r>
        <w:rPr>
          <w:rFonts w:hint="eastAsia" w:ascii="宋体" w:hAnsi="宋体"/>
          <w:bCs/>
          <w:sz w:val="24"/>
          <w:szCs w:val="24"/>
        </w:rPr>
        <w:t xml:space="preserve">3.预算金额：人民币336万元</w:t>
      </w:r>
      <w:r/>
    </w:p>
    <w:p>
      <w:pPr>
        <w:spacing w:line="360" w:lineRule="auto"/>
        <w:rPr>
          <w:rFonts w:hint="eastAsia" w:ascii="宋体" w:hAnsi="宋体"/>
          <w:bCs/>
          <w:sz w:val="24"/>
          <w:szCs w:val="24"/>
        </w:rPr>
      </w:pPr>
      <w:r>
        <w:rPr>
          <w:rFonts w:hint="eastAsia" w:ascii="宋体" w:hAnsi="宋体"/>
          <w:bCs/>
          <w:sz w:val="24"/>
          <w:szCs w:val="24"/>
        </w:rPr>
        <w:t xml:space="preserve">4.项目限价：人民币336万元，报价超过最高限价的为无效报价，按照无效响应处理</w:t>
      </w:r>
      <w:r/>
    </w:p>
    <w:p>
      <w:pPr>
        <w:spacing w:line="360" w:lineRule="auto"/>
        <w:rPr>
          <w:rFonts w:hint="eastAsia" w:ascii="宋体" w:hAnsi="宋体"/>
          <w:bCs/>
          <w:sz w:val="24"/>
          <w:szCs w:val="24"/>
        </w:rPr>
      </w:pPr>
      <w:r>
        <w:rPr>
          <w:rFonts w:hint="eastAsia" w:ascii="宋体" w:hAnsi="宋体"/>
          <w:bCs/>
          <w:sz w:val="24"/>
          <w:szCs w:val="24"/>
        </w:rPr>
        <w:t xml:space="preserve">5.采购方式：单一来源采购</w:t>
      </w:r>
      <w:r/>
    </w:p>
    <w:p>
      <w:pPr>
        <w:spacing w:line="360" w:lineRule="auto"/>
        <w:rPr>
          <w:rFonts w:hint="eastAsia" w:ascii="宋体" w:hAnsi="宋体"/>
          <w:b/>
          <w:sz w:val="24"/>
          <w:szCs w:val="24"/>
        </w:rPr>
      </w:pPr>
      <w:r>
        <w:rPr>
          <w:rFonts w:hint="eastAsia" w:ascii="宋体" w:hAnsi="宋体"/>
          <w:b/>
          <w:sz w:val="24"/>
          <w:szCs w:val="24"/>
        </w:rPr>
        <w:t xml:space="preserve">二、申请人（供应商）的资格要求</w:t>
      </w:r>
      <w:r/>
    </w:p>
    <w:p>
      <w:pPr>
        <w:spacing w:line="360" w:lineRule="auto"/>
        <w:rPr>
          <w:rFonts w:hint="eastAsia" w:ascii="宋体" w:hAnsi="宋体"/>
          <w:bCs/>
          <w:sz w:val="24"/>
          <w:szCs w:val="24"/>
        </w:rPr>
      </w:pPr>
      <w:r>
        <w:rPr>
          <w:rFonts w:hint="eastAsia" w:ascii="宋体" w:hAnsi="宋体"/>
          <w:bCs/>
          <w:sz w:val="24"/>
          <w:szCs w:val="24"/>
        </w:rPr>
        <w:t xml:space="preserve">（一）满足《中华人民共和国政府采购法》第二十二条规定，并提供下列材料：</w:t>
      </w:r>
      <w:r/>
    </w:p>
    <w:p>
      <w:pPr>
        <w:spacing w:line="360" w:lineRule="auto"/>
        <w:rPr>
          <w:rFonts w:hint="eastAsia" w:ascii="宋体" w:hAnsi="宋体" w:cs="Arial"/>
          <w:bCs/>
          <w:sz w:val="24"/>
          <w:szCs w:val="24"/>
        </w:rPr>
      </w:pPr>
      <w:r/>
      <w:bookmarkStart w:id="20" w:name="OLE_LINK71"/>
      <w:r>
        <w:rPr>
          <w:rFonts w:hint="eastAsia" w:ascii="宋体" w:hAnsi="宋体" w:cs="宋体"/>
          <w:bCs/>
          <w:sz w:val="24"/>
          <w:szCs w:val="24"/>
        </w:rPr>
        <w:t xml:space="preserve">1.具有独立承</w:t>
      </w:r>
      <w:r>
        <w:rPr>
          <w:rFonts w:hint="eastAsia" w:ascii="宋体" w:hAnsi="宋体" w:cs="Arial"/>
          <w:bCs/>
          <w:sz w:val="24"/>
          <w:szCs w:val="24"/>
        </w:rPr>
        <w:t xml:space="preserve">担民事责任的能力（法人或者其他组织的营业执照等证明文件，自然人的身份证明）。</w:t>
      </w:r>
      <w:r/>
    </w:p>
    <w:p>
      <w:pPr>
        <w:spacing w:line="360" w:lineRule="auto"/>
        <w:rPr>
          <w:rFonts w:hint="eastAsia" w:ascii="宋体" w:hAnsi="宋体" w:cs="Arial"/>
          <w:bCs/>
          <w:sz w:val="24"/>
          <w:szCs w:val="24"/>
        </w:rPr>
      </w:pPr>
      <w:r>
        <w:rPr>
          <w:rFonts w:hint="eastAsia" w:ascii="宋体" w:hAnsi="宋体" w:cs="Arial"/>
          <w:bCs/>
          <w:sz w:val="24"/>
          <w:szCs w:val="24"/>
        </w:rPr>
        <w:t xml:space="preserve">2.具有良好的商业信誉和健全的财务会计制度（提供2025年度财务报告，至少包含资产负债表、利润表；或投标截止时间前六个月内银行出具的资信证明；成立不满一年无须提供）。</w:t>
      </w:r>
      <w:r/>
    </w:p>
    <w:p>
      <w:pPr>
        <w:spacing w:line="360" w:lineRule="auto"/>
        <w:rPr>
          <w:rFonts w:hint="eastAsia" w:ascii="宋体" w:hAnsi="宋体" w:cs="宋体"/>
          <w:bCs/>
          <w:sz w:val="24"/>
          <w:szCs w:val="24"/>
        </w:rPr>
      </w:pPr>
      <w:r>
        <w:rPr>
          <w:rFonts w:hint="eastAsia" w:ascii="宋体" w:hAnsi="宋体" w:cs="宋体"/>
          <w:bCs/>
          <w:sz w:val="24"/>
          <w:szCs w:val="24"/>
        </w:rPr>
        <w:t xml:space="preserve">3.</w:t>
      </w:r>
      <w:bookmarkStart w:id="21" w:name="OLE_LINK17"/>
      <w:r>
        <w:rPr>
          <w:rFonts w:hint="eastAsia" w:ascii="宋体" w:hAnsi="宋体" w:cs="宋体"/>
          <w:bCs/>
          <w:sz w:val="24"/>
          <w:szCs w:val="24"/>
        </w:rPr>
        <w:t xml:space="preserve">具有履行合同所必需的设备和专业技术能力（提供书面声明）。</w:t>
      </w:r>
      <w:bookmarkEnd w:id="21"/>
      <w:r/>
      <w:r/>
    </w:p>
    <w:p>
      <w:pPr>
        <w:spacing w:line="360" w:lineRule="auto"/>
        <w:rPr>
          <w:rFonts w:hint="eastAsia" w:ascii="宋体" w:hAnsi="宋体" w:cs="宋体"/>
          <w:bCs/>
          <w:sz w:val="24"/>
          <w:szCs w:val="24"/>
        </w:rPr>
      </w:pPr>
      <w:r>
        <w:rPr>
          <w:rFonts w:hint="eastAsia" w:ascii="宋体" w:hAnsi="宋体" w:cs="宋体"/>
          <w:bCs/>
          <w:sz w:val="24"/>
          <w:szCs w:val="24"/>
        </w:rPr>
        <w:t xml:space="preserve">4.</w:t>
      </w:r>
      <w:bookmarkStart w:id="22" w:name="OLE_LINK18"/>
      <w:r>
        <w:rPr>
          <w:rFonts w:hint="eastAsia" w:ascii="宋体" w:hAnsi="宋体" w:cs="宋体"/>
          <w:bCs/>
          <w:sz w:val="24"/>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22"/>
      <w:r/>
      <w:r/>
    </w:p>
    <w:p>
      <w:pPr>
        <w:spacing w:line="360" w:lineRule="auto"/>
        <w:rPr>
          <w:rFonts w:hint="eastAsia" w:ascii="宋体" w:hAnsi="宋体" w:cs="宋体"/>
          <w:bCs/>
          <w:sz w:val="24"/>
          <w:szCs w:val="24"/>
        </w:rPr>
      </w:pPr>
      <w:r>
        <w:rPr>
          <w:rFonts w:hint="eastAsia" w:ascii="宋体" w:hAnsi="宋体" w:cs="宋体"/>
          <w:bCs/>
          <w:sz w:val="24"/>
          <w:szCs w:val="24"/>
        </w:rPr>
        <w:t xml:space="preserve">5.</w:t>
      </w:r>
      <w:bookmarkStart w:id="23" w:name="OLE_LINK19"/>
      <w:r>
        <w:rPr>
          <w:rFonts w:hint="eastAsia" w:ascii="宋体" w:hAnsi="宋体" w:cs="宋体"/>
          <w:bCs/>
          <w:sz w:val="24"/>
          <w:szCs w:val="24"/>
        </w:rPr>
        <w:t xml:space="preserve">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bookmarkEnd w:id="23"/>
      <w:r/>
      <w:r/>
    </w:p>
    <w:p>
      <w:pPr>
        <w:spacing w:line="360" w:lineRule="auto"/>
        <w:rPr>
          <w:rFonts w:hint="eastAsia" w:ascii="宋体" w:hAnsi="宋体" w:cs="宋体"/>
          <w:bCs/>
          <w:sz w:val="24"/>
          <w:szCs w:val="24"/>
        </w:rPr>
      </w:pPr>
      <w:r>
        <w:rPr>
          <w:rFonts w:hint="eastAsia" w:ascii="宋体" w:hAnsi="宋体" w:cs="宋体"/>
          <w:bCs/>
          <w:sz w:val="24"/>
          <w:szCs w:val="24"/>
        </w:rPr>
        <w:t xml:space="preserve">6.法律、行政法规规定的其他条件。</w:t>
      </w:r>
      <w:r/>
    </w:p>
    <w:p>
      <w:pPr>
        <w:spacing w:line="360" w:lineRule="auto"/>
        <w:rPr>
          <w:rFonts w:hint="eastAsia" w:ascii="宋体" w:hAnsi="宋体"/>
          <w:bCs/>
          <w:sz w:val="24"/>
          <w:szCs w:val="24"/>
        </w:rPr>
      </w:pPr>
      <w:r>
        <w:rPr>
          <w:rFonts w:hint="eastAsia" w:ascii="宋体" w:hAnsi="宋体"/>
          <w:bCs/>
          <w:sz w:val="24"/>
          <w:szCs w:val="24"/>
        </w:rPr>
        <w:t xml:space="preserve">（二）落实政府采购政策需满足的资格要求：无</w:t>
      </w:r>
      <w:r/>
    </w:p>
    <w:p>
      <w:pPr>
        <w:spacing w:line="360" w:lineRule="auto"/>
        <w:rPr>
          <w:rFonts w:hint="eastAsia" w:ascii="宋体" w:hAnsi="宋体"/>
          <w:bCs/>
          <w:sz w:val="24"/>
          <w:szCs w:val="24"/>
        </w:rPr>
      </w:pPr>
      <w:r>
        <w:rPr>
          <w:rFonts w:hint="eastAsia" w:ascii="宋体" w:hAnsi="宋体"/>
          <w:bCs/>
          <w:sz w:val="24"/>
          <w:szCs w:val="24"/>
        </w:rPr>
        <w:t xml:space="preserve">（三）本</w:t>
      </w:r>
      <w:bookmarkStart w:id="24" w:name="OLE_LINK10"/>
      <w:r>
        <w:rPr>
          <w:rFonts w:hint="eastAsia" w:ascii="宋体" w:hAnsi="宋体"/>
          <w:bCs/>
          <w:sz w:val="24"/>
          <w:szCs w:val="24"/>
        </w:rPr>
        <w:t xml:space="preserve">项目的特定</w:t>
      </w:r>
      <w:bookmarkEnd w:id="24"/>
      <w:r>
        <w:rPr>
          <w:rFonts w:hint="eastAsia" w:ascii="宋体" w:hAnsi="宋体"/>
          <w:bCs/>
          <w:sz w:val="24"/>
          <w:szCs w:val="24"/>
        </w:rPr>
        <w:t xml:space="preserve">资格要求：</w:t>
      </w:r>
      <w:r/>
    </w:p>
    <w:p>
      <w:pPr>
        <w:spacing w:line="360" w:lineRule="auto"/>
        <w:rPr>
          <w:rFonts w:hint="eastAsia" w:ascii="宋体" w:hAnsi="宋体"/>
          <w:bCs/>
          <w:sz w:val="24"/>
          <w:szCs w:val="24"/>
        </w:rPr>
      </w:pPr>
      <w:r/>
      <w:bookmarkStart w:id="25" w:name="OLE_LINK84"/>
      <w:r/>
      <w:bookmarkStart w:id="26" w:name="OLE_LINK8"/>
      <w:r/>
      <w:bookmarkEnd w:id="20"/>
      <w:r>
        <w:rPr>
          <w:rFonts w:hint="eastAsia" w:ascii="宋体" w:hAnsi="宋体"/>
          <w:bCs/>
          <w:sz w:val="24"/>
          <w:szCs w:val="24"/>
        </w:rPr>
        <w:t xml:space="preserve">1.</w:t>
      </w:r>
      <w:bookmarkStart w:id="27" w:name="OLE_LINK5"/>
      <w:r>
        <w:rPr>
          <w:rFonts w:hint="eastAsia" w:ascii="宋体" w:hAnsi="宋体"/>
          <w:bCs/>
          <w:sz w:val="24"/>
          <w:szCs w:val="24"/>
        </w:rPr>
        <w:t xml:space="preserve">供应商应具备有效的《</w:t>
      </w:r>
      <w:bookmarkStart w:id="28" w:name="OLE_LINK82"/>
      <w:r>
        <w:rPr>
          <w:rFonts w:hint="eastAsia" w:ascii="宋体" w:hAnsi="宋体"/>
          <w:bCs/>
          <w:sz w:val="24"/>
          <w:szCs w:val="24"/>
        </w:rPr>
        <w:t xml:space="preserve">危险废物经营许可证</w:t>
      </w:r>
      <w:bookmarkEnd w:id="28"/>
      <w:r>
        <w:rPr>
          <w:rFonts w:hint="eastAsia" w:ascii="宋体" w:hAnsi="宋体"/>
          <w:bCs/>
          <w:sz w:val="24"/>
          <w:szCs w:val="24"/>
        </w:rPr>
        <w:t xml:space="preserve">》（核准经营包含医疗废物）</w:t>
      </w:r>
      <w:r/>
    </w:p>
    <w:p>
      <w:pPr>
        <w:spacing w:line="360" w:lineRule="auto"/>
        <w:rPr>
          <w:rFonts w:hint="eastAsia" w:ascii="宋体" w:hAnsi="宋体"/>
          <w:bCs/>
          <w:sz w:val="24"/>
          <w:szCs w:val="24"/>
        </w:rPr>
      </w:pPr>
      <w:r>
        <w:rPr>
          <w:rFonts w:hint="eastAsia" w:ascii="宋体" w:hAnsi="宋体"/>
          <w:bCs/>
          <w:sz w:val="24"/>
          <w:szCs w:val="24"/>
        </w:rPr>
        <w:t xml:space="preserve">2.运输资质：</w:t>
      </w:r>
      <w:r/>
    </w:p>
    <w:p>
      <w:pPr>
        <w:spacing w:line="360" w:lineRule="auto"/>
        <w:rPr>
          <w:rFonts w:hint="eastAsia" w:ascii="宋体" w:hAnsi="宋体"/>
          <w:bCs/>
          <w:sz w:val="24"/>
          <w:szCs w:val="24"/>
        </w:rPr>
      </w:pPr>
      <w:r/>
      <w:bookmarkStart w:id="29" w:name="OLE_LINK11"/>
      <w:r>
        <w:rPr>
          <w:rFonts w:hint="eastAsia" w:ascii="宋体" w:hAnsi="宋体"/>
          <w:bCs/>
          <w:sz w:val="24"/>
          <w:szCs w:val="24"/>
        </w:rPr>
        <w:t xml:space="preserve">2.1.供应商自有</w:t>
      </w:r>
      <w:bookmarkStart w:id="30" w:name="OLE_LINK9"/>
      <w:r>
        <w:rPr>
          <w:rFonts w:hint="eastAsia" w:ascii="宋体" w:hAnsi="宋体"/>
          <w:bCs/>
          <w:sz w:val="24"/>
          <w:szCs w:val="24"/>
        </w:rPr>
        <w:t xml:space="preserve">《</w:t>
      </w:r>
      <w:bookmarkStart w:id="31" w:name="OLE_LINK83"/>
      <w:r>
        <w:rPr>
          <w:rFonts w:hint="eastAsia" w:ascii="宋体" w:hAnsi="宋体"/>
          <w:bCs/>
          <w:sz w:val="24"/>
          <w:szCs w:val="24"/>
        </w:rPr>
        <w:t xml:space="preserve">道路运输经营许可证</w:t>
      </w:r>
      <w:bookmarkEnd w:id="31"/>
      <w:r>
        <w:rPr>
          <w:rFonts w:hint="eastAsia" w:ascii="宋体" w:hAnsi="宋体"/>
          <w:bCs/>
          <w:sz w:val="24"/>
          <w:szCs w:val="24"/>
        </w:rPr>
        <w:t xml:space="preserve">》</w:t>
      </w:r>
      <w:bookmarkEnd w:id="30"/>
      <w:r>
        <w:rPr>
          <w:rFonts w:hint="eastAsia" w:ascii="宋体" w:hAnsi="宋体"/>
          <w:bCs/>
          <w:sz w:val="24"/>
          <w:szCs w:val="24"/>
        </w:rPr>
        <w:t xml:space="preserve">的，需提供有效的《道路运输经营许可证》</w:t>
      </w:r>
      <w:bookmarkEnd w:id="25"/>
      <w:r/>
      <w:bookmarkEnd w:id="27"/>
      <w:r>
        <w:rPr>
          <w:rFonts w:hint="eastAsia" w:ascii="宋体" w:hAnsi="宋体"/>
          <w:bCs/>
          <w:sz w:val="24"/>
          <w:szCs w:val="24"/>
        </w:rPr>
        <w:t xml:space="preserve">（</w:t>
      </w:r>
      <w:r>
        <w:rPr>
          <w:rFonts w:ascii="宋体" w:hAnsi="宋体"/>
          <w:bCs/>
          <w:sz w:val="24"/>
          <w:szCs w:val="24"/>
        </w:rPr>
        <w:t xml:space="preserve">经营范围</w:t>
      </w:r>
      <w:r>
        <w:rPr>
          <w:rFonts w:ascii="宋体" w:hAnsi="宋体"/>
          <w:bCs/>
          <w:sz w:val="24"/>
          <w:szCs w:val="24"/>
        </w:rPr>
        <w:t xml:space="preserve">含医疗</w:t>
      </w:r>
      <w:r>
        <w:rPr>
          <w:rFonts w:ascii="宋体" w:hAnsi="宋体"/>
          <w:bCs/>
          <w:sz w:val="24"/>
          <w:szCs w:val="24"/>
        </w:rPr>
        <w:t xml:space="preserve">废物</w:t>
      </w:r>
      <w:r>
        <w:rPr>
          <w:rFonts w:hint="eastAsia" w:ascii="宋体" w:hAnsi="宋体"/>
          <w:bCs/>
          <w:sz w:val="24"/>
          <w:szCs w:val="24"/>
        </w:rPr>
        <w:t xml:space="preserve">）；</w:t>
      </w:r>
      <w:r/>
    </w:p>
    <w:p>
      <w:pPr>
        <w:spacing w:line="360" w:lineRule="auto"/>
        <w:rPr>
          <w:rFonts w:hint="eastAsia" w:ascii="宋体" w:hAnsi="宋体"/>
          <w:sz w:val="24"/>
          <w:szCs w:val="24"/>
          <w:highlight w:val="none"/>
        </w:rPr>
      </w:pPr>
      <w:r>
        <w:rPr>
          <w:rFonts w:hint="eastAsia" w:ascii="宋体" w:hAnsi="宋体"/>
          <w:bCs/>
          <w:sz w:val="24"/>
          <w:szCs w:val="24"/>
        </w:rPr>
        <w:t xml:space="preserve">2.2.供应商委托第三</w:t>
      </w:r>
      <w:r>
        <w:rPr>
          <w:rFonts w:hint="eastAsia" w:ascii="宋体" w:hAnsi="宋体"/>
          <w:bCs/>
          <w:sz w:val="24"/>
          <w:szCs w:val="24"/>
        </w:rPr>
        <w:t xml:space="preserve">方运输</w:t>
      </w:r>
      <w:r>
        <w:rPr>
          <w:rFonts w:hint="eastAsia" w:ascii="宋体" w:hAnsi="宋体"/>
          <w:bCs/>
          <w:sz w:val="24"/>
          <w:szCs w:val="24"/>
        </w:rPr>
        <w:t xml:space="preserve">的，需提供第三</w:t>
      </w:r>
      <w:r>
        <w:rPr>
          <w:rFonts w:hint="eastAsia" w:ascii="宋体" w:hAnsi="宋体"/>
          <w:bCs/>
          <w:sz w:val="24"/>
          <w:szCs w:val="24"/>
        </w:rPr>
        <w:t xml:space="preserve">方运输</w:t>
      </w:r>
      <w:r>
        <w:rPr>
          <w:rFonts w:hint="eastAsia" w:ascii="宋体" w:hAnsi="宋体"/>
          <w:bCs/>
          <w:sz w:val="24"/>
          <w:szCs w:val="24"/>
        </w:rPr>
        <w:t xml:space="preserve">企业的《道路运输经营许可证》（经营范围</w:t>
      </w:r>
      <w:r>
        <w:rPr>
          <w:rFonts w:hint="eastAsia" w:ascii="宋体" w:hAnsi="宋体"/>
          <w:bCs/>
          <w:sz w:val="24"/>
          <w:szCs w:val="24"/>
        </w:rPr>
        <w:t xml:space="preserve">含医疗</w:t>
      </w:r>
      <w:r>
        <w:rPr>
          <w:rFonts w:hint="eastAsia" w:ascii="宋体" w:hAnsi="宋体"/>
          <w:bCs/>
          <w:sz w:val="24"/>
          <w:szCs w:val="24"/>
        </w:rPr>
        <w:t xml:space="preserve">废物）、供应商与第三</w:t>
      </w:r>
      <w:r>
        <w:rPr>
          <w:rFonts w:hint="eastAsia" w:ascii="宋体" w:hAnsi="宋体"/>
          <w:bCs/>
          <w:sz w:val="24"/>
          <w:szCs w:val="24"/>
        </w:rPr>
        <w:t xml:space="preserve">方运输</w:t>
      </w:r>
      <w:r>
        <w:rPr>
          <w:rFonts w:hint="eastAsia" w:ascii="宋体" w:hAnsi="宋体"/>
          <w:bCs/>
          <w:sz w:val="24"/>
          <w:szCs w:val="24"/>
        </w:rPr>
        <w:t xml:space="preserve">企业签订的委托运输协议。</w:t>
      </w:r>
      <w:bookmarkEnd w:id="26"/>
      <w:r/>
      <w:bookmarkEnd w:id="29"/>
      <w:r/>
      <w:r/>
    </w:p>
    <w:p>
      <w:pPr>
        <w:spacing w:line="360" w:lineRule="auto"/>
        <w:rPr>
          <w:rFonts w:hint="eastAsia" w:ascii="宋体" w:hAnsi="宋体"/>
          <w:sz w:val="24"/>
          <w:szCs w:val="24"/>
        </w:rPr>
      </w:pPr>
      <w:r>
        <w:rPr>
          <w:rFonts w:hint="eastAsia" w:ascii="宋体" w:hAnsi="宋体"/>
          <w:bCs/>
          <w:sz w:val="24"/>
          <w:szCs w:val="24"/>
          <w:highlight w:val="none"/>
        </w:rPr>
      </w:r>
      <w:r>
        <w:rPr>
          <w:rFonts w:hint="eastAsia" w:ascii="宋体" w:hAnsi="宋体"/>
          <w:bCs/>
          <w:sz w:val="24"/>
          <w:szCs w:val="24"/>
          <w:highlight w:val="none"/>
        </w:rPr>
        <w:t xml:space="preserve">3.供应商未被“信用中国”网站（www.creditchina.gov.cn）列入失信被执行人、重大税收违法案件当事人名单、政府采购严重失信行为记录名单。（响应文件中无需提供相关材料）</w:t>
      </w:r>
      <w:r>
        <w:rPr>
          <w:rFonts w:hint="eastAsia" w:ascii="宋体" w:hAnsi="宋体"/>
          <w:bCs/>
          <w:sz w:val="24"/>
          <w:szCs w:val="24"/>
          <w:highlight w:val="none"/>
        </w:rPr>
      </w:r>
      <w:r/>
    </w:p>
    <w:p>
      <w:pPr>
        <w:spacing w:line="360" w:lineRule="auto"/>
        <w:rPr>
          <w:rFonts w:hint="eastAsia" w:ascii="宋体" w:hAnsi="宋体"/>
          <w:b/>
          <w:sz w:val="24"/>
          <w:szCs w:val="24"/>
        </w:rPr>
      </w:pPr>
      <w:r>
        <w:rPr>
          <w:rFonts w:hint="eastAsia" w:ascii="宋体" w:hAnsi="宋体"/>
          <w:b/>
          <w:sz w:val="24"/>
          <w:szCs w:val="24"/>
        </w:rPr>
        <w:t xml:space="preserve">三、采购文件获取方式：</w:t>
      </w:r>
      <w:r/>
    </w:p>
    <w:p>
      <w:pPr>
        <w:jc w:val="left"/>
        <w:spacing w:line="360" w:lineRule="auto"/>
        <w:rPr>
          <w:rFonts w:hint="eastAsia" w:ascii="宋体" w:hAnsi="宋体"/>
          <w:bCs/>
          <w:sz w:val="24"/>
          <w:szCs w:val="24"/>
          <w:shd w:val="clear" w:color="auto" w:fill="ffffff"/>
        </w:rPr>
      </w:pPr>
      <w:r/>
      <w:bookmarkStart w:id="32" w:name="_Toc38985266"/>
      <w:r>
        <w:rPr>
          <w:rFonts w:hint="eastAsia" w:ascii="宋体" w:hAnsi="宋体"/>
          <w:bCs/>
          <w:sz w:val="24"/>
          <w:szCs w:val="24"/>
          <w:shd w:val="clear" w:color="auto" w:fill="ffffff"/>
        </w:rPr>
        <w:t xml:space="preserve">1.时间：</w:t>
      </w:r>
      <w:bookmarkEnd w:id="32"/>
      <w:r>
        <w:rPr>
          <w:rFonts w:hint="eastAsia" w:ascii="宋体" w:hAnsi="宋体"/>
          <w:bCs/>
          <w:sz w:val="24"/>
          <w:szCs w:val="24"/>
          <w:shd w:val="clear" w:color="auto" w:fill="ffffff"/>
        </w:rPr>
        <w:t xml:space="preserve">自招标文件公告发布之日起5个工作日。</w:t>
      </w:r>
      <w:r/>
    </w:p>
    <w:p>
      <w:pPr>
        <w:jc w:val="left"/>
        <w:spacing w:line="360" w:lineRule="auto"/>
        <w:rPr>
          <w:rFonts w:hint="eastAsia" w:ascii="宋体" w:hAnsi="宋体"/>
          <w:bCs/>
          <w:sz w:val="24"/>
          <w:szCs w:val="24"/>
          <w:shd w:val="clear" w:color="auto" w:fill="ffffff"/>
        </w:rPr>
      </w:pPr>
      <w:r>
        <w:rPr>
          <w:rFonts w:hint="eastAsia" w:ascii="宋体" w:hAnsi="宋体"/>
          <w:bCs/>
          <w:sz w:val="24"/>
          <w:szCs w:val="24"/>
          <w:shd w:val="clear" w:color="auto" w:fill="ffffff"/>
        </w:rPr>
        <w:t xml:space="preserve">2.地点：</w:t>
      </w:r>
      <w:bookmarkStart w:id="33" w:name="OLE_LINK38"/>
      <w:r/>
      <w:bookmarkStart w:id="34" w:name="OLE_LINK130"/>
      <w:r>
        <w:rPr>
          <w:rFonts w:hint="eastAsia" w:ascii="宋体" w:hAnsi="宋体"/>
          <w:bCs/>
          <w:sz w:val="24"/>
          <w:szCs w:val="24"/>
          <w:shd w:val="clear" w:color="auto" w:fill="ffffff"/>
        </w:rPr>
        <w:t xml:space="preserve">“苏</w:t>
      </w:r>
      <w:r>
        <w:rPr>
          <w:rFonts w:hint="eastAsia" w:ascii="宋体" w:hAnsi="宋体"/>
          <w:bCs/>
          <w:sz w:val="24"/>
          <w:szCs w:val="24"/>
          <w:shd w:val="clear" w:color="auto" w:fill="ffffff"/>
        </w:rPr>
        <w:t xml:space="preserve">采云</w:t>
      </w:r>
      <w:r>
        <w:rPr>
          <w:rFonts w:hint="eastAsia" w:ascii="宋体" w:hAnsi="宋体"/>
          <w:bCs/>
          <w:sz w:val="24"/>
          <w:szCs w:val="24"/>
          <w:shd w:val="clear" w:color="auto" w:fill="ffffff"/>
        </w:rPr>
        <w:t xml:space="preserve">”系统内免费下载（投标人必须在苏</w:t>
      </w:r>
      <w:r>
        <w:rPr>
          <w:rFonts w:hint="eastAsia" w:ascii="宋体" w:hAnsi="宋体"/>
          <w:bCs/>
          <w:sz w:val="24"/>
          <w:szCs w:val="24"/>
          <w:shd w:val="clear" w:color="auto" w:fill="ffffff"/>
        </w:rPr>
        <w:t xml:space="preserve">采云</w:t>
      </w:r>
      <w:r>
        <w:rPr>
          <w:rFonts w:hint="eastAsia" w:ascii="宋体" w:hAnsi="宋体"/>
          <w:bCs/>
          <w:sz w:val="24"/>
          <w:szCs w:val="24"/>
          <w:shd w:val="clear" w:color="auto" w:fill="ffffff"/>
        </w:rPr>
        <w:t xml:space="preserve">系统中获取采购文件，方能参与政府采购项目）</w:t>
      </w:r>
      <w:bookmarkEnd w:id="33"/>
      <w:r/>
      <w:bookmarkEnd w:id="34"/>
      <w:r/>
      <w:r/>
    </w:p>
    <w:p>
      <w:pPr>
        <w:jc w:val="left"/>
        <w:spacing w:line="360" w:lineRule="auto"/>
        <w:rPr>
          <w:rFonts w:hint="eastAsia" w:ascii="宋体" w:hAnsi="宋体"/>
          <w:bCs/>
          <w:sz w:val="24"/>
          <w:szCs w:val="24"/>
          <w:shd w:val="clear" w:color="auto" w:fill="ffffff"/>
        </w:rPr>
      </w:pPr>
      <w:r>
        <w:rPr>
          <w:rFonts w:hint="eastAsia" w:ascii="宋体" w:hAnsi="宋体"/>
          <w:bCs/>
          <w:sz w:val="24"/>
          <w:szCs w:val="24"/>
          <w:shd w:val="clear" w:color="auto" w:fill="ffffff"/>
        </w:rPr>
        <w:t xml:space="preserve">3.方式：</w:t>
      </w:r>
      <w:bookmarkStart w:id="35" w:name="OLE_LINK131"/>
      <w:r>
        <w:rPr>
          <w:rFonts w:hint="eastAsia" w:ascii="宋体" w:hAnsi="宋体"/>
          <w:bCs/>
          <w:sz w:val="24"/>
          <w:szCs w:val="24"/>
          <w:shd w:val="clear" w:color="auto" w:fill="ffffff"/>
        </w:rPr>
        <w:t xml:space="preserve">本项目采用网上注册登记方式。 </w:t>
      </w:r>
      <w:bookmarkEnd w:id="35"/>
      <w:r/>
      <w:r/>
    </w:p>
    <w:p>
      <w:pPr>
        <w:spacing w:line="360" w:lineRule="auto"/>
        <w:rPr>
          <w:rFonts w:hint="eastAsia" w:ascii="宋体" w:hAnsi="宋体" w:cs="宋体"/>
          <w:bCs/>
          <w:sz w:val="24"/>
          <w:szCs w:val="24"/>
        </w:rPr>
      </w:pPr>
      <w:r>
        <w:rPr>
          <w:rFonts w:hint="eastAsia" w:ascii="宋体" w:hAnsi="宋体" w:cs="宋体"/>
          <w:bCs/>
          <w:color w:val="000000"/>
          <w:sz w:val="24"/>
          <w:szCs w:val="24"/>
        </w:rPr>
        <w:t xml:space="preserve">4.售价：0元</w:t>
      </w:r>
      <w:r>
        <w:rPr>
          <w:rFonts w:hint="eastAsia" w:ascii="宋体" w:hAnsi="宋体" w:cs="宋体"/>
          <w:bCs/>
          <w:sz w:val="24"/>
          <w:szCs w:val="24"/>
        </w:rPr>
        <w:t xml:space="preserve">。</w:t>
      </w:r>
      <w:r/>
    </w:p>
    <w:p>
      <w:pPr>
        <w:spacing w:line="360" w:lineRule="auto"/>
        <w:rPr>
          <w:rFonts w:hint="eastAsia" w:ascii="宋体" w:hAnsi="宋体"/>
          <w:b/>
          <w:sz w:val="24"/>
          <w:szCs w:val="24"/>
        </w:rPr>
      </w:pPr>
      <w:r>
        <w:rPr>
          <w:rFonts w:hint="eastAsia" w:ascii="宋体" w:hAnsi="宋体"/>
          <w:b/>
          <w:sz w:val="24"/>
          <w:szCs w:val="24"/>
        </w:rPr>
        <w:t xml:space="preserve">四、响应文件接收：</w:t>
      </w:r>
      <w:r/>
    </w:p>
    <w:p>
      <w:pPr>
        <w:spacing w:line="360" w:lineRule="auto"/>
        <w:rPr>
          <w:rFonts w:hint="eastAsia" w:ascii="宋体" w:hAnsi="宋体"/>
          <w:bCs/>
          <w:sz w:val="24"/>
          <w:szCs w:val="24"/>
        </w:rPr>
      </w:pPr>
      <w:r>
        <w:rPr>
          <w:rFonts w:hint="eastAsia" w:ascii="宋体" w:hAnsi="宋体"/>
          <w:bCs/>
          <w:sz w:val="24"/>
          <w:szCs w:val="24"/>
        </w:rPr>
        <w:t xml:space="preserve">1.响应截止时间及协商开始时间：2026年</w:t>
      </w:r>
      <w:r>
        <w:rPr>
          <w:rFonts w:hint="eastAsia" w:ascii="宋体" w:hAnsi="宋体"/>
          <w:bCs/>
          <w:sz w:val="24"/>
          <w:szCs w:val="24"/>
        </w:rPr>
        <w:t xml:space="preserve">8</w:t>
      </w:r>
      <w:r>
        <w:rPr>
          <w:rFonts w:hint="eastAsia" w:ascii="宋体" w:hAnsi="宋体"/>
          <w:bCs/>
          <w:sz w:val="24"/>
          <w:szCs w:val="24"/>
        </w:rPr>
        <w:t xml:space="preserve">月</w:t>
      </w:r>
      <w:r>
        <w:rPr>
          <w:rFonts w:hint="eastAsia" w:ascii="宋体" w:hAnsi="宋体"/>
          <w:bCs/>
          <w:sz w:val="24"/>
          <w:szCs w:val="24"/>
        </w:rPr>
        <w:t xml:space="preserve">5日</w:t>
      </w:r>
      <w:r>
        <w:rPr>
          <w:rFonts w:hint="eastAsia" w:ascii="宋体" w:hAnsi="宋体"/>
          <w:bCs/>
          <w:sz w:val="24"/>
          <w:szCs w:val="24"/>
        </w:rPr>
        <w:t xml:space="preserve">10</w:t>
      </w:r>
      <w:r>
        <w:rPr>
          <w:rFonts w:hint="eastAsia" w:ascii="宋体" w:hAnsi="宋体"/>
          <w:bCs/>
          <w:sz w:val="24"/>
          <w:szCs w:val="24"/>
        </w:rPr>
        <w:t xml:space="preserve">:</w:t>
      </w:r>
      <w:r>
        <w:rPr>
          <w:rFonts w:hint="eastAsia" w:ascii="宋体" w:hAnsi="宋体"/>
          <w:bCs/>
          <w:sz w:val="24"/>
          <w:szCs w:val="24"/>
        </w:rPr>
        <w:t xml:space="preserve">00</w:t>
      </w:r>
      <w:r>
        <w:rPr>
          <w:rFonts w:hint="eastAsia" w:ascii="宋体" w:hAnsi="宋体"/>
          <w:bCs/>
          <w:sz w:val="24"/>
          <w:szCs w:val="24"/>
        </w:rPr>
        <w:t xml:space="preserve">时。</w:t>
      </w:r>
      <w:r/>
    </w:p>
    <w:p>
      <w:pPr>
        <w:spacing w:line="360" w:lineRule="auto"/>
        <w:rPr>
          <w:rFonts w:hint="eastAsia" w:ascii="宋体" w:hAnsi="宋体"/>
          <w:bCs/>
          <w:sz w:val="24"/>
          <w:szCs w:val="24"/>
        </w:rPr>
      </w:pPr>
      <w:r>
        <w:rPr>
          <w:rFonts w:hint="eastAsia" w:ascii="宋体" w:hAnsi="宋体"/>
          <w:bCs/>
          <w:sz w:val="24"/>
          <w:szCs w:val="24"/>
        </w:rPr>
        <w:t xml:space="preserve">2.地点：</w:t>
      </w:r>
      <w:r>
        <w:rPr>
          <w:rFonts w:hint="eastAsia" w:ascii="宋体" w:hAnsi="宋体" w:cs="宋体"/>
          <w:bCs/>
          <w:sz w:val="24"/>
          <w:szCs w:val="24"/>
        </w:rPr>
        <w:t xml:space="preserve">苏</w:t>
      </w:r>
      <w:r>
        <w:rPr>
          <w:rFonts w:hint="eastAsia" w:ascii="宋体" w:hAnsi="宋体" w:cs="宋体"/>
          <w:bCs/>
          <w:sz w:val="24"/>
          <w:szCs w:val="24"/>
        </w:rPr>
        <w:t xml:space="preserve">采云</w:t>
      </w:r>
      <w:r>
        <w:rPr>
          <w:rFonts w:hint="eastAsia" w:ascii="宋体" w:hAnsi="宋体" w:cs="宋体"/>
          <w:bCs/>
          <w:sz w:val="24"/>
          <w:szCs w:val="24"/>
        </w:rPr>
        <w:t xml:space="preserve">“不见面”开标大厅</w:t>
      </w:r>
      <w:r>
        <w:rPr>
          <w:rFonts w:hint="eastAsia" w:ascii="宋体" w:hAnsi="宋体"/>
          <w:bCs/>
          <w:sz w:val="24"/>
          <w:szCs w:val="24"/>
        </w:rPr>
        <w:t xml:space="preserve">。</w:t>
      </w:r>
      <w:r/>
    </w:p>
    <w:p>
      <w:pPr>
        <w:spacing w:line="360" w:lineRule="auto"/>
        <w:rPr>
          <w:rFonts w:hint="eastAsia" w:ascii="宋体" w:hAnsi="宋体"/>
          <w:b/>
          <w:sz w:val="24"/>
          <w:szCs w:val="24"/>
        </w:rPr>
      </w:pPr>
      <w:r>
        <w:rPr>
          <w:rFonts w:hint="eastAsia" w:ascii="宋体" w:hAnsi="宋体"/>
          <w:b/>
          <w:sz w:val="24"/>
          <w:szCs w:val="24"/>
        </w:rPr>
        <w:t xml:space="preserve">五、其他补充事宜：</w:t>
      </w:r>
      <w:r/>
    </w:p>
    <w:p>
      <w:pPr>
        <w:spacing w:line="360" w:lineRule="auto"/>
        <w:rPr>
          <w:rFonts w:hint="eastAsia" w:ascii="宋体" w:hAnsi="宋体"/>
          <w:bCs/>
          <w:sz w:val="24"/>
          <w:szCs w:val="24"/>
        </w:rPr>
      </w:pPr>
      <w:r>
        <w:rPr>
          <w:rFonts w:hint="eastAsia" w:ascii="宋体" w:hAnsi="宋体"/>
          <w:bCs/>
          <w:sz w:val="24"/>
          <w:szCs w:val="24"/>
        </w:rPr>
        <w:t xml:space="preserve">1.采购文件获取方式：网上注册登记方式</w:t>
      </w:r>
      <w:r/>
    </w:p>
    <w:p>
      <w:pPr>
        <w:spacing w:line="360" w:lineRule="auto"/>
        <w:rPr>
          <w:rFonts w:hint="eastAsia" w:ascii="宋体" w:hAnsi="宋体"/>
          <w:bCs/>
          <w:sz w:val="24"/>
          <w:szCs w:val="24"/>
        </w:rPr>
      </w:pPr>
      <w:r>
        <w:rPr>
          <w:rFonts w:hint="eastAsia" w:ascii="宋体" w:hAnsi="宋体"/>
          <w:bCs/>
          <w:sz w:val="24"/>
          <w:szCs w:val="24"/>
        </w:rPr>
        <w:t xml:space="preserve">1.1.访问电子招标响应交易平台的网络地址和方法：</w:t>
      </w:r>
      <w:r/>
    </w:p>
    <w:p>
      <w:pPr>
        <w:ind w:firstLine="480"/>
        <w:spacing w:line="360" w:lineRule="auto"/>
        <w:rPr>
          <w:rFonts w:hint="eastAsia" w:ascii="宋体" w:hAnsi="宋体"/>
          <w:bCs/>
          <w:sz w:val="24"/>
          <w:szCs w:val="24"/>
        </w:rPr>
      </w:pP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”系统用户注册--获取“CA数字证书”--CA绑定与登录--网上报名--下载采购文件（后缀名为“.</w:t>
      </w:r>
      <w:r>
        <w:rPr>
          <w:rFonts w:hint="eastAsia" w:ascii="宋体" w:hAnsi="宋体"/>
          <w:bCs/>
          <w:sz w:val="24"/>
          <w:szCs w:val="24"/>
        </w:rPr>
        <w:t xml:space="preserve">kedt</w:t>
      </w:r>
      <w:r>
        <w:rPr>
          <w:rFonts w:hint="eastAsia" w:ascii="宋体" w:hAnsi="宋体"/>
          <w:bCs/>
          <w:sz w:val="24"/>
          <w:szCs w:val="24"/>
        </w:rPr>
        <w:t xml:space="preserve">”）--将后缀名为“.</w:t>
      </w:r>
      <w:r>
        <w:rPr>
          <w:rFonts w:hint="eastAsia" w:ascii="宋体" w:hAnsi="宋体"/>
          <w:bCs/>
          <w:sz w:val="24"/>
          <w:szCs w:val="24"/>
        </w:rPr>
        <w:t xml:space="preserve">kedt</w:t>
      </w:r>
      <w:r>
        <w:rPr>
          <w:rFonts w:hint="eastAsia" w:ascii="宋体" w:hAnsi="宋体"/>
          <w:bCs/>
          <w:sz w:val="24"/>
          <w:szCs w:val="24"/>
        </w:rPr>
        <w:t xml:space="preserve">”的采购文件导入政府采购客户端工具--制作响应文件--导出加密的响应文件（后缀名为zip）--通过“苏</w:t>
      </w:r>
      <w:r>
        <w:rPr>
          <w:rFonts w:hint="eastAsia" w:ascii="宋体" w:hAnsi="宋体"/>
          <w:bCs/>
          <w:sz w:val="24"/>
          <w:szCs w:val="24"/>
        </w:rPr>
        <w:t xml:space="preserve">采云</w:t>
      </w:r>
      <w:r>
        <w:rPr>
          <w:rFonts w:hint="eastAsia" w:ascii="宋体" w:hAnsi="宋体"/>
          <w:bCs/>
          <w:sz w:val="24"/>
          <w:szCs w:val="24"/>
        </w:rPr>
        <w:t xml:space="preserve">”系统上传响应文件。具体见《江苏省政府采购管理交易系统（苏</w:t>
      </w:r>
      <w:r>
        <w:rPr>
          <w:rFonts w:hint="eastAsia" w:ascii="宋体" w:hAnsi="宋体"/>
          <w:bCs/>
          <w:sz w:val="24"/>
          <w:szCs w:val="24"/>
        </w:rPr>
        <w:t xml:space="preserve">采云</w:t>
      </w:r>
      <w:r>
        <w:rPr>
          <w:rFonts w:hint="eastAsia" w:ascii="宋体" w:hAnsi="宋体"/>
          <w:bCs/>
          <w:sz w:val="24"/>
          <w:szCs w:val="24"/>
        </w:rPr>
        <w:t xml:space="preserve">）供应商操作手册》。</w:t>
      </w:r>
      <w:r/>
    </w:p>
    <w:p>
      <w:pPr>
        <w:spacing w:line="360" w:lineRule="auto"/>
        <w:rPr>
          <w:rFonts w:hint="eastAsia" w:ascii="宋体" w:hAnsi="宋体"/>
          <w:bCs/>
          <w:sz w:val="24"/>
          <w:szCs w:val="24"/>
        </w:rPr>
      </w:pPr>
      <w:r>
        <w:rPr>
          <w:rFonts w:hint="eastAsia" w:ascii="宋体" w:hAnsi="宋体"/>
          <w:bCs/>
          <w:sz w:val="24"/>
          <w:szCs w:val="24"/>
        </w:rPr>
        <w:t xml:space="preserve">1.2.潜在供应商访问“苏</w:t>
      </w:r>
      <w:r>
        <w:rPr>
          <w:rFonts w:hint="eastAsia" w:ascii="宋体" w:hAnsi="宋体"/>
          <w:bCs/>
          <w:sz w:val="24"/>
          <w:szCs w:val="24"/>
        </w:rPr>
        <w:t xml:space="preserve">采云</w:t>
      </w:r>
      <w:r>
        <w:rPr>
          <w:rFonts w:hint="eastAsia" w:ascii="宋体" w:hAnsi="宋体"/>
          <w:bCs/>
          <w:sz w:val="24"/>
          <w:szCs w:val="24"/>
        </w:rPr>
        <w:t xml:space="preserve">”系统的网络地址和方法：“苏</w:t>
      </w:r>
      <w:r>
        <w:rPr>
          <w:rFonts w:hint="eastAsia" w:ascii="宋体" w:hAnsi="宋体"/>
          <w:bCs/>
          <w:sz w:val="24"/>
          <w:szCs w:val="24"/>
        </w:rPr>
        <w:t xml:space="preserve">采云</w:t>
      </w:r>
      <w:r>
        <w:rPr>
          <w:rFonts w:hint="eastAsia" w:ascii="宋体" w:hAnsi="宋体"/>
          <w:bCs/>
          <w:sz w:val="24"/>
          <w:szCs w:val="24"/>
        </w:rPr>
        <w:t xml:space="preserve">”系统的网址：http：//jszfcg.jsczt.cn/。</w:t>
      </w:r>
      <w:r/>
    </w:p>
    <w:p>
      <w:pPr>
        <w:spacing w:line="360" w:lineRule="auto"/>
        <w:rPr>
          <w:rFonts w:hint="eastAsia" w:ascii="宋体" w:hAnsi="宋体"/>
          <w:bCs/>
          <w:sz w:val="24"/>
          <w:szCs w:val="24"/>
        </w:rPr>
      </w:pPr>
      <w:r>
        <w:rPr>
          <w:rFonts w:hint="eastAsia" w:ascii="宋体" w:hAnsi="宋体"/>
          <w:bCs/>
          <w:sz w:val="24"/>
          <w:szCs w:val="24"/>
        </w:rPr>
        <w:t xml:space="preserve">1.3.“CA数字证书”的获取：</w:t>
      </w:r>
      <w:r/>
    </w:p>
    <w:p>
      <w:pPr>
        <w:ind w:firstLine="480"/>
        <w:spacing w:line="360" w:lineRule="auto"/>
        <w:rPr>
          <w:rFonts w:hint="eastAsia" w:ascii="宋体" w:hAnsi="宋体"/>
          <w:bCs/>
          <w:sz w:val="24"/>
          <w:szCs w:val="24"/>
        </w:rPr>
      </w:pPr>
      <w:r>
        <w:rPr>
          <w:rFonts w:hint="eastAsia" w:ascii="宋体" w:hAnsi="宋体"/>
          <w:bCs/>
          <w:sz w:val="24"/>
          <w:szCs w:val="24"/>
        </w:rPr>
        <w:t xml:space="preserve">响应供应商需办理“CA 数字证书”，CA办理指南及“苏</w:t>
      </w:r>
      <w:r>
        <w:rPr>
          <w:rFonts w:hint="eastAsia" w:ascii="宋体" w:hAnsi="宋体"/>
          <w:bCs/>
          <w:sz w:val="24"/>
          <w:szCs w:val="24"/>
        </w:rPr>
        <w:t xml:space="preserve">采云</w:t>
      </w:r>
      <w:r>
        <w:rPr>
          <w:rFonts w:hint="eastAsia" w:ascii="宋体" w:hAnsi="宋体"/>
          <w:bCs/>
          <w:sz w:val="24"/>
          <w:szCs w:val="24"/>
        </w:rPr>
        <w:t xml:space="preserve">”操作手册可至江苏省政府采购网―办事指南-资料下载中心下载。</w:t>
      </w:r>
      <w:r/>
    </w:p>
    <w:p>
      <w:pPr>
        <w:ind w:firstLine="480"/>
        <w:spacing w:line="360" w:lineRule="auto"/>
        <w:rPr>
          <w:rFonts w:hint="eastAsia" w:ascii="宋体" w:hAnsi="宋体"/>
          <w:bCs/>
          <w:sz w:val="24"/>
          <w:szCs w:val="24"/>
        </w:rPr>
      </w:pPr>
      <w:r>
        <w:rPr>
          <w:rFonts w:hint="eastAsia" w:ascii="宋体" w:hAnsi="宋体"/>
          <w:bCs/>
          <w:sz w:val="24"/>
          <w:szCs w:val="24"/>
        </w:rPr>
        <w:t xml:space="preserve">通过苏</w:t>
      </w:r>
      <w:r>
        <w:rPr>
          <w:rFonts w:hint="eastAsia" w:ascii="宋体" w:hAnsi="宋体"/>
          <w:bCs/>
          <w:sz w:val="24"/>
          <w:szCs w:val="24"/>
        </w:rPr>
        <w:t xml:space="preserve">采云</w:t>
      </w:r>
      <w:r>
        <w:rPr>
          <w:rFonts w:hint="eastAsia" w:ascii="宋体" w:hAnsi="宋体"/>
          <w:bCs/>
          <w:sz w:val="24"/>
          <w:szCs w:val="24"/>
        </w:rPr>
        <w:t xml:space="preserve">系统首页（http：//jszfcg.jscz.gov.cn/）的“苏</w:t>
      </w:r>
      <w:r>
        <w:rPr>
          <w:rFonts w:hint="eastAsia" w:ascii="宋体" w:hAnsi="宋体"/>
          <w:bCs/>
          <w:sz w:val="24"/>
          <w:szCs w:val="24"/>
        </w:rPr>
        <w:t xml:space="preserve">采云</w:t>
      </w:r>
      <w:r>
        <w:rPr>
          <w:rFonts w:hint="eastAsia" w:ascii="宋体" w:hAnsi="宋体"/>
          <w:bCs/>
          <w:sz w:val="24"/>
          <w:szCs w:val="24"/>
        </w:rPr>
        <w:t xml:space="preserve">控件驱动下载”，选择“政务CA、方正签章控件驱动安装包及安装说明”下载安装，具体安装方法详见下载文件内的《安装说明》。</w:t>
      </w:r>
      <w:r/>
    </w:p>
    <w:p>
      <w:pPr>
        <w:spacing w:line="360" w:lineRule="auto"/>
        <w:rPr>
          <w:rFonts w:hint="eastAsia" w:ascii="宋体" w:hAnsi="宋体"/>
          <w:bCs/>
          <w:sz w:val="24"/>
          <w:szCs w:val="24"/>
        </w:rPr>
      </w:pPr>
      <w:r>
        <w:rPr>
          <w:rFonts w:hint="eastAsia" w:ascii="宋体" w:hAnsi="宋体"/>
          <w:bCs/>
          <w:sz w:val="24"/>
          <w:szCs w:val="24"/>
        </w:rPr>
        <w:t xml:space="preserve">1.4.采购文件（后缀名为“.</w:t>
      </w:r>
      <w:r>
        <w:rPr>
          <w:rFonts w:hint="eastAsia" w:ascii="宋体" w:hAnsi="宋体"/>
          <w:bCs/>
          <w:sz w:val="24"/>
          <w:szCs w:val="24"/>
        </w:rPr>
        <w:t xml:space="preserve">kedt</w:t>
      </w:r>
      <w:r>
        <w:rPr>
          <w:rFonts w:hint="eastAsia" w:ascii="宋体" w:hAnsi="宋体"/>
          <w:bCs/>
          <w:sz w:val="24"/>
          <w:szCs w:val="24"/>
        </w:rPr>
        <w:t xml:space="preserve">”）、供应商操作手册及政府采购客户端工具可通过“苏</w:t>
      </w:r>
      <w:r>
        <w:rPr>
          <w:rFonts w:hint="eastAsia" w:ascii="宋体" w:hAnsi="宋体"/>
          <w:bCs/>
          <w:sz w:val="24"/>
          <w:szCs w:val="24"/>
        </w:rPr>
        <w:t xml:space="preserve">采云</w:t>
      </w:r>
      <w:r>
        <w:rPr>
          <w:rFonts w:hint="eastAsia" w:ascii="宋体" w:hAnsi="宋体"/>
          <w:bCs/>
          <w:sz w:val="24"/>
          <w:szCs w:val="24"/>
        </w:rPr>
        <w:t xml:space="preserve">”系统--已报名项目--报名详情页面内相应链接进行下载。</w:t>
      </w:r>
      <w:r/>
    </w:p>
    <w:p>
      <w:pPr>
        <w:spacing w:line="360" w:lineRule="auto"/>
        <w:rPr>
          <w:rFonts w:hint="eastAsia" w:ascii="宋体" w:hAnsi="宋体"/>
          <w:bCs/>
          <w:sz w:val="24"/>
          <w:szCs w:val="24"/>
        </w:rPr>
      </w:pPr>
      <w:r>
        <w:rPr>
          <w:rFonts w:hint="eastAsia" w:ascii="宋体" w:hAnsi="宋体"/>
          <w:bCs/>
          <w:sz w:val="24"/>
          <w:szCs w:val="24"/>
        </w:rPr>
        <w:t xml:space="preserve">1.5.采购人或采购代理机构将数据电文形式的采购文件加载至“苏</w:t>
      </w:r>
      <w:r>
        <w:rPr>
          <w:rFonts w:hint="eastAsia" w:ascii="宋体" w:hAnsi="宋体"/>
          <w:bCs/>
          <w:sz w:val="24"/>
          <w:szCs w:val="24"/>
        </w:rPr>
        <w:t xml:space="preserve">采云</w:t>
      </w:r>
      <w:r>
        <w:rPr>
          <w:rFonts w:hint="eastAsia" w:ascii="宋体" w:hAnsi="宋体"/>
          <w:bCs/>
          <w:sz w:val="24"/>
          <w:szCs w:val="24"/>
        </w:rPr>
        <w:t xml:space="preserve">”系统，供潜在供应商下载或者查阅。</w:t>
      </w:r>
      <w:r/>
    </w:p>
    <w:p>
      <w:pPr>
        <w:spacing w:line="360" w:lineRule="auto"/>
        <w:rPr>
          <w:rFonts w:hint="eastAsia" w:ascii="宋体" w:hAnsi="宋体"/>
          <w:bCs/>
          <w:sz w:val="24"/>
          <w:szCs w:val="24"/>
        </w:rPr>
      </w:pPr>
      <w:r>
        <w:rPr>
          <w:rFonts w:hint="eastAsia" w:ascii="宋体" w:hAnsi="宋体"/>
          <w:bCs/>
          <w:sz w:val="24"/>
          <w:szCs w:val="24"/>
        </w:rPr>
        <w:t xml:space="preserve">1.6.请潜在供应商提前安装相应的控件（详见《江苏省政府采购管理交易系统（苏</w:t>
      </w:r>
      <w:r>
        <w:rPr>
          <w:rFonts w:hint="eastAsia" w:ascii="宋体" w:hAnsi="宋体"/>
          <w:bCs/>
          <w:sz w:val="24"/>
          <w:szCs w:val="24"/>
        </w:rPr>
        <w:t xml:space="preserve">采云</w:t>
      </w:r>
      <w:r>
        <w:rPr>
          <w:rFonts w:hint="eastAsia" w:ascii="宋体" w:hAnsi="宋体"/>
          <w:bCs/>
          <w:sz w:val="24"/>
          <w:szCs w:val="24"/>
        </w:rPr>
        <w:t xml:space="preserve">）供应商操作手册》）并</w:t>
      </w:r>
      <w:r>
        <w:rPr>
          <w:rFonts w:hint="eastAsia" w:ascii="宋体" w:hAnsi="宋体"/>
          <w:bCs/>
          <w:sz w:val="24"/>
          <w:szCs w:val="24"/>
        </w:rPr>
        <w:t xml:space="preserve">使用谷歌浏览器</w:t>
      </w:r>
      <w:r>
        <w:rPr>
          <w:rFonts w:hint="eastAsia" w:ascii="宋体" w:hAnsi="宋体"/>
          <w:bCs/>
          <w:sz w:val="24"/>
          <w:szCs w:val="24"/>
        </w:rPr>
        <w:t xml:space="preserve">登录“苏</w:t>
      </w:r>
      <w:r>
        <w:rPr>
          <w:rFonts w:hint="eastAsia" w:ascii="宋体" w:hAnsi="宋体"/>
          <w:bCs/>
          <w:sz w:val="24"/>
          <w:szCs w:val="24"/>
        </w:rPr>
        <w:t xml:space="preserve">采云</w:t>
      </w:r>
      <w:r>
        <w:rPr>
          <w:rFonts w:hint="eastAsia" w:ascii="宋体" w:hAnsi="宋体"/>
          <w:bCs/>
          <w:sz w:val="24"/>
          <w:szCs w:val="24"/>
        </w:rPr>
        <w:t xml:space="preserve">”系统参与不见面开评标。</w:t>
      </w:r>
      <w:r/>
    </w:p>
    <w:p>
      <w:pPr>
        <w:ind w:firstLine="480"/>
        <w:spacing w:line="360" w:lineRule="auto"/>
        <w:rPr>
          <w:rFonts w:hint="eastAsia" w:ascii="宋体" w:hAnsi="宋体"/>
          <w:bCs/>
          <w:sz w:val="24"/>
          <w:szCs w:val="24"/>
        </w:rPr>
      </w:pPr>
      <w:r>
        <w:rPr>
          <w:rFonts w:hint="eastAsia" w:ascii="宋体" w:hAnsi="宋体"/>
          <w:bCs/>
          <w:sz w:val="24"/>
          <w:szCs w:val="24"/>
        </w:rPr>
        <w:t xml:space="preserve">注：如潜在供应商未按上述要求操作，将自行承担所产生的风险。</w:t>
      </w:r>
      <w:r/>
    </w:p>
    <w:p>
      <w:pPr>
        <w:spacing w:line="360" w:lineRule="auto"/>
        <w:rPr>
          <w:rFonts w:hint="eastAsia" w:ascii="宋体" w:hAnsi="宋体"/>
          <w:bCs/>
          <w:sz w:val="24"/>
          <w:szCs w:val="24"/>
        </w:rPr>
      </w:pPr>
      <w:r>
        <w:rPr>
          <w:rFonts w:hint="eastAsia" w:ascii="宋体" w:hAnsi="宋体"/>
          <w:bCs/>
          <w:sz w:val="24"/>
          <w:szCs w:val="24"/>
        </w:rPr>
        <w:t xml:space="preserve">2.采购代理编号：0675-266JOC003550。</w:t>
      </w:r>
      <w:r/>
    </w:p>
    <w:p>
      <w:pPr>
        <w:spacing w:line="360" w:lineRule="auto"/>
        <w:rPr>
          <w:rFonts w:hint="eastAsia" w:ascii="宋体" w:hAnsi="宋体"/>
          <w:b/>
          <w:sz w:val="24"/>
          <w:szCs w:val="24"/>
        </w:rPr>
      </w:pPr>
      <w:r>
        <w:rPr>
          <w:rFonts w:hint="eastAsia" w:ascii="宋体" w:hAnsi="宋体"/>
          <w:b/>
          <w:sz w:val="24"/>
          <w:szCs w:val="24"/>
        </w:rPr>
        <w:t xml:space="preserve">六、对本次采购提出询问，请按以下方式联系</w:t>
      </w:r>
      <w:r/>
    </w:p>
    <w:p>
      <w:pPr>
        <w:spacing w:line="360" w:lineRule="auto"/>
        <w:rPr>
          <w:rFonts w:hint="eastAsia" w:ascii="宋体" w:hAnsi="宋体"/>
          <w:bCs/>
          <w:sz w:val="24"/>
          <w:szCs w:val="24"/>
        </w:rPr>
      </w:pPr>
      <w:r>
        <w:rPr>
          <w:rFonts w:hint="eastAsia" w:ascii="宋体" w:hAnsi="宋体"/>
          <w:bCs/>
          <w:sz w:val="24"/>
          <w:szCs w:val="24"/>
        </w:rPr>
        <w:t xml:space="preserve">1.采购人信息</w:t>
      </w:r>
      <w:r/>
    </w:p>
    <w:p>
      <w:pPr>
        <w:ind w:firstLine="240"/>
        <w:spacing w:line="360" w:lineRule="auto"/>
        <w:rPr>
          <w:rFonts w:hint="eastAsia" w:ascii="宋体" w:hAnsi="宋体"/>
          <w:bCs/>
          <w:sz w:val="24"/>
          <w:szCs w:val="24"/>
        </w:rPr>
      </w:pPr>
      <w:r>
        <w:rPr>
          <w:rFonts w:hint="eastAsia" w:ascii="宋体" w:hAnsi="宋体"/>
          <w:bCs/>
          <w:sz w:val="24"/>
          <w:szCs w:val="24"/>
        </w:rPr>
        <w:t xml:space="preserve">名 称：徐州医科大学附属医院　</w:t>
      </w:r>
      <w:r/>
    </w:p>
    <w:p>
      <w:pPr>
        <w:ind w:firstLine="240"/>
        <w:spacing w:line="360" w:lineRule="auto"/>
        <w:rPr>
          <w:rFonts w:hint="eastAsia" w:ascii="宋体" w:hAnsi="宋体"/>
          <w:bCs/>
          <w:sz w:val="24"/>
          <w:szCs w:val="24"/>
        </w:rPr>
      </w:pPr>
      <w:r>
        <w:rPr>
          <w:rFonts w:hint="eastAsia" w:ascii="宋体" w:hAnsi="宋体"/>
          <w:bCs/>
          <w:sz w:val="24"/>
          <w:szCs w:val="24"/>
        </w:rPr>
        <w:t xml:space="preserve">地 址：徐州市泉山区淮海西路99号　</w:t>
      </w:r>
      <w:r/>
    </w:p>
    <w:p>
      <w:pPr>
        <w:ind w:firstLine="240"/>
        <w:spacing w:line="360" w:lineRule="auto"/>
        <w:rPr>
          <w:rFonts w:hint="eastAsia" w:ascii="宋体" w:hAnsi="宋体"/>
          <w:bCs/>
          <w:sz w:val="24"/>
          <w:szCs w:val="24"/>
        </w:rPr>
      </w:pPr>
      <w:r>
        <w:rPr>
          <w:rFonts w:hint="eastAsia" w:ascii="宋体" w:hAnsi="宋体"/>
          <w:bCs/>
          <w:sz w:val="24"/>
          <w:szCs w:val="24"/>
        </w:rPr>
        <w:t xml:space="preserve">联系人：张老师</w:t>
      </w:r>
      <w:r/>
    </w:p>
    <w:p>
      <w:pPr>
        <w:ind w:firstLine="240"/>
        <w:spacing w:line="360" w:lineRule="auto"/>
        <w:rPr>
          <w:rFonts w:hint="eastAsia" w:ascii="宋体" w:hAnsi="宋体"/>
          <w:bCs/>
          <w:sz w:val="24"/>
          <w:szCs w:val="24"/>
        </w:rPr>
      </w:pPr>
      <w:r>
        <w:rPr>
          <w:rFonts w:hint="eastAsia" w:ascii="宋体" w:hAnsi="宋体"/>
          <w:bCs/>
          <w:sz w:val="24"/>
          <w:szCs w:val="24"/>
        </w:rPr>
        <w:t xml:space="preserve">联系电话：</w:t>
      </w:r>
      <w:r>
        <w:rPr>
          <w:rFonts w:ascii="宋体" w:hAnsi="宋体"/>
          <w:bCs/>
          <w:sz w:val="24"/>
          <w:szCs w:val="24"/>
        </w:rPr>
        <w:t xml:space="preserve">0516-</w:t>
      </w:r>
      <w:r>
        <w:rPr>
          <w:rFonts w:hint="eastAsia" w:ascii="宋体" w:hAnsi="宋体"/>
          <w:bCs/>
          <w:sz w:val="24"/>
          <w:szCs w:val="24"/>
        </w:rPr>
        <w:t xml:space="preserve">85806721</w:t>
      </w:r>
      <w:r/>
    </w:p>
    <w:p>
      <w:pPr>
        <w:spacing w:line="360" w:lineRule="auto"/>
        <w:rPr>
          <w:rFonts w:hint="eastAsia" w:ascii="宋体" w:hAnsi="宋体"/>
          <w:bCs/>
          <w:sz w:val="24"/>
          <w:szCs w:val="24"/>
        </w:rPr>
      </w:pPr>
      <w:r>
        <w:rPr>
          <w:rFonts w:hint="eastAsia" w:ascii="宋体" w:hAnsi="宋体"/>
          <w:bCs/>
          <w:sz w:val="24"/>
          <w:szCs w:val="24"/>
        </w:rPr>
        <w:t xml:space="preserve">2.采购代理机构信息</w:t>
      </w:r>
      <w:r/>
    </w:p>
    <w:p>
      <w:pPr>
        <w:ind w:firstLine="240"/>
        <w:spacing w:line="360" w:lineRule="auto"/>
        <w:rPr>
          <w:rFonts w:hint="eastAsia" w:ascii="宋体" w:hAnsi="宋体"/>
          <w:bCs/>
          <w:sz w:val="24"/>
          <w:szCs w:val="24"/>
        </w:rPr>
      </w:pPr>
      <w:r>
        <w:rPr>
          <w:rFonts w:hint="eastAsia" w:ascii="宋体" w:hAnsi="宋体"/>
          <w:bCs/>
          <w:sz w:val="24"/>
          <w:szCs w:val="24"/>
        </w:rPr>
        <w:t xml:space="preserve">名 称：江苏海外集团国际工程咨询有限公司　</w:t>
      </w:r>
      <w:r/>
    </w:p>
    <w:p>
      <w:pPr>
        <w:ind w:firstLine="240"/>
        <w:spacing w:line="360" w:lineRule="auto"/>
        <w:rPr>
          <w:rFonts w:hint="eastAsia" w:ascii="宋体" w:hAnsi="宋体"/>
          <w:bCs/>
          <w:sz w:val="24"/>
          <w:szCs w:val="24"/>
        </w:rPr>
      </w:pPr>
      <w:r>
        <w:rPr>
          <w:rFonts w:hint="eastAsia" w:ascii="宋体" w:hAnsi="宋体"/>
          <w:bCs/>
          <w:sz w:val="24"/>
          <w:szCs w:val="24"/>
        </w:rPr>
        <w:t xml:space="preserve">地　址：南京市建</w:t>
      </w:r>
      <w:r>
        <w:rPr>
          <w:rFonts w:hint="eastAsia" w:ascii="宋体" w:hAnsi="宋体"/>
          <w:bCs/>
          <w:sz w:val="24"/>
          <w:szCs w:val="24"/>
        </w:rPr>
        <w:t xml:space="preserve">邺</w:t>
      </w:r>
      <w:r>
        <w:rPr>
          <w:rFonts w:hint="eastAsia" w:ascii="宋体" w:hAnsi="宋体"/>
          <w:bCs/>
          <w:sz w:val="24"/>
          <w:szCs w:val="24"/>
        </w:rPr>
        <w:t xml:space="preserve">区云龙山路58号大唐科技大厦A座第14、15层　</w:t>
      </w:r>
      <w:r/>
    </w:p>
    <w:p>
      <w:pPr>
        <w:ind w:firstLine="240"/>
        <w:spacing w:line="360" w:lineRule="auto"/>
        <w:rPr>
          <w:rFonts w:hint="eastAsia" w:ascii="宋体" w:hAnsi="宋体"/>
          <w:bCs/>
          <w:sz w:val="24"/>
          <w:szCs w:val="24"/>
        </w:rPr>
      </w:pPr>
      <w:r>
        <w:rPr>
          <w:rFonts w:hint="eastAsia" w:ascii="宋体" w:hAnsi="宋体"/>
          <w:bCs/>
          <w:sz w:val="24"/>
          <w:szCs w:val="24"/>
        </w:rPr>
        <w:t xml:space="preserve">联系人：</w:t>
      </w:r>
      <w:r>
        <w:rPr>
          <w:rFonts w:hint="eastAsia" w:ascii="宋体" w:hAnsi="宋体"/>
          <w:bCs/>
          <w:sz w:val="24"/>
          <w:szCs w:val="24"/>
        </w:rPr>
        <w:t xml:space="preserve">熊改杰</w:t>
      </w:r>
      <w:r/>
    </w:p>
    <w:p>
      <w:pPr>
        <w:ind w:firstLine="240"/>
        <w:spacing w:line="360" w:lineRule="auto"/>
        <w:rPr>
          <w:rFonts w:hint="eastAsia" w:ascii="宋体" w:hAnsi="宋体"/>
          <w:bCs/>
          <w:sz w:val="24"/>
          <w:szCs w:val="24"/>
        </w:rPr>
      </w:pPr>
      <w:r>
        <w:rPr>
          <w:rFonts w:hint="eastAsia" w:ascii="宋体" w:hAnsi="宋体"/>
          <w:bCs/>
          <w:sz w:val="24"/>
          <w:szCs w:val="24"/>
        </w:rPr>
        <w:t xml:space="preserve">联系方式：</w:t>
      </w:r>
      <w:r>
        <w:rPr>
          <w:rFonts w:ascii="宋体" w:hAnsi="宋体"/>
          <w:bCs/>
          <w:sz w:val="24"/>
          <w:szCs w:val="24"/>
        </w:rPr>
        <w:t xml:space="preserve">025-84795466</w:t>
      </w:r>
      <w:r/>
    </w:p>
    <w:p>
      <w:pPr>
        <w:spacing w:line="360" w:lineRule="auto"/>
        <w:rPr>
          <w:rFonts w:hint="eastAsia" w:ascii="宋体" w:hAnsi="宋体"/>
          <w:bCs/>
          <w:sz w:val="24"/>
          <w:szCs w:val="24"/>
        </w:rPr>
      </w:pPr>
      <w:r>
        <w:rPr>
          <w:rFonts w:hint="eastAsia" w:ascii="宋体" w:hAnsi="宋体"/>
          <w:bCs/>
          <w:sz w:val="24"/>
          <w:szCs w:val="24"/>
        </w:rPr>
        <w:t xml:space="preserve">3.项目联系方式</w:t>
      </w:r>
      <w:r/>
    </w:p>
    <w:p>
      <w:pPr>
        <w:ind w:firstLine="240"/>
        <w:spacing w:line="360" w:lineRule="auto"/>
        <w:rPr>
          <w:rFonts w:hint="eastAsia" w:ascii="宋体" w:hAnsi="宋体"/>
          <w:bCs/>
          <w:sz w:val="24"/>
          <w:szCs w:val="24"/>
        </w:rPr>
      </w:pPr>
      <w:r>
        <w:rPr>
          <w:rFonts w:hint="eastAsia" w:ascii="宋体" w:hAnsi="宋体"/>
          <w:bCs/>
          <w:sz w:val="24"/>
          <w:szCs w:val="24"/>
        </w:rPr>
        <w:t xml:space="preserve">项目联系人：</w:t>
      </w:r>
      <w:r>
        <w:rPr>
          <w:rFonts w:hint="eastAsia" w:ascii="宋体" w:hAnsi="宋体"/>
          <w:bCs/>
          <w:sz w:val="24"/>
          <w:szCs w:val="24"/>
        </w:rPr>
        <w:t xml:space="preserve">熊改杰</w:t>
      </w:r>
      <w:r>
        <w:rPr>
          <w:rFonts w:hint="eastAsia" w:ascii="宋体" w:hAnsi="宋体"/>
          <w:bCs/>
          <w:sz w:val="24"/>
          <w:szCs w:val="24"/>
        </w:rPr>
        <w:t xml:space="preserve">、汪开心 </w:t>
      </w:r>
      <w:r/>
    </w:p>
    <w:p>
      <w:pPr>
        <w:ind w:firstLine="240"/>
        <w:spacing w:line="360" w:lineRule="auto"/>
        <w:rPr>
          <w:rFonts w:hint="eastAsia" w:ascii="宋体" w:hAnsi="宋体"/>
          <w:bCs/>
          <w:sz w:val="24"/>
          <w:szCs w:val="24"/>
        </w:rPr>
      </w:pPr>
      <w:r>
        <w:rPr>
          <w:rFonts w:hint="eastAsia" w:ascii="宋体" w:hAnsi="宋体"/>
          <w:bCs/>
          <w:sz w:val="24"/>
          <w:szCs w:val="24"/>
        </w:rPr>
        <w:t xml:space="preserve">电　话：15105170154、</w:t>
      </w:r>
      <w:r>
        <w:rPr>
          <w:rFonts w:ascii="宋体" w:hAnsi="宋体"/>
          <w:bCs/>
          <w:sz w:val="24"/>
          <w:szCs w:val="24"/>
        </w:rPr>
        <w:t xml:space="preserve">025-84795466</w:t>
      </w:r>
      <w:r>
        <w:rPr>
          <w:rFonts w:hint="eastAsia" w:ascii="宋体" w:hAnsi="宋体"/>
          <w:bCs/>
          <w:sz w:val="24"/>
          <w:szCs w:val="24"/>
        </w:rPr>
        <w:t xml:space="preserve"> </w:t>
      </w:r>
      <w:r/>
    </w:p>
    <w:p>
      <w:pPr>
        <w:ind w:firstLine="562"/>
        <w:spacing w:line="360" w:lineRule="auto"/>
        <w:rPr>
          <w:b/>
          <w:bCs/>
          <w:sz w:val="28"/>
          <w:szCs w:val="28"/>
        </w:rPr>
      </w:pPr>
      <w:r>
        <w:rPr>
          <w:b/>
          <w:bCs/>
          <w:sz w:val="28"/>
          <w:szCs w:val="28"/>
        </w:rPr>
      </w:r>
      <w:r/>
    </w:p>
    <w:p>
      <w:pPr>
        <w:ind w:firstLine="562"/>
        <w:spacing w:line="360" w:lineRule="auto"/>
        <w:rPr>
          <w:b/>
          <w:bCs/>
          <w:sz w:val="28"/>
          <w:szCs w:val="28"/>
        </w:rPr>
      </w:pPr>
      <w:r>
        <w:rPr>
          <w:b/>
          <w:bCs/>
          <w:sz w:val="28"/>
          <w:szCs w:val="28"/>
        </w:rPr>
      </w:r>
      <w:r/>
    </w:p>
    <w:p>
      <w:pPr>
        <w:ind w:firstLine="562"/>
        <w:spacing w:line="360" w:lineRule="auto"/>
        <w:rPr>
          <w:b/>
          <w:bCs/>
          <w:sz w:val="28"/>
          <w:szCs w:val="28"/>
        </w:rPr>
      </w:pPr>
      <w:r>
        <w:rPr>
          <w:b/>
          <w:bCs/>
          <w:sz w:val="28"/>
          <w:szCs w:val="28"/>
        </w:rPr>
      </w:r>
      <w:r/>
    </w:p>
    <w:p>
      <w:pPr>
        <w:ind w:firstLine="562"/>
        <w:spacing w:line="360" w:lineRule="auto"/>
        <w:rPr>
          <w:b/>
          <w:bCs/>
          <w:sz w:val="28"/>
          <w:szCs w:val="28"/>
        </w:rPr>
      </w:pPr>
      <w:r>
        <w:rPr>
          <w:b/>
          <w:bCs/>
          <w:sz w:val="28"/>
          <w:szCs w:val="28"/>
        </w:rPr>
      </w:r>
      <w:r/>
    </w:p>
    <w:p>
      <w:pPr>
        <w:ind w:firstLine="562"/>
        <w:spacing w:line="360" w:lineRule="auto"/>
        <w:rPr>
          <w:b/>
          <w:bCs/>
          <w:sz w:val="28"/>
          <w:szCs w:val="28"/>
        </w:rPr>
      </w:pPr>
      <w:r>
        <w:rPr>
          <w:b/>
          <w:bCs/>
          <w:sz w:val="28"/>
          <w:szCs w:val="28"/>
        </w:rPr>
      </w:r>
      <w:r/>
    </w:p>
    <w:p>
      <w:pPr>
        <w:ind w:firstLine="562"/>
        <w:spacing w:line="360" w:lineRule="auto"/>
        <w:rPr>
          <w:b/>
          <w:bCs/>
          <w:sz w:val="28"/>
          <w:szCs w:val="28"/>
        </w:rPr>
      </w:pPr>
      <w:r>
        <w:rPr>
          <w:b/>
          <w:bCs/>
          <w:sz w:val="28"/>
          <w:szCs w:val="28"/>
        </w:rPr>
      </w:r>
      <w:r/>
    </w:p>
    <w:p>
      <w:pPr>
        <w:ind w:firstLine="562"/>
        <w:spacing w:line="360" w:lineRule="auto"/>
        <w:rPr>
          <w:b/>
          <w:bCs/>
          <w:sz w:val="28"/>
          <w:szCs w:val="28"/>
        </w:rPr>
      </w:pPr>
      <w:r>
        <w:rPr>
          <w:b/>
          <w:bCs/>
          <w:sz w:val="28"/>
          <w:szCs w:val="28"/>
        </w:rPr>
      </w:r>
      <w:r/>
    </w:p>
    <w:p>
      <w:pPr>
        <w:ind w:firstLine="562"/>
        <w:spacing w:line="360" w:lineRule="auto"/>
        <w:rPr>
          <w:b/>
          <w:bCs/>
          <w:sz w:val="28"/>
          <w:szCs w:val="28"/>
        </w:rPr>
      </w:pPr>
      <w:r>
        <w:rPr>
          <w:b/>
          <w:bCs/>
          <w:sz w:val="28"/>
          <w:szCs w:val="28"/>
        </w:rPr>
      </w:r>
      <w:r/>
    </w:p>
    <w:p>
      <w:pPr>
        <w:ind w:firstLine="562"/>
        <w:spacing w:line="360" w:lineRule="auto"/>
        <w:rPr>
          <w:b/>
          <w:bCs/>
          <w:sz w:val="28"/>
          <w:szCs w:val="28"/>
        </w:rPr>
      </w:pPr>
      <w:r>
        <w:rPr>
          <w:b/>
          <w:bCs/>
          <w:sz w:val="28"/>
          <w:szCs w:val="28"/>
        </w:rPr>
      </w:r>
      <w:r/>
    </w:p>
    <w:p>
      <w:pPr>
        <w:pStyle w:val="992"/>
        <w:jc w:val="center"/>
        <w:keepLines/>
        <w:keepNext/>
        <w:spacing w:before="260" w:beforeAutospacing="0" w:after="260" w:afterAutospacing="0" w:line="415" w:lineRule="auto"/>
        <w:rPr>
          <w:rFonts w:hint="eastAsia" w:ascii="黑体" w:hAnsi="宋体" w:eastAsia="黑体" w:cs="黑体"/>
          <w:b/>
          <w:sz w:val="44"/>
          <w:szCs w:val="44"/>
        </w:rPr>
      </w:pPr>
      <w:r/>
      <w:bookmarkStart w:id="36" w:name="_Toc479757207"/>
      <w:r/>
      <w:bookmarkStart w:id="37" w:name="_Toc20823314"/>
      <w:r/>
      <w:bookmarkStart w:id="38" w:name="_Toc120614221"/>
      <w:r/>
      <w:bookmarkStart w:id="39" w:name="_Toc16938558"/>
      <w:r/>
      <w:bookmarkStart w:id="40" w:name="_Toc513029242"/>
      <w:r/>
      <w:bookmarkEnd w:id="1"/>
      <w:r/>
      <w:bookmarkEnd w:id="2"/>
      <w:r/>
      <w:bookmarkEnd w:id="3"/>
      <w:r/>
      <w:bookmarkEnd w:id="4"/>
      <w:r/>
      <w:bookmarkEnd w:id="5"/>
      <w:r/>
      <w:bookmarkEnd w:id="6"/>
      <w:r/>
      <w:bookmarkEnd w:id="14"/>
      <w:r>
        <w:rPr>
          <w:rFonts w:hint="eastAsia" w:ascii="黑体" w:hAnsi="宋体" w:eastAsia="黑体" w:cs="黑体"/>
          <w:b/>
          <w:sz w:val="44"/>
          <w:szCs w:val="44"/>
        </w:rPr>
        <w:t xml:space="preserve">第二章</w:t>
      </w:r>
      <w:r>
        <w:rPr>
          <w:rFonts w:hint="eastAsia" w:ascii="黑体" w:hAnsi="宋体" w:eastAsia="黑体" w:cs="黑体"/>
          <w:b/>
          <w:sz w:val="44"/>
          <w:szCs w:val="44"/>
        </w:rPr>
        <w:t xml:space="preserve"> </w:t>
      </w:r>
      <w:r>
        <w:rPr>
          <w:rFonts w:hint="eastAsia" w:ascii="黑体" w:hAnsi="宋体" w:eastAsia="黑体" w:cs="黑体"/>
          <w:b/>
          <w:sz w:val="44"/>
          <w:szCs w:val="44"/>
        </w:rPr>
        <w:t xml:space="preserve"> 供应商须知</w:t>
      </w:r>
      <w:r/>
    </w:p>
    <w:p>
      <w:pPr>
        <w:ind w:firstLine="480"/>
        <w:spacing w:line="360" w:lineRule="auto"/>
        <w:rPr>
          <w:rFonts w:hint="eastAsia" w:ascii="宋体" w:hAnsi="宋体" w:cs="宋体"/>
          <w:bCs/>
          <w:sz w:val="24"/>
          <w:szCs w:val="24"/>
        </w:rPr>
      </w:pPr>
      <w:r/>
      <w:bookmarkStart w:id="41" w:name="_Toc16938519"/>
      <w:r/>
      <w:bookmarkStart w:id="42" w:name="_Toc513029203"/>
      <w:r/>
      <w:bookmarkStart w:id="43" w:name="_Toc120614214"/>
      <w:r/>
      <w:bookmarkStart w:id="44" w:name="_Toc20823275"/>
      <w:r>
        <w:rPr>
          <w:rFonts w:hint="eastAsia" w:ascii="宋体" w:hAnsi="宋体" w:cs="宋体"/>
          <w:bCs/>
          <w:sz w:val="24"/>
          <w:szCs w:val="24"/>
        </w:rPr>
        <w:t xml:space="preserve">一、总则</w:t>
      </w:r>
      <w:bookmarkEnd w:id="41"/>
      <w:r/>
      <w:bookmarkEnd w:id="42"/>
      <w:r/>
      <w:bookmarkEnd w:id="43"/>
      <w:r/>
      <w:bookmarkEnd w:id="44"/>
      <w:r/>
      <w:r/>
    </w:p>
    <w:p>
      <w:pPr>
        <w:ind w:firstLine="480"/>
        <w:spacing w:line="360" w:lineRule="auto"/>
        <w:rPr>
          <w:rFonts w:hint="eastAsia" w:ascii="宋体" w:hAnsi="宋体" w:cs="宋体"/>
          <w:bCs/>
          <w:sz w:val="24"/>
          <w:szCs w:val="24"/>
        </w:rPr>
      </w:pPr>
      <w:r/>
      <w:bookmarkStart w:id="45" w:name="_Toc20823276"/>
      <w:r/>
      <w:bookmarkStart w:id="46" w:name="_Toc16938520"/>
      <w:r/>
      <w:bookmarkStart w:id="47" w:name="_Toc513029204"/>
      <w:r/>
      <w:bookmarkStart w:id="48" w:name="_Toc458694821"/>
      <w:r>
        <w:rPr>
          <w:rFonts w:hint="eastAsia" w:ascii="宋体" w:hAnsi="宋体" w:cs="宋体"/>
          <w:bCs/>
          <w:sz w:val="24"/>
          <w:szCs w:val="24"/>
        </w:rPr>
        <w:t xml:space="preserve">1</w:t>
      </w:r>
      <w:bookmarkEnd w:id="45"/>
      <w:r>
        <w:rPr>
          <w:rFonts w:hint="eastAsia" w:ascii="宋体" w:hAnsi="宋体" w:cs="宋体"/>
          <w:bCs/>
          <w:sz w:val="24"/>
          <w:szCs w:val="24"/>
        </w:rPr>
        <w:t xml:space="preserve">、采购方式</w:t>
      </w:r>
      <w:bookmarkEnd w:id="46"/>
      <w:r/>
      <w:bookmarkEnd w:id="47"/>
      <w:r/>
      <w:bookmarkEnd w:id="48"/>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1.1.本次政府采购活动采取单一来源采购方式。</w:t>
      </w:r>
      <w:r/>
    </w:p>
    <w:p>
      <w:pPr>
        <w:ind w:firstLine="480"/>
        <w:spacing w:line="360" w:lineRule="auto"/>
        <w:rPr>
          <w:rFonts w:hint="eastAsia" w:ascii="宋体" w:hAnsi="宋体" w:cs="宋体"/>
          <w:bCs/>
          <w:sz w:val="24"/>
          <w:szCs w:val="24"/>
        </w:rPr>
      </w:pPr>
      <w:r/>
      <w:bookmarkStart w:id="49" w:name="_Toc20823277"/>
      <w:r/>
      <w:bookmarkStart w:id="50" w:name="_Toc513029205"/>
      <w:r/>
      <w:bookmarkStart w:id="51" w:name="_Toc16938521"/>
      <w:r>
        <w:rPr>
          <w:rFonts w:hint="eastAsia" w:ascii="宋体" w:hAnsi="宋体" w:cs="宋体"/>
          <w:bCs/>
          <w:sz w:val="24"/>
          <w:szCs w:val="24"/>
        </w:rPr>
        <w:t xml:space="preserve">2、合格的</w:t>
      </w:r>
      <w:bookmarkEnd w:id="49"/>
      <w:r/>
      <w:bookmarkEnd w:id="50"/>
      <w:r/>
      <w:bookmarkEnd w:id="51"/>
      <w:r>
        <w:rPr>
          <w:rFonts w:hint="eastAsia" w:ascii="宋体" w:hAnsi="宋体" w:cs="宋体"/>
          <w:bCs/>
          <w:sz w:val="24"/>
          <w:szCs w:val="24"/>
        </w:rPr>
        <w:t xml:space="preserve">供应商</w:t>
      </w:r>
      <w:r/>
    </w:p>
    <w:p>
      <w:pPr>
        <w:ind w:firstLine="480"/>
        <w:spacing w:line="360" w:lineRule="auto"/>
        <w:rPr>
          <w:rFonts w:hint="eastAsia" w:ascii="宋体" w:hAnsi="宋体" w:cs="宋体"/>
          <w:bCs/>
          <w:sz w:val="24"/>
          <w:szCs w:val="24"/>
        </w:rPr>
      </w:pPr>
      <w:r/>
      <w:bookmarkStart w:id="52" w:name="_Toc513029206"/>
      <w:r/>
      <w:bookmarkStart w:id="53" w:name="_Toc16938522"/>
      <w:r/>
      <w:bookmarkStart w:id="54" w:name="_Toc20823278"/>
      <w:r>
        <w:rPr>
          <w:rFonts w:hint="eastAsia" w:ascii="宋体" w:hAnsi="宋体" w:cs="宋体"/>
          <w:bCs/>
          <w:sz w:val="24"/>
          <w:szCs w:val="24"/>
        </w:rPr>
        <w:t xml:space="preserve">2.1.满足采购文件中合格单一来源供应商资格要求的规定。</w:t>
      </w:r>
      <w:bookmarkEnd w:id="52"/>
      <w:r/>
      <w:bookmarkEnd w:id="53"/>
      <w:r/>
      <w:bookmarkEnd w:id="54"/>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2.2.满足本采购文件实质性条款的规定。</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3、适用法律</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3.1.本次采购及由此产生的合同受中华人民共和国有关的法律法规制约和保护。</w:t>
      </w:r>
      <w:r/>
    </w:p>
    <w:p>
      <w:pPr>
        <w:ind w:firstLine="480"/>
        <w:spacing w:line="360" w:lineRule="auto"/>
        <w:rPr>
          <w:rFonts w:hint="eastAsia" w:ascii="宋体" w:hAnsi="宋体" w:cs="宋体"/>
          <w:bCs/>
          <w:sz w:val="24"/>
          <w:szCs w:val="24"/>
        </w:rPr>
      </w:pPr>
      <w:r/>
      <w:bookmarkStart w:id="55" w:name="_Toc16938523"/>
      <w:r/>
      <w:bookmarkStart w:id="56" w:name="_Toc462564067"/>
      <w:r/>
      <w:bookmarkStart w:id="57" w:name="_Toc513029207"/>
      <w:r/>
      <w:bookmarkStart w:id="58" w:name="_Toc20823279"/>
      <w:r>
        <w:rPr>
          <w:rFonts w:hint="eastAsia" w:ascii="宋体" w:hAnsi="宋体" w:cs="宋体"/>
          <w:bCs/>
          <w:sz w:val="24"/>
          <w:szCs w:val="24"/>
        </w:rPr>
        <w:t xml:space="preserve">4、相关费用</w:t>
      </w:r>
      <w:bookmarkEnd w:id="55"/>
      <w:r/>
      <w:bookmarkEnd w:id="56"/>
      <w:r/>
      <w:bookmarkEnd w:id="57"/>
      <w:r/>
      <w:bookmarkEnd w:id="58"/>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4.1.供应商应自行承担所有与参加本次采购有关的费用，无论采购过程中的做法和结果如何，采购代理在任何情况下均无义务和责任承担这些费用。</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5、采购文件的约束力</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5.1.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ind w:firstLine="480"/>
        <w:spacing w:line="360" w:lineRule="auto"/>
        <w:rPr>
          <w:rFonts w:hint="eastAsia" w:ascii="宋体" w:hAnsi="宋体" w:cs="宋体"/>
          <w:bCs/>
          <w:sz w:val="24"/>
          <w:szCs w:val="24"/>
        </w:rPr>
      </w:pPr>
      <w:r/>
      <w:bookmarkStart w:id="59" w:name="_Toc16938525"/>
      <w:r/>
      <w:bookmarkStart w:id="60" w:name="_Toc120614215"/>
      <w:r/>
      <w:bookmarkStart w:id="61" w:name="_Toc20823281"/>
      <w:r/>
      <w:bookmarkStart w:id="62" w:name="_Toc513029209"/>
      <w:r>
        <w:rPr>
          <w:rFonts w:hint="eastAsia" w:ascii="宋体" w:hAnsi="宋体" w:cs="宋体"/>
          <w:bCs/>
          <w:sz w:val="24"/>
          <w:szCs w:val="24"/>
        </w:rPr>
        <w:t xml:space="preserve">二、</w:t>
      </w:r>
      <w:bookmarkEnd w:id="59"/>
      <w:r/>
      <w:bookmarkEnd w:id="60"/>
      <w:r/>
      <w:bookmarkEnd w:id="61"/>
      <w:r/>
      <w:bookmarkEnd w:id="62"/>
      <w:r>
        <w:rPr>
          <w:rFonts w:hint="eastAsia" w:ascii="宋体" w:hAnsi="宋体" w:cs="宋体"/>
          <w:bCs/>
          <w:sz w:val="24"/>
          <w:szCs w:val="24"/>
        </w:rPr>
        <w:t xml:space="preserve">采购文件</w:t>
      </w:r>
      <w:r/>
    </w:p>
    <w:p>
      <w:pPr>
        <w:ind w:firstLine="480"/>
        <w:spacing w:line="360" w:lineRule="auto"/>
        <w:rPr>
          <w:rFonts w:hint="eastAsia" w:ascii="宋体" w:hAnsi="宋体" w:cs="宋体"/>
          <w:bCs/>
          <w:sz w:val="24"/>
          <w:szCs w:val="24"/>
        </w:rPr>
      </w:pPr>
      <w:r/>
      <w:bookmarkStart w:id="63" w:name="_Toc513029210"/>
      <w:r/>
      <w:bookmarkStart w:id="64" w:name="_Toc20823282"/>
      <w:r/>
      <w:bookmarkStart w:id="65" w:name="_Toc16938526"/>
      <w:r>
        <w:rPr>
          <w:rFonts w:hint="eastAsia" w:ascii="宋体" w:hAnsi="宋体" w:cs="宋体"/>
          <w:bCs/>
          <w:sz w:val="24"/>
          <w:szCs w:val="24"/>
        </w:rPr>
        <w:t xml:space="preserve">6、采购文件构成</w:t>
      </w:r>
      <w:bookmarkEnd w:id="63"/>
      <w:r/>
      <w:bookmarkEnd w:id="64"/>
      <w:r/>
      <w:bookmarkEnd w:id="65"/>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6.1.采购文件由以下部分组成：</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（1）单一来源采购邀请</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（2）供应商须知</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（3）合同条款及格式</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（4）项目需求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（6）响应文件格式</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请仔细检查采购文件是否齐全，如有</w:t>
      </w:r>
      <w:r>
        <w:rPr>
          <w:rFonts w:hint="eastAsia" w:ascii="宋体" w:hAnsi="宋体" w:cs="宋体"/>
          <w:bCs/>
          <w:sz w:val="24"/>
          <w:szCs w:val="24"/>
        </w:rPr>
        <w:t xml:space="preserve">缺漏请</w:t>
      </w:r>
      <w:r>
        <w:rPr>
          <w:rFonts w:hint="eastAsia" w:ascii="宋体" w:hAnsi="宋体" w:cs="宋体"/>
          <w:bCs/>
          <w:sz w:val="24"/>
          <w:szCs w:val="24"/>
        </w:rPr>
        <w:t xml:space="preserve">立即与采购代理联系解决。</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6.2.供应商应认真阅读采购文件中所有的事项、格式、条款和规范等要求。按采购文件要求和规定编制单一来源谈判响应文件（以下简称“响应文件”），并保证所提供的全部资料的真实性，以使其响应文件对采购文件</w:t>
      </w:r>
      <w:r>
        <w:rPr>
          <w:rFonts w:hint="eastAsia" w:ascii="宋体" w:hAnsi="宋体" w:cs="宋体"/>
          <w:bCs/>
          <w:sz w:val="24"/>
          <w:szCs w:val="24"/>
        </w:rPr>
        <w:t xml:space="preserve">作出</w:t>
      </w:r>
      <w:r>
        <w:rPr>
          <w:rFonts w:hint="eastAsia" w:ascii="宋体" w:hAnsi="宋体" w:cs="宋体"/>
          <w:bCs/>
          <w:sz w:val="24"/>
          <w:szCs w:val="24"/>
        </w:rPr>
        <w:t xml:space="preserve">实质性响应，否则其风险由供应商自行</w:t>
      </w:r>
      <w:r>
        <w:rPr>
          <w:rFonts w:hint="eastAsia" w:ascii="宋体" w:hAnsi="宋体" w:cs="宋体"/>
          <w:bCs/>
          <w:sz w:val="24"/>
          <w:szCs w:val="24"/>
        </w:rPr>
        <w:t xml:space="preserve">承担。</w:t>
      </w:r>
      <w:r/>
    </w:p>
    <w:p>
      <w:pPr>
        <w:ind w:firstLine="480"/>
        <w:spacing w:line="360" w:lineRule="auto"/>
        <w:rPr>
          <w:rFonts w:hint="eastAsia" w:ascii="宋体" w:hAnsi="宋体" w:cs="宋体"/>
          <w:bCs/>
          <w:sz w:val="24"/>
          <w:szCs w:val="24"/>
        </w:rPr>
      </w:pPr>
      <w:r/>
      <w:bookmarkStart w:id="66" w:name="_Toc16938527"/>
      <w:r/>
      <w:bookmarkStart w:id="67" w:name="_Toc513029211"/>
      <w:r/>
      <w:bookmarkStart w:id="68" w:name="_Toc20823283"/>
      <w:r/>
      <w:bookmarkStart w:id="69" w:name="_Toc462564070"/>
      <w:r>
        <w:rPr>
          <w:rFonts w:hint="eastAsia" w:ascii="宋体" w:hAnsi="宋体" w:cs="宋体"/>
          <w:bCs/>
          <w:sz w:val="24"/>
          <w:szCs w:val="24"/>
        </w:rPr>
        <w:t xml:space="preserve">7、采购文件的澄清</w:t>
      </w:r>
      <w:bookmarkEnd w:id="66"/>
      <w:r/>
      <w:bookmarkEnd w:id="67"/>
      <w:r/>
      <w:bookmarkEnd w:id="68"/>
      <w:r/>
      <w:bookmarkEnd w:id="69"/>
      <w:r/>
      <w:r/>
    </w:p>
    <w:p>
      <w:pPr>
        <w:ind w:firstLine="480"/>
        <w:spacing w:line="360" w:lineRule="auto"/>
        <w:rPr>
          <w:rFonts w:hint="eastAsia" w:ascii="宋体" w:hAnsi="宋体" w:cs="宋体"/>
          <w:bCs/>
          <w:sz w:val="24"/>
          <w:szCs w:val="24"/>
        </w:rPr>
      </w:pPr>
      <w:r/>
      <w:bookmarkStart w:id="70" w:name="_Toc513029212"/>
      <w:r/>
      <w:bookmarkStart w:id="71" w:name="_Toc462564071"/>
      <w:r/>
      <w:bookmarkStart w:id="72" w:name="_Toc16938528"/>
      <w:r/>
      <w:bookmarkStart w:id="73" w:name="_Toc20823284"/>
      <w:r>
        <w:rPr>
          <w:rFonts w:hint="eastAsia" w:ascii="宋体" w:hAnsi="宋体" w:cs="宋体"/>
          <w:bCs/>
          <w:sz w:val="24"/>
          <w:szCs w:val="24"/>
        </w:rPr>
        <w:t xml:space="preserve">7.1.供应商如果要求对采购文件进行澄清的，应在响应文件接收截止时间（以下简称“截止时间”）三天前，在苏</w:t>
      </w:r>
      <w:r>
        <w:rPr>
          <w:rFonts w:hint="eastAsia" w:ascii="宋体" w:hAnsi="宋体" w:cs="宋体"/>
          <w:bCs/>
          <w:sz w:val="24"/>
          <w:szCs w:val="24"/>
        </w:rPr>
        <w:t xml:space="preserve">采云</w:t>
      </w:r>
      <w:r>
        <w:rPr>
          <w:rFonts w:hint="eastAsia" w:ascii="宋体" w:hAnsi="宋体" w:cs="宋体"/>
          <w:bCs/>
          <w:sz w:val="24"/>
          <w:szCs w:val="24"/>
        </w:rPr>
        <w:t xml:space="preserve">系统中通知采购代理。采购代理将在苏</w:t>
      </w:r>
      <w:r>
        <w:rPr>
          <w:rFonts w:hint="eastAsia" w:ascii="宋体" w:hAnsi="宋体" w:cs="宋体"/>
          <w:bCs/>
          <w:sz w:val="24"/>
          <w:szCs w:val="24"/>
        </w:rPr>
        <w:t xml:space="preserve">采云</w:t>
      </w:r>
      <w:r>
        <w:rPr>
          <w:rFonts w:hint="eastAsia" w:ascii="宋体" w:hAnsi="宋体" w:cs="宋体"/>
          <w:bCs/>
          <w:sz w:val="24"/>
          <w:szCs w:val="24"/>
        </w:rPr>
        <w:t xml:space="preserve">系统中对澄清要求予以答复。</w:t>
      </w:r>
      <w:bookmarkEnd w:id="70"/>
      <w:r/>
      <w:bookmarkEnd w:id="71"/>
      <w:r/>
      <w:bookmarkEnd w:id="72"/>
      <w:r/>
      <w:bookmarkEnd w:id="73"/>
      <w:r/>
      <w:r/>
    </w:p>
    <w:p>
      <w:pPr>
        <w:ind w:firstLine="480"/>
        <w:spacing w:line="360" w:lineRule="auto"/>
        <w:rPr>
          <w:rFonts w:hint="eastAsia" w:ascii="宋体" w:hAnsi="宋体" w:cs="宋体"/>
          <w:bCs/>
          <w:sz w:val="24"/>
          <w:szCs w:val="24"/>
        </w:rPr>
      </w:pPr>
      <w:r/>
      <w:bookmarkStart w:id="74" w:name="_Toc16938529"/>
      <w:r/>
      <w:bookmarkStart w:id="75" w:name="_Toc120614216"/>
      <w:r/>
      <w:bookmarkStart w:id="76" w:name="_Toc20823285"/>
      <w:r/>
      <w:bookmarkStart w:id="77" w:name="_Toc462564072"/>
      <w:r/>
      <w:bookmarkStart w:id="78" w:name="_Toc513029213"/>
      <w:r>
        <w:rPr>
          <w:rFonts w:hint="eastAsia" w:ascii="宋体" w:hAnsi="宋体" w:cs="宋体"/>
          <w:bCs/>
          <w:sz w:val="24"/>
          <w:szCs w:val="24"/>
        </w:rPr>
        <w:t xml:space="preserve">8、采购文件的修改</w:t>
      </w:r>
      <w:bookmarkEnd w:id="74"/>
      <w:r/>
      <w:bookmarkEnd w:id="75"/>
      <w:r/>
      <w:bookmarkEnd w:id="76"/>
      <w:r/>
      <w:bookmarkEnd w:id="77"/>
      <w:r/>
      <w:bookmarkEnd w:id="78"/>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8.1.在截止时间前，采购代理可以以补充文件的方式对采购文件进行修改。</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8.2.采购代理有权按照政府采购的有关要求推迟截止时间。</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8.3.采购文件的补充文件将作为采购文件的组成部分，并对供应商具有约束力。</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三、响应文件的编制</w:t>
      </w:r>
      <w:r/>
    </w:p>
    <w:p>
      <w:pPr>
        <w:ind w:firstLine="480"/>
        <w:spacing w:line="360" w:lineRule="auto"/>
        <w:rPr>
          <w:rFonts w:hint="eastAsia" w:ascii="宋体" w:hAnsi="宋体" w:cs="宋体"/>
          <w:bCs/>
          <w:sz w:val="24"/>
          <w:szCs w:val="24"/>
        </w:rPr>
      </w:pPr>
      <w:r/>
      <w:bookmarkStart w:id="79" w:name="_Toc513029214"/>
      <w:r/>
      <w:bookmarkStart w:id="80" w:name="_Toc20823286"/>
      <w:r/>
      <w:bookmarkStart w:id="81" w:name="_Toc462564073"/>
      <w:r/>
      <w:bookmarkStart w:id="82" w:name="_Toc16938530"/>
      <w:r>
        <w:rPr>
          <w:rFonts w:hint="eastAsia" w:ascii="宋体" w:hAnsi="宋体" w:cs="宋体"/>
          <w:bCs/>
          <w:sz w:val="24"/>
          <w:szCs w:val="24"/>
        </w:rPr>
        <w:t xml:space="preserve">9、响应文件的语言及度量衡单位</w:t>
      </w:r>
      <w:bookmarkEnd w:id="79"/>
      <w:r/>
      <w:bookmarkEnd w:id="80"/>
      <w:r/>
      <w:bookmarkEnd w:id="81"/>
      <w:r/>
      <w:bookmarkEnd w:id="82"/>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9.1.供应商提交的响应文件以及供应商与采购代理就有关采购活动的所有来往通知、函件和文件均应使用简体中文。</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9.2.除技术性能另有规定外，响应文件所使用的度量衡单位，均须采用国家法定计量单位。</w:t>
      </w:r>
      <w:r/>
    </w:p>
    <w:p>
      <w:pPr>
        <w:ind w:firstLine="480"/>
        <w:spacing w:line="360" w:lineRule="auto"/>
        <w:rPr>
          <w:rFonts w:hint="eastAsia" w:ascii="宋体" w:hAnsi="宋体" w:cs="宋体"/>
          <w:bCs/>
          <w:sz w:val="24"/>
          <w:szCs w:val="24"/>
        </w:rPr>
      </w:pPr>
      <w:r/>
      <w:bookmarkStart w:id="83" w:name="_Toc513029215"/>
      <w:r/>
      <w:bookmarkStart w:id="84" w:name="_Toc20823287"/>
      <w:r/>
      <w:bookmarkStart w:id="85" w:name="_Toc16938531"/>
      <w:r/>
      <w:bookmarkStart w:id="86" w:name="_Toc462564074"/>
      <w:r>
        <w:rPr>
          <w:rFonts w:hint="eastAsia" w:ascii="宋体" w:hAnsi="宋体" w:cs="宋体"/>
          <w:bCs/>
          <w:sz w:val="24"/>
          <w:szCs w:val="24"/>
        </w:rPr>
        <w:t xml:space="preserve">10、响应文件构成</w:t>
      </w:r>
      <w:bookmarkEnd w:id="83"/>
      <w:r/>
      <w:bookmarkEnd w:id="84"/>
      <w:r/>
      <w:bookmarkEnd w:id="85"/>
      <w:r/>
      <w:bookmarkEnd w:id="86"/>
      <w:r/>
      <w:r/>
    </w:p>
    <w:p>
      <w:pPr>
        <w:ind w:firstLine="480"/>
        <w:spacing w:line="360" w:lineRule="auto"/>
        <w:rPr>
          <w:rFonts w:hint="eastAsia" w:ascii="宋体" w:hAnsi="宋体" w:cs="宋体"/>
          <w:bCs/>
          <w:sz w:val="24"/>
          <w:szCs w:val="24"/>
        </w:rPr>
      </w:pPr>
      <w:r/>
      <w:bookmarkStart w:id="87" w:name="_Toc49090509"/>
      <w:r/>
      <w:bookmarkStart w:id="88" w:name="_Toc513029219"/>
      <w:r/>
      <w:bookmarkStart w:id="89" w:name="_Toc513029216"/>
      <w:r/>
      <w:bookmarkStart w:id="90" w:name="_Toc49090508"/>
      <w:r/>
      <w:bookmarkStart w:id="91" w:name="_Toc14577354"/>
      <w:r/>
      <w:bookmarkStart w:id="92" w:name="_Toc14577357"/>
      <w:r/>
      <w:bookmarkStart w:id="93" w:name="_Toc14577355"/>
      <w:r/>
      <w:bookmarkStart w:id="94" w:name="_Toc49090507"/>
      <w:r>
        <w:rPr>
          <w:rFonts w:hint="eastAsia" w:ascii="宋体" w:hAnsi="宋体" w:cs="宋体"/>
          <w:bCs/>
          <w:sz w:val="24"/>
          <w:szCs w:val="24"/>
        </w:rPr>
        <w:t xml:space="preserve">10.1.供应商编写的响应文件应包括资格证明文件、符合性证明文件、分项报价表、技术要求响应及偏离表、商务要求响应及偏离表、其他证明文件、单一来源响应函等部分。</w:t>
      </w:r>
      <w:bookmarkEnd w:id="87"/>
      <w:r/>
      <w:bookmarkEnd w:id="88"/>
      <w:r/>
      <w:bookmarkEnd w:id="89"/>
      <w:r/>
      <w:bookmarkEnd w:id="90"/>
      <w:r/>
      <w:bookmarkEnd w:id="91"/>
      <w:r/>
      <w:bookmarkEnd w:id="92"/>
      <w:r/>
      <w:bookmarkEnd w:id="93"/>
      <w:r/>
      <w:bookmarkEnd w:id="94"/>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11、证明供应商及响应标的符合采购文件规定的文件</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11.1.供应商应按照法律、法规、规章和规范性文件以及采购文件要求提交证明文件，证明其及响应标的符合采购文件规定。</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11.2.采购文件对证明文件无明确形式要求的，证明文件可以以文字资料、图纸和数据等形式提交。</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12、分项报价表</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12.1.供应商应按照采购文件规定格式填报分项报价表。</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12.2.报价货币。响应文件中的单价和总价无特殊规定的采用人民币报价，以元为单位标注。采购文件中另有规定的按规定执行。</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13、技术要求响应及偏离表、商务要求响应及偏离表</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13.1.供应商需对采购文件中的技术要求与商务要求逐项</w:t>
      </w:r>
      <w:r>
        <w:rPr>
          <w:rFonts w:hint="eastAsia" w:ascii="宋体" w:hAnsi="宋体" w:cs="宋体"/>
          <w:bCs/>
          <w:sz w:val="24"/>
          <w:szCs w:val="24"/>
        </w:rPr>
        <w:t xml:space="preserve">作出</w:t>
      </w:r>
      <w:r>
        <w:rPr>
          <w:rFonts w:hint="eastAsia" w:ascii="宋体" w:hAnsi="宋体" w:cs="宋体"/>
          <w:bCs/>
          <w:sz w:val="24"/>
          <w:szCs w:val="24"/>
        </w:rPr>
        <w:t xml:space="preserve">响应或偏离，并说明原因。</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13.2.供应商可在响应文件中提供认为需要的其他技术文件或说明。</w:t>
      </w:r>
      <w:r/>
    </w:p>
    <w:p>
      <w:pPr>
        <w:ind w:firstLine="480"/>
        <w:spacing w:line="360" w:lineRule="auto"/>
        <w:rPr>
          <w:rFonts w:hint="eastAsia" w:ascii="宋体" w:hAnsi="宋体" w:cs="宋体"/>
          <w:bCs/>
          <w:sz w:val="24"/>
          <w:szCs w:val="24"/>
        </w:rPr>
      </w:pPr>
      <w:r/>
      <w:bookmarkStart w:id="95" w:name="_Toc14577359"/>
      <w:r/>
      <w:bookmarkStart w:id="96" w:name="_Toc49090510"/>
      <w:r>
        <w:rPr>
          <w:rFonts w:hint="eastAsia" w:ascii="宋体" w:hAnsi="宋体" w:cs="宋体"/>
          <w:bCs/>
          <w:sz w:val="24"/>
          <w:szCs w:val="24"/>
        </w:rPr>
        <w:t xml:space="preserve">14、服务承诺、培训计划、人员安排及其他</w:t>
      </w:r>
      <w:bookmarkEnd w:id="95"/>
      <w:r/>
      <w:bookmarkEnd w:id="96"/>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14.1.供应商需根据采购文件要求提供有关售后服务的管理制度，售后服务机构的分布情况，售后服务人员的数量、素质、技术水平及售后服务的反应能力等。</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14.2.供应商需根据采购文件要求提供培训计划。</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14.3.供应商需根据采购文件要求提供所投标的</w:t>
      </w:r>
      <w:r>
        <w:rPr>
          <w:rFonts w:hint="eastAsia" w:ascii="宋体" w:hAnsi="宋体" w:cs="宋体"/>
          <w:bCs/>
          <w:sz w:val="24"/>
          <w:szCs w:val="24"/>
        </w:rPr>
        <w:t xml:space="preserve">的</w:t>
      </w:r>
      <w:r>
        <w:rPr>
          <w:rFonts w:hint="eastAsia" w:ascii="宋体" w:hAnsi="宋体" w:cs="宋体"/>
          <w:bCs/>
          <w:sz w:val="24"/>
          <w:szCs w:val="24"/>
        </w:rPr>
        <w:t xml:space="preserve">主要组成部分、功能设计、实现思路及关键技术等。</w:t>
      </w:r>
      <w:r/>
    </w:p>
    <w:p>
      <w:pPr>
        <w:ind w:firstLine="480"/>
        <w:spacing w:line="360" w:lineRule="auto"/>
        <w:rPr>
          <w:rFonts w:hint="eastAsia" w:ascii="宋体" w:hAnsi="宋体" w:cs="宋体"/>
          <w:bCs/>
          <w:sz w:val="24"/>
          <w:szCs w:val="24"/>
        </w:rPr>
      </w:pPr>
      <w:r/>
      <w:bookmarkStart w:id="97" w:name="_Toc49090511"/>
      <w:r/>
      <w:bookmarkStart w:id="98" w:name="_Toc14577360"/>
      <w:r>
        <w:rPr>
          <w:rFonts w:hint="eastAsia" w:ascii="宋体" w:hAnsi="宋体" w:cs="宋体"/>
          <w:bCs/>
          <w:sz w:val="24"/>
          <w:szCs w:val="24"/>
        </w:rPr>
        <w:t xml:space="preserve">15、单一来源响应函</w:t>
      </w:r>
      <w:bookmarkEnd w:id="97"/>
      <w:r/>
      <w:bookmarkEnd w:id="98"/>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15.1.供应商应按照采购文件中提供的格式完整、正确填写单一来源响应函。</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16、单一来源采购有效期</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16.1.单一来源采购有效期（以下简称“有效期”）为采购代理规定的响应文件接收截止之日后九十（90）天。有效期比规定期限短的将被视为未响应采购文件要求而予以拒绝。</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17、有效期的延长</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17.1.在特殊情况下，采购代理于</w:t>
      </w:r>
      <w:r>
        <w:rPr>
          <w:rFonts w:hint="eastAsia" w:ascii="宋体" w:hAnsi="宋体" w:cs="宋体"/>
          <w:bCs/>
          <w:sz w:val="24"/>
          <w:szCs w:val="24"/>
        </w:rPr>
        <w:t xml:space="preserve">原有效</w:t>
      </w:r>
      <w:r>
        <w:rPr>
          <w:rFonts w:hint="eastAsia" w:ascii="宋体" w:hAnsi="宋体" w:cs="宋体"/>
          <w:bCs/>
          <w:sz w:val="24"/>
          <w:szCs w:val="24"/>
        </w:rPr>
        <w:t xml:space="preserve">期满之前，可向供应商提出延长有效期的要求。这种要求与答复均应采用书面形式。供应商可以拒绝采购代理的这一要求而放弃单一来源采购活动，同意延长有效期的供应商既不能要求也不允许修改其响应文件。受有效期约束的所有权利与义务均延长至新的有效期。</w:t>
      </w:r>
      <w:r/>
    </w:p>
    <w:p>
      <w:pPr>
        <w:ind w:firstLine="480"/>
        <w:spacing w:line="360" w:lineRule="auto"/>
        <w:rPr>
          <w:rFonts w:hint="eastAsia" w:ascii="宋体" w:hAnsi="宋体" w:cs="宋体"/>
          <w:bCs/>
          <w:sz w:val="24"/>
          <w:szCs w:val="24"/>
        </w:rPr>
      </w:pPr>
      <w:r/>
      <w:bookmarkStart w:id="99" w:name="_Toc16938540"/>
      <w:r/>
      <w:bookmarkStart w:id="100" w:name="_Toc120614217"/>
      <w:r/>
      <w:bookmarkStart w:id="101" w:name="_Toc20823296"/>
      <w:r/>
      <w:bookmarkStart w:id="102" w:name="_Toc513029224"/>
      <w:r>
        <w:rPr>
          <w:rFonts w:hint="eastAsia" w:ascii="宋体" w:hAnsi="宋体" w:cs="宋体"/>
          <w:bCs/>
          <w:sz w:val="24"/>
          <w:szCs w:val="24"/>
        </w:rPr>
        <w:t xml:space="preserve">四、响应文件的递交</w:t>
      </w:r>
      <w:bookmarkEnd w:id="99"/>
      <w:r/>
      <w:bookmarkEnd w:id="100"/>
      <w:r/>
      <w:bookmarkEnd w:id="101"/>
      <w:r/>
      <w:bookmarkEnd w:id="102"/>
      <w:r/>
      <w:r/>
    </w:p>
    <w:p>
      <w:pPr>
        <w:ind w:firstLine="480"/>
        <w:spacing w:line="360" w:lineRule="auto"/>
        <w:rPr>
          <w:rFonts w:hint="eastAsia" w:ascii="宋体" w:hAnsi="宋体" w:cs="宋体"/>
          <w:bCs/>
          <w:sz w:val="24"/>
          <w:szCs w:val="24"/>
        </w:rPr>
      </w:pPr>
      <w:r/>
      <w:bookmarkStart w:id="103" w:name="_Toc16938541"/>
      <w:r/>
      <w:bookmarkStart w:id="104" w:name="_Toc20823297"/>
      <w:r/>
      <w:bookmarkStart w:id="105" w:name="_Toc513029225"/>
      <w:r/>
      <w:bookmarkStart w:id="106" w:name="_Toc462564084"/>
      <w:r>
        <w:rPr>
          <w:rFonts w:hint="eastAsia" w:ascii="宋体" w:hAnsi="宋体" w:cs="宋体"/>
          <w:bCs/>
          <w:sz w:val="24"/>
          <w:szCs w:val="24"/>
        </w:rPr>
        <w:t xml:space="preserve">18、电子</w:t>
      </w:r>
      <w:bookmarkEnd w:id="103"/>
      <w:r/>
      <w:bookmarkEnd w:id="104"/>
      <w:r/>
      <w:bookmarkEnd w:id="105"/>
      <w:r/>
      <w:bookmarkEnd w:id="106"/>
      <w:r>
        <w:rPr>
          <w:rFonts w:hint="eastAsia" w:ascii="宋体" w:hAnsi="宋体" w:cs="宋体"/>
          <w:bCs/>
          <w:sz w:val="24"/>
          <w:szCs w:val="24"/>
        </w:rPr>
        <w:t xml:space="preserve">响应文件的递交</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18.1.供应商应当按照《操作手册》规定，在截止时间</w:t>
      </w:r>
      <w:r>
        <w:rPr>
          <w:rFonts w:hint="eastAsia" w:ascii="宋体" w:hAnsi="宋体" w:cs="宋体"/>
          <w:bCs/>
          <w:sz w:val="24"/>
          <w:szCs w:val="24"/>
        </w:rPr>
        <w:t xml:space="preserve">前制作</w:t>
      </w:r>
      <w:r>
        <w:rPr>
          <w:rFonts w:hint="eastAsia" w:ascii="宋体" w:hAnsi="宋体" w:cs="宋体"/>
          <w:bCs/>
          <w:sz w:val="24"/>
          <w:szCs w:val="24"/>
        </w:rPr>
        <w:t xml:space="preserve">并上传电子响应文件。</w:t>
      </w:r>
      <w:bookmarkStart w:id="107" w:name="_Toc20823298"/>
      <w:r/>
      <w:bookmarkStart w:id="108" w:name="_Toc16938542"/>
      <w:r/>
      <w:bookmarkEnd w:id="107"/>
      <w:r/>
      <w:bookmarkEnd w:id="108"/>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19、提交响应文件截止时间</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19.1.供应商上传电子响应文件的时间不得迟于单一来源采购邀请中规定的截止时间。</w:t>
      </w:r>
      <w:r/>
    </w:p>
    <w:p>
      <w:pPr>
        <w:ind w:firstLine="480"/>
        <w:spacing w:line="360" w:lineRule="auto"/>
        <w:rPr>
          <w:rFonts w:hint="eastAsia" w:ascii="宋体" w:hAnsi="宋体" w:cs="宋体"/>
          <w:bCs/>
          <w:sz w:val="24"/>
          <w:szCs w:val="24"/>
        </w:rPr>
      </w:pPr>
      <w:r/>
      <w:bookmarkStart w:id="109" w:name="_Toc20823299"/>
      <w:r/>
      <w:bookmarkStart w:id="110" w:name="_Toc16938543"/>
      <w:r/>
      <w:bookmarkStart w:id="111" w:name="_Toc513029227"/>
      <w:r>
        <w:rPr>
          <w:rFonts w:hint="eastAsia" w:ascii="宋体" w:hAnsi="宋体" w:cs="宋体"/>
          <w:bCs/>
          <w:sz w:val="24"/>
          <w:szCs w:val="24"/>
        </w:rPr>
        <w:t xml:space="preserve">供应商应充分考虑到网络环境、网络带宽等风险因素，如因供应商自身原因造成的电子响应文件上传不成功由供应商自行承担全部责任。</w:t>
      </w:r>
      <w:bookmarkEnd w:id="109"/>
      <w:r/>
      <w:bookmarkEnd w:id="110"/>
      <w:r/>
      <w:bookmarkEnd w:id="111"/>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19.2.采购代理可以按照规定，通过修改采购文件酌情延长截止时间，在此情况下，供应商的所有权利和义务以及供应商受制的截止时间以延长后新的截止时间为准。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20、响应文件的拒收</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20.1.采购代理拒绝接收在其规定的截止时间后上传的任何电子响应文件。</w:t>
      </w:r>
      <w:r/>
    </w:p>
    <w:p>
      <w:pPr>
        <w:ind w:firstLine="480"/>
        <w:spacing w:line="360" w:lineRule="auto"/>
        <w:rPr>
          <w:rFonts w:hint="eastAsia" w:ascii="宋体" w:hAnsi="宋体" w:cs="宋体"/>
          <w:bCs/>
          <w:sz w:val="24"/>
          <w:szCs w:val="24"/>
        </w:rPr>
      </w:pPr>
      <w:r/>
      <w:bookmarkStart w:id="112" w:name="_Toc513029228"/>
      <w:r/>
      <w:bookmarkStart w:id="113" w:name="_Toc20823300"/>
      <w:r/>
      <w:bookmarkStart w:id="114" w:name="_Toc16938544"/>
      <w:r>
        <w:rPr>
          <w:rFonts w:hint="eastAsia" w:ascii="宋体" w:hAnsi="宋体" w:cs="宋体"/>
          <w:bCs/>
          <w:sz w:val="24"/>
          <w:szCs w:val="24"/>
        </w:rPr>
        <w:t xml:space="preserve">21、响应文件的撤回和修改</w:t>
      </w:r>
      <w:bookmarkEnd w:id="112"/>
      <w:r/>
      <w:bookmarkEnd w:id="113"/>
      <w:r/>
      <w:bookmarkEnd w:id="114"/>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21.1.响应文件的撤回</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21.1.1.电子响应文件的撤回</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供应商可在截止时间前，撤回其电子响应文件，具体操作方法见《操作手册》。</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21.1.2.供应商撤回电子响应文件，则认为其不再参与本项目采购活动。</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21.2.响应文件的修改</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供应商可在截止时间前，对其电子响应文件进行修改，具体操作方法见《操作手册》。</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21.3.在截止时间之后，供应商不得对其电子响应文件作任何修改。</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21.4.在截止时间至有效期满之间的这段时间内，供应商不得撤回其响应文件。</w:t>
      </w:r>
      <w:r/>
    </w:p>
    <w:p>
      <w:pPr>
        <w:ind w:firstLine="480"/>
        <w:spacing w:line="360" w:lineRule="auto"/>
        <w:rPr>
          <w:rFonts w:hint="eastAsia" w:ascii="宋体" w:hAnsi="宋体" w:cs="宋体"/>
          <w:bCs/>
          <w:sz w:val="24"/>
          <w:szCs w:val="24"/>
        </w:rPr>
      </w:pPr>
      <w:r/>
      <w:bookmarkStart w:id="115" w:name="_Toc20823301"/>
      <w:r/>
      <w:bookmarkStart w:id="116" w:name="_Toc16938545"/>
      <w:r/>
      <w:bookmarkStart w:id="117" w:name="_Toc120614218"/>
      <w:r/>
      <w:bookmarkStart w:id="118" w:name="_Toc513029229"/>
      <w:r>
        <w:rPr>
          <w:rFonts w:hint="eastAsia" w:ascii="宋体" w:hAnsi="宋体" w:cs="宋体"/>
          <w:bCs/>
          <w:sz w:val="24"/>
          <w:szCs w:val="24"/>
        </w:rPr>
        <w:t xml:space="preserve">五、响应文件的解密与评审</w:t>
      </w:r>
      <w:bookmarkEnd w:id="115"/>
      <w:r/>
      <w:bookmarkEnd w:id="116"/>
      <w:r/>
      <w:bookmarkEnd w:id="117"/>
      <w:r/>
      <w:bookmarkEnd w:id="118"/>
      <w:r/>
      <w:r/>
    </w:p>
    <w:p>
      <w:pPr>
        <w:ind w:firstLine="480"/>
        <w:spacing w:line="360" w:lineRule="auto"/>
        <w:rPr>
          <w:rFonts w:hint="eastAsia" w:ascii="宋体" w:hAnsi="宋体" w:cs="宋体"/>
          <w:bCs/>
          <w:sz w:val="24"/>
          <w:szCs w:val="24"/>
        </w:rPr>
      </w:pPr>
      <w:r/>
      <w:bookmarkStart w:id="119" w:name="_Toc16938546"/>
      <w:r/>
      <w:bookmarkStart w:id="120" w:name="_Toc20823302"/>
      <w:r/>
      <w:bookmarkStart w:id="121" w:name="_Toc513029230"/>
      <w:r>
        <w:rPr>
          <w:rFonts w:hint="eastAsia" w:ascii="宋体" w:hAnsi="宋体" w:cs="宋体"/>
          <w:bCs/>
          <w:sz w:val="24"/>
          <w:szCs w:val="24"/>
        </w:rPr>
        <w:t xml:space="preserve">22、</w:t>
      </w:r>
      <w:bookmarkEnd w:id="119"/>
      <w:r/>
      <w:bookmarkEnd w:id="120"/>
      <w:r/>
      <w:bookmarkEnd w:id="121"/>
      <w:r>
        <w:rPr>
          <w:rFonts w:hint="eastAsia" w:ascii="宋体" w:hAnsi="宋体" w:cs="宋体"/>
          <w:bCs/>
          <w:sz w:val="24"/>
          <w:szCs w:val="24"/>
        </w:rPr>
        <w:t xml:space="preserve">响应文件解密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22.1.供应商应当按照《操作手册》规定，在苏</w:t>
      </w:r>
      <w:r>
        <w:rPr>
          <w:rFonts w:hint="eastAsia" w:ascii="宋体" w:hAnsi="宋体" w:cs="宋体"/>
          <w:bCs/>
          <w:sz w:val="24"/>
          <w:szCs w:val="24"/>
        </w:rPr>
        <w:t xml:space="preserve">采云</w:t>
      </w:r>
      <w:r>
        <w:rPr>
          <w:rFonts w:hint="eastAsia" w:ascii="宋体" w:hAnsi="宋体" w:cs="宋体"/>
          <w:bCs/>
          <w:sz w:val="24"/>
          <w:szCs w:val="24"/>
        </w:rPr>
        <w:t xml:space="preserve">系统规定的时间内对响应文件进行解密。</w:t>
      </w:r>
      <w:r/>
    </w:p>
    <w:p>
      <w:pPr>
        <w:ind w:firstLine="480"/>
        <w:spacing w:line="360" w:lineRule="auto"/>
        <w:rPr>
          <w:rFonts w:hint="eastAsia" w:ascii="宋体" w:hAnsi="宋体" w:cs="宋体"/>
          <w:bCs/>
          <w:sz w:val="24"/>
          <w:szCs w:val="24"/>
        </w:rPr>
      </w:pPr>
      <w:r/>
      <w:bookmarkStart w:id="122" w:name="_Toc20823303"/>
      <w:r/>
      <w:bookmarkStart w:id="123" w:name="_Toc513029231"/>
      <w:r/>
      <w:bookmarkStart w:id="124" w:name="_Toc16938547"/>
      <w:r>
        <w:rPr>
          <w:rFonts w:hint="eastAsia" w:ascii="宋体" w:hAnsi="宋体" w:cs="宋体"/>
          <w:bCs/>
          <w:sz w:val="24"/>
          <w:szCs w:val="24"/>
        </w:rPr>
        <w:t xml:space="preserve">23、单一来源谈判小组</w:t>
      </w:r>
      <w:bookmarkEnd w:id="122"/>
      <w:r/>
      <w:bookmarkEnd w:id="123"/>
      <w:r/>
      <w:bookmarkEnd w:id="124"/>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23.1.单一来源谈判小组（以下简称“谈判小组”）由政府采购评审专家、采购人代表组成，</w:t>
      </w:r>
      <w:r>
        <w:rPr>
          <w:rFonts w:hint="eastAsia" w:ascii="宋体" w:hAnsi="宋体" w:cs="宋体"/>
          <w:bCs/>
          <w:sz w:val="24"/>
          <w:szCs w:val="24"/>
        </w:rPr>
        <w:t xml:space="preserve">且人员</w:t>
      </w:r>
      <w:r>
        <w:rPr>
          <w:rFonts w:hint="eastAsia" w:ascii="宋体" w:hAnsi="宋体" w:cs="宋体"/>
          <w:bCs/>
          <w:sz w:val="24"/>
          <w:szCs w:val="24"/>
        </w:rPr>
        <w:t xml:space="preserve">构成符合政府采购有关规定。</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23.2.谈判小组应当按照客观、公正、审慎的原则评审供应商的响应文件，并与供应商协商采购标的</w:t>
      </w:r>
      <w:r>
        <w:rPr>
          <w:rFonts w:hint="eastAsia" w:ascii="宋体" w:hAnsi="宋体" w:cs="宋体"/>
          <w:bCs/>
          <w:sz w:val="24"/>
          <w:szCs w:val="24"/>
        </w:rPr>
        <w:t xml:space="preserve">的</w:t>
      </w:r>
      <w:r>
        <w:rPr>
          <w:rFonts w:hint="eastAsia" w:ascii="宋体" w:hAnsi="宋体" w:cs="宋体"/>
          <w:bCs/>
          <w:sz w:val="24"/>
          <w:szCs w:val="24"/>
        </w:rPr>
        <w:t xml:space="preserve">价格。</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24、单一来源谈判过程的保密与公正</w:t>
      </w:r>
      <w:r/>
    </w:p>
    <w:p>
      <w:pPr>
        <w:ind w:firstLine="480"/>
        <w:spacing w:line="360" w:lineRule="auto"/>
        <w:rPr>
          <w:rFonts w:hint="eastAsia" w:ascii="宋体" w:hAnsi="宋体" w:cs="宋体"/>
          <w:bCs/>
          <w:sz w:val="24"/>
          <w:szCs w:val="24"/>
        </w:rPr>
      </w:pPr>
      <w:r/>
      <w:bookmarkStart w:id="125" w:name="_Toc513029232"/>
      <w:r/>
      <w:bookmarkStart w:id="126" w:name="_Toc16938548"/>
      <w:r/>
      <w:bookmarkStart w:id="127" w:name="_Toc20823304"/>
      <w:r>
        <w:rPr>
          <w:rFonts w:hint="eastAsia" w:ascii="宋体" w:hAnsi="宋体" w:cs="宋体"/>
          <w:bCs/>
          <w:sz w:val="24"/>
          <w:szCs w:val="24"/>
        </w:rPr>
        <w:t xml:space="preserve">24.1.谈判小组、采购人和采购代理工作人员、相关监督人员等与评审工作有关的人员，对评审、单一来源谈判情况以及在评审、单一来源谈判过程（以下简称“谈判过程”）中获悉的国家秘密、商业秘密负有保密责任。</w:t>
      </w:r>
      <w:bookmarkEnd w:id="125"/>
      <w:r/>
      <w:bookmarkEnd w:id="126"/>
      <w:r/>
      <w:bookmarkEnd w:id="127"/>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24.2.在谈判过程中，供应商不得以任何行为影响评审及谈判过程，否则将会导致其响应文件被拒绝。</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25、评审及谈判过程中的澄清</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25.1.项目评审及谈判过程中，谈判小组有权要求供应商对响应文件中含义不明确、同类问题表述不一致或者有明显文字和计算错误的内容等</w:t>
      </w:r>
      <w:r>
        <w:rPr>
          <w:rFonts w:hint="eastAsia" w:ascii="宋体" w:hAnsi="宋体" w:cs="宋体"/>
          <w:bCs/>
          <w:sz w:val="24"/>
          <w:szCs w:val="24"/>
        </w:rPr>
        <w:t xml:space="preserve">作出</w:t>
      </w:r>
      <w:r>
        <w:rPr>
          <w:rFonts w:hint="eastAsia" w:ascii="宋体" w:hAnsi="宋体" w:cs="宋体"/>
          <w:bCs/>
          <w:sz w:val="24"/>
          <w:szCs w:val="24"/>
        </w:rPr>
        <w:t xml:space="preserve">必要的澄清、说明或者更正。</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25.2.需要供应商进行澄清、说明和更正的，谈判小组将通过苏</w:t>
      </w:r>
      <w:r>
        <w:rPr>
          <w:rFonts w:hint="eastAsia" w:ascii="宋体" w:hAnsi="宋体" w:cs="宋体"/>
          <w:bCs/>
          <w:sz w:val="24"/>
          <w:szCs w:val="24"/>
        </w:rPr>
        <w:t xml:space="preserve">采云</w:t>
      </w:r>
      <w:r>
        <w:rPr>
          <w:rFonts w:hint="eastAsia" w:ascii="宋体" w:hAnsi="宋体" w:cs="宋体"/>
          <w:bCs/>
          <w:sz w:val="24"/>
          <w:szCs w:val="24"/>
        </w:rPr>
        <w:t xml:space="preserve">系统向供应商发布“澄清要求函”，接到“澄清要求函”的供应商应当按照要求在苏</w:t>
      </w:r>
      <w:r>
        <w:rPr>
          <w:rFonts w:hint="eastAsia" w:ascii="宋体" w:hAnsi="宋体" w:cs="宋体"/>
          <w:bCs/>
          <w:sz w:val="24"/>
          <w:szCs w:val="24"/>
        </w:rPr>
        <w:t xml:space="preserve">采云</w:t>
      </w:r>
      <w:r>
        <w:rPr>
          <w:rFonts w:hint="eastAsia" w:ascii="宋体" w:hAnsi="宋体" w:cs="宋体"/>
          <w:bCs/>
          <w:sz w:val="24"/>
          <w:szCs w:val="24"/>
        </w:rPr>
        <w:t xml:space="preserve">系统中提交“澄清响应函”并加盖CA电子公章。澄清、说明和更正的内容作为响应文件的补充部分，具体操作方式见《操作手册》。</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25.3 .接到谈判小组澄清、说明和更正要求的供应商如未按规定做出澄清、说明和 更正，其风险由供应商自行承担。</w:t>
      </w:r>
      <w:r/>
    </w:p>
    <w:p>
      <w:pPr>
        <w:ind w:firstLine="480"/>
        <w:spacing w:line="360" w:lineRule="auto"/>
        <w:rPr>
          <w:rFonts w:hint="eastAsia" w:ascii="宋体" w:hAnsi="宋体" w:cs="宋体"/>
          <w:bCs/>
          <w:sz w:val="24"/>
          <w:szCs w:val="24"/>
        </w:rPr>
      </w:pPr>
      <w:r/>
      <w:bookmarkStart w:id="128" w:name="_Toc16938549"/>
      <w:r/>
      <w:bookmarkStart w:id="129" w:name="_Toc20823305"/>
      <w:r/>
      <w:bookmarkStart w:id="130" w:name="_Toc513029233"/>
      <w:r>
        <w:rPr>
          <w:rFonts w:hint="eastAsia" w:ascii="宋体" w:hAnsi="宋体" w:cs="宋体"/>
          <w:bCs/>
          <w:sz w:val="24"/>
          <w:szCs w:val="24"/>
        </w:rPr>
        <w:t xml:space="preserve">26、对响应文件的审</w:t>
      </w:r>
      <w:bookmarkEnd w:id="128"/>
      <w:r/>
      <w:bookmarkEnd w:id="129"/>
      <w:r/>
      <w:bookmarkEnd w:id="130"/>
      <w:r>
        <w:rPr>
          <w:rFonts w:hint="eastAsia" w:ascii="宋体" w:hAnsi="宋体" w:cs="宋体"/>
          <w:bCs/>
          <w:sz w:val="24"/>
          <w:szCs w:val="24"/>
        </w:rPr>
        <w:t xml:space="preserve">查</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26.1.响应文件审查分为资格审查和符合性审查。</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26.1.1.资格审查：由谈判小组依据法律法规和谈判文件的规定，对响应文件中的资格证明文件进行审查，以确定供应商是否具备参加单一来源谈判的资格。</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谈判小组在进行资格审查的同时，将在“信用中国”网站（www.creditchina.gov.cn）查询供应商的信用记录，以确定供应商是否具备谈判资格,查询结果留存并归档。</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26.1.2.符合性审查：依据采购文件的规定，由谈判小组从响应文件的有效性、完整性和对采购文件的响应程度进行审查，以确定是否对谈判文件的实质性要求</w:t>
      </w:r>
      <w:r>
        <w:rPr>
          <w:rFonts w:hint="eastAsia" w:ascii="宋体" w:hAnsi="宋体" w:cs="宋体"/>
          <w:bCs/>
          <w:sz w:val="24"/>
          <w:szCs w:val="24"/>
        </w:rPr>
        <w:t xml:space="preserve">作出</w:t>
      </w:r>
      <w:r>
        <w:rPr>
          <w:rFonts w:hint="eastAsia" w:ascii="宋体" w:hAnsi="宋体" w:cs="宋体"/>
          <w:bCs/>
          <w:sz w:val="24"/>
          <w:szCs w:val="24"/>
        </w:rPr>
        <w:t xml:space="preserve">响应。</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26.1.3.未通过资格审查或符合性审查的供应商，谈判小组将在苏</w:t>
      </w:r>
      <w:r>
        <w:rPr>
          <w:rFonts w:hint="eastAsia" w:ascii="宋体" w:hAnsi="宋体" w:cs="宋体"/>
          <w:bCs/>
          <w:sz w:val="24"/>
          <w:szCs w:val="24"/>
        </w:rPr>
        <w:t xml:space="preserve">采云</w:t>
      </w:r>
      <w:r>
        <w:rPr>
          <w:rFonts w:hint="eastAsia" w:ascii="宋体" w:hAnsi="宋体" w:cs="宋体"/>
          <w:bCs/>
          <w:sz w:val="24"/>
          <w:szCs w:val="24"/>
        </w:rPr>
        <w:t xml:space="preserve">系统中告知未通过资格审查或符合性审查的原因，评审结束后，谈判小组将不再告知未通过资格审查或符合性审查的原因。</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26.2.在正式进行谈判之前，谈判小组将首先审查每份响应文件是否实质性响应了采购文件的要求。实质性响应的响应文件应该是与采购文件要求的条款、条件和规格相符，没有重大偏离或保留。</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所谓重大偏离或保留是指与采购文件规定的实质性要求存在负偏离，或者在实质上与采购文件不一致，而且限制了合同中买方和采购代理的权利或供应商的义务。重大偏离由谈判小组按照少数服从多数的原则认定。谈判小组决定响应文件的</w:t>
      </w:r>
      <w:r>
        <w:rPr>
          <w:rFonts w:hint="eastAsia" w:ascii="宋体" w:hAnsi="宋体" w:cs="宋体"/>
          <w:bCs/>
          <w:sz w:val="24"/>
          <w:szCs w:val="24"/>
        </w:rPr>
        <w:t xml:space="preserve">响应性只根据</w:t>
      </w:r>
      <w:r>
        <w:rPr>
          <w:rFonts w:hint="eastAsia" w:ascii="宋体" w:hAnsi="宋体" w:cs="宋体"/>
          <w:bCs/>
          <w:sz w:val="24"/>
          <w:szCs w:val="24"/>
        </w:rPr>
        <w:t xml:space="preserve">响应文件本身的内容，而不寻求外部的证据。</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26.3.未实质性响应采购文件的情形</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26.3.1.供应商在苏</w:t>
      </w:r>
      <w:r>
        <w:rPr>
          <w:rFonts w:hint="eastAsia" w:ascii="宋体" w:hAnsi="宋体" w:cs="宋体"/>
          <w:bCs/>
          <w:sz w:val="24"/>
          <w:szCs w:val="24"/>
        </w:rPr>
        <w:t xml:space="preserve">采云</w:t>
      </w:r>
      <w:r>
        <w:rPr>
          <w:rFonts w:hint="eastAsia" w:ascii="宋体" w:hAnsi="宋体" w:cs="宋体"/>
          <w:bCs/>
          <w:sz w:val="24"/>
          <w:szCs w:val="24"/>
        </w:rPr>
        <w:t xml:space="preserve">系统规定的时间内未成功解密电子响应文件的。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26.3.2.供应商未按照采购文件要求上传电子响应文件的。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26.3.3.供应商提交两个（含两个）以上不同的响应文件或者最后报价的。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26.3.4.供应商不具备采购文件中规定资格要求的。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26.3.5.供应商的最后报价超过了采购预算。</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26.3.6.不符合采购文件中规定的实质性要求和条件的（本招标文件中实质性要求和</w:t>
      </w:r>
      <w:r>
        <w:rPr>
          <w:rFonts w:hint="eastAsia" w:ascii="宋体" w:hAnsi="宋体" w:cs="宋体"/>
          <w:bCs/>
          <w:sz w:val="24"/>
          <w:szCs w:val="24"/>
        </w:rPr>
        <w:t xml:space="preserve">条件包括但不限于加注“</w:t>
      </w:r>
      <w:bookmarkStart w:id="131" w:name="OLE_LINK30"/>
      <w:r>
        <w:rPr>
          <w:rFonts w:hint="eastAsia" w:ascii="宋体" w:hAnsi="宋体" w:cs="宋体"/>
          <w:bCs/>
          <w:sz w:val="24"/>
          <w:szCs w:val="24"/>
        </w:rPr>
        <w:t xml:space="preserve">★</w:t>
      </w:r>
      <w:bookmarkEnd w:id="131"/>
      <w:r>
        <w:rPr>
          <w:rFonts w:hint="eastAsia" w:ascii="宋体" w:hAnsi="宋体" w:cs="宋体"/>
          <w:bCs/>
          <w:sz w:val="24"/>
          <w:szCs w:val="24"/>
        </w:rPr>
        <w:t xml:space="preserve">”</w:t>
      </w:r>
      <w:r>
        <w:rPr>
          <w:rFonts w:hint="eastAsia" w:ascii="宋体" w:hAnsi="宋体" w:cs="宋体"/>
          <w:bCs/>
          <w:sz w:val="24"/>
          <w:szCs w:val="24"/>
        </w:rPr>
        <w:t xml:space="preserve">号部分</w:t>
      </w:r>
      <w:r>
        <w:rPr>
          <w:rFonts w:hint="eastAsia" w:ascii="宋体" w:hAnsi="宋体" w:cs="宋体"/>
          <w:bCs/>
          <w:sz w:val="24"/>
          <w:szCs w:val="24"/>
        </w:rPr>
        <w:t xml:space="preserve">或其他可能对本项目产生实质性影响的条款）。</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26.3.7.供应商被 “信用中国”网站（www.creditchina.gov.cn）列入失信被执行人或重大税收违法案件当事人名单或政府采购严重失信行为记录名单。或查询“信用中国”网站后发现供应</w:t>
      </w:r>
      <w:r>
        <w:rPr>
          <w:rFonts w:hint="eastAsia" w:ascii="宋体" w:hAnsi="宋体" w:cs="宋体"/>
          <w:bCs/>
          <w:sz w:val="24"/>
          <w:szCs w:val="24"/>
        </w:rPr>
        <w:t xml:space="preserve">商存在</w:t>
      </w:r>
      <w:r>
        <w:rPr>
          <w:rFonts w:hint="eastAsia" w:ascii="宋体" w:hAnsi="宋体" w:cs="宋体"/>
          <w:bCs/>
          <w:sz w:val="24"/>
          <w:szCs w:val="24"/>
        </w:rPr>
        <w:t xml:space="preserve">其他不符合《中华人民共和国政府采购法》第二十二条规定条件的信用记录。</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26.3.8.响应文件含有采购人不能接受的附加条件的。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26.3.9.本项目采购产品被财政部、</w:t>
      </w:r>
      <w:r>
        <w:rPr>
          <w:rFonts w:hint="eastAsia" w:ascii="宋体" w:hAnsi="宋体" w:cs="宋体"/>
          <w:bCs/>
          <w:sz w:val="24"/>
          <w:szCs w:val="24"/>
        </w:rPr>
        <w:t xml:space="preserve">国家发改委</w:t>
      </w:r>
      <w:r>
        <w:rPr>
          <w:rFonts w:hint="eastAsia" w:ascii="宋体" w:hAnsi="宋体" w:cs="宋体"/>
          <w:bCs/>
          <w:sz w:val="24"/>
          <w:szCs w:val="24"/>
        </w:rPr>
        <w:t xml:space="preserve">、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26.3.10.响应文件未按照谈判文件要求加盖CA电子公章的。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26.4.未实质性响应采购文件的响应文件按无效响应处理。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26.5.如果响应文件实质上没有响应采购文件的要求，谈判小组将予以拒绝。</w:t>
      </w:r>
      <w:r/>
    </w:p>
    <w:p>
      <w:pPr>
        <w:ind w:firstLine="480"/>
        <w:spacing w:line="360" w:lineRule="auto"/>
        <w:rPr>
          <w:rFonts w:hint="eastAsia" w:ascii="宋体" w:hAnsi="宋体" w:cs="宋体"/>
          <w:bCs/>
          <w:sz w:val="24"/>
          <w:szCs w:val="24"/>
        </w:rPr>
      </w:pPr>
      <w:r/>
      <w:bookmarkStart w:id="132" w:name="_Toc16938550"/>
      <w:r/>
      <w:bookmarkStart w:id="133" w:name="_Toc20823306"/>
      <w:r/>
      <w:bookmarkStart w:id="134" w:name="_Toc513029234"/>
      <w:r>
        <w:rPr>
          <w:rFonts w:hint="eastAsia" w:ascii="宋体" w:hAnsi="宋体" w:cs="宋体"/>
          <w:bCs/>
          <w:sz w:val="24"/>
          <w:szCs w:val="24"/>
        </w:rPr>
        <w:t xml:space="preserve">26.6.供应商在项目评审及谈判全过程中应保持通讯畅通，并安排专人与采购代理及谈判小组联系。</w:t>
      </w:r>
      <w:bookmarkEnd w:id="132"/>
      <w:r/>
      <w:bookmarkEnd w:id="133"/>
      <w:r/>
      <w:bookmarkEnd w:id="134"/>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27、单一来源谈判及成交原则</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27.1.单一来源谈判</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27.1.1.对于通过资格审查和符合性审查的供应商，谈判小组将通过苏</w:t>
      </w:r>
      <w:r>
        <w:rPr>
          <w:rFonts w:hint="eastAsia" w:ascii="宋体" w:hAnsi="宋体" w:cs="宋体"/>
          <w:bCs/>
          <w:sz w:val="24"/>
          <w:szCs w:val="24"/>
        </w:rPr>
        <w:t xml:space="preserve">采云</w:t>
      </w:r>
      <w:r>
        <w:rPr>
          <w:rFonts w:hint="eastAsia" w:ascii="宋体" w:hAnsi="宋体" w:cs="宋体"/>
          <w:bCs/>
          <w:sz w:val="24"/>
          <w:szCs w:val="24"/>
        </w:rPr>
        <w:t xml:space="preserve">系统与其就采购标的</w:t>
      </w:r>
      <w:r>
        <w:rPr>
          <w:rFonts w:hint="eastAsia" w:ascii="宋体" w:hAnsi="宋体" w:cs="宋体"/>
          <w:bCs/>
          <w:sz w:val="24"/>
          <w:szCs w:val="24"/>
        </w:rPr>
        <w:t xml:space="preserve">的</w:t>
      </w:r>
      <w:r>
        <w:rPr>
          <w:rFonts w:hint="eastAsia" w:ascii="宋体" w:hAnsi="宋体" w:cs="宋体"/>
          <w:bCs/>
          <w:sz w:val="24"/>
          <w:szCs w:val="24"/>
        </w:rPr>
        <w:t xml:space="preserve">价格、服务等内容进行单一</w:t>
      </w:r>
      <w:bookmarkStart w:id="135" w:name="OLE_LINK88"/>
      <w:r>
        <w:rPr>
          <w:rFonts w:hint="eastAsia" w:ascii="宋体" w:hAnsi="宋体" w:cs="宋体"/>
          <w:bCs/>
          <w:sz w:val="24"/>
          <w:szCs w:val="24"/>
        </w:rPr>
        <w:t xml:space="preserve">来源</w:t>
      </w:r>
      <w:bookmarkEnd w:id="135"/>
      <w:r>
        <w:rPr>
          <w:rFonts w:hint="eastAsia" w:ascii="宋体" w:hAnsi="宋体" w:cs="宋体"/>
          <w:bCs/>
          <w:sz w:val="24"/>
          <w:szCs w:val="24"/>
        </w:rPr>
        <w:t xml:space="preserve">谈判。</w:t>
      </w:r>
      <w:r>
        <w:rPr>
          <w:rFonts w:hint="eastAsia" w:ascii="宋体" w:hAnsi="宋体"/>
          <w:sz w:val="24"/>
        </w:rPr>
        <w:t xml:space="preserve">谈判小组</w:t>
      </w:r>
      <w:r>
        <w:rPr>
          <w:rFonts w:hint="eastAsia" w:ascii="宋体" w:hAnsi="宋体"/>
          <w:b/>
          <w:bCs/>
          <w:sz w:val="24"/>
          <w:szCs w:val="24"/>
        </w:rPr>
        <w:t xml:space="preserve">通过苏</w:t>
      </w:r>
      <w:r>
        <w:rPr>
          <w:rFonts w:hint="eastAsia" w:ascii="宋体" w:hAnsi="宋体"/>
          <w:b/>
          <w:bCs/>
          <w:sz w:val="24"/>
          <w:szCs w:val="24"/>
        </w:rPr>
        <w:t xml:space="preserve">采云</w:t>
      </w:r>
      <w:r>
        <w:rPr>
          <w:rFonts w:hint="eastAsia" w:ascii="宋体" w:hAnsi="宋体"/>
          <w:b/>
          <w:bCs/>
          <w:sz w:val="24"/>
          <w:szCs w:val="24"/>
        </w:rPr>
        <w:t xml:space="preserve">系统向供应商发布“谈判函”，供应商应当按照要求在苏</w:t>
      </w:r>
      <w:r>
        <w:rPr>
          <w:rFonts w:hint="eastAsia" w:ascii="宋体" w:hAnsi="宋体"/>
          <w:b/>
          <w:bCs/>
          <w:sz w:val="24"/>
          <w:szCs w:val="24"/>
        </w:rPr>
        <w:t xml:space="preserve">采云</w:t>
      </w:r>
      <w:r>
        <w:rPr>
          <w:rFonts w:hint="eastAsia" w:ascii="宋体" w:hAnsi="宋体"/>
          <w:b/>
          <w:bCs/>
          <w:sz w:val="24"/>
          <w:szCs w:val="24"/>
        </w:rPr>
        <w:t xml:space="preserve">系统提交“响应函”并加盖CA电子公章。</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27.1.2.供应商应当在苏</w:t>
      </w:r>
      <w:r>
        <w:rPr>
          <w:rFonts w:hint="eastAsia" w:ascii="宋体" w:hAnsi="宋体" w:cs="宋体"/>
          <w:bCs/>
          <w:sz w:val="24"/>
          <w:szCs w:val="24"/>
        </w:rPr>
        <w:t xml:space="preserve">采云</w:t>
      </w:r>
      <w:r>
        <w:rPr>
          <w:rFonts w:hint="eastAsia" w:ascii="宋体" w:hAnsi="宋体" w:cs="宋体"/>
          <w:bCs/>
          <w:sz w:val="24"/>
          <w:szCs w:val="24"/>
        </w:rPr>
        <w:t xml:space="preserve">系统中以书面形式对谈判过程中做出的承诺与澄清进行确认，并在谈判小组规定的时间内完成最后报价。</w:t>
      </w:r>
      <w:r>
        <w:rPr>
          <w:rFonts w:hint="eastAsia" w:ascii="宋体" w:hAnsi="宋体"/>
          <w:sz w:val="24"/>
        </w:rPr>
        <w:t xml:space="preserve">单一来源谈判承诺及报价均须</w:t>
      </w:r>
      <w:r>
        <w:rPr>
          <w:rFonts w:hint="eastAsia" w:ascii="宋体" w:hAnsi="宋体"/>
          <w:b/>
          <w:bCs/>
          <w:sz w:val="24"/>
          <w:szCs w:val="24"/>
        </w:rPr>
        <w:t xml:space="preserve">应当按照要求在苏</w:t>
      </w:r>
      <w:r>
        <w:rPr>
          <w:rFonts w:hint="eastAsia" w:ascii="宋体" w:hAnsi="宋体"/>
          <w:b/>
          <w:bCs/>
          <w:sz w:val="24"/>
          <w:szCs w:val="24"/>
        </w:rPr>
        <w:t xml:space="preserve">采云</w:t>
      </w:r>
      <w:r>
        <w:rPr>
          <w:rFonts w:hint="eastAsia" w:ascii="宋体" w:hAnsi="宋体"/>
          <w:b/>
          <w:bCs/>
          <w:sz w:val="24"/>
          <w:szCs w:val="24"/>
        </w:rPr>
        <w:t xml:space="preserve">系统提交“响应函”并加盖CA电子公章。</w:t>
      </w:r>
      <w:r/>
    </w:p>
    <w:p>
      <w:pPr>
        <w:ind w:firstLine="482"/>
        <w:spacing w:line="360" w:lineRule="auto"/>
        <w:rPr>
          <w:rFonts w:hint="eastAsia" w:ascii="宋体" w:hAnsi="宋体" w:cs="宋体"/>
          <w:bCs/>
          <w:sz w:val="24"/>
          <w:szCs w:val="24"/>
        </w:rPr>
      </w:pPr>
      <w:r>
        <w:rPr>
          <w:rFonts w:hint="eastAsia" w:ascii="宋体" w:hAnsi="宋体" w:cs="宋体"/>
          <w:bCs/>
          <w:sz w:val="24"/>
          <w:szCs w:val="24"/>
        </w:rPr>
        <w:t xml:space="preserve">27.1.3.供应商的最后报价在响应产品数量没有增加，配置、服务没有重大提高的情况下，一般不允许高于第一次报价（即单一来源谈判分项报价表中的报价）。否则，谈判小组有权拒绝该最后报价并不再给予报价补救机会。</w:t>
      </w:r>
      <w:r/>
    </w:p>
    <w:p>
      <w:pPr>
        <w:ind w:firstLine="482"/>
        <w:jc w:val="left"/>
        <w:spacing w:line="360" w:lineRule="auto"/>
        <w:rPr>
          <w:rFonts w:hint="eastAsia" w:ascii="宋体" w:hAnsi="宋体"/>
          <w:b/>
          <w:sz w:val="24"/>
        </w:rPr>
      </w:pPr>
      <w:r>
        <w:rPr>
          <w:rFonts w:hint="eastAsia" w:ascii="宋体" w:hAnsi="宋体" w:cs="宋体"/>
          <w:bCs/>
          <w:sz w:val="24"/>
          <w:szCs w:val="24"/>
        </w:rPr>
        <w:t xml:space="preserve">27.1.4.</w:t>
      </w:r>
      <w:r>
        <w:rPr>
          <w:rFonts w:hint="eastAsia" w:ascii="宋体" w:hAnsi="宋体"/>
          <w:bCs/>
          <w:sz w:val="24"/>
        </w:rPr>
        <w:t xml:space="preserve">经谈判后，</w:t>
      </w:r>
      <w:r>
        <w:rPr>
          <w:rFonts w:hint="eastAsia" w:ascii="宋体" w:hAnsi="宋体"/>
          <w:b/>
          <w:sz w:val="24"/>
        </w:rPr>
        <w:t xml:space="preserve">如果成交价低于供应商在谈判响应文件报价的话，除特别注明外，分项报价同比例调整。</w:t>
      </w:r>
      <w:r/>
    </w:p>
    <w:p>
      <w:pPr>
        <w:ind w:firstLine="482"/>
        <w:spacing w:line="360" w:lineRule="auto"/>
        <w:rPr>
          <w:rFonts w:hint="eastAsia" w:ascii="宋体" w:hAnsi="宋体" w:cs="宋体"/>
          <w:bCs/>
          <w:sz w:val="24"/>
          <w:szCs w:val="24"/>
        </w:rPr>
      </w:pPr>
      <w:r>
        <w:rPr>
          <w:rFonts w:hint="eastAsia" w:ascii="宋体" w:hAnsi="宋体" w:cs="宋体"/>
          <w:bCs/>
          <w:sz w:val="24"/>
          <w:szCs w:val="24"/>
        </w:rPr>
        <w:t xml:space="preserve">27.2.成交原则</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谈判小组根据政府采购相关法律、规章的规定，在供应商的响应情况能保证采购项目</w:t>
      </w:r>
      <w:r>
        <w:rPr>
          <w:rFonts w:hint="eastAsia" w:ascii="宋体" w:hAnsi="宋体" w:cs="宋体"/>
          <w:bCs/>
          <w:sz w:val="24"/>
          <w:szCs w:val="24"/>
        </w:rPr>
        <w:t xml:space="preserve">质量且最后报价合理的基础上确定其为成交供应商。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27.3.单一来源谈判终止情形处理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出现下列情形之一的，采购代理将终止采购活动，发布项目终止公告并说明原因，重新开展采购活动：</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27.3.1.因情况变化，不再符合规定的单一来源采购方式适用情形的；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27.3.2.出现影响采购公正的违法、违规行为的；</w:t>
      </w:r>
      <w:r>
        <w:rPr>
          <w:rFonts w:hint="eastAsia" w:ascii="宋体" w:hAnsi="宋体" w:cs="宋体"/>
          <w:bCs/>
          <w:sz w:val="24"/>
          <w:szCs w:val="24"/>
        </w:rPr>
        <w:br/>
        <w:t xml:space="preserve">   27.3.3.供应</w:t>
      </w:r>
      <w:r>
        <w:rPr>
          <w:rFonts w:hint="eastAsia" w:ascii="宋体" w:hAnsi="宋体" w:cs="宋体"/>
          <w:bCs/>
          <w:sz w:val="24"/>
          <w:szCs w:val="24"/>
        </w:rPr>
        <w:t xml:space="preserve">商最后</w:t>
      </w:r>
      <w:r>
        <w:rPr>
          <w:rFonts w:hint="eastAsia" w:ascii="宋体" w:hAnsi="宋体" w:cs="宋体"/>
          <w:bCs/>
          <w:sz w:val="24"/>
          <w:szCs w:val="24"/>
        </w:rPr>
        <w:t xml:space="preserve">报价超过采购预算的；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27.3.4.供应商的技术方案、服务承诺、商务条款等不能满足采购人或谈判小组的要求；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27.3.5 法律、法规、规章规定的其他应当终止的情形。</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六、成交</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28、确定成交供应商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28.1.谈判小组根据谈判情况编写单一来源评审报告，推荐成交候选供应商。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28.2.采购人根据谈判小组推荐的成交候选供应商确定成交供应商。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28.3 .若有充分证据证明，成交供应</w:t>
      </w:r>
      <w:r>
        <w:rPr>
          <w:rFonts w:hint="eastAsia" w:ascii="宋体" w:hAnsi="宋体" w:cs="宋体"/>
          <w:bCs/>
          <w:sz w:val="24"/>
          <w:szCs w:val="24"/>
        </w:rPr>
        <w:t xml:space="preserve">商出现</w:t>
      </w:r>
      <w:r>
        <w:rPr>
          <w:rFonts w:hint="eastAsia" w:ascii="宋体" w:hAnsi="宋体" w:cs="宋体"/>
          <w:bCs/>
          <w:sz w:val="24"/>
          <w:szCs w:val="24"/>
        </w:rPr>
        <w:t xml:space="preserve">下列情况之一的，一经查实，将被取消成交资格：</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28.3.1.提供虚假材料谋取成交的。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28.3.2.与评审专家、采购人、其他供应商或者采购代理工作人员恶意串通的。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28.3.3.向评审专家、采购人或采购代理工作人员行贿或者提供其他不正当利益的。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28.3.4.恶意竞争，最后报价明显低于其自身合理成本且又无法提供证明的。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28.3.5.不满足本采购文件规定的实质性要求，但在评审过程中又未被谈判小组发现的。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28.3.6.成交后无正当理由拒不与采购人签订政府采购合同或者未按照采购文件确定的事项签订政府采购合同的。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28.3.7.将政府采购合同转包的。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成交供应商被取消成交资格后，采购代理有权重新组织采购。</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29、成交通知书</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29.1.成交结果确定后，采购代理将向成交供应商发出成交通知书。</w:t>
      </w:r>
      <w:r>
        <w:rPr>
          <w:rFonts w:hint="eastAsia" w:ascii="宋体" w:hAnsi="宋体" w:cs="宋体"/>
          <w:bCs/>
          <w:sz w:val="24"/>
          <w:szCs w:val="24"/>
        </w:rPr>
        <w:t xml:space="preserve">请成交</w:t>
      </w:r>
      <w:r>
        <w:rPr>
          <w:rFonts w:hint="eastAsia" w:ascii="宋体" w:hAnsi="宋体" w:cs="宋体"/>
          <w:bCs/>
          <w:sz w:val="24"/>
          <w:szCs w:val="24"/>
        </w:rPr>
        <w:t xml:space="preserve">供应商在成交结果公告届满之日起30日内,使用CA数字证书登录苏</w:t>
      </w:r>
      <w:r>
        <w:rPr>
          <w:rFonts w:hint="eastAsia" w:ascii="宋体" w:hAnsi="宋体" w:cs="宋体"/>
          <w:bCs/>
          <w:sz w:val="24"/>
          <w:szCs w:val="24"/>
        </w:rPr>
        <w:t xml:space="preserve">采云</w:t>
      </w:r>
      <w:r>
        <w:rPr>
          <w:rFonts w:hint="eastAsia" w:ascii="宋体" w:hAnsi="宋体" w:cs="宋体"/>
          <w:bCs/>
          <w:sz w:val="24"/>
          <w:szCs w:val="24"/>
        </w:rPr>
        <w:t xml:space="preserve">系统及时下载成交通知书。因系统存储空间有限，自成交结果公告届满之日起30日后，苏</w:t>
      </w:r>
      <w:r>
        <w:rPr>
          <w:rFonts w:hint="eastAsia" w:ascii="宋体" w:hAnsi="宋体" w:cs="宋体"/>
          <w:bCs/>
          <w:sz w:val="24"/>
          <w:szCs w:val="24"/>
        </w:rPr>
        <w:t xml:space="preserve">采云</w:t>
      </w:r>
      <w:r>
        <w:rPr>
          <w:rFonts w:hint="eastAsia" w:ascii="宋体" w:hAnsi="宋体" w:cs="宋体"/>
          <w:bCs/>
          <w:sz w:val="24"/>
          <w:szCs w:val="24"/>
        </w:rPr>
        <w:t xml:space="preserve">系统不再保证提供下</w:t>
      </w:r>
      <w:r>
        <w:rPr>
          <w:rFonts w:hint="eastAsia" w:ascii="宋体" w:hAnsi="宋体" w:cs="宋体"/>
          <w:bCs/>
          <w:sz w:val="24"/>
          <w:szCs w:val="24"/>
        </w:rPr>
        <w:t xml:space="preserve">载成交通知书服务,因未及时下载而造成的不利后果</w:t>
      </w:r>
      <w:r>
        <w:rPr>
          <w:rFonts w:hint="eastAsia" w:ascii="宋体" w:hAnsi="宋体" w:cs="宋体"/>
          <w:bCs/>
          <w:sz w:val="24"/>
          <w:szCs w:val="24"/>
        </w:rPr>
        <w:t xml:space="preserve">由成交</w:t>
      </w:r>
      <w:r>
        <w:rPr>
          <w:rFonts w:hint="eastAsia" w:ascii="宋体" w:hAnsi="宋体" w:cs="宋体"/>
          <w:bCs/>
          <w:sz w:val="24"/>
          <w:szCs w:val="24"/>
        </w:rPr>
        <w:t xml:space="preserve">供应商自行承担。</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480"/>
        <w:spacing w:line="360" w:lineRule="auto"/>
        <w:rPr>
          <w:rFonts w:hint="eastAsia" w:ascii="宋体" w:hAnsi="宋体" w:cs="宋体"/>
          <w:bCs/>
          <w:sz w:val="24"/>
          <w:szCs w:val="24"/>
        </w:rPr>
      </w:pPr>
      <w:r/>
      <w:bookmarkStart w:id="136" w:name="_Toc20823308"/>
      <w:r/>
      <w:bookmarkStart w:id="137" w:name="_Toc16938552"/>
      <w:r/>
      <w:bookmarkStart w:id="138" w:name="_Toc513029236"/>
      <w:r/>
      <w:bookmarkStart w:id="139" w:name="_Toc120614220"/>
      <w:r>
        <w:rPr>
          <w:rFonts w:hint="eastAsia" w:ascii="宋体" w:hAnsi="宋体" w:cs="宋体"/>
          <w:bCs/>
          <w:sz w:val="24"/>
          <w:szCs w:val="24"/>
        </w:rPr>
        <w:t xml:space="preserve">七、授予合同</w:t>
      </w:r>
      <w:bookmarkEnd w:id="136"/>
      <w:r/>
      <w:bookmarkEnd w:id="137"/>
      <w:r/>
      <w:bookmarkEnd w:id="138"/>
      <w:r/>
      <w:bookmarkEnd w:id="139"/>
      <w:r/>
      <w:r/>
    </w:p>
    <w:p>
      <w:pPr>
        <w:ind w:firstLine="480"/>
        <w:spacing w:line="360" w:lineRule="auto"/>
        <w:rPr>
          <w:rFonts w:hint="eastAsia" w:ascii="宋体" w:hAnsi="宋体" w:cs="宋体"/>
          <w:bCs/>
          <w:sz w:val="24"/>
          <w:szCs w:val="24"/>
        </w:rPr>
      </w:pPr>
      <w:r/>
      <w:bookmarkStart w:id="140" w:name="_Toc16938553"/>
      <w:r/>
      <w:bookmarkStart w:id="141" w:name="_Toc513029237"/>
      <w:r/>
      <w:bookmarkStart w:id="142" w:name="_Toc20823309"/>
      <w:r>
        <w:rPr>
          <w:rFonts w:hint="eastAsia" w:ascii="宋体" w:hAnsi="宋体" w:cs="宋体"/>
          <w:bCs/>
          <w:sz w:val="24"/>
          <w:szCs w:val="24"/>
        </w:rPr>
        <w:t xml:space="preserve">30.签订合同</w:t>
      </w:r>
      <w:bookmarkEnd w:id="140"/>
      <w:r/>
      <w:bookmarkEnd w:id="141"/>
      <w:r/>
      <w:bookmarkEnd w:id="142"/>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30.1.成交供应商应当在成交通知书发出之日起三十日内，按照采购文件确定的事项与采购人签订政府采购合同。</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30.2.采购文件、成交供应商的响应文件及谈判过程中有关澄清、承诺文件均应作为合同附件。</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31、标的物的追加</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32、政府</w:t>
      </w:r>
      <w:r>
        <w:rPr>
          <w:rFonts w:hint="eastAsia" w:ascii="宋体" w:hAnsi="宋体" w:cs="宋体"/>
          <w:bCs/>
          <w:sz w:val="24"/>
          <w:szCs w:val="24"/>
        </w:rPr>
        <w:t xml:space="preserve">采购线上合同</w:t>
      </w:r>
      <w:r>
        <w:rPr>
          <w:rFonts w:hint="eastAsia" w:ascii="宋体" w:hAnsi="宋体" w:cs="宋体"/>
          <w:bCs/>
          <w:sz w:val="24"/>
          <w:szCs w:val="24"/>
        </w:rPr>
        <w:t xml:space="preserve">信用融资政策</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32.1根据《关于深入推进政府采购线上合同信用融资工作的通知》（</w:t>
      </w:r>
      <w:r>
        <w:rPr>
          <w:rFonts w:hint="eastAsia" w:ascii="宋体" w:hAnsi="宋体" w:cs="宋体"/>
          <w:bCs/>
          <w:sz w:val="24"/>
          <w:szCs w:val="24"/>
        </w:rPr>
        <w:t xml:space="preserve">苏财购〔2021〕</w:t>
      </w:r>
      <w:r>
        <w:rPr>
          <w:rFonts w:hint="eastAsia" w:ascii="宋体" w:hAnsi="宋体" w:cs="宋体"/>
          <w:bCs/>
          <w:sz w:val="24"/>
          <w:szCs w:val="24"/>
        </w:rPr>
        <w:t xml:space="preserve">82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ascii="宋体" w:hAnsi="宋体" w:cs="宋体"/>
          <w:bCs/>
          <w:sz w:val="24"/>
          <w:szCs w:val="24"/>
        </w:rPr>
        <w:t xml:space="preserve">采云</w:t>
      </w:r>
      <w:r>
        <w:rPr>
          <w:rFonts w:hint="eastAsia" w:ascii="宋体" w:hAnsi="宋体" w:cs="宋体"/>
          <w:bCs/>
          <w:sz w:val="24"/>
          <w:szCs w:val="24"/>
        </w:rPr>
        <w:t xml:space="preserve">系统中操作手册。  </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33、其他</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33.1供应商对于投标产品的商品包装、快递包装应按照</w:t>
      </w:r>
      <w:r>
        <w:rPr>
          <w:rFonts w:hint="eastAsia" w:ascii="宋体" w:hAnsi="宋体" w:cs="宋体"/>
          <w:bCs/>
          <w:sz w:val="24"/>
          <w:szCs w:val="24"/>
        </w:rPr>
        <w:t xml:space="preserve">《</w:t>
      </w:r>
      <w:r>
        <w:rPr>
          <w:rFonts w:hint="eastAsia" w:ascii="宋体" w:hAnsi="宋体" w:cs="宋体"/>
          <w:bCs/>
          <w:sz w:val="24"/>
          <w:szCs w:val="24"/>
        </w:rPr>
        <w:t xml:space="preserve">关于印发</w:t>
      </w:r>
      <w:r>
        <w:rPr>
          <w:rFonts w:hint="eastAsia" w:ascii="宋体" w:hAnsi="宋体" w:cs="宋体"/>
          <w:bCs/>
          <w:sz w:val="24"/>
          <w:szCs w:val="24"/>
        </w:rPr>
        <w:t xml:space="preserve">《</w:t>
      </w:r>
      <w:r>
        <w:rPr>
          <w:rFonts w:hint="eastAsia" w:ascii="宋体" w:hAnsi="宋体" w:cs="宋体"/>
          <w:bCs/>
          <w:sz w:val="24"/>
          <w:szCs w:val="24"/>
        </w:rPr>
        <w:t xml:space="preserve">商品包装政府采购需求标准（试行）</w:t>
      </w:r>
      <w:r>
        <w:rPr>
          <w:rFonts w:hint="eastAsia" w:ascii="宋体" w:hAnsi="宋体" w:cs="宋体"/>
          <w:bCs/>
          <w:sz w:val="24"/>
          <w:szCs w:val="24"/>
        </w:rPr>
        <w:t xml:space="preserve">》</w:t>
      </w:r>
      <w:r>
        <w:rPr>
          <w:rFonts w:hint="eastAsia" w:ascii="宋体" w:hAnsi="宋体" w:cs="宋体"/>
          <w:bCs/>
          <w:sz w:val="24"/>
          <w:szCs w:val="24"/>
        </w:rPr>
        <w:t xml:space="preserve">、《快递包装政府采购需求标准（试行）》的通知</w:t>
      </w:r>
      <w:r>
        <w:rPr>
          <w:rFonts w:hint="eastAsia" w:ascii="宋体" w:hAnsi="宋体" w:cs="宋体"/>
          <w:bCs/>
          <w:sz w:val="24"/>
          <w:szCs w:val="24"/>
        </w:rPr>
        <w:t xml:space="preserve">》</w:t>
      </w:r>
      <w:r>
        <w:rPr>
          <w:rFonts w:hint="eastAsia" w:ascii="宋体" w:hAnsi="宋体" w:cs="宋体"/>
          <w:bCs/>
          <w:sz w:val="24"/>
          <w:szCs w:val="24"/>
        </w:rPr>
        <w:t xml:space="preserve">（财办库〔2020〕123号）执行。</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33.2本文件中若涉及到数据中心采购，应按照《&lt;绿色数据中心政府采购需求标准（试行）&gt;的通知》（财库〔2023〕7号）执行。</w:t>
      </w:r>
      <w:r/>
    </w:p>
    <w:p>
      <w:pPr>
        <w:ind w:firstLine="480"/>
        <w:jc w:val="left"/>
        <w:spacing w:line="360" w:lineRule="auto"/>
        <w:tabs>
          <w:tab w:val="left" w:pos="1381" w:leader="none"/>
        </w:tabs>
        <w:rPr>
          <w:rFonts w:hint="eastAsia" w:ascii="宋体" w:hAnsi="宋体" w:cs="宋体"/>
          <w:sz w:val="24"/>
          <w:szCs w:val="24"/>
        </w:rPr>
      </w:pPr>
      <w:r>
        <w:rPr>
          <w:rFonts w:hint="eastAsia" w:ascii="宋体" w:hAnsi="宋体" w:cs="宋体"/>
          <w:bCs/>
          <w:sz w:val="24"/>
          <w:szCs w:val="24"/>
        </w:rPr>
        <w:t xml:space="preserve">33.3</w:t>
      </w:r>
      <w:r>
        <w:rPr>
          <w:rFonts w:hint="eastAsia" w:ascii="宋体" w:hAnsi="宋体" w:cs="宋体"/>
          <w:sz w:val="24"/>
          <w:szCs w:val="24"/>
        </w:rPr>
        <w:t xml:space="preserve">履约保证金政策</w:t>
      </w:r>
      <w:bookmarkStart w:id="143" w:name="OLE_LINK44"/>
      <w:r>
        <w:rPr>
          <w:rFonts w:hint="eastAsia" w:ascii="宋体" w:hAnsi="宋体" w:cs="宋体"/>
          <w:b/>
          <w:bCs/>
          <w:sz w:val="24"/>
          <w:szCs w:val="24"/>
        </w:rPr>
        <w:t xml:space="preserve">（本项目不收取履约保证金）</w:t>
      </w:r>
      <w:bookmarkEnd w:id="143"/>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确需收取履约保证金的，履约保证金的缴纳形式：</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如以履约保函（保险）形式缴纳履约保证金，供应商可通过政府采购电子履约保函（保险）平台（www.jsdzbh.com）在线申请履约保函（保险）。</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履约保证金金额不得超过合同金额的10%。</w:t>
      </w:r>
      <w:r/>
    </w:p>
    <w:p>
      <w:pPr>
        <w:ind w:firstLine="480"/>
        <w:spacing w:line="360" w:lineRule="auto"/>
        <w:rPr>
          <w:rFonts w:hint="eastAsia" w:ascii="宋体" w:hAnsi="宋体"/>
          <w:sz w:val="24"/>
          <w:szCs w:val="24"/>
        </w:rPr>
      </w:pPr>
      <w:r>
        <w:rPr>
          <w:rFonts w:hint="eastAsia" w:ascii="宋体" w:hAnsi="宋体"/>
          <w:sz w:val="24"/>
          <w:szCs w:val="24"/>
        </w:rPr>
        <w:t xml:space="preserve">34、成交服务费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根据委托协议中约定的情形，本项目领取成交通知书前，供应商以中标金额为基准，按照《江苏省政府采购代理服务收费指导意见》【2024】20号文的收费标准，向代理机构一次性缴纳代理服务费。</w:t>
      </w:r>
      <w:r/>
    </w:p>
    <w:p>
      <w:pPr>
        <w:ind w:firstLine="480"/>
        <w:spacing w:line="360" w:lineRule="auto"/>
        <w:rPr>
          <w:rFonts w:hint="eastAsia" w:ascii="宋体" w:hAnsi="宋体"/>
          <w:sz w:val="24"/>
          <w:szCs w:val="24"/>
        </w:rPr>
      </w:pPr>
      <w:r>
        <w:rPr>
          <w:rFonts w:hint="eastAsia" w:ascii="宋体" w:hAnsi="宋体"/>
          <w:sz w:val="24"/>
          <w:szCs w:val="24"/>
        </w:rPr>
        <w:t xml:space="preserve">银行信息：</w:t>
      </w:r>
      <w:r/>
    </w:p>
    <w:p>
      <w:pPr>
        <w:ind w:firstLine="480"/>
        <w:spacing w:line="360" w:lineRule="auto"/>
        <w:rPr>
          <w:rFonts w:hint="eastAsia" w:ascii="宋体" w:hAnsi="宋体"/>
          <w:sz w:val="24"/>
          <w:szCs w:val="24"/>
        </w:rPr>
      </w:pPr>
      <w:r>
        <w:rPr>
          <w:rFonts w:hint="eastAsia" w:ascii="宋体" w:hAnsi="宋体"/>
          <w:sz w:val="24"/>
          <w:szCs w:val="24"/>
        </w:rPr>
        <w:t xml:space="preserve">户名：江苏海外集团国际工程咨询有限公司</w:t>
      </w:r>
      <w:r/>
    </w:p>
    <w:p>
      <w:pPr>
        <w:ind w:firstLine="480"/>
        <w:spacing w:line="360" w:lineRule="auto"/>
        <w:rPr>
          <w:rFonts w:hint="eastAsia" w:ascii="宋体" w:hAnsi="宋体"/>
          <w:sz w:val="24"/>
          <w:szCs w:val="24"/>
        </w:rPr>
      </w:pPr>
      <w:r>
        <w:rPr>
          <w:rFonts w:hint="eastAsia" w:ascii="宋体" w:hAnsi="宋体"/>
          <w:sz w:val="24"/>
          <w:szCs w:val="24"/>
        </w:rPr>
        <w:t xml:space="preserve">开户银行：交行江苏省分行营业部</w:t>
      </w:r>
      <w:r/>
    </w:p>
    <w:p>
      <w:pPr>
        <w:ind w:firstLine="480"/>
        <w:spacing w:line="360" w:lineRule="auto"/>
        <w:rPr>
          <w:rFonts w:hint="eastAsia" w:ascii="宋体" w:hAnsi="宋体"/>
          <w:sz w:val="24"/>
          <w:szCs w:val="24"/>
        </w:rPr>
      </w:pPr>
      <w:r>
        <w:rPr>
          <w:rFonts w:hint="eastAsia" w:ascii="宋体" w:hAnsi="宋体"/>
          <w:sz w:val="24"/>
          <w:szCs w:val="24"/>
        </w:rPr>
        <w:t xml:space="preserve">账号：320006607010141124109</w:t>
      </w:r>
      <w:r/>
    </w:p>
    <w:p>
      <w:pPr>
        <w:ind w:firstLine="480"/>
        <w:spacing w:line="360" w:lineRule="auto"/>
        <w:rPr>
          <w:rFonts w:hint="eastAsia" w:ascii="宋体" w:hAnsi="宋体" w:cs="宋体"/>
          <w:bCs/>
          <w:sz w:val="24"/>
          <w:szCs w:val="24"/>
        </w:rPr>
      </w:pPr>
      <w:r>
        <w:rPr>
          <w:rFonts w:hint="eastAsia" w:ascii="宋体" w:hAnsi="宋体" w:cs="宋体"/>
          <w:bCs/>
          <w:sz w:val="24"/>
          <w:szCs w:val="24"/>
        </w:rPr>
      </w:r>
      <w:r/>
    </w:p>
    <w:p>
      <w:pPr>
        <w:ind w:firstLine="480"/>
        <w:spacing w:line="540" w:lineRule="exact"/>
        <w:rPr>
          <w:rFonts w:hint="eastAsia" w:ascii="宋体" w:hAnsi="宋体" w:cs="宋体"/>
          <w:bCs/>
          <w:sz w:val="28"/>
          <w:szCs w:val="28"/>
        </w:rPr>
      </w:pPr>
      <w:r>
        <w:rPr>
          <w:rFonts w:hint="eastAsia" w:ascii="宋体" w:hAnsi="宋体" w:cs="宋体"/>
          <w:bCs/>
          <w:sz w:val="28"/>
          <w:szCs w:val="28"/>
        </w:rPr>
      </w:r>
      <w:r/>
    </w:p>
    <w:p>
      <w:pPr>
        <w:pStyle w:val="992"/>
        <w:jc w:val="center"/>
        <w:keepLines/>
        <w:keepNext/>
        <w:spacing w:before="260" w:beforeAutospacing="0" w:after="260" w:afterAutospacing="0" w:line="415" w:lineRule="auto"/>
        <w:rPr>
          <w:rFonts w:hint="eastAsia" w:ascii="宋体" w:hAnsi="宋体"/>
          <w:b/>
          <w:bCs/>
          <w:sz w:val="32"/>
          <w:szCs w:val="32"/>
        </w:rPr>
      </w:pPr>
      <w:r>
        <w:rPr>
          <w:rFonts w:ascii="宋体" w:hAnsi="宋体"/>
          <w:bCs/>
        </w:rPr>
        <w:br w:type="page" w:clear="all"/>
      </w:r>
      <w:bookmarkStart w:id="144" w:name="_Toc416161796"/>
      <w:r/>
      <w:bookmarkStart w:id="145" w:name="OLE_LINK89"/>
      <w:r>
        <w:rPr>
          <w:rFonts w:hint="eastAsia" w:ascii="黑体" w:hAnsi="宋体" w:eastAsia="黑体" w:cs="黑体"/>
          <w:b/>
          <w:sz w:val="44"/>
          <w:szCs w:val="44"/>
        </w:rPr>
        <w:t xml:space="preserve">第三章  合同条款及</w:t>
      </w:r>
      <w:bookmarkEnd w:id="36"/>
      <w:r/>
      <w:bookmarkEnd w:id="37"/>
      <w:r/>
      <w:bookmarkEnd w:id="38"/>
      <w:r/>
      <w:bookmarkEnd w:id="39"/>
      <w:r/>
      <w:bookmarkEnd w:id="40"/>
      <w:r>
        <w:rPr>
          <w:rFonts w:hint="eastAsia" w:ascii="黑体" w:hAnsi="宋体" w:eastAsia="黑体" w:cs="黑体"/>
          <w:b/>
          <w:sz w:val="44"/>
          <w:szCs w:val="44"/>
        </w:rPr>
        <w:t xml:space="preserve">格式</w:t>
      </w:r>
      <w:bookmarkStart w:id="146" w:name="_Hlk166514581"/>
      <w:r/>
      <w:bookmarkStart w:id="147" w:name="_Toc20823315"/>
      <w:r/>
      <w:bookmarkStart w:id="148" w:name="_Toc16938559"/>
      <w:r/>
      <w:bookmarkStart w:id="149" w:name="_Toc513029243"/>
      <w:r/>
      <w:bookmarkStart w:id="150" w:name="_Hlt16619350"/>
      <w:r/>
      <w:bookmarkStart w:id="151" w:name="_Toc120614244"/>
      <w:r/>
      <w:bookmarkStart w:id="152" w:name="_Toc20823346"/>
      <w:r/>
      <w:bookmarkStart w:id="153" w:name="_Toc16938590"/>
      <w:r/>
      <w:bookmarkStart w:id="154" w:name="_Toc479757211"/>
      <w:r/>
      <w:bookmarkStart w:id="155" w:name="_Toc462564139"/>
      <w:r/>
      <w:bookmarkEnd w:id="144"/>
      <w:r/>
      <w:r/>
    </w:p>
    <w:p>
      <w:pPr>
        <w:spacing w:line="360" w:lineRule="auto"/>
        <w:rPr>
          <w:rFonts w:hint="eastAsia" w:ascii="宋体" w:hAnsi="宋体"/>
          <w:b/>
          <w:sz w:val="24"/>
        </w:rPr>
      </w:pPr>
      <w:r/>
      <w:bookmarkStart w:id="156" w:name="_Hlk233811879"/>
      <w:r/>
      <w:bookmarkEnd w:id="145"/>
      <w:r>
        <w:rPr>
          <w:rFonts w:hint="eastAsia" w:ascii="宋体" w:hAnsi="宋体"/>
          <w:b/>
          <w:sz w:val="24"/>
        </w:rPr>
        <w:t xml:space="preserve">注：本合同仅为合同的参考文本，最终以甲乙双方签订为准</w:t>
      </w:r>
      <w:bookmarkEnd w:id="146"/>
      <w:r>
        <w:rPr>
          <w:rFonts w:hint="eastAsia" w:ascii="宋体" w:hAnsi="宋体"/>
          <w:b/>
          <w:sz w:val="24"/>
        </w:rPr>
        <w:t xml:space="preserve">。</w:t>
      </w:r>
      <w:r/>
    </w:p>
    <w:p>
      <w:pPr>
        <w:jc w:val="center"/>
        <w:rPr>
          <w:rFonts w:hint="eastAsia" w:ascii="宋体" w:hAnsi="宋体"/>
          <w:b/>
          <w:sz w:val="44"/>
          <w:szCs w:val="44"/>
        </w:rPr>
      </w:pPr>
      <w:r/>
      <w:bookmarkStart w:id="157" w:name="OLE_LINK1"/>
      <w:r/>
      <w:bookmarkEnd w:id="156"/>
      <w:r/>
      <w:r/>
    </w:p>
    <w:p>
      <w:pPr>
        <w:jc w:val="center"/>
        <w:rPr>
          <w:rFonts w:hint="eastAsia" w:ascii="宋体" w:hAnsi="宋体"/>
          <w:b/>
          <w:sz w:val="44"/>
          <w:szCs w:val="44"/>
        </w:rPr>
      </w:pPr>
      <w:r>
        <w:rPr>
          <w:rFonts w:hint="eastAsia" w:ascii="宋体" w:hAnsi="宋体"/>
          <w:b/>
          <w:sz w:val="44"/>
          <w:szCs w:val="44"/>
        </w:rPr>
        <w:t xml:space="preserve">医疗废物集中处置服务合同</w:t>
      </w:r>
      <w:r/>
    </w:p>
    <w:p>
      <w:pPr>
        <w:jc w:val="center"/>
        <w:rPr>
          <w:rFonts w:hint="eastAsia" w:ascii="宋体" w:hAnsi="宋体"/>
          <w:b/>
          <w:sz w:val="36"/>
          <w:szCs w:val="36"/>
        </w:rPr>
      </w:pPr>
      <w:r>
        <w:rPr>
          <w:rFonts w:hint="eastAsia" w:ascii="宋体" w:hAnsi="宋体"/>
          <w:b/>
          <w:sz w:val="36"/>
          <w:szCs w:val="36"/>
        </w:rPr>
      </w:r>
      <w:r/>
    </w:p>
    <w:p>
      <w:pPr>
        <w:spacing w:line="360" w:lineRule="auto"/>
        <w:rPr>
          <w:rFonts w:hint="eastAsia" w:ascii="宋体" w:hAnsi="宋体"/>
          <w:sz w:val="24"/>
          <w:szCs w:val="24"/>
        </w:rPr>
      </w:pPr>
      <w:r>
        <w:rPr>
          <w:rFonts w:hint="eastAsia" w:ascii="宋体" w:hAnsi="宋体"/>
          <w:sz w:val="24"/>
          <w:szCs w:val="24"/>
        </w:rPr>
        <w:t xml:space="preserve">甲方：徐州医科大学附属医院</w:t>
      </w:r>
      <w:r/>
    </w:p>
    <w:p>
      <w:pPr>
        <w:spacing w:line="360" w:lineRule="auto"/>
        <w:rPr>
          <w:rFonts w:hint="eastAsia" w:ascii="宋体" w:hAnsi="宋体"/>
          <w:sz w:val="24"/>
          <w:szCs w:val="24"/>
        </w:rPr>
      </w:pPr>
      <w:r>
        <w:rPr>
          <w:rFonts w:hint="eastAsia" w:ascii="宋体" w:hAnsi="宋体"/>
          <w:sz w:val="24"/>
          <w:szCs w:val="24"/>
        </w:rPr>
        <w:t xml:space="preserve">统一社会信用代码：12320300466504550Y</w:t>
      </w:r>
      <w:r/>
    </w:p>
    <w:p>
      <w:pPr>
        <w:spacing w:line="360" w:lineRule="auto"/>
        <w:rPr>
          <w:rFonts w:hint="eastAsia" w:ascii="宋体" w:hAnsi="宋体"/>
          <w:sz w:val="24"/>
          <w:szCs w:val="24"/>
        </w:rPr>
      </w:pPr>
      <w:r>
        <w:rPr>
          <w:rFonts w:hint="eastAsia" w:ascii="宋体" w:hAnsi="宋体"/>
          <w:sz w:val="24"/>
          <w:szCs w:val="24"/>
        </w:rPr>
        <w:t xml:space="preserve">乙方：____________________</w:t>
      </w:r>
      <w:r>
        <w:rPr>
          <w:rFonts w:ascii="宋体" w:hAnsi="宋体"/>
          <w:sz w:val="24"/>
          <w:szCs w:val="24"/>
        </w:rPr>
        <w:t xml:space="preserve"> </w:t>
      </w:r>
      <w:r/>
    </w:p>
    <w:p>
      <w:pPr>
        <w:spacing w:line="360" w:lineRule="auto"/>
        <w:rPr>
          <w:rFonts w:hint="eastAsia" w:ascii="宋体" w:hAnsi="宋体"/>
          <w:sz w:val="24"/>
          <w:szCs w:val="24"/>
        </w:rPr>
      </w:pPr>
      <w:r>
        <w:rPr>
          <w:rFonts w:hint="eastAsia" w:ascii="宋体" w:hAnsi="宋体"/>
          <w:sz w:val="24"/>
          <w:szCs w:val="24"/>
        </w:rPr>
        <w:t xml:space="preserve">统一社会信用代码：____________________</w:t>
      </w:r>
      <w:r/>
    </w:p>
    <w:p>
      <w:pPr>
        <w:spacing w:line="360" w:lineRule="auto"/>
        <w:rPr>
          <w:rFonts w:hint="eastAsia" w:ascii="宋体" w:hAnsi="宋体"/>
          <w:sz w:val="24"/>
          <w:szCs w:val="24"/>
        </w:rPr>
      </w:pPr>
      <w:r>
        <w:rPr>
          <w:rFonts w:hint="eastAsia" w:ascii="宋体" w:hAnsi="宋体"/>
          <w:sz w:val="24"/>
          <w:szCs w:val="24"/>
        </w:rPr>
      </w:r>
      <w:r/>
    </w:p>
    <w:p>
      <w:pPr>
        <w:ind w:firstLine="555"/>
        <w:spacing w:line="360" w:lineRule="auto"/>
        <w:rPr>
          <w:rFonts w:hint="eastAsia" w:ascii="宋体" w:hAnsi="宋体"/>
          <w:sz w:val="24"/>
          <w:szCs w:val="24"/>
        </w:rPr>
      </w:pPr>
      <w:r>
        <w:rPr>
          <w:rFonts w:hint="eastAsia" w:ascii="宋体" w:hAnsi="宋体"/>
          <w:sz w:val="24"/>
          <w:szCs w:val="24"/>
        </w:rPr>
        <w:t xml:space="preserve">为了保障人民群众的身体健康，防止医疗废物污染事故的发生，根据《医疗废物管理条例》、《医疗废物集中处理技术规范》、《中华人民共和国民法典》等相关法律法规，为实现医疗废物集中处置，经甲乙双方协商，由乙方处置甲方产生的医疗废物。为明确甲乙双方的权利、义务和责任，特签订本合同，供双方共同遵守执行。</w:t>
      </w:r>
      <w:r/>
    </w:p>
    <w:p>
      <w:pPr>
        <w:ind w:firstLine="555"/>
        <w:spacing w:line="360" w:lineRule="auto"/>
        <w:rPr>
          <w:rFonts w:hint="eastAsia" w:ascii="宋体" w:hAnsi="宋体"/>
          <w:b/>
          <w:sz w:val="24"/>
          <w:szCs w:val="24"/>
        </w:rPr>
      </w:pPr>
      <w:r>
        <w:rPr>
          <w:rFonts w:hint="eastAsia" w:ascii="宋体" w:hAnsi="宋体"/>
          <w:b/>
          <w:sz w:val="24"/>
          <w:szCs w:val="24"/>
        </w:rPr>
        <w:t xml:space="preserve">第一条 医疗废物范围</w:t>
      </w:r>
      <w:r/>
    </w:p>
    <w:p>
      <w:pPr>
        <w:ind w:firstLine="555"/>
        <w:spacing w:line="360" w:lineRule="auto"/>
        <w:rPr>
          <w:rFonts w:hint="eastAsia" w:ascii="宋体" w:hAnsi="宋体"/>
          <w:sz w:val="24"/>
          <w:szCs w:val="24"/>
        </w:rPr>
      </w:pPr>
      <w:r>
        <w:rPr>
          <w:rFonts w:hint="eastAsia" w:ascii="宋体" w:hAnsi="宋体"/>
          <w:sz w:val="24"/>
          <w:szCs w:val="24"/>
        </w:rPr>
        <w:t xml:space="preserve">医疗废物范围和种类参照《国家危险废物名录》和《医疗废物分类目录》，本合同所指医疗废物只包含感染性废物和损伤性废物。</w:t>
      </w:r>
      <w:r/>
    </w:p>
    <w:p>
      <w:pPr>
        <w:ind w:firstLine="555"/>
        <w:spacing w:line="360" w:lineRule="auto"/>
        <w:rPr>
          <w:rFonts w:hint="eastAsia" w:ascii="宋体" w:hAnsi="宋体"/>
          <w:b/>
          <w:sz w:val="24"/>
          <w:szCs w:val="24"/>
        </w:rPr>
      </w:pPr>
      <w:r>
        <w:rPr>
          <w:rFonts w:hint="eastAsia" w:ascii="宋体" w:hAnsi="宋体"/>
          <w:b/>
          <w:sz w:val="24"/>
          <w:szCs w:val="24"/>
        </w:rPr>
        <w:t xml:space="preserve">第二条</w:t>
      </w:r>
      <w:r>
        <w:rPr>
          <w:rFonts w:hint="eastAsia" w:ascii="宋体" w:hAnsi="宋体"/>
          <w:sz w:val="24"/>
          <w:szCs w:val="24"/>
        </w:rPr>
        <w:t xml:space="preserve"> </w:t>
      </w:r>
      <w:r>
        <w:rPr>
          <w:rFonts w:hint="eastAsia" w:ascii="宋体" w:hAnsi="宋体"/>
          <w:b/>
          <w:sz w:val="24"/>
          <w:szCs w:val="24"/>
        </w:rPr>
        <w:t xml:space="preserve">医疗废物的交接</w:t>
      </w:r>
      <w:r/>
    </w:p>
    <w:p>
      <w:pPr>
        <w:ind w:firstLine="555"/>
        <w:spacing w:line="360" w:lineRule="auto"/>
        <w:rPr>
          <w:rFonts w:hint="eastAsia" w:ascii="宋体" w:hAnsi="宋体"/>
          <w:sz w:val="24"/>
          <w:szCs w:val="24"/>
        </w:rPr>
      </w:pPr>
      <w:r>
        <w:rPr>
          <w:rFonts w:hint="eastAsia" w:ascii="宋体" w:hAnsi="宋体"/>
          <w:sz w:val="24"/>
          <w:szCs w:val="24"/>
        </w:rPr>
        <w:t xml:space="preserve">1、甲方收集的医疗废物必须投放到双方共同确定的暂存点。</w:t>
      </w:r>
      <w:r/>
    </w:p>
    <w:p>
      <w:pPr>
        <w:ind w:firstLine="555"/>
        <w:spacing w:line="360" w:lineRule="auto"/>
        <w:rPr>
          <w:rFonts w:hint="eastAsia" w:ascii="宋体" w:hAnsi="宋体"/>
          <w:sz w:val="24"/>
          <w:szCs w:val="24"/>
        </w:rPr>
      </w:pPr>
      <w:r>
        <w:rPr>
          <w:rFonts w:hint="eastAsia" w:ascii="宋体" w:hAnsi="宋体"/>
          <w:sz w:val="24"/>
          <w:szCs w:val="24"/>
        </w:rPr>
        <w:t xml:space="preserve">2、乙方定期到暂存点收</w:t>
      </w:r>
      <w:r>
        <w:rPr>
          <w:rFonts w:hint="eastAsia" w:ascii="宋体" w:hAnsi="宋体"/>
          <w:sz w:val="24"/>
          <w:szCs w:val="24"/>
        </w:rPr>
        <w:t xml:space="preserve">运医疗</w:t>
      </w:r>
      <w:r>
        <w:rPr>
          <w:rFonts w:hint="eastAsia" w:ascii="宋体" w:hAnsi="宋体"/>
          <w:sz w:val="24"/>
          <w:szCs w:val="24"/>
        </w:rPr>
        <w:t xml:space="preserve">废物。</w:t>
      </w:r>
      <w:r/>
    </w:p>
    <w:p>
      <w:pPr>
        <w:ind w:firstLine="555"/>
        <w:spacing w:line="360" w:lineRule="auto"/>
        <w:rPr>
          <w:rFonts w:hint="eastAsia" w:ascii="宋体" w:hAnsi="宋体"/>
          <w:b/>
          <w:sz w:val="24"/>
          <w:szCs w:val="24"/>
        </w:rPr>
      </w:pPr>
      <w:r>
        <w:rPr>
          <w:rFonts w:hint="eastAsia" w:ascii="宋体" w:hAnsi="宋体"/>
          <w:b/>
          <w:sz w:val="24"/>
          <w:szCs w:val="24"/>
        </w:rPr>
        <w:t xml:space="preserve">第三条 处置费结算标准和支付方式</w:t>
      </w:r>
      <w:r/>
    </w:p>
    <w:p>
      <w:pPr>
        <w:ind w:firstLine="555"/>
        <w:spacing w:line="360" w:lineRule="auto"/>
        <w:rPr>
          <w:rFonts w:hint="eastAsia" w:ascii="宋体" w:hAnsi="宋体"/>
          <w:i/>
          <w:iCs/>
          <w:sz w:val="24"/>
          <w:szCs w:val="24"/>
          <w:u w:val="single"/>
        </w:rPr>
      </w:pPr>
      <w:r>
        <w:rPr>
          <w:rFonts w:hint="eastAsia" w:ascii="宋体" w:hAnsi="宋体"/>
          <w:sz w:val="24"/>
          <w:szCs w:val="24"/>
        </w:rPr>
        <w:t xml:space="preserve">1、</w:t>
      </w:r>
      <w:r>
        <w:rPr>
          <w:rFonts w:hint="eastAsia" w:ascii="宋体" w:hAnsi="宋体"/>
          <w:i/>
          <w:iCs/>
          <w:sz w:val="24"/>
          <w:szCs w:val="24"/>
          <w:u w:val="single"/>
        </w:rPr>
        <w:t xml:space="preserve">（根据采购文件的具体要求及供应商响应情况，进行具体修订）</w:t>
      </w:r>
      <w:r/>
    </w:p>
    <w:p>
      <w:pPr>
        <w:ind w:firstLine="555"/>
        <w:spacing w:line="360" w:lineRule="auto"/>
        <w:rPr>
          <w:rFonts w:hint="eastAsia" w:ascii="宋体" w:hAnsi="宋体"/>
          <w:sz w:val="24"/>
          <w:szCs w:val="24"/>
        </w:rPr>
      </w:pPr>
      <w:r>
        <w:rPr>
          <w:rFonts w:hint="eastAsia" w:ascii="宋体" w:hAnsi="宋体"/>
          <w:sz w:val="24"/>
          <w:szCs w:val="24"/>
        </w:rPr>
        <w:t xml:space="preserve">2、如遇徐州市出台新的医疗废物收费政策及标准，自文件颁布实施之日起，双方签</w:t>
      </w:r>
      <w:bookmarkStart w:id="158" w:name="OLE_LINK22"/>
      <w:r>
        <w:rPr>
          <w:rFonts w:hint="eastAsia" w:ascii="宋体" w:hAnsi="宋体"/>
          <w:sz w:val="24"/>
          <w:szCs w:val="24"/>
        </w:rPr>
        <w:t xml:space="preserve">订补充合同，收费标准遵照补充协议，原合同其余条款继续有效。</w:t>
      </w:r>
      <w:r/>
    </w:p>
    <w:p>
      <w:pPr>
        <w:ind w:firstLine="555"/>
        <w:spacing w:line="360" w:lineRule="auto"/>
        <w:rPr>
          <w:rFonts w:hint="eastAsia" w:ascii="宋体" w:hAnsi="宋体"/>
          <w:b/>
          <w:sz w:val="24"/>
          <w:szCs w:val="24"/>
        </w:rPr>
      </w:pPr>
      <w:r>
        <w:rPr>
          <w:rFonts w:hint="eastAsia" w:ascii="宋体" w:hAnsi="宋体"/>
          <w:b/>
          <w:sz w:val="24"/>
          <w:szCs w:val="24"/>
        </w:rPr>
        <w:t xml:space="preserve">第四条 甲方义务和责任</w:t>
      </w:r>
      <w:bookmarkEnd w:id="158"/>
      <w:r/>
      <w:r/>
    </w:p>
    <w:p>
      <w:pPr>
        <w:ind w:firstLine="556"/>
        <w:spacing w:line="360" w:lineRule="auto"/>
        <w:rPr>
          <w:rFonts w:hint="eastAsia" w:ascii="宋体" w:hAnsi="宋体"/>
          <w:sz w:val="24"/>
          <w:szCs w:val="24"/>
        </w:rPr>
      </w:pPr>
      <w:r>
        <w:rPr>
          <w:rFonts w:hint="eastAsia" w:ascii="宋体" w:hAnsi="宋体"/>
          <w:sz w:val="24"/>
          <w:szCs w:val="24"/>
        </w:rPr>
        <w:t xml:space="preserve">1、甲方投放的医疗废物必须按《医疗废物管理条例》的规定进行分类包装、标识，并盛装于周转箱内。</w:t>
      </w:r>
      <w:r/>
    </w:p>
    <w:p>
      <w:pPr>
        <w:ind w:firstLine="556"/>
        <w:spacing w:line="360" w:lineRule="auto"/>
        <w:rPr>
          <w:rFonts w:hint="eastAsia" w:ascii="宋体" w:hAnsi="宋体"/>
          <w:sz w:val="24"/>
          <w:szCs w:val="24"/>
        </w:rPr>
      </w:pPr>
      <w:r>
        <w:rPr>
          <w:rFonts w:hint="eastAsia" w:ascii="宋体" w:hAnsi="宋体"/>
          <w:sz w:val="24"/>
          <w:szCs w:val="24"/>
        </w:rPr>
        <w:t xml:space="preserve">2、甲方自备医疗废物包装袋、利器盒。包装物要符合《医疗废物专用包装物、容器标准和警示标识规定》。</w:t>
      </w:r>
      <w:r/>
    </w:p>
    <w:p>
      <w:pPr>
        <w:ind w:firstLine="556"/>
        <w:spacing w:line="360" w:lineRule="auto"/>
        <w:rPr>
          <w:rFonts w:hint="eastAsia" w:ascii="宋体" w:hAnsi="宋体"/>
          <w:sz w:val="24"/>
          <w:szCs w:val="24"/>
        </w:rPr>
      </w:pPr>
      <w:r>
        <w:rPr>
          <w:rFonts w:hint="eastAsia" w:ascii="宋体" w:hAnsi="宋体"/>
          <w:sz w:val="24"/>
          <w:szCs w:val="24"/>
        </w:rPr>
        <w:t xml:space="preserve">3、甲方须使用乙方统一提供的周转箱，并交纳押金。如非乙方原因导致损坏，照价赔偿。</w:t>
      </w:r>
      <w:r/>
    </w:p>
    <w:p>
      <w:pPr>
        <w:ind w:firstLine="556"/>
        <w:spacing w:line="360" w:lineRule="auto"/>
        <w:rPr>
          <w:rFonts w:hint="eastAsia" w:ascii="宋体" w:hAnsi="宋体"/>
          <w:sz w:val="24"/>
          <w:szCs w:val="24"/>
        </w:rPr>
      </w:pPr>
      <w:r>
        <w:rPr>
          <w:rFonts w:hint="eastAsia" w:ascii="宋体" w:hAnsi="宋体"/>
          <w:sz w:val="24"/>
          <w:szCs w:val="24"/>
        </w:rPr>
        <w:t xml:space="preserve">4、甲方应配合乙方收运人员做好医疗废物的交接工作，并保证转运车辆进入暂存点的通道顺畅。</w:t>
      </w:r>
      <w:r/>
    </w:p>
    <w:p>
      <w:pPr>
        <w:ind w:firstLine="556"/>
        <w:spacing w:line="360" w:lineRule="auto"/>
        <w:rPr>
          <w:rFonts w:hint="eastAsia" w:ascii="宋体" w:hAnsi="宋体"/>
          <w:sz w:val="24"/>
          <w:szCs w:val="24"/>
        </w:rPr>
      </w:pPr>
      <w:r>
        <w:rPr>
          <w:rFonts w:hint="eastAsia" w:ascii="宋体" w:hAnsi="宋体"/>
          <w:sz w:val="24"/>
          <w:szCs w:val="24"/>
        </w:rPr>
        <w:t xml:space="preserve">5、甲方应按本合同约定的处置费结算标准、支付方式和日期付款。</w:t>
      </w:r>
      <w:r/>
    </w:p>
    <w:p>
      <w:pPr>
        <w:ind w:firstLine="556"/>
        <w:spacing w:line="360" w:lineRule="auto"/>
        <w:rPr>
          <w:rFonts w:hint="eastAsia" w:ascii="宋体" w:hAnsi="宋体"/>
          <w:b/>
          <w:sz w:val="24"/>
          <w:szCs w:val="24"/>
        </w:rPr>
      </w:pPr>
      <w:r>
        <w:rPr>
          <w:rFonts w:hint="eastAsia" w:ascii="宋体" w:hAnsi="宋体"/>
          <w:b/>
          <w:sz w:val="24"/>
          <w:szCs w:val="24"/>
        </w:rPr>
        <w:t xml:space="preserve">第五条 乙方义务和责任</w:t>
      </w:r>
      <w:r/>
    </w:p>
    <w:p>
      <w:pPr>
        <w:ind w:firstLine="556"/>
        <w:spacing w:line="360" w:lineRule="auto"/>
        <w:rPr>
          <w:rFonts w:hint="eastAsia" w:ascii="宋体" w:hAnsi="宋体"/>
          <w:sz w:val="24"/>
          <w:szCs w:val="24"/>
        </w:rPr>
      </w:pPr>
      <w:r>
        <w:rPr>
          <w:rFonts w:hint="eastAsia" w:ascii="宋体" w:hAnsi="宋体"/>
          <w:sz w:val="24"/>
          <w:szCs w:val="24"/>
        </w:rPr>
        <w:t xml:space="preserve">1、乙方必需履行《医疗废物管理条例》和《医疗废物集中处置技术规范》，按照行业标准向甲方提供规范服务，完成医疗废物收运和处置。</w:t>
      </w:r>
      <w:r/>
    </w:p>
    <w:p>
      <w:pPr>
        <w:ind w:firstLine="556"/>
        <w:spacing w:line="360" w:lineRule="auto"/>
        <w:rPr>
          <w:rFonts w:hint="eastAsia" w:ascii="宋体" w:hAnsi="宋体"/>
          <w:sz w:val="24"/>
          <w:szCs w:val="24"/>
        </w:rPr>
      </w:pPr>
      <w:r>
        <w:rPr>
          <w:rFonts w:hint="eastAsia" w:ascii="宋体" w:hAnsi="宋体"/>
          <w:sz w:val="24"/>
          <w:szCs w:val="24"/>
        </w:rPr>
        <w:t xml:space="preserve">2、乙方收运过程中因乙方原因造成甲方、乙方或第三</w:t>
      </w:r>
      <w:r>
        <w:rPr>
          <w:rFonts w:hint="eastAsia" w:ascii="宋体" w:hAnsi="宋体"/>
          <w:sz w:val="24"/>
          <w:szCs w:val="24"/>
        </w:rPr>
        <w:t xml:space="preserve">方损害</w:t>
      </w:r>
      <w:r>
        <w:rPr>
          <w:rFonts w:hint="eastAsia" w:ascii="宋体" w:hAnsi="宋体"/>
          <w:sz w:val="24"/>
          <w:szCs w:val="24"/>
        </w:rPr>
        <w:t xml:space="preserve">的，所有责任均由乙方承担。</w:t>
      </w:r>
      <w:r/>
    </w:p>
    <w:p>
      <w:pPr>
        <w:ind w:firstLine="556"/>
        <w:spacing w:line="360" w:lineRule="auto"/>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、乙方需取得行政主管部门核准的医疗废物处置经营许可。</w:t>
      </w:r>
      <w:r/>
    </w:p>
    <w:p>
      <w:pPr>
        <w:ind w:firstLine="556"/>
        <w:spacing w:line="360" w:lineRule="auto"/>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、乙方原则上每2天到医疗机构收运一次医疗废物，收运过程中要确保安全，不得丢弃、遗</w:t>
      </w:r>
      <w:r>
        <w:rPr>
          <w:rFonts w:hint="eastAsia" w:ascii="宋体" w:hAnsi="宋体"/>
          <w:sz w:val="24"/>
          <w:szCs w:val="24"/>
        </w:rPr>
        <w:t xml:space="preserve">撒医疗</w:t>
      </w:r>
      <w:r>
        <w:rPr>
          <w:rFonts w:hint="eastAsia" w:ascii="宋体" w:hAnsi="宋体"/>
          <w:sz w:val="24"/>
          <w:szCs w:val="24"/>
        </w:rPr>
        <w:t xml:space="preserve">废物。</w:t>
      </w:r>
      <w:r/>
    </w:p>
    <w:p>
      <w:pPr>
        <w:ind w:firstLine="556"/>
        <w:spacing w:line="360" w:lineRule="auto"/>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、乙方应当遵守国家有关危险货物运输管理的规定，使用有明显医疗废物标识的专用车辆，车辆应达到防渗漏、防遗</w:t>
      </w:r>
      <w:r>
        <w:rPr>
          <w:rFonts w:hint="eastAsia" w:ascii="宋体" w:hAnsi="宋体"/>
          <w:sz w:val="24"/>
          <w:szCs w:val="24"/>
        </w:rPr>
        <w:t xml:space="preserve">撒以及</w:t>
      </w:r>
      <w:r>
        <w:rPr>
          <w:rFonts w:hint="eastAsia" w:ascii="宋体" w:hAnsi="宋体"/>
          <w:sz w:val="24"/>
          <w:szCs w:val="24"/>
        </w:rPr>
        <w:t xml:space="preserve">其他环境保护和卫生要求。</w:t>
      </w:r>
      <w:r/>
    </w:p>
    <w:p>
      <w:pPr>
        <w:ind w:firstLine="556"/>
        <w:spacing w:line="360" w:lineRule="auto"/>
        <w:rPr>
          <w:rFonts w:hint="eastAsia" w:ascii="宋体" w:hAnsi="宋体"/>
          <w:b/>
          <w:sz w:val="24"/>
          <w:szCs w:val="24"/>
        </w:rPr>
      </w:pPr>
      <w:r>
        <w:rPr>
          <w:rFonts w:ascii="宋体" w:hAnsi="宋体"/>
          <w:sz w:val="24"/>
          <w:szCs w:val="24"/>
        </w:rPr>
        <w:t xml:space="preserve">6</w:t>
      </w:r>
      <w:r>
        <w:rPr>
          <w:rFonts w:hint="eastAsia" w:ascii="宋体" w:hAnsi="宋体"/>
          <w:sz w:val="24"/>
          <w:szCs w:val="24"/>
        </w:rPr>
        <w:t xml:space="preserve">、如发生不可预见情况造成不能按时收运医疗废物时，乙方应及时通知甲方，以便甲方加强对医疗废物消毒和管理，避免造成污染。</w:t>
      </w:r>
      <w:r/>
    </w:p>
    <w:p>
      <w:pPr>
        <w:ind w:firstLine="556"/>
        <w:spacing w:line="360" w:lineRule="auto"/>
        <w:rPr>
          <w:rFonts w:hint="eastAsia" w:ascii="宋体" w:hAnsi="宋体"/>
          <w:b/>
          <w:sz w:val="24"/>
          <w:szCs w:val="24"/>
        </w:rPr>
      </w:pPr>
      <w:r>
        <w:rPr>
          <w:rFonts w:hint="eastAsia" w:ascii="宋体" w:hAnsi="宋体"/>
          <w:b/>
          <w:sz w:val="24"/>
          <w:szCs w:val="24"/>
        </w:rPr>
        <w:t xml:space="preserve">第六条 违约责任</w:t>
      </w:r>
      <w:r/>
    </w:p>
    <w:p>
      <w:pPr>
        <w:ind w:firstLine="556"/>
        <w:spacing w:line="360" w:lineRule="auto"/>
        <w:rPr>
          <w:rFonts w:hint="eastAsia" w:ascii="宋体" w:hAnsi="宋体"/>
          <w:sz w:val="24"/>
          <w:szCs w:val="24"/>
        </w:rPr>
      </w:pPr>
      <w:r>
        <w:rPr>
          <w:rFonts w:hint="eastAsia" w:ascii="宋体" w:hAnsi="宋体"/>
          <w:sz w:val="24"/>
          <w:szCs w:val="24"/>
        </w:rPr>
        <w:t xml:space="preserve">1、乙方收运不及时，甲方有权扣除相应天数的医疗废物处置费，并要求乙方赔偿给甲方造成的损失。</w:t>
      </w:r>
      <w:r/>
    </w:p>
    <w:p>
      <w:pPr>
        <w:ind w:firstLine="556"/>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、甲方未在本合同约定的时间内支付给乙方处置费，且无正当理由的，乙方将以告知书的形式提前告知甲方，并将于告知甲方后次日起停止对甲方产生的医疗废物进行接收、处置。</w:t>
      </w:r>
      <w:r/>
    </w:p>
    <w:p>
      <w:pPr>
        <w:ind w:firstLine="556"/>
        <w:spacing w:line="360" w:lineRule="auto"/>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、如非乙方原因，甲方因拖欠医疗废物处置费造成的一切后果（包括医疗废物流失、渗漏导致传染病传播及环境污染事故等），均由甲方承担责任。</w:t>
      </w:r>
      <w:r/>
    </w:p>
    <w:p>
      <w:pPr>
        <w:ind w:firstLine="555"/>
        <w:spacing w:line="360" w:lineRule="auto"/>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、乙方收运过程中如发现甲方接收第三</w:t>
      </w:r>
      <w:r>
        <w:rPr>
          <w:rFonts w:hint="eastAsia" w:ascii="宋体" w:hAnsi="宋体"/>
          <w:sz w:val="24"/>
          <w:szCs w:val="24"/>
        </w:rPr>
        <w:t xml:space="preserve">方医疗</w:t>
      </w:r>
      <w:r>
        <w:rPr>
          <w:rFonts w:hint="eastAsia" w:ascii="宋体" w:hAnsi="宋体"/>
          <w:sz w:val="24"/>
          <w:szCs w:val="24"/>
        </w:rPr>
        <w:t xml:space="preserve">机构产生的医疗废物，乙方有权终止本合同并暂停服务，所有后果由甲方承担，且本合同期所缴纳的医疗废物处置费不予退还。</w:t>
      </w:r>
      <w:r/>
    </w:p>
    <w:p>
      <w:pPr>
        <w:ind w:firstLine="555"/>
        <w:spacing w:line="360" w:lineRule="auto"/>
        <w:rPr>
          <w:rFonts w:hint="eastAsia" w:ascii="宋体" w:hAnsi="宋体"/>
          <w:sz w:val="24"/>
          <w:szCs w:val="24"/>
        </w:rPr>
      </w:pPr>
      <w:r>
        <w:rPr>
          <w:rFonts w:hint="eastAsia" w:ascii="宋体" w:hAnsi="宋体"/>
          <w:sz w:val="24"/>
          <w:szCs w:val="24"/>
        </w:rPr>
        <w:t xml:space="preserve">5、如因一方违反本合同约定给守约方造成损失的，应当依法赔偿，赔偿的金额应包</w:t>
      </w:r>
      <w:r>
        <w:rPr>
          <w:rFonts w:hint="eastAsia" w:ascii="宋体" w:hAnsi="宋体"/>
          <w:sz w:val="24"/>
          <w:szCs w:val="24"/>
        </w:rPr>
        <w:t xml:space="preserve">括但不限于守约方因维权需要所花费的律师费、鉴定费、公证费、诉讼费、诉讼担保费、交通费等。</w:t>
      </w:r>
      <w:r/>
    </w:p>
    <w:p>
      <w:pPr>
        <w:ind w:firstLine="555"/>
        <w:spacing w:line="360" w:lineRule="auto"/>
        <w:rPr>
          <w:rFonts w:hint="eastAsia" w:ascii="宋体" w:hAnsi="宋体"/>
          <w:sz w:val="24"/>
          <w:szCs w:val="24"/>
        </w:rPr>
      </w:pPr>
      <w:r>
        <w:rPr>
          <w:rFonts w:hint="eastAsia" w:ascii="宋体" w:hAnsi="宋体"/>
          <w:sz w:val="24"/>
          <w:szCs w:val="24"/>
        </w:rPr>
        <w:t xml:space="preserve">6、乙方需遵守《徐医附院医疗废物服务质量考核管理规定》，</w:t>
      </w:r>
      <w:bookmarkStart w:id="159" w:name="OLE_LINK6"/>
      <w:r>
        <w:rPr>
          <w:rFonts w:hint="eastAsia" w:ascii="宋体" w:hAnsi="宋体"/>
          <w:sz w:val="24"/>
          <w:szCs w:val="24"/>
        </w:rPr>
        <w:t xml:space="preserve">规范医疗废物处置服务</w:t>
      </w:r>
      <w:bookmarkEnd w:id="159"/>
      <w:r>
        <w:rPr>
          <w:rFonts w:hint="eastAsia" w:ascii="宋体" w:hAnsi="宋体"/>
          <w:sz w:val="24"/>
          <w:szCs w:val="24"/>
        </w:rPr>
        <w:t xml:space="preserve">。</w:t>
      </w:r>
      <w:r/>
    </w:p>
    <w:p>
      <w:pPr>
        <w:ind w:firstLine="555"/>
        <w:spacing w:line="360" w:lineRule="auto"/>
        <w:rPr>
          <w:rFonts w:hint="eastAsia" w:ascii="宋体" w:hAnsi="宋体"/>
          <w:b/>
          <w:sz w:val="24"/>
          <w:szCs w:val="24"/>
        </w:rPr>
      </w:pPr>
      <w:r>
        <w:rPr>
          <w:rFonts w:hint="eastAsia" w:ascii="宋体" w:hAnsi="宋体"/>
          <w:b/>
          <w:sz w:val="24"/>
          <w:szCs w:val="24"/>
        </w:rPr>
        <w:t xml:space="preserve">第七条 </w:t>
      </w:r>
      <w:r>
        <w:rPr>
          <w:rFonts w:hint="eastAsia" w:ascii="宋体" w:hAnsi="宋体"/>
          <w:b/>
          <w:bCs/>
          <w:sz w:val="24"/>
          <w:szCs w:val="24"/>
        </w:rPr>
        <w:t xml:space="preserve">合同履行期限</w:t>
      </w:r>
      <w:r/>
    </w:p>
    <w:p>
      <w:pPr>
        <w:ind w:firstLine="555"/>
        <w:spacing w:line="360" w:lineRule="auto"/>
        <w:rPr>
          <w:rFonts w:hint="eastAsia" w:ascii="宋体" w:hAnsi="宋体"/>
          <w:sz w:val="24"/>
          <w:szCs w:val="24"/>
        </w:rPr>
      </w:pPr>
      <w:r>
        <w:rPr>
          <w:rFonts w:hint="eastAsia" w:ascii="宋体" w:hAnsi="宋体"/>
          <w:sz w:val="24"/>
          <w:szCs w:val="24"/>
        </w:rPr>
        <w:t xml:space="preserve">1、本合同有效期自</w:t>
      </w:r>
      <w:bookmarkStart w:id="160" w:name="OLE_LINK3"/>
      <w:r/>
      <w:bookmarkStart w:id="161" w:name="OLE_LINK2"/>
      <w:r>
        <w:rPr>
          <w:rFonts w:hint="eastAsia" w:ascii="宋体" w:hAnsi="宋体"/>
          <w:sz w:val="24"/>
          <w:szCs w:val="24"/>
        </w:rPr>
        <w:t xml:space="preserve">____</w:t>
      </w:r>
      <w:bookmarkEnd w:id="160"/>
      <w:r>
        <w:rPr>
          <w:rFonts w:hint="eastAsia" w:ascii="宋体" w:hAnsi="宋体"/>
          <w:sz w:val="24"/>
          <w:szCs w:val="24"/>
        </w:rPr>
        <w:t xml:space="preserve">年____月____日</w:t>
      </w:r>
      <w:bookmarkEnd w:id="161"/>
      <w:r>
        <w:rPr>
          <w:rFonts w:hint="eastAsia" w:ascii="宋体" w:hAnsi="宋体"/>
          <w:sz w:val="24"/>
          <w:szCs w:val="24"/>
        </w:rPr>
        <w:t xml:space="preserve">起至____年____月____日止。</w:t>
      </w:r>
      <w:r/>
    </w:p>
    <w:p>
      <w:pPr>
        <w:ind w:firstLine="555"/>
        <w:spacing w:line="360" w:lineRule="auto"/>
        <w:rPr>
          <w:rFonts w:hint="eastAsia" w:ascii="宋体" w:hAnsi="宋体"/>
          <w:sz w:val="24"/>
          <w:szCs w:val="24"/>
        </w:rPr>
      </w:pPr>
      <w:r>
        <w:rPr>
          <w:rFonts w:hint="eastAsia" w:ascii="宋体" w:hAnsi="宋体"/>
          <w:sz w:val="24"/>
          <w:szCs w:val="24"/>
        </w:rPr>
        <w:t xml:space="preserve">2、合同期双方若发生纠纷，双方协商解决；如协商不成，任何一方均可向原告所在地法院提起诉讼。</w:t>
      </w:r>
      <w:r/>
    </w:p>
    <w:p>
      <w:pPr>
        <w:ind w:firstLine="555"/>
        <w:spacing w:line="360" w:lineRule="auto"/>
        <w:rPr>
          <w:rFonts w:hint="eastAsia" w:ascii="宋体" w:hAnsi="宋体"/>
          <w:sz w:val="24"/>
          <w:szCs w:val="24"/>
        </w:rPr>
      </w:pPr>
      <w:r>
        <w:rPr>
          <w:rFonts w:hint="eastAsia" w:ascii="宋体" w:hAnsi="宋体"/>
          <w:sz w:val="24"/>
          <w:szCs w:val="24"/>
        </w:rPr>
        <w:t xml:space="preserve">3、本合同经双方签字盖章生效，一式陆份，甲方肆份，乙方贰份。</w:t>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bookmarkStart w:id="162" w:name="OLE_LINK4"/>
      <w:r>
        <w:rPr>
          <w:rFonts w:hint="eastAsia" w:ascii="宋体" w:hAnsi="宋体"/>
          <w:sz w:val="24"/>
          <w:szCs w:val="24"/>
        </w:rPr>
        <w:t xml:space="preserve">甲</w:t>
      </w:r>
      <w:bookmarkEnd w:id="162"/>
      <w:r>
        <w:rPr>
          <w:rFonts w:hint="eastAsia" w:ascii="宋体" w:hAnsi="宋体"/>
          <w:sz w:val="24"/>
          <w:szCs w:val="24"/>
        </w:rPr>
        <w:t xml:space="preserve">方：徐州医科大学附属医院     乙方： </w:t>
      </w:r>
      <w:r/>
    </w:p>
    <w:p>
      <w:pPr>
        <w:spacing w:line="360" w:lineRule="auto"/>
        <w:rPr>
          <w:rFonts w:hint="eastAsia" w:ascii="宋体" w:hAnsi="宋体"/>
          <w:sz w:val="24"/>
          <w:szCs w:val="24"/>
        </w:rPr>
      </w:pPr>
      <w:r>
        <w:rPr>
          <w:rFonts w:hint="eastAsia" w:ascii="宋体" w:hAnsi="宋体"/>
          <w:sz w:val="24"/>
          <w:szCs w:val="24"/>
        </w:rPr>
        <w:t xml:space="preserve">法定代表人：                  法定代表人：</w:t>
      </w:r>
      <w:r/>
    </w:p>
    <w:p>
      <w:pPr>
        <w:spacing w:line="360" w:lineRule="auto"/>
        <w:rPr>
          <w:rFonts w:hint="eastAsia" w:ascii="宋体" w:hAnsi="宋体"/>
          <w:sz w:val="24"/>
          <w:szCs w:val="24"/>
        </w:rPr>
      </w:pPr>
      <w:r>
        <w:rPr>
          <w:rFonts w:hint="eastAsia" w:ascii="宋体" w:hAnsi="宋体"/>
          <w:sz w:val="24"/>
          <w:szCs w:val="24"/>
        </w:rPr>
        <w:t xml:space="preserve">委托代理人：                  委托代理人：</w:t>
      </w:r>
      <w:r/>
    </w:p>
    <w:p>
      <w:pPr>
        <w:spacing w:line="360" w:lineRule="auto"/>
        <w:rPr>
          <w:rFonts w:hint="eastAsia" w:ascii="宋体" w:hAnsi="宋体"/>
          <w:sz w:val="24"/>
          <w:szCs w:val="24"/>
        </w:rPr>
      </w:pPr>
      <w:r>
        <w:rPr>
          <w:rFonts w:hint="eastAsia" w:ascii="宋体" w:hAnsi="宋体"/>
          <w:sz w:val="24"/>
          <w:szCs w:val="24"/>
        </w:rPr>
        <w:t xml:space="preserve">联系电话：                    联系电话：</w:t>
      </w:r>
      <w:r/>
    </w:p>
    <w:p>
      <w:pPr>
        <w:ind w:left="4560" w:hanging="4560"/>
        <w:spacing w:line="360" w:lineRule="auto"/>
        <w:rPr>
          <w:rFonts w:hint="eastAsia" w:ascii="宋体" w:hAnsi="宋体"/>
          <w:sz w:val="24"/>
          <w:szCs w:val="24"/>
        </w:rPr>
      </w:pPr>
      <w:r>
        <w:rPr>
          <w:rFonts w:hint="eastAsia" w:ascii="宋体" w:hAnsi="宋体"/>
          <w:sz w:val="24"/>
          <w:szCs w:val="24"/>
        </w:rPr>
        <w:t xml:space="preserve">开户银行：                    开户银行： </w:t>
      </w:r>
      <w:r/>
    </w:p>
    <w:p>
      <w:pPr>
        <w:spacing w:line="360" w:lineRule="auto"/>
        <w:rPr>
          <w:rFonts w:hint="eastAsia" w:ascii="宋体" w:hAnsi="宋体"/>
          <w:sz w:val="24"/>
          <w:szCs w:val="24"/>
        </w:rPr>
      </w:pPr>
      <w:r>
        <w:rPr>
          <w:rFonts w:hint="eastAsia" w:ascii="宋体" w:hAnsi="宋体"/>
          <w:sz w:val="24"/>
          <w:szCs w:val="24"/>
        </w:rPr>
        <w:t xml:space="preserve">银行账号：                    银行账号：</w:t>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t xml:space="preserve">签署日期：   年  月  日       签署日期：    年  月  日</w:t>
      </w:r>
      <w:bookmarkEnd w:id="157"/>
      <w:r/>
      <w:r/>
    </w:p>
    <w:p>
      <w:pPr>
        <w:spacing w:line="480" w:lineRule="auto"/>
        <w:rPr>
          <w:rFonts w:hint="eastAsia" w:ascii="宋体" w:hAnsi="宋体" w:cs="宋体"/>
          <w:b/>
          <w:bCs/>
          <w:sz w:val="24"/>
        </w:rPr>
      </w:pPr>
      <w:r>
        <w:rPr>
          <w:rFonts w:hint="eastAsia" w:ascii="宋体" w:hAnsi="宋体" w:cs="宋体"/>
          <w:b/>
          <w:bCs/>
          <w:sz w:val="24"/>
        </w:rPr>
      </w:r>
      <w:r/>
    </w:p>
    <w:p>
      <w:pPr>
        <w:jc w:val="left"/>
        <w:widowControl/>
        <w:rPr>
          <w:rFonts w:hint="eastAsia" w:ascii="宋体" w:hAnsi="宋体" w:cs="宋体"/>
          <w:b/>
          <w:bCs/>
          <w:sz w:val="24"/>
        </w:rPr>
      </w:pPr>
      <w:r>
        <w:rPr>
          <w:rFonts w:hint="eastAsia" w:ascii="宋体" w:hAnsi="宋体" w:cs="宋体"/>
          <w:b/>
          <w:bCs/>
          <w:sz w:val="24"/>
        </w:rPr>
        <w:br w:type="page" w:clear="all"/>
      </w:r>
      <w:r/>
    </w:p>
    <w:p>
      <w:pPr>
        <w:contextualSpacing/>
        <w:spacing w:line="360" w:lineRule="auto"/>
        <w:rPr>
          <w:rFonts w:hint="eastAsia" w:ascii="宋体" w:hAnsi="宋体" w:cs="宋体"/>
          <w:sz w:val="24"/>
          <w:szCs w:val="24"/>
        </w:rPr>
      </w:pPr>
      <w:r>
        <w:rPr>
          <w:rFonts w:hint="eastAsia" w:ascii="宋体" w:hAnsi="宋体" w:cs="宋体"/>
          <w:sz w:val="24"/>
          <w:szCs w:val="24"/>
        </w:rPr>
        <w:t xml:space="preserve">附件：</w:t>
      </w:r>
      <w:r/>
    </w:p>
    <w:p>
      <w:pPr>
        <w:contextualSpacing/>
        <w:jc w:val="center"/>
        <w:spacing w:line="360" w:lineRule="auto"/>
        <w:rPr>
          <w:rFonts w:hint="eastAsia" w:ascii="宋体" w:hAnsi="宋体" w:cs="宋体"/>
          <w:b/>
          <w:bCs/>
          <w:sz w:val="24"/>
          <w:szCs w:val="24"/>
        </w:rPr>
      </w:pPr>
      <w:r>
        <w:rPr>
          <w:rFonts w:hint="eastAsia" w:ascii="宋体" w:hAnsi="宋体" w:cs="宋体"/>
          <w:b/>
          <w:bCs/>
          <w:sz w:val="24"/>
          <w:szCs w:val="24"/>
        </w:rPr>
        <w:t xml:space="preserve">徐</w:t>
      </w:r>
      <w:r>
        <w:rPr>
          <w:rFonts w:hint="eastAsia" w:ascii="宋体" w:hAnsi="宋体" w:cs="宋体"/>
          <w:b/>
          <w:bCs/>
          <w:sz w:val="24"/>
          <w:szCs w:val="24"/>
        </w:rPr>
        <w:t xml:space="preserve">医</w:t>
      </w:r>
      <w:r>
        <w:rPr>
          <w:rFonts w:hint="eastAsia" w:ascii="宋体" w:hAnsi="宋体" w:cs="宋体"/>
          <w:b/>
          <w:bCs/>
          <w:sz w:val="24"/>
          <w:szCs w:val="24"/>
        </w:rPr>
        <w:t xml:space="preserve">附院医疗废物服务质量考核管理规定</w:t>
      </w:r>
      <w:r/>
    </w:p>
    <w:p>
      <w:pPr>
        <w:contextualSpacing/>
        <w:jc w:val="center"/>
        <w:spacing w:line="360" w:lineRule="auto"/>
        <w:rPr>
          <w:rFonts w:hint="eastAsia" w:ascii="宋体" w:hAnsi="宋体" w:cs="宋体"/>
          <w:b/>
          <w:bCs/>
          <w:sz w:val="24"/>
          <w:szCs w:val="24"/>
        </w:rPr>
      </w:pPr>
      <w:r>
        <w:rPr>
          <w:rFonts w:hint="eastAsia" w:ascii="宋体" w:hAnsi="宋体" w:cs="宋体"/>
          <w:b/>
          <w:bCs/>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、严格按照甲方规定时间进行清运，非运输装运时间段运输车辆禁止停放在院内，</w:t>
      </w:r>
      <w:r>
        <w:rPr>
          <w:rFonts w:hint="eastAsia" w:ascii="宋体" w:hAnsi="宋体" w:cs="宋体"/>
          <w:sz w:val="24"/>
          <w:szCs w:val="24"/>
        </w:rPr>
        <w:t xml:space="preserve">发生一次乙方承担违约金200元</w:t>
      </w:r>
      <w:r>
        <w:rPr>
          <w:rFonts w:hint="eastAsia" w:ascii="宋体" w:hAnsi="宋体" w:cs="宋体"/>
          <w:sz w:val="24"/>
          <w:szCs w:val="24"/>
          <w:lang w:val="zh-CN"/>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2、工作人员对乙方外运服务的满意度以医院各类医务工作者的有效投诉为准，每一条有效投诉由乙方承担违约金200元。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3、患者对乙方服务的满意度以医院行风投诉的有效投诉为准，每一条投诉乙方承担违约金500元。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4、如遇国家或省市明确发布的公共卫生事件，应严格遵守院方新增的防控及规定并无条件执行，突发公共卫生事件时未</w:t>
      </w:r>
      <w:r>
        <w:rPr>
          <w:rFonts w:hint="eastAsia" w:ascii="宋体" w:hAnsi="宋体" w:cs="宋体"/>
          <w:sz w:val="24"/>
          <w:szCs w:val="24"/>
        </w:rPr>
        <w:t xml:space="preserve">按照院感要求</w:t>
      </w:r>
      <w:r>
        <w:rPr>
          <w:rFonts w:hint="eastAsia" w:ascii="宋体" w:hAnsi="宋体" w:cs="宋体"/>
          <w:sz w:val="24"/>
          <w:szCs w:val="24"/>
        </w:rPr>
        <w:t xml:space="preserve">进行防护或未按</w:t>
      </w:r>
      <w:r>
        <w:rPr>
          <w:rFonts w:hint="eastAsia" w:ascii="宋体" w:hAnsi="宋体" w:cs="宋体"/>
          <w:sz w:val="24"/>
          <w:szCs w:val="24"/>
        </w:rPr>
        <w:t xml:space="preserve">院感要求</w:t>
      </w:r>
      <w:r>
        <w:rPr>
          <w:rFonts w:hint="eastAsia" w:ascii="宋体" w:hAnsi="宋体" w:cs="宋体"/>
          <w:sz w:val="24"/>
          <w:szCs w:val="24"/>
        </w:rPr>
        <w:t xml:space="preserve">进行相关操作的每人每次乙方承担违约金100元。在院内与员工、工作人员、病陪人挑衅打骂或互殴者一次承担违约金500元。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乙方危废转运</w:t>
      </w:r>
      <w:r>
        <w:rPr>
          <w:rFonts w:hint="eastAsia" w:ascii="宋体" w:hAnsi="宋体" w:cs="宋体"/>
          <w:sz w:val="24"/>
          <w:szCs w:val="24"/>
        </w:rPr>
        <w:t xml:space="preserve">车辆在院内不得乱停乱放，应遵守院内车辆停放规定，不遵守院内停车制度，发现一次，乙方承担违约金500元。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6、乙方的服务需符合国家卫生城市和国家文明城市的相关要求，对拒不执行上述要求的，乙方承担违约金200至2000元。出现两次及以上上述情况，甲方可以无条件终止合同。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7、乙方工作人员应积极配合院方应对突发事件，如不积极配合，将视情节轻重乙方承担违约金500至10000元。出现两次及以上上述情况，甲方可以无条件终止合同。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乙方工人严禁私自掖藏及买卖医院医疗废弃物或生活垃圾等，否则需承担相应法律责任及相关后果：院方发现后乙方承担违约金1000至5000元/次；市级及以上督察发现乙方承担违约金5000元至30000元/次。出现两次及以上上述情况，甲方可以无条件终止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9、严禁私自掖藏偷拿医院物资，如发现工作人员私藏、买卖等，乙方承担违约金500元至2000元/次。出现两次及以上上述情况，甲方可以无条件终止合同。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10、乙方工作人员文明服务，上班时要穿工作服，保持清洁；如操作时不穿工作服或工作服不整洁，乙方承担违约金50元/人。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11、乙方工作人员在院内吸烟者，发现一次乙方承担违约金200元。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12、乙方管理人员服从后勤管理处管理，如不服从管理，将视情节轻重乙方承担违约</w:t>
      </w:r>
      <w:r>
        <w:rPr>
          <w:rFonts w:hint="eastAsia" w:ascii="宋体" w:hAnsi="宋体" w:cs="宋体"/>
          <w:sz w:val="24"/>
          <w:szCs w:val="24"/>
        </w:rPr>
        <w:t xml:space="preserve">金500至5000元，乙方服务医院的转运工人服从后勤管理处管理，如不服从管理，将视情节轻重乙方承担违约金200至2000元。出现两次及以上上述情况，甲方可以无条件终止合同。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13、因为不规范运输、处置等原因，造成乙方在本处置服务项目中收到生态环境主管部门处罚的，由乙方支付违约金，并承担相应的责任，且甲方根据情节轻重，可以选择终止合同。</w:t>
      </w:r>
      <w:r/>
    </w:p>
    <w:p>
      <w:pPr>
        <w:ind w:firstLine="480"/>
        <w:spacing w:line="360" w:lineRule="auto"/>
        <w:rPr>
          <w:rFonts w:hint="eastAsia" w:ascii="宋体" w:hAnsi="宋体" w:cs="宋体"/>
          <w:sz w:val="24"/>
        </w:rPr>
      </w:pPr>
      <w:r>
        <w:rPr>
          <w:rFonts w:hint="eastAsia" w:ascii="宋体" w:hAnsi="宋体"/>
          <w:sz w:val="24"/>
          <w:szCs w:val="24"/>
        </w:rPr>
        <w:t xml:space="preserve">14、同时违反上述规定两个及两个以上，甲方有权要求乙方按违约金较多规定承担违约金，或要求其承担所谓违反规定的所有违约金的累加</w:t>
      </w:r>
      <w:r>
        <w:rPr>
          <w:rFonts w:hint="eastAsia" w:ascii="宋体" w:hAnsi="宋体"/>
          <w:sz w:val="24"/>
          <w:szCs w:val="24"/>
        </w:rPr>
        <w:t xml:space="preserve">和</w:t>
      </w:r>
      <w:r>
        <w:rPr>
          <w:rFonts w:hint="eastAsia" w:ascii="宋体" w:hAnsi="宋体"/>
          <w:sz w:val="24"/>
          <w:szCs w:val="24"/>
        </w:rPr>
        <w:t xml:space="preserve">。</w:t>
      </w:r>
      <w:r/>
    </w:p>
    <w:p>
      <w:pPr>
        <w:spacing w:line="480" w:lineRule="auto"/>
        <w:rPr>
          <w:rFonts w:hint="eastAsia" w:ascii="宋体" w:hAnsi="宋体" w:cs="宋体"/>
          <w:b/>
          <w:bCs/>
          <w:sz w:val="24"/>
        </w:rPr>
      </w:pPr>
      <w:r>
        <w:rPr>
          <w:rFonts w:hint="eastAsia" w:ascii="宋体" w:hAnsi="宋体" w:cs="宋体"/>
          <w:b/>
          <w:bCs/>
          <w:sz w:val="24"/>
        </w:rPr>
      </w:r>
      <w:r/>
    </w:p>
    <w:p>
      <w:pPr>
        <w:spacing w:line="480" w:lineRule="auto"/>
        <w:rPr>
          <w:rFonts w:hint="eastAsia" w:ascii="宋体" w:hAnsi="宋体" w:cs="宋体"/>
          <w:b/>
          <w:bCs/>
          <w:sz w:val="24"/>
        </w:rPr>
      </w:pPr>
      <w:r>
        <w:rPr>
          <w:rFonts w:hint="eastAsia" w:ascii="宋体" w:hAnsi="宋体" w:cs="宋体"/>
          <w:b/>
          <w:bCs/>
          <w:sz w:val="24"/>
        </w:rPr>
      </w:r>
      <w:r/>
    </w:p>
    <w:p>
      <w:pPr>
        <w:spacing w:line="480" w:lineRule="auto"/>
        <w:rPr>
          <w:rFonts w:hint="eastAsia" w:ascii="宋体" w:hAnsi="宋体" w:cs="宋体"/>
          <w:b/>
          <w:bCs/>
          <w:sz w:val="24"/>
        </w:rPr>
      </w:pPr>
      <w:r>
        <w:rPr>
          <w:rFonts w:hint="eastAsia" w:ascii="宋体" w:hAnsi="宋体" w:cs="宋体"/>
          <w:b/>
          <w:bCs/>
          <w:sz w:val="24"/>
        </w:rPr>
      </w:r>
      <w:r/>
    </w:p>
    <w:p>
      <w:pPr>
        <w:pStyle w:val="1003"/>
        <w:rPr>
          <w:rFonts w:hint="eastAsia" w:ascii="宋体" w:hAnsi="宋体"/>
        </w:rPr>
      </w:pPr>
      <w:r>
        <w:rPr>
          <w:rFonts w:hint="eastAsia" w:ascii="宋体" w:hAnsi="宋体"/>
        </w:rPr>
      </w:r>
      <w:r/>
    </w:p>
    <w:p>
      <w:pPr>
        <w:jc w:val="left"/>
        <w:widowControl/>
        <w:rPr>
          <w:rFonts w:hint="eastAsia" w:ascii="黑体" w:hAnsi="宋体" w:eastAsia="黑体" w:cs="黑体"/>
          <w:b/>
          <w:sz w:val="44"/>
          <w:szCs w:val="44"/>
        </w:rPr>
      </w:pPr>
      <w:r/>
      <w:bookmarkStart w:id="163" w:name="_Toc416161797"/>
      <w:r/>
      <w:bookmarkEnd w:id="147"/>
      <w:r/>
      <w:bookmarkEnd w:id="148"/>
      <w:r/>
      <w:bookmarkEnd w:id="149"/>
      <w:r>
        <w:rPr>
          <w:rFonts w:hint="eastAsia" w:ascii="黑体" w:hAnsi="宋体" w:eastAsia="黑体" w:cs="黑体"/>
          <w:b/>
          <w:sz w:val="44"/>
          <w:szCs w:val="44"/>
        </w:rPr>
        <w:br w:type="page" w:clear="all"/>
      </w:r>
      <w:r/>
    </w:p>
    <w:p>
      <w:pPr>
        <w:pStyle w:val="992"/>
        <w:jc w:val="center"/>
        <w:keepLines/>
        <w:keepNext/>
        <w:spacing w:beforeAutospacing="0" w:afterAutospacing="0" w:line="415" w:lineRule="auto"/>
        <w:rPr>
          <w:rFonts w:hint="eastAsia" w:ascii="黑体" w:hAnsi="宋体" w:eastAsia="黑体" w:cs="黑体"/>
          <w:b/>
          <w:sz w:val="44"/>
          <w:szCs w:val="44"/>
        </w:rPr>
      </w:pPr>
      <w:r>
        <w:rPr>
          <w:rFonts w:hint="eastAsia" w:ascii="黑体" w:hAnsi="宋体" w:eastAsia="黑体" w:cs="黑体"/>
          <w:b/>
          <w:sz w:val="44"/>
          <w:szCs w:val="44"/>
        </w:rPr>
        <w:t xml:space="preserve">第</w:t>
      </w:r>
      <w:bookmarkEnd w:id="150"/>
      <w:r>
        <w:rPr>
          <w:rFonts w:hint="eastAsia" w:ascii="黑体" w:hAnsi="宋体" w:eastAsia="黑体" w:cs="黑体"/>
          <w:b/>
          <w:sz w:val="44"/>
          <w:szCs w:val="44"/>
        </w:rPr>
        <w:t xml:space="preserve">四章 项目需求</w:t>
      </w:r>
      <w:bookmarkStart w:id="164" w:name="_Toc120614281"/>
      <w:r/>
      <w:bookmarkStart w:id="165" w:name="_Toc416161798"/>
      <w:r/>
      <w:bookmarkStart w:id="166" w:name="_Toc49090575"/>
      <w:r/>
      <w:bookmarkStart w:id="167" w:name="_Toc26554093"/>
      <w:r/>
      <w:bookmarkEnd w:id="151"/>
      <w:r/>
      <w:bookmarkEnd w:id="152"/>
      <w:r/>
      <w:bookmarkEnd w:id="153"/>
      <w:r/>
      <w:bookmarkEnd w:id="163"/>
      <w:r/>
      <w:r/>
    </w:p>
    <w:p>
      <w:pPr>
        <w:pStyle w:val="1017"/>
        <w:ind w:firstLine="0"/>
        <w:spacing w:line="360" w:lineRule="auto"/>
        <w:rPr>
          <w:rFonts w:hint="eastAsia" w:ascii="宋体" w:hAnsi="宋体" w:cs="宋体"/>
          <w:b/>
          <w:sz w:val="24"/>
        </w:rPr>
      </w:pPr>
      <w:r>
        <w:rPr>
          <w:rFonts w:hint="eastAsia" w:ascii="宋体" w:hAnsi="宋体" w:cs="宋体"/>
          <w:b/>
          <w:sz w:val="24"/>
        </w:rPr>
        <w:t xml:space="preserve">技术（服务）需求：</w:t>
      </w:r>
      <w:r/>
    </w:p>
    <w:p>
      <w:pPr>
        <w:spacing w:line="360" w:lineRule="auto"/>
        <w:rPr>
          <w:rFonts w:hint="eastAsia" w:ascii="宋体" w:hAnsi="宋体" w:cs="Courier New"/>
          <w:sz w:val="24"/>
          <w:szCs w:val="24"/>
        </w:rPr>
      </w:pPr>
      <w:r>
        <w:rPr>
          <w:rFonts w:hint="eastAsia" w:ascii="宋体" w:hAnsi="宋体" w:cs="Courier New"/>
          <w:sz w:val="24"/>
          <w:szCs w:val="24"/>
        </w:rPr>
        <w:t xml:space="preserve">1、供应商应定期对工作人员进行医疗废物管理相关法律、专业技术、安全防护以及紧急处理等知识的培训；</w:t>
      </w:r>
      <w:r/>
    </w:p>
    <w:p>
      <w:pPr>
        <w:spacing w:line="360" w:lineRule="auto"/>
        <w:rPr>
          <w:rFonts w:hint="eastAsia" w:ascii="宋体" w:hAnsi="宋体" w:cs="Courier New"/>
          <w:sz w:val="24"/>
          <w:szCs w:val="24"/>
        </w:rPr>
      </w:pPr>
      <w:r>
        <w:rPr>
          <w:rFonts w:hint="eastAsia" w:ascii="宋体" w:hAnsi="宋体" w:cs="Courier New"/>
          <w:sz w:val="24"/>
          <w:szCs w:val="24"/>
        </w:rPr>
        <w:t xml:space="preserve">2、供应商工作人员应统一着装并采取相应防护措施；</w:t>
      </w:r>
      <w:r/>
    </w:p>
    <w:p>
      <w:pPr>
        <w:spacing w:line="360" w:lineRule="auto"/>
        <w:rPr>
          <w:rFonts w:hint="eastAsia" w:ascii="宋体" w:hAnsi="宋体" w:cs="Courier New"/>
          <w:sz w:val="24"/>
          <w:szCs w:val="24"/>
        </w:rPr>
      </w:pPr>
      <w:r>
        <w:rPr>
          <w:rFonts w:hint="eastAsia" w:ascii="宋体" w:hAnsi="宋体" w:cs="Courier New"/>
          <w:sz w:val="24"/>
          <w:szCs w:val="24"/>
        </w:rPr>
        <w:t xml:space="preserve">3、原则上供应</w:t>
      </w:r>
      <w:r>
        <w:rPr>
          <w:rFonts w:hint="eastAsia" w:ascii="宋体" w:hAnsi="宋体" w:cs="Courier New"/>
          <w:sz w:val="24"/>
          <w:szCs w:val="24"/>
        </w:rPr>
        <w:t xml:space="preserve">商做到</w:t>
      </w:r>
      <w:r>
        <w:rPr>
          <w:rFonts w:hint="eastAsia" w:ascii="宋体" w:hAnsi="宋体" w:cs="Courier New"/>
          <w:sz w:val="24"/>
          <w:szCs w:val="24"/>
        </w:rPr>
        <w:t xml:space="preserve">“日产日清”，医疗废物处置确保48小时内到采购人处收集，有特殊情况的，接到采购人通知后应及时增加运送频次，如因未及时运</w:t>
      </w:r>
      <w:r>
        <w:rPr>
          <w:rFonts w:hint="eastAsia" w:ascii="宋体" w:hAnsi="宋体" w:cs="Courier New"/>
          <w:sz w:val="24"/>
          <w:szCs w:val="24"/>
        </w:rPr>
        <w:t xml:space="preserve">走医疗</w:t>
      </w:r>
      <w:r>
        <w:rPr>
          <w:rFonts w:hint="eastAsia" w:ascii="宋体" w:hAnsi="宋体" w:cs="Courier New"/>
          <w:sz w:val="24"/>
          <w:szCs w:val="24"/>
        </w:rPr>
        <w:t xml:space="preserve">废弃物导致医疗处理站废物暂存超负荷，影响采购</w:t>
      </w:r>
      <w:r>
        <w:rPr>
          <w:rFonts w:hint="eastAsia" w:ascii="宋体" w:hAnsi="宋体" w:cs="Courier New"/>
          <w:sz w:val="24"/>
          <w:szCs w:val="24"/>
        </w:rPr>
        <w:t xml:space="preserve">人运行</w:t>
      </w:r>
      <w:r>
        <w:rPr>
          <w:rFonts w:hint="eastAsia" w:ascii="宋体" w:hAnsi="宋体" w:cs="Courier New"/>
          <w:sz w:val="24"/>
          <w:szCs w:val="24"/>
        </w:rPr>
        <w:t xml:space="preserve">的，一切责任和损失均由供应商承担；</w:t>
      </w:r>
      <w:r/>
    </w:p>
    <w:p>
      <w:pPr>
        <w:spacing w:line="360" w:lineRule="auto"/>
        <w:rPr>
          <w:rFonts w:hint="eastAsia" w:ascii="宋体" w:hAnsi="宋体" w:cs="Courier New"/>
          <w:sz w:val="24"/>
          <w:szCs w:val="24"/>
        </w:rPr>
      </w:pPr>
      <w:r>
        <w:rPr>
          <w:rFonts w:hint="eastAsia" w:ascii="宋体" w:hAnsi="宋体" w:cs="Courier New"/>
          <w:sz w:val="24"/>
          <w:szCs w:val="24"/>
        </w:rPr>
        <w:t xml:space="preserve">4、医疗废物运送人员在接收医疗废物时，应对移交的医疗废物进行核实，经核实无误后签收《危险废物转移联单》（医疗废物专用）；</w:t>
      </w:r>
      <w:r/>
    </w:p>
    <w:p>
      <w:pPr>
        <w:spacing w:line="360" w:lineRule="auto"/>
        <w:rPr>
          <w:rFonts w:hint="eastAsia" w:ascii="宋体" w:hAnsi="宋体" w:cs="Courier New"/>
          <w:sz w:val="24"/>
          <w:szCs w:val="24"/>
        </w:rPr>
      </w:pPr>
      <w:r>
        <w:rPr>
          <w:rFonts w:hint="eastAsia" w:ascii="宋体" w:hAnsi="宋体" w:cs="Courier New"/>
          <w:sz w:val="24"/>
          <w:szCs w:val="24"/>
        </w:rPr>
        <w:t xml:space="preserve">5、供应</w:t>
      </w:r>
      <w:r>
        <w:rPr>
          <w:rFonts w:hint="eastAsia" w:ascii="宋体" w:hAnsi="宋体" w:cs="Courier New"/>
          <w:sz w:val="24"/>
          <w:szCs w:val="24"/>
        </w:rPr>
        <w:t xml:space="preserve">商按照</w:t>
      </w:r>
      <w:r>
        <w:rPr>
          <w:rFonts w:hint="eastAsia" w:ascii="宋体" w:hAnsi="宋体" w:cs="Courier New"/>
          <w:sz w:val="24"/>
          <w:szCs w:val="24"/>
        </w:rPr>
        <w:t xml:space="preserve">《医疗废物集中处置技术规范》要求，在转运、接收医疗废物过程中指派专人负责，将医疗废物安全运达接收地点；</w:t>
      </w:r>
      <w:r/>
    </w:p>
    <w:p>
      <w:pPr>
        <w:spacing w:line="360" w:lineRule="auto"/>
        <w:rPr>
          <w:rFonts w:hint="eastAsia" w:ascii="宋体" w:hAnsi="宋体" w:cs="Courier New"/>
          <w:sz w:val="24"/>
          <w:szCs w:val="24"/>
        </w:rPr>
      </w:pPr>
      <w:r>
        <w:rPr>
          <w:rFonts w:hint="eastAsia" w:ascii="宋体" w:hAnsi="宋体" w:cs="Courier New"/>
          <w:sz w:val="24"/>
          <w:szCs w:val="24"/>
        </w:rPr>
        <w:t xml:space="preserve">6、根据《医疗废物管理条例》和《医疗废物集中处置技术规范》对接收的医疗废物进行无害化处置，如因未按相应条例和规范要求妥善处理</w:t>
      </w:r>
      <w:r>
        <w:rPr>
          <w:rFonts w:hint="eastAsia" w:ascii="宋体" w:hAnsi="宋体" w:cs="Courier New"/>
          <w:sz w:val="24"/>
          <w:szCs w:val="24"/>
        </w:rPr>
        <w:t xml:space="preserve">医</w:t>
      </w:r>
      <w:r>
        <w:rPr>
          <w:rFonts w:hint="eastAsia" w:ascii="宋体" w:hAnsi="宋体" w:cs="Courier New"/>
          <w:sz w:val="24"/>
          <w:szCs w:val="24"/>
        </w:rPr>
        <w:t xml:space="preserve">废废弃物被相关部门查处的，一切责任和损失均由供应商承担，采购人有权无条件解除合同；</w:t>
      </w:r>
      <w:r/>
    </w:p>
    <w:p>
      <w:pPr>
        <w:spacing w:line="360" w:lineRule="auto"/>
        <w:rPr>
          <w:rFonts w:hint="eastAsia" w:ascii="宋体" w:hAnsi="宋体" w:cs="Courier New"/>
          <w:sz w:val="24"/>
          <w:szCs w:val="24"/>
        </w:rPr>
      </w:pPr>
      <w:r/>
      <w:bookmarkStart w:id="168" w:name="OLE_LINK20"/>
      <w:r>
        <w:rPr>
          <w:rFonts w:hint="eastAsia" w:ascii="宋体" w:hAnsi="宋体" w:cs="Courier New"/>
          <w:sz w:val="24"/>
          <w:szCs w:val="24"/>
        </w:rPr>
        <w:t xml:space="preserve">7、供应商负责</w:t>
      </w:r>
      <w:bookmarkEnd w:id="168"/>
      <w:r>
        <w:rPr>
          <w:rFonts w:hint="eastAsia" w:ascii="宋体" w:hAnsi="宋体" w:cs="Courier New"/>
          <w:sz w:val="24"/>
          <w:szCs w:val="24"/>
        </w:rPr>
        <w:t xml:space="preserve">对医疗废物进行无害化处置，如因其运输、处置被相关部门处罚或造成社会影响、经济损失的由供应商承担，采购人有权无条件解除合同</w:t>
      </w:r>
      <w:r>
        <w:rPr>
          <w:rFonts w:hint="eastAsia" w:ascii="宋体" w:hAnsi="宋体" w:cs="Courier New"/>
          <w:sz w:val="24"/>
          <w:szCs w:val="24"/>
        </w:rPr>
        <w:t xml:space="preserve">。</w:t>
      </w:r>
      <w:r/>
    </w:p>
    <w:p>
      <w:pPr>
        <w:spacing w:line="360" w:lineRule="auto"/>
        <w:rPr>
          <w:rFonts w:hint="eastAsia" w:ascii="宋体" w:hAnsi="宋体"/>
          <w:b/>
          <w:bCs/>
        </w:rPr>
      </w:pPr>
      <w:r>
        <w:rPr>
          <w:rFonts w:hint="eastAsia" w:ascii="宋体" w:hAnsi="宋体"/>
          <w:b/>
          <w:bCs/>
        </w:rPr>
      </w:r>
      <w:r/>
    </w:p>
    <w:p>
      <w:pPr>
        <w:pStyle w:val="992"/>
        <w:jc w:val="both"/>
        <w:spacing w:beforeAutospacing="0" w:afterAutospacing="0" w:line="360" w:lineRule="auto"/>
        <w:rPr>
          <w:rFonts w:hint="eastAsia" w:ascii="宋体" w:hAnsi="宋体" w:cs="宋体"/>
          <w:b/>
          <w:bCs/>
          <w:szCs w:val="24"/>
        </w:rPr>
      </w:pPr>
      <w:r/>
      <w:bookmarkStart w:id="169" w:name="OLE_LINK16"/>
      <w:r>
        <w:rPr>
          <w:rFonts w:hint="eastAsia" w:ascii="宋体" w:hAnsi="宋体" w:cs="宋体"/>
          <w:bCs/>
          <w:szCs w:val="24"/>
        </w:rPr>
        <w:t xml:space="preserve">★</w:t>
      </w:r>
      <w:r>
        <w:rPr>
          <w:rFonts w:hint="eastAsia" w:ascii="宋体" w:hAnsi="宋体" w:cs="宋体"/>
          <w:b/>
          <w:bCs/>
          <w:szCs w:val="24"/>
        </w:rPr>
        <w:t xml:space="preserve">商务需求：</w:t>
      </w:r>
      <w:r/>
    </w:p>
    <w:p>
      <w:pPr>
        <w:pStyle w:val="992"/>
        <w:jc w:val="both"/>
        <w:spacing w:beforeAutospacing="0" w:afterAutospacing="0" w:line="360" w:lineRule="auto"/>
        <w:rPr>
          <w:rFonts w:hint="eastAsia" w:ascii="宋体" w:hAnsi="宋体" w:cs="宋体"/>
          <w:szCs w:val="24"/>
        </w:rPr>
      </w:pPr>
      <w:r>
        <w:rPr>
          <w:rFonts w:hint="eastAsia" w:ascii="宋体" w:hAnsi="宋体" w:cs="宋体"/>
          <w:szCs w:val="24"/>
        </w:rPr>
        <w:t xml:space="preserve">一、</w:t>
      </w:r>
      <w:r>
        <w:rPr>
          <w:rFonts w:hint="eastAsia" w:cs="Courier New"/>
        </w:rPr>
        <w:t xml:space="preserve">服务期限：</w:t>
      </w:r>
      <w:r>
        <w:rPr>
          <w:rFonts w:cs="Courier New"/>
        </w:rPr>
        <w:t xml:space="preserve">1</w:t>
      </w:r>
      <w:r>
        <w:rPr>
          <w:rFonts w:hint="eastAsia" w:cs="Courier New"/>
        </w:rPr>
        <w:t xml:space="preserve">年</w:t>
      </w:r>
      <w:r>
        <w:rPr>
          <w:rFonts w:hint="eastAsia" w:ascii="宋体" w:hAnsi="宋体" w:cs="宋体"/>
          <w:szCs w:val="24"/>
        </w:rPr>
        <w:t xml:space="preserve">；</w:t>
      </w:r>
      <w:r/>
    </w:p>
    <w:p>
      <w:pPr>
        <w:pStyle w:val="992"/>
        <w:jc w:val="both"/>
        <w:spacing w:beforeAutospacing="0" w:afterAutospacing="0" w:line="360" w:lineRule="auto"/>
        <w:rPr>
          <w:rFonts w:hint="eastAsia" w:ascii="宋体" w:hAnsi="宋体" w:cs="宋体"/>
          <w:szCs w:val="24"/>
        </w:rPr>
      </w:pPr>
      <w:r>
        <w:rPr>
          <w:rFonts w:hint="eastAsia" w:ascii="宋体" w:hAnsi="宋体" w:cs="宋体"/>
          <w:szCs w:val="24"/>
        </w:rPr>
        <w:t xml:space="preserve">二、</w:t>
      </w:r>
      <w:r>
        <w:rPr>
          <w:rFonts w:hint="eastAsia" w:cs="Courier New"/>
        </w:rPr>
        <w:t xml:space="preserve">服务地点：</w:t>
      </w:r>
      <w:r>
        <w:rPr>
          <w:rFonts w:hint="eastAsia" w:ascii="宋体" w:hAnsi="宋体" w:cs="宋体"/>
        </w:rPr>
        <w:t xml:space="preserve">徐州医科大学附属医院淮海路院区、鲲鹏路院区、</w:t>
      </w:r>
      <w:r>
        <w:rPr>
          <w:rFonts w:hint="eastAsia" w:ascii="宋体" w:hAnsi="宋体" w:cs="宋体"/>
        </w:rPr>
        <w:t xml:space="preserve">科创中心</w:t>
      </w:r>
      <w:r>
        <w:rPr>
          <w:rFonts w:hint="eastAsia" w:ascii="宋体" w:hAnsi="宋体" w:cs="宋体"/>
          <w:szCs w:val="24"/>
        </w:rPr>
        <w:t xml:space="preserve">；</w:t>
      </w:r>
      <w:r/>
    </w:p>
    <w:p>
      <w:pPr>
        <w:pStyle w:val="992"/>
        <w:jc w:val="both"/>
        <w:spacing w:beforeAutospacing="0" w:afterAutospacing="0" w:line="360" w:lineRule="auto"/>
        <w:rPr>
          <w:rFonts w:hint="eastAsia" w:ascii="宋体" w:hAnsi="宋体"/>
          <w:szCs w:val="24"/>
        </w:rPr>
      </w:pPr>
      <w:r>
        <w:rPr>
          <w:rFonts w:hint="eastAsia" w:ascii="宋体" w:hAnsi="宋体" w:cs="宋体"/>
          <w:szCs w:val="24"/>
        </w:rPr>
        <w:t xml:space="preserve">三、付款方式：</w:t>
      </w:r>
      <w:r>
        <w:rPr>
          <w:rFonts w:hint="eastAsia" w:ascii="宋体" w:hAnsi="宋体" w:cs="宋体"/>
          <w:bCs/>
          <w:color w:val="000000"/>
        </w:rPr>
        <w:t xml:space="preserve">先服务，后付款；分期均付，每3个月付一次；采购人收到发票后15个工作日内，向成交供应商转账支付的服务费用</w:t>
      </w:r>
      <w:r>
        <w:rPr>
          <w:rFonts w:hint="eastAsia" w:ascii="宋体" w:hAnsi="宋体"/>
          <w:szCs w:val="24"/>
        </w:rPr>
        <w:t xml:space="preserve">。</w:t>
      </w:r>
      <w:bookmarkEnd w:id="169"/>
      <w:r/>
      <w:r/>
    </w:p>
    <w:p>
      <w:pPr>
        <w:pStyle w:val="992"/>
        <w:jc w:val="both"/>
        <w:spacing w:beforeAutospacing="0" w:afterAutospacing="0" w:line="360" w:lineRule="auto"/>
        <w:rPr>
          <w:rFonts w:hint="eastAsia" w:ascii="宋体" w:hAnsi="宋体" w:cs="宋体"/>
          <w:szCs w:val="24"/>
        </w:rPr>
      </w:pPr>
      <w:r>
        <w:rPr>
          <w:rFonts w:hint="eastAsia" w:ascii="宋体" w:hAnsi="宋体" w:cs="宋体"/>
          <w:szCs w:val="24"/>
        </w:rPr>
      </w:r>
      <w:r/>
    </w:p>
    <w:p>
      <w:pPr>
        <w:pStyle w:val="992"/>
        <w:jc w:val="both"/>
        <w:spacing w:beforeAutospacing="0" w:afterAutospacing="0" w:line="360" w:lineRule="auto"/>
        <w:rPr>
          <w:rFonts w:hint="eastAsia" w:ascii="宋体" w:hAnsi="宋体"/>
          <w:i/>
          <w:iCs/>
          <w:szCs w:val="24"/>
          <w:u w:val="single"/>
        </w:rPr>
      </w:pPr>
      <w:r>
        <w:rPr>
          <w:rFonts w:hint="eastAsia" w:ascii="宋体" w:hAnsi="宋体"/>
          <w:i/>
          <w:iCs/>
          <w:szCs w:val="24"/>
          <w:u w:val="single"/>
        </w:rPr>
      </w:r>
      <w:r/>
    </w:p>
    <w:p>
      <w:pPr>
        <w:pStyle w:val="992"/>
        <w:jc w:val="both"/>
        <w:spacing w:beforeAutospacing="0" w:afterAutospacing="0" w:line="360" w:lineRule="auto"/>
        <w:rPr>
          <w:rFonts w:hint="eastAsia" w:ascii="宋体" w:hAnsi="宋体"/>
          <w:b/>
          <w:bCs/>
          <w:color w:val="ee0000"/>
          <w:szCs w:val="24"/>
        </w:rPr>
      </w:pPr>
      <w:r>
        <w:rPr>
          <w:rFonts w:hint="eastAsia" w:ascii="宋体" w:hAnsi="宋体"/>
          <w:b/>
          <w:bCs/>
          <w:color w:val="ee0000"/>
          <w:szCs w:val="24"/>
        </w:rPr>
        <w:t xml:space="preserve">注：上述商务需求均为实质性要求，需逐条响应且不允许负偏离，否则视为无效响应。</w:t>
      </w:r>
      <w:r/>
    </w:p>
    <w:p>
      <w:pPr>
        <w:pStyle w:val="992"/>
        <w:jc w:val="both"/>
        <w:spacing w:beforeAutospacing="0" w:afterAutospacing="0" w:line="360" w:lineRule="auto"/>
        <w:rPr>
          <w:rFonts w:hint="eastAsia" w:ascii="宋体" w:hAnsi="宋体" w:cs="宋体"/>
          <w:i/>
          <w:iCs/>
          <w:szCs w:val="24"/>
          <w:u w:val="single"/>
        </w:rPr>
      </w:pPr>
      <w:r>
        <w:rPr>
          <w:rFonts w:hint="eastAsia" w:ascii="宋体" w:hAnsi="宋体" w:cs="宋体"/>
          <w:i/>
          <w:iCs/>
          <w:szCs w:val="24"/>
          <w:u w:val="single"/>
        </w:rPr>
      </w:r>
      <w:bookmarkEnd w:id="154"/>
      <w:r/>
      <w:bookmarkEnd w:id="155"/>
      <w:r/>
      <w:bookmarkEnd w:id="164"/>
      <w:r/>
      <w:bookmarkEnd w:id="165"/>
      <w:r/>
      <w:bookmarkEnd w:id="166"/>
      <w:r/>
      <w:bookmarkEnd w:id="167"/>
      <w:r/>
      <w:r/>
    </w:p>
    <w:p>
      <w:pPr>
        <w:pStyle w:val="992"/>
        <w:jc w:val="center"/>
        <w:keepLines/>
        <w:keepNext/>
        <w:spacing w:before="260" w:beforeAutospacing="0" w:after="260" w:afterAutospacing="0" w:line="415" w:lineRule="auto"/>
        <w:rPr>
          <w:rFonts w:hint="eastAsia" w:ascii="黑体" w:hAnsi="宋体" w:eastAsia="黑体" w:cs="黑体"/>
          <w:b/>
          <w:sz w:val="44"/>
          <w:szCs w:val="44"/>
        </w:rPr>
      </w:pPr>
      <w:r>
        <w:rPr>
          <w:rFonts w:hint="eastAsia" w:ascii="黑体" w:hAnsi="宋体" w:eastAsia="黑体" w:cs="黑体"/>
          <w:b/>
          <w:sz w:val="44"/>
          <w:szCs w:val="44"/>
        </w:rPr>
        <w:t xml:space="preserve">第五章</w:t>
      </w:r>
      <w:r>
        <w:rPr>
          <w:rFonts w:hint="eastAsia" w:ascii="黑体" w:hAnsi="宋体" w:eastAsia="黑体" w:cs="黑体"/>
          <w:b/>
          <w:sz w:val="44"/>
          <w:szCs w:val="44"/>
        </w:rPr>
        <w:t xml:space="preserve"> </w:t>
      </w:r>
      <w:r>
        <w:rPr>
          <w:rFonts w:hint="eastAsia" w:ascii="黑体" w:hAnsi="宋体" w:eastAsia="黑体" w:cs="黑体"/>
          <w:b/>
          <w:sz w:val="44"/>
          <w:szCs w:val="44"/>
        </w:rPr>
        <w:t xml:space="preserve"> 响应文件格式</w:t>
      </w:r>
      <w:r/>
    </w:p>
    <w:p>
      <w:pPr>
        <w:pStyle w:val="992"/>
        <w:jc w:val="center"/>
        <w:spacing w:beforeAutospacing="0" w:afterAutospacing="0"/>
        <w:rPr>
          <w:rFonts w:hint="eastAsia" w:ascii="宋体" w:hAnsi="宋体" w:cs="宋体"/>
          <w:b/>
          <w:sz w:val="72"/>
          <w:szCs w:val="72"/>
        </w:rPr>
      </w:pPr>
      <w:r/>
      <w:bookmarkStart w:id="170" w:name="_Toc120614282"/>
      <w:r/>
      <w:bookmarkStart w:id="171" w:name="_Toc49090576"/>
      <w:r/>
      <w:bookmarkStart w:id="172" w:name="_Toc26554094"/>
      <w:r/>
      <w:bookmarkStart w:id="173" w:name="_Hlt26671244"/>
      <w:r/>
      <w:bookmarkStart w:id="174" w:name="_Hlt26955039"/>
      <w:r/>
      <w:bookmarkEnd w:id="170"/>
      <w:r/>
      <w:bookmarkEnd w:id="171"/>
      <w:r/>
      <w:r/>
    </w:p>
    <w:p>
      <w:pPr>
        <w:pStyle w:val="992"/>
        <w:jc w:val="center"/>
        <w:spacing w:beforeAutospacing="0" w:afterAutospacing="0"/>
        <w:rPr>
          <w:rFonts w:hint="eastAsia" w:ascii="宋体" w:hAnsi="宋体" w:cs="宋体"/>
          <w:b/>
          <w:sz w:val="72"/>
          <w:szCs w:val="72"/>
        </w:rPr>
      </w:pPr>
      <w:r>
        <w:rPr>
          <w:rFonts w:hint="eastAsia" w:ascii="宋体" w:hAnsi="宋体" w:cs="宋体"/>
          <w:b/>
          <w:sz w:val="72"/>
          <w:szCs w:val="72"/>
        </w:rPr>
      </w:r>
      <w:r/>
    </w:p>
    <w:p>
      <w:pPr>
        <w:pStyle w:val="992"/>
        <w:jc w:val="center"/>
        <w:spacing w:beforeAutospacing="0" w:afterAutospacing="0"/>
      </w:pPr>
      <w:r>
        <w:rPr>
          <w:rFonts w:hint="eastAsia" w:ascii="宋体" w:hAnsi="宋体" w:cs="宋体"/>
          <w:b/>
          <w:sz w:val="72"/>
          <w:szCs w:val="72"/>
        </w:rPr>
        <w:t xml:space="preserve">响  应  文  件</w:t>
      </w:r>
      <w:r/>
    </w:p>
    <w:p>
      <w:pPr>
        <w:pStyle w:val="992"/>
        <w:jc w:val="center"/>
        <w:spacing w:beforeAutospacing="0" w:afterAutospacing="0"/>
      </w:pPr>
      <w:r>
        <w:t xml:space="preserve"> </w:t>
      </w:r>
      <w:r/>
    </w:p>
    <w:p>
      <w:pPr>
        <w:pStyle w:val="992"/>
        <w:jc w:val="center"/>
        <w:spacing w:beforeAutospacing="0" w:afterAutospacing="0"/>
      </w:pPr>
      <w:r>
        <w:t xml:space="preserve"> </w:t>
      </w:r>
      <w:r/>
    </w:p>
    <w:p>
      <w:pPr>
        <w:pStyle w:val="992"/>
        <w:jc w:val="center"/>
        <w:spacing w:beforeAutospacing="0" w:afterAutospacing="0" w:line="360" w:lineRule="auto"/>
      </w:pPr>
      <w:r>
        <w:t xml:space="preserve"> </w:t>
      </w:r>
      <w:r/>
    </w:p>
    <w:p>
      <w:pPr>
        <w:pStyle w:val="992"/>
        <w:jc w:val="center"/>
        <w:spacing w:beforeAutospacing="0" w:afterAutospacing="0" w:line="360" w:lineRule="auto"/>
      </w:pPr>
      <w:r>
        <w:t xml:space="preserve"> </w:t>
      </w:r>
      <w:r/>
    </w:p>
    <w:p>
      <w:pPr>
        <w:pStyle w:val="992"/>
        <w:jc w:val="center"/>
        <w:spacing w:beforeAutospacing="0" w:afterAutospacing="0" w:line="360" w:lineRule="auto"/>
      </w:pPr>
      <w:r>
        <w:t xml:space="preserve"> </w:t>
      </w:r>
      <w:r/>
    </w:p>
    <w:p>
      <w:pPr>
        <w:pStyle w:val="992"/>
        <w:ind w:firstLine="1084"/>
        <w:jc w:val="both"/>
        <w:spacing w:beforeAutospacing="0" w:afterAutospacing="0" w:line="360" w:lineRule="auto"/>
      </w:pPr>
      <w:r>
        <w:rPr>
          <w:rFonts w:hint="eastAsia" w:ascii="宋体" w:hAnsi="宋体" w:cs="宋体"/>
          <w:b/>
          <w:sz w:val="36"/>
          <w:szCs w:val="36"/>
        </w:rPr>
        <w:t xml:space="preserve">项 目 名 称：</w:t>
      </w:r>
      <w:r>
        <w:rPr>
          <w:rFonts w:hint="eastAsia" w:ascii="宋体" w:hAnsi="宋体" w:cs="宋体"/>
          <w:b/>
          <w:sz w:val="36"/>
          <w:szCs w:val="36"/>
          <w:u w:val="single"/>
        </w:rPr>
        <w:t xml:space="preserve">            </w:t>
      </w:r>
      <w:r/>
    </w:p>
    <w:p>
      <w:pPr>
        <w:pStyle w:val="992"/>
        <w:ind w:firstLine="1084"/>
        <w:jc w:val="both"/>
        <w:spacing w:beforeAutospacing="0" w:afterAutospacing="0" w:line="360" w:lineRule="auto"/>
      </w:pPr>
      <w:r>
        <w:rPr>
          <w:rFonts w:hint="eastAsia" w:ascii="宋体" w:hAnsi="宋体" w:cs="宋体"/>
          <w:b/>
          <w:sz w:val="36"/>
          <w:szCs w:val="36"/>
        </w:rPr>
        <w:t xml:space="preserve">采 购 编 号：</w:t>
      </w:r>
      <w:r>
        <w:rPr>
          <w:rFonts w:hint="eastAsia" w:ascii="宋体" w:hAnsi="宋体" w:cs="宋体"/>
          <w:b/>
          <w:sz w:val="36"/>
          <w:szCs w:val="36"/>
          <w:u w:val="single"/>
        </w:rPr>
        <w:t xml:space="preserve">            </w:t>
      </w:r>
      <w:r/>
    </w:p>
    <w:p>
      <w:pPr>
        <w:pStyle w:val="992"/>
        <w:jc w:val="both"/>
        <w:spacing w:beforeAutospacing="0" w:afterAutospacing="0" w:line="360" w:lineRule="auto"/>
      </w:pPr>
      <w:r>
        <w:rPr>
          <w:rFonts w:hint="eastAsia" w:ascii="宋体" w:hAnsi="宋体" w:cs="宋体"/>
          <w:b/>
          <w:sz w:val="36"/>
          <w:szCs w:val="36"/>
        </w:rPr>
        <w:t xml:space="preserve">   供应商名称 ：</w:t>
      </w:r>
      <w:r>
        <w:rPr>
          <w:rFonts w:hint="eastAsia" w:ascii="宋体" w:hAnsi="宋体" w:cs="宋体"/>
          <w:b/>
          <w:sz w:val="36"/>
          <w:szCs w:val="36"/>
          <w:u w:val="single"/>
        </w:rPr>
        <w:t xml:space="preserve">（加盖CA电子公章）</w:t>
      </w:r>
      <w:r/>
    </w:p>
    <w:p>
      <w:pPr>
        <w:pStyle w:val="992"/>
        <w:jc w:val="both"/>
        <w:spacing w:beforeAutospacing="0" w:afterAutospacing="0" w:line="360" w:lineRule="auto"/>
      </w:pPr>
      <w:r>
        <w:rPr>
          <w:rFonts w:hint="eastAsia" w:ascii="宋体" w:hAnsi="宋体" w:cs="宋体"/>
          <w:b/>
          <w:sz w:val="36"/>
          <w:szCs w:val="36"/>
        </w:rPr>
        <w:t xml:space="preserve">   日   期 ：</w:t>
      </w:r>
      <w:r>
        <w:rPr>
          <w:rFonts w:hint="eastAsia" w:ascii="宋体" w:hAnsi="宋体" w:cs="宋体"/>
          <w:b/>
          <w:sz w:val="36"/>
          <w:szCs w:val="36"/>
          <w:u w:val="single"/>
        </w:rPr>
        <w:t xml:space="preserve">              </w:t>
      </w:r>
      <w:r/>
    </w:p>
    <w:p>
      <w:pPr>
        <w:pStyle w:val="992"/>
        <w:jc w:val="center"/>
        <w:spacing w:beforeAutospacing="0" w:afterAutospacing="0" w:line="360" w:lineRule="auto"/>
      </w:pPr>
      <w:r>
        <w:t xml:space="preserve"> </w:t>
      </w:r>
      <w:r/>
    </w:p>
    <w:p>
      <w:pPr>
        <w:pStyle w:val="992"/>
        <w:jc w:val="both"/>
        <w:spacing w:beforeAutospacing="0" w:afterAutospacing="0" w:line="360" w:lineRule="auto"/>
      </w:pPr>
      <w:r>
        <w:t xml:space="preserve"> </w:t>
      </w:r>
      <w:r/>
    </w:p>
    <w:p>
      <w:pPr>
        <w:pStyle w:val="992"/>
        <w:jc w:val="center"/>
        <w:spacing w:beforeAutospacing="0" w:afterAutospacing="0" w:line="360" w:lineRule="auto"/>
        <w:rPr>
          <w:rFonts w:hint="eastAsia" w:ascii="宋体" w:hAnsi="宋体" w:cs="宋体"/>
          <w:b/>
          <w:sz w:val="36"/>
          <w:szCs w:val="36"/>
          <w:u w:val="single"/>
        </w:rPr>
      </w:pPr>
      <w:r>
        <w:rPr>
          <w:rFonts w:hint="eastAsia" w:ascii="宋体" w:hAnsi="宋体" w:cs="宋体"/>
          <w:b/>
          <w:sz w:val="36"/>
          <w:szCs w:val="36"/>
          <w:u w:val="single"/>
        </w:rPr>
      </w:r>
      <w:r/>
    </w:p>
    <w:p>
      <w:pPr>
        <w:pStyle w:val="992"/>
        <w:jc w:val="center"/>
        <w:spacing w:beforeAutospacing="0" w:afterAutospacing="0" w:line="0" w:lineRule="atLeast"/>
        <w:rPr>
          <w:rFonts w:hint="eastAsia" w:ascii="宋体" w:hAnsi="宋体" w:cs="宋体"/>
          <w:b/>
          <w:sz w:val="36"/>
          <w:szCs w:val="36"/>
          <w:u w:val="single"/>
        </w:rPr>
      </w:pPr>
      <w:r>
        <w:rPr>
          <w:rFonts w:hint="eastAsia" w:ascii="宋体" w:hAnsi="宋体" w:cs="宋体"/>
          <w:b/>
          <w:sz w:val="36"/>
          <w:szCs w:val="36"/>
          <w:u w:val="single"/>
        </w:rPr>
      </w:r>
      <w:r/>
    </w:p>
    <w:p>
      <w:pPr>
        <w:pStyle w:val="992"/>
        <w:jc w:val="center"/>
        <w:spacing w:beforeAutospacing="0" w:afterAutospacing="0" w:line="0" w:lineRule="atLeast"/>
        <w:rPr>
          <w:rFonts w:hint="eastAsia" w:ascii="宋体" w:hAnsi="宋体" w:cs="宋体"/>
          <w:b/>
          <w:sz w:val="36"/>
          <w:szCs w:val="36"/>
          <w:u w:val="single"/>
        </w:rPr>
      </w:pPr>
      <w:r>
        <w:rPr>
          <w:rFonts w:hint="eastAsia" w:ascii="宋体" w:hAnsi="宋体" w:cs="宋体"/>
          <w:b/>
          <w:sz w:val="36"/>
          <w:szCs w:val="36"/>
          <w:u w:val="single"/>
        </w:rPr>
      </w:r>
      <w:r/>
    </w:p>
    <w:p>
      <w:pPr>
        <w:pStyle w:val="992"/>
        <w:jc w:val="center"/>
        <w:spacing w:beforeAutospacing="0" w:afterAutospacing="0" w:line="0" w:lineRule="atLeast"/>
        <w:rPr>
          <w:rFonts w:hint="eastAsia" w:ascii="宋体" w:hAnsi="宋体" w:cs="宋体"/>
          <w:b/>
          <w:sz w:val="36"/>
          <w:szCs w:val="36"/>
          <w:u w:val="single"/>
        </w:rPr>
      </w:pPr>
      <w:r>
        <w:rPr>
          <w:rFonts w:hint="eastAsia" w:ascii="宋体" w:hAnsi="宋体" w:cs="宋体"/>
          <w:b/>
          <w:sz w:val="36"/>
          <w:szCs w:val="36"/>
          <w:u w:val="single"/>
        </w:rPr>
      </w:r>
      <w:r/>
    </w:p>
    <w:p>
      <w:pPr>
        <w:pStyle w:val="992"/>
        <w:jc w:val="center"/>
        <w:spacing w:beforeAutospacing="0" w:afterAutospacing="0" w:line="0" w:lineRule="atLeast"/>
        <w:rPr>
          <w:rFonts w:hint="eastAsia" w:ascii="宋体" w:hAnsi="宋体" w:cs="宋体"/>
          <w:b/>
          <w:sz w:val="36"/>
          <w:szCs w:val="36"/>
          <w:u w:val="single"/>
        </w:rPr>
      </w:pPr>
      <w:r>
        <w:rPr>
          <w:rFonts w:hint="eastAsia" w:ascii="宋体" w:hAnsi="宋体" w:cs="宋体"/>
          <w:b/>
          <w:sz w:val="36"/>
          <w:szCs w:val="36"/>
          <w:u w:val="single"/>
        </w:rPr>
      </w:r>
      <w:r/>
    </w:p>
    <w:p>
      <w:pPr>
        <w:pStyle w:val="992"/>
        <w:jc w:val="center"/>
        <w:spacing w:beforeAutospacing="0" w:afterAutospacing="0" w:line="0" w:lineRule="atLeast"/>
        <w:rPr>
          <w:rFonts w:hint="eastAsia" w:ascii="宋体" w:hAnsi="宋体" w:cs="宋体"/>
          <w:b/>
          <w:sz w:val="36"/>
          <w:szCs w:val="36"/>
          <w:u w:val="single"/>
        </w:rPr>
      </w:pPr>
      <w:r>
        <w:rPr>
          <w:rFonts w:hint="eastAsia" w:ascii="宋体" w:hAnsi="宋体" w:cs="宋体"/>
          <w:b/>
          <w:sz w:val="36"/>
          <w:szCs w:val="36"/>
          <w:u w:val="single"/>
        </w:rPr>
      </w:r>
      <w:r/>
    </w:p>
    <w:p>
      <w:pPr>
        <w:pStyle w:val="992"/>
        <w:jc w:val="center"/>
        <w:spacing w:beforeAutospacing="0" w:afterAutospacing="0" w:line="0" w:lineRule="atLeast"/>
        <w:rPr>
          <w:rFonts w:hint="eastAsia" w:ascii="宋体" w:hAnsi="宋体" w:cs="宋体"/>
          <w:b/>
          <w:sz w:val="36"/>
          <w:szCs w:val="36"/>
          <w:u w:val="single"/>
        </w:rPr>
      </w:pPr>
      <w:r>
        <w:rPr>
          <w:rFonts w:hint="eastAsia" w:ascii="宋体" w:hAnsi="宋体" w:cs="宋体"/>
          <w:b/>
          <w:sz w:val="36"/>
          <w:szCs w:val="36"/>
          <w:u w:val="single"/>
        </w:rPr>
      </w:r>
      <w:r/>
    </w:p>
    <w:p>
      <w:pPr>
        <w:pStyle w:val="992"/>
        <w:jc w:val="center"/>
        <w:spacing w:beforeAutospacing="0" w:afterAutospacing="0" w:line="0" w:lineRule="atLeast"/>
        <w:rPr>
          <w:rFonts w:hint="eastAsia" w:ascii="宋体" w:hAnsi="宋体" w:cs="宋体"/>
          <w:b/>
          <w:sz w:val="36"/>
          <w:szCs w:val="36"/>
          <w:u w:val="single"/>
        </w:rPr>
      </w:pPr>
      <w:r>
        <w:rPr>
          <w:rFonts w:hint="eastAsia" w:ascii="宋体" w:hAnsi="宋体" w:cs="宋体"/>
          <w:b/>
          <w:sz w:val="36"/>
          <w:szCs w:val="36"/>
          <w:u w:val="single"/>
        </w:rPr>
      </w:r>
      <w:r/>
    </w:p>
    <w:p>
      <w:pPr>
        <w:pStyle w:val="992"/>
        <w:spacing w:beforeAutospacing="0" w:afterAutospacing="0" w:line="0" w:lineRule="atLeast"/>
        <w:rPr>
          <w:rFonts w:hint="eastAsia" w:ascii="宋体" w:hAnsi="宋体" w:cs="宋体"/>
          <w:b/>
          <w:sz w:val="36"/>
          <w:szCs w:val="36"/>
          <w:u w:val="single"/>
        </w:rPr>
      </w:pPr>
      <w:r>
        <w:rPr>
          <w:rFonts w:hint="eastAsia" w:ascii="宋体" w:hAnsi="宋体" w:cs="宋体"/>
          <w:b/>
          <w:sz w:val="36"/>
          <w:szCs w:val="36"/>
          <w:u w:val="single"/>
        </w:rPr>
      </w:r>
      <w:r/>
    </w:p>
    <w:p>
      <w:pPr>
        <w:pStyle w:val="992"/>
        <w:jc w:val="center"/>
        <w:spacing w:beforeAutospacing="0" w:afterAutospacing="0" w:line="0" w:lineRule="atLeast"/>
      </w:pPr>
      <w:r>
        <w:rPr>
          <w:rFonts w:hint="eastAsia" w:ascii="宋体" w:hAnsi="宋体" w:cs="宋体"/>
          <w:b/>
          <w:sz w:val="32"/>
          <w:szCs w:val="32"/>
        </w:rPr>
        <w:t xml:space="preserve">响应文件目录</w:t>
      </w:r>
      <w:r/>
    </w:p>
    <w:p>
      <w:pPr>
        <w:pStyle w:val="992"/>
        <w:jc w:val="center"/>
        <w:spacing w:beforeAutospacing="0" w:afterAutospacing="0" w:line="0" w:lineRule="atLeast"/>
      </w:pPr>
      <w:r>
        <w:t xml:space="preserve"> </w:t>
      </w:r>
      <w:r/>
    </w:p>
    <w:p>
      <w:pPr>
        <w:spacing w:line="360" w:lineRule="auto"/>
        <w:rPr>
          <w:sz w:val="24"/>
          <w:szCs w:val="24"/>
        </w:rPr>
      </w:pPr>
      <w:r/>
      <w:bookmarkStart w:id="175" w:name="_Hlk181653209"/>
      <w:r>
        <w:rPr>
          <w:rFonts w:hint="eastAsia"/>
          <w:sz w:val="24"/>
          <w:szCs w:val="24"/>
        </w:rPr>
        <w:t xml:space="preserve">一、</w:t>
      </w:r>
      <w:r>
        <w:rPr>
          <w:rFonts w:hint="eastAsia" w:ascii="宋体" w:hAnsi="宋体" w:cs="宋体"/>
          <w:bCs/>
          <w:sz w:val="24"/>
        </w:rPr>
        <w:t xml:space="preserve">具有独立承</w:t>
      </w:r>
      <w:r>
        <w:rPr>
          <w:rFonts w:hint="eastAsia" w:ascii="宋体" w:hAnsi="宋体" w:cs="Arial"/>
          <w:bCs/>
          <w:sz w:val="24"/>
        </w:rPr>
        <w:t xml:space="preserve">担民事责任的能力（法人或者其他组织的营业执照等证明文件，自然人的身份证明）</w:t>
      </w:r>
      <w:r/>
    </w:p>
    <w:p>
      <w:pPr>
        <w:spacing w:line="360" w:lineRule="auto"/>
        <w:rPr>
          <w:sz w:val="24"/>
          <w:szCs w:val="24"/>
        </w:rPr>
      </w:pPr>
      <w:r>
        <w:rPr>
          <w:rFonts w:hint="eastAsia"/>
          <w:sz w:val="24"/>
          <w:szCs w:val="24"/>
        </w:rPr>
        <w:t xml:space="preserve">二、</w:t>
      </w:r>
      <w:r>
        <w:rPr>
          <w:rFonts w:hint="eastAsia" w:ascii="宋体" w:hAnsi="宋体" w:cs="Arial"/>
          <w:bCs/>
          <w:sz w:val="24"/>
          <w:szCs w:val="24"/>
        </w:rPr>
        <w:t xml:space="preserve">具有良好的商业信誉和健全的财务会计制度（提供2025年度财务报告，至少包含资产负债表、利润表；或投标截止时间前六个月内银行出具的资信证明；成立不满一年无须提供）</w:t>
      </w:r>
      <w:r/>
    </w:p>
    <w:p>
      <w:pPr>
        <w:spacing w:line="360" w:lineRule="auto"/>
        <w:rPr>
          <w:sz w:val="24"/>
          <w:szCs w:val="24"/>
        </w:rPr>
      </w:pPr>
      <w:r>
        <w:rPr>
          <w:rFonts w:hint="eastAsia"/>
          <w:sz w:val="24"/>
          <w:szCs w:val="24"/>
        </w:rPr>
        <w:t xml:space="preserve">三、</w:t>
      </w:r>
      <w:r>
        <w:rPr>
          <w:rFonts w:hint="eastAsia" w:ascii="宋体" w:hAnsi="宋体" w:cs="宋体"/>
          <w:bCs/>
          <w:sz w:val="24"/>
        </w:rPr>
        <w:t xml:space="preserve">具有履行合同所必需的设备和专业技术能力（提供书面声明）</w:t>
      </w:r>
      <w:r/>
    </w:p>
    <w:p>
      <w:pPr>
        <w:spacing w:line="360" w:lineRule="auto"/>
        <w:rPr>
          <w:sz w:val="24"/>
          <w:szCs w:val="24"/>
        </w:rPr>
      </w:pPr>
      <w:r>
        <w:rPr>
          <w:rFonts w:hint="eastAsia"/>
          <w:sz w:val="24"/>
          <w:szCs w:val="24"/>
        </w:rPr>
        <w:t xml:space="preserve">四、</w:t>
      </w:r>
      <w:r>
        <w:rPr>
          <w:rFonts w:hint="eastAsia" w:ascii="宋体" w:hAnsi="宋体" w:cs="宋体"/>
          <w:bCs/>
          <w:sz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r/>
    </w:p>
    <w:p>
      <w:pPr>
        <w:spacing w:line="360" w:lineRule="auto"/>
        <w:rPr>
          <w:rFonts w:hint="eastAsia" w:ascii="宋体" w:hAnsi="宋体" w:cs="宋体"/>
          <w:bCs/>
          <w:sz w:val="24"/>
        </w:rPr>
      </w:pPr>
      <w:r>
        <w:rPr>
          <w:rFonts w:hint="eastAsia"/>
          <w:sz w:val="24"/>
          <w:szCs w:val="24"/>
        </w:rPr>
        <w:t xml:space="preserve">五、</w:t>
      </w:r>
      <w:r>
        <w:rPr>
          <w:rFonts w:hint="eastAsia" w:ascii="宋体" w:hAnsi="宋体" w:cs="宋体"/>
          <w:bCs/>
          <w:sz w:val="24"/>
        </w:rPr>
        <w:t xml:space="preserve">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r/>
    </w:p>
    <w:p>
      <w:pPr>
        <w:spacing w:line="360" w:lineRule="auto"/>
        <w:rPr>
          <w:rFonts w:hint="eastAsia" w:ascii="宋体" w:hAnsi="宋体"/>
          <w:bCs/>
          <w:sz w:val="24"/>
          <w:szCs w:val="24"/>
        </w:rPr>
      </w:pPr>
      <w:r/>
      <w:bookmarkStart w:id="176" w:name="OLE_LINK14"/>
      <w:r>
        <w:rPr>
          <w:rFonts w:hint="eastAsia" w:ascii="宋体" w:hAnsi="宋体"/>
          <w:bCs/>
          <w:sz w:val="24"/>
          <w:szCs w:val="24"/>
        </w:rPr>
        <w:t xml:space="preserve">六、特定资格要求：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1.供应商应具备有效的《危险废物经营许可证》（核准经营包含医疗废物）；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2.运输资质：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2.1.供应商自有《道路运输经营许可证》的，需提供有效的《道路运输经营许可证》（经营范围含医疗废物）；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2.2.供应商委托第三方运输的，需提供第三方运输企业的《道路运输经营许可证》（经营范围含医疗废物）、与第三方运输企业签订的委托运输协议。</w:t>
      </w:r>
      <w:r/>
      <w:r>
        <w:rPr>
          <w:rFonts w:hint="eastAsia" w:ascii="宋体" w:hAnsi="宋体"/>
          <w:bCs/>
          <w:sz w:val="24"/>
          <w:szCs w:val="24"/>
        </w:rPr>
      </w:r>
      <w:r/>
      <w:r>
        <w:rPr>
          <w:sz w:val="21"/>
        </w:rPr>
      </w:r>
    </w:p>
    <w:p>
      <w:pPr>
        <w:spacing w:line="360" w:lineRule="auto"/>
        <w:rPr>
          <w:sz w:val="24"/>
          <w:szCs w:val="24"/>
        </w:rPr>
      </w:pPr>
      <w:r>
        <w:rPr>
          <w:rFonts w:hint="eastAsia"/>
          <w:sz w:val="24"/>
          <w:szCs w:val="24"/>
        </w:rPr>
        <w:t xml:space="preserve">七、法定代表人授权书</w:t>
      </w:r>
      <w:r/>
    </w:p>
    <w:p>
      <w:pPr>
        <w:spacing w:line="360" w:lineRule="auto"/>
        <w:rPr>
          <w:sz w:val="24"/>
          <w:szCs w:val="24"/>
        </w:rPr>
      </w:pPr>
      <w:r>
        <w:rPr>
          <w:rFonts w:hint="eastAsia"/>
          <w:sz w:val="24"/>
          <w:szCs w:val="24"/>
        </w:rPr>
        <w:t xml:space="preserve">八、单一来源响应函</w:t>
      </w:r>
      <w:r/>
    </w:p>
    <w:p>
      <w:pPr>
        <w:spacing w:line="360" w:lineRule="auto"/>
        <w:rPr>
          <w:sz w:val="24"/>
          <w:szCs w:val="24"/>
        </w:rPr>
      </w:pPr>
      <w:r>
        <w:rPr>
          <w:rFonts w:hint="eastAsia"/>
          <w:sz w:val="24"/>
          <w:szCs w:val="24"/>
        </w:rPr>
        <w:t xml:space="preserve">九、分项报价表</w:t>
      </w:r>
      <w:r/>
    </w:p>
    <w:p>
      <w:pPr>
        <w:spacing w:line="360" w:lineRule="auto"/>
        <w:rPr>
          <w:sz w:val="24"/>
          <w:szCs w:val="24"/>
        </w:rPr>
      </w:pPr>
      <w:r>
        <w:rPr>
          <w:rFonts w:hint="eastAsia"/>
          <w:sz w:val="24"/>
          <w:szCs w:val="24"/>
        </w:rPr>
        <w:t xml:space="preserve">十、技术（服务）需求响应及偏离表</w:t>
      </w:r>
      <w:r/>
    </w:p>
    <w:p>
      <w:pPr>
        <w:spacing w:line="360" w:lineRule="auto"/>
        <w:rPr>
          <w:sz w:val="24"/>
          <w:szCs w:val="24"/>
        </w:rPr>
      </w:pPr>
      <w:r>
        <w:rPr>
          <w:rFonts w:hint="eastAsia"/>
          <w:sz w:val="24"/>
          <w:szCs w:val="24"/>
        </w:rPr>
        <w:t xml:space="preserve">十一、商务需求响应及偏离表</w:t>
      </w:r>
      <w:r/>
    </w:p>
    <w:p>
      <w:pPr>
        <w:spacing w:line="360" w:lineRule="auto"/>
        <w:rPr>
          <w:sz w:val="24"/>
          <w:szCs w:val="24"/>
        </w:rPr>
      </w:pPr>
      <w:r>
        <w:rPr>
          <w:rFonts w:hint="eastAsia"/>
          <w:sz w:val="24"/>
          <w:szCs w:val="24"/>
        </w:rPr>
        <w:t xml:space="preserve">十二、报价一览表</w:t>
      </w:r>
      <w:r/>
    </w:p>
    <w:p>
      <w:pPr>
        <w:spacing w:line="360" w:lineRule="auto"/>
        <w:rPr>
          <w:sz w:val="24"/>
          <w:szCs w:val="24"/>
        </w:rPr>
      </w:pPr>
      <w:r>
        <w:rPr>
          <w:rFonts w:hint="eastAsia"/>
          <w:sz w:val="24"/>
          <w:szCs w:val="24"/>
        </w:rPr>
        <w:t xml:space="preserve">十二、技术方案、服务承诺、培训承诺等</w:t>
      </w:r>
      <w:r/>
    </w:p>
    <w:p>
      <w:pPr>
        <w:spacing w:line="360" w:lineRule="auto"/>
        <w:rPr>
          <w:sz w:val="24"/>
          <w:szCs w:val="24"/>
        </w:rPr>
      </w:pPr>
      <w:r>
        <w:rPr>
          <w:sz w:val="24"/>
          <w:szCs w:val="24"/>
        </w:rPr>
        <w:t xml:space="preserve">十</w:t>
      </w:r>
      <w:r>
        <w:rPr>
          <w:rFonts w:hint="eastAsia"/>
          <w:sz w:val="24"/>
          <w:szCs w:val="24"/>
        </w:rPr>
        <w:t xml:space="preserve">三</w:t>
      </w:r>
      <w:r>
        <w:rPr>
          <w:sz w:val="24"/>
          <w:szCs w:val="24"/>
        </w:rPr>
        <w:t xml:space="preserve">、采购文件中规定要求</w:t>
      </w:r>
      <w:r>
        <w:rPr>
          <w:rFonts w:hint="eastAsia"/>
          <w:sz w:val="24"/>
          <w:szCs w:val="24"/>
        </w:rPr>
        <w:t xml:space="preserve">提供的证明材料和供应商认为需要提供的其他材料</w:t>
      </w:r>
      <w:bookmarkEnd w:id="175"/>
      <w:r/>
      <w:r/>
    </w:p>
    <w:p>
      <w:pPr>
        <w:pStyle w:val="992"/>
        <w:ind w:firstLine="480"/>
        <w:jc w:val="both"/>
        <w:spacing w:beforeAutospacing="0" w:afterAutospacing="0" w:line="0" w:lineRule="atLeast"/>
      </w:pPr>
      <w:r/>
      <w:r/>
    </w:p>
    <w:p>
      <w:pPr>
        <w:pStyle w:val="992"/>
        <w:ind w:firstLine="480"/>
        <w:jc w:val="both"/>
        <w:spacing w:beforeAutospacing="0" w:afterAutospacing="0" w:line="0" w:lineRule="atLeast"/>
      </w:pPr>
      <w:r>
        <w:t xml:space="preserve"> </w:t>
      </w:r>
      <w:r/>
    </w:p>
    <w:p>
      <w:pPr>
        <w:pStyle w:val="992"/>
        <w:jc w:val="both"/>
        <w:spacing w:beforeAutospacing="0" w:afterAutospacing="0" w:line="360" w:lineRule="auto"/>
        <w:rPr>
          <w:rFonts w:hint="eastAsia" w:ascii="黑体" w:hAnsi="宋体" w:eastAsia="黑体" w:cs="黑体"/>
          <w:iCs/>
          <w:sz w:val="32"/>
          <w:szCs w:val="32"/>
        </w:rPr>
      </w:pPr>
      <w:r>
        <w:rPr>
          <w:rFonts w:hint="eastAsia" w:ascii="黑体" w:hAnsi="宋体" w:eastAsia="黑体" w:cs="黑体"/>
          <w:iCs/>
          <w:sz w:val="32"/>
          <w:szCs w:val="32"/>
        </w:rPr>
        <w:t xml:space="preserve">一、</w:t>
      </w:r>
      <w:bookmarkStart w:id="177" w:name="_Hlk233809484"/>
      <w:r>
        <w:rPr>
          <w:rFonts w:hint="eastAsia" w:ascii="黑体" w:hAnsi="宋体" w:eastAsia="黑体" w:cs="黑体"/>
          <w:iCs/>
          <w:sz w:val="32"/>
          <w:szCs w:val="32"/>
        </w:rPr>
        <w:t xml:space="preserve">具有独立承担民事责任的能力</w:t>
      </w:r>
      <w:r/>
    </w:p>
    <w:p>
      <w:pPr>
        <w:pStyle w:val="992"/>
        <w:jc w:val="center"/>
        <w:spacing w:beforeAutospacing="0" w:afterAutospacing="0" w:line="360" w:lineRule="auto"/>
        <w:rPr>
          <w:rFonts w:hint="eastAsia" w:ascii="宋体" w:hAnsi="宋体" w:cs="Arial"/>
          <w:bCs/>
        </w:rPr>
      </w:pPr>
      <w:r>
        <w:rPr>
          <w:rFonts w:hint="eastAsia" w:ascii="宋体" w:hAnsi="宋体" w:cs="Arial"/>
          <w:bCs/>
        </w:rPr>
        <w:t xml:space="preserve">法人或者其他组织的营业执照等证明文件，自然人的身份证明</w:t>
      </w:r>
      <w:bookmarkEnd w:id="177"/>
      <w:r/>
      <w:r/>
    </w:p>
    <w:p>
      <w:pPr>
        <w:pStyle w:val="992"/>
        <w:jc w:val="center"/>
        <w:spacing w:beforeAutospacing="0" w:afterAutospacing="0" w:line="360" w:lineRule="auto"/>
        <w:rPr>
          <w:iCs/>
        </w:rPr>
      </w:pPr>
      <w:r>
        <w:rPr>
          <w:iCs/>
        </w:rPr>
      </w:r>
      <w:r/>
    </w:p>
    <w:p>
      <w:pPr>
        <w:pStyle w:val="992"/>
        <w:jc w:val="both"/>
        <w:spacing w:beforeAutospacing="0" w:afterAutospacing="0" w:line="360" w:lineRule="auto"/>
        <w:rPr>
          <w:rFonts w:hint="eastAsia" w:ascii="黑体" w:hAnsi="宋体" w:eastAsia="黑体" w:cs="黑体"/>
          <w:iCs/>
          <w:sz w:val="32"/>
          <w:szCs w:val="32"/>
        </w:rPr>
      </w:pPr>
      <w:r>
        <w:rPr>
          <w:rFonts w:hint="eastAsia" w:ascii="黑体" w:hAnsi="宋体" w:eastAsia="黑体" w:cs="黑体"/>
          <w:iCs/>
          <w:sz w:val="32"/>
          <w:szCs w:val="32"/>
        </w:rPr>
        <w:t xml:space="preserve">二、具有良好的商业信誉和健全的财务会计制度</w:t>
      </w:r>
      <w:r/>
    </w:p>
    <w:p>
      <w:pPr>
        <w:pStyle w:val="992"/>
        <w:jc w:val="center"/>
        <w:spacing w:beforeAutospacing="0" w:afterAutospacing="0" w:line="360" w:lineRule="auto"/>
        <w:rPr>
          <w:rFonts w:hint="eastAsia" w:ascii="宋体" w:hAnsi="宋体" w:cs="Arial"/>
          <w:bCs/>
        </w:rPr>
      </w:pPr>
      <w:r>
        <w:rPr>
          <w:rFonts w:hint="eastAsia" w:ascii="宋体" w:hAnsi="宋体" w:cs="Arial"/>
          <w:bCs/>
        </w:rPr>
        <w:t xml:space="preserve">提供2025年度财务报告，至少包含资产负债表、利润表；或投标截止时间前六个月内银行出具的资信证明；成立不满一年无须提供</w:t>
      </w:r>
      <w:r/>
    </w:p>
    <w:p>
      <w:pPr>
        <w:pStyle w:val="992"/>
        <w:jc w:val="center"/>
        <w:spacing w:beforeAutospacing="0" w:afterAutospacing="0" w:line="360" w:lineRule="auto"/>
        <w:rPr>
          <w:rFonts w:hint="eastAsia" w:ascii="宋体" w:hAnsi="宋体" w:cs="Arial"/>
          <w:bCs/>
        </w:rPr>
      </w:pPr>
      <w:r>
        <w:rPr>
          <w:rFonts w:hint="eastAsia" w:ascii="宋体" w:hAnsi="宋体" w:cs="Arial"/>
          <w:bCs/>
        </w:rPr>
      </w:r>
      <w:r/>
    </w:p>
    <w:p>
      <w:pPr>
        <w:pStyle w:val="992"/>
        <w:jc w:val="both"/>
        <w:spacing w:beforeAutospacing="0" w:afterAutospacing="0" w:line="360" w:lineRule="auto"/>
        <w:rPr>
          <w:b/>
          <w:bCs/>
          <w:iCs/>
        </w:rPr>
      </w:pPr>
      <w:r>
        <w:rPr>
          <w:rFonts w:hint="eastAsia" w:cs="黑体"/>
          <w:b/>
          <w:bCs/>
          <w:iCs/>
          <w:sz w:val="32"/>
          <w:szCs w:val="32"/>
        </w:rPr>
        <w:t xml:space="preserve">三、具备履行合同所必需的设备和专业技术能力的书面声明</w:t>
      </w:r>
      <w:r/>
    </w:p>
    <w:p>
      <w:pPr>
        <w:pStyle w:val="992"/>
        <w:ind w:firstLine="480"/>
        <w:jc w:val="both"/>
        <w:spacing w:beforeAutospacing="0" w:afterAutospacing="0" w:line="360" w:lineRule="auto"/>
        <w:rPr>
          <w:iCs/>
        </w:rPr>
      </w:pPr>
      <w:r>
        <w:rPr>
          <w:rFonts w:hint="eastAsia"/>
          <w:iCs/>
        </w:rPr>
        <w:t xml:space="preserve">我单位郑重声明：我单位具备履行本项采购合同所必需的设备和专业技术能力，为履行本项采购合同我公司具备如下主要设备和主要专业技术能力：</w:t>
      </w:r>
      <w:r/>
    </w:p>
    <w:p>
      <w:pPr>
        <w:pStyle w:val="992"/>
        <w:jc w:val="both"/>
        <w:spacing w:beforeAutospacing="0" w:afterAutospacing="0" w:line="360" w:lineRule="auto"/>
        <w:rPr>
          <w:iCs/>
        </w:rPr>
      </w:pPr>
      <w:r>
        <w:rPr>
          <w:rFonts w:hint="eastAsia"/>
          <w:iCs/>
        </w:rPr>
        <w:t xml:space="preserve">主要设备有：</w:t>
      </w:r>
      <w:r>
        <w:rPr>
          <w:rFonts w:hint="eastAsia"/>
          <w:iCs/>
        </w:rPr>
        <w:t xml:space="preserve">  </w:t>
      </w:r>
      <w:r>
        <w:rPr>
          <w:rFonts w:hint="eastAsia"/>
          <w:iCs/>
        </w:rPr>
        <w:t xml:space="preserve">。</w:t>
      </w:r>
      <w:r/>
    </w:p>
    <w:p>
      <w:pPr>
        <w:pStyle w:val="992"/>
        <w:jc w:val="both"/>
        <w:spacing w:beforeAutospacing="0" w:afterAutospacing="0" w:line="360" w:lineRule="auto"/>
        <w:rPr>
          <w:rFonts w:hint="eastAsia" w:ascii="宋体" w:hAnsi="宋体" w:cs="宋体"/>
          <w:iCs/>
        </w:rPr>
      </w:pPr>
      <w:r>
        <w:rPr>
          <w:rFonts w:hint="eastAsia"/>
          <w:iCs/>
        </w:rPr>
        <w:t xml:space="preserve">主要专业技术能力有：</w:t>
      </w:r>
      <w:r>
        <w:rPr>
          <w:rFonts w:hint="eastAsia"/>
          <w:iCs/>
        </w:rPr>
        <w:t xml:space="preserve">  </w:t>
      </w:r>
      <w:r>
        <w:rPr>
          <w:rFonts w:hint="eastAsia" w:ascii="宋体" w:hAnsi="宋体" w:cs="宋体"/>
          <w:iCs/>
        </w:rPr>
        <w:t xml:space="preserve">。</w:t>
      </w:r>
      <w:r/>
    </w:p>
    <w:p>
      <w:pPr>
        <w:pStyle w:val="992"/>
        <w:jc w:val="both"/>
        <w:spacing w:beforeAutospacing="0" w:afterAutospacing="0" w:line="360" w:lineRule="auto"/>
        <w:rPr>
          <w:rFonts w:hint="eastAsia" w:ascii="宋体" w:hAnsi="宋体" w:cs="宋体"/>
          <w:iCs/>
        </w:rPr>
      </w:pPr>
      <w:r>
        <w:rPr>
          <w:rFonts w:hint="eastAsia" w:ascii="宋体" w:hAnsi="宋体" w:cs="宋体"/>
          <w:iCs/>
        </w:rPr>
      </w:r>
      <w:r/>
    </w:p>
    <w:p>
      <w:pPr>
        <w:pStyle w:val="992"/>
        <w:jc w:val="both"/>
        <w:spacing w:beforeAutospacing="0" w:afterAutospacing="0" w:line="360" w:lineRule="auto"/>
        <w:rPr>
          <w:rFonts w:hint="eastAsia" w:ascii="黑体" w:hAnsi="宋体" w:eastAsia="黑体" w:cs="黑体"/>
          <w:iCs/>
          <w:sz w:val="32"/>
          <w:szCs w:val="32"/>
        </w:rPr>
      </w:pPr>
      <w:r>
        <w:rPr>
          <w:rFonts w:hint="eastAsia" w:ascii="黑体" w:hAnsi="宋体" w:eastAsia="黑体" w:cs="黑体"/>
          <w:iCs/>
          <w:sz w:val="32"/>
          <w:szCs w:val="32"/>
        </w:rPr>
        <w:t xml:space="preserve">四、有依法缴纳税收和社会保障资金的良好记录</w:t>
      </w:r>
      <w:r/>
    </w:p>
    <w:p>
      <w:pPr>
        <w:pStyle w:val="992"/>
        <w:ind w:firstLine="480"/>
        <w:jc w:val="both"/>
        <w:spacing w:beforeAutospacing="0" w:afterAutospacing="0" w:line="360" w:lineRule="auto"/>
        <w:rPr>
          <w:iCs/>
        </w:rPr>
      </w:pPr>
      <w:r>
        <w:rPr>
          <w:rFonts w:hint="eastAsia" w:ascii="宋体" w:hAnsi="宋体" w:cs="宋体"/>
          <w:bCs/>
        </w:rPr>
        <w:t xml:space="preserve">参加本次政府采购活动前</w:t>
      </w:r>
      <w:bookmarkStart w:id="178" w:name="OLE_LINK7"/>
      <w:r>
        <w:rPr>
          <w:rFonts w:hint="eastAsia" w:ascii="宋体" w:hAnsi="宋体" w:cs="宋体"/>
          <w:bCs/>
        </w:rPr>
        <w:t xml:space="preserve">6个月内至少一个月缴纳税</w:t>
      </w:r>
      <w:bookmarkEnd w:id="178"/>
      <w:r>
        <w:rPr>
          <w:rFonts w:hint="eastAsia" w:ascii="宋体" w:hAnsi="宋体" w:cs="宋体"/>
          <w:bCs/>
        </w:rPr>
        <w:t xml:space="preserve">收及缴纳社会保障资金的证明材料，投标人依法享受缓缴、免缴税收、社会保障资金的，需提供证明材料</w:t>
      </w:r>
      <w:r>
        <w:rPr>
          <w:rFonts w:hint="eastAsia" w:ascii="宋体" w:hAnsi="宋体" w:cs="宋体"/>
          <w:iCs/>
        </w:rPr>
        <w:t xml:space="preserve">。</w:t>
      </w:r>
      <w:r/>
    </w:p>
    <w:p>
      <w:pPr>
        <w:pStyle w:val="992"/>
        <w:jc w:val="both"/>
        <w:spacing w:beforeAutospacing="0" w:afterAutospacing="0" w:line="360" w:lineRule="auto"/>
        <w:rPr>
          <w:iCs/>
        </w:rPr>
      </w:pPr>
      <w:r>
        <w:rPr>
          <w:rFonts w:hint="eastAsia" w:ascii="宋体" w:hAnsi="宋体" w:cs="宋体"/>
          <w:iCs/>
        </w:rPr>
        <w:t xml:space="preserve"> </w:t>
      </w:r>
      <w:r/>
    </w:p>
    <w:p>
      <w:pPr>
        <w:pStyle w:val="992"/>
        <w:jc w:val="both"/>
        <w:spacing w:beforeAutospacing="0" w:afterAutospacing="0" w:line="360" w:lineRule="auto"/>
        <w:rPr>
          <w:rFonts w:hint="eastAsia" w:ascii="黑体" w:hAnsi="宋体" w:eastAsia="黑体" w:cs="黑体"/>
          <w:iCs/>
          <w:sz w:val="32"/>
          <w:szCs w:val="32"/>
        </w:rPr>
      </w:pPr>
      <w:r>
        <w:rPr>
          <w:rFonts w:hint="eastAsia" w:ascii="黑体" w:hAnsi="宋体" w:eastAsia="黑体" w:cs="黑体"/>
          <w:iCs/>
          <w:sz w:val="32"/>
          <w:szCs w:val="32"/>
        </w:rPr>
        <w:t xml:space="preserve">五、参加政府采购活动前三年内（成立时间不足三年的，自成立时间起），在经营活动中没有重大违法记录</w:t>
      </w:r>
      <w:r/>
    </w:p>
    <w:p>
      <w:pPr>
        <w:pStyle w:val="992"/>
        <w:jc w:val="center"/>
        <w:spacing w:beforeAutospacing="0" w:afterAutospacing="0" w:line="360" w:lineRule="auto"/>
        <w:rPr>
          <w:iCs/>
        </w:rPr>
      </w:pPr>
      <w:r>
        <w:rPr>
          <w:rFonts w:hint="eastAsia" w:ascii="宋体" w:hAnsi="宋体" w:cs="宋体"/>
          <w:b/>
          <w:iCs/>
          <w:sz w:val="44"/>
          <w:szCs w:val="44"/>
        </w:rPr>
        <w:t xml:space="preserve">声  明</w:t>
      </w:r>
      <w:r/>
    </w:p>
    <w:p>
      <w:pPr>
        <w:pStyle w:val="992"/>
        <w:jc w:val="both"/>
        <w:spacing w:beforeAutospacing="0" w:afterAutospacing="0" w:line="360" w:lineRule="auto"/>
        <w:rPr>
          <w:iCs/>
        </w:rPr>
      </w:pPr>
      <w:r>
        <w:rPr>
          <w:rFonts w:hint="eastAsia" w:ascii="宋体" w:hAnsi="宋体" w:cs="宋体"/>
          <w:b/>
          <w:iCs/>
        </w:rPr>
        <w:t xml:space="preserve">    </w:t>
      </w:r>
      <w:r>
        <w:rPr>
          <w:rFonts w:hint="eastAsia" w:ascii="宋体" w:hAnsi="宋体" w:cs="宋体"/>
          <w:iCs/>
        </w:rPr>
        <w:t xml:space="preserve">我单位郑重声明：参加本次政府采购活动前 3 年内，我单位在经营活动中没有因违法经营受到刑事处罚或者责令停产停业、吊销许可证或者执照、较大数额罚款等行政处罚。</w:t>
      </w:r>
      <w:r/>
    </w:p>
    <w:p>
      <w:pPr>
        <w:pStyle w:val="992"/>
        <w:jc w:val="both"/>
        <w:spacing w:beforeAutospacing="0" w:afterAutospacing="0" w:line="360" w:lineRule="auto"/>
        <w:rPr>
          <w:iCs/>
        </w:rPr>
      </w:pPr>
      <w:r>
        <w:rPr>
          <w:iCs/>
        </w:rPr>
        <w:t xml:space="preserve"> </w:t>
      </w:r>
      <w:r/>
    </w:p>
    <w:p>
      <w:pPr>
        <w:pStyle w:val="992"/>
        <w:jc w:val="center"/>
        <w:spacing w:beforeAutospacing="0" w:afterAutospacing="0" w:line="360" w:lineRule="auto"/>
        <w:rPr>
          <w:rFonts w:hint="eastAsia" w:ascii="黑体" w:hAnsi="宋体" w:eastAsia="黑体" w:cs="黑体"/>
          <w:i/>
          <w:sz w:val="32"/>
          <w:szCs w:val="32"/>
          <w:u w:val="single"/>
        </w:rPr>
      </w:pPr>
      <w:r/>
      <w:bookmarkStart w:id="179" w:name="_Toc120614284"/>
      <w:r/>
      <w:r/>
    </w:p>
    <w:p>
      <w:pPr>
        <w:pStyle w:val="992"/>
        <w:jc w:val="center"/>
        <w:spacing w:beforeAutospacing="0" w:afterAutospacing="0" w:line="360" w:lineRule="auto"/>
        <w:rPr>
          <w:rFonts w:hint="eastAsia" w:ascii="黑体" w:hAnsi="宋体" w:eastAsia="黑体" w:cs="黑体"/>
          <w:i/>
          <w:sz w:val="32"/>
          <w:szCs w:val="32"/>
          <w:u w:val="single"/>
        </w:rPr>
      </w:pPr>
      <w:r>
        <w:rPr>
          <w:rFonts w:hint="eastAsia" w:ascii="黑体" w:hAnsi="宋体" w:eastAsia="黑体" w:cs="黑体"/>
          <w:i/>
          <w:sz w:val="32"/>
          <w:szCs w:val="32"/>
          <w:u w:val="single"/>
        </w:rPr>
      </w:r>
      <w:r/>
    </w:p>
    <w:p>
      <w:pPr>
        <w:spacing w:line="360" w:lineRule="auto"/>
        <w:rPr>
          <w:rFonts w:hint="eastAsia" w:ascii="宋体" w:hAnsi="宋体"/>
          <w:bCs/>
          <w:sz w:val="24"/>
          <w:szCs w:val="24"/>
        </w:rPr>
      </w:pPr>
      <w:r>
        <w:rPr>
          <w:rFonts w:hint="eastAsia" w:ascii="宋体" w:hAnsi="宋体"/>
          <w:bCs/>
          <w:sz w:val="24"/>
          <w:szCs w:val="24"/>
        </w:rPr>
      </w:r>
      <w:r/>
    </w:p>
    <w:p>
      <w:pPr>
        <w:jc w:val="center"/>
        <w:spacing w:line="360" w:lineRule="auto"/>
        <w:rPr>
          <w:rFonts w:hint="eastAsia" w:ascii="黑体" w:hAnsi="宋体" w:eastAsia="黑体" w:cs="黑体"/>
          <w:iCs/>
          <w:sz w:val="32"/>
          <w:szCs w:val="32"/>
        </w:rPr>
      </w:pPr>
      <w:r>
        <w:rPr>
          <w:rFonts w:hint="eastAsia" w:ascii="黑体" w:hAnsi="宋体" w:eastAsia="黑体" w:cs="黑体"/>
          <w:iCs/>
          <w:sz w:val="32"/>
          <w:szCs w:val="32"/>
        </w:rPr>
        <w:t xml:space="preserve">六、特定资格要求：</w:t>
      </w:r>
      <w:r/>
    </w:p>
    <w:p>
      <w:pPr>
        <w:spacing w:line="360" w:lineRule="auto"/>
        <w:rPr>
          <w:rFonts w:hint="eastAsia" w:ascii="宋体" w:hAnsi="宋体"/>
          <w:bCs/>
          <w:sz w:val="24"/>
          <w:szCs w:val="24"/>
        </w:rPr>
      </w:pPr>
      <w:r>
        <w:rPr>
          <w:rFonts w:hint="eastAsia" w:ascii="宋体" w:hAnsi="宋体"/>
          <w:bCs/>
          <w:sz w:val="24"/>
          <w:szCs w:val="24"/>
        </w:rPr>
        <w:t xml:space="preserve">1.供应商应具备有效的《危险废物经营许可证》 </w:t>
      </w:r>
      <w:r>
        <w:rPr>
          <w:rFonts w:hint="eastAsia" w:ascii="宋体" w:hAnsi="宋体"/>
          <w:bCs/>
          <w:sz w:val="24"/>
          <w:szCs w:val="24"/>
        </w:rPr>
        <w:t xml:space="preserve">（</w:t>
      </w:r>
      <w:r>
        <w:rPr>
          <w:rFonts w:hint="eastAsia" w:ascii="宋体" w:hAnsi="宋体"/>
          <w:bCs/>
          <w:sz w:val="24"/>
          <w:szCs w:val="24"/>
        </w:rPr>
        <w:t xml:space="preserve">核准经营包含医疗废物</w:t>
      </w:r>
      <w:r>
        <w:rPr>
          <w:rFonts w:hint="eastAsia" w:ascii="宋体" w:hAnsi="宋体"/>
          <w:bCs/>
          <w:sz w:val="24"/>
          <w:szCs w:val="24"/>
        </w:rPr>
        <w:t xml:space="preserve">）</w:t>
      </w:r>
      <w:r>
        <w:rPr>
          <w:rFonts w:hint="eastAsia" w:ascii="宋体" w:hAnsi="宋体"/>
          <w:bCs/>
          <w:sz w:val="24"/>
          <w:szCs w:val="24"/>
        </w:rPr>
        <w:t xml:space="preserve">；</w:t>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t xml:space="preserve">2.运输资质：</w:t>
      </w:r>
      <w:r/>
    </w:p>
    <w:p>
      <w:pPr>
        <w:spacing w:line="360" w:lineRule="auto"/>
        <w:rPr>
          <w:rFonts w:hint="eastAsia" w:ascii="宋体" w:hAnsi="宋体"/>
          <w:bCs/>
          <w:sz w:val="24"/>
          <w:szCs w:val="24"/>
        </w:rPr>
      </w:pPr>
      <w:r>
        <w:rPr>
          <w:rFonts w:hint="eastAsia" w:ascii="宋体" w:hAnsi="宋体"/>
          <w:bCs/>
          <w:sz w:val="24"/>
          <w:szCs w:val="24"/>
        </w:rPr>
        <w:t xml:space="preserve">2.1.供应商自有《道路运输经营许可证》的，需提供有效的《道路运输经营许可证》（</w:t>
      </w:r>
      <w:r>
        <w:rPr>
          <w:rFonts w:ascii="宋体" w:hAnsi="宋体"/>
          <w:bCs/>
          <w:sz w:val="24"/>
          <w:szCs w:val="24"/>
        </w:rPr>
        <w:t xml:space="preserve">经营范围</w:t>
      </w:r>
      <w:r>
        <w:rPr>
          <w:rFonts w:ascii="宋体" w:hAnsi="宋体"/>
          <w:bCs/>
          <w:sz w:val="24"/>
          <w:szCs w:val="24"/>
        </w:rPr>
        <w:t xml:space="preserve">含医疗</w:t>
      </w:r>
      <w:r>
        <w:rPr>
          <w:rFonts w:ascii="宋体" w:hAnsi="宋体"/>
          <w:bCs/>
          <w:sz w:val="24"/>
          <w:szCs w:val="24"/>
        </w:rPr>
        <w:t xml:space="preserve">废物</w:t>
      </w:r>
      <w:r>
        <w:rPr>
          <w:rFonts w:hint="eastAsia" w:ascii="宋体" w:hAnsi="宋体"/>
          <w:bCs/>
          <w:sz w:val="24"/>
          <w:szCs w:val="24"/>
        </w:rPr>
        <w:t xml:space="preserve">）；</w:t>
      </w:r>
      <w:r/>
    </w:p>
    <w:p>
      <w:pPr>
        <w:spacing w:line="360" w:lineRule="auto"/>
        <w:rPr>
          <w:rFonts w:hint="eastAsia" w:ascii="宋体" w:hAnsi="宋体"/>
          <w:bCs/>
          <w:sz w:val="24"/>
          <w:szCs w:val="24"/>
        </w:rPr>
      </w:pPr>
      <w:r>
        <w:rPr>
          <w:rFonts w:hint="eastAsia" w:ascii="宋体" w:hAnsi="宋体"/>
          <w:bCs/>
          <w:sz w:val="24"/>
          <w:szCs w:val="24"/>
        </w:rPr>
        <w:t xml:space="preserve">2.2.供应商委托第三</w:t>
      </w:r>
      <w:r>
        <w:rPr>
          <w:rFonts w:hint="eastAsia" w:ascii="宋体" w:hAnsi="宋体"/>
          <w:bCs/>
          <w:sz w:val="24"/>
          <w:szCs w:val="24"/>
        </w:rPr>
        <w:t xml:space="preserve">方运输</w:t>
      </w:r>
      <w:r>
        <w:rPr>
          <w:rFonts w:hint="eastAsia" w:ascii="宋体" w:hAnsi="宋体"/>
          <w:bCs/>
          <w:sz w:val="24"/>
          <w:szCs w:val="24"/>
        </w:rPr>
        <w:t xml:space="preserve">的，需提供第三</w:t>
      </w:r>
      <w:r>
        <w:rPr>
          <w:rFonts w:hint="eastAsia" w:ascii="宋体" w:hAnsi="宋体"/>
          <w:bCs/>
          <w:sz w:val="24"/>
          <w:szCs w:val="24"/>
        </w:rPr>
        <w:t xml:space="preserve">方运输</w:t>
      </w:r>
      <w:r>
        <w:rPr>
          <w:rFonts w:hint="eastAsia" w:ascii="宋体" w:hAnsi="宋体"/>
          <w:bCs/>
          <w:sz w:val="24"/>
          <w:szCs w:val="24"/>
        </w:rPr>
        <w:t xml:space="preserve">企业的《道路运输经营许可证》（经营范围</w:t>
      </w:r>
      <w:r>
        <w:rPr>
          <w:rFonts w:hint="eastAsia" w:ascii="宋体" w:hAnsi="宋体"/>
          <w:bCs/>
          <w:sz w:val="24"/>
          <w:szCs w:val="24"/>
        </w:rPr>
        <w:t xml:space="preserve">含医疗</w:t>
      </w:r>
      <w:r>
        <w:rPr>
          <w:rFonts w:hint="eastAsia" w:ascii="宋体" w:hAnsi="宋体"/>
          <w:bCs/>
          <w:sz w:val="24"/>
          <w:szCs w:val="24"/>
        </w:rPr>
        <w:t xml:space="preserve">废物）、与第三</w:t>
      </w:r>
      <w:r>
        <w:rPr>
          <w:rFonts w:hint="eastAsia" w:ascii="宋体" w:hAnsi="宋体"/>
          <w:bCs/>
          <w:sz w:val="24"/>
          <w:szCs w:val="24"/>
        </w:rPr>
        <w:t xml:space="preserve">方运输</w:t>
      </w:r>
      <w:r>
        <w:rPr>
          <w:rFonts w:hint="eastAsia" w:ascii="宋体" w:hAnsi="宋体"/>
          <w:bCs/>
          <w:sz w:val="24"/>
          <w:szCs w:val="24"/>
        </w:rPr>
        <w:t xml:space="preserve">企业签订的委托运输协议。</w:t>
      </w:r>
      <w:r/>
    </w:p>
    <w:p>
      <w:pPr>
        <w:jc w:val="left"/>
        <w:widowControl/>
        <w:rPr>
          <w:rFonts w:hint="eastAsia" w:ascii="黑体" w:hAnsi="宋体" w:eastAsia="黑体" w:cs="黑体"/>
          <w:iCs/>
          <w:sz w:val="32"/>
          <w:szCs w:val="32"/>
        </w:rPr>
      </w:pPr>
      <w:r>
        <w:rPr>
          <w:rFonts w:hint="eastAsia" w:ascii="黑体" w:hAnsi="宋体" w:eastAsia="黑体" w:cs="黑体"/>
          <w:iCs/>
          <w:sz w:val="32"/>
          <w:szCs w:val="32"/>
        </w:rPr>
        <w:br w:type="page" w:clear="all"/>
      </w:r>
      <w:r/>
    </w:p>
    <w:p>
      <w:pPr>
        <w:pStyle w:val="992"/>
        <w:jc w:val="center"/>
        <w:spacing w:beforeAutospacing="0" w:afterAutospacing="0" w:line="360" w:lineRule="auto"/>
        <w:rPr>
          <w:rFonts w:hint="eastAsia" w:ascii="黑体" w:hAnsi="宋体" w:eastAsia="黑体" w:cs="黑体"/>
          <w:iCs/>
          <w:sz w:val="32"/>
          <w:szCs w:val="32"/>
        </w:rPr>
      </w:pPr>
      <w:r>
        <w:rPr>
          <w:rFonts w:hint="eastAsia" w:ascii="黑体" w:hAnsi="宋体" w:eastAsia="黑体" w:cs="黑体"/>
          <w:iCs/>
          <w:sz w:val="32"/>
          <w:szCs w:val="32"/>
        </w:rPr>
        <w:t xml:space="preserve">七、法</w:t>
      </w:r>
      <w:bookmarkStart w:id="180" w:name="OLE_LINK15"/>
      <w:r>
        <w:rPr>
          <w:rFonts w:hint="eastAsia" w:ascii="黑体" w:hAnsi="宋体" w:eastAsia="黑体" w:cs="黑体"/>
          <w:iCs/>
          <w:sz w:val="32"/>
          <w:szCs w:val="32"/>
        </w:rPr>
        <w:t xml:space="preserve">定代表人</w:t>
      </w:r>
      <w:bookmarkEnd w:id="180"/>
      <w:r>
        <w:rPr>
          <w:rFonts w:hint="eastAsia" w:ascii="黑体" w:hAnsi="宋体" w:eastAsia="黑体" w:cs="黑体"/>
          <w:iCs/>
          <w:sz w:val="32"/>
          <w:szCs w:val="32"/>
        </w:rPr>
        <w:t xml:space="preserve">授权书</w:t>
      </w:r>
      <w:r/>
    </w:p>
    <w:p>
      <w:pPr>
        <w:pStyle w:val="992"/>
        <w:ind w:firstLine="480"/>
        <w:jc w:val="both"/>
        <w:spacing w:beforeAutospacing="0" w:afterAutospacing="0" w:line="360" w:lineRule="auto"/>
        <w:tabs>
          <w:tab w:val="left" w:pos="360" w:leader="none"/>
        </w:tabs>
        <w:rPr>
          <w:szCs w:val="24"/>
        </w:rPr>
      </w:pPr>
      <w:r>
        <w:rPr>
          <w:szCs w:val="24"/>
        </w:rPr>
        <w:t xml:space="preserve">本授</w:t>
      </w:r>
      <w:bookmarkStart w:id="181" w:name="OLE_LINK87"/>
      <w:r>
        <w:rPr>
          <w:szCs w:val="24"/>
        </w:rPr>
        <w:t xml:space="preserve">权书</w:t>
      </w:r>
      <w:bookmarkEnd w:id="181"/>
      <w:r>
        <w:rPr>
          <w:szCs w:val="24"/>
        </w:rPr>
        <w:t xml:space="preserve">声明：</w:t>
      </w:r>
      <w:r>
        <w:rPr>
          <w:szCs w:val="24"/>
        </w:rPr>
        <w:t xml:space="preserve">____________</w:t>
      </w:r>
      <w:r>
        <w:rPr>
          <w:szCs w:val="24"/>
        </w:rPr>
        <w:t xml:space="preserve">（供应商名称）授权</w:t>
      </w:r>
      <w:r>
        <w:rPr>
          <w:szCs w:val="24"/>
        </w:rPr>
        <w:t xml:space="preserve">________________</w:t>
      </w:r>
      <w:r>
        <w:rPr>
          <w:szCs w:val="24"/>
        </w:rPr>
        <w:t xml:space="preserve">（被授权人的姓名）为我方就</w:t>
      </w:r>
      <w:r>
        <w:rPr>
          <w:szCs w:val="24"/>
          <w:u w:val="single"/>
        </w:rPr>
        <w:t xml:space="preserve">JSZC-320000-HWZX-D2026-0412</w:t>
      </w:r>
      <w:r>
        <w:rPr>
          <w:szCs w:val="24"/>
          <w:u w:val="single"/>
        </w:rPr>
        <w:tab/>
      </w:r>
      <w:r>
        <w:rPr>
          <w:szCs w:val="24"/>
        </w:rPr>
        <w:t xml:space="preserve">号项目</w:t>
      </w:r>
      <w:r>
        <w:rPr>
          <w:szCs w:val="24"/>
        </w:rPr>
        <w:t xml:space="preserve">采购活动的合法代理人，以本单位名义全权处理一切与该项目采购有关的事务。</w:t>
      </w:r>
      <w:r/>
    </w:p>
    <w:p>
      <w:pPr>
        <w:pStyle w:val="992"/>
        <w:ind w:firstLine="480"/>
        <w:jc w:val="both"/>
        <w:spacing w:beforeAutospacing="0" w:afterAutospacing="0" w:line="360" w:lineRule="auto"/>
        <w:tabs>
          <w:tab w:val="left" w:pos="360" w:leader="none"/>
        </w:tabs>
        <w:rPr>
          <w:szCs w:val="24"/>
        </w:rPr>
      </w:pPr>
      <w:r>
        <w:rPr>
          <w:szCs w:val="24"/>
        </w:rPr>
        <w:t xml:space="preserve">本授权书于</w:t>
      </w:r>
      <w:r>
        <w:rPr>
          <w:szCs w:val="24"/>
        </w:rPr>
        <w:t xml:space="preserve">______</w:t>
      </w:r>
      <w:r>
        <w:rPr>
          <w:szCs w:val="24"/>
        </w:rPr>
        <w:t xml:space="preserve">年</w:t>
      </w:r>
      <w:r>
        <w:rPr>
          <w:szCs w:val="24"/>
        </w:rPr>
        <w:t xml:space="preserve">____</w:t>
      </w:r>
      <w:r>
        <w:rPr>
          <w:szCs w:val="24"/>
        </w:rPr>
        <w:t xml:space="preserve">月</w:t>
      </w:r>
      <w:r>
        <w:rPr>
          <w:szCs w:val="24"/>
        </w:rPr>
        <w:t xml:space="preserve">____</w:t>
      </w:r>
      <w:r>
        <w:rPr>
          <w:szCs w:val="24"/>
        </w:rPr>
        <w:t xml:space="preserve">日起生效，特此声明。</w:t>
      </w:r>
      <w:r/>
    </w:p>
    <w:p>
      <w:pPr>
        <w:pStyle w:val="992"/>
        <w:jc w:val="both"/>
        <w:spacing w:beforeAutospacing="0" w:afterAutospacing="0" w:line="360" w:lineRule="auto"/>
        <w:tabs>
          <w:tab w:val="left" w:pos="360" w:leader="none"/>
        </w:tabs>
        <w:rPr>
          <w:szCs w:val="24"/>
        </w:rPr>
      </w:pPr>
      <w:r>
        <w:rPr>
          <w:szCs w:val="24"/>
        </w:rPr>
        <w:t xml:space="preserve">        </w:t>
      </w:r>
      <w:r>
        <w:rPr>
          <w:szCs w:val="24"/>
        </w:rPr>
        <w:t xml:space="preserve">被授权人身份证号码：</w:t>
      </w:r>
      <w:r>
        <w:rPr>
          <w:szCs w:val="24"/>
          <w:u w:val="single"/>
        </w:rPr>
        <w:t xml:space="preserve">                              </w:t>
      </w:r>
      <w:r/>
    </w:p>
    <w:p>
      <w:pPr>
        <w:pStyle w:val="992"/>
        <w:jc w:val="both"/>
        <w:spacing w:beforeAutospacing="0" w:afterAutospacing="0" w:line="360" w:lineRule="auto"/>
        <w:tabs>
          <w:tab w:val="left" w:pos="360" w:leader="none"/>
        </w:tabs>
        <w:rPr>
          <w:szCs w:val="24"/>
        </w:rPr>
      </w:pPr>
      <w:r>
        <w:rPr>
          <w:szCs w:val="24"/>
        </w:rPr>
        <w:t xml:space="preserve">        </w:t>
      </w:r>
      <w:r>
        <w:rPr>
          <w:szCs w:val="24"/>
        </w:rPr>
        <w:t xml:space="preserve">被授权人联系电话：（手机）</w:t>
      </w:r>
      <w:r>
        <w:rPr>
          <w:szCs w:val="24"/>
          <w:u w:val="single"/>
        </w:rPr>
        <w:t xml:space="preserve">                          </w:t>
      </w:r>
      <w:r/>
    </w:p>
    <w:p>
      <w:pPr>
        <w:pStyle w:val="992"/>
        <w:ind w:firstLine="480"/>
        <w:jc w:val="both"/>
        <w:spacing w:beforeAutospacing="0" w:afterAutospacing="0" w:line="360" w:lineRule="auto"/>
        <w:tabs>
          <w:tab w:val="left" w:pos="360" w:leader="none"/>
        </w:tabs>
        <w:rPr>
          <w:szCs w:val="24"/>
        </w:rPr>
      </w:pPr>
      <w:r>
        <w:rPr>
          <w:szCs w:val="24"/>
        </w:rPr>
        <w:t xml:space="preserve">授权单位名称：</w:t>
      </w:r>
      <w:r>
        <w:rPr>
          <w:szCs w:val="24"/>
          <w:u w:val="single"/>
        </w:rPr>
        <w:t xml:space="preserve">（加盖</w:t>
      </w:r>
      <w:r>
        <w:rPr>
          <w:szCs w:val="24"/>
          <w:u w:val="single"/>
        </w:rPr>
        <w:t xml:space="preserve">CA</w:t>
      </w:r>
      <w:r>
        <w:rPr>
          <w:szCs w:val="24"/>
          <w:u w:val="single"/>
        </w:rPr>
        <w:t xml:space="preserve">电子公章）</w:t>
      </w:r>
      <w:r/>
    </w:p>
    <w:p>
      <w:pPr>
        <w:pStyle w:val="992"/>
        <w:ind w:firstLine="480"/>
        <w:jc w:val="both"/>
        <w:spacing w:beforeAutospacing="0" w:afterAutospacing="0" w:line="360" w:lineRule="auto"/>
        <w:tabs>
          <w:tab w:val="left" w:pos="360" w:leader="none"/>
        </w:tabs>
        <w:rPr>
          <w:szCs w:val="24"/>
        </w:rPr>
      </w:pPr>
      <w:r>
        <w:rPr>
          <w:szCs w:val="24"/>
        </w:rPr>
        <w:t xml:space="preserve">单位地址：</w:t>
      </w:r>
      <w:r>
        <w:rPr>
          <w:szCs w:val="24"/>
          <w:u w:val="single"/>
        </w:rPr>
        <w:t xml:space="preserve">                                         </w:t>
      </w:r>
      <w:r/>
    </w:p>
    <w:p>
      <w:pPr>
        <w:pStyle w:val="992"/>
        <w:ind w:firstLine="480"/>
        <w:jc w:val="both"/>
        <w:spacing w:beforeAutospacing="0" w:afterAutospacing="0" w:line="360" w:lineRule="auto"/>
        <w:tabs>
          <w:tab w:val="left" w:pos="360" w:leader="none"/>
        </w:tabs>
        <w:rPr>
          <w:szCs w:val="24"/>
        </w:rPr>
      </w:pPr>
      <w:r>
        <w:rPr>
          <w:szCs w:val="24"/>
        </w:rPr>
        <w:t xml:space="preserve">日期：</w:t>
      </w:r>
      <w:bookmarkStart w:id="182" w:name="_Hlt26671380"/>
      <w:r/>
      <w:bookmarkStart w:id="183" w:name="_Hlt26955070"/>
      <w:r/>
      <w:bookmarkStart w:id="184" w:name="_格式3__银行出具的资信证明"/>
      <w:r>
        <w:rPr>
          <w:szCs w:val="24"/>
          <w:u w:val="single"/>
        </w:rPr>
        <w:t xml:space="preserve">                                         </w:t>
      </w:r>
      <w:r/>
    </w:p>
    <w:p>
      <w:pPr>
        <w:pStyle w:val="992"/>
        <w:ind w:firstLine="480"/>
        <w:jc w:val="both"/>
        <w:spacing w:beforeAutospacing="0" w:afterAutospacing="0" w:line="360" w:lineRule="auto"/>
        <w:tabs>
          <w:tab w:val="left" w:pos="360" w:leader="none"/>
        </w:tabs>
      </w:pPr>
      <w:r>
        <w:t xml:space="preserve"> </w:t>
      </w:r>
      <w:r/>
    </w:p>
    <w:p>
      <w:pPr>
        <w:pStyle w:val="992"/>
        <w:ind w:firstLine="480"/>
        <w:jc w:val="both"/>
        <w:spacing w:beforeAutospacing="0" w:afterAutospacing="0"/>
        <w:tabs>
          <w:tab w:val="left" w:pos="360" w:leader="none"/>
        </w:tabs>
      </w:pPr>
      <w:r>
        <w:t xml:space="preserve"> </w:t>
      </w:r>
      <w:r/>
    </w:p>
    <w:p>
      <w:pPr>
        <w:pStyle w:val="992"/>
        <w:ind w:firstLine="480"/>
        <w:jc w:val="both"/>
        <w:spacing w:beforeAutospacing="0" w:afterAutospacing="0"/>
        <w:tabs>
          <w:tab w:val="left" w:pos="360" w:leader="none"/>
        </w:tabs>
      </w:pPr>
      <w:r/>
      <w:r/>
    </w:p>
    <w:p>
      <w:pPr>
        <w:pStyle w:val="992"/>
        <w:ind w:firstLine="480"/>
        <w:jc w:val="both"/>
        <w:spacing w:beforeAutospacing="0" w:afterAutospacing="0"/>
        <w:tabs>
          <w:tab w:val="left" w:pos="360" w:leader="none"/>
        </w:tabs>
      </w:pPr>
      <w:r/>
      <w:r/>
    </w:p>
    <w:p>
      <w:pPr>
        <w:pStyle w:val="992"/>
        <w:ind w:firstLine="480"/>
        <w:jc w:val="both"/>
        <w:spacing w:beforeAutospacing="0" w:afterAutospacing="0"/>
        <w:tabs>
          <w:tab w:val="left" w:pos="360" w:leader="none"/>
        </w:tabs>
      </w:pPr>
      <w:r/>
      <w:r/>
    </w:p>
    <w:p>
      <w:pPr>
        <w:pStyle w:val="992"/>
        <w:ind w:firstLine="480"/>
        <w:jc w:val="both"/>
        <w:spacing w:beforeAutospacing="0" w:afterAutospacing="0"/>
        <w:tabs>
          <w:tab w:val="left" w:pos="360" w:leader="none"/>
        </w:tabs>
      </w:pPr>
      <w:r/>
      <w:r/>
    </w:p>
    <w:p>
      <w:pPr>
        <w:pStyle w:val="992"/>
        <w:ind w:firstLine="480"/>
        <w:jc w:val="both"/>
        <w:spacing w:beforeAutospacing="0" w:afterAutospacing="0"/>
        <w:tabs>
          <w:tab w:val="left" w:pos="360" w:leader="none"/>
        </w:tabs>
      </w:pPr>
      <w:r/>
      <w:r/>
    </w:p>
    <w:p>
      <w:pPr>
        <w:pStyle w:val="992"/>
        <w:ind w:firstLine="480"/>
        <w:jc w:val="both"/>
        <w:spacing w:beforeAutospacing="0" w:afterAutospacing="0"/>
        <w:tabs>
          <w:tab w:val="left" w:pos="360" w:leader="none"/>
        </w:tabs>
      </w:pPr>
      <w:r/>
      <w:r/>
    </w:p>
    <w:p>
      <w:pPr>
        <w:pStyle w:val="992"/>
        <w:ind w:firstLine="480"/>
        <w:jc w:val="both"/>
        <w:spacing w:beforeAutospacing="0" w:afterAutospacing="0"/>
        <w:tabs>
          <w:tab w:val="left" w:pos="360" w:leader="none"/>
        </w:tabs>
      </w:pPr>
      <w:r/>
      <w:r/>
    </w:p>
    <w:p>
      <w:pPr>
        <w:pStyle w:val="992"/>
        <w:ind w:firstLine="480"/>
        <w:jc w:val="both"/>
        <w:spacing w:beforeAutospacing="0" w:afterAutospacing="0"/>
        <w:tabs>
          <w:tab w:val="left" w:pos="360" w:leader="none"/>
        </w:tabs>
      </w:pPr>
      <w:r/>
      <w:r/>
    </w:p>
    <w:p>
      <w:pPr>
        <w:pStyle w:val="992"/>
        <w:ind w:firstLine="480"/>
        <w:jc w:val="both"/>
        <w:spacing w:beforeAutospacing="0" w:afterAutospacing="0"/>
        <w:tabs>
          <w:tab w:val="left" w:pos="360" w:leader="none"/>
        </w:tabs>
      </w:pPr>
      <w:r/>
      <w:r/>
    </w:p>
    <w:p>
      <w:pPr>
        <w:pStyle w:val="992"/>
        <w:ind w:firstLine="480"/>
        <w:jc w:val="both"/>
        <w:spacing w:beforeAutospacing="0" w:afterAutospacing="0"/>
        <w:tabs>
          <w:tab w:val="left" w:pos="360" w:leader="none"/>
        </w:tabs>
      </w:pPr>
      <w:r/>
      <w:r/>
    </w:p>
    <w:p>
      <w:pPr>
        <w:pStyle w:val="992"/>
        <w:ind w:firstLine="480"/>
        <w:jc w:val="both"/>
        <w:spacing w:beforeAutospacing="0" w:afterAutospacing="0"/>
        <w:tabs>
          <w:tab w:val="left" w:pos="360" w:leader="none"/>
        </w:tabs>
      </w:pPr>
      <w:r/>
      <w:r/>
    </w:p>
    <w:p>
      <w:pPr>
        <w:pStyle w:val="992"/>
        <w:ind w:firstLine="480"/>
        <w:jc w:val="both"/>
        <w:spacing w:beforeAutospacing="0" w:afterAutospacing="0"/>
        <w:tabs>
          <w:tab w:val="left" w:pos="360" w:leader="none"/>
        </w:tabs>
      </w:pPr>
      <w:r/>
      <w:r/>
    </w:p>
    <w:p>
      <w:pPr>
        <w:pStyle w:val="992"/>
        <w:ind w:firstLine="480"/>
        <w:jc w:val="both"/>
        <w:spacing w:beforeAutospacing="0" w:afterAutospacing="0"/>
        <w:tabs>
          <w:tab w:val="left" w:pos="360" w:leader="none"/>
        </w:tabs>
      </w:pPr>
      <w:r/>
      <w:r/>
    </w:p>
    <w:p>
      <w:pPr>
        <w:pStyle w:val="992"/>
        <w:ind w:firstLine="480"/>
        <w:jc w:val="both"/>
        <w:spacing w:beforeAutospacing="0" w:afterAutospacing="0"/>
        <w:tabs>
          <w:tab w:val="left" w:pos="360" w:leader="none"/>
        </w:tabs>
      </w:pPr>
      <w:r/>
      <w:r/>
    </w:p>
    <w:p>
      <w:pPr>
        <w:pStyle w:val="992"/>
        <w:ind w:firstLine="480"/>
        <w:jc w:val="both"/>
        <w:spacing w:beforeAutospacing="0" w:afterAutospacing="0"/>
        <w:tabs>
          <w:tab w:val="left" w:pos="360" w:leader="none"/>
        </w:tabs>
      </w:pPr>
      <w:r/>
      <w:r/>
    </w:p>
    <w:p>
      <w:pPr>
        <w:pStyle w:val="992"/>
        <w:ind w:firstLine="480"/>
        <w:jc w:val="both"/>
        <w:spacing w:beforeAutospacing="0" w:afterAutospacing="0"/>
        <w:tabs>
          <w:tab w:val="left" w:pos="360" w:leader="none"/>
        </w:tabs>
      </w:pPr>
      <w:r/>
      <w:r/>
    </w:p>
    <w:p>
      <w:pPr>
        <w:pStyle w:val="992"/>
        <w:ind w:firstLine="480"/>
        <w:jc w:val="both"/>
        <w:spacing w:beforeAutospacing="0" w:afterAutospacing="0"/>
        <w:tabs>
          <w:tab w:val="left" w:pos="360" w:leader="none"/>
        </w:tabs>
      </w:pPr>
      <w:r/>
      <w:r/>
    </w:p>
    <w:p>
      <w:pPr>
        <w:pStyle w:val="992"/>
        <w:ind w:firstLine="480"/>
        <w:jc w:val="both"/>
        <w:spacing w:beforeAutospacing="0" w:afterAutospacing="0"/>
        <w:tabs>
          <w:tab w:val="left" w:pos="360" w:leader="none"/>
        </w:tabs>
      </w:pPr>
      <w:r/>
      <w:r/>
    </w:p>
    <w:p>
      <w:pPr>
        <w:pStyle w:val="992"/>
        <w:ind w:firstLine="480"/>
        <w:jc w:val="both"/>
        <w:spacing w:beforeAutospacing="0" w:afterAutospacing="0"/>
        <w:tabs>
          <w:tab w:val="left" w:pos="360" w:leader="none"/>
        </w:tabs>
      </w:pPr>
      <w:r/>
      <w:r/>
    </w:p>
    <w:p>
      <w:pPr>
        <w:pStyle w:val="992"/>
        <w:ind w:firstLine="480"/>
        <w:jc w:val="both"/>
        <w:spacing w:beforeAutospacing="0" w:afterAutospacing="0"/>
        <w:tabs>
          <w:tab w:val="left" w:pos="360" w:leader="none"/>
        </w:tabs>
      </w:pPr>
      <w:r/>
      <w:r/>
    </w:p>
    <w:p>
      <w:pPr>
        <w:pStyle w:val="992"/>
        <w:ind w:firstLine="480"/>
        <w:jc w:val="both"/>
        <w:spacing w:beforeAutospacing="0" w:afterAutospacing="0"/>
        <w:tabs>
          <w:tab w:val="left" w:pos="360" w:leader="none"/>
        </w:tabs>
      </w:pPr>
      <w:r/>
      <w:r/>
    </w:p>
    <w:p>
      <w:pPr>
        <w:pStyle w:val="992"/>
        <w:ind w:firstLine="480"/>
        <w:jc w:val="both"/>
        <w:spacing w:beforeAutospacing="0" w:afterAutospacing="0"/>
        <w:tabs>
          <w:tab w:val="left" w:pos="360" w:leader="none"/>
        </w:tabs>
      </w:pPr>
      <w:r/>
      <w:r/>
    </w:p>
    <w:p>
      <w:pPr>
        <w:pStyle w:val="992"/>
        <w:ind w:firstLine="480"/>
        <w:jc w:val="both"/>
        <w:spacing w:beforeAutospacing="0" w:afterAutospacing="0"/>
        <w:tabs>
          <w:tab w:val="left" w:pos="360" w:leader="none"/>
        </w:tabs>
      </w:pPr>
      <w:r/>
      <w:r/>
    </w:p>
    <w:p>
      <w:pPr>
        <w:pStyle w:val="992"/>
        <w:ind w:firstLine="480"/>
        <w:jc w:val="both"/>
        <w:spacing w:beforeAutospacing="0" w:afterAutospacing="0"/>
        <w:tabs>
          <w:tab w:val="left" w:pos="360" w:leader="none"/>
        </w:tabs>
      </w:pPr>
      <w:r/>
      <w:r/>
    </w:p>
    <w:p>
      <w:pPr>
        <w:pStyle w:val="992"/>
        <w:ind w:firstLine="480"/>
        <w:jc w:val="both"/>
        <w:spacing w:beforeAutospacing="0" w:afterAutospacing="0"/>
        <w:tabs>
          <w:tab w:val="left" w:pos="360" w:leader="none"/>
        </w:tabs>
      </w:pPr>
      <w:r/>
      <w:r/>
    </w:p>
    <w:p>
      <w:pPr>
        <w:pStyle w:val="992"/>
        <w:ind w:firstLine="480"/>
        <w:jc w:val="both"/>
        <w:spacing w:beforeAutospacing="0" w:afterAutospacing="0"/>
        <w:tabs>
          <w:tab w:val="left" w:pos="360" w:leader="none"/>
        </w:tabs>
      </w:pPr>
      <w:r/>
      <w:r/>
    </w:p>
    <w:p>
      <w:pPr>
        <w:pStyle w:val="992"/>
        <w:ind w:firstLine="480"/>
        <w:jc w:val="both"/>
        <w:spacing w:beforeAutospacing="0" w:afterAutospacing="0"/>
        <w:tabs>
          <w:tab w:val="left" w:pos="360" w:leader="none"/>
        </w:tabs>
      </w:pPr>
      <w:r/>
      <w:r/>
    </w:p>
    <w:p>
      <w:pPr>
        <w:pStyle w:val="992"/>
        <w:ind w:firstLine="480"/>
        <w:jc w:val="both"/>
        <w:spacing w:beforeAutospacing="0" w:afterAutospacing="0"/>
        <w:tabs>
          <w:tab w:val="left" w:pos="360" w:leader="none"/>
        </w:tabs>
      </w:pPr>
      <w:r/>
      <w:r/>
    </w:p>
    <w:p>
      <w:pPr>
        <w:pStyle w:val="992"/>
        <w:ind w:firstLine="480"/>
        <w:jc w:val="both"/>
        <w:spacing w:beforeAutospacing="0" w:afterAutospacing="0"/>
        <w:tabs>
          <w:tab w:val="left" w:pos="360" w:leader="none"/>
        </w:tabs>
      </w:pPr>
      <w:r/>
      <w:r/>
    </w:p>
    <w:p>
      <w:pPr>
        <w:pStyle w:val="992"/>
        <w:jc w:val="both"/>
        <w:spacing w:beforeAutospacing="0" w:afterAutospacing="0" w:line="360" w:lineRule="auto"/>
      </w:pPr>
      <w:r/>
      <w:r/>
    </w:p>
    <w:p>
      <w:pPr>
        <w:pStyle w:val="992"/>
        <w:jc w:val="center"/>
        <w:spacing w:beforeAutospacing="0" w:afterAutospacing="0" w:line="360" w:lineRule="auto"/>
        <w:rPr>
          <w:rFonts w:hint="eastAsia" w:ascii="黑体" w:hAnsi="宋体" w:eastAsia="黑体" w:cs="黑体"/>
          <w:iCs/>
          <w:sz w:val="32"/>
          <w:szCs w:val="32"/>
        </w:rPr>
      </w:pPr>
      <w:r>
        <w:rPr>
          <w:rFonts w:hint="eastAsia" w:ascii="黑体" w:hAnsi="宋体" w:eastAsia="黑体" w:cs="黑体"/>
          <w:iCs/>
          <w:sz w:val="32"/>
          <w:szCs w:val="32"/>
        </w:rPr>
        <w:t xml:space="preserve">八、单一来源响应函</w:t>
      </w:r>
      <w:r/>
    </w:p>
    <w:p>
      <w:pPr>
        <w:pStyle w:val="992"/>
        <w:spacing w:beforeAutospacing="0" w:afterAutospacing="0" w:line="360" w:lineRule="auto"/>
      </w:pPr>
      <w:r>
        <w:rPr>
          <w:rFonts w:hint="eastAsia" w:ascii="宋体" w:hAnsi="宋体" w:cs="宋体"/>
        </w:rPr>
        <w:t xml:space="preserve">致：徐州医科大学附属医院/江苏海外集团国际工程咨询有限公司</w:t>
      </w:r>
      <w:r/>
    </w:p>
    <w:p>
      <w:pPr>
        <w:pStyle w:val="992"/>
        <w:ind w:firstLine="480"/>
        <w:spacing w:beforeAutospacing="0" w:afterAutospacing="0" w:line="360" w:lineRule="auto"/>
      </w:pPr>
      <w:r>
        <w:rPr>
          <w:rFonts w:hint="eastAsia" w:ascii="宋体" w:hAnsi="宋体" w:cs="宋体"/>
        </w:rPr>
        <w:t xml:space="preserve">根据贵方的</w:t>
      </w:r>
      <w:r>
        <w:rPr>
          <w:rFonts w:hint="eastAsia" w:ascii="宋体" w:hAnsi="宋体" w:cs="宋体"/>
          <w:b/>
          <w:sz w:val="36"/>
          <w:szCs w:val="36"/>
          <w:u w:val="single"/>
        </w:rPr>
        <w:t xml:space="preserve">   </w:t>
      </w:r>
      <w:r>
        <w:rPr>
          <w:rFonts w:hint="eastAsia" w:ascii="宋体" w:hAnsi="宋体" w:cs="宋体"/>
        </w:rPr>
        <w:t xml:space="preserve">号采购文件，正式授权下述签字人______(姓名)代表我方______________（供应商的名称），全权处理本次项目单一来源采购的有关事宜。</w:t>
      </w:r>
      <w:r/>
    </w:p>
    <w:p>
      <w:pPr>
        <w:pStyle w:val="992"/>
        <w:ind w:firstLine="480"/>
        <w:spacing w:beforeAutospacing="0" w:afterAutospacing="0" w:line="360" w:lineRule="auto"/>
      </w:pPr>
      <w:r>
        <w:rPr>
          <w:rFonts w:hint="eastAsia" w:ascii="宋体" w:hAnsi="宋体" w:cs="宋体"/>
        </w:rPr>
        <w:t xml:space="preserve">据此函，__________签字</w:t>
      </w:r>
      <w:r>
        <w:rPr>
          <w:rFonts w:hint="eastAsia" w:ascii="宋体" w:hAnsi="宋体" w:cs="宋体"/>
        </w:rPr>
        <w:t xml:space="preserve">人兹宣布</w:t>
      </w:r>
      <w:r>
        <w:rPr>
          <w:rFonts w:hint="eastAsia" w:ascii="宋体" w:hAnsi="宋体" w:cs="宋体"/>
        </w:rPr>
        <w:t xml:space="preserve">同意如下：</w:t>
      </w:r>
      <w:r/>
    </w:p>
    <w:p>
      <w:pPr>
        <w:pStyle w:val="992"/>
        <w:ind w:firstLine="480"/>
        <w:spacing w:beforeAutospacing="0" w:afterAutospacing="0" w:line="360" w:lineRule="auto"/>
      </w:pPr>
      <w:r>
        <w:rPr>
          <w:rFonts w:hint="eastAsia" w:ascii="宋体" w:hAnsi="宋体" w:cs="宋体"/>
        </w:rPr>
        <w:t xml:space="preserve">1.按采购文件规定的各项要求，向买方提供所需货物、服务（包含与货物相关的服务及与服务相关的货物）。</w:t>
      </w:r>
      <w:r/>
    </w:p>
    <w:p>
      <w:pPr>
        <w:pStyle w:val="992"/>
        <w:ind w:firstLine="480"/>
        <w:spacing w:beforeAutospacing="0" w:afterAutospacing="0" w:line="360" w:lineRule="auto"/>
      </w:pPr>
      <w:r>
        <w:rPr>
          <w:rFonts w:hint="eastAsia" w:ascii="宋体" w:hAnsi="宋体" w:cs="宋体"/>
        </w:rPr>
        <w:t xml:space="preserve">2.我们已详细审核全部采购文件及其有效补充文件，我们知道必须放弃提出含糊不清或误解问题的权利。</w:t>
      </w:r>
      <w:r/>
    </w:p>
    <w:p>
      <w:pPr>
        <w:pStyle w:val="992"/>
        <w:ind w:firstLine="480"/>
        <w:spacing w:beforeAutospacing="0" w:afterAutospacing="0" w:line="360" w:lineRule="auto"/>
      </w:pPr>
      <w:r>
        <w:rPr>
          <w:rFonts w:hint="eastAsia" w:ascii="宋体" w:hAnsi="宋体" w:cs="宋体"/>
        </w:rPr>
        <w:t xml:space="preserve">3.我们同意从规定的单一来源谈判时间起遵循本响应文件，并在规定的单一来源谈判有效期期满之前均具有约束力。</w:t>
      </w:r>
      <w:r/>
    </w:p>
    <w:p>
      <w:pPr>
        <w:pStyle w:val="992"/>
        <w:ind w:firstLine="480"/>
        <w:spacing w:beforeAutospacing="0" w:afterAutospacing="0" w:line="360" w:lineRule="auto"/>
      </w:pPr>
      <w:r>
        <w:rPr>
          <w:rFonts w:hint="eastAsia" w:ascii="宋体" w:hAnsi="宋体" w:cs="宋体"/>
        </w:rPr>
        <w:t xml:space="preserve">4.同意向贵方提供贵方可能另外要求的与单一来源采购有关的任何证据或资料，并保证我方已提供和将要提供的文件是真实的、准确的。</w:t>
      </w:r>
      <w:r/>
    </w:p>
    <w:p>
      <w:pPr>
        <w:pStyle w:val="992"/>
        <w:ind w:firstLine="480"/>
        <w:spacing w:beforeAutospacing="0" w:afterAutospacing="0" w:line="360" w:lineRule="auto"/>
      </w:pPr>
      <w:r>
        <w:rPr>
          <w:rFonts w:hint="eastAsia" w:ascii="宋体" w:hAnsi="宋体" w:cs="宋体"/>
        </w:rPr>
        <w:t xml:space="preserve">5.一旦我方成交,我方将根据采购文件的规定，严格履行合同的责任和义务,并保证在采购文件规定的时间完成项目，交付买方验收、使用。</w:t>
      </w:r>
      <w:r/>
    </w:p>
    <w:p>
      <w:pPr>
        <w:pStyle w:val="992"/>
        <w:ind w:left="425"/>
        <w:spacing w:beforeAutospacing="0" w:afterAutospacing="0" w:line="360" w:lineRule="auto"/>
      </w:pPr>
      <w:r>
        <w:rPr>
          <w:rFonts w:hint="eastAsia" w:ascii="宋体" w:hAnsi="宋体" w:cs="宋体"/>
        </w:rPr>
        <w:t xml:space="preserve">6.我方与本次单一来源采购有关的正式通讯地址为：</w:t>
      </w:r>
      <w:r/>
    </w:p>
    <w:p>
      <w:pPr>
        <w:pStyle w:val="992"/>
        <w:ind w:left="420" w:firstLine="480"/>
        <w:spacing w:beforeAutospacing="0" w:afterAutospacing="0" w:line="360" w:lineRule="auto"/>
      </w:pPr>
      <w:r>
        <w:rPr>
          <w:rFonts w:hint="eastAsia" w:ascii="宋体" w:hAnsi="宋体" w:cs="宋体"/>
        </w:rPr>
        <w:t xml:space="preserve">地          址：</w:t>
      </w:r>
      <w:r/>
    </w:p>
    <w:p>
      <w:pPr>
        <w:pStyle w:val="992"/>
        <w:ind w:left="420" w:firstLine="480"/>
        <w:spacing w:beforeAutospacing="0" w:afterAutospacing="0" w:line="360" w:lineRule="auto"/>
      </w:pPr>
      <w:r>
        <w:rPr>
          <w:rFonts w:hint="eastAsia" w:ascii="宋体" w:hAnsi="宋体" w:cs="宋体"/>
        </w:rPr>
        <w:t xml:space="preserve">邮          编：</w:t>
      </w:r>
      <w:r/>
    </w:p>
    <w:p>
      <w:pPr>
        <w:pStyle w:val="992"/>
        <w:ind w:left="420" w:firstLine="480"/>
        <w:spacing w:beforeAutospacing="0" w:afterAutospacing="0" w:line="360" w:lineRule="auto"/>
      </w:pPr>
      <w:r>
        <w:rPr>
          <w:rFonts w:hint="eastAsia" w:ascii="宋体" w:hAnsi="宋体" w:cs="宋体"/>
        </w:rPr>
        <w:t xml:space="preserve">电          话：</w:t>
      </w:r>
      <w:r/>
    </w:p>
    <w:p>
      <w:pPr>
        <w:pStyle w:val="992"/>
        <w:ind w:left="420" w:firstLine="480"/>
        <w:spacing w:beforeAutospacing="0" w:afterAutospacing="0" w:line="360" w:lineRule="auto"/>
      </w:pPr>
      <w:r>
        <w:rPr>
          <w:rFonts w:hint="eastAsia" w:ascii="宋体" w:hAnsi="宋体" w:cs="宋体"/>
        </w:rPr>
        <w:t xml:space="preserve">传          真：</w:t>
      </w:r>
      <w:r/>
    </w:p>
    <w:p>
      <w:pPr>
        <w:pStyle w:val="992"/>
        <w:ind w:left="420" w:firstLine="480"/>
        <w:spacing w:beforeAutospacing="0" w:afterAutospacing="0" w:line="360" w:lineRule="auto"/>
      </w:pPr>
      <w:r>
        <w:rPr>
          <w:rFonts w:hint="eastAsia" w:ascii="宋体" w:hAnsi="宋体" w:cs="宋体"/>
        </w:rPr>
        <w:t xml:space="preserve">供应商开户行：</w:t>
      </w:r>
      <w:r/>
    </w:p>
    <w:p>
      <w:pPr>
        <w:pStyle w:val="992"/>
        <w:ind w:left="420" w:firstLine="480"/>
        <w:spacing w:beforeAutospacing="0" w:afterAutospacing="0" w:line="360" w:lineRule="auto"/>
      </w:pPr>
      <w:r>
        <w:rPr>
          <w:rFonts w:hint="eastAsia" w:ascii="宋体" w:hAnsi="宋体" w:cs="宋体"/>
        </w:rPr>
        <w:t xml:space="preserve">账          号： </w:t>
      </w:r>
      <w:r/>
    </w:p>
    <w:p>
      <w:pPr>
        <w:pStyle w:val="992"/>
        <w:ind w:left="420" w:firstLine="480"/>
        <w:spacing w:beforeAutospacing="0" w:afterAutospacing="0" w:line="360" w:lineRule="auto"/>
      </w:pPr>
      <w:r>
        <w:rPr>
          <w:rFonts w:hint="eastAsia" w:ascii="宋体" w:hAnsi="宋体" w:cs="宋体"/>
        </w:rPr>
        <w:t xml:space="preserve">日           期：________年____月____日</w:t>
      </w:r>
      <w:r/>
    </w:p>
    <w:p>
      <w:pPr>
        <w:pStyle w:val="992"/>
        <w:ind w:firstLine="240"/>
        <w:jc w:val="center"/>
        <w:spacing w:beforeAutospacing="0" w:afterAutospacing="0" w:line="360" w:lineRule="auto"/>
      </w:pPr>
      <w:r>
        <w:t xml:space="preserve"> </w:t>
      </w:r>
      <w:r/>
    </w:p>
    <w:p>
      <w:pPr>
        <w:pStyle w:val="992"/>
        <w:ind w:firstLine="240"/>
        <w:jc w:val="center"/>
        <w:spacing w:beforeAutospacing="0" w:afterAutospacing="0" w:line="360" w:lineRule="auto"/>
      </w:pPr>
      <w:r>
        <w:t xml:space="preserve"> </w:t>
      </w:r>
      <w:r/>
    </w:p>
    <w:p>
      <w:pPr>
        <w:pStyle w:val="992"/>
        <w:ind w:firstLine="240"/>
        <w:jc w:val="center"/>
        <w:spacing w:beforeAutospacing="0" w:afterAutospacing="0" w:line="360" w:lineRule="auto"/>
      </w:pPr>
      <w:r/>
      <w:r/>
    </w:p>
    <w:p>
      <w:pPr>
        <w:pStyle w:val="992"/>
        <w:ind w:firstLine="240"/>
        <w:jc w:val="center"/>
        <w:spacing w:beforeAutospacing="0" w:afterAutospacing="0" w:line="360" w:lineRule="auto"/>
      </w:pPr>
      <w:r>
        <w:t xml:space="preserve"> </w:t>
      </w:r>
      <w:r/>
    </w:p>
    <w:p>
      <w:pPr>
        <w:pStyle w:val="992"/>
        <w:ind w:firstLine="240"/>
        <w:jc w:val="center"/>
        <w:spacing w:beforeAutospacing="0" w:afterAutospacing="0" w:line="360" w:lineRule="auto"/>
      </w:pPr>
      <w:r>
        <w:t xml:space="preserve"> </w:t>
      </w:r>
      <w:r/>
    </w:p>
    <w:p>
      <w:pPr>
        <w:pStyle w:val="992"/>
        <w:ind w:firstLine="240"/>
        <w:jc w:val="center"/>
        <w:spacing w:beforeAutospacing="0" w:afterAutospacing="0" w:line="360" w:lineRule="auto"/>
      </w:pPr>
      <w:r>
        <w:t xml:space="preserve"> </w:t>
      </w:r>
      <w:r/>
    </w:p>
    <w:p>
      <w:pPr>
        <w:pStyle w:val="992"/>
        <w:spacing w:beforeAutospacing="0" w:afterAutospacing="0"/>
      </w:pPr>
      <w:r>
        <w:t xml:space="preserve"> </w:t>
      </w:r>
      <w:r/>
    </w:p>
    <w:p>
      <w:pPr>
        <w:pStyle w:val="992"/>
        <w:jc w:val="center"/>
        <w:spacing w:beforeAutospacing="0" w:afterAutospacing="0"/>
        <w:rPr>
          <w:rFonts w:hint="eastAsia" w:ascii="黑体" w:hAnsi="宋体" w:eastAsia="黑体" w:cs="黑体"/>
          <w:iCs/>
          <w:sz w:val="32"/>
          <w:szCs w:val="32"/>
        </w:rPr>
      </w:pPr>
      <w:r>
        <w:rPr>
          <w:rFonts w:hint="eastAsia" w:ascii="黑体" w:hAnsi="宋体" w:eastAsia="黑体" w:cs="黑体"/>
          <w:iCs/>
          <w:sz w:val="32"/>
          <w:szCs w:val="32"/>
        </w:rPr>
        <w:t xml:space="preserve">九、分项报价表</w:t>
      </w:r>
      <w:r/>
    </w:p>
    <w:tbl>
      <w:tblPr>
        <w:tblW w:w="5000" w:type="pct"/>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6"/>
        <w:gridCol w:w="1812"/>
        <w:gridCol w:w="1192"/>
        <w:gridCol w:w="1219"/>
        <w:gridCol w:w="1016"/>
        <w:gridCol w:w="1673"/>
        <w:gridCol w:w="1848"/>
      </w:tblGrid>
      <w:tr>
        <w:trPr>
          <w:tblCellSpacing w:w="0" w:type="dxa"/>
          <w:trHeight w:val="544"/>
        </w:trPr>
        <w:tc>
          <w:tcPr>
            <w:tcW w:w="378" w:type="pct"/>
            <w:vAlign w:val="center"/>
            <w:vMerge w:val="restart"/>
            <w:textDirection w:val="lrTb"/>
            <w:noWrap w:val="false"/>
          </w:tcPr>
          <w:p>
            <w:pPr>
              <w:pStyle w:val="992"/>
              <w:jc w:val="center"/>
              <w:spacing w:beforeAutospacing="0" w:afterAutospacing="0" w:line="0" w:lineRule="atLeast"/>
            </w:pPr>
            <w:r>
              <w:rPr>
                <w:rFonts w:hint="eastAsia" w:ascii="宋体" w:hAnsi="宋体" w:cs="宋体"/>
              </w:rPr>
              <w:t xml:space="preserve">序号</w:t>
            </w:r>
            <w:r/>
          </w:p>
        </w:tc>
        <w:tc>
          <w:tcPr>
            <w:tcW w:w="956" w:type="pct"/>
            <w:vAlign w:val="center"/>
            <w:textDirection w:val="lrTb"/>
            <w:noWrap w:val="false"/>
          </w:tcPr>
          <w:p>
            <w:pPr>
              <w:pStyle w:val="992"/>
              <w:jc w:val="center"/>
              <w:spacing w:beforeAutospacing="0" w:afterAutospacing="0" w:line="0" w:lineRule="atLeast"/>
            </w:pPr>
            <w:r>
              <w:rPr>
                <w:rFonts w:hint="eastAsia" w:ascii="宋体" w:hAnsi="宋体" w:cs="宋体"/>
              </w:rPr>
              <w:t xml:space="preserve">1</w:t>
            </w:r>
            <w:r/>
          </w:p>
        </w:tc>
        <w:tc>
          <w:tcPr>
            <w:tcW w:w="629" w:type="pct"/>
            <w:vAlign w:val="center"/>
            <w:textDirection w:val="lrTb"/>
            <w:noWrap w:val="false"/>
          </w:tcPr>
          <w:p>
            <w:pPr>
              <w:pStyle w:val="992"/>
              <w:jc w:val="center"/>
              <w:spacing w:beforeAutospacing="0" w:afterAutospacing="0" w:line="0" w:lineRule="atLeast"/>
            </w:pPr>
            <w:r>
              <w:rPr>
                <w:rFonts w:hint="eastAsia" w:ascii="宋体" w:hAnsi="宋体" w:cs="宋体"/>
              </w:rPr>
              <w:t xml:space="preserve">2</w:t>
            </w:r>
            <w:r/>
          </w:p>
        </w:tc>
        <w:tc>
          <w:tcPr>
            <w:tcW w:w="643" w:type="pct"/>
            <w:vAlign w:val="center"/>
            <w:textDirection w:val="lrTb"/>
            <w:noWrap w:val="false"/>
          </w:tcPr>
          <w:p>
            <w:pPr>
              <w:pStyle w:val="992"/>
              <w:jc w:val="center"/>
              <w:spacing w:beforeAutospacing="0" w:afterAutospacing="0" w:line="0" w:lineRule="atLeast"/>
            </w:pPr>
            <w:r>
              <w:rPr>
                <w:rFonts w:hint="eastAsia" w:ascii="宋体" w:hAnsi="宋体" w:cs="宋体"/>
              </w:rPr>
              <w:t xml:space="preserve">3</w:t>
            </w:r>
            <w:r/>
          </w:p>
        </w:tc>
        <w:tc>
          <w:tcPr>
            <w:tcW w:w="536" w:type="pct"/>
            <w:vAlign w:val="center"/>
            <w:textDirection w:val="lrTb"/>
            <w:noWrap w:val="false"/>
          </w:tcPr>
          <w:p>
            <w:pPr>
              <w:pStyle w:val="992"/>
              <w:jc w:val="center"/>
              <w:spacing w:beforeAutospacing="0" w:afterAutospacing="0" w:line="0" w:lineRule="atLeast"/>
            </w:pPr>
            <w:r>
              <w:rPr>
                <w:rFonts w:hint="eastAsia" w:ascii="宋体" w:hAnsi="宋体" w:cs="宋体"/>
              </w:rPr>
              <w:t xml:space="preserve">4</w:t>
            </w:r>
            <w:r/>
          </w:p>
        </w:tc>
        <w:tc>
          <w:tcPr>
            <w:tcW w:w="883" w:type="pct"/>
            <w:vAlign w:val="center"/>
            <w:textDirection w:val="lrTb"/>
            <w:noWrap w:val="false"/>
          </w:tcPr>
          <w:p>
            <w:pPr>
              <w:pStyle w:val="992"/>
              <w:jc w:val="center"/>
              <w:spacing w:beforeAutospacing="0" w:afterAutospacing="0" w:line="0" w:lineRule="atLeast"/>
            </w:pPr>
            <w:r>
              <w:rPr>
                <w:rFonts w:hint="eastAsia" w:ascii="宋体" w:hAnsi="宋体" w:cs="宋体"/>
              </w:rPr>
              <w:t xml:space="preserve">5</w:t>
            </w:r>
            <w:r/>
          </w:p>
        </w:tc>
        <w:tc>
          <w:tcPr>
            <w:tcW w:w="976" w:type="pct"/>
            <w:vAlign w:val="center"/>
            <w:textDirection w:val="lrTb"/>
            <w:noWrap w:val="false"/>
          </w:tcPr>
          <w:p>
            <w:pPr>
              <w:pStyle w:val="992"/>
              <w:jc w:val="center"/>
              <w:spacing w:beforeAutospacing="0" w:afterAutospacing="0" w:line="0" w:lineRule="atLeast"/>
            </w:pPr>
            <w:r>
              <w:rPr>
                <w:rFonts w:hint="eastAsia" w:ascii="宋体" w:hAnsi="宋体" w:cs="宋体"/>
              </w:rPr>
              <w:t xml:space="preserve">6</w:t>
            </w:r>
            <w:r/>
          </w:p>
        </w:tc>
      </w:tr>
      <w:tr>
        <w:trPr>
          <w:tblCellSpacing w:w="0" w:type="dxa"/>
          <w:trHeight w:val="294"/>
        </w:trPr>
        <w:tc>
          <w:tcPr>
            <w:tcW w:w="378" w:type="pct"/>
            <w:vAlign w:val="center"/>
            <w:vMerge w:val="continue"/>
            <w:textDirection w:val="lrTb"/>
            <w:noWrap w:val="false"/>
          </w:tcPr>
          <w:p>
            <w:pPr>
              <w:rPr>
                <w:rFonts w:ascii="宋体"/>
                <w:sz w:val="24"/>
              </w:rPr>
            </w:pPr>
            <w:r>
              <w:rPr>
                <w:rFonts w:ascii="宋体"/>
                <w:sz w:val="24"/>
              </w:rPr>
            </w:r>
            <w:r/>
          </w:p>
        </w:tc>
        <w:tc>
          <w:tcPr>
            <w:tcW w:w="956" w:type="pct"/>
            <w:vAlign w:val="center"/>
            <w:textDirection w:val="lrTb"/>
            <w:noWrap w:val="false"/>
          </w:tcPr>
          <w:p>
            <w:pPr>
              <w:pStyle w:val="992"/>
              <w:spacing w:beforeAutospacing="0" w:afterAutospacing="0" w:line="0" w:lineRule="atLeast"/>
            </w:pPr>
            <w:r>
              <w:rPr>
                <w:rFonts w:hint="eastAsia" w:ascii="宋体" w:hAnsi="宋体" w:cs="宋体"/>
              </w:rPr>
              <w:t xml:space="preserve">分项服务名称</w:t>
            </w:r>
            <w:r/>
          </w:p>
        </w:tc>
        <w:tc>
          <w:tcPr>
            <w:tcW w:w="629" w:type="pct"/>
            <w:vAlign w:val="center"/>
            <w:textDirection w:val="lrTb"/>
            <w:noWrap w:val="false"/>
          </w:tcPr>
          <w:p>
            <w:pPr>
              <w:pStyle w:val="992"/>
              <w:jc w:val="center"/>
              <w:spacing w:beforeAutospacing="0" w:afterAutospacing="0" w:line="0" w:lineRule="atLeast"/>
            </w:pPr>
            <w:r>
              <w:rPr>
                <w:rFonts w:hint="eastAsia" w:ascii="宋体" w:hAnsi="宋体" w:cs="宋体"/>
              </w:rPr>
              <w:t xml:space="preserve">服务期</w:t>
            </w:r>
            <w:r/>
          </w:p>
        </w:tc>
        <w:tc>
          <w:tcPr>
            <w:tcW w:w="643" w:type="pct"/>
            <w:vAlign w:val="center"/>
            <w:textDirection w:val="lrTb"/>
            <w:noWrap w:val="false"/>
          </w:tcPr>
          <w:p>
            <w:pPr>
              <w:pStyle w:val="992"/>
              <w:jc w:val="center"/>
              <w:spacing w:beforeAutospacing="0" w:afterAutospacing="0" w:line="0" w:lineRule="atLeast"/>
            </w:pPr>
            <w:r>
              <w:rPr>
                <w:rFonts w:hint="eastAsia" w:ascii="宋体" w:hAnsi="宋体" w:cs="宋体"/>
              </w:rPr>
              <w:t xml:space="preserve">分项单位</w:t>
            </w:r>
            <w:r/>
          </w:p>
        </w:tc>
        <w:tc>
          <w:tcPr>
            <w:tcW w:w="536" w:type="pct"/>
            <w:vAlign w:val="center"/>
            <w:textDirection w:val="lrTb"/>
            <w:noWrap w:val="false"/>
          </w:tcPr>
          <w:p>
            <w:pPr>
              <w:pStyle w:val="992"/>
              <w:jc w:val="center"/>
              <w:spacing w:beforeAutospacing="0" w:afterAutospacing="0" w:line="0" w:lineRule="atLeast"/>
            </w:pPr>
            <w:r>
              <w:rPr>
                <w:rFonts w:hint="eastAsia" w:ascii="宋体" w:hAnsi="宋体" w:cs="宋体"/>
              </w:rPr>
              <w:t xml:space="preserve">数量</w:t>
            </w:r>
            <w:r/>
          </w:p>
        </w:tc>
        <w:tc>
          <w:tcPr>
            <w:tcW w:w="883" w:type="pct"/>
            <w:vAlign w:val="center"/>
            <w:textDirection w:val="lrTb"/>
            <w:noWrap w:val="false"/>
          </w:tcPr>
          <w:p>
            <w:pPr>
              <w:pStyle w:val="992"/>
              <w:jc w:val="center"/>
              <w:spacing w:beforeAutospacing="0" w:afterAutospacing="0" w:line="0" w:lineRule="atLeast"/>
            </w:pPr>
            <w:r>
              <w:rPr>
                <w:rFonts w:hint="eastAsia" w:ascii="宋体" w:hAnsi="宋体" w:cs="宋体"/>
              </w:rPr>
              <w:t xml:space="preserve">分项单价</w:t>
            </w:r>
            <w:r/>
          </w:p>
        </w:tc>
        <w:tc>
          <w:tcPr>
            <w:tcW w:w="976" w:type="pct"/>
            <w:vAlign w:val="center"/>
            <w:textDirection w:val="lrTb"/>
            <w:noWrap w:val="false"/>
          </w:tcPr>
          <w:p>
            <w:pPr>
              <w:pStyle w:val="992"/>
              <w:jc w:val="center"/>
              <w:spacing w:beforeAutospacing="0" w:afterAutospacing="0" w:line="0" w:lineRule="atLeast"/>
            </w:pPr>
            <w:r>
              <w:rPr>
                <w:rFonts w:hint="eastAsia" w:ascii="宋体" w:hAnsi="宋体" w:cs="宋体"/>
              </w:rPr>
              <w:t xml:space="preserve">分项总价</w:t>
            </w:r>
            <w:r/>
          </w:p>
        </w:tc>
      </w:tr>
      <w:tr>
        <w:trPr>
          <w:tblCellSpacing w:w="0" w:type="dxa"/>
          <w:trHeight w:val="654"/>
        </w:trPr>
        <w:tc>
          <w:tcPr>
            <w:tcW w:w="378" w:type="pct"/>
            <w:vAlign w:val="center"/>
            <w:textDirection w:val="lrTb"/>
            <w:noWrap w:val="false"/>
          </w:tcPr>
          <w:p>
            <w:pPr>
              <w:pStyle w:val="992"/>
              <w:jc w:val="center"/>
              <w:spacing w:beforeAutospacing="0" w:afterAutospacing="0" w:line="0" w:lineRule="atLeast"/>
            </w:pPr>
            <w:r>
              <w:rPr>
                <w:rFonts w:hint="eastAsia" w:ascii="宋体" w:hAnsi="宋体" w:cs="宋体"/>
              </w:rPr>
              <w:t xml:space="preserve">1</w:t>
            </w:r>
            <w:r/>
          </w:p>
        </w:tc>
        <w:tc>
          <w:tcPr>
            <w:tcW w:w="956" w:type="pct"/>
            <w:vAlign w:val="center"/>
            <w:textDirection w:val="lrTb"/>
            <w:noWrap w:val="false"/>
          </w:tcPr>
          <w:p>
            <w:pPr>
              <w:pStyle w:val="992"/>
              <w:jc w:val="center"/>
              <w:spacing w:beforeAutospacing="0" w:afterAutospacing="0" w:line="0" w:lineRule="atLeast"/>
            </w:pPr>
            <w:r>
              <w:t xml:space="preserve"> </w:t>
            </w:r>
            <w:r/>
          </w:p>
        </w:tc>
        <w:tc>
          <w:tcPr>
            <w:tcW w:w="629" w:type="pct"/>
            <w:vAlign w:val="center"/>
            <w:textDirection w:val="lrTb"/>
            <w:noWrap w:val="false"/>
          </w:tcPr>
          <w:p>
            <w:pPr>
              <w:pStyle w:val="992"/>
              <w:jc w:val="center"/>
              <w:spacing w:beforeAutospacing="0" w:afterAutospacing="0" w:line="0" w:lineRule="atLeast"/>
            </w:pPr>
            <w:r>
              <w:t xml:space="preserve"> </w:t>
            </w:r>
            <w:r/>
          </w:p>
        </w:tc>
        <w:tc>
          <w:tcPr>
            <w:tcW w:w="643" w:type="pct"/>
            <w:vAlign w:val="center"/>
            <w:textDirection w:val="lrTb"/>
            <w:noWrap w:val="false"/>
          </w:tcPr>
          <w:p>
            <w:pPr>
              <w:pStyle w:val="992"/>
              <w:jc w:val="center"/>
              <w:spacing w:beforeAutospacing="0" w:afterAutospacing="0" w:line="0" w:lineRule="atLeast"/>
            </w:pPr>
            <w:r>
              <w:t xml:space="preserve"> </w:t>
            </w:r>
            <w:r/>
          </w:p>
        </w:tc>
        <w:tc>
          <w:tcPr>
            <w:tcW w:w="536" w:type="pct"/>
            <w:vAlign w:val="center"/>
            <w:textDirection w:val="lrTb"/>
            <w:noWrap w:val="false"/>
          </w:tcPr>
          <w:p>
            <w:pPr>
              <w:pStyle w:val="992"/>
              <w:jc w:val="center"/>
              <w:spacing w:beforeAutospacing="0" w:afterAutospacing="0" w:line="0" w:lineRule="atLeast"/>
            </w:pPr>
            <w:r>
              <w:t xml:space="preserve"> </w:t>
            </w:r>
            <w:r/>
          </w:p>
        </w:tc>
        <w:tc>
          <w:tcPr>
            <w:tcW w:w="883" w:type="pct"/>
            <w:vAlign w:val="center"/>
            <w:textDirection w:val="lrTb"/>
            <w:noWrap w:val="false"/>
          </w:tcPr>
          <w:p>
            <w:pPr>
              <w:pStyle w:val="992"/>
              <w:jc w:val="center"/>
              <w:spacing w:beforeAutospacing="0" w:afterAutospacing="0" w:line="0" w:lineRule="atLeast"/>
            </w:pPr>
            <w:r>
              <w:t xml:space="preserve"> </w:t>
            </w:r>
            <w:r/>
          </w:p>
        </w:tc>
        <w:tc>
          <w:tcPr>
            <w:tcW w:w="976" w:type="pct"/>
            <w:vAlign w:val="center"/>
            <w:textDirection w:val="lrTb"/>
            <w:noWrap w:val="false"/>
          </w:tcPr>
          <w:p>
            <w:pPr>
              <w:pStyle w:val="992"/>
              <w:jc w:val="center"/>
              <w:spacing w:beforeAutospacing="0" w:afterAutospacing="0" w:line="0" w:lineRule="atLeast"/>
            </w:pPr>
            <w:r>
              <w:t xml:space="preserve"> </w:t>
            </w:r>
            <w:r/>
          </w:p>
        </w:tc>
      </w:tr>
      <w:tr>
        <w:trPr>
          <w:tblCellSpacing w:w="0" w:type="dxa"/>
          <w:trHeight w:val="654"/>
        </w:trPr>
        <w:tc>
          <w:tcPr>
            <w:tcW w:w="378" w:type="pct"/>
            <w:vAlign w:val="center"/>
            <w:textDirection w:val="lrTb"/>
            <w:noWrap w:val="false"/>
          </w:tcPr>
          <w:p>
            <w:pPr>
              <w:pStyle w:val="992"/>
              <w:jc w:val="center"/>
              <w:spacing w:beforeAutospacing="0" w:afterAutospacing="0" w:line="0" w:lineRule="atLeast"/>
            </w:pPr>
            <w:r>
              <w:rPr>
                <w:rFonts w:hint="eastAsia" w:ascii="宋体" w:hAnsi="宋体" w:cs="宋体"/>
              </w:rPr>
              <w:t xml:space="preserve">2</w:t>
            </w:r>
            <w:r/>
          </w:p>
        </w:tc>
        <w:tc>
          <w:tcPr>
            <w:tcW w:w="956" w:type="pct"/>
            <w:vAlign w:val="center"/>
            <w:textDirection w:val="lrTb"/>
            <w:noWrap w:val="false"/>
          </w:tcPr>
          <w:p>
            <w:pPr>
              <w:pStyle w:val="992"/>
              <w:jc w:val="center"/>
              <w:spacing w:beforeAutospacing="0" w:afterAutospacing="0" w:line="0" w:lineRule="atLeast"/>
            </w:pPr>
            <w:r>
              <w:t xml:space="preserve"> </w:t>
            </w:r>
            <w:r/>
          </w:p>
        </w:tc>
        <w:tc>
          <w:tcPr>
            <w:tcW w:w="629" w:type="pct"/>
            <w:vAlign w:val="center"/>
            <w:textDirection w:val="lrTb"/>
            <w:noWrap w:val="false"/>
          </w:tcPr>
          <w:p>
            <w:pPr>
              <w:pStyle w:val="992"/>
              <w:jc w:val="center"/>
              <w:spacing w:beforeAutospacing="0" w:afterAutospacing="0" w:line="0" w:lineRule="atLeast"/>
            </w:pPr>
            <w:r>
              <w:t xml:space="preserve"> </w:t>
            </w:r>
            <w:r/>
          </w:p>
        </w:tc>
        <w:tc>
          <w:tcPr>
            <w:tcW w:w="643" w:type="pct"/>
            <w:vAlign w:val="center"/>
            <w:textDirection w:val="lrTb"/>
            <w:noWrap w:val="false"/>
          </w:tcPr>
          <w:p>
            <w:pPr>
              <w:pStyle w:val="992"/>
              <w:jc w:val="center"/>
              <w:spacing w:beforeAutospacing="0" w:afterAutospacing="0" w:line="0" w:lineRule="atLeast"/>
            </w:pPr>
            <w:r>
              <w:t xml:space="preserve"> </w:t>
            </w:r>
            <w:r/>
          </w:p>
        </w:tc>
        <w:tc>
          <w:tcPr>
            <w:tcW w:w="536" w:type="pct"/>
            <w:vAlign w:val="center"/>
            <w:textDirection w:val="lrTb"/>
            <w:noWrap w:val="false"/>
          </w:tcPr>
          <w:p>
            <w:pPr>
              <w:pStyle w:val="992"/>
              <w:jc w:val="center"/>
              <w:spacing w:beforeAutospacing="0" w:afterAutospacing="0" w:line="0" w:lineRule="atLeast"/>
            </w:pPr>
            <w:r>
              <w:t xml:space="preserve"> </w:t>
            </w:r>
            <w:r/>
          </w:p>
        </w:tc>
        <w:tc>
          <w:tcPr>
            <w:tcW w:w="883" w:type="pct"/>
            <w:vAlign w:val="center"/>
            <w:textDirection w:val="lrTb"/>
            <w:noWrap w:val="false"/>
          </w:tcPr>
          <w:p>
            <w:pPr>
              <w:pStyle w:val="992"/>
              <w:jc w:val="center"/>
              <w:spacing w:beforeAutospacing="0" w:afterAutospacing="0" w:line="0" w:lineRule="atLeast"/>
            </w:pPr>
            <w:r>
              <w:t xml:space="preserve"> </w:t>
            </w:r>
            <w:r/>
          </w:p>
        </w:tc>
        <w:tc>
          <w:tcPr>
            <w:tcW w:w="976" w:type="pct"/>
            <w:vAlign w:val="center"/>
            <w:textDirection w:val="lrTb"/>
            <w:noWrap w:val="false"/>
          </w:tcPr>
          <w:p>
            <w:pPr>
              <w:pStyle w:val="992"/>
              <w:jc w:val="center"/>
              <w:spacing w:beforeAutospacing="0" w:afterAutospacing="0" w:line="0" w:lineRule="atLeast"/>
            </w:pPr>
            <w:r>
              <w:t xml:space="preserve"> </w:t>
            </w:r>
            <w:r/>
          </w:p>
        </w:tc>
      </w:tr>
      <w:tr>
        <w:trPr>
          <w:tblCellSpacing w:w="0" w:type="dxa"/>
          <w:trHeight w:val="654"/>
        </w:trPr>
        <w:tc>
          <w:tcPr>
            <w:tcW w:w="378" w:type="pct"/>
            <w:vAlign w:val="center"/>
            <w:textDirection w:val="lrTb"/>
            <w:noWrap w:val="false"/>
          </w:tcPr>
          <w:p>
            <w:pPr>
              <w:pStyle w:val="992"/>
              <w:jc w:val="center"/>
              <w:spacing w:beforeAutospacing="0" w:afterAutospacing="0" w:line="0" w:lineRule="atLeast"/>
            </w:pPr>
            <w:r>
              <w:rPr>
                <w:rFonts w:hint="eastAsia" w:ascii="宋体" w:hAnsi="宋体" w:cs="宋体"/>
              </w:rPr>
              <w:t xml:space="preserve">3</w:t>
            </w:r>
            <w:r/>
          </w:p>
        </w:tc>
        <w:tc>
          <w:tcPr>
            <w:tcW w:w="956" w:type="pct"/>
            <w:vAlign w:val="center"/>
            <w:textDirection w:val="lrTb"/>
            <w:noWrap w:val="false"/>
          </w:tcPr>
          <w:p>
            <w:pPr>
              <w:pStyle w:val="992"/>
              <w:jc w:val="center"/>
              <w:spacing w:beforeAutospacing="0" w:afterAutospacing="0" w:line="0" w:lineRule="atLeast"/>
            </w:pPr>
            <w:r>
              <w:t xml:space="preserve"> </w:t>
            </w:r>
            <w:r/>
          </w:p>
        </w:tc>
        <w:tc>
          <w:tcPr>
            <w:tcW w:w="629" w:type="pct"/>
            <w:vAlign w:val="center"/>
            <w:textDirection w:val="lrTb"/>
            <w:noWrap w:val="false"/>
          </w:tcPr>
          <w:p>
            <w:pPr>
              <w:pStyle w:val="992"/>
              <w:jc w:val="center"/>
              <w:spacing w:beforeAutospacing="0" w:afterAutospacing="0" w:line="0" w:lineRule="atLeast"/>
            </w:pPr>
            <w:r>
              <w:t xml:space="preserve"> </w:t>
            </w:r>
            <w:r/>
          </w:p>
        </w:tc>
        <w:tc>
          <w:tcPr>
            <w:tcW w:w="643" w:type="pct"/>
            <w:vAlign w:val="center"/>
            <w:textDirection w:val="lrTb"/>
            <w:noWrap w:val="false"/>
          </w:tcPr>
          <w:p>
            <w:pPr>
              <w:pStyle w:val="992"/>
              <w:jc w:val="center"/>
              <w:spacing w:beforeAutospacing="0" w:afterAutospacing="0" w:line="0" w:lineRule="atLeast"/>
            </w:pPr>
            <w:r>
              <w:t xml:space="preserve"> </w:t>
            </w:r>
            <w:r/>
          </w:p>
        </w:tc>
        <w:tc>
          <w:tcPr>
            <w:tcW w:w="536" w:type="pct"/>
            <w:vAlign w:val="center"/>
            <w:textDirection w:val="lrTb"/>
            <w:noWrap w:val="false"/>
          </w:tcPr>
          <w:p>
            <w:pPr>
              <w:pStyle w:val="992"/>
              <w:jc w:val="center"/>
              <w:spacing w:beforeAutospacing="0" w:afterAutospacing="0" w:line="0" w:lineRule="atLeast"/>
            </w:pPr>
            <w:r>
              <w:t xml:space="preserve"> </w:t>
            </w:r>
            <w:r/>
          </w:p>
        </w:tc>
        <w:tc>
          <w:tcPr>
            <w:tcW w:w="883" w:type="pct"/>
            <w:vAlign w:val="center"/>
            <w:textDirection w:val="lrTb"/>
            <w:noWrap w:val="false"/>
          </w:tcPr>
          <w:p>
            <w:pPr>
              <w:pStyle w:val="992"/>
              <w:jc w:val="center"/>
              <w:spacing w:beforeAutospacing="0" w:afterAutospacing="0" w:line="0" w:lineRule="atLeast"/>
            </w:pPr>
            <w:r>
              <w:t xml:space="preserve"> </w:t>
            </w:r>
            <w:r/>
          </w:p>
        </w:tc>
        <w:tc>
          <w:tcPr>
            <w:tcW w:w="976" w:type="pct"/>
            <w:vAlign w:val="center"/>
            <w:textDirection w:val="lrTb"/>
            <w:noWrap w:val="false"/>
          </w:tcPr>
          <w:p>
            <w:pPr>
              <w:pStyle w:val="992"/>
              <w:jc w:val="center"/>
              <w:spacing w:beforeAutospacing="0" w:afterAutospacing="0" w:line="0" w:lineRule="atLeast"/>
            </w:pPr>
            <w:r>
              <w:t xml:space="preserve"> </w:t>
            </w:r>
            <w:r/>
          </w:p>
        </w:tc>
      </w:tr>
      <w:tr>
        <w:trPr>
          <w:tblCellSpacing w:w="0" w:type="dxa"/>
          <w:trHeight w:val="654"/>
        </w:trPr>
        <w:tc>
          <w:tcPr>
            <w:tcW w:w="378" w:type="pct"/>
            <w:vAlign w:val="center"/>
            <w:textDirection w:val="lrTb"/>
            <w:noWrap w:val="false"/>
          </w:tcPr>
          <w:p>
            <w:pPr>
              <w:pStyle w:val="992"/>
              <w:jc w:val="center"/>
              <w:spacing w:beforeAutospacing="0" w:afterAutospacing="0" w:line="0" w:lineRule="atLeast"/>
            </w:pPr>
            <w:r>
              <w:rPr>
                <w:rFonts w:hint="eastAsia" w:ascii="宋体" w:hAnsi="宋体" w:cs="宋体"/>
              </w:rPr>
              <w:t xml:space="preserve">……</w:t>
            </w:r>
            <w:r/>
          </w:p>
        </w:tc>
        <w:tc>
          <w:tcPr>
            <w:tcW w:w="956" w:type="pct"/>
            <w:vAlign w:val="center"/>
            <w:textDirection w:val="lrTb"/>
            <w:noWrap w:val="false"/>
          </w:tcPr>
          <w:p>
            <w:pPr>
              <w:pStyle w:val="992"/>
              <w:jc w:val="center"/>
              <w:spacing w:beforeAutospacing="0" w:afterAutospacing="0" w:line="0" w:lineRule="atLeast"/>
            </w:pPr>
            <w:r>
              <w:rPr>
                <w:rFonts w:hint="eastAsia" w:ascii="宋体" w:hAnsi="宋体" w:cs="宋体"/>
              </w:rPr>
              <w:t xml:space="preserve">……</w:t>
            </w:r>
            <w:r/>
          </w:p>
        </w:tc>
        <w:tc>
          <w:tcPr>
            <w:tcW w:w="629" w:type="pct"/>
            <w:vAlign w:val="center"/>
            <w:textDirection w:val="lrTb"/>
            <w:noWrap w:val="false"/>
          </w:tcPr>
          <w:p>
            <w:pPr>
              <w:pStyle w:val="992"/>
              <w:jc w:val="center"/>
              <w:spacing w:beforeAutospacing="0" w:afterAutospacing="0" w:line="0" w:lineRule="atLeast"/>
            </w:pPr>
            <w:r>
              <w:t xml:space="preserve"> </w:t>
            </w:r>
            <w:r/>
          </w:p>
        </w:tc>
        <w:tc>
          <w:tcPr>
            <w:tcW w:w="643" w:type="pct"/>
            <w:vAlign w:val="center"/>
            <w:textDirection w:val="lrTb"/>
            <w:noWrap w:val="false"/>
          </w:tcPr>
          <w:p>
            <w:pPr>
              <w:pStyle w:val="992"/>
              <w:jc w:val="center"/>
              <w:spacing w:beforeAutospacing="0" w:afterAutospacing="0" w:line="0" w:lineRule="atLeast"/>
            </w:pPr>
            <w:r>
              <w:t xml:space="preserve"> </w:t>
            </w:r>
            <w:r/>
          </w:p>
        </w:tc>
        <w:tc>
          <w:tcPr>
            <w:tcW w:w="536" w:type="pct"/>
            <w:vAlign w:val="center"/>
            <w:textDirection w:val="lrTb"/>
            <w:noWrap w:val="false"/>
          </w:tcPr>
          <w:p>
            <w:pPr>
              <w:pStyle w:val="992"/>
              <w:jc w:val="center"/>
              <w:spacing w:beforeAutospacing="0" w:afterAutospacing="0" w:line="0" w:lineRule="atLeast"/>
            </w:pPr>
            <w:r>
              <w:t xml:space="preserve"> </w:t>
            </w:r>
            <w:r/>
          </w:p>
        </w:tc>
        <w:tc>
          <w:tcPr>
            <w:tcW w:w="883" w:type="pct"/>
            <w:vAlign w:val="center"/>
            <w:textDirection w:val="lrTb"/>
            <w:noWrap w:val="false"/>
          </w:tcPr>
          <w:p>
            <w:pPr>
              <w:pStyle w:val="992"/>
              <w:jc w:val="center"/>
              <w:spacing w:beforeAutospacing="0" w:afterAutospacing="0" w:line="0" w:lineRule="atLeast"/>
            </w:pPr>
            <w:r>
              <w:t xml:space="preserve"> </w:t>
            </w:r>
            <w:r/>
          </w:p>
        </w:tc>
        <w:tc>
          <w:tcPr>
            <w:tcW w:w="976" w:type="pct"/>
            <w:vAlign w:val="center"/>
            <w:textDirection w:val="lrTb"/>
            <w:noWrap w:val="false"/>
          </w:tcPr>
          <w:p>
            <w:pPr>
              <w:pStyle w:val="992"/>
              <w:jc w:val="center"/>
              <w:spacing w:beforeAutospacing="0" w:afterAutospacing="0" w:line="0" w:lineRule="atLeast"/>
            </w:pPr>
            <w:r>
              <w:t xml:space="preserve"> </w:t>
            </w:r>
            <w:r/>
          </w:p>
        </w:tc>
      </w:tr>
      <w:tr>
        <w:trPr>
          <w:tblCellSpacing w:w="0" w:type="dxa"/>
          <w:trHeight w:val="487"/>
        </w:trPr>
        <w:tc>
          <w:tcPr>
            <w:gridSpan w:val="6"/>
            <w:tcW w:w="4024" w:type="pct"/>
            <w:vAlign w:val="center"/>
            <w:textDirection w:val="lrTb"/>
            <w:noWrap w:val="false"/>
          </w:tcPr>
          <w:p>
            <w:pPr>
              <w:pStyle w:val="992"/>
              <w:jc w:val="center"/>
              <w:spacing w:beforeAutospacing="0" w:afterAutospacing="0" w:line="0" w:lineRule="atLeast"/>
            </w:pPr>
            <w:r>
              <w:rPr>
                <w:rFonts w:hint="eastAsia" w:ascii="宋体" w:hAnsi="宋体" w:cs="宋体"/>
              </w:rPr>
              <w:t xml:space="preserve">总报价（人民币：元）</w:t>
            </w:r>
            <w:r/>
          </w:p>
        </w:tc>
        <w:tc>
          <w:tcPr>
            <w:tcW w:w="976" w:type="pct"/>
            <w:vAlign w:val="center"/>
            <w:textDirection w:val="lrTb"/>
            <w:noWrap w:val="false"/>
          </w:tcPr>
          <w:p>
            <w:pPr>
              <w:pStyle w:val="992"/>
              <w:jc w:val="both"/>
              <w:spacing w:beforeAutospacing="0" w:afterAutospacing="0" w:line="0" w:lineRule="atLeast"/>
            </w:pPr>
            <w:r>
              <w:t xml:space="preserve"> </w:t>
            </w:r>
            <w:r/>
          </w:p>
        </w:tc>
      </w:tr>
    </w:tbl>
    <w:p>
      <w:pPr>
        <w:pStyle w:val="992"/>
        <w:jc w:val="both"/>
        <w:spacing w:beforeAutospacing="0" w:afterAutospacing="0" w:line="360" w:lineRule="auto"/>
        <w:rPr>
          <w:rFonts w:hint="eastAsia" w:ascii="宋体" w:hAnsi="宋体" w:cs="宋体"/>
        </w:rPr>
      </w:pPr>
      <w:r>
        <w:rPr>
          <w:rFonts w:hint="eastAsia" w:ascii="宋体" w:hAnsi="宋体" w:cs="宋体"/>
        </w:rPr>
      </w:r>
      <w:r/>
    </w:p>
    <w:p>
      <w:pPr>
        <w:pStyle w:val="992"/>
        <w:jc w:val="both"/>
        <w:spacing w:beforeAutospacing="0" w:afterAutospacing="0" w:line="360" w:lineRule="auto"/>
      </w:pPr>
      <w:r>
        <w:rPr>
          <w:rFonts w:hint="eastAsia" w:ascii="宋体" w:hAnsi="宋体" w:cs="宋体"/>
        </w:rPr>
        <w:t xml:space="preserve">备注：报价</w:t>
      </w:r>
      <w:r>
        <w:rPr>
          <w:rFonts w:hint="eastAsia" w:ascii="宋体" w:hAnsi="宋体" w:cs="宋体"/>
        </w:rPr>
        <w:t xml:space="preserve">采用总</w:t>
      </w:r>
      <w:r>
        <w:rPr>
          <w:rFonts w:hint="eastAsia" w:ascii="宋体" w:hAnsi="宋体" w:cs="宋体"/>
        </w:rPr>
        <w:t xml:space="preserve">承包方式，供应商的报价应包括采购人需求的服务（包含与服务相关的货物）价格、采购服务所产生的运输、邮寄、劳务、人员、报告编制、税费、评审费、质量保证费用、培训费用及售后服务费用，项目在指定地点、环境交付、安装、调试、验收所需费用和所有相关税金费用及为完成整个项目所产生的其它所有费用。</w:t>
      </w:r>
      <w:r/>
    </w:p>
    <w:p>
      <w:pPr>
        <w:spacing w:line="360" w:lineRule="auto"/>
      </w:pPr>
      <w:r>
        <w:br w:type="page" w:clear="all"/>
      </w:r>
      <w:r/>
    </w:p>
    <w:p>
      <w:pPr>
        <w:pStyle w:val="992"/>
        <w:jc w:val="both"/>
        <w:spacing w:beforeAutospacing="0" w:afterAutospacing="0"/>
      </w:pPr>
      <w:r>
        <w:t xml:space="preserve"> </w:t>
      </w:r>
      <w:r/>
    </w:p>
    <w:p>
      <w:pPr>
        <w:pStyle w:val="992"/>
        <w:jc w:val="center"/>
        <w:spacing w:beforeAutospacing="0" w:afterAutospacing="0"/>
        <w:rPr>
          <w:rFonts w:hint="eastAsia" w:ascii="黑体" w:hAnsi="宋体" w:eastAsia="黑体" w:cs="黑体"/>
          <w:iCs/>
          <w:sz w:val="32"/>
          <w:szCs w:val="32"/>
        </w:rPr>
      </w:pPr>
      <w:r>
        <w:rPr>
          <w:rFonts w:hint="eastAsia" w:ascii="黑体" w:hAnsi="宋体" w:eastAsia="黑体" w:cs="黑体"/>
          <w:iCs/>
          <w:sz w:val="32"/>
          <w:szCs w:val="32"/>
        </w:rPr>
        <w:t xml:space="preserve">十、技术（服务）需求响应及偏离表</w:t>
      </w:r>
      <w:r/>
    </w:p>
    <w:tbl>
      <w:tblPr>
        <w:tblW w:w="5000" w:type="pct"/>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1"/>
        <w:gridCol w:w="2202"/>
        <w:gridCol w:w="2693"/>
        <w:gridCol w:w="2606"/>
        <w:gridCol w:w="1224"/>
      </w:tblGrid>
      <w:tr>
        <w:trPr>
          <w:tblCellSpacing w:w="0" w:type="dxa"/>
        </w:trPr>
        <w:tc>
          <w:tcPr>
            <w:tcW w:w="396" w:type="pct"/>
            <w:vAlign w:val="center"/>
            <w:textDirection w:val="lrTb"/>
            <w:noWrap w:val="false"/>
          </w:tcPr>
          <w:p>
            <w:pPr>
              <w:rPr>
                <w:rFonts w:hint="eastAsia" w:ascii="宋体" w:hAnsi="宋体"/>
                <w:sz w:val="24"/>
                <w:szCs w:val="24"/>
              </w:rPr>
            </w:pPr>
            <w:r>
              <w:rPr>
                <w:rFonts w:hint="eastAsia" w:ascii="宋体" w:hAnsi="宋体"/>
                <w:sz w:val="24"/>
                <w:szCs w:val="24"/>
              </w:rPr>
              <w:t xml:space="preserve">序号</w:t>
            </w:r>
            <w:r/>
          </w:p>
        </w:tc>
        <w:tc>
          <w:tcPr>
            <w:tcW w:w="1162" w:type="pct"/>
            <w:vAlign w:val="center"/>
            <w:textDirection w:val="lrTb"/>
            <w:noWrap w:val="false"/>
          </w:tcPr>
          <w:p>
            <w:pPr>
              <w:rPr>
                <w:rFonts w:hint="eastAsia" w:ascii="宋体" w:hAnsi="宋体"/>
                <w:sz w:val="24"/>
                <w:szCs w:val="24"/>
              </w:rPr>
            </w:pPr>
            <w:r>
              <w:rPr>
                <w:rFonts w:hint="eastAsia" w:ascii="宋体" w:hAnsi="宋体"/>
                <w:sz w:val="24"/>
                <w:szCs w:val="24"/>
              </w:rPr>
              <w:t xml:space="preserve">采购文件要求</w:t>
            </w:r>
            <w:r/>
          </w:p>
        </w:tc>
        <w:tc>
          <w:tcPr>
            <w:tcW w:w="1421" w:type="pct"/>
            <w:vAlign w:val="center"/>
            <w:textDirection w:val="lrTb"/>
            <w:noWrap w:val="false"/>
          </w:tcPr>
          <w:p>
            <w:pPr>
              <w:rPr>
                <w:rFonts w:hint="eastAsia" w:ascii="宋体" w:hAnsi="宋体"/>
                <w:sz w:val="24"/>
                <w:szCs w:val="24"/>
              </w:rPr>
            </w:pPr>
            <w:r>
              <w:rPr>
                <w:rFonts w:hint="eastAsia" w:ascii="宋体" w:hAnsi="宋体"/>
                <w:sz w:val="24"/>
                <w:szCs w:val="24"/>
              </w:rPr>
              <w:t xml:space="preserve">报价响应情况</w:t>
            </w:r>
            <w:r/>
          </w:p>
        </w:tc>
        <w:tc>
          <w:tcPr>
            <w:tcW w:w="1375" w:type="pct"/>
            <w:vAlign w:val="center"/>
            <w:textDirection w:val="lrTb"/>
            <w:noWrap w:val="false"/>
          </w:tcPr>
          <w:p>
            <w:pPr>
              <w:rPr>
                <w:rFonts w:hint="eastAsia" w:ascii="宋体" w:hAnsi="宋体"/>
                <w:sz w:val="24"/>
                <w:szCs w:val="24"/>
              </w:rPr>
            </w:pPr>
            <w:r>
              <w:rPr>
                <w:rFonts w:hint="eastAsia" w:ascii="宋体" w:hAnsi="宋体"/>
                <w:sz w:val="24"/>
                <w:szCs w:val="24"/>
              </w:rPr>
              <w:t xml:space="preserve">超出、符合或偏离</w:t>
            </w:r>
            <w:r/>
          </w:p>
        </w:tc>
        <w:tc>
          <w:tcPr>
            <w:tcW w:w="646" w:type="pct"/>
            <w:vAlign w:val="center"/>
            <w:textDirection w:val="lrTb"/>
            <w:noWrap w:val="false"/>
          </w:tcPr>
          <w:p>
            <w:pPr>
              <w:rPr>
                <w:rFonts w:hint="eastAsia" w:ascii="宋体" w:hAnsi="宋体"/>
                <w:sz w:val="24"/>
                <w:szCs w:val="24"/>
              </w:rPr>
            </w:pPr>
            <w:r>
              <w:rPr>
                <w:rFonts w:hint="eastAsia" w:ascii="宋体" w:hAnsi="宋体"/>
                <w:sz w:val="24"/>
                <w:szCs w:val="24"/>
              </w:rPr>
              <w:t xml:space="preserve">证明材料</w:t>
            </w:r>
            <w:r/>
          </w:p>
        </w:tc>
      </w:tr>
      <w:tr>
        <w:trPr>
          <w:tblCellSpacing w:w="0" w:type="dxa"/>
          <w:trHeight w:val="640"/>
        </w:trPr>
        <w:tc>
          <w:tcPr>
            <w:tcW w:w="396"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c>
          <w:tcPr>
            <w:tcW w:w="1162"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c>
          <w:tcPr>
            <w:tcW w:w="1421"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c>
          <w:tcPr>
            <w:tcW w:w="1375"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c>
          <w:tcPr>
            <w:tcW w:w="646"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r>
      <w:tr>
        <w:trPr>
          <w:tblCellSpacing w:w="0" w:type="dxa"/>
          <w:trHeight w:val="640"/>
        </w:trPr>
        <w:tc>
          <w:tcPr>
            <w:tcW w:w="396"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c>
          <w:tcPr>
            <w:tcW w:w="1162"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c>
          <w:tcPr>
            <w:tcW w:w="1421"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c>
          <w:tcPr>
            <w:tcW w:w="1375"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c>
          <w:tcPr>
            <w:tcW w:w="646"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r>
      <w:tr>
        <w:trPr>
          <w:tblCellSpacing w:w="0" w:type="dxa"/>
          <w:trHeight w:val="640"/>
        </w:trPr>
        <w:tc>
          <w:tcPr>
            <w:tcW w:w="396"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c>
          <w:tcPr>
            <w:tcW w:w="1162"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c>
          <w:tcPr>
            <w:tcW w:w="1421"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c>
          <w:tcPr>
            <w:tcW w:w="1375"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c>
          <w:tcPr>
            <w:tcW w:w="646"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r>
      <w:tr>
        <w:trPr>
          <w:tblCellSpacing w:w="0" w:type="dxa"/>
          <w:trHeight w:val="640"/>
        </w:trPr>
        <w:tc>
          <w:tcPr>
            <w:tcW w:w="396"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c>
          <w:tcPr>
            <w:tcW w:w="1162"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c>
          <w:tcPr>
            <w:tcW w:w="1421"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c>
          <w:tcPr>
            <w:tcW w:w="1375"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c>
          <w:tcPr>
            <w:tcW w:w="646"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r>
      <w:tr>
        <w:trPr>
          <w:tblCellSpacing w:w="0" w:type="dxa"/>
          <w:trHeight w:val="640"/>
        </w:trPr>
        <w:tc>
          <w:tcPr>
            <w:tcW w:w="396"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c>
          <w:tcPr>
            <w:tcW w:w="1162"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c>
          <w:tcPr>
            <w:tcW w:w="1421"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c>
          <w:tcPr>
            <w:tcW w:w="1375"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c>
          <w:tcPr>
            <w:tcW w:w="646"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r>
      <w:tr>
        <w:trPr>
          <w:tblCellSpacing w:w="0" w:type="dxa"/>
          <w:trHeight w:val="640"/>
        </w:trPr>
        <w:tc>
          <w:tcPr>
            <w:tcW w:w="396"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c>
          <w:tcPr>
            <w:tcW w:w="1162"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c>
          <w:tcPr>
            <w:tcW w:w="1421"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c>
          <w:tcPr>
            <w:tcW w:w="1375"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c>
          <w:tcPr>
            <w:tcW w:w="646"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r>
      <w:tr>
        <w:trPr>
          <w:tblCellSpacing w:w="0" w:type="dxa"/>
          <w:trHeight w:val="640"/>
        </w:trPr>
        <w:tc>
          <w:tcPr>
            <w:tcW w:w="396"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c>
          <w:tcPr>
            <w:tcW w:w="1162"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c>
          <w:tcPr>
            <w:tcW w:w="1421"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c>
          <w:tcPr>
            <w:tcW w:w="1375"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c>
          <w:tcPr>
            <w:tcW w:w="646"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r>
      <w:tr>
        <w:trPr>
          <w:tblCellSpacing w:w="0" w:type="dxa"/>
          <w:trHeight w:val="640"/>
        </w:trPr>
        <w:tc>
          <w:tcPr>
            <w:tcW w:w="396"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c>
          <w:tcPr>
            <w:tcW w:w="1162" w:type="pct"/>
            <w:vAlign w:val="center"/>
            <w:textDirection w:val="lrTb"/>
            <w:noWrap w:val="false"/>
          </w:tcPr>
          <w:p>
            <w:pPr>
              <w:rPr>
                <w:rFonts w:hint="eastAsia" w:ascii="宋体" w:hAnsi="宋体"/>
                <w:sz w:val="24"/>
                <w:szCs w:val="24"/>
              </w:rPr>
            </w:pPr>
            <w:r>
              <w:rPr>
                <w:rFonts w:hint="eastAsia" w:ascii="宋体" w:hAnsi="宋体"/>
                <w:sz w:val="24"/>
                <w:szCs w:val="24"/>
              </w:rPr>
              <w:t xml:space="preserve">……</w:t>
            </w:r>
            <w:r/>
          </w:p>
        </w:tc>
        <w:tc>
          <w:tcPr>
            <w:tcW w:w="1421"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c>
          <w:tcPr>
            <w:tcW w:w="1375"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c>
          <w:tcPr>
            <w:tcW w:w="646" w:type="pct"/>
            <w:vAlign w:val="center"/>
            <w:textDirection w:val="lrTb"/>
            <w:noWrap w:val="false"/>
          </w:tcPr>
          <w:p>
            <w:pPr>
              <w:rPr>
                <w:rFonts w:hint="eastAsia" w:ascii="宋体" w:hAnsi="宋体"/>
                <w:sz w:val="24"/>
                <w:szCs w:val="24"/>
              </w:rPr>
            </w:pPr>
            <w:r>
              <w:rPr>
                <w:rFonts w:hint="eastAsia" w:ascii="宋体" w:hAnsi="宋体"/>
                <w:sz w:val="24"/>
                <w:szCs w:val="24"/>
              </w:rPr>
              <w:t xml:space="preserve"> </w:t>
            </w:r>
            <w:r/>
          </w:p>
        </w:tc>
      </w:tr>
    </w:tbl>
    <w:p>
      <w:pPr>
        <w:pStyle w:val="992"/>
        <w:jc w:val="both"/>
        <w:spacing w:beforeAutospacing="0" w:afterAutospacing="0"/>
      </w:pPr>
      <w:r>
        <w:rPr>
          <w:rFonts w:hint="eastAsia" w:ascii="宋体" w:hAnsi="宋体" w:cs="宋体"/>
        </w:rPr>
        <w:t xml:space="preserve">注： 行数不够，可自行添加。</w:t>
      </w:r>
      <w:r/>
    </w:p>
    <w:p>
      <w:pPr>
        <w:pStyle w:val="992"/>
        <w:jc w:val="center"/>
        <w:spacing w:beforeAutospacing="0" w:afterAutospacing="0"/>
      </w:pPr>
      <w:r>
        <w:t xml:space="preserve"> </w:t>
      </w:r>
      <w:r/>
    </w:p>
    <w:p>
      <w:pPr>
        <w:pStyle w:val="992"/>
        <w:jc w:val="center"/>
        <w:spacing w:beforeAutospacing="0" w:afterAutospacing="0"/>
      </w:pPr>
      <w:r>
        <w:t xml:space="preserve"> </w:t>
      </w:r>
      <w:r/>
    </w:p>
    <w:p>
      <w:pPr>
        <w:pStyle w:val="992"/>
        <w:jc w:val="center"/>
        <w:spacing w:beforeAutospacing="0" w:afterAutospacing="0"/>
      </w:pPr>
      <w:r>
        <w:t xml:space="preserve"> </w:t>
      </w:r>
      <w:r/>
    </w:p>
    <w:p>
      <w:pPr>
        <w:pStyle w:val="992"/>
        <w:jc w:val="center"/>
        <w:spacing w:beforeAutospacing="0" w:afterAutospacing="0"/>
      </w:pPr>
      <w:r>
        <w:t xml:space="preserve"> </w:t>
      </w:r>
      <w:r/>
    </w:p>
    <w:p>
      <w:pPr>
        <w:pStyle w:val="992"/>
        <w:jc w:val="both"/>
        <w:spacing w:beforeAutospacing="0" w:afterAutospacing="0"/>
      </w:pPr>
      <w:r>
        <w:t xml:space="preserve"> </w:t>
      </w:r>
      <w:r/>
    </w:p>
    <w:p>
      <w:pPr>
        <w:pStyle w:val="992"/>
        <w:jc w:val="both"/>
        <w:spacing w:beforeAutospacing="0" w:afterAutospacing="0"/>
      </w:pPr>
      <w:r>
        <w:t xml:space="preserve"> </w:t>
      </w:r>
      <w:r/>
    </w:p>
    <w:p>
      <w:pPr>
        <w:pStyle w:val="992"/>
        <w:jc w:val="both"/>
        <w:spacing w:beforeAutospacing="0" w:afterAutospacing="0"/>
      </w:pPr>
      <w:r>
        <w:t xml:space="preserve"> </w:t>
      </w:r>
      <w:r/>
    </w:p>
    <w:p>
      <w:pPr>
        <w:pStyle w:val="992"/>
        <w:jc w:val="both"/>
        <w:spacing w:beforeAutospacing="0" w:afterAutospacing="0"/>
      </w:pPr>
      <w:r>
        <w:t xml:space="preserve"> </w:t>
      </w:r>
      <w:r/>
    </w:p>
    <w:p>
      <w:pPr>
        <w:pStyle w:val="992"/>
        <w:jc w:val="both"/>
        <w:spacing w:beforeAutospacing="0" w:afterAutospacing="0"/>
      </w:pPr>
      <w:r>
        <w:t xml:space="preserve"> </w:t>
      </w:r>
      <w:r/>
    </w:p>
    <w:p>
      <w:pPr>
        <w:pStyle w:val="992"/>
        <w:jc w:val="both"/>
        <w:spacing w:beforeAutospacing="0" w:afterAutospacing="0"/>
      </w:pPr>
      <w:r/>
      <w:r/>
    </w:p>
    <w:p>
      <w:pPr>
        <w:pStyle w:val="992"/>
        <w:jc w:val="both"/>
        <w:spacing w:beforeAutospacing="0" w:afterAutospacing="0"/>
      </w:pPr>
      <w:r/>
      <w:r/>
    </w:p>
    <w:p>
      <w:pPr>
        <w:pStyle w:val="992"/>
        <w:jc w:val="both"/>
        <w:spacing w:beforeAutospacing="0" w:afterAutospacing="0"/>
      </w:pPr>
      <w:r/>
      <w:r/>
    </w:p>
    <w:p>
      <w:pPr>
        <w:pStyle w:val="992"/>
        <w:jc w:val="both"/>
        <w:spacing w:beforeAutospacing="0" w:afterAutospacing="0"/>
      </w:pPr>
      <w:r/>
      <w:r/>
    </w:p>
    <w:p>
      <w:pPr>
        <w:pStyle w:val="992"/>
        <w:jc w:val="both"/>
        <w:spacing w:beforeAutospacing="0" w:afterAutospacing="0"/>
      </w:pPr>
      <w:r/>
      <w:r/>
    </w:p>
    <w:p>
      <w:pPr>
        <w:pStyle w:val="992"/>
        <w:jc w:val="both"/>
        <w:spacing w:beforeAutospacing="0" w:afterAutospacing="0"/>
      </w:pPr>
      <w:r/>
      <w:r/>
    </w:p>
    <w:p>
      <w:pPr>
        <w:pStyle w:val="992"/>
        <w:jc w:val="both"/>
        <w:spacing w:beforeAutospacing="0" w:afterAutospacing="0"/>
      </w:pPr>
      <w:r/>
      <w:r/>
    </w:p>
    <w:p>
      <w:pPr>
        <w:pStyle w:val="992"/>
        <w:jc w:val="both"/>
        <w:spacing w:beforeAutospacing="0" w:afterAutospacing="0"/>
      </w:pPr>
      <w:r/>
      <w:r/>
    </w:p>
    <w:p>
      <w:pPr>
        <w:pStyle w:val="992"/>
        <w:jc w:val="both"/>
        <w:spacing w:beforeAutospacing="0" w:afterAutospacing="0"/>
      </w:pPr>
      <w:r/>
      <w:r/>
    </w:p>
    <w:p>
      <w:pPr>
        <w:pStyle w:val="992"/>
        <w:jc w:val="both"/>
        <w:spacing w:beforeAutospacing="0" w:afterAutospacing="0"/>
      </w:pPr>
      <w:r/>
      <w:r/>
    </w:p>
    <w:p>
      <w:pPr>
        <w:pStyle w:val="992"/>
        <w:jc w:val="both"/>
        <w:spacing w:beforeAutospacing="0" w:afterAutospacing="0"/>
      </w:pPr>
      <w:r/>
      <w:r/>
    </w:p>
    <w:p>
      <w:pPr>
        <w:pStyle w:val="992"/>
        <w:jc w:val="both"/>
        <w:spacing w:beforeAutospacing="0" w:afterAutospacing="0"/>
      </w:pPr>
      <w:r/>
      <w:r/>
    </w:p>
    <w:p>
      <w:pPr>
        <w:pStyle w:val="992"/>
        <w:jc w:val="both"/>
        <w:spacing w:beforeAutospacing="0" w:afterAutospacing="0"/>
      </w:pPr>
      <w:r/>
      <w:r/>
    </w:p>
    <w:p>
      <w:pPr>
        <w:pStyle w:val="992"/>
        <w:jc w:val="both"/>
        <w:spacing w:beforeAutospacing="0" w:afterAutospacing="0"/>
      </w:pPr>
      <w:r>
        <w:t xml:space="preserve"> </w:t>
      </w:r>
      <w:r/>
    </w:p>
    <w:p>
      <w:pPr>
        <w:pStyle w:val="992"/>
        <w:jc w:val="both"/>
        <w:spacing w:beforeAutospacing="0" w:afterAutospacing="0"/>
      </w:pPr>
      <w:r>
        <w:t xml:space="preserve"> </w:t>
      </w:r>
      <w:r/>
    </w:p>
    <w:p>
      <w:pPr>
        <w:pStyle w:val="992"/>
        <w:jc w:val="both"/>
        <w:spacing w:beforeAutospacing="0" w:afterAutospacing="0"/>
      </w:pPr>
      <w:r>
        <w:t xml:space="preserve"> </w:t>
      </w:r>
      <w:r/>
    </w:p>
    <w:p>
      <w:pPr>
        <w:pStyle w:val="992"/>
        <w:jc w:val="center"/>
        <w:spacing w:beforeAutospacing="0" w:afterAutospacing="0"/>
        <w:rPr>
          <w:rFonts w:hint="eastAsia" w:ascii="黑体" w:hAnsi="宋体" w:eastAsia="黑体" w:cs="黑体"/>
          <w:b/>
          <w:sz w:val="32"/>
          <w:szCs w:val="32"/>
        </w:rPr>
      </w:pPr>
      <w:r/>
      <w:bookmarkStart w:id="185" w:name="_Hlt26955054"/>
      <w:r/>
      <w:r/>
    </w:p>
    <w:p>
      <w:pPr>
        <w:pStyle w:val="992"/>
        <w:jc w:val="center"/>
        <w:spacing w:beforeAutospacing="0" w:afterAutospacing="0"/>
        <w:rPr>
          <w:rFonts w:hint="eastAsia" w:ascii="黑体" w:hAnsi="宋体" w:eastAsia="黑体" w:cs="黑体"/>
          <w:iCs/>
          <w:sz w:val="32"/>
          <w:szCs w:val="32"/>
        </w:rPr>
      </w:pPr>
      <w:r>
        <w:rPr>
          <w:rFonts w:hint="eastAsia" w:ascii="黑体" w:hAnsi="宋体" w:eastAsia="黑体" w:cs="黑体"/>
          <w:iCs/>
          <w:sz w:val="32"/>
          <w:szCs w:val="32"/>
        </w:rPr>
        <w:t xml:space="preserve">十一、商务需求响应及偏离表</w:t>
      </w:r>
      <w:r/>
    </w:p>
    <w:tbl>
      <w:tblPr>
        <w:tblW w:w="5000" w:type="pct"/>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9"/>
        <w:gridCol w:w="2655"/>
        <w:gridCol w:w="1531"/>
        <w:gridCol w:w="2388"/>
        <w:gridCol w:w="1933"/>
      </w:tblGrid>
      <w:tr>
        <w:trPr>
          <w:tblCellSpacing w:w="0" w:type="dxa"/>
        </w:trPr>
        <w:tc>
          <w:tcPr>
            <w:tcW w:w="511" w:type="pct"/>
            <w:vAlign w:val="center"/>
            <w:textDirection w:val="lrTb"/>
            <w:noWrap w:val="false"/>
          </w:tcPr>
          <w:p>
            <w:pPr>
              <w:pStyle w:val="992"/>
              <w:jc w:val="center"/>
              <w:spacing w:beforeAutospacing="0" w:afterAutospacing="0"/>
              <w:rPr>
                <w:szCs w:val="24"/>
              </w:rPr>
            </w:pPr>
            <w:r/>
            <w:bookmarkStart w:id="186" w:name="_Hlt26671372"/>
            <w:r/>
            <w:bookmarkStart w:id="187" w:name="_Hlt24879081"/>
            <w:r/>
            <w:bookmarkStart w:id="188" w:name="_Hlt26609391"/>
            <w:r/>
            <w:bookmarkStart w:id="189" w:name="_Hlt26580838"/>
            <w:r/>
            <w:bookmarkStart w:id="190" w:name="_Hlt26671343"/>
            <w:r/>
            <w:bookmarkStart w:id="191" w:name="_Hlt26782999"/>
            <w:r/>
            <w:bookmarkStart w:id="192" w:name="_Hlt26955064"/>
            <w:r/>
            <w:bookmarkStart w:id="193" w:name="_Hlt26955056"/>
            <w:r>
              <w:rPr>
                <w:rFonts w:hint="eastAsia" w:ascii="宋体" w:hAnsi="宋体" w:cs="宋体"/>
                <w:szCs w:val="24"/>
              </w:rPr>
              <w:t xml:space="preserve">序号</w:t>
            </w:r>
            <w:bookmarkEnd w:id="186"/>
            <w:r/>
            <w:bookmarkEnd w:id="187"/>
            <w:r/>
            <w:bookmarkEnd w:id="188"/>
            <w:r/>
            <w:bookmarkEnd w:id="189"/>
            <w:r/>
            <w:bookmarkEnd w:id="190"/>
            <w:r/>
            <w:bookmarkEnd w:id="191"/>
            <w:r/>
            <w:bookmarkEnd w:id="192"/>
            <w:r/>
            <w:bookmarkEnd w:id="193"/>
            <w:r/>
            <w:r/>
          </w:p>
        </w:tc>
        <w:tc>
          <w:tcPr>
            <w:tcW w:w="1401" w:type="pct"/>
            <w:vAlign w:val="center"/>
            <w:textDirection w:val="lrTb"/>
            <w:noWrap w:val="false"/>
          </w:tcPr>
          <w:p>
            <w:pPr>
              <w:pStyle w:val="992"/>
              <w:jc w:val="center"/>
              <w:spacing w:beforeAutospacing="0" w:afterAutospacing="0"/>
              <w:rPr>
                <w:szCs w:val="24"/>
              </w:rPr>
            </w:pPr>
            <w:r>
              <w:rPr>
                <w:rFonts w:hint="eastAsia" w:ascii="宋体" w:hAnsi="宋体" w:cs="宋体"/>
                <w:szCs w:val="24"/>
              </w:rPr>
              <w:t xml:space="preserve">谈判文件要求</w:t>
            </w:r>
            <w:r/>
          </w:p>
        </w:tc>
        <w:tc>
          <w:tcPr>
            <w:tcW w:w="808" w:type="pct"/>
            <w:vAlign w:val="center"/>
            <w:textDirection w:val="lrTb"/>
            <w:noWrap w:val="false"/>
          </w:tcPr>
          <w:p>
            <w:pPr>
              <w:pStyle w:val="992"/>
              <w:jc w:val="center"/>
              <w:spacing w:beforeAutospacing="0" w:afterAutospacing="0"/>
              <w:rPr>
                <w:szCs w:val="24"/>
              </w:rPr>
            </w:pPr>
            <w:r>
              <w:rPr>
                <w:rFonts w:hint="eastAsia" w:ascii="宋体" w:hAnsi="宋体" w:cs="宋体"/>
                <w:szCs w:val="24"/>
              </w:rPr>
              <w:t xml:space="preserve">响应情况</w:t>
            </w:r>
            <w:r/>
          </w:p>
        </w:tc>
        <w:tc>
          <w:tcPr>
            <w:tcW w:w="1260" w:type="pct"/>
            <w:vAlign w:val="center"/>
            <w:textDirection w:val="lrTb"/>
            <w:noWrap w:val="false"/>
          </w:tcPr>
          <w:p>
            <w:pPr>
              <w:pStyle w:val="992"/>
              <w:jc w:val="center"/>
              <w:spacing w:beforeAutospacing="0" w:afterAutospacing="0"/>
              <w:rPr>
                <w:szCs w:val="24"/>
              </w:rPr>
            </w:pPr>
            <w:r>
              <w:rPr>
                <w:rFonts w:hint="eastAsia" w:ascii="宋体" w:hAnsi="宋体" w:cs="宋体"/>
                <w:szCs w:val="24"/>
              </w:rPr>
              <w:t xml:space="preserve">超出、符合或偏离</w:t>
            </w:r>
            <w:r/>
          </w:p>
        </w:tc>
        <w:tc>
          <w:tcPr>
            <w:tcW w:w="1020" w:type="pct"/>
            <w:vAlign w:val="center"/>
            <w:textDirection w:val="lrTb"/>
            <w:noWrap w:val="false"/>
          </w:tcPr>
          <w:p>
            <w:pPr>
              <w:pStyle w:val="992"/>
              <w:jc w:val="center"/>
              <w:spacing w:beforeAutospacing="0" w:afterAutospacing="0"/>
              <w:rPr>
                <w:szCs w:val="24"/>
              </w:rPr>
            </w:pPr>
            <w:r>
              <w:rPr>
                <w:rFonts w:hint="eastAsia" w:ascii="宋体" w:hAnsi="宋体" w:cs="宋体"/>
                <w:szCs w:val="24"/>
              </w:rPr>
              <w:t xml:space="preserve">证明材料</w:t>
            </w:r>
            <w:r/>
          </w:p>
        </w:tc>
      </w:tr>
      <w:tr>
        <w:trPr>
          <w:tblCellSpacing w:w="0" w:type="dxa"/>
          <w:trHeight w:val="640"/>
        </w:trPr>
        <w:tc>
          <w:tcPr>
            <w:tcW w:w="511" w:type="pct"/>
            <w:vAlign w:val="center"/>
            <w:textDirection w:val="lrTb"/>
            <w:noWrap w:val="false"/>
          </w:tcPr>
          <w:p>
            <w:pPr>
              <w:pStyle w:val="992"/>
              <w:jc w:val="center"/>
              <w:spacing w:beforeAutospacing="0" w:afterAutospacing="0"/>
              <w:rPr>
                <w:szCs w:val="24"/>
              </w:rPr>
            </w:pPr>
            <w:r>
              <w:rPr>
                <w:szCs w:val="24"/>
              </w:rPr>
              <w:t xml:space="preserve"> </w:t>
            </w:r>
            <w:r/>
          </w:p>
        </w:tc>
        <w:tc>
          <w:tcPr>
            <w:tcW w:w="1401" w:type="pct"/>
            <w:vAlign w:val="center"/>
            <w:textDirection w:val="lrTb"/>
            <w:noWrap w:val="false"/>
          </w:tcPr>
          <w:p>
            <w:pPr>
              <w:pStyle w:val="992"/>
              <w:jc w:val="center"/>
              <w:spacing w:beforeAutospacing="0" w:afterAutospacing="0"/>
              <w:rPr>
                <w:szCs w:val="24"/>
              </w:rPr>
            </w:pPr>
            <w:r>
              <w:rPr>
                <w:szCs w:val="24"/>
              </w:rPr>
              <w:t xml:space="preserve"> </w:t>
            </w:r>
            <w:r/>
          </w:p>
        </w:tc>
        <w:tc>
          <w:tcPr>
            <w:tcW w:w="808" w:type="pct"/>
            <w:vAlign w:val="center"/>
            <w:textDirection w:val="lrTb"/>
            <w:noWrap w:val="false"/>
          </w:tcPr>
          <w:p>
            <w:pPr>
              <w:pStyle w:val="992"/>
              <w:jc w:val="center"/>
              <w:spacing w:beforeAutospacing="0" w:afterAutospacing="0"/>
              <w:rPr>
                <w:szCs w:val="24"/>
              </w:rPr>
            </w:pPr>
            <w:r>
              <w:rPr>
                <w:szCs w:val="24"/>
              </w:rPr>
              <w:t xml:space="preserve"> </w:t>
            </w:r>
            <w:r/>
          </w:p>
        </w:tc>
        <w:tc>
          <w:tcPr>
            <w:tcW w:w="1260" w:type="pct"/>
            <w:vAlign w:val="center"/>
            <w:textDirection w:val="lrTb"/>
            <w:noWrap w:val="false"/>
          </w:tcPr>
          <w:p>
            <w:pPr>
              <w:pStyle w:val="992"/>
              <w:jc w:val="center"/>
              <w:spacing w:beforeAutospacing="0" w:afterAutospacing="0"/>
              <w:rPr>
                <w:szCs w:val="24"/>
              </w:rPr>
            </w:pPr>
            <w:r>
              <w:rPr>
                <w:szCs w:val="24"/>
              </w:rPr>
              <w:t xml:space="preserve"> </w:t>
            </w:r>
            <w:r/>
          </w:p>
        </w:tc>
        <w:tc>
          <w:tcPr>
            <w:tcW w:w="1020" w:type="pct"/>
            <w:vAlign w:val="center"/>
            <w:textDirection w:val="lrTb"/>
            <w:noWrap w:val="false"/>
          </w:tcPr>
          <w:p>
            <w:pPr>
              <w:pStyle w:val="992"/>
              <w:jc w:val="center"/>
              <w:spacing w:beforeAutospacing="0" w:afterAutospacing="0"/>
              <w:rPr>
                <w:szCs w:val="24"/>
              </w:rPr>
            </w:pPr>
            <w:r>
              <w:rPr>
                <w:szCs w:val="24"/>
              </w:rPr>
              <w:t xml:space="preserve"> </w:t>
            </w:r>
            <w:r/>
          </w:p>
        </w:tc>
      </w:tr>
      <w:tr>
        <w:trPr>
          <w:tblCellSpacing w:w="0" w:type="dxa"/>
          <w:trHeight w:val="640"/>
        </w:trPr>
        <w:tc>
          <w:tcPr>
            <w:tcW w:w="511" w:type="pct"/>
            <w:vAlign w:val="center"/>
            <w:textDirection w:val="lrTb"/>
            <w:noWrap w:val="false"/>
          </w:tcPr>
          <w:p>
            <w:pPr>
              <w:pStyle w:val="992"/>
              <w:jc w:val="center"/>
              <w:spacing w:beforeAutospacing="0" w:afterAutospacing="0"/>
              <w:rPr>
                <w:szCs w:val="24"/>
              </w:rPr>
            </w:pPr>
            <w:r>
              <w:rPr>
                <w:szCs w:val="24"/>
              </w:rPr>
              <w:t xml:space="preserve"> </w:t>
            </w:r>
            <w:r/>
          </w:p>
        </w:tc>
        <w:tc>
          <w:tcPr>
            <w:tcW w:w="1401" w:type="pct"/>
            <w:vAlign w:val="center"/>
            <w:textDirection w:val="lrTb"/>
            <w:noWrap w:val="false"/>
          </w:tcPr>
          <w:p>
            <w:pPr>
              <w:pStyle w:val="992"/>
              <w:jc w:val="center"/>
              <w:spacing w:beforeAutospacing="0" w:afterAutospacing="0"/>
              <w:rPr>
                <w:szCs w:val="24"/>
              </w:rPr>
            </w:pPr>
            <w:r>
              <w:rPr>
                <w:szCs w:val="24"/>
              </w:rPr>
              <w:t xml:space="preserve"> </w:t>
            </w:r>
            <w:r/>
          </w:p>
        </w:tc>
        <w:tc>
          <w:tcPr>
            <w:tcW w:w="808" w:type="pct"/>
            <w:vAlign w:val="center"/>
            <w:textDirection w:val="lrTb"/>
            <w:noWrap w:val="false"/>
          </w:tcPr>
          <w:p>
            <w:pPr>
              <w:pStyle w:val="992"/>
              <w:jc w:val="center"/>
              <w:spacing w:beforeAutospacing="0" w:afterAutospacing="0"/>
              <w:rPr>
                <w:szCs w:val="24"/>
              </w:rPr>
            </w:pPr>
            <w:r>
              <w:rPr>
                <w:szCs w:val="24"/>
              </w:rPr>
              <w:t xml:space="preserve"> </w:t>
            </w:r>
            <w:r/>
          </w:p>
        </w:tc>
        <w:tc>
          <w:tcPr>
            <w:tcW w:w="1260" w:type="pct"/>
            <w:vAlign w:val="center"/>
            <w:textDirection w:val="lrTb"/>
            <w:noWrap w:val="false"/>
          </w:tcPr>
          <w:p>
            <w:pPr>
              <w:pStyle w:val="992"/>
              <w:jc w:val="center"/>
              <w:spacing w:beforeAutospacing="0" w:afterAutospacing="0"/>
              <w:rPr>
                <w:szCs w:val="24"/>
              </w:rPr>
            </w:pPr>
            <w:r>
              <w:rPr>
                <w:szCs w:val="24"/>
              </w:rPr>
              <w:t xml:space="preserve"> </w:t>
            </w:r>
            <w:r/>
          </w:p>
        </w:tc>
        <w:tc>
          <w:tcPr>
            <w:tcW w:w="1020" w:type="pct"/>
            <w:vAlign w:val="center"/>
            <w:textDirection w:val="lrTb"/>
            <w:noWrap w:val="false"/>
          </w:tcPr>
          <w:p>
            <w:pPr>
              <w:pStyle w:val="992"/>
              <w:jc w:val="center"/>
              <w:spacing w:beforeAutospacing="0" w:afterAutospacing="0"/>
              <w:rPr>
                <w:szCs w:val="24"/>
              </w:rPr>
            </w:pPr>
            <w:r>
              <w:rPr>
                <w:szCs w:val="24"/>
              </w:rPr>
              <w:t xml:space="preserve"> </w:t>
            </w:r>
            <w:r/>
          </w:p>
        </w:tc>
      </w:tr>
      <w:tr>
        <w:trPr>
          <w:tblCellSpacing w:w="0" w:type="dxa"/>
          <w:trHeight w:val="640"/>
        </w:trPr>
        <w:tc>
          <w:tcPr>
            <w:tcW w:w="511" w:type="pct"/>
            <w:vAlign w:val="center"/>
            <w:textDirection w:val="lrTb"/>
            <w:noWrap w:val="false"/>
          </w:tcPr>
          <w:p>
            <w:pPr>
              <w:pStyle w:val="992"/>
              <w:jc w:val="center"/>
              <w:spacing w:beforeAutospacing="0" w:afterAutospacing="0"/>
              <w:rPr>
                <w:szCs w:val="24"/>
              </w:rPr>
            </w:pPr>
            <w:r>
              <w:rPr>
                <w:szCs w:val="24"/>
              </w:rPr>
              <w:t xml:space="preserve"> </w:t>
            </w:r>
            <w:r/>
          </w:p>
        </w:tc>
        <w:tc>
          <w:tcPr>
            <w:tcW w:w="1401" w:type="pct"/>
            <w:vAlign w:val="center"/>
            <w:textDirection w:val="lrTb"/>
            <w:noWrap w:val="false"/>
          </w:tcPr>
          <w:p>
            <w:pPr>
              <w:pStyle w:val="992"/>
              <w:jc w:val="center"/>
              <w:spacing w:beforeAutospacing="0" w:afterAutospacing="0"/>
              <w:rPr>
                <w:szCs w:val="24"/>
              </w:rPr>
            </w:pPr>
            <w:r>
              <w:rPr>
                <w:szCs w:val="24"/>
              </w:rPr>
              <w:t xml:space="preserve"> </w:t>
            </w:r>
            <w:r/>
          </w:p>
        </w:tc>
        <w:tc>
          <w:tcPr>
            <w:tcW w:w="808" w:type="pct"/>
            <w:vAlign w:val="center"/>
            <w:textDirection w:val="lrTb"/>
            <w:noWrap w:val="false"/>
          </w:tcPr>
          <w:p>
            <w:pPr>
              <w:pStyle w:val="992"/>
              <w:jc w:val="center"/>
              <w:spacing w:beforeAutospacing="0" w:afterAutospacing="0"/>
              <w:rPr>
                <w:szCs w:val="24"/>
              </w:rPr>
            </w:pPr>
            <w:r>
              <w:rPr>
                <w:szCs w:val="24"/>
              </w:rPr>
              <w:t xml:space="preserve"> </w:t>
            </w:r>
            <w:r/>
          </w:p>
        </w:tc>
        <w:tc>
          <w:tcPr>
            <w:tcW w:w="1260" w:type="pct"/>
            <w:vAlign w:val="center"/>
            <w:textDirection w:val="lrTb"/>
            <w:noWrap w:val="false"/>
          </w:tcPr>
          <w:p>
            <w:pPr>
              <w:pStyle w:val="992"/>
              <w:jc w:val="center"/>
              <w:spacing w:beforeAutospacing="0" w:afterAutospacing="0"/>
              <w:rPr>
                <w:szCs w:val="24"/>
              </w:rPr>
            </w:pPr>
            <w:r>
              <w:rPr>
                <w:szCs w:val="24"/>
              </w:rPr>
              <w:t xml:space="preserve"> </w:t>
            </w:r>
            <w:r/>
          </w:p>
        </w:tc>
        <w:tc>
          <w:tcPr>
            <w:tcW w:w="1020" w:type="pct"/>
            <w:vAlign w:val="center"/>
            <w:textDirection w:val="lrTb"/>
            <w:noWrap w:val="false"/>
          </w:tcPr>
          <w:p>
            <w:pPr>
              <w:pStyle w:val="992"/>
              <w:jc w:val="center"/>
              <w:spacing w:beforeAutospacing="0" w:afterAutospacing="0"/>
              <w:rPr>
                <w:szCs w:val="24"/>
              </w:rPr>
            </w:pPr>
            <w:r>
              <w:rPr>
                <w:szCs w:val="24"/>
              </w:rPr>
              <w:t xml:space="preserve"> </w:t>
            </w:r>
            <w:r/>
          </w:p>
        </w:tc>
      </w:tr>
      <w:tr>
        <w:trPr>
          <w:tblCellSpacing w:w="0" w:type="dxa"/>
          <w:trHeight w:val="640"/>
        </w:trPr>
        <w:tc>
          <w:tcPr>
            <w:tcW w:w="511" w:type="pct"/>
            <w:vAlign w:val="center"/>
            <w:textDirection w:val="lrTb"/>
            <w:noWrap w:val="false"/>
          </w:tcPr>
          <w:p>
            <w:pPr>
              <w:pStyle w:val="992"/>
              <w:jc w:val="center"/>
              <w:spacing w:beforeAutospacing="0" w:afterAutospacing="0"/>
              <w:rPr>
                <w:szCs w:val="24"/>
              </w:rPr>
            </w:pPr>
            <w:r>
              <w:rPr>
                <w:szCs w:val="24"/>
              </w:rPr>
              <w:t xml:space="preserve"> </w:t>
            </w:r>
            <w:r/>
          </w:p>
        </w:tc>
        <w:tc>
          <w:tcPr>
            <w:tcW w:w="1401" w:type="pct"/>
            <w:vAlign w:val="center"/>
            <w:textDirection w:val="lrTb"/>
            <w:noWrap w:val="false"/>
          </w:tcPr>
          <w:p>
            <w:pPr>
              <w:pStyle w:val="992"/>
              <w:jc w:val="center"/>
              <w:spacing w:beforeAutospacing="0" w:afterAutospacing="0"/>
              <w:rPr>
                <w:szCs w:val="24"/>
              </w:rPr>
            </w:pPr>
            <w:r>
              <w:rPr>
                <w:szCs w:val="24"/>
              </w:rPr>
              <w:t xml:space="preserve"> </w:t>
            </w:r>
            <w:r/>
          </w:p>
        </w:tc>
        <w:tc>
          <w:tcPr>
            <w:tcW w:w="808" w:type="pct"/>
            <w:vAlign w:val="center"/>
            <w:textDirection w:val="lrTb"/>
            <w:noWrap w:val="false"/>
          </w:tcPr>
          <w:p>
            <w:pPr>
              <w:pStyle w:val="992"/>
              <w:jc w:val="center"/>
              <w:spacing w:beforeAutospacing="0" w:afterAutospacing="0"/>
              <w:rPr>
                <w:szCs w:val="24"/>
              </w:rPr>
            </w:pPr>
            <w:r>
              <w:rPr>
                <w:szCs w:val="24"/>
              </w:rPr>
              <w:t xml:space="preserve"> </w:t>
            </w:r>
            <w:r/>
          </w:p>
        </w:tc>
        <w:tc>
          <w:tcPr>
            <w:tcW w:w="1260" w:type="pct"/>
            <w:vAlign w:val="center"/>
            <w:textDirection w:val="lrTb"/>
            <w:noWrap w:val="false"/>
          </w:tcPr>
          <w:p>
            <w:pPr>
              <w:pStyle w:val="992"/>
              <w:jc w:val="center"/>
              <w:spacing w:beforeAutospacing="0" w:afterAutospacing="0"/>
              <w:rPr>
                <w:szCs w:val="24"/>
              </w:rPr>
            </w:pPr>
            <w:r>
              <w:rPr>
                <w:szCs w:val="24"/>
              </w:rPr>
              <w:t xml:space="preserve"> </w:t>
            </w:r>
            <w:r/>
          </w:p>
        </w:tc>
        <w:tc>
          <w:tcPr>
            <w:tcW w:w="1020" w:type="pct"/>
            <w:vAlign w:val="center"/>
            <w:textDirection w:val="lrTb"/>
            <w:noWrap w:val="false"/>
          </w:tcPr>
          <w:p>
            <w:pPr>
              <w:pStyle w:val="992"/>
              <w:jc w:val="center"/>
              <w:spacing w:beforeAutospacing="0" w:afterAutospacing="0"/>
              <w:rPr>
                <w:szCs w:val="24"/>
              </w:rPr>
            </w:pPr>
            <w:r>
              <w:rPr>
                <w:szCs w:val="24"/>
              </w:rPr>
              <w:t xml:space="preserve"> </w:t>
            </w:r>
            <w:r/>
          </w:p>
        </w:tc>
      </w:tr>
      <w:tr>
        <w:trPr>
          <w:tblCellSpacing w:w="0" w:type="dxa"/>
          <w:trHeight w:val="640"/>
        </w:trPr>
        <w:tc>
          <w:tcPr>
            <w:tcW w:w="511" w:type="pct"/>
            <w:vAlign w:val="center"/>
            <w:textDirection w:val="lrTb"/>
            <w:noWrap w:val="false"/>
          </w:tcPr>
          <w:p>
            <w:pPr>
              <w:pStyle w:val="992"/>
              <w:jc w:val="center"/>
              <w:spacing w:beforeAutospacing="0" w:afterAutospacing="0"/>
              <w:rPr>
                <w:szCs w:val="24"/>
              </w:rPr>
            </w:pPr>
            <w:r>
              <w:rPr>
                <w:szCs w:val="24"/>
              </w:rPr>
              <w:t xml:space="preserve"> </w:t>
            </w:r>
            <w:r/>
          </w:p>
        </w:tc>
        <w:tc>
          <w:tcPr>
            <w:tcW w:w="1401" w:type="pct"/>
            <w:vAlign w:val="center"/>
            <w:textDirection w:val="lrTb"/>
            <w:noWrap w:val="false"/>
          </w:tcPr>
          <w:p>
            <w:pPr>
              <w:pStyle w:val="992"/>
              <w:jc w:val="center"/>
              <w:spacing w:beforeAutospacing="0" w:afterAutospacing="0"/>
              <w:rPr>
                <w:szCs w:val="24"/>
              </w:rPr>
            </w:pPr>
            <w:r>
              <w:rPr>
                <w:szCs w:val="24"/>
              </w:rPr>
              <w:t xml:space="preserve"> </w:t>
            </w:r>
            <w:r/>
          </w:p>
        </w:tc>
        <w:tc>
          <w:tcPr>
            <w:tcW w:w="808" w:type="pct"/>
            <w:vAlign w:val="center"/>
            <w:textDirection w:val="lrTb"/>
            <w:noWrap w:val="false"/>
          </w:tcPr>
          <w:p>
            <w:pPr>
              <w:pStyle w:val="992"/>
              <w:jc w:val="center"/>
              <w:spacing w:beforeAutospacing="0" w:afterAutospacing="0"/>
              <w:rPr>
                <w:szCs w:val="24"/>
              </w:rPr>
            </w:pPr>
            <w:r>
              <w:rPr>
                <w:szCs w:val="24"/>
              </w:rPr>
              <w:t xml:space="preserve"> </w:t>
            </w:r>
            <w:r/>
          </w:p>
        </w:tc>
        <w:tc>
          <w:tcPr>
            <w:tcW w:w="1260" w:type="pct"/>
            <w:vAlign w:val="center"/>
            <w:textDirection w:val="lrTb"/>
            <w:noWrap w:val="false"/>
          </w:tcPr>
          <w:p>
            <w:pPr>
              <w:pStyle w:val="992"/>
              <w:jc w:val="center"/>
              <w:spacing w:beforeAutospacing="0" w:afterAutospacing="0"/>
              <w:rPr>
                <w:szCs w:val="24"/>
              </w:rPr>
            </w:pPr>
            <w:r>
              <w:rPr>
                <w:szCs w:val="24"/>
              </w:rPr>
              <w:t xml:space="preserve"> </w:t>
            </w:r>
            <w:r/>
          </w:p>
        </w:tc>
        <w:tc>
          <w:tcPr>
            <w:tcW w:w="1020" w:type="pct"/>
            <w:vAlign w:val="center"/>
            <w:textDirection w:val="lrTb"/>
            <w:noWrap w:val="false"/>
          </w:tcPr>
          <w:p>
            <w:pPr>
              <w:pStyle w:val="992"/>
              <w:jc w:val="center"/>
              <w:spacing w:beforeAutospacing="0" w:afterAutospacing="0"/>
              <w:rPr>
                <w:szCs w:val="24"/>
              </w:rPr>
            </w:pPr>
            <w:r>
              <w:rPr>
                <w:szCs w:val="24"/>
              </w:rPr>
              <w:t xml:space="preserve"> </w:t>
            </w:r>
            <w:r/>
          </w:p>
        </w:tc>
      </w:tr>
      <w:tr>
        <w:trPr>
          <w:tblCellSpacing w:w="0" w:type="dxa"/>
          <w:trHeight w:val="640"/>
        </w:trPr>
        <w:tc>
          <w:tcPr>
            <w:tcW w:w="511" w:type="pct"/>
            <w:vAlign w:val="center"/>
            <w:textDirection w:val="lrTb"/>
            <w:noWrap w:val="false"/>
          </w:tcPr>
          <w:p>
            <w:pPr>
              <w:pStyle w:val="992"/>
              <w:jc w:val="center"/>
              <w:spacing w:beforeAutospacing="0" w:afterAutospacing="0"/>
              <w:rPr>
                <w:szCs w:val="24"/>
              </w:rPr>
            </w:pPr>
            <w:r>
              <w:rPr>
                <w:szCs w:val="24"/>
              </w:rPr>
              <w:t xml:space="preserve"> </w:t>
            </w:r>
            <w:r/>
          </w:p>
        </w:tc>
        <w:tc>
          <w:tcPr>
            <w:tcW w:w="1401" w:type="pct"/>
            <w:vAlign w:val="center"/>
            <w:textDirection w:val="lrTb"/>
            <w:noWrap w:val="false"/>
          </w:tcPr>
          <w:p>
            <w:pPr>
              <w:pStyle w:val="992"/>
              <w:jc w:val="center"/>
              <w:spacing w:beforeAutospacing="0" w:afterAutospacing="0"/>
              <w:rPr>
                <w:szCs w:val="24"/>
              </w:rPr>
            </w:pPr>
            <w:r>
              <w:rPr>
                <w:szCs w:val="24"/>
              </w:rPr>
              <w:t xml:space="preserve"> </w:t>
            </w:r>
            <w:r/>
          </w:p>
        </w:tc>
        <w:tc>
          <w:tcPr>
            <w:tcW w:w="808" w:type="pct"/>
            <w:vAlign w:val="center"/>
            <w:textDirection w:val="lrTb"/>
            <w:noWrap w:val="false"/>
          </w:tcPr>
          <w:p>
            <w:pPr>
              <w:pStyle w:val="992"/>
              <w:jc w:val="center"/>
              <w:spacing w:beforeAutospacing="0" w:afterAutospacing="0"/>
              <w:rPr>
                <w:szCs w:val="24"/>
              </w:rPr>
            </w:pPr>
            <w:r>
              <w:rPr>
                <w:szCs w:val="24"/>
              </w:rPr>
              <w:t xml:space="preserve"> </w:t>
            </w:r>
            <w:r/>
          </w:p>
        </w:tc>
        <w:tc>
          <w:tcPr>
            <w:tcW w:w="1260" w:type="pct"/>
            <w:vAlign w:val="center"/>
            <w:textDirection w:val="lrTb"/>
            <w:noWrap w:val="false"/>
          </w:tcPr>
          <w:p>
            <w:pPr>
              <w:pStyle w:val="992"/>
              <w:jc w:val="center"/>
              <w:spacing w:beforeAutospacing="0" w:afterAutospacing="0"/>
              <w:rPr>
                <w:szCs w:val="24"/>
              </w:rPr>
            </w:pPr>
            <w:r>
              <w:rPr>
                <w:szCs w:val="24"/>
              </w:rPr>
              <w:t xml:space="preserve"> </w:t>
            </w:r>
            <w:r/>
          </w:p>
        </w:tc>
        <w:tc>
          <w:tcPr>
            <w:tcW w:w="1020" w:type="pct"/>
            <w:vAlign w:val="center"/>
            <w:textDirection w:val="lrTb"/>
            <w:noWrap w:val="false"/>
          </w:tcPr>
          <w:p>
            <w:pPr>
              <w:pStyle w:val="992"/>
              <w:jc w:val="center"/>
              <w:spacing w:beforeAutospacing="0" w:afterAutospacing="0"/>
              <w:rPr>
                <w:szCs w:val="24"/>
              </w:rPr>
            </w:pPr>
            <w:r>
              <w:rPr>
                <w:szCs w:val="24"/>
              </w:rPr>
              <w:t xml:space="preserve"> </w:t>
            </w:r>
            <w:r/>
          </w:p>
        </w:tc>
      </w:tr>
      <w:tr>
        <w:trPr>
          <w:tblCellSpacing w:w="0" w:type="dxa"/>
          <w:trHeight w:val="640"/>
        </w:trPr>
        <w:tc>
          <w:tcPr>
            <w:tcW w:w="511" w:type="pct"/>
            <w:vAlign w:val="center"/>
            <w:textDirection w:val="lrTb"/>
            <w:noWrap w:val="false"/>
          </w:tcPr>
          <w:p>
            <w:pPr>
              <w:pStyle w:val="992"/>
              <w:jc w:val="center"/>
              <w:spacing w:beforeAutospacing="0" w:afterAutospacing="0"/>
              <w:rPr>
                <w:szCs w:val="24"/>
              </w:rPr>
            </w:pPr>
            <w:r>
              <w:rPr>
                <w:szCs w:val="24"/>
              </w:rPr>
              <w:t xml:space="preserve"> </w:t>
            </w:r>
            <w:r/>
          </w:p>
        </w:tc>
        <w:tc>
          <w:tcPr>
            <w:tcW w:w="1401" w:type="pct"/>
            <w:vAlign w:val="center"/>
            <w:textDirection w:val="lrTb"/>
            <w:noWrap w:val="false"/>
          </w:tcPr>
          <w:p>
            <w:pPr>
              <w:pStyle w:val="992"/>
              <w:jc w:val="center"/>
              <w:spacing w:beforeAutospacing="0" w:afterAutospacing="0"/>
              <w:rPr>
                <w:szCs w:val="24"/>
              </w:rPr>
            </w:pPr>
            <w:r>
              <w:rPr>
                <w:szCs w:val="24"/>
              </w:rPr>
              <w:t xml:space="preserve"> </w:t>
            </w:r>
            <w:r/>
          </w:p>
        </w:tc>
        <w:tc>
          <w:tcPr>
            <w:tcW w:w="808" w:type="pct"/>
            <w:vAlign w:val="center"/>
            <w:textDirection w:val="lrTb"/>
            <w:noWrap w:val="false"/>
          </w:tcPr>
          <w:p>
            <w:pPr>
              <w:pStyle w:val="992"/>
              <w:jc w:val="center"/>
              <w:spacing w:beforeAutospacing="0" w:afterAutospacing="0"/>
              <w:rPr>
                <w:szCs w:val="24"/>
              </w:rPr>
            </w:pPr>
            <w:r>
              <w:rPr>
                <w:szCs w:val="24"/>
              </w:rPr>
              <w:t xml:space="preserve"> </w:t>
            </w:r>
            <w:r/>
          </w:p>
        </w:tc>
        <w:tc>
          <w:tcPr>
            <w:tcW w:w="1260" w:type="pct"/>
            <w:vAlign w:val="center"/>
            <w:textDirection w:val="lrTb"/>
            <w:noWrap w:val="false"/>
          </w:tcPr>
          <w:p>
            <w:pPr>
              <w:pStyle w:val="992"/>
              <w:jc w:val="center"/>
              <w:spacing w:beforeAutospacing="0" w:afterAutospacing="0"/>
              <w:rPr>
                <w:szCs w:val="24"/>
              </w:rPr>
            </w:pPr>
            <w:r>
              <w:rPr>
                <w:szCs w:val="24"/>
              </w:rPr>
              <w:t xml:space="preserve"> </w:t>
            </w:r>
            <w:r/>
          </w:p>
        </w:tc>
        <w:tc>
          <w:tcPr>
            <w:tcW w:w="1020" w:type="pct"/>
            <w:vAlign w:val="center"/>
            <w:textDirection w:val="lrTb"/>
            <w:noWrap w:val="false"/>
          </w:tcPr>
          <w:p>
            <w:pPr>
              <w:pStyle w:val="992"/>
              <w:jc w:val="center"/>
              <w:spacing w:beforeAutospacing="0" w:afterAutospacing="0"/>
              <w:rPr>
                <w:szCs w:val="24"/>
              </w:rPr>
            </w:pPr>
            <w:r>
              <w:rPr>
                <w:szCs w:val="24"/>
              </w:rPr>
              <w:t xml:space="preserve"> </w:t>
            </w:r>
            <w:r/>
          </w:p>
        </w:tc>
      </w:tr>
      <w:tr>
        <w:trPr>
          <w:tblCellSpacing w:w="0" w:type="dxa"/>
          <w:trHeight w:val="640"/>
        </w:trPr>
        <w:tc>
          <w:tcPr>
            <w:tcW w:w="511" w:type="pct"/>
            <w:vAlign w:val="center"/>
            <w:textDirection w:val="lrTb"/>
            <w:noWrap w:val="false"/>
          </w:tcPr>
          <w:p>
            <w:pPr>
              <w:pStyle w:val="992"/>
              <w:jc w:val="center"/>
              <w:spacing w:beforeAutospacing="0" w:afterAutospacing="0"/>
              <w:rPr>
                <w:szCs w:val="24"/>
              </w:rPr>
            </w:pPr>
            <w:r>
              <w:rPr>
                <w:szCs w:val="24"/>
              </w:rPr>
              <w:t xml:space="preserve"> </w:t>
            </w:r>
            <w:r/>
          </w:p>
        </w:tc>
        <w:tc>
          <w:tcPr>
            <w:tcW w:w="1401" w:type="pct"/>
            <w:vAlign w:val="center"/>
            <w:textDirection w:val="lrTb"/>
            <w:noWrap w:val="false"/>
          </w:tcPr>
          <w:p>
            <w:pPr>
              <w:pStyle w:val="992"/>
              <w:jc w:val="center"/>
              <w:spacing w:beforeAutospacing="0" w:afterAutospacing="0"/>
              <w:rPr>
                <w:szCs w:val="24"/>
              </w:rPr>
            </w:pPr>
            <w:r>
              <w:rPr>
                <w:rFonts w:hint="eastAsia" w:ascii="宋体" w:hAnsi="宋体" w:cs="宋体"/>
                <w:szCs w:val="24"/>
              </w:rPr>
              <w:t xml:space="preserve">……</w:t>
            </w:r>
            <w:r/>
          </w:p>
        </w:tc>
        <w:tc>
          <w:tcPr>
            <w:tcW w:w="808" w:type="pct"/>
            <w:vAlign w:val="center"/>
            <w:textDirection w:val="lrTb"/>
            <w:noWrap w:val="false"/>
          </w:tcPr>
          <w:p>
            <w:pPr>
              <w:pStyle w:val="992"/>
              <w:jc w:val="center"/>
              <w:spacing w:beforeAutospacing="0" w:afterAutospacing="0"/>
              <w:rPr>
                <w:szCs w:val="24"/>
              </w:rPr>
            </w:pPr>
            <w:r>
              <w:rPr>
                <w:szCs w:val="24"/>
              </w:rPr>
              <w:t xml:space="preserve"> </w:t>
            </w:r>
            <w:r/>
          </w:p>
        </w:tc>
        <w:tc>
          <w:tcPr>
            <w:tcW w:w="1260" w:type="pct"/>
            <w:vAlign w:val="center"/>
            <w:textDirection w:val="lrTb"/>
            <w:noWrap w:val="false"/>
          </w:tcPr>
          <w:p>
            <w:pPr>
              <w:pStyle w:val="992"/>
              <w:jc w:val="center"/>
              <w:spacing w:beforeAutospacing="0" w:afterAutospacing="0"/>
              <w:rPr>
                <w:szCs w:val="24"/>
              </w:rPr>
            </w:pPr>
            <w:r>
              <w:rPr>
                <w:szCs w:val="24"/>
              </w:rPr>
              <w:t xml:space="preserve"> </w:t>
            </w:r>
            <w:r/>
          </w:p>
        </w:tc>
        <w:tc>
          <w:tcPr>
            <w:tcW w:w="1020" w:type="pct"/>
            <w:vAlign w:val="center"/>
            <w:textDirection w:val="lrTb"/>
            <w:noWrap w:val="false"/>
          </w:tcPr>
          <w:p>
            <w:pPr>
              <w:pStyle w:val="992"/>
              <w:jc w:val="center"/>
              <w:spacing w:beforeAutospacing="0" w:afterAutospacing="0"/>
              <w:rPr>
                <w:szCs w:val="24"/>
              </w:rPr>
            </w:pPr>
            <w:r>
              <w:rPr>
                <w:szCs w:val="24"/>
              </w:rPr>
              <w:t xml:space="preserve"> </w:t>
            </w:r>
            <w:r/>
          </w:p>
        </w:tc>
      </w:tr>
    </w:tbl>
    <w:p>
      <w:pPr>
        <w:pStyle w:val="992"/>
        <w:jc w:val="both"/>
        <w:spacing w:beforeAutospacing="0" w:afterAutospacing="0"/>
      </w:pPr>
      <w:r>
        <w:rPr>
          <w:rFonts w:hint="eastAsia" w:ascii="宋体" w:hAnsi="宋体" w:cs="宋体"/>
        </w:rPr>
        <w:t xml:space="preserve">注： 行数不够，可自行添加。</w:t>
      </w:r>
      <w:r/>
    </w:p>
    <w:p>
      <w:pPr>
        <w:pStyle w:val="992"/>
        <w:jc w:val="both"/>
        <w:spacing w:beforeAutospacing="0" w:afterAutospacing="0" w:line="480" w:lineRule="auto"/>
      </w:pPr>
      <w:r>
        <w:t xml:space="preserve"> </w:t>
      </w:r>
      <w:r/>
    </w:p>
    <w:p>
      <w:pPr>
        <w:pStyle w:val="992"/>
        <w:jc w:val="both"/>
        <w:spacing w:beforeAutospacing="0" w:afterAutospacing="0" w:line="480" w:lineRule="auto"/>
      </w:pPr>
      <w:r>
        <w:t xml:space="preserve"> </w:t>
      </w:r>
      <w:r/>
    </w:p>
    <w:p>
      <w:pPr>
        <w:pStyle w:val="992"/>
        <w:jc w:val="both"/>
        <w:spacing w:beforeAutospacing="0" w:afterAutospacing="0" w:line="480" w:lineRule="auto"/>
      </w:pPr>
      <w:r/>
      <w:r/>
    </w:p>
    <w:p>
      <w:pPr>
        <w:pStyle w:val="992"/>
        <w:jc w:val="both"/>
        <w:spacing w:beforeAutospacing="0" w:afterAutospacing="0" w:line="480" w:lineRule="auto"/>
      </w:pPr>
      <w:r/>
      <w:r/>
    </w:p>
    <w:p>
      <w:pPr>
        <w:pStyle w:val="992"/>
        <w:jc w:val="both"/>
        <w:spacing w:beforeAutospacing="0" w:afterAutospacing="0" w:line="480" w:lineRule="auto"/>
      </w:pPr>
      <w:r/>
      <w:r/>
    </w:p>
    <w:p>
      <w:pPr>
        <w:pStyle w:val="992"/>
        <w:jc w:val="both"/>
        <w:spacing w:beforeAutospacing="0" w:afterAutospacing="0" w:line="480" w:lineRule="auto"/>
      </w:pPr>
      <w:r/>
      <w:r/>
    </w:p>
    <w:p>
      <w:pPr>
        <w:pStyle w:val="992"/>
        <w:jc w:val="both"/>
        <w:spacing w:beforeAutospacing="0" w:afterAutospacing="0" w:line="480" w:lineRule="auto"/>
      </w:pPr>
      <w:r/>
      <w:r/>
    </w:p>
    <w:p>
      <w:pPr>
        <w:pStyle w:val="992"/>
        <w:jc w:val="both"/>
        <w:spacing w:beforeAutospacing="0" w:afterAutospacing="0" w:line="480" w:lineRule="auto"/>
      </w:pPr>
      <w:r/>
      <w:r/>
    </w:p>
    <w:p>
      <w:pPr>
        <w:pStyle w:val="992"/>
        <w:jc w:val="both"/>
        <w:spacing w:beforeAutospacing="0" w:afterAutospacing="0" w:line="480" w:lineRule="auto"/>
      </w:pPr>
      <w:r/>
      <w:r/>
    </w:p>
    <w:p>
      <w:pPr>
        <w:pStyle w:val="992"/>
        <w:jc w:val="both"/>
        <w:spacing w:beforeAutospacing="0" w:afterAutospacing="0" w:line="480" w:lineRule="auto"/>
      </w:pPr>
      <w:r/>
      <w:r/>
    </w:p>
    <w:p>
      <w:pPr>
        <w:pStyle w:val="992"/>
        <w:jc w:val="both"/>
        <w:spacing w:beforeAutospacing="0" w:afterAutospacing="0" w:line="480" w:lineRule="auto"/>
      </w:pPr>
      <w:r/>
      <w:r/>
    </w:p>
    <w:p>
      <w:pPr>
        <w:pStyle w:val="992"/>
        <w:jc w:val="both"/>
        <w:spacing w:beforeAutospacing="0" w:afterAutospacing="0" w:line="480" w:lineRule="auto"/>
      </w:pPr>
      <w:r/>
      <w:r/>
    </w:p>
    <w:p>
      <w:pPr>
        <w:pStyle w:val="992"/>
        <w:jc w:val="both"/>
        <w:spacing w:beforeAutospacing="0" w:afterAutospacing="0" w:line="480" w:lineRule="auto"/>
      </w:pPr>
      <w:r/>
      <w:r/>
    </w:p>
    <w:p>
      <w:pPr>
        <w:pStyle w:val="992"/>
        <w:jc w:val="both"/>
        <w:spacing w:beforeAutospacing="0" w:afterAutospacing="0" w:line="480" w:lineRule="auto"/>
      </w:pPr>
      <w:r/>
      <w:bookmarkEnd w:id="172"/>
      <w:r/>
      <w:bookmarkEnd w:id="173"/>
      <w:r/>
      <w:bookmarkEnd w:id="174"/>
      <w:r/>
      <w:bookmarkEnd w:id="179"/>
      <w:r/>
      <w:bookmarkEnd w:id="182"/>
      <w:r/>
      <w:bookmarkEnd w:id="183"/>
      <w:r/>
      <w:bookmarkEnd w:id="184"/>
      <w:r/>
      <w:bookmarkEnd w:id="185"/>
      <w:r/>
      <w:r/>
    </w:p>
    <w:p>
      <w:pPr>
        <w:pStyle w:val="992"/>
        <w:jc w:val="center"/>
        <w:spacing w:beforeAutospacing="0" w:afterAutospacing="0"/>
        <w:rPr>
          <w:rFonts w:hint="eastAsia" w:ascii="黑体" w:hAnsi="宋体" w:eastAsia="黑体" w:cs="黑体"/>
          <w:iCs/>
          <w:sz w:val="32"/>
          <w:szCs w:val="32"/>
        </w:rPr>
      </w:pPr>
      <w:r>
        <w:rPr>
          <w:rFonts w:hint="eastAsia" w:ascii="黑体" w:hAnsi="宋体" w:eastAsia="黑体" w:cs="黑体"/>
          <w:iCs/>
          <w:sz w:val="32"/>
          <w:szCs w:val="32"/>
        </w:rPr>
        <w:t xml:space="preserve">十二、报价一览表</w:t>
      </w:r>
      <w:r/>
    </w:p>
    <w:p>
      <w:pPr>
        <w:pStyle w:val="992"/>
        <w:jc w:val="both"/>
      </w:pPr>
      <w:r>
        <w:rPr>
          <w:rFonts w:hint="eastAsia"/>
        </w:rPr>
        <w:t xml:space="preserve">供应商全称（加盖</w:t>
      </w:r>
      <w:r>
        <w:rPr>
          <w:rFonts w:hint="eastAsia"/>
        </w:rPr>
        <w:t xml:space="preserve">CA</w:t>
      </w:r>
      <w:r>
        <w:rPr>
          <w:rFonts w:hint="eastAsia"/>
        </w:rPr>
        <w:t xml:space="preserve">电子签章）：</w:t>
      </w:r>
      <w:r/>
    </w:p>
    <w:p>
      <w:pPr>
        <w:pStyle w:val="992"/>
        <w:jc w:val="both"/>
      </w:pPr>
      <w:r>
        <w:rPr>
          <w:rFonts w:hint="eastAsia"/>
        </w:rPr>
        <w:t xml:space="preserve">项目名称：</w:t>
      </w:r>
      <w:r/>
    </w:p>
    <w:p>
      <w:pPr>
        <w:pStyle w:val="992"/>
        <w:jc w:val="both"/>
      </w:pPr>
      <w:r>
        <w:rPr>
          <w:rFonts w:hint="eastAsia"/>
        </w:rPr>
        <w:t xml:space="preserve">项目编号：</w:t>
      </w:r>
      <w:r>
        <w:rPr>
          <w:rFonts w:hint="eastAsia"/>
        </w:rPr>
        <w:t xml:space="preserve">                       </w:t>
      </w:r>
      <w:r/>
    </w:p>
    <w:tbl>
      <w:tblPr>
        <w:tblW w:w="5000" w:type="pct"/>
        <w:tblCellSpacing w:w="0" w:type="dxa"/>
        <w:tblLook w:val="04A0" w:firstRow="1" w:lastRow="0" w:firstColumn="1" w:lastColumn="0" w:noHBand="0" w:noVBand="1"/>
      </w:tblPr>
      <w:tblGrid>
        <w:gridCol w:w="947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92"/>
              <w:jc w:val="both"/>
            </w:pPr>
            <w:r>
              <w:rPr>
                <w:rFonts w:hint="eastAsia"/>
              </w:rPr>
              <w:t xml:space="preserve">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92"/>
              <w:jc w:val="both"/>
              <w:spacing w:line="0" w:lineRule="atLeast"/>
            </w:pPr>
            <w:r>
              <w:rPr>
                <w:rFonts w:hint="eastAsia"/>
              </w:rPr>
              <w:t xml:space="preserve">小写：</w:t>
            </w:r>
            <w:r>
              <w:rPr>
                <w:rFonts w:hint="eastAsia"/>
              </w:rPr>
              <w:t xml:space="preserve">                 </w:t>
            </w:r>
            <w:r>
              <w:rPr>
                <w:rFonts w:hint="eastAsia"/>
              </w:rPr>
              <w:t xml:space="preserve">（人民币：元）</w:t>
            </w:r>
            <w:r/>
          </w:p>
        </w:tc>
      </w:tr>
    </w:tbl>
    <w:p>
      <w:pPr>
        <w:pStyle w:val="992"/>
        <w:jc w:val="both"/>
      </w:pPr>
      <w:r>
        <w:t xml:space="preserve"> </w:t>
      </w:r>
      <w:r/>
    </w:p>
    <w:p>
      <w:pPr>
        <w:pStyle w:val="992"/>
        <w:jc w:val="both"/>
      </w:pPr>
      <w:r>
        <w:rPr>
          <w:rFonts w:hint="eastAsia"/>
        </w:rPr>
        <w:t xml:space="preserve">                                                                               </w:t>
      </w:r>
      <w:r>
        <w:rPr>
          <w:rFonts w:hint="eastAsia"/>
        </w:rPr>
        <w:t xml:space="preserve">日期：</w:t>
      </w:r>
      <w:r>
        <w:rPr>
          <w:rFonts w:hint="eastAsia"/>
        </w:rPr>
        <w:t xml:space="preserve">  </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jc w:val="center"/>
        <w:spacing w:before="50" w:after="50"/>
        <w:widowControl/>
        <w:rPr>
          <w:rFonts w:hint="eastAsia" w:ascii="宋体" w:hAnsi="宋体" w:cs="宋体"/>
          <w:sz w:val="32"/>
          <w:szCs w:val="32"/>
        </w:rPr>
      </w:pPr>
      <w:r>
        <w:rPr>
          <w:rFonts w:hint="eastAsia" w:ascii="宋体" w:hAnsi="宋体" w:cs="宋体"/>
          <w:sz w:val="32"/>
          <w:szCs w:val="32"/>
        </w:rPr>
      </w:r>
      <w:r/>
    </w:p>
    <w:p>
      <w:pPr>
        <w:jc w:val="center"/>
        <w:spacing w:before="50" w:after="50"/>
        <w:widowControl/>
        <w:rPr>
          <w:rFonts w:hint="eastAsia" w:ascii="宋体" w:hAnsi="宋体" w:cs="宋体"/>
          <w:sz w:val="32"/>
          <w:szCs w:val="32"/>
        </w:rPr>
      </w:pPr>
      <w:r>
        <w:rPr>
          <w:rFonts w:hint="eastAsia" w:ascii="宋体" w:hAnsi="宋体" w:cs="宋体"/>
          <w:sz w:val="32"/>
          <w:szCs w:val="32"/>
        </w:rPr>
      </w:r>
      <w:r/>
    </w:p>
    <w:p>
      <w:pPr>
        <w:jc w:val="center"/>
        <w:spacing w:before="50" w:after="50"/>
        <w:widowControl/>
        <w:rPr>
          <w:rFonts w:hint="eastAsia" w:ascii="宋体" w:hAnsi="宋体" w:cs="宋体"/>
          <w:sz w:val="32"/>
          <w:szCs w:val="32"/>
        </w:rPr>
      </w:pPr>
      <w:r>
        <w:rPr>
          <w:rFonts w:hint="eastAsia" w:ascii="宋体" w:hAnsi="宋体" w:cs="宋体"/>
          <w:sz w:val="32"/>
          <w:szCs w:val="32"/>
        </w:rPr>
      </w:r>
      <w:r/>
    </w:p>
    <w:p>
      <w:pPr>
        <w:jc w:val="center"/>
        <w:spacing w:before="50" w:after="50"/>
        <w:widowControl/>
        <w:rPr>
          <w:rFonts w:hint="eastAsia" w:ascii="宋体" w:hAnsi="宋体" w:cs="宋体"/>
          <w:sz w:val="32"/>
          <w:szCs w:val="32"/>
        </w:rPr>
      </w:pPr>
      <w:r>
        <w:rPr>
          <w:rFonts w:hint="eastAsia" w:ascii="宋体" w:hAnsi="宋体" w:cs="宋体"/>
          <w:sz w:val="32"/>
          <w:szCs w:val="32"/>
        </w:rPr>
      </w:r>
      <w:r/>
    </w:p>
    <w:p>
      <w:pPr>
        <w:jc w:val="center"/>
        <w:spacing w:before="50" w:after="50"/>
        <w:widowControl/>
        <w:rPr>
          <w:rFonts w:hint="eastAsia" w:ascii="宋体" w:hAnsi="宋体" w:cs="宋体"/>
          <w:sz w:val="32"/>
          <w:szCs w:val="32"/>
        </w:rPr>
      </w:pPr>
      <w:r>
        <w:rPr>
          <w:rFonts w:hint="eastAsia" w:ascii="宋体" w:hAnsi="宋体" w:cs="宋体"/>
          <w:sz w:val="32"/>
          <w:szCs w:val="32"/>
        </w:rPr>
      </w:r>
      <w:r/>
    </w:p>
    <w:p>
      <w:pPr>
        <w:jc w:val="center"/>
        <w:spacing w:before="50" w:after="50"/>
        <w:widowControl/>
        <w:rPr>
          <w:rFonts w:hint="eastAsia" w:ascii="宋体" w:hAnsi="宋体" w:cs="宋体"/>
          <w:sz w:val="32"/>
          <w:szCs w:val="32"/>
        </w:rPr>
      </w:pPr>
      <w:r>
        <w:rPr>
          <w:rFonts w:hint="eastAsia" w:ascii="宋体" w:hAnsi="宋体" w:cs="宋体"/>
          <w:sz w:val="32"/>
          <w:szCs w:val="32"/>
        </w:rPr>
      </w:r>
      <w:r/>
    </w:p>
    <w:p>
      <w:pPr>
        <w:jc w:val="center"/>
        <w:spacing w:before="50" w:after="50"/>
        <w:widowControl/>
        <w:rPr>
          <w:rFonts w:hint="eastAsia" w:ascii="宋体" w:hAnsi="宋体" w:cs="宋体"/>
          <w:sz w:val="32"/>
          <w:szCs w:val="32"/>
        </w:rPr>
      </w:pPr>
      <w:r>
        <w:rPr>
          <w:rFonts w:hint="eastAsia" w:ascii="宋体" w:hAnsi="宋体" w:cs="宋体"/>
          <w:sz w:val="32"/>
          <w:szCs w:val="32"/>
        </w:rPr>
      </w:r>
      <w:r/>
    </w:p>
    <w:p>
      <w:pPr>
        <w:jc w:val="center"/>
        <w:spacing w:before="50" w:after="50"/>
        <w:widowControl/>
        <w:rPr>
          <w:rFonts w:hint="eastAsia" w:ascii="宋体" w:hAnsi="宋体" w:cs="宋体"/>
          <w:sz w:val="32"/>
          <w:szCs w:val="32"/>
        </w:rPr>
      </w:pPr>
      <w:r>
        <w:rPr>
          <w:rFonts w:hint="eastAsia" w:ascii="宋体" w:hAnsi="宋体" w:cs="宋体"/>
          <w:sz w:val="32"/>
          <w:szCs w:val="32"/>
        </w:rPr>
      </w:r>
      <w:r/>
    </w:p>
    <w:p>
      <w:pPr>
        <w:jc w:val="center"/>
        <w:spacing w:before="50" w:after="50"/>
        <w:widowControl/>
        <w:rPr>
          <w:rFonts w:hint="eastAsia" w:ascii="宋体" w:hAnsi="宋体" w:cs="宋体"/>
          <w:sz w:val="32"/>
          <w:szCs w:val="32"/>
        </w:rPr>
      </w:pPr>
      <w:r>
        <w:rPr>
          <w:rFonts w:hint="eastAsia" w:ascii="宋体" w:hAnsi="宋体" w:cs="宋体"/>
          <w:sz w:val="32"/>
          <w:szCs w:val="32"/>
        </w:rPr>
      </w:r>
      <w:r/>
    </w:p>
    <w:p>
      <w:pPr>
        <w:jc w:val="center"/>
        <w:spacing w:before="50" w:after="50"/>
        <w:widowControl/>
        <w:rPr>
          <w:rFonts w:hint="eastAsia" w:ascii="宋体" w:hAnsi="宋体" w:cs="宋体"/>
          <w:sz w:val="32"/>
          <w:szCs w:val="32"/>
        </w:rPr>
      </w:pPr>
      <w:r>
        <w:rPr>
          <w:rFonts w:hint="eastAsia" w:ascii="宋体" w:hAnsi="宋体" w:cs="宋体"/>
          <w:sz w:val="32"/>
          <w:szCs w:val="32"/>
        </w:rPr>
      </w:r>
      <w:r/>
    </w:p>
    <w:p>
      <w:pPr>
        <w:jc w:val="center"/>
        <w:spacing w:before="50" w:after="50"/>
        <w:widowControl/>
        <w:rPr>
          <w:rFonts w:hint="eastAsia" w:ascii="宋体" w:hAnsi="宋体" w:cs="宋体"/>
          <w:sz w:val="32"/>
          <w:szCs w:val="32"/>
        </w:rPr>
      </w:pPr>
      <w:r>
        <w:rPr>
          <w:rFonts w:hint="eastAsia" w:ascii="宋体" w:hAnsi="宋体" w:cs="宋体"/>
          <w:sz w:val="32"/>
          <w:szCs w:val="32"/>
        </w:rPr>
      </w:r>
      <w:r/>
    </w:p>
    <w:p>
      <w:pPr>
        <w:jc w:val="center"/>
        <w:spacing w:before="50" w:after="50"/>
        <w:widowControl/>
        <w:rPr>
          <w:rFonts w:hint="eastAsia" w:ascii="宋体" w:hAnsi="宋体" w:cs="宋体"/>
          <w:sz w:val="32"/>
          <w:szCs w:val="32"/>
        </w:rPr>
      </w:pPr>
      <w:r>
        <w:rPr>
          <w:rFonts w:hint="eastAsia" w:ascii="宋体" w:hAnsi="宋体" w:cs="宋体"/>
          <w:sz w:val="32"/>
          <w:szCs w:val="32"/>
        </w:rPr>
      </w:r>
      <w:r/>
    </w:p>
    <w:p>
      <w:pPr>
        <w:jc w:val="center"/>
        <w:spacing w:before="50" w:after="50"/>
        <w:widowControl/>
        <w:rPr>
          <w:rFonts w:hint="eastAsia" w:ascii="宋体" w:hAnsi="宋体" w:cs="宋体"/>
          <w:sz w:val="32"/>
          <w:szCs w:val="32"/>
        </w:rPr>
      </w:pPr>
      <w:r>
        <w:rPr>
          <w:rFonts w:hint="eastAsia" w:ascii="宋体" w:hAnsi="宋体" w:cs="宋体"/>
          <w:sz w:val="32"/>
          <w:szCs w:val="32"/>
        </w:rPr>
      </w:r>
      <w:r/>
    </w:p>
    <w:p>
      <w:pPr>
        <w:jc w:val="center"/>
        <w:spacing w:before="50" w:after="50"/>
        <w:widowControl/>
        <w:rPr>
          <w:rFonts w:hint="eastAsia" w:ascii="宋体" w:hAnsi="宋体" w:cs="宋体"/>
          <w:sz w:val="32"/>
          <w:szCs w:val="32"/>
        </w:rPr>
      </w:pPr>
      <w:r>
        <w:rPr>
          <w:rFonts w:hint="eastAsia" w:ascii="宋体" w:hAnsi="宋体" w:cs="宋体"/>
          <w:sz w:val="32"/>
          <w:szCs w:val="32"/>
        </w:rPr>
      </w:r>
      <w:r/>
    </w:p>
    <w:p>
      <w:pPr>
        <w:jc w:val="center"/>
        <w:spacing w:before="50" w:after="50"/>
        <w:widowControl/>
        <w:rPr>
          <w:rFonts w:hint="eastAsia" w:ascii="宋体" w:hAnsi="宋体" w:cs="宋体"/>
          <w:sz w:val="32"/>
          <w:szCs w:val="32"/>
        </w:rPr>
      </w:pPr>
      <w:r>
        <w:rPr>
          <w:rFonts w:hint="eastAsia" w:ascii="宋体" w:hAnsi="宋体" w:cs="宋体"/>
          <w:sz w:val="32"/>
          <w:szCs w:val="32"/>
        </w:rPr>
      </w:r>
      <w:r/>
    </w:p>
    <w:p>
      <w:pPr>
        <w:jc w:val="center"/>
        <w:spacing w:before="50" w:after="50"/>
        <w:widowControl/>
        <w:rPr>
          <w:rFonts w:hint="eastAsia" w:ascii="宋体" w:hAnsi="宋体" w:cs="宋体"/>
          <w:sz w:val="32"/>
          <w:szCs w:val="32"/>
        </w:rPr>
      </w:pPr>
      <w:r>
        <w:rPr>
          <w:rFonts w:hint="eastAsia" w:ascii="宋体" w:hAnsi="宋体" w:cs="宋体"/>
          <w:sz w:val="32"/>
          <w:szCs w:val="32"/>
        </w:rPr>
      </w:r>
      <w:r/>
    </w:p>
    <w:p>
      <w:pPr>
        <w:jc w:val="center"/>
        <w:spacing w:before="50" w:after="50"/>
        <w:widowControl/>
        <w:rPr>
          <w:rFonts w:hint="eastAsia" w:ascii="宋体" w:hAnsi="宋体" w:cs="宋体"/>
          <w:sz w:val="32"/>
          <w:szCs w:val="32"/>
        </w:rPr>
      </w:pPr>
      <w:r>
        <w:rPr>
          <w:rFonts w:hint="eastAsia" w:ascii="宋体" w:hAnsi="宋体" w:cs="宋体"/>
          <w:sz w:val="32"/>
          <w:szCs w:val="32"/>
        </w:rPr>
      </w:r>
      <w:r/>
    </w:p>
    <w:p>
      <w:pPr>
        <w:jc w:val="center"/>
        <w:spacing w:before="50" w:after="50"/>
        <w:widowControl/>
        <w:rPr>
          <w:rFonts w:hint="eastAsia" w:ascii="宋体" w:hAnsi="宋体" w:cs="宋体"/>
          <w:sz w:val="32"/>
          <w:szCs w:val="32"/>
        </w:rPr>
      </w:pPr>
      <w:r>
        <w:rPr>
          <w:rFonts w:hint="eastAsia" w:ascii="宋体" w:hAnsi="宋体" w:cs="宋体"/>
          <w:sz w:val="32"/>
          <w:szCs w:val="32"/>
        </w:rPr>
      </w:r>
      <w:r/>
    </w:p>
    <w:p>
      <w:pPr>
        <w:pStyle w:val="992"/>
        <w:jc w:val="center"/>
        <w:spacing w:beforeAutospacing="0" w:afterAutospacing="0"/>
        <w:rPr>
          <w:rFonts w:hint="eastAsia" w:ascii="黑体" w:hAnsi="宋体" w:eastAsia="黑体" w:cs="黑体"/>
          <w:iCs/>
          <w:sz w:val="32"/>
          <w:szCs w:val="32"/>
        </w:rPr>
      </w:pPr>
      <w:r>
        <w:rPr>
          <w:rFonts w:hint="eastAsia" w:ascii="黑体" w:hAnsi="宋体" w:eastAsia="黑体" w:cs="黑体"/>
          <w:iCs/>
          <w:sz w:val="32"/>
          <w:szCs w:val="32"/>
        </w:rPr>
        <w:t xml:space="preserve">十三、技术方案、服务承诺、培训承诺等</w:t>
      </w:r>
      <w:r/>
    </w:p>
    <w:p>
      <w:pPr>
        <w:pStyle w:val="992"/>
        <w:jc w:val="both"/>
        <w:spacing w:beforeAutospacing="0" w:afterAutospacing="0"/>
        <w:tabs>
          <w:tab w:val="left" w:pos="2160" w:leader="none"/>
        </w:tabs>
      </w:p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pStyle w:val="992"/>
        <w:jc w:val="center"/>
        <w:spacing w:beforeAutospacing="0" w:afterAutospacing="0"/>
        <w:rPr>
          <w:rFonts w:hint="eastAsia" w:ascii="黑体" w:hAnsi="宋体" w:eastAsia="黑体" w:cs="黑体"/>
          <w:iCs/>
          <w:sz w:val="32"/>
          <w:szCs w:val="32"/>
        </w:rPr>
      </w:pPr>
      <w:r>
        <w:rPr>
          <w:rFonts w:ascii="黑体" w:hAnsi="宋体" w:eastAsia="黑体" w:cs="黑体"/>
          <w:iCs/>
          <w:sz w:val="32"/>
          <w:szCs w:val="32"/>
        </w:rPr>
        <w:t xml:space="preserve">十</w:t>
      </w:r>
      <w:r>
        <w:rPr>
          <w:rFonts w:hint="eastAsia" w:ascii="黑体" w:hAnsi="宋体" w:eastAsia="黑体" w:cs="黑体"/>
          <w:iCs/>
          <w:sz w:val="32"/>
          <w:szCs w:val="32"/>
        </w:rPr>
        <w:t xml:space="preserve">四</w:t>
      </w:r>
      <w:r>
        <w:rPr>
          <w:rFonts w:ascii="黑体" w:hAnsi="宋体" w:eastAsia="黑体" w:cs="黑体"/>
          <w:iCs/>
          <w:sz w:val="32"/>
          <w:szCs w:val="32"/>
        </w:rPr>
        <w:t xml:space="preserve">、</w:t>
      </w:r>
      <w:r>
        <w:rPr>
          <w:rFonts w:hint="eastAsia" w:ascii="黑体" w:hAnsi="宋体" w:eastAsia="黑体" w:cs="黑体"/>
          <w:iCs/>
          <w:sz w:val="32"/>
          <w:szCs w:val="32"/>
        </w:rPr>
        <w:t xml:space="preserve">采购</w:t>
      </w:r>
      <w:r>
        <w:rPr>
          <w:rFonts w:ascii="黑体" w:hAnsi="宋体" w:eastAsia="黑体" w:cs="黑体"/>
          <w:iCs/>
          <w:sz w:val="32"/>
          <w:szCs w:val="32"/>
        </w:rPr>
        <w:t xml:space="preserve">文件中规定要求提供的证明材料和</w:t>
      </w:r>
      <w:r>
        <w:rPr>
          <w:rFonts w:hint="eastAsia" w:ascii="黑体" w:hAnsi="宋体" w:eastAsia="黑体" w:cs="黑体"/>
          <w:iCs/>
          <w:sz w:val="32"/>
          <w:szCs w:val="32"/>
        </w:rPr>
        <w:t xml:space="preserve">供应商</w:t>
      </w:r>
      <w:r>
        <w:rPr>
          <w:rFonts w:ascii="黑体" w:hAnsi="宋体" w:eastAsia="黑体" w:cs="黑体"/>
          <w:iCs/>
          <w:sz w:val="32"/>
          <w:szCs w:val="32"/>
        </w:rPr>
        <w:t xml:space="preserve">认为需要提供的其他材料</w:t>
      </w:r>
      <w:r/>
    </w:p>
    <w:p>
      <w:pPr>
        <w:rPr>
          <w:rFonts w:hint="eastAsia" w:ascii="宋体" w:hAnsi="宋体"/>
        </w:rPr>
      </w:pPr>
      <w:r>
        <w:rPr>
          <w:rFonts w:hint="eastAsia" w:ascii="宋体" w:hAnsi="宋体"/>
        </w:rPr>
      </w:r>
      <w:r/>
    </w:p>
    <w:p>
      <w:r/>
      <w:r/>
    </w:p>
    <w:sectPr>
      <w:footerReference w:type="default" r:id="rId13"/>
      <w:footerReference w:type="first" r:id="rId14"/>
      <w:footnotePr/>
      <w:endnotePr/>
      <w:type w:val="nextPage"/>
      <w:pgSz w:w="11906" w:h="16838" w:orient="portrait"/>
      <w:pgMar w:top="1418" w:right="1301"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ambria">
    <w:panose1 w:val="02040503050406030204"/>
  </w:font>
  <w:font w:name="楷体_GB2312">
    <w:panose1 w:val="02010609060101010101"/>
  </w:font>
  <w:font w:name="幼圆">
    <w:panose1 w:val="02010509060101010101"/>
  </w:font>
  <w:font w:name="仿宋_GB2312">
    <w:panose1 w:val="02010609060101010101"/>
  </w:font>
  <w:font w:name="黑体">
    <w:panose1 w:val="02010609060101010101"/>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326005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rPr>
        <w:rStyle w:val="1013"/>
      </w:rPr>
      <w:framePr w:wrap="around" w:vAnchor="text" w:hAnchor="margin" w:xAlign="center" w:y="1"/>
    </w:pPr>
    <w:r>
      <w:fldChar w:fldCharType="begin"/>
    </w:r>
    <w:r>
      <w:rPr>
        <w:rStyle w:val="1013"/>
      </w:rPr>
      <w:instrText xml:space="preserve">PAGE  </w:instrText>
    </w:r>
    <w:r>
      <w:fldChar w:fldCharType="separate"/>
    </w:r>
    <w:r>
      <w:rPr>
        <w:rStyle w:val="1013"/>
      </w:rPr>
      <w:t xml:space="preserve">1</w:t>
    </w:r>
    <w:r>
      <w:fldChar w:fldCharType="end"/>
    </w:r>
    <w:r/>
  </w:p>
  <w:p>
    <w:pPr>
      <w:pStyle w:val="101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9784179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2476500</wp:posOffset>
              </wp:positionH>
              <wp:positionV relativeFrom="paragraph">
                <wp:posOffset>-21590</wp:posOffset>
              </wp:positionV>
              <wp:extent cx="1247775" cy="173355"/>
              <wp:effectExtent l="0" t="0" r="9525"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247775" cy="1733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0"/>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rPr>
                              <w:rFonts w:hint="eastAsia"/>
                            </w:rPr>
                            <w:t xml:space="preserve">32</w:t>
                          </w:r>
                          <w:r>
                            <w:t xml:space="preserve">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2336;o:allowoverlap:true;o:allowincell:true;mso-position-horizontal-relative:margin;margin-left:195.0pt;mso-position-horizontal:absolute;mso-position-vertical-relative:text;margin-top:-1.7pt;mso-position-vertical:absolute;width:98.2pt;height:13.6pt;mso-wrap-distance-left:9.0pt;mso-wrap-distance-top:0.0pt;mso-wrap-distance-right:9.0pt;mso-wrap-distance-bottom:0.0pt;v-text-anchor:top;visibility:visible;" filled="f" stroked="f" strokeweight="0.50pt">
              <v:textbox inset="0,0,0,0">
                <w:txbxContent>
                  <w:p>
                    <w:pPr>
                      <w:pStyle w:val="990"/>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rPr>
                        <w:rFonts w:hint="eastAsia"/>
                      </w:rPr>
                      <w:t xml:space="preserve">32</w:t>
                    </w:r>
                    <w:r>
                      <w:t xml:space="preserve">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2"/>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2"/>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9"/>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7">
    <w:name w:val="Heading 1"/>
    <w:basedOn w:val="981"/>
    <w:next w:val="981"/>
    <w:link w:val="808"/>
    <w:uiPriority w:val="9"/>
    <w:qFormat/>
    <w:pPr>
      <w:keepLines/>
      <w:keepNext/>
      <w:spacing w:before="480" w:after="200"/>
      <w:outlineLvl w:val="0"/>
    </w:pPr>
    <w:rPr>
      <w:rFonts w:ascii="Arial" w:hAnsi="Arial" w:eastAsia="Arial" w:cs="Arial"/>
      <w:sz w:val="40"/>
      <w:szCs w:val="40"/>
    </w:rPr>
  </w:style>
  <w:style w:type="character" w:styleId="808">
    <w:name w:val="Heading 1 Char"/>
    <w:basedOn w:val="983"/>
    <w:link w:val="807"/>
    <w:uiPriority w:val="9"/>
    <w:rPr>
      <w:rFonts w:ascii="Arial" w:hAnsi="Arial" w:eastAsia="Arial" w:cs="Arial"/>
      <w:sz w:val="40"/>
      <w:szCs w:val="40"/>
    </w:rPr>
  </w:style>
  <w:style w:type="character" w:styleId="809">
    <w:name w:val="Heading 2 Char"/>
    <w:basedOn w:val="983"/>
    <w:link w:val="982"/>
    <w:uiPriority w:val="9"/>
    <w:rPr>
      <w:rFonts w:ascii="Arial" w:hAnsi="Arial" w:eastAsia="Arial" w:cs="Arial"/>
      <w:sz w:val="34"/>
    </w:rPr>
  </w:style>
  <w:style w:type="paragraph" w:styleId="810">
    <w:name w:val="Heading 3"/>
    <w:basedOn w:val="981"/>
    <w:next w:val="981"/>
    <w:link w:val="811"/>
    <w:uiPriority w:val="9"/>
    <w:unhideWhenUsed/>
    <w:qFormat/>
    <w:pPr>
      <w:keepLines/>
      <w:keepNext/>
      <w:spacing w:before="320" w:after="200"/>
      <w:outlineLvl w:val="2"/>
    </w:pPr>
    <w:rPr>
      <w:rFonts w:ascii="Arial" w:hAnsi="Arial" w:eastAsia="Arial" w:cs="Arial"/>
      <w:sz w:val="30"/>
      <w:szCs w:val="30"/>
    </w:rPr>
  </w:style>
  <w:style w:type="character" w:styleId="811">
    <w:name w:val="Heading 3 Char"/>
    <w:basedOn w:val="983"/>
    <w:link w:val="810"/>
    <w:uiPriority w:val="9"/>
    <w:rPr>
      <w:rFonts w:ascii="Arial" w:hAnsi="Arial" w:eastAsia="Arial" w:cs="Arial"/>
      <w:sz w:val="30"/>
      <w:szCs w:val="30"/>
    </w:rPr>
  </w:style>
  <w:style w:type="paragraph" w:styleId="812">
    <w:name w:val="Heading 4"/>
    <w:basedOn w:val="981"/>
    <w:next w:val="981"/>
    <w:link w:val="813"/>
    <w:uiPriority w:val="9"/>
    <w:unhideWhenUsed/>
    <w:qFormat/>
    <w:pPr>
      <w:keepLines/>
      <w:keepNext/>
      <w:spacing w:before="320" w:after="200"/>
      <w:outlineLvl w:val="3"/>
    </w:pPr>
    <w:rPr>
      <w:rFonts w:ascii="Arial" w:hAnsi="Arial" w:eastAsia="Arial" w:cs="Arial"/>
      <w:b/>
      <w:bCs/>
      <w:sz w:val="26"/>
      <w:szCs w:val="26"/>
    </w:rPr>
  </w:style>
  <w:style w:type="character" w:styleId="813">
    <w:name w:val="Heading 4 Char"/>
    <w:basedOn w:val="983"/>
    <w:link w:val="812"/>
    <w:uiPriority w:val="9"/>
    <w:rPr>
      <w:rFonts w:ascii="Arial" w:hAnsi="Arial" w:eastAsia="Arial" w:cs="Arial"/>
      <w:b/>
      <w:bCs/>
      <w:sz w:val="26"/>
      <w:szCs w:val="26"/>
    </w:rPr>
  </w:style>
  <w:style w:type="paragraph" w:styleId="814">
    <w:name w:val="Heading 5"/>
    <w:basedOn w:val="981"/>
    <w:next w:val="981"/>
    <w:link w:val="815"/>
    <w:uiPriority w:val="9"/>
    <w:unhideWhenUsed/>
    <w:qFormat/>
    <w:pPr>
      <w:keepLines/>
      <w:keepNext/>
      <w:spacing w:before="320" w:after="200"/>
      <w:outlineLvl w:val="4"/>
    </w:pPr>
    <w:rPr>
      <w:rFonts w:ascii="Arial" w:hAnsi="Arial" w:eastAsia="Arial" w:cs="Arial"/>
      <w:b/>
      <w:bCs/>
      <w:sz w:val="24"/>
      <w:szCs w:val="24"/>
    </w:rPr>
  </w:style>
  <w:style w:type="character" w:styleId="815">
    <w:name w:val="Heading 5 Char"/>
    <w:basedOn w:val="983"/>
    <w:link w:val="814"/>
    <w:uiPriority w:val="9"/>
    <w:rPr>
      <w:rFonts w:ascii="Arial" w:hAnsi="Arial" w:eastAsia="Arial" w:cs="Arial"/>
      <w:b/>
      <w:bCs/>
      <w:sz w:val="24"/>
      <w:szCs w:val="24"/>
    </w:rPr>
  </w:style>
  <w:style w:type="paragraph" w:styleId="816">
    <w:name w:val="Heading 6"/>
    <w:basedOn w:val="981"/>
    <w:next w:val="981"/>
    <w:link w:val="817"/>
    <w:uiPriority w:val="9"/>
    <w:unhideWhenUsed/>
    <w:qFormat/>
    <w:pPr>
      <w:keepLines/>
      <w:keepNext/>
      <w:spacing w:before="320" w:after="200"/>
      <w:outlineLvl w:val="5"/>
    </w:pPr>
    <w:rPr>
      <w:rFonts w:ascii="Arial" w:hAnsi="Arial" w:eastAsia="Arial" w:cs="Arial"/>
      <w:b/>
      <w:bCs/>
      <w:sz w:val="22"/>
      <w:szCs w:val="22"/>
    </w:rPr>
  </w:style>
  <w:style w:type="character" w:styleId="817">
    <w:name w:val="Heading 6 Char"/>
    <w:basedOn w:val="983"/>
    <w:link w:val="816"/>
    <w:uiPriority w:val="9"/>
    <w:rPr>
      <w:rFonts w:ascii="Arial" w:hAnsi="Arial" w:eastAsia="Arial" w:cs="Arial"/>
      <w:b/>
      <w:bCs/>
      <w:sz w:val="22"/>
      <w:szCs w:val="22"/>
    </w:rPr>
  </w:style>
  <w:style w:type="paragraph" w:styleId="818">
    <w:name w:val="Heading 7"/>
    <w:basedOn w:val="981"/>
    <w:next w:val="981"/>
    <w:link w:val="819"/>
    <w:uiPriority w:val="9"/>
    <w:unhideWhenUsed/>
    <w:qFormat/>
    <w:pPr>
      <w:keepLines/>
      <w:keepNext/>
      <w:spacing w:before="320" w:after="200"/>
      <w:outlineLvl w:val="6"/>
    </w:pPr>
    <w:rPr>
      <w:rFonts w:ascii="Arial" w:hAnsi="Arial" w:eastAsia="Arial" w:cs="Arial"/>
      <w:b/>
      <w:bCs/>
      <w:i/>
      <w:iCs/>
      <w:sz w:val="22"/>
      <w:szCs w:val="22"/>
    </w:rPr>
  </w:style>
  <w:style w:type="character" w:styleId="819">
    <w:name w:val="Heading 7 Char"/>
    <w:basedOn w:val="983"/>
    <w:link w:val="818"/>
    <w:uiPriority w:val="9"/>
    <w:rPr>
      <w:rFonts w:ascii="Arial" w:hAnsi="Arial" w:eastAsia="Arial" w:cs="Arial"/>
      <w:b/>
      <w:bCs/>
      <w:i/>
      <w:iCs/>
      <w:sz w:val="22"/>
      <w:szCs w:val="22"/>
    </w:rPr>
  </w:style>
  <w:style w:type="paragraph" w:styleId="820">
    <w:name w:val="Heading 8"/>
    <w:basedOn w:val="981"/>
    <w:next w:val="981"/>
    <w:link w:val="821"/>
    <w:uiPriority w:val="9"/>
    <w:unhideWhenUsed/>
    <w:qFormat/>
    <w:pPr>
      <w:keepLines/>
      <w:keepNext/>
      <w:spacing w:before="320" w:after="200"/>
      <w:outlineLvl w:val="7"/>
    </w:pPr>
    <w:rPr>
      <w:rFonts w:ascii="Arial" w:hAnsi="Arial" w:eastAsia="Arial" w:cs="Arial"/>
      <w:i/>
      <w:iCs/>
      <w:sz w:val="22"/>
      <w:szCs w:val="22"/>
    </w:rPr>
  </w:style>
  <w:style w:type="character" w:styleId="821">
    <w:name w:val="Heading 8 Char"/>
    <w:basedOn w:val="983"/>
    <w:link w:val="820"/>
    <w:uiPriority w:val="9"/>
    <w:rPr>
      <w:rFonts w:ascii="Arial" w:hAnsi="Arial" w:eastAsia="Arial" w:cs="Arial"/>
      <w:i/>
      <w:iCs/>
      <w:sz w:val="22"/>
      <w:szCs w:val="22"/>
    </w:rPr>
  </w:style>
  <w:style w:type="paragraph" w:styleId="822">
    <w:name w:val="Heading 9"/>
    <w:basedOn w:val="981"/>
    <w:next w:val="981"/>
    <w:link w:val="823"/>
    <w:uiPriority w:val="9"/>
    <w:unhideWhenUsed/>
    <w:qFormat/>
    <w:pPr>
      <w:keepLines/>
      <w:keepNext/>
      <w:spacing w:before="320" w:after="200"/>
      <w:outlineLvl w:val="8"/>
    </w:pPr>
    <w:rPr>
      <w:rFonts w:ascii="Arial" w:hAnsi="Arial" w:eastAsia="Arial" w:cs="Arial"/>
      <w:i/>
      <w:iCs/>
      <w:sz w:val="21"/>
      <w:szCs w:val="21"/>
    </w:rPr>
  </w:style>
  <w:style w:type="character" w:styleId="823">
    <w:name w:val="Heading 9 Char"/>
    <w:basedOn w:val="983"/>
    <w:link w:val="822"/>
    <w:uiPriority w:val="9"/>
    <w:rPr>
      <w:rFonts w:ascii="Arial" w:hAnsi="Arial" w:eastAsia="Arial" w:cs="Arial"/>
      <w:i/>
      <w:iCs/>
      <w:sz w:val="21"/>
      <w:szCs w:val="21"/>
    </w:rPr>
  </w:style>
  <w:style w:type="paragraph" w:styleId="824">
    <w:name w:val="No Spacing"/>
    <w:uiPriority w:val="1"/>
    <w:qFormat/>
    <w:pPr>
      <w:spacing w:before="0" w:after="0" w:line="240" w:lineRule="auto"/>
    </w:pPr>
  </w:style>
  <w:style w:type="paragraph" w:styleId="825">
    <w:name w:val="Title"/>
    <w:basedOn w:val="981"/>
    <w:next w:val="981"/>
    <w:link w:val="826"/>
    <w:uiPriority w:val="10"/>
    <w:qFormat/>
    <w:pPr>
      <w:contextualSpacing/>
      <w:spacing w:before="300" w:after="200"/>
    </w:pPr>
    <w:rPr>
      <w:sz w:val="48"/>
      <w:szCs w:val="48"/>
    </w:rPr>
  </w:style>
  <w:style w:type="character" w:styleId="826">
    <w:name w:val="Title Char"/>
    <w:basedOn w:val="983"/>
    <w:link w:val="825"/>
    <w:uiPriority w:val="10"/>
    <w:rPr>
      <w:sz w:val="48"/>
      <w:szCs w:val="48"/>
    </w:rPr>
  </w:style>
  <w:style w:type="paragraph" w:styleId="827">
    <w:name w:val="Subtitle"/>
    <w:basedOn w:val="981"/>
    <w:next w:val="981"/>
    <w:link w:val="828"/>
    <w:uiPriority w:val="11"/>
    <w:qFormat/>
    <w:pPr>
      <w:spacing w:before="200" w:after="200"/>
    </w:pPr>
    <w:rPr>
      <w:sz w:val="24"/>
      <w:szCs w:val="24"/>
    </w:rPr>
  </w:style>
  <w:style w:type="character" w:styleId="828">
    <w:name w:val="Subtitle Char"/>
    <w:basedOn w:val="983"/>
    <w:link w:val="827"/>
    <w:uiPriority w:val="11"/>
    <w:rPr>
      <w:sz w:val="24"/>
      <w:szCs w:val="24"/>
    </w:rPr>
  </w:style>
  <w:style w:type="paragraph" w:styleId="829">
    <w:name w:val="Quote"/>
    <w:basedOn w:val="981"/>
    <w:next w:val="981"/>
    <w:link w:val="830"/>
    <w:uiPriority w:val="29"/>
    <w:qFormat/>
    <w:pPr>
      <w:ind w:left="720" w:right="720"/>
    </w:pPr>
    <w:rPr>
      <w:i/>
    </w:rPr>
  </w:style>
  <w:style w:type="character" w:styleId="830">
    <w:name w:val="Quote Char"/>
    <w:link w:val="829"/>
    <w:uiPriority w:val="29"/>
    <w:rPr>
      <w:i/>
    </w:rPr>
  </w:style>
  <w:style w:type="paragraph" w:styleId="831">
    <w:name w:val="Intense Quote"/>
    <w:basedOn w:val="981"/>
    <w:next w:val="981"/>
    <w:link w:val="8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name w:val="Intense Quote Char"/>
    <w:link w:val="831"/>
    <w:uiPriority w:val="30"/>
    <w:rPr>
      <w:i/>
    </w:rPr>
  </w:style>
  <w:style w:type="character" w:styleId="833">
    <w:name w:val="Header Char"/>
    <w:basedOn w:val="983"/>
    <w:link w:val="991"/>
    <w:uiPriority w:val="99"/>
  </w:style>
  <w:style w:type="character" w:styleId="834">
    <w:name w:val="Footer Char"/>
    <w:basedOn w:val="983"/>
    <w:link w:val="990"/>
    <w:uiPriority w:val="99"/>
  </w:style>
  <w:style w:type="paragraph" w:styleId="835">
    <w:name w:val="Caption"/>
    <w:basedOn w:val="981"/>
    <w:next w:val="981"/>
    <w:uiPriority w:val="35"/>
    <w:semiHidden/>
    <w:unhideWhenUsed/>
    <w:qFormat/>
    <w:pPr>
      <w:spacing w:line="276" w:lineRule="auto"/>
    </w:pPr>
    <w:rPr>
      <w:b/>
      <w:bCs/>
      <w:color w:val="4f81bd" w:themeColor="accent1"/>
      <w:sz w:val="18"/>
      <w:szCs w:val="18"/>
    </w:rPr>
  </w:style>
  <w:style w:type="character" w:styleId="836">
    <w:name w:val="Caption Char"/>
    <w:basedOn w:val="835"/>
    <w:link w:val="990"/>
    <w:uiPriority w:val="99"/>
  </w:style>
  <w:style w:type="table" w:styleId="837">
    <w:name w:val="Table Grid"/>
    <w:basedOn w:val="98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8">
    <w:name w:val="Table Grid Light"/>
    <w:basedOn w:val="9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9">
    <w:name w:val="Plain Table 1"/>
    <w:basedOn w:val="9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2"/>
    <w:basedOn w:val="9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3"/>
    <w:basedOn w:val="9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name w:val="Plain Table 4"/>
    <w:basedOn w:val="9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name w:val="Plain Table 5"/>
    <w:basedOn w:val="9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4">
    <w:name w:val="Grid Table 1 Light"/>
    <w:basedOn w:val="9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5">
    <w:name w:val="Grid Table 1 Light - Accent 1"/>
    <w:basedOn w:val="9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6">
    <w:name w:val="Grid Table 1 Light - Accent 2"/>
    <w:basedOn w:val="9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7">
    <w:name w:val="Grid Table 1 Light - Accent 3"/>
    <w:basedOn w:val="9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8">
    <w:name w:val="Grid Table 1 Light - Accent 4"/>
    <w:basedOn w:val="9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9">
    <w:name w:val="Grid Table 1 Light - Accent 5"/>
    <w:basedOn w:val="9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0">
    <w:name w:val="Grid Table 1 Light - Accent 6"/>
    <w:basedOn w:val="9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1">
    <w:name w:val="Grid Table 2"/>
    <w:basedOn w:val="9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2">
    <w:name w:val="Grid Table 2 - Accent 1"/>
    <w:basedOn w:val="9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3">
    <w:name w:val="Grid Table 2 - Accent 2"/>
    <w:basedOn w:val="9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2 - Accent 3"/>
    <w:basedOn w:val="9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2 - Accent 4"/>
    <w:basedOn w:val="9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2 - Accent 5"/>
    <w:basedOn w:val="9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7">
    <w:name w:val="Grid Table 2 - Accent 6"/>
    <w:basedOn w:val="9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8">
    <w:name w:val="Grid Table 3"/>
    <w:basedOn w:val="9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1"/>
    <w:basedOn w:val="9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2"/>
    <w:basedOn w:val="9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3"/>
    <w:basedOn w:val="9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4"/>
    <w:basedOn w:val="9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5"/>
    <w:basedOn w:val="9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6"/>
    <w:basedOn w:val="9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4"/>
    <w:basedOn w:val="9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name w:val="Grid Table 4 - Accent 1"/>
    <w:basedOn w:val="9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7">
    <w:name w:val="Grid Table 4 - Accent 2"/>
    <w:basedOn w:val="9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8">
    <w:name w:val="Grid Table 4 - Accent 3"/>
    <w:basedOn w:val="9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9">
    <w:name w:val="Grid Table 4 - Accent 4"/>
    <w:basedOn w:val="9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0">
    <w:name w:val="Grid Table 4 - Accent 5"/>
    <w:basedOn w:val="9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1">
    <w:name w:val="Grid Table 4 - Accent 6"/>
    <w:basedOn w:val="9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2">
    <w:name w:val="Grid Table 5 Dark"/>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3">
    <w:name w:val="Grid Table 5 Dark- Accent 1"/>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74">
    <w:name w:val="Grid Table 5 Dark - Accent 2"/>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75">
    <w:name w:val="Grid Table 5 Dark - Accent 3"/>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76">
    <w:name w:val="Grid Table 5 Dark- Accent 4"/>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7">
    <w:name w:val="Grid Table 5 Dark - Accent 5"/>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78">
    <w:name w:val="Grid Table 5 Dark - Accent 6"/>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79">
    <w:name w:val="Grid Table 6 Colorful"/>
    <w:basedOn w:val="9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0">
    <w:name w:val="Grid Table 6 Colorful - Accent 1"/>
    <w:basedOn w:val="9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81">
    <w:name w:val="Grid Table 6 Colorful - Accent 2"/>
    <w:basedOn w:val="9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82">
    <w:name w:val="Grid Table 6 Colorful - Accent 3"/>
    <w:basedOn w:val="9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83">
    <w:name w:val="Grid Table 6 Colorful - Accent 4"/>
    <w:basedOn w:val="9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84">
    <w:name w:val="Grid Table 6 Colorful - Accent 5"/>
    <w:basedOn w:val="9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5">
    <w:name w:val="Grid Table 6 Colorful - Accent 6"/>
    <w:basedOn w:val="9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6">
    <w:name w:val="Grid Table 7 Colorful"/>
    <w:basedOn w:val="9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7">
    <w:name w:val="Grid Table 7 Colorful - Accent 1"/>
    <w:basedOn w:val="9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8">
    <w:name w:val="Grid Table 7 Colorful - Accent 2"/>
    <w:basedOn w:val="9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7 Colorful - Accent 3"/>
    <w:basedOn w:val="9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7 Colorful - Accent 4"/>
    <w:basedOn w:val="9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7 Colorful - Accent 5"/>
    <w:basedOn w:val="9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2">
    <w:name w:val="Grid Table 7 Colorful - Accent 6"/>
    <w:basedOn w:val="9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3">
    <w:name w:val="List Table 1 Light"/>
    <w:basedOn w:val="9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name w:val="List Table 1 Light - Accent 1"/>
    <w:basedOn w:val="98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5">
    <w:name w:val="List Table 1 Light - Accent 2"/>
    <w:basedOn w:val="98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6">
    <w:name w:val="List Table 1 Light - Accent 3"/>
    <w:basedOn w:val="98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7">
    <w:name w:val="List Table 1 Light - Accent 4"/>
    <w:basedOn w:val="98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8">
    <w:name w:val="List Table 1 Light - Accent 5"/>
    <w:basedOn w:val="98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9">
    <w:name w:val="List Table 1 Light - Accent 6"/>
    <w:basedOn w:val="98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0">
    <w:name w:val="List Table 2"/>
    <w:basedOn w:val="9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1">
    <w:name w:val="List Table 2 - Accent 1"/>
    <w:basedOn w:val="9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2">
    <w:name w:val="List Table 2 - Accent 2"/>
    <w:basedOn w:val="9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3">
    <w:name w:val="List Table 2 - Accent 3"/>
    <w:basedOn w:val="9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4">
    <w:name w:val="List Table 2 - Accent 4"/>
    <w:basedOn w:val="9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5">
    <w:name w:val="List Table 2 - Accent 5"/>
    <w:basedOn w:val="9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6">
    <w:name w:val="List Table 2 - Accent 6"/>
    <w:basedOn w:val="9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7">
    <w:name w:val="List Table 3"/>
    <w:basedOn w:val="9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8">
    <w:name w:val="List Table 3 - Accent 1"/>
    <w:basedOn w:val="9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09">
    <w:name w:val="List Table 3 - Accent 2"/>
    <w:basedOn w:val="9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10">
    <w:name w:val="List Table 3 - Accent 3"/>
    <w:basedOn w:val="9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11">
    <w:name w:val="List Table 3 - Accent 4"/>
    <w:basedOn w:val="9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12">
    <w:name w:val="List Table 3 - Accent 5"/>
    <w:basedOn w:val="9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13">
    <w:name w:val="List Table 3 - Accent 6"/>
    <w:basedOn w:val="9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14">
    <w:name w:val="List Table 4"/>
    <w:basedOn w:val="9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5">
    <w:name w:val="List Table 4 - Accent 1"/>
    <w:basedOn w:val="9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16">
    <w:name w:val="List Table 4 - Accent 2"/>
    <w:basedOn w:val="9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17">
    <w:name w:val="List Table 4 - Accent 3"/>
    <w:basedOn w:val="9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18">
    <w:name w:val="List Table 4 - Accent 4"/>
    <w:basedOn w:val="9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19">
    <w:name w:val="List Table 4 - Accent 5"/>
    <w:basedOn w:val="9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20">
    <w:name w:val="List Table 4 - Accent 6"/>
    <w:basedOn w:val="9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21">
    <w:name w:val="List Table 5 Dark"/>
    <w:basedOn w:val="9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1"/>
    <w:basedOn w:val="9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2"/>
    <w:basedOn w:val="9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3"/>
    <w:basedOn w:val="9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4"/>
    <w:basedOn w:val="9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5"/>
    <w:basedOn w:val="9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6"/>
    <w:basedOn w:val="9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6 Colorful"/>
    <w:basedOn w:val="9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9">
    <w:name w:val="List Table 6 Colorful - Accent 1"/>
    <w:basedOn w:val="9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30">
    <w:name w:val="List Table 6 Colorful - Accent 2"/>
    <w:basedOn w:val="9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31">
    <w:name w:val="List Table 6 Colorful - Accent 3"/>
    <w:basedOn w:val="9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32">
    <w:name w:val="List Table 6 Colorful - Accent 4"/>
    <w:basedOn w:val="9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33">
    <w:name w:val="List Table 6 Colorful - Accent 5"/>
    <w:basedOn w:val="9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34">
    <w:name w:val="List Table 6 Colorful - Accent 6"/>
    <w:basedOn w:val="9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35">
    <w:name w:val="List Table 7 Colorful"/>
    <w:basedOn w:val="9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6">
    <w:name w:val="List Table 7 Colorful - Accent 1"/>
    <w:basedOn w:val="9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37">
    <w:name w:val="List Table 7 Colorful - Accent 2"/>
    <w:basedOn w:val="9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38">
    <w:name w:val="List Table 7 Colorful - Accent 3"/>
    <w:basedOn w:val="9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39">
    <w:name w:val="List Table 7 Colorful - Accent 4"/>
    <w:basedOn w:val="9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40">
    <w:name w:val="List Table 7 Colorful - Accent 5"/>
    <w:basedOn w:val="9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41">
    <w:name w:val="List Table 7 Colorful - Accent 6"/>
    <w:basedOn w:val="9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42">
    <w:name w:val="Lined - Accent"/>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3">
    <w:name w:val="Lined - Accent 1"/>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44">
    <w:name w:val="Lined - Accent 2"/>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45">
    <w:name w:val="Lined - Accent 3"/>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6">
    <w:name w:val="Lined - Accent 4"/>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47">
    <w:name w:val="Lined - Accent 5"/>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48">
    <w:name w:val="Lined - Accent 6"/>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49">
    <w:name w:val="Bordered &amp; Lined - Accent"/>
    <w:basedOn w:val="9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0">
    <w:name w:val="Bordered &amp; Lined - Accent 1"/>
    <w:basedOn w:val="9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51">
    <w:name w:val="Bordered &amp; Lined - Accent 2"/>
    <w:basedOn w:val="9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52">
    <w:name w:val="Bordered &amp; Lined - Accent 3"/>
    <w:basedOn w:val="9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53">
    <w:name w:val="Bordered &amp; Lined - Accent 4"/>
    <w:basedOn w:val="9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54">
    <w:name w:val="Bordered &amp; Lined - Accent 5"/>
    <w:basedOn w:val="9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55">
    <w:name w:val="Bordered &amp; Lined - Accent 6"/>
    <w:basedOn w:val="9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56">
    <w:name w:val="Bordered"/>
    <w:basedOn w:val="9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7">
    <w:name w:val="Bordered - Accent 1"/>
    <w:basedOn w:val="9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8">
    <w:name w:val="Bordered - Accent 2"/>
    <w:basedOn w:val="9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9">
    <w:name w:val="Bordered - Accent 3"/>
    <w:basedOn w:val="9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0">
    <w:name w:val="Bordered - Accent 4"/>
    <w:basedOn w:val="9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1">
    <w:name w:val="Bordered - Accent 5"/>
    <w:basedOn w:val="9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2">
    <w:name w:val="Bordered - Accent 6"/>
    <w:basedOn w:val="9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3">
    <w:name w:val="Hyperlink"/>
    <w:uiPriority w:val="99"/>
    <w:unhideWhenUsed/>
    <w:rPr>
      <w:color w:val="0000ff" w:themeColor="hyperlink"/>
      <w:u w:val="single"/>
    </w:rPr>
  </w:style>
  <w:style w:type="paragraph" w:styleId="964">
    <w:name w:val="footnote text"/>
    <w:basedOn w:val="981"/>
    <w:link w:val="965"/>
    <w:uiPriority w:val="99"/>
    <w:semiHidden/>
    <w:unhideWhenUsed/>
    <w:pPr>
      <w:spacing w:after="40" w:line="240" w:lineRule="auto"/>
    </w:pPr>
    <w:rPr>
      <w:sz w:val="18"/>
    </w:rPr>
  </w:style>
  <w:style w:type="character" w:styleId="965">
    <w:name w:val="Footnote Text Char"/>
    <w:link w:val="964"/>
    <w:uiPriority w:val="99"/>
    <w:rPr>
      <w:sz w:val="18"/>
    </w:rPr>
  </w:style>
  <w:style w:type="character" w:styleId="966">
    <w:name w:val="footnote reference"/>
    <w:basedOn w:val="983"/>
    <w:uiPriority w:val="99"/>
    <w:unhideWhenUsed/>
    <w:rPr>
      <w:vertAlign w:val="superscript"/>
    </w:rPr>
  </w:style>
  <w:style w:type="paragraph" w:styleId="967">
    <w:name w:val="endnote text"/>
    <w:basedOn w:val="981"/>
    <w:link w:val="968"/>
    <w:uiPriority w:val="99"/>
    <w:semiHidden/>
    <w:unhideWhenUsed/>
    <w:pPr>
      <w:spacing w:after="0" w:line="240" w:lineRule="auto"/>
    </w:pPr>
    <w:rPr>
      <w:sz w:val="20"/>
    </w:rPr>
  </w:style>
  <w:style w:type="character" w:styleId="968">
    <w:name w:val="Endnote Text Char"/>
    <w:link w:val="967"/>
    <w:uiPriority w:val="99"/>
    <w:rPr>
      <w:sz w:val="20"/>
    </w:rPr>
  </w:style>
  <w:style w:type="character" w:styleId="969">
    <w:name w:val="endnote reference"/>
    <w:basedOn w:val="983"/>
    <w:uiPriority w:val="99"/>
    <w:semiHidden/>
    <w:unhideWhenUsed/>
    <w:rPr>
      <w:vertAlign w:val="superscript"/>
    </w:rPr>
  </w:style>
  <w:style w:type="paragraph" w:styleId="970">
    <w:name w:val="toc 1"/>
    <w:basedOn w:val="981"/>
    <w:next w:val="981"/>
    <w:uiPriority w:val="39"/>
    <w:unhideWhenUsed/>
    <w:pPr>
      <w:ind w:left="0" w:right="0" w:firstLine="0"/>
      <w:spacing w:after="57"/>
    </w:pPr>
  </w:style>
  <w:style w:type="paragraph" w:styleId="971">
    <w:name w:val="toc 2"/>
    <w:basedOn w:val="981"/>
    <w:next w:val="981"/>
    <w:uiPriority w:val="39"/>
    <w:unhideWhenUsed/>
    <w:pPr>
      <w:ind w:left="283" w:right="0" w:firstLine="0"/>
      <w:spacing w:after="57"/>
    </w:pPr>
  </w:style>
  <w:style w:type="paragraph" w:styleId="972">
    <w:name w:val="toc 3"/>
    <w:basedOn w:val="981"/>
    <w:next w:val="981"/>
    <w:uiPriority w:val="39"/>
    <w:unhideWhenUsed/>
    <w:pPr>
      <w:ind w:left="567" w:right="0" w:firstLine="0"/>
      <w:spacing w:after="57"/>
    </w:pPr>
  </w:style>
  <w:style w:type="paragraph" w:styleId="973">
    <w:name w:val="toc 4"/>
    <w:basedOn w:val="981"/>
    <w:next w:val="981"/>
    <w:uiPriority w:val="39"/>
    <w:unhideWhenUsed/>
    <w:pPr>
      <w:ind w:left="850" w:right="0" w:firstLine="0"/>
      <w:spacing w:after="57"/>
    </w:pPr>
  </w:style>
  <w:style w:type="paragraph" w:styleId="974">
    <w:name w:val="toc 5"/>
    <w:basedOn w:val="981"/>
    <w:next w:val="981"/>
    <w:uiPriority w:val="39"/>
    <w:unhideWhenUsed/>
    <w:pPr>
      <w:ind w:left="1134" w:right="0" w:firstLine="0"/>
      <w:spacing w:after="57"/>
    </w:pPr>
  </w:style>
  <w:style w:type="paragraph" w:styleId="975">
    <w:name w:val="toc 6"/>
    <w:basedOn w:val="981"/>
    <w:next w:val="981"/>
    <w:uiPriority w:val="39"/>
    <w:unhideWhenUsed/>
    <w:pPr>
      <w:ind w:left="1417" w:right="0" w:firstLine="0"/>
      <w:spacing w:after="57"/>
    </w:pPr>
  </w:style>
  <w:style w:type="paragraph" w:styleId="976">
    <w:name w:val="toc 7"/>
    <w:basedOn w:val="981"/>
    <w:next w:val="981"/>
    <w:uiPriority w:val="39"/>
    <w:unhideWhenUsed/>
    <w:pPr>
      <w:ind w:left="1701" w:right="0" w:firstLine="0"/>
      <w:spacing w:after="57"/>
    </w:pPr>
  </w:style>
  <w:style w:type="paragraph" w:styleId="977">
    <w:name w:val="toc 8"/>
    <w:basedOn w:val="981"/>
    <w:next w:val="981"/>
    <w:uiPriority w:val="39"/>
    <w:unhideWhenUsed/>
    <w:pPr>
      <w:ind w:left="1984" w:right="0" w:firstLine="0"/>
      <w:spacing w:after="57"/>
    </w:pPr>
  </w:style>
  <w:style w:type="paragraph" w:styleId="978">
    <w:name w:val="toc 9"/>
    <w:basedOn w:val="981"/>
    <w:next w:val="981"/>
    <w:uiPriority w:val="39"/>
    <w:unhideWhenUsed/>
    <w:pPr>
      <w:ind w:left="2268" w:right="0" w:firstLine="0"/>
      <w:spacing w:after="57"/>
    </w:pPr>
  </w:style>
  <w:style w:type="paragraph" w:styleId="979">
    <w:name w:val="TOC Heading"/>
    <w:uiPriority w:val="39"/>
    <w:unhideWhenUsed/>
  </w:style>
  <w:style w:type="paragraph" w:styleId="980">
    <w:name w:val="table of figures"/>
    <w:basedOn w:val="981"/>
    <w:next w:val="981"/>
    <w:uiPriority w:val="99"/>
    <w:unhideWhenUsed/>
    <w:pPr>
      <w:spacing w:after="0" w:afterAutospacing="0"/>
    </w:pPr>
  </w:style>
  <w:style w:type="paragraph" w:styleId="981" w:default="1">
    <w:name w:val="Normal"/>
    <w:qFormat/>
    <w:pPr>
      <w:jc w:val="both"/>
      <w:widowControl w:val="off"/>
    </w:pPr>
    <w:rPr>
      <w:sz w:val="21"/>
      <w:szCs w:val="21"/>
    </w:rPr>
  </w:style>
  <w:style w:type="paragraph" w:styleId="982">
    <w:name w:val="Heading 2"/>
    <w:basedOn w:val="981"/>
    <w:next w:val="981"/>
    <w:semiHidden/>
    <w:unhideWhenUsed/>
    <w:qFormat/>
    <w:pPr>
      <w:jc w:val="left"/>
      <w:spacing w:beforeAutospacing="1" w:afterAutospacing="1"/>
      <w:outlineLvl w:val="1"/>
    </w:pPr>
    <w:rPr>
      <w:rFonts w:hint="eastAsia" w:ascii="宋体" w:hAnsi="宋体"/>
      <w:b/>
      <w:bCs/>
      <w:sz w:val="36"/>
      <w:szCs w:val="36"/>
    </w:rPr>
  </w:style>
  <w:style w:type="character" w:styleId="983" w:default="1">
    <w:name w:val="Default Paragraph Font"/>
    <w:uiPriority w:val="1"/>
    <w:semiHidden/>
    <w:unhideWhenUsed/>
  </w:style>
  <w:style w:type="table" w:styleId="984" w:default="1">
    <w:name w:val="Normal Table"/>
    <w:uiPriority w:val="99"/>
    <w:semiHidden/>
    <w:unhideWhenUsed/>
    <w:tblPr>
      <w:tblInd w:w="0" w:type="dxa"/>
      <w:tblCellMar>
        <w:left w:w="108" w:type="dxa"/>
        <w:top w:w="0" w:type="dxa"/>
        <w:right w:w="108" w:type="dxa"/>
        <w:bottom w:w="0" w:type="dxa"/>
      </w:tblCellMar>
    </w:tblPr>
  </w:style>
  <w:style w:type="numbering" w:styleId="985" w:default="1">
    <w:name w:val="No List"/>
    <w:uiPriority w:val="99"/>
    <w:semiHidden/>
    <w:unhideWhenUsed/>
  </w:style>
  <w:style w:type="paragraph" w:styleId="986">
    <w:name w:val="annotation text"/>
    <w:basedOn w:val="981"/>
    <w:link w:val="1018"/>
    <w:qFormat/>
    <w:pPr>
      <w:jc w:val="left"/>
    </w:pPr>
  </w:style>
  <w:style w:type="paragraph" w:styleId="987">
    <w:name w:val="Body Text"/>
    <w:basedOn w:val="981"/>
    <w:link w:val="1014"/>
    <w:pPr>
      <w:spacing w:after="120"/>
    </w:pPr>
  </w:style>
  <w:style w:type="paragraph" w:styleId="988">
    <w:name w:val="Body Text Indent"/>
    <w:basedOn w:val="981"/>
    <w:uiPriority w:val="99"/>
    <w:unhideWhenUsed/>
    <w:qFormat/>
    <w:pPr>
      <w:ind w:left="420"/>
      <w:spacing w:after="120"/>
    </w:pPr>
  </w:style>
  <w:style w:type="paragraph" w:styleId="989">
    <w:name w:val="Plain Text"/>
    <w:basedOn w:val="981"/>
    <w:link w:val="1016"/>
    <w:qFormat/>
    <w:rPr>
      <w:rFonts w:ascii="宋体" w:hAnsi="Courier New" w:cs="Courier New"/>
    </w:rPr>
  </w:style>
  <w:style w:type="paragraph" w:styleId="990">
    <w:name w:val="Footer"/>
    <w:basedOn w:val="981"/>
    <w:qFormat/>
    <w:pPr>
      <w:jc w:val="left"/>
      <w:tabs>
        <w:tab w:val="center" w:pos="4153" w:leader="none"/>
        <w:tab w:val="right" w:pos="8306" w:leader="none"/>
      </w:tabs>
    </w:pPr>
    <w:rPr>
      <w:sz w:val="18"/>
    </w:rPr>
  </w:style>
  <w:style w:type="paragraph" w:styleId="991">
    <w:name w:val="Header"/>
    <w:basedOn w:val="981"/>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92">
    <w:name w:val="Normal (Web)"/>
    <w:basedOn w:val="981"/>
    <w:qFormat/>
    <w:pPr>
      <w:jc w:val="left"/>
      <w:spacing w:beforeAutospacing="1" w:afterAutospacing="1"/>
    </w:pPr>
    <w:rPr>
      <w:sz w:val="24"/>
    </w:rPr>
  </w:style>
  <w:style w:type="paragraph" w:styleId="993">
    <w:name w:val="annotation subject"/>
    <w:basedOn w:val="986"/>
    <w:next w:val="986"/>
    <w:link w:val="1019"/>
    <w:rPr>
      <w:b/>
      <w:bCs/>
    </w:rPr>
  </w:style>
  <w:style w:type="paragraph" w:styleId="994">
    <w:name w:val="Body Text First Indent"/>
    <w:basedOn w:val="987"/>
    <w:link w:val="1015"/>
    <w:pPr>
      <w:ind w:firstLine="420"/>
    </w:pPr>
  </w:style>
  <w:style w:type="paragraph" w:styleId="995">
    <w:name w:val="Body Text First Indent 2"/>
    <w:basedOn w:val="988"/>
    <w:uiPriority w:val="99"/>
    <w:unhideWhenUsed/>
    <w:qFormat/>
    <w:pPr>
      <w:ind w:firstLine="420"/>
    </w:pPr>
  </w:style>
  <w:style w:type="character" w:styleId="996">
    <w:name w:val="annotation reference"/>
    <w:basedOn w:val="983"/>
    <w:rPr>
      <w:sz w:val="21"/>
      <w:szCs w:val="21"/>
    </w:rPr>
  </w:style>
  <w:style w:type="paragraph" w:styleId="997" w:customStyle="1">
    <w:name w:val="普通正文"/>
    <w:basedOn w:val="981"/>
    <w:qFormat/>
    <w:pPr>
      <w:ind w:firstLine="480"/>
      <w:jc w:val="left"/>
      <w:spacing w:before="120" w:after="120" w:line="360" w:lineRule="auto"/>
    </w:pPr>
    <w:rPr>
      <w:rFonts w:ascii="Arial" w:hAnsi="Arial"/>
      <w:sz w:val="24"/>
      <w:szCs w:val="24"/>
    </w:rPr>
  </w:style>
  <w:style w:type="paragraph" w:styleId="998" w:customStyle="1">
    <w:name w:val="Fließtext"/>
    <w:basedOn w:val="981"/>
    <w:qFormat/>
    <w:rPr>
      <w:szCs w:val="20"/>
    </w:rPr>
  </w:style>
  <w:style w:type="paragraph" w:styleId="999" w:customStyle="1">
    <w:name w:val="正文1"/>
    <w:basedOn w:val="981"/>
    <w:next w:val="981"/>
    <w:qFormat/>
    <w:pPr>
      <w:numPr>
        <w:numId w:val="1"/>
      </w:numPr>
      <w:ind w:left="359" w:hanging="359"/>
      <w:spacing w:line="500" w:lineRule="exact"/>
    </w:pPr>
    <w:rPr>
      <w:rFonts w:ascii="黑体" w:hAnsi="宋体"/>
      <w:szCs w:val="24"/>
    </w:rPr>
  </w:style>
  <w:style w:type="paragraph" w:styleId="1000" w:customStyle="1">
    <w:name w:val="标题 31"/>
    <w:basedOn w:val="981"/>
    <w:next w:val="1001"/>
    <w:qFormat/>
    <w:pPr>
      <w:keepLines/>
      <w:keepNext/>
      <w:spacing w:before="260" w:after="260" w:line="416" w:lineRule="auto"/>
      <w:outlineLvl w:val="2"/>
    </w:pPr>
    <w:rPr>
      <w:b/>
      <w:bCs/>
      <w:sz w:val="32"/>
      <w:szCs w:val="32"/>
    </w:rPr>
  </w:style>
  <w:style w:type="paragraph" w:styleId="1001" w:customStyle="1">
    <w:name w:val="正文缩进1"/>
    <w:basedOn w:val="981"/>
    <w:qFormat/>
    <w:pPr>
      <w:ind w:firstLine="420"/>
    </w:pPr>
  </w:style>
  <w:style w:type="paragraph" w:styleId="1002" w:customStyle="1">
    <w:name w:val="标题 41"/>
    <w:basedOn w:val="981"/>
    <w:next w:val="1001"/>
    <w:qFormat/>
    <w:pPr>
      <w:keepLines/>
      <w:keepNext/>
      <w:spacing w:before="280" w:after="290" w:line="376" w:lineRule="auto"/>
      <w:outlineLvl w:val="3"/>
    </w:pPr>
    <w:rPr>
      <w:rFonts w:ascii="Arial" w:hAnsi="Arial" w:eastAsia="黑体"/>
      <w:b/>
      <w:bCs/>
      <w:sz w:val="28"/>
      <w:szCs w:val="28"/>
    </w:rPr>
  </w:style>
  <w:style w:type="paragraph" w:styleId="1003" w:customStyle="1">
    <w:name w:val="寄信人地址1"/>
    <w:basedOn w:val="981"/>
    <w:qFormat/>
    <w:rPr>
      <w:rFonts w:ascii="Arial" w:hAnsi="Arial"/>
    </w:rPr>
  </w:style>
  <w:style w:type="paragraph" w:styleId="1004" w:customStyle="1">
    <w:name w:val="标题 11"/>
    <w:basedOn w:val="1005"/>
    <w:next w:val="981"/>
    <w:qFormat/>
    <w:pPr>
      <w:keepNext/>
    </w:pPr>
    <w:rPr>
      <w:rFonts w:ascii="楷体_GB2312" w:eastAsia="楷体_GB2312"/>
      <w:sz w:val="28"/>
      <w:szCs w:val="28"/>
    </w:rPr>
  </w:style>
  <w:style w:type="paragraph" w:styleId="1005" w:customStyle="1">
    <w:name w:val="标题11"/>
    <w:basedOn w:val="981"/>
    <w:next w:val="981"/>
    <w:qFormat/>
    <w:pPr>
      <w:jc w:val="center"/>
      <w:spacing w:before="240" w:after="60"/>
      <w:outlineLvl w:val="0"/>
    </w:pPr>
    <w:rPr>
      <w:rFonts w:ascii="Cambria" w:hAnsi="Cambria"/>
      <w:b/>
      <w:bCs/>
      <w:sz w:val="32"/>
      <w:szCs w:val="32"/>
    </w:rPr>
  </w:style>
  <w:style w:type="paragraph" w:styleId="1006" w:customStyle="1">
    <w:name w:val="正文首行缩进1"/>
    <w:basedOn w:val="981"/>
    <w:uiPriority w:val="99"/>
    <w:qFormat/>
    <w:pPr>
      <w:ind w:firstLine="200"/>
      <w:spacing w:line="360" w:lineRule="auto"/>
    </w:pPr>
    <w:rPr>
      <w:rFonts w:ascii="仿宋_GB2312" w:eastAsia="仿宋_GB2312"/>
      <w:sz w:val="30"/>
      <w:szCs w:val="30"/>
    </w:rPr>
  </w:style>
  <w:style w:type="paragraph" w:styleId="1007" w:customStyle="1">
    <w:name w:val="纯文本11"/>
    <w:basedOn w:val="981"/>
    <w:qFormat/>
    <w:rPr>
      <w:rFonts w:ascii="宋体" w:hAnsi="Courier New"/>
    </w:rPr>
  </w:style>
  <w:style w:type="paragraph" w:styleId="1008" w:customStyle="1">
    <w:name w:val="正文文本缩进1"/>
    <w:basedOn w:val="981"/>
    <w:next w:val="1003"/>
    <w:qFormat/>
    <w:pPr>
      <w:ind w:firstLine="645"/>
    </w:pPr>
    <w:rPr>
      <w:rFonts w:ascii="楷体_GB2312" w:eastAsia="楷体_GB2312"/>
      <w:sz w:val="32"/>
      <w:szCs w:val="32"/>
    </w:rPr>
  </w:style>
  <w:style w:type="paragraph" w:styleId="1009" w:customStyle="1">
    <w:name w:val="标题 21"/>
    <w:basedOn w:val="981"/>
    <w:next w:val="981"/>
    <w:qFormat/>
    <w:pPr>
      <w:jc w:val="center"/>
      <w:keepLines/>
      <w:keepNext/>
      <w:spacing w:before="260" w:after="260" w:line="416" w:lineRule="auto"/>
      <w:outlineLvl w:val="1"/>
    </w:pPr>
    <w:rPr>
      <w:rFonts w:ascii="Arial" w:hAnsi="Arial" w:eastAsia="幼圆" w:cs="Arial"/>
      <w:b/>
      <w:bCs/>
      <w:sz w:val="44"/>
      <w:szCs w:val="44"/>
    </w:rPr>
  </w:style>
  <w:style w:type="paragraph" w:styleId="1010" w:customStyle="1">
    <w:name w:val="正文文本1"/>
    <w:basedOn w:val="981"/>
    <w:next w:val="981"/>
    <w:uiPriority w:val="99"/>
    <w:qFormat/>
    <w:rPr>
      <w:rFonts w:ascii="楷体_GB2312" w:hAnsi="Arial" w:eastAsia="楷体_GB2312"/>
      <w:sz w:val="28"/>
      <w:szCs w:val="28"/>
    </w:rPr>
  </w:style>
  <w:style w:type="paragraph" w:styleId="1011" w:customStyle="1">
    <w:name w:val="页眉1"/>
    <w:basedOn w:val="981"/>
    <w:uiPriority w:val="99"/>
    <w:qFormat/>
    <w:pPr>
      <w:jc w:val="center"/>
      <w:tabs>
        <w:tab w:val="center" w:pos="4153" w:leader="none"/>
        <w:tab w:val="right" w:pos="8306" w:leader="none"/>
      </w:tabs>
      <w:pBdr>
        <w:bottom w:val="single" w:color="000000" w:sz="6" w:space="1"/>
      </w:pBdr>
    </w:pPr>
    <w:rPr>
      <w:sz w:val="18"/>
      <w:szCs w:val="18"/>
    </w:rPr>
  </w:style>
  <w:style w:type="paragraph" w:styleId="1012" w:customStyle="1">
    <w:name w:val="页脚1"/>
    <w:basedOn w:val="981"/>
    <w:uiPriority w:val="99"/>
    <w:qFormat/>
    <w:pPr>
      <w:jc w:val="left"/>
      <w:tabs>
        <w:tab w:val="center" w:pos="4153" w:leader="none"/>
        <w:tab w:val="right" w:pos="8306" w:leader="none"/>
      </w:tabs>
    </w:pPr>
    <w:rPr>
      <w:sz w:val="18"/>
      <w:szCs w:val="18"/>
    </w:rPr>
  </w:style>
  <w:style w:type="character" w:styleId="1013" w:customStyle="1">
    <w:name w:val="页码11"/>
    <w:qFormat/>
    <w:rPr>
      <w:rFonts w:hint="default" w:ascii="Times New Roman" w:hAnsi="Times New Roman" w:eastAsia="宋体" w:cs="Times New Roman"/>
      <w:sz w:val="21"/>
      <w:szCs w:val="21"/>
      <w:lang w:val="en-US" w:eastAsia="zh-CN" w:bidi="ar-SA"/>
    </w:rPr>
  </w:style>
  <w:style w:type="character" w:styleId="1014" w:customStyle="1">
    <w:name w:val="正文文本 字符"/>
    <w:basedOn w:val="983"/>
    <w:link w:val="987"/>
    <w:rPr>
      <w:sz w:val="21"/>
      <w:szCs w:val="21"/>
    </w:rPr>
  </w:style>
  <w:style w:type="character" w:styleId="1015" w:customStyle="1">
    <w:name w:val="正文文本首行缩进 字符"/>
    <w:basedOn w:val="1014"/>
    <w:link w:val="994"/>
    <w:rPr>
      <w:sz w:val="21"/>
      <w:szCs w:val="21"/>
    </w:rPr>
  </w:style>
  <w:style w:type="character" w:styleId="1016" w:customStyle="1">
    <w:name w:val="纯文本 字符"/>
    <w:basedOn w:val="983"/>
    <w:link w:val="989"/>
    <w:qFormat/>
    <w:rPr>
      <w:rFonts w:ascii="宋体" w:hAnsi="Courier New" w:cs="Courier New"/>
      <w:sz w:val="21"/>
      <w:szCs w:val="21"/>
    </w:rPr>
  </w:style>
  <w:style w:type="paragraph" w:styleId="1017">
    <w:name w:val="List Paragraph"/>
    <w:basedOn w:val="981"/>
    <w:uiPriority w:val="34"/>
    <w:qFormat/>
    <w:pPr>
      <w:ind w:firstLine="420"/>
    </w:pPr>
    <w:rPr>
      <w:rFonts w:ascii="Calibri" w:hAnsi="Calibri"/>
      <w:szCs w:val="24"/>
    </w:rPr>
  </w:style>
  <w:style w:type="character" w:styleId="1018" w:customStyle="1">
    <w:name w:val="批注文字 字符"/>
    <w:basedOn w:val="983"/>
    <w:link w:val="986"/>
    <w:rPr>
      <w:sz w:val="21"/>
      <w:szCs w:val="21"/>
    </w:rPr>
  </w:style>
  <w:style w:type="character" w:styleId="1019" w:customStyle="1">
    <w:name w:val="批注主题 字符"/>
    <w:basedOn w:val="1018"/>
    <w:link w:val="993"/>
    <w:rPr>
      <w:b/>
      <w:bCs/>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熊改杰</cp:lastModifiedBy>
  <cp:revision>23</cp:revision>
  <dcterms:created xsi:type="dcterms:W3CDTF">2024-09-03T03:17:00Z</dcterms:created>
  <dcterms:modified xsi:type="dcterms:W3CDTF">2026-07-22T05:45:21Z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2A9602DC4A424A64AAA0CAA238E9E6EE_12</vt:lpwstr>
  </property>
  <property fmtid="{D5CDD505-2E9C-101B-9397-08002B2CF9AE}" pid="4" name="KSOTemplateDocerSaveRecord">
    <vt:lpwstr>eyJoZGlkIjoiMzczZmE1ZjY2NGNiNmQ2MzRiZTEzOWFiOTE1YTEwMTMiLCJ1c2VySWQiOiI1NzU4MzU2NDYifQ==</vt:lpwstr>
  </property>
</Properties>
</file>