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51"/>
        <w:jc w:val="center"/>
        <w:spacing w:before="120" w:after="120" w:line="50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r>
      <w:r/>
    </w:p>
    <w:p>
      <w:pPr>
        <w:pStyle w:val="951"/>
        <w:jc w:val="center"/>
        <w:spacing w:before="120" w:after="120" w:line="50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招　标　文　件</w:t>
      </w:r>
      <w:r>
        <w:rPr>
          <w:rFonts w:hint="eastAsia" w:ascii="方正小标宋_GBK" w:hAnsi="方正小标宋_GBK" w:eastAsia="方正小标宋_GBK" w:cs="方正小标宋_GBK"/>
          <w:color w:val="000000"/>
          <w:sz w:val="44"/>
          <w:szCs w:val="44"/>
          <w:highlight w:val="none"/>
        </w:rPr>
      </w:r>
      <w:r/>
    </w:p>
    <w:p>
      <w:pPr>
        <w:pStyle w:val="951"/>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51"/>
        <w:ind w:firstLine="640"/>
        <w:jc w:val="left"/>
        <w:spacing w:before="120" w:after="120" w:line="40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项目名称：南京铁道职业技术学院教室改造项目</w:t>
      </w:r>
      <w:r>
        <w:rPr>
          <w:rFonts w:hint="eastAsia" w:ascii="方正黑体_GBK" w:hAnsi="方正黑体_GBK" w:eastAsia="方正黑体_GBK" w:cs="方正黑体_GBK"/>
          <w:color w:val="000000"/>
          <w:sz w:val="32"/>
          <w:szCs w:val="32"/>
          <w:highlight w:val="none"/>
        </w:rPr>
      </w:r>
      <w:r/>
    </w:p>
    <w:p>
      <w:pPr>
        <w:pStyle w:val="951"/>
        <w:ind w:firstLine="640"/>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sz w:val="32"/>
          <w:szCs w:val="32"/>
          <w:highlight w:val="none"/>
        </w:rPr>
        <w:t xml:space="preserve">采购编号：</w:t>
      </w:r>
      <w:r>
        <w:rPr>
          <w:rFonts w:eastAsia="方正黑体_GBK"/>
          <w:sz w:val="32"/>
          <w:szCs w:val="32"/>
          <w:highlight w:val="none"/>
        </w:rPr>
        <w:t xml:space="preserve">JSZC-320000-SCZX-G2026-0319</w:t>
      </w:r>
      <w:r>
        <w:rPr>
          <w:rFonts w:hint="eastAsia" w:ascii="方正黑体_GBK" w:hAnsi="方正黑体_GBK" w:eastAsia="方正黑体_GBK" w:cs="方正黑体_GBK"/>
          <w:color w:val="000000"/>
          <w:sz w:val="28"/>
          <w:szCs w:val="28"/>
          <w:highlight w:val="none"/>
        </w:rPr>
      </w:r>
      <w:r/>
    </w:p>
    <w:p>
      <w:pPr>
        <w:pStyle w:val="951"/>
        <w:jc w:val="center"/>
        <w:rPr>
          <w:rFonts w:hint="eastAsia"/>
          <w:b/>
          <w:color w:val="ff0000"/>
          <w:sz w:val="28"/>
          <w:szCs w:val="28"/>
          <w:highlight w:val="none"/>
        </w:rPr>
      </w:pPr>
      <w:r>
        <w:rPr>
          <w:rFonts w:hint="eastAsia"/>
          <w:b/>
          <w:color w:val="ff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1"/>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51"/>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2026年8月</w:t>
      </w:r>
      <w:r>
        <w:rPr>
          <w:rFonts w:hint="eastAsia" w:ascii="方正黑体_GBK" w:hAnsi="方正黑体_GBK" w:eastAsia="方正黑体_GBK" w:cs="方正黑体_GBK"/>
          <w:color w:val="000000"/>
          <w:sz w:val="28"/>
          <w:szCs w:val="28"/>
          <w:highlight w:val="none"/>
        </w:rPr>
      </w:r>
      <w:r/>
    </w:p>
    <w:p>
      <w:pPr>
        <w:pStyle w:val="95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1"/>
        <w:jc w:val="center"/>
        <w:spacing w:line="660" w:lineRule="exact"/>
        <w:rPr>
          <w:rFonts w:hint="eastAsia" w:ascii="黑体" w:hAnsi="Arial" w:eastAsia="黑体"/>
          <w:b/>
          <w:color w:val="000000"/>
          <w:sz w:val="32"/>
          <w:szCs w:val="32"/>
          <w:highlight w:val="none"/>
        </w:rPr>
        <w:outlineLvl w:val="0"/>
      </w:pPr>
      <w:r>
        <w:rPr>
          <w:color w:val="000000"/>
          <w:szCs w:val="21"/>
          <w:highlight w:val="none"/>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方正黑体_GBK" w:hAnsi="方正黑体_GBK" w:eastAsia="方正黑体_GBK" w:cs="方正黑体_GBK"/>
          <w:bCs/>
          <w:color w:val="000000"/>
          <w:sz w:val="32"/>
          <w:szCs w:val="32"/>
          <w:highlight w:val="none"/>
        </w:rPr>
        <w:t xml:space="preserve">总  目  录</w:t>
      </w:r>
      <w:r>
        <w:rPr>
          <w:rFonts w:hint="eastAsia" w:ascii="黑体" w:hAnsi="Arial" w:eastAsia="黑体"/>
          <w:b/>
          <w:color w:val="000000"/>
          <w:sz w:val="32"/>
          <w:szCs w:val="32"/>
          <w:highlight w:val="none"/>
        </w:rPr>
      </w:r>
      <w:r/>
    </w:p>
    <w:p>
      <w:pPr>
        <w:pStyle w:val="951"/>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51"/>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投标邀请……………………………………3</w:t>
      </w:r>
      <w:r>
        <w:rPr>
          <w:rFonts w:hint="eastAsia" w:ascii="方正黑体_GBK" w:hAnsi="方正黑体_GBK" w:eastAsia="方正黑体_GBK" w:cs="方正黑体_GBK"/>
          <w:color w:val="000000"/>
          <w:sz w:val="28"/>
          <w:szCs w:val="28"/>
          <w:highlight w:val="none"/>
        </w:rPr>
      </w:r>
      <w:r/>
    </w:p>
    <w:p>
      <w:pPr>
        <w:pStyle w:val="951"/>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rPr>
        <w:t xml:space="preserve">…………………………………6</w:t>
      </w:r>
      <w:r>
        <w:rPr>
          <w:rFonts w:hint="eastAsia" w:ascii="方正黑体_GBK" w:hAnsi="方正黑体_GBK" w:eastAsia="方正黑体_GBK" w:cs="方正黑体_GBK"/>
          <w:color w:val="000000"/>
          <w:sz w:val="28"/>
          <w:szCs w:val="28"/>
          <w:highlight w:val="none"/>
        </w:rPr>
      </w:r>
      <w:r/>
    </w:p>
    <w:p>
      <w:pPr>
        <w:pStyle w:val="951"/>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合同文本……………………………………19</w:t>
      </w:r>
      <w:r>
        <w:rPr>
          <w:rFonts w:ascii="方正黑体_GBK" w:hAnsi="方正黑体_GBK" w:eastAsia="方正黑体_GBK" w:cs="方正黑体_GBK"/>
          <w:color w:val="000000"/>
          <w:sz w:val="28"/>
          <w:szCs w:val="28"/>
          <w:highlight w:val="none"/>
        </w:rPr>
      </w:r>
      <w:r/>
    </w:p>
    <w:p>
      <w:pPr>
        <w:pStyle w:val="951"/>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第四章 采购需求……………………………………38</w:t>
      </w:r>
      <w:r>
        <w:rPr>
          <w:rFonts w:ascii="方正黑体_GBK" w:hAnsi="方正黑体_GBK" w:eastAsia="方正黑体_GBK" w:cs="方正黑体_GBK"/>
          <w:color w:val="000000"/>
          <w:sz w:val="28"/>
          <w:szCs w:val="28"/>
          <w:highlight w:val="none"/>
        </w:rPr>
      </w:r>
      <w:r/>
    </w:p>
    <w:p>
      <w:pPr>
        <w:pStyle w:val="951"/>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rPr>
        <w:t xml:space="preserve">………………………65</w:t>
      </w:r>
      <w:r>
        <w:rPr>
          <w:rFonts w:ascii="方正黑体_GBK" w:hAnsi="方正黑体_GBK" w:eastAsia="方正黑体_GBK" w:cs="方正黑体_GBK"/>
          <w:color w:val="000000"/>
          <w:sz w:val="28"/>
          <w:szCs w:val="28"/>
          <w:highlight w:val="none"/>
        </w:rPr>
      </w:r>
      <w:r/>
    </w:p>
    <w:p>
      <w:pPr>
        <w:pStyle w:val="951"/>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第六章 投标文件格式………………………………70</w:t>
      </w:r>
      <w:r>
        <w:rPr>
          <w:rFonts w:ascii="方正黑体_GBK" w:hAnsi="方正黑体_GBK" w:eastAsia="方正黑体_GBK" w:cs="方正黑体_GBK"/>
          <w:color w:val="000000"/>
          <w:sz w:val="28"/>
          <w:szCs w:val="28"/>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pStyle w:val="951"/>
        <w:rPr>
          <w:rFonts w:hint="eastAsia"/>
          <w:color w:val="000000"/>
          <w:szCs w:val="21"/>
          <w:highlight w:val="none"/>
        </w:rPr>
      </w:pPr>
      <w:r>
        <w:rPr>
          <w:rFonts w:hint="eastAsia"/>
          <w:color w:val="000000"/>
          <w:szCs w:val="21"/>
          <w:highlight w:val="none"/>
        </w:rPr>
      </w:r>
      <w:r/>
    </w:p>
    <w:p>
      <w:pPr>
        <w:shd w:val="nil" w:color="auto"/>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51"/>
        <w:jc w:val="center"/>
        <w:keepLines w:val="0"/>
        <w:keepNext/>
        <w:pageBreakBefore w:val="0"/>
        <w:spacing w:line="44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bCs/>
          <w:color w:val="000000"/>
          <w:sz w:val="32"/>
          <w:szCs w:val="32"/>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受南京铁道职业技术学院的委托，江苏省政府采购中心就南京铁道职业技术学院教室改造项目（JSZC-320000-SCZX-G2026-0319）项目进行公开招标采购，欢迎符合条件的供应商投标。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南京铁道职业技术学院教室改造项目</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eastAsia="方正仿宋_GBK"/>
          <w:color w:val="000000"/>
          <w:sz w:val="28"/>
          <w:szCs w:val="28"/>
          <w:highlight w:val="none"/>
        </w:rPr>
        <w:t xml:space="preserve">JSZC-320000-SCZX-G2026-0319</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南京铁道职业技术学院教室改造项目</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6709"/>
      </w:tblGrid>
      <w:tr>
        <w:trPr/>
        <w:tc>
          <w:tcPr>
            <w:tcW w:w="1635"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70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rPr>
                <w:rFonts w:hint="eastAsia" w:ascii="方正仿宋_GBK" w:hAnsi="方正仿宋_GBK" w:eastAsia="方正仿宋_GBK" w:cs="方正仿宋_GBK"/>
                <w:sz w:val="28"/>
                <w:szCs w:val="28"/>
                <w:highlight w:val="none"/>
              </w:rPr>
            </w:r>
            <w:r/>
          </w:p>
        </w:tc>
      </w:tr>
      <w:tr>
        <w:trPr/>
        <w:tc>
          <w:tcPr>
            <w:tcW w:w="1635"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70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126.4</w:t>
            </w:r>
            <w:r>
              <w:rPr>
                <w:rFonts w:hint="eastAsia" w:ascii="方正仿宋_GBK" w:hAnsi="方正仿宋_GBK" w:eastAsia="方正仿宋_GBK" w:cs="方正仿宋_GBK"/>
                <w:sz w:val="28"/>
                <w:szCs w:val="28"/>
                <w:highlight w:val="none"/>
              </w:rPr>
            </w:r>
            <w:r/>
          </w:p>
        </w:tc>
      </w:tr>
    </w:tbl>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6716"/>
      </w:tblGrid>
      <w:tr>
        <w:trPr>
          <w:trHeight w:val="449"/>
        </w:trPr>
        <w:tc>
          <w:tcPr>
            <w:tcW w:w="163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716"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最高限价（人民币：万元）</w:t>
            </w:r>
            <w:r>
              <w:rPr>
                <w:rFonts w:hint="eastAsia" w:ascii="方正仿宋_GBK" w:hAnsi="方正仿宋_GBK" w:eastAsia="方正仿宋_GBK" w:cs="方正仿宋_GBK"/>
                <w:sz w:val="28"/>
                <w:szCs w:val="28"/>
                <w:highlight w:val="none"/>
              </w:rPr>
            </w:r>
            <w:r/>
          </w:p>
        </w:tc>
      </w:tr>
      <w:tr>
        <w:trPr/>
        <w:tc>
          <w:tcPr>
            <w:tcW w:w="163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716" w:type="dxa"/>
            <w:vAlign w:val="top"/>
            <w:textDirection w:val="lrTb"/>
            <w:noWrap w:val="false"/>
          </w:tcPr>
          <w:p>
            <w:pPr>
              <w:pStyle w:val="951"/>
              <w:jc w:val="center"/>
              <w:keepLines w:val="0"/>
              <w:pageBreakBefore w:val="0"/>
              <w:spacing w:line="440" w:lineRule="exact"/>
              <w:rPr>
                <w:rFonts w:eastAsia="方正仿宋_GBK"/>
                <w:sz w:val="28"/>
                <w:szCs w:val="28"/>
                <w:highlight w:val="none"/>
              </w:rPr>
            </w:pPr>
            <w:r>
              <w:rPr>
                <w:rFonts w:hint="eastAsia" w:eastAsia="方正仿宋_GBK"/>
                <w:color w:val="000000"/>
                <w:sz w:val="28"/>
                <w:szCs w:val="28"/>
                <w:highlight w:val="none"/>
              </w:rPr>
              <w:t xml:space="preserve">126.4</w:t>
            </w:r>
            <w:r>
              <w:rPr>
                <w:rFonts w:eastAsia="方正仿宋_GBK"/>
                <w:sz w:val="28"/>
                <w:szCs w:val="28"/>
                <w:highlight w:val="none"/>
              </w:rPr>
            </w:r>
            <w:r/>
          </w:p>
        </w:tc>
      </w:tr>
    </w:tbl>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5.采购需求（简介）：南京铁道职业技术学院</w:t>
      </w:r>
      <w:r>
        <w:rPr>
          <w:rFonts w:hint="eastAsia" w:eastAsia="方正仿宋_GBK"/>
          <w:sz w:val="28"/>
          <w:szCs w:val="28"/>
          <w:highlight w:val="none"/>
        </w:rPr>
        <w:t xml:space="preserve">为应对新增学生带来的教室资源缺口，拟改造12间教室，主要建设内容包括多媒体显示系统、全数字化音频扩声系统、智能中控系统等。</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sz w:val="28"/>
          <w:szCs w:val="28"/>
          <w:highlight w:val="none"/>
        </w:rPr>
        <w:t xml:space="preserve">自合同签订之日起，30个日历日内供货到位。</w:t>
      </w:r>
      <w:r>
        <w:rPr>
          <w:rFonts w:hint="eastAsia" w:ascii="方正仿宋_GBK" w:hAnsi="方正仿宋_GBK" w:eastAsia="方正仿宋_GBK" w:cs="方正仿宋_GBK"/>
          <w:color w:val="000000"/>
          <w:sz w:val="28"/>
          <w:szCs w:val="28"/>
          <w:highlight w:val="none"/>
          <w:u w:val="singl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5393791"/>
      <w:r/>
      <w:bookmarkStart w:id="14" w:name="_Toc28359080"/>
      <w:r/>
      <w:bookmarkStart w:id="15" w:name="_Toc35393622"/>
      <w:r/>
      <w:bookmarkStart w:id="16" w:name="_Toc38985264"/>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hint="eastAsia" w:ascii="方正楷体_GBK" w:hAnsi="方正楷体_GBK" w:eastAsia="方正楷体_GBK" w:cs="方正楷体_GBK"/>
          <w:color w:val="000000"/>
          <w:sz w:val="28"/>
          <w:szCs w:val="28"/>
          <w:highlight w:val="none"/>
        </w:rPr>
      </w:pPr>
      <w:r/>
      <w:bookmarkStart w:id="17" w:name="_Toc38985265"/>
      <w:r/>
      <w:bookmarkStart w:id="18" w:name="_Toc28359004"/>
      <w:r/>
      <w:bookmarkStart w:id="19" w:name="_Toc28359081"/>
      <w:r/>
      <w:bookmarkStart w:id="20" w:name="_Toc35393792"/>
      <w:r/>
      <w:bookmarkStart w:id="21" w:name="_Toc35393623"/>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2968"/>
        <w:gridCol w:w="3826"/>
      </w:tblGrid>
      <w:tr>
        <w:trPr/>
        <w:tc>
          <w:tcPr>
            <w:tcW w:w="1726"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968"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3826"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rPr>
                <w:rFonts w:hint="eastAsia" w:ascii="方正仿宋_GBK" w:hAnsi="方正仿宋_GBK" w:eastAsia="方正仿宋_GBK" w:cs="方正仿宋_GBK"/>
                <w:sz w:val="28"/>
                <w:szCs w:val="28"/>
                <w:highlight w:val="none"/>
              </w:rPr>
            </w:r>
            <w:r/>
          </w:p>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rPr>
                <w:rFonts w:hint="eastAsia" w:ascii="方正仿宋_GBK" w:hAnsi="方正仿宋_GBK" w:eastAsia="方正仿宋_GBK" w:cs="方正仿宋_GBK"/>
                <w:sz w:val="28"/>
                <w:szCs w:val="28"/>
                <w:highlight w:val="none"/>
              </w:rPr>
            </w:r>
            <w:r/>
          </w:p>
        </w:tc>
      </w:tr>
      <w:tr>
        <w:trPr/>
        <w:tc>
          <w:tcPr>
            <w:tcW w:w="1726"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3826"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1"/>
        <w:ind w:firstLine="560"/>
        <w:keepLines w:val="0"/>
        <w:pageBreakBefore w:val="0"/>
        <w:spacing w:line="44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794"/>
      </w:tblGrid>
      <w:tr>
        <w:trPr/>
        <w:tc>
          <w:tcPr>
            <w:tcW w:w="1726"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794"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726"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794"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无</w:t>
            </w:r>
            <w:r>
              <w:rPr>
                <w:rFonts w:hint="eastAsia" w:ascii="方正仿宋_GBK" w:hAnsi="方正仿宋_GBK" w:eastAsia="方正仿宋_GBK" w:cs="方正仿宋_GBK"/>
                <w:sz w:val="28"/>
                <w:szCs w:val="28"/>
                <w:highlight w:val="none"/>
              </w:rPr>
            </w:r>
            <w:r/>
          </w:p>
        </w:tc>
      </w:tr>
    </w:tbl>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sz w:val="28"/>
          <w:szCs w:val="28"/>
          <w:highlight w:val="none"/>
        </w:rPr>
        <w:t xml:space="preserve">27</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ascii="宋体" w:hAnsi="宋体"/>
          <w:bCs/>
          <w:color w:val="000000"/>
          <w:sz w:val="28"/>
          <w:szCs w:val="28"/>
          <w:highlight w:val="none"/>
          <w:u w:val="singl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Start w:id="27" w:name="_Toc28359084"/>
      <w:r/>
      <w:bookmarkStart w:id="28" w:name="_Toc35393794"/>
      <w:r/>
      <w:bookmarkStart w:id="29" w:name="_Toc28359007"/>
      <w:r/>
      <w:bookmarkStart w:id="30" w:name="_Toc35393625"/>
      <w:r/>
      <w:bookmarkStart w:id="31" w:name="_Toc3898526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现场勘察：请各潜在投标人于2026年8月15日上午9点前到</w:t>
      </w:r>
      <w:r>
        <w:rPr>
          <w:rFonts w:hint="eastAsia" w:ascii="方正仿宋_GBK" w:hAnsi="方正仿宋_GBK" w:eastAsia="方正仿宋_GBK" w:cs="方正仿宋_GBK"/>
          <w:color w:val="000000"/>
          <w:sz w:val="28"/>
          <w:szCs w:val="28"/>
          <w:highlight w:val="none"/>
        </w:rPr>
        <w:t xml:space="preserve">南京铁道职业技术学院</w:t>
      </w:r>
      <w:r>
        <w:rPr>
          <w:rFonts w:hint="eastAsia" w:ascii="方正仿宋_GBK" w:hAnsi="方正仿宋_GBK" w:eastAsia="方正仿宋_GBK" w:cs="方正仿宋_GBK"/>
          <w:sz w:val="28"/>
          <w:szCs w:val="28"/>
          <w:highlight w:val="none"/>
        </w:rPr>
        <w:t xml:space="preserve">报到，上午9:00-11:00由采购人统一安排勘察项目现场。请供应商携带</w:t>
      </w:r>
      <w:r>
        <w:rPr>
          <w:rFonts w:hint="eastAsia" w:ascii="方正仿宋_GBK" w:hAnsi="方正仿宋_GBK" w:eastAsia="方正仿宋_GBK" w:cs="方正仿宋_GBK"/>
          <w:sz w:val="28"/>
          <w:szCs w:val="28"/>
          <w:highlight w:val="none"/>
          <w:lang w:val="en-US" w:eastAsia="zh-CN"/>
        </w:rPr>
        <w:t xml:space="preserve">本人</w:t>
      </w:r>
      <w:r>
        <w:rPr>
          <w:rFonts w:hint="eastAsia" w:ascii="方正仿宋_GBK" w:hAnsi="方正仿宋_GBK" w:eastAsia="方正仿宋_GBK" w:cs="方正仿宋_GBK"/>
          <w:sz w:val="28"/>
          <w:szCs w:val="28"/>
          <w:highlight w:val="none"/>
        </w:rPr>
        <w:t xml:space="preserve">身份证</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法人授权委托书准时</w:t>
      </w:r>
      <w:r>
        <w:rPr>
          <w:rFonts w:hint="eastAsia" w:ascii="方正仿宋_GBK" w:hAnsi="方正仿宋_GBK" w:eastAsia="方正仿宋_GBK" w:cs="方正仿宋_GBK"/>
          <w:sz w:val="28"/>
          <w:szCs w:val="28"/>
          <w:highlight w:val="none"/>
        </w:rPr>
        <w:t xml:space="preserve">参加。请对项目现场和周围环境进行仔细认真地查勘，在随后的采购中，对现场资料和数据所作出的推论、解释和结论及由此造成的后果由供应商负责。</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集中地点：南京市浦口区珍珠南路65号。</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勘察现场联系人：蒋老师</w:t>
      </w:r>
      <w:r>
        <w:rPr>
          <w:rFonts w:hint="eastAsia" w:ascii="方正仿宋_GBK" w:hAnsi="方正仿宋_GBK" w:eastAsia="方正仿宋_GBK" w:cs="方正仿宋_GBK"/>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联系电话：15005184424。</w:t>
      </w:r>
      <w:r>
        <w:rPr>
          <w:rFonts w:hint="eastAsia" w:ascii="方正仿宋_GBK" w:hAnsi="方正仿宋_GBK" w:eastAsia="方正仿宋_GBK" w:cs="方正仿宋_GBK"/>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28359008"/>
      <w:r/>
      <w:bookmarkStart w:id="37" w:name="_Toc38985269"/>
      <w:r/>
      <w:bookmarkStart w:id="38" w:name="_Toc28359085"/>
      <w:r/>
      <w:bookmarkStart w:id="39" w:name="_Toc35393627"/>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r>
      <w:r/>
    </w:p>
    <w:p>
      <w:pPr>
        <w:pStyle w:val="951"/>
        <w:ind w:firstLine="560"/>
        <w:jc w:val="left"/>
        <w:keepLines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南京铁道职业技术学院　</w:t>
      </w:r>
      <w:r>
        <w:rPr>
          <w:rFonts w:hint="eastAsia" w:ascii="方正仿宋_GBK" w:hAnsi="方正仿宋_GBK" w:eastAsia="方正仿宋_GBK" w:cs="方正仿宋_GBK"/>
          <w:color w:val="000000"/>
          <w:sz w:val="28"/>
          <w:szCs w:val="28"/>
          <w:highlight w:val="non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南京市浦口区珍珠南路65号　</w:t>
      </w:r>
      <w:r>
        <w:rPr>
          <w:rFonts w:hint="eastAsia" w:ascii="方正仿宋_GBK" w:hAnsi="方正仿宋_GBK" w:eastAsia="方正仿宋_GBK" w:cs="方正仿宋_GBK"/>
          <w:color w:val="000000"/>
          <w:sz w:val="28"/>
          <w:szCs w:val="28"/>
          <w:highlight w:val="non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张老师   </w:t>
      </w:r>
      <w:r>
        <w:rPr>
          <w:rFonts w:hint="eastAsia" w:ascii="方正仿宋_GBK" w:hAnsi="方正仿宋_GBK" w:eastAsia="方正仿宋_GBK" w:cs="方正仿宋_GBK"/>
          <w:color w:val="000000"/>
          <w:sz w:val="28"/>
          <w:szCs w:val="28"/>
          <w:highlight w:val="non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025-68204948  </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51"/>
        <w:ind w:firstLine="560"/>
        <w:jc w:val="left"/>
        <w:keepLines w:val="0"/>
        <w:keepNext/>
        <w:pageBreakBefore w:val="0"/>
        <w:spacing w:line="440" w:lineRule="exact"/>
        <w:rPr>
          <w:rFonts w:hint="eastAsia" w:ascii="方正仿宋_GBK" w:hAnsi="方正仿宋_GBK" w:eastAsia="方正仿宋_GBK" w:cs="方正仿宋_GBK"/>
          <w:color w:val="000000"/>
          <w:sz w:val="28"/>
          <w:szCs w:val="28"/>
          <w:highlight w:val="none"/>
        </w:rPr>
        <w:outlineLvl w:val="0"/>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w:t>
      </w:r>
      <w:r>
        <w:rPr>
          <w:rFonts w:hint="eastAsia" w:ascii="方正仿宋_GBK" w:hAnsi="方正仿宋_GBK" w:eastAsia="方正仿宋_GBK" w:cs="方正仿宋_GBK"/>
          <w:color w:val="000000"/>
          <w:sz w:val="28"/>
          <w:szCs w:val="28"/>
          <w:highlight w:val="none"/>
        </w:rPr>
      </w:r>
      <w:r/>
    </w:p>
    <w:p>
      <w:pPr>
        <w:pStyle w:val="951"/>
        <w:ind w:firstLine="560"/>
        <w:jc w:val="left"/>
        <w:keepLines w:val="0"/>
        <w:keepNext/>
        <w:pageBreakBefore w:val="0"/>
        <w:spacing w:line="44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highlight w:val="none"/>
        </w:rPr>
      </w:r>
      <w:r/>
    </w:p>
    <w:p>
      <w:pPr>
        <w:pStyle w:val="951"/>
        <w:ind w:firstLine="560"/>
        <w:jc w:val="left"/>
        <w:keepLines w:val="0"/>
        <w:keepNext/>
        <w:pageBreakBefore w:val="0"/>
        <w:spacing w:line="44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51"/>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center"/>
        <w:keepNext/>
        <w:spacing w:line="400" w:lineRule="exact"/>
        <w:rPr>
          <w:rFonts w:hint="eastAsia"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49" w:name="_Toc16938519"/>
      <w:r/>
      <w:bookmarkStart w:id="50" w:name="_Toc20823275"/>
      <w:r/>
      <w:bookmarkStart w:id="51" w:name="_Toc120614214"/>
      <w:r/>
      <w:bookmarkStart w:id="52" w:name="_Toc513029203"/>
      <w:r>
        <w:rPr>
          <w:rFonts w:hint="eastAsia" w:ascii="方正黑体_GBK" w:hAnsi="方正黑体_GBK" w:eastAsia="方正黑体_GBK" w:cs="方正黑体_GBK"/>
          <w:color w:val="000000"/>
          <w:sz w:val="28"/>
          <w:szCs w:val="28"/>
          <w:highlight w:val="none"/>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highlight w:val="none"/>
        </w:rPr>
        <w:t xml:space="preserve">1</w:t>
      </w:r>
      <w:bookmarkEnd w:id="54"/>
      <w:r>
        <w:rPr>
          <w:rFonts w:hint="eastAsia" w:ascii="方正仿宋_GBK" w:hAnsi="方正仿宋_GBK" w:eastAsia="方正仿宋_GBK" w:cs="方正仿宋_GBK"/>
          <w:bCs/>
          <w:sz w:val="28"/>
          <w:szCs w:val="28"/>
          <w:highlight w:val="none"/>
        </w:rPr>
        <w:t xml:space="preserve">.招标方式</w:t>
      </w:r>
      <w:bookmarkEnd w:id="55"/>
      <w:r/>
      <w:bookmarkEnd w:id="56"/>
      <w:r/>
      <w:bookmarkEnd w:id="57"/>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58" w:name="_Toc20823277"/>
      <w:r/>
      <w:bookmarkStart w:id="59" w:name="_Toc16938521"/>
      <w:r/>
      <w:bookmarkStart w:id="60" w:name="_Toc513029205"/>
      <w:r>
        <w:rPr>
          <w:rFonts w:hint="eastAsia" w:ascii="方正仿宋_GBK" w:hAnsi="方正仿宋_GBK" w:eastAsia="方正仿宋_GBK" w:cs="方正仿宋_GBK"/>
          <w:bCs/>
          <w:sz w:val="28"/>
          <w:szCs w:val="28"/>
          <w:highlight w:val="none"/>
        </w:rPr>
        <w:t xml:space="preserve">2.合格的投标人</w:t>
      </w:r>
      <w:bookmarkEnd w:id="58"/>
      <w:r/>
      <w:bookmarkEnd w:id="59"/>
      <w:r/>
      <w:bookmarkEnd w:id="60"/>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61" w:name="_Toc513029206"/>
      <w:r/>
      <w:bookmarkStart w:id="62" w:name="_Toc16938522"/>
      <w:r/>
      <w:bookmarkStart w:id="63" w:name="_Toc20823278"/>
      <w:r>
        <w:rPr>
          <w:rFonts w:hint="eastAsia" w:ascii="方正仿宋_GBK" w:hAnsi="方正仿宋_GBK" w:eastAsia="方正仿宋_GBK" w:cs="方正仿宋_GBK"/>
          <w:bCs/>
          <w:sz w:val="28"/>
          <w:szCs w:val="28"/>
          <w:highlight w:val="none"/>
        </w:rPr>
        <w:t xml:space="preserve">3.适用法律</w:t>
      </w:r>
      <w:bookmarkEnd w:id="61"/>
      <w:r/>
      <w:bookmarkEnd w:id="62"/>
      <w:r/>
      <w:bookmarkEnd w:id="63"/>
      <w:r>
        <w:rPr>
          <w:rFonts w:hint="eastAsia" w:ascii="方正仿宋_GBK" w:hAnsi="方正仿宋_GBK" w:eastAsia="方正仿宋_GBK" w:cs="方正仿宋_GBK"/>
          <w:bCs/>
          <w:sz w:val="28"/>
          <w:szCs w:val="28"/>
          <w:highlight w:val="none"/>
        </w:rPr>
        <w:t xml:space="preserve">和标准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64" w:name="_Toc20823279"/>
      <w:r/>
      <w:bookmarkStart w:id="65" w:name="_Toc513029207"/>
      <w:r/>
      <w:bookmarkStart w:id="66" w:name="_Toc16938523"/>
      <w:r/>
      <w:bookmarkStart w:id="67" w:name="_Toc462564067"/>
      <w:r>
        <w:rPr>
          <w:rFonts w:hint="eastAsia" w:ascii="方正仿宋_GBK" w:hAnsi="方正仿宋_GBK" w:eastAsia="方正仿宋_GBK" w:cs="方正仿宋_GBK"/>
          <w:bCs/>
          <w:sz w:val="28"/>
          <w:szCs w:val="28"/>
          <w:highlight w:val="none"/>
        </w:rPr>
        <w:t xml:space="preserve">4.投标费用</w:t>
      </w:r>
      <w:bookmarkEnd w:id="64"/>
      <w:r/>
      <w:bookmarkEnd w:id="65"/>
      <w:r/>
      <w:bookmarkEnd w:id="66"/>
      <w:r/>
      <w:bookmarkEnd w:id="67"/>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68" w:name="_Toc20823281"/>
      <w:r/>
      <w:bookmarkStart w:id="69" w:name="_Toc16938525"/>
      <w:r/>
      <w:bookmarkStart w:id="70" w:name="_Toc513029209"/>
      <w:r/>
      <w:bookmarkStart w:id="71" w:name="_Toc120614215"/>
      <w:r>
        <w:rPr>
          <w:rFonts w:hint="eastAsia" w:ascii="方正黑体_GBK" w:hAnsi="方正黑体_GBK" w:eastAsia="方正黑体_GBK" w:cs="方正黑体_GBK"/>
          <w:color w:val="000000"/>
          <w:sz w:val="28"/>
          <w:szCs w:val="28"/>
          <w:highlight w:val="none"/>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72" w:name="_Toc16938526"/>
      <w:r/>
      <w:bookmarkStart w:id="73" w:name="_Toc20823282"/>
      <w:r/>
      <w:bookmarkStart w:id="74" w:name="_Toc513029210"/>
      <w:r>
        <w:rPr>
          <w:rFonts w:hint="eastAsia" w:ascii="方正仿宋_GBK" w:hAnsi="方正仿宋_GBK" w:eastAsia="方正仿宋_GBK" w:cs="方正仿宋_GBK"/>
          <w:bCs/>
          <w:sz w:val="28"/>
          <w:szCs w:val="28"/>
          <w:highlight w:val="none"/>
        </w:rPr>
        <w:t xml:space="preserve">6.招标文件构成</w:t>
      </w:r>
      <w:bookmarkEnd w:id="72"/>
      <w:r/>
      <w:bookmarkEnd w:id="73"/>
      <w:r/>
      <w:bookmarkEnd w:id="74"/>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75" w:name="_Toc462564071"/>
      <w:r/>
      <w:bookmarkStart w:id="76" w:name="_Toc20823284"/>
      <w:r/>
      <w:bookmarkStart w:id="77" w:name="_Toc16938528"/>
      <w:r/>
      <w:bookmarkStart w:id="78" w:name="_Toc513029212"/>
      <w:r>
        <w:rPr>
          <w:rFonts w:hint="eastAsia" w:ascii="方正仿宋_GBK" w:hAnsi="方正仿宋_GBK" w:eastAsia="方正仿宋_GBK" w:cs="方正仿宋_GBK"/>
          <w:bCs/>
          <w:sz w:val="28"/>
          <w:szCs w:val="28"/>
          <w:highlight w:val="none"/>
        </w:rPr>
        <w:t xml:space="preserve">7.招标文件的修改</w:t>
      </w:r>
      <w:bookmarkEnd w:id="75"/>
      <w:r/>
      <w:bookmarkEnd w:id="76"/>
      <w:r/>
      <w:bookmarkEnd w:id="77"/>
      <w:r/>
      <w:bookmarkEnd w:id="78"/>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79" w:name="_Toc120614216"/>
      <w:r/>
      <w:bookmarkStart w:id="80" w:name="_Toc513029213"/>
      <w:r/>
      <w:bookmarkStart w:id="81" w:name="_Toc462564072"/>
      <w:r/>
      <w:bookmarkStart w:id="82" w:name="_Toc16938529"/>
      <w:r/>
      <w:bookmarkStart w:id="83" w:name="_Toc20823285"/>
      <w:r>
        <w:rPr>
          <w:rFonts w:hint="eastAsia" w:ascii="方正黑体_GBK" w:hAnsi="方正黑体_GBK" w:eastAsia="方正黑体_GBK" w:cs="方正黑体_GBK"/>
          <w:color w:val="000000"/>
          <w:sz w:val="28"/>
          <w:szCs w:val="28"/>
          <w:highlight w:val="none"/>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84" w:name="_Toc462564073"/>
      <w:r/>
      <w:bookmarkStart w:id="85" w:name="_Toc20823286"/>
      <w:r/>
      <w:bookmarkStart w:id="86" w:name="_Toc16938530"/>
      <w:r/>
      <w:bookmarkStart w:id="87" w:name="_Toc513029214"/>
      <w:r>
        <w:rPr>
          <w:rFonts w:hint="eastAsia" w:ascii="方正仿宋_GBK" w:hAnsi="方正仿宋_GBK" w:eastAsia="方正仿宋_GBK" w:cs="方正仿宋_GBK"/>
          <w:bCs/>
          <w:sz w:val="28"/>
          <w:szCs w:val="28"/>
          <w:highlight w:val="none"/>
        </w:rPr>
        <w:t xml:space="preserve">8.投标文件的语言及度量衡单位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88" w:name="_Toc20823287"/>
      <w:r/>
      <w:bookmarkStart w:id="89" w:name="_Toc513029215"/>
      <w:r/>
      <w:bookmarkStart w:id="90" w:name="_Toc16938531"/>
      <w:r/>
      <w:bookmarkStart w:id="91" w:name="_Toc462564074"/>
      <w:r>
        <w:rPr>
          <w:rFonts w:hint="eastAsia" w:ascii="方正仿宋_GBK" w:hAnsi="方正仿宋_GBK" w:eastAsia="方正仿宋_GBK" w:cs="方正仿宋_GBK"/>
          <w:bCs/>
          <w:sz w:val="28"/>
          <w:szCs w:val="28"/>
          <w:highlight w:val="none"/>
        </w:rPr>
        <w:t xml:space="preserve">9.投标文件构成</w:t>
      </w:r>
      <w:bookmarkEnd w:id="88"/>
      <w:r/>
      <w:bookmarkEnd w:id="89"/>
      <w:r/>
      <w:bookmarkEnd w:id="90"/>
      <w:r/>
      <w:bookmarkEnd w:id="91"/>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92" w:name="_Hlt26954838"/>
      <w:r/>
      <w:bookmarkEnd w:id="92"/>
      <w:r/>
      <w:bookmarkStart w:id="93" w:name="_Hlt26668975"/>
      <w:r/>
      <w:bookmarkEnd w:id="93"/>
      <w:r/>
      <w:bookmarkStart w:id="94" w:name="_Hlt26670360"/>
      <w:r/>
      <w:bookmarkEnd w:id="94"/>
      <w:r/>
      <w:bookmarkStart w:id="95" w:name="_Toc513029219"/>
      <w:r/>
      <w:bookmarkStart w:id="96" w:name="_Toc49090509"/>
      <w:r/>
      <w:bookmarkStart w:id="97" w:name="_Toc14577357"/>
      <w:r/>
      <w:bookmarkStart w:id="98" w:name="_Toc513029216"/>
      <w:r/>
      <w:bookmarkStart w:id="99" w:name="_Toc49090507"/>
      <w:r/>
      <w:bookmarkStart w:id="100" w:name="_Toc14577354"/>
      <w:r/>
      <w:bookmarkStart w:id="101" w:name="_Toc49090508"/>
      <w:r/>
      <w:bookmarkStart w:id="102" w:name="_Toc14577355"/>
      <w:r>
        <w:rPr>
          <w:rFonts w:hint="eastAsia" w:ascii="方正仿宋_GBK" w:hAnsi="方正仿宋_GBK" w:eastAsia="方正仿宋_GBK" w:cs="方正仿宋_GBK"/>
          <w:bCs/>
          <w:sz w:val="28"/>
          <w:szCs w:val="28"/>
          <w:highlight w:val="none"/>
        </w:rPr>
        <w:t xml:space="preserve">10.证明投标人及投标标的符合招标文件规定的文件</w:t>
      </w:r>
      <w:bookmarkEnd w:id="95"/>
      <w:r/>
      <w:bookmarkEnd w:id="96"/>
      <w:r/>
      <w:bookmarkEnd w:id="97"/>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End w:id="98"/>
      <w:r/>
      <w:bookmarkEnd w:id="99"/>
      <w:r/>
      <w:bookmarkEnd w:id="100"/>
      <w:r>
        <w:rPr>
          <w:rFonts w:hint="eastAsia" w:ascii="方正仿宋_GBK" w:hAnsi="方正仿宋_GBK" w:eastAsia="方正仿宋_GBK" w:cs="方正仿宋_GBK"/>
          <w:bCs/>
          <w:sz w:val="28"/>
          <w:szCs w:val="28"/>
          <w:highlight w:val="none"/>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End w:id="101"/>
      <w:r/>
      <w:bookmarkEnd w:id="102"/>
      <w:r>
        <w:rPr>
          <w:rFonts w:hint="eastAsia" w:ascii="方正仿宋_GBK" w:hAnsi="方正仿宋_GBK" w:eastAsia="方正仿宋_GBK" w:cs="方正仿宋_GBK"/>
          <w:bCs/>
          <w:sz w:val="28"/>
          <w:szCs w:val="28"/>
          <w:highlight w:val="none"/>
        </w:rPr>
        <w:t xml:space="preserve">11.投标分项报价表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投</w:t>
      </w:r>
      <w:bookmarkStart w:id="103" w:name="_Hlt26954840"/>
      <w:r/>
      <w:bookmarkEnd w:id="103"/>
      <w:r>
        <w:rPr>
          <w:rFonts w:hint="eastAsia" w:ascii="方正仿宋_GBK" w:hAnsi="方正仿宋_GBK" w:eastAsia="方正仿宋_GBK" w:cs="方正仿宋_GBK"/>
          <w:bCs/>
          <w:sz w:val="28"/>
          <w:szCs w:val="28"/>
          <w:highlight w:val="none"/>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05" w:name="_Hlt26954848"/>
      <w:r/>
      <w:bookmarkEnd w:id="105"/>
      <w:r/>
      <w:bookmarkStart w:id="106" w:name="_Hlt26954846"/>
      <w:r/>
      <w:bookmarkEnd w:id="106"/>
      <w:r/>
      <w:bookmarkStart w:id="107" w:name="_Hlt26670482"/>
      <w:r/>
      <w:bookmarkEnd w:id="107"/>
      <w:r/>
      <w:bookmarkStart w:id="108" w:name="_Hlt26670486"/>
      <w:r/>
      <w:bookmarkEnd w:id="108"/>
      <w:r/>
      <w:bookmarkStart w:id="109" w:name="_Hlt26954731"/>
      <w:r/>
      <w:bookmarkEnd w:id="109"/>
      <w:r>
        <w:rPr>
          <w:rFonts w:hint="eastAsia" w:ascii="方正仿宋_GBK" w:hAnsi="方正仿宋_GBK" w:eastAsia="方正仿宋_GBK" w:cs="方正仿宋_GBK"/>
          <w:bCs/>
          <w:sz w:val="28"/>
          <w:szCs w:val="28"/>
          <w:highlight w:val="none"/>
        </w:rPr>
        <w:t xml:space="preserve">12.技术要求响应及偏离表、商务要求响应及偏离表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highlight w:val="none"/>
          <w:lang w:val="zh-CN"/>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highlight w:val="none"/>
          <w:lang w:val="zh-CN"/>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13.服务承诺、培训计划、人员安排及其他</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 投标人需根据招标文件要求提供培训计划。</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 投标人需根据招标文件要求提供</w:t>
      </w:r>
      <w:r>
        <w:rPr>
          <w:rFonts w:hint="eastAsia" w:ascii="方正仿宋_GBK" w:hAnsi="方正仿宋_GBK" w:eastAsia="方正仿宋_GBK" w:cs="方正仿宋_GBK"/>
          <w:bCs/>
          <w:sz w:val="28"/>
          <w:szCs w:val="28"/>
          <w:highlight w:val="none"/>
          <w:lang w:val="zh-CN"/>
        </w:rPr>
        <w:t xml:space="preserve">所投标的的主要组成部分、功能设计、实现思路及关键技术等。</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10" w:name="_Toc14577359"/>
      <w:r/>
      <w:bookmarkStart w:id="111" w:name="_Toc49090510"/>
      <w:r>
        <w:rPr>
          <w:rFonts w:hint="eastAsia" w:ascii="方正仿宋_GBK" w:hAnsi="方正仿宋_GBK" w:eastAsia="方正仿宋_GBK" w:cs="方正仿宋_GBK"/>
          <w:bCs/>
          <w:sz w:val="28"/>
          <w:szCs w:val="28"/>
          <w:highlight w:val="none"/>
        </w:rPr>
        <w:t xml:space="preserve">14.投标函和开标一览表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投标人应按照招标文件中提供的格式完整、正确填写投标函、开标一览表。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highlight w:val="none"/>
        </w:rPr>
        <w:t xml:space="preserve">15.投标有效期</w:t>
      </w:r>
      <w:bookmarkEnd w:id="112"/>
      <w:r/>
      <w:bookmarkEnd w:id="113"/>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16.投标有效期的延长</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114" w:name="_Hlt26954852"/>
      <w:r/>
      <w:bookmarkEnd w:id="114"/>
      <w:r/>
      <w:bookmarkStart w:id="115" w:name="_Hlt26954739"/>
      <w:r/>
      <w:bookmarkEnd w:id="115"/>
      <w:r/>
      <w:bookmarkStart w:id="116" w:name="_Toc120614217"/>
      <w:r/>
      <w:bookmarkStart w:id="117" w:name="_Toc513029224"/>
      <w:r/>
      <w:bookmarkStart w:id="118" w:name="_Toc20823296"/>
      <w:r/>
      <w:bookmarkStart w:id="119" w:name="_Toc16938540"/>
      <w:r>
        <w:rPr>
          <w:rFonts w:hint="eastAsia" w:ascii="方正黑体_GBK" w:hAnsi="方正黑体_GBK" w:eastAsia="方正黑体_GBK" w:cs="方正黑体_GBK"/>
          <w:color w:val="000000"/>
          <w:sz w:val="28"/>
          <w:szCs w:val="28"/>
          <w:highlight w:val="none"/>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20" w:name="_Toc462564084"/>
      <w:r/>
      <w:bookmarkStart w:id="121" w:name="_Toc20823297"/>
      <w:r/>
      <w:bookmarkStart w:id="122" w:name="_Toc513029225"/>
      <w:r/>
      <w:bookmarkStart w:id="123" w:name="_Toc16938541"/>
      <w:r>
        <w:rPr>
          <w:rFonts w:hint="eastAsia" w:ascii="方正仿宋_GBK" w:hAnsi="方正仿宋_GBK" w:eastAsia="方正仿宋_GBK" w:cs="方正仿宋_GBK"/>
          <w:bCs/>
          <w:sz w:val="28"/>
          <w:szCs w:val="28"/>
          <w:highlight w:val="none"/>
        </w:rPr>
        <w:t xml:space="preserve">17.电子投标文件</w:t>
      </w:r>
      <w:bookmarkEnd w:id="120"/>
      <w:r/>
      <w:bookmarkEnd w:id="121"/>
      <w:r/>
      <w:bookmarkEnd w:id="122"/>
      <w:r/>
      <w:bookmarkEnd w:id="123"/>
      <w:r>
        <w:rPr>
          <w:rFonts w:hint="eastAsia" w:ascii="方正仿宋_GBK" w:hAnsi="方正仿宋_GBK" w:eastAsia="方正仿宋_GBK" w:cs="方正仿宋_GBK"/>
          <w:bCs/>
          <w:sz w:val="28"/>
          <w:szCs w:val="28"/>
          <w:highlight w:val="none"/>
        </w:rPr>
        <w:t xml:space="preserve">的递交</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17.1投标人应当按照《操作手册》规定，在投标截止时间前制作并上传电子投标文件。</w:t>
      </w:r>
      <w:bookmarkStart w:id="124" w:name="_Toc20823298"/>
      <w:r/>
      <w:bookmarkStart w:id="125" w:name="_Toc16938542"/>
      <w:r/>
      <w:bookmarkStart w:id="126" w:name="_Toc513029226"/>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18.投标截止日期</w:t>
      </w:r>
      <w:bookmarkEnd w:id="124"/>
      <w:r/>
      <w:bookmarkEnd w:id="125"/>
      <w:r/>
      <w:bookmarkEnd w:id="126"/>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27" w:name="_Toc16938543"/>
      <w:r/>
      <w:bookmarkStart w:id="128" w:name="_Toc513029227"/>
      <w:r/>
      <w:bookmarkStart w:id="129" w:name="_Toc20823299"/>
      <w:r>
        <w:rPr>
          <w:rFonts w:hint="eastAsia" w:ascii="方正仿宋_GBK" w:hAnsi="方正仿宋_GBK" w:eastAsia="方正仿宋_GBK" w:cs="方正仿宋_GBK"/>
          <w:bCs/>
          <w:sz w:val="28"/>
          <w:szCs w:val="28"/>
          <w:highlight w:val="none"/>
        </w:rPr>
        <w:t xml:space="preserve">19.投标文件</w:t>
      </w:r>
      <w:bookmarkEnd w:id="127"/>
      <w:r/>
      <w:bookmarkEnd w:id="128"/>
      <w:r/>
      <w:bookmarkEnd w:id="129"/>
      <w:r>
        <w:rPr>
          <w:rFonts w:hint="eastAsia" w:ascii="方正仿宋_GBK" w:hAnsi="方正仿宋_GBK" w:eastAsia="方正仿宋_GBK" w:cs="方正仿宋_GBK"/>
          <w:bCs/>
          <w:sz w:val="28"/>
          <w:szCs w:val="28"/>
          <w:highlight w:val="none"/>
        </w:rPr>
        <w:t xml:space="preserve">的拒收</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30" w:name="_Toc513029228"/>
      <w:r/>
      <w:bookmarkStart w:id="131" w:name="_Toc20823300"/>
      <w:r/>
      <w:bookmarkStart w:id="132" w:name="_Toc16938544"/>
      <w:r>
        <w:rPr>
          <w:rFonts w:hint="eastAsia" w:ascii="方正仿宋_GBK" w:hAnsi="方正仿宋_GBK" w:eastAsia="方正仿宋_GBK" w:cs="方正仿宋_GBK"/>
          <w:bCs/>
          <w:sz w:val="28"/>
          <w:szCs w:val="28"/>
          <w:highlight w:val="none"/>
        </w:rPr>
        <w:t xml:space="preserve">20.投标文件的撤回和修改</w:t>
      </w:r>
      <w:bookmarkEnd w:id="130"/>
      <w:r/>
      <w:bookmarkEnd w:id="131"/>
      <w:r/>
      <w:bookmarkEnd w:id="132"/>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 投标文件的撤回</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电子投标文件的撤回</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 投标人撤回电子投标文件，则认为其不再参与本项目投标活动。</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 投标文件的修改</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20.2.2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133" w:name="_Toc16938545"/>
      <w:r/>
      <w:bookmarkStart w:id="134" w:name="_Toc513029229"/>
      <w:r/>
      <w:bookmarkStart w:id="135" w:name="_Toc20823301"/>
      <w:r/>
      <w:bookmarkStart w:id="136" w:name="_Toc120614218"/>
      <w:r>
        <w:rPr>
          <w:rFonts w:hint="eastAsia" w:ascii="方正黑体_GBK" w:hAnsi="方正黑体_GBK" w:eastAsia="方正黑体_GBK" w:cs="方正黑体_GBK"/>
          <w:color w:val="000000"/>
          <w:sz w:val="28"/>
          <w:szCs w:val="28"/>
          <w:highlight w:val="none"/>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37" w:name="_Toc20823302"/>
      <w:r/>
      <w:bookmarkStart w:id="138" w:name="_Toc16938546"/>
      <w:r/>
      <w:bookmarkStart w:id="139" w:name="_Toc513029230"/>
      <w:r>
        <w:rPr>
          <w:rFonts w:hint="eastAsia" w:ascii="方正仿宋_GBK" w:hAnsi="方正仿宋_GBK" w:eastAsia="方正仿宋_GBK" w:cs="方正仿宋_GBK"/>
          <w:bCs/>
          <w:sz w:val="28"/>
          <w:szCs w:val="28"/>
          <w:highlight w:val="none"/>
        </w:rPr>
        <w:t xml:space="preserve">21.开标</w:t>
      </w:r>
      <w:bookmarkEnd w:id="137"/>
      <w:r/>
      <w:bookmarkEnd w:id="138"/>
      <w:r/>
      <w:bookmarkEnd w:id="139"/>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40" w:name="_Toc16938547"/>
      <w:r/>
      <w:bookmarkStart w:id="141" w:name="_Toc20823303"/>
      <w:r/>
      <w:bookmarkStart w:id="142" w:name="_Toc513029231"/>
      <w:r>
        <w:rPr>
          <w:rFonts w:hint="eastAsia" w:ascii="方正仿宋_GBK" w:hAnsi="方正仿宋_GBK" w:eastAsia="方正仿宋_GBK" w:cs="方正仿宋_GBK"/>
          <w:bCs/>
          <w:sz w:val="28"/>
          <w:szCs w:val="28"/>
          <w:highlight w:val="none"/>
        </w:rPr>
        <w:t xml:space="preserve">22.评标委员会</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 开标后，采购中心将立即组织评标委员会进行评标。</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22.3评标委员会独立工作，负责评审所有投标文件并确定中标候选人。</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23.评标过程的保密与公正</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End w:id="140"/>
      <w:r/>
      <w:bookmarkEnd w:id="141"/>
      <w:r/>
      <w:bookmarkEnd w:id="142"/>
      <w:r>
        <w:rPr>
          <w:rFonts w:hint="eastAsia" w:ascii="方正仿宋_GBK" w:hAnsi="方正仿宋_GBK" w:eastAsia="方正仿宋_GBK" w:cs="方正仿宋_GBK"/>
          <w:bCs/>
          <w:sz w:val="28"/>
          <w:szCs w:val="28"/>
          <w:highlight w:val="none"/>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43" w:name="_Toc20823304"/>
      <w:r/>
      <w:bookmarkStart w:id="144" w:name="_Toc513029232"/>
      <w:r/>
      <w:bookmarkStart w:id="145" w:name="_Toc16938548"/>
      <w:r>
        <w:rPr>
          <w:rFonts w:hint="eastAsia" w:ascii="方正仿宋_GBK" w:hAnsi="方正仿宋_GBK" w:eastAsia="方正仿宋_GBK" w:cs="方正仿宋_GBK"/>
          <w:bCs/>
          <w:sz w:val="28"/>
          <w:szCs w:val="28"/>
          <w:highlight w:val="none"/>
        </w:rPr>
        <w:t xml:space="preserve">24.投标文件的澄清</w:t>
      </w:r>
      <w:bookmarkEnd w:id="143"/>
      <w:r/>
      <w:bookmarkEnd w:id="144"/>
      <w:r/>
      <w:bookmarkEnd w:id="145"/>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46" w:name="_Toc20823305"/>
      <w:r/>
      <w:bookmarkStart w:id="147" w:name="_Toc513029233"/>
      <w:r/>
      <w:bookmarkStart w:id="148" w:name="_Toc16938549"/>
      <w:r>
        <w:rPr>
          <w:rFonts w:hint="eastAsia" w:ascii="方正仿宋_GBK" w:hAnsi="方正仿宋_GBK" w:eastAsia="方正仿宋_GBK" w:cs="方正仿宋_GBK"/>
          <w:bCs/>
          <w:sz w:val="28"/>
          <w:szCs w:val="28"/>
          <w:highlight w:val="none"/>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评标委员会并非对每个投标人都做澄清要求。</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25.对投标文件的初审</w:t>
      </w:r>
      <w:bookmarkEnd w:id="146"/>
      <w:r/>
      <w:bookmarkEnd w:id="147"/>
      <w:r/>
      <w:bookmarkEnd w:id="148"/>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25.1投标文件初审分为资格审查和符合性审查。</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采购人在进行资格性审查的同时，将在“信用中国”网站（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（2）大写金额和小写金额不一致的，以大写金额为准。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同时出现两种以上错误的，按照前款规定的顺序修正。</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bookmarkStart w:id="149" w:name="_Toc513029234"/>
      <w:r/>
      <w:bookmarkStart w:id="150" w:name="_Toc20823306"/>
      <w:r/>
      <w:bookmarkStart w:id="151" w:name="_Toc16938550"/>
      <w:r>
        <w:rPr>
          <w:rFonts w:hint="eastAsia" w:ascii="方正仿宋_GBK" w:hAnsi="方正仿宋_GBK" w:eastAsia="方正仿宋_GBK" w:cs="方正仿宋_GBK"/>
          <w:bCs/>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 异常低价投标审查</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（3）投标报价低于采购项目最高限价45%的，即投标报价&lt;采购项目最高限价×45%；</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highlight w:val="none"/>
        </w:rPr>
      </w:r>
      <w:r/>
    </w:p>
    <w:p>
      <w:pPr>
        <w:pStyle w:val="951"/>
        <w:ind w:firstLine="560"/>
        <w:spacing w:line="46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highlight w:val="none"/>
        </w:rPr>
      </w:r>
      <w:r/>
    </w:p>
    <w:p>
      <w:pPr>
        <w:pStyle w:val="951"/>
        <w:ind w:firstLine="560"/>
        <w:keepLines/>
        <w:keepNext/>
        <w:spacing w:line="460" w:lineRule="exact"/>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w:t>
      </w:r>
      <w:bookmarkEnd w:id="149"/>
      <w:r/>
      <w:bookmarkEnd w:id="150"/>
      <w:r/>
      <w:bookmarkEnd w:id="151"/>
      <w:r>
        <w:rPr>
          <w:rFonts w:hint="eastAsia" w:ascii="方正仿宋_GBK" w:hAnsi="方正仿宋_GBK" w:eastAsia="方正仿宋_GBK" w:cs="方正仿宋_GBK"/>
          <w:sz w:val="28"/>
          <w:szCs w:val="28"/>
          <w:highlight w:val="none"/>
        </w:rPr>
        <w:t xml:space="preserve">6.无效投标条款和废标条款</w:t>
      </w:r>
      <w:bookmarkStart w:id="152" w:name="_Toc513029235"/>
      <w:r/>
      <w:bookmarkStart w:id="153" w:name="_Toc16938551"/>
      <w:r/>
      <w:bookmarkStart w:id="154" w:name="_Toc20823307"/>
      <w:r>
        <w:rPr>
          <w:rFonts w:hint="eastAsia" w:ascii="方正仿宋_GBK" w:hAnsi="方正仿宋_GBK" w:eastAsia="方正仿宋_GBK" w:cs="方正仿宋_GBK"/>
          <w:sz w:val="28"/>
          <w:szCs w:val="28"/>
          <w:highlight w:val="none"/>
        </w:rPr>
      </w:r>
      <w:r/>
    </w:p>
    <w:p>
      <w:pPr>
        <w:pStyle w:val="951"/>
        <w:ind w:firstLine="560"/>
        <w:keepLines/>
        <w:keepNext/>
        <w:spacing w:line="460" w:lineRule="exact"/>
        <w:rPr>
          <w:rFonts w:hint="eastAsia" w:ascii="方正仿宋_GBK" w:hAnsi="方正仿宋_GBK" w:eastAsia="方正仿宋_GBK" w:cs="方正仿宋_GBK"/>
          <w:bCs/>
          <w:sz w:val="28"/>
          <w:szCs w:val="28"/>
          <w:highlight w:val="none"/>
        </w:rPr>
        <w:outlineLvl w:val="3"/>
      </w:pPr>
      <w:r>
        <w:rPr>
          <w:rFonts w:hint="eastAsia" w:ascii="方正仿宋_GBK" w:hAnsi="方正仿宋_GBK" w:eastAsia="方正仿宋_GBK" w:cs="方正仿宋_GBK"/>
          <w:bCs/>
          <w:sz w:val="28"/>
          <w:szCs w:val="28"/>
          <w:highlight w:val="none"/>
        </w:rPr>
        <w:t xml:space="preserve">26.1无效投标条款</w:t>
      </w:r>
      <w:r>
        <w:rPr>
          <w:rFonts w:hint="eastAsia" w:ascii="方正仿宋_GBK" w:hAnsi="方正仿宋_GBK" w:eastAsia="方正仿宋_GBK" w:cs="方正仿宋_GBK"/>
          <w:bCs/>
          <w:sz w:val="28"/>
          <w:szCs w:val="28"/>
          <w:highlight w:val="none"/>
        </w:rPr>
      </w:r>
      <w:r/>
    </w:p>
    <w:p>
      <w:pPr>
        <w:pStyle w:val="951"/>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26.1.1 投标人在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规定的时间内未成功解密电子投标文件的。</w:t>
      </w:r>
      <w:r>
        <w:rPr>
          <w:rFonts w:hint="eastAsia" w:ascii="方正仿宋_GBK" w:hAnsi="方正仿宋_GBK" w:eastAsia="方正仿宋_GBK" w:cs="方正仿宋_GBK"/>
          <w:bCs/>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26.1.2 投标人未按照招标文件</w:t>
      </w:r>
      <w:r>
        <w:rPr>
          <w:rFonts w:hint="eastAsia" w:ascii="方正仿宋_GBK" w:hAnsi="方正仿宋_GBK" w:eastAsia="方正仿宋_GBK" w:cs="方正仿宋_GBK"/>
          <w:bCs/>
          <w:color w:val="000000"/>
          <w:sz w:val="28"/>
          <w:szCs w:val="28"/>
          <w:highlight w:val="none"/>
        </w:rPr>
        <w:t xml:space="preserve">要求上传电子投标文件的。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.1.3 投标人</w:t>
      </w:r>
      <w:r>
        <w:rPr>
          <w:rFonts w:hint="eastAsia" w:ascii="方正仿宋_GBK" w:hAnsi="方正仿宋_GBK" w:eastAsia="方正仿宋_GBK" w:cs="方正仿宋_GBK"/>
          <w:bCs/>
          <w:sz w:val="28"/>
          <w:szCs w:val="28"/>
          <w:highlight w:val="none"/>
        </w:rPr>
        <w:t xml:space="preserve">同一采购包提</w:t>
      </w:r>
      <w:r>
        <w:rPr>
          <w:rFonts w:hint="eastAsia" w:ascii="方正仿宋_GBK" w:hAnsi="方正仿宋_GBK" w:eastAsia="方正仿宋_GBK" w:cs="方正仿宋_GBK"/>
          <w:bCs/>
          <w:color w:val="000000"/>
          <w:sz w:val="28"/>
          <w:szCs w:val="28"/>
          <w:highlight w:val="none"/>
        </w:rPr>
        <w:t xml:space="preserve">交两个（含两个）以上不同的投标报价的。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.1.4投标人不具备招标文件中规定资格要求的。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.1.5投标人的报价超过了采购预算或最高限价的。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.1.6未通过符合性审查的。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Cs/>
          <w:i/>
          <w:color w:val="000000"/>
          <w:sz w:val="28"/>
          <w:szCs w:val="28"/>
          <w:highlight w:val="none"/>
          <w:u w:val="singl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.1.8 投标人被 “信用中国”网站（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.1.9 投标文件含有采购人不能接受的附加条件的。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rPr>
      </w:r>
      <w:r/>
    </w:p>
    <w:p>
      <w:pPr>
        <w:pStyle w:val="951"/>
        <w:ind w:firstLine="56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.1.12 投标文件未按照招标文件要求加盖CA电子公章的。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26.1.13 投标人所投标产品不符合招标文件中所列国家强制性标准的。</w:t>
      </w:r>
      <w:r>
        <w:rPr>
          <w:rFonts w:hint="eastAsia" w:ascii="方正仿宋_GBK" w:hAnsi="方正仿宋_GBK" w:eastAsia="方正仿宋_GBK" w:cs="方正仿宋_GBK"/>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.1.14其他法律、法规及本招标文件规定的属无效投标的情形。</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.2废标条款 </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.2.3因重大变故，采购任务取消的。</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26.2</w:t>
      </w:r>
      <w:r>
        <w:rPr>
          <w:rFonts w:hint="eastAsia" w:ascii="方正仿宋_GBK" w:hAnsi="方正仿宋_GBK" w:eastAsia="方正仿宋_GBK" w:cs="方正仿宋_GBK"/>
          <w:bCs/>
          <w:sz w:val="28"/>
          <w:szCs w:val="28"/>
          <w:highlight w:val="none"/>
        </w:rPr>
        <w:t xml:space="preserve">.5 因</w:t>
      </w:r>
      <w:r>
        <w:rPr>
          <w:rFonts w:hint="eastAsia" w:ascii="方正仿宋_GBK" w:hAnsi="方正仿宋_GBK" w:eastAsia="方正仿宋_GBK" w:cs="方正仿宋_GBK"/>
          <w:sz w:val="28"/>
          <w:szCs w:val="28"/>
          <w:highlight w:val="none"/>
        </w:rPr>
        <w:t xml:space="preserve">苏采云</w:t>
      </w:r>
      <w:r>
        <w:rPr>
          <w:rFonts w:hint="eastAsia" w:ascii="方正仿宋_GBK" w:hAnsi="方正仿宋_GBK" w:eastAsia="方正仿宋_GBK" w:cs="方正仿宋_GBK"/>
          <w:bCs/>
          <w:sz w:val="28"/>
          <w:szCs w:val="28"/>
          <w:highlight w:val="none"/>
        </w:rPr>
        <w:t xml:space="preserve">系统故障原因造成开标不成功的。  </w:t>
      </w:r>
      <w:r>
        <w:rPr>
          <w:rFonts w:hint="eastAsia" w:ascii="方正仿宋_GBK" w:hAnsi="方正仿宋_GBK" w:eastAsia="方正仿宋_GBK" w:cs="方正仿宋_GBK"/>
          <w:bCs/>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26.3 投标截止时间结束后</w:t>
      </w:r>
      <w:r>
        <w:rPr>
          <w:rFonts w:hint="eastAsia" w:ascii="方正仿宋_GBK" w:hAnsi="方正仿宋_GBK" w:eastAsia="方正仿宋_GBK" w:cs="方正仿宋_GBK"/>
          <w:bCs/>
          <w:color w:val="000000"/>
          <w:sz w:val="28"/>
          <w:szCs w:val="28"/>
          <w:highlight w:val="none"/>
        </w:rPr>
        <w:t xml:space="preserve">参加投标的供应商不足三家的处理：</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155" w:name="_Toc120614219"/>
      <w:r>
        <w:rPr>
          <w:rFonts w:hint="eastAsia" w:ascii="方正黑体_GBK" w:hAnsi="方正黑体_GBK" w:eastAsia="方正黑体_GBK" w:cs="方正黑体_GBK"/>
          <w:color w:val="000000"/>
          <w:sz w:val="28"/>
          <w:szCs w:val="28"/>
          <w:highlight w:val="none"/>
        </w:rPr>
        <w:t xml:space="preserve">六、</w:t>
      </w:r>
      <w:bookmarkEnd w:id="152"/>
      <w:r/>
      <w:bookmarkEnd w:id="153"/>
      <w:r/>
      <w:bookmarkEnd w:id="154"/>
      <w:r>
        <w:rPr>
          <w:rFonts w:hint="eastAsia" w:ascii="方正黑体_GBK" w:hAnsi="方正黑体_GBK" w:eastAsia="方正黑体_GBK" w:cs="方正黑体_GBK"/>
          <w:color w:val="000000"/>
          <w:sz w:val="28"/>
          <w:szCs w:val="28"/>
          <w:highlight w:val="none"/>
        </w:rPr>
        <w:t xml:space="preserve">定标</w:t>
      </w:r>
      <w:bookmarkEnd w:id="155"/>
      <w:r>
        <w:rPr>
          <w:rFonts w:hint="eastAsia" w:ascii="方正黑体_GBK" w:hAnsi="方正黑体_GBK" w:eastAsia="方正黑体_GBK" w:cs="方正黑体_GBK"/>
          <w:color w:val="000000"/>
          <w:sz w:val="28"/>
          <w:szCs w:val="28"/>
          <w:highlight w:val="none"/>
        </w:rPr>
      </w:r>
      <w:r/>
    </w:p>
    <w:p>
      <w:pPr>
        <w:pStyle w:val="951"/>
        <w:ind w:firstLine="560"/>
        <w:keepLines/>
        <w:keepNext/>
        <w:spacing w:line="460" w:lineRule="exact"/>
        <w:rPr>
          <w:rFonts w:hint="eastAsia" w:ascii="方正仿宋_GBK" w:hAnsi="方正仿宋_GBK" w:eastAsia="方正仿宋_GBK" w:cs="方正仿宋_GBK"/>
          <w:bCs/>
          <w:color w:val="000000"/>
          <w:sz w:val="28"/>
          <w:szCs w:val="28"/>
          <w:highlight w:val="none"/>
        </w:rPr>
        <w:outlineLvl w:val="3"/>
      </w:pPr>
      <w:r/>
      <w:bookmarkStart w:id="156" w:name="_Toc513029238"/>
      <w:r/>
      <w:bookmarkStart w:id="157" w:name="_Toc16938554"/>
      <w:r/>
      <w:bookmarkStart w:id="158" w:name="_Toc20823310"/>
      <w:r>
        <w:rPr>
          <w:rFonts w:hint="eastAsia" w:ascii="方正仿宋_GBK" w:hAnsi="方正仿宋_GBK" w:eastAsia="方正仿宋_GBK" w:cs="方正仿宋_GBK"/>
          <w:bCs/>
          <w:color w:val="000000"/>
          <w:sz w:val="28"/>
          <w:szCs w:val="28"/>
          <w:highlight w:val="none"/>
        </w:rPr>
        <w:t xml:space="preserve">27</w:t>
      </w:r>
      <w:bookmarkEnd w:id="156"/>
      <w:r>
        <w:rPr>
          <w:rFonts w:hint="eastAsia" w:ascii="方正仿宋_GBK" w:hAnsi="方正仿宋_GBK" w:eastAsia="方正仿宋_GBK" w:cs="方正仿宋_GBK"/>
          <w:bCs/>
          <w:color w:val="000000"/>
          <w:sz w:val="28"/>
          <w:szCs w:val="28"/>
          <w:highlight w:val="none"/>
        </w:rPr>
        <w:t xml:space="preserve">.确定</w:t>
      </w:r>
      <w:bookmarkEnd w:id="157"/>
      <w:r/>
      <w:bookmarkEnd w:id="158"/>
      <w:r>
        <w:rPr>
          <w:rFonts w:hint="eastAsia" w:ascii="方正仿宋_GBK" w:hAnsi="方正仿宋_GBK" w:eastAsia="方正仿宋_GBK" w:cs="方正仿宋_GBK"/>
          <w:bCs/>
          <w:color w:val="000000"/>
          <w:sz w:val="28"/>
          <w:szCs w:val="28"/>
          <w:highlight w:val="none"/>
        </w:rPr>
        <w:t xml:space="preserve">中标单位</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bookmarkStart w:id="159" w:name="_Toc200451960"/>
      <w:r>
        <w:rPr>
          <w:rFonts w:hint="eastAsia" w:ascii="方正仿宋_GBK" w:hAnsi="方正仿宋_GBK" w:eastAsia="方正仿宋_GBK" w:cs="方正仿宋_GBK"/>
          <w:color w:val="000000"/>
          <w:sz w:val="28"/>
          <w:szCs w:val="28"/>
          <w:highlight w:val="none"/>
        </w:rPr>
        <w:t xml:space="preserve">27.5 </w:t>
      </w:r>
      <w:r>
        <w:rPr>
          <w:rFonts w:hint="eastAsia" w:ascii="方正仿宋_GBK" w:hAnsi="方正仿宋_GBK" w:eastAsia="方正仿宋_GBK" w:cs="方正仿宋_GBK"/>
          <w:color w:val="000000"/>
          <w:sz w:val="28"/>
          <w:szCs w:val="28"/>
          <w:highlight w:val="none"/>
        </w:rPr>
        <w:t xml:space="preserve">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28.质疑处理</w:t>
      </w:r>
      <w:bookmarkEnd w:id="159"/>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29.中标通知书</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51"/>
        <w:ind w:firstLine="560"/>
        <w:jc w:val="left"/>
        <w:keepNext/>
        <w:spacing w:line="460" w:lineRule="exact"/>
        <w:rPr>
          <w:rFonts w:hint="eastAsia" w:ascii="方正黑体_GBK" w:hAnsi="方正黑体_GBK" w:eastAsia="方正黑体_GBK" w:cs="方正黑体_GBK"/>
          <w:color w:val="000000"/>
          <w:sz w:val="28"/>
          <w:szCs w:val="28"/>
          <w:highlight w:val="none"/>
        </w:rPr>
        <w:outlineLvl w:val="0"/>
      </w:pPr>
      <w:r/>
      <w:bookmarkStart w:id="160" w:name="_Toc120614220"/>
      <w:r/>
      <w:bookmarkStart w:id="161" w:name="_Toc513029236"/>
      <w:r/>
      <w:bookmarkStart w:id="162" w:name="_Toc20823308"/>
      <w:r/>
      <w:bookmarkStart w:id="163" w:name="_Toc16938552"/>
      <w:r>
        <w:rPr>
          <w:rFonts w:hint="eastAsia" w:ascii="方正黑体_GBK" w:hAnsi="方正黑体_GBK" w:eastAsia="方正黑体_GBK" w:cs="方正黑体_GBK"/>
          <w:color w:val="000000"/>
          <w:sz w:val="28"/>
          <w:szCs w:val="28"/>
          <w:highlight w:val="none"/>
        </w:rPr>
        <w:t xml:space="preserve">七、授予合同</w:t>
      </w:r>
      <w:bookmarkEnd w:id="160"/>
      <w:r>
        <w:rPr>
          <w:rFonts w:hint="eastAsia" w:ascii="方正黑体_GBK" w:hAnsi="方正黑体_GBK" w:eastAsia="方正黑体_GBK" w:cs="方正黑体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bookmarkEnd w:id="161"/>
      <w:r/>
      <w:bookmarkEnd w:id="162"/>
      <w:r/>
      <w:bookmarkEnd w:id="163"/>
      <w:r/>
      <w:bookmarkStart w:id="164" w:name="_Toc16938553"/>
      <w:r/>
      <w:bookmarkStart w:id="165" w:name="_Toc20823309"/>
      <w:r/>
      <w:bookmarkStart w:id="166" w:name="_Toc513029237"/>
      <w:r>
        <w:rPr>
          <w:rFonts w:hint="eastAsia" w:ascii="方正仿宋_GBK" w:hAnsi="方正仿宋_GBK" w:eastAsia="方正仿宋_GBK" w:cs="方正仿宋_GBK"/>
          <w:color w:val="000000"/>
          <w:sz w:val="28"/>
          <w:szCs w:val="28"/>
          <w:highlight w:val="none"/>
        </w:rPr>
        <w:t xml:space="preserve">30.签订合同</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31.货物（包含与货物相关的服务）的追加</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bookmarkEnd w:id="164"/>
      <w:r/>
      <w:bookmarkEnd w:id="165"/>
      <w:r/>
      <w:bookmarkEnd w:id="166"/>
      <w:r/>
      <w:bookmarkStart w:id="167" w:name="_Toc16938558"/>
      <w:r/>
      <w:bookmarkStart w:id="168" w:name="_Toc120614221"/>
      <w:r/>
      <w:bookmarkStart w:id="169" w:name="_Toc513029242"/>
      <w:r/>
      <w:bookmarkStart w:id="170" w:name="_Toc479757207"/>
      <w:r/>
      <w:bookmarkStart w:id="171" w:name="_Toc20823314"/>
      <w:r>
        <w:rPr>
          <w:rFonts w:hint="eastAsia" w:ascii="方正仿宋_GBK" w:hAnsi="方正仿宋_GBK" w:eastAsia="方正仿宋_GBK" w:cs="方正仿宋_GBK"/>
          <w:color w:val="000000"/>
          <w:sz w:val="28"/>
          <w:szCs w:val="28"/>
          <w:highlight w:val="none"/>
        </w:rPr>
        <w:t xml:space="preserve">32.政府采购履约资金扶持政策</w:t>
      </w:r>
      <w:r>
        <w:rPr>
          <w:rFonts w:hint="eastAsia" w:ascii="方正仿宋_GBK" w:hAnsi="方正仿宋_GBK" w:eastAsia="方正仿宋_GBK" w:cs="方正仿宋_GBK"/>
          <w:color w:val="000000"/>
          <w:sz w:val="28"/>
          <w:szCs w:val="28"/>
          <w:highlight w:val="none"/>
        </w:rPr>
      </w:r>
      <w:r/>
    </w:p>
    <w:p>
      <w:pPr>
        <w:pStyle w:val="951"/>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51"/>
        <w:ind w:firstLine="420"/>
        <w:spacing w:line="400" w:lineRule="exact"/>
        <w:rPr>
          <w:rFonts w:hint="eastAsia"/>
          <w:color w:val="000000"/>
          <w:szCs w:val="21"/>
          <w:highlight w:val="none"/>
        </w:rPr>
      </w:pPr>
      <w:r>
        <w:rPr>
          <w:rFonts w:hint="eastAsia"/>
          <w:color w:val="000000"/>
          <w:szCs w:val="21"/>
          <w:highlight w:val="none"/>
        </w:rPr>
      </w:r>
      <w:r/>
    </w:p>
    <w:p>
      <w:pPr>
        <w:pStyle w:val="95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1"/>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1"/>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1"/>
        <w:ind w:firstLine="2240"/>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32"/>
          <w:szCs w:val="32"/>
          <w:highlight w:val="none"/>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32"/>
          <w:szCs w:val="32"/>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51"/>
        <w:spacing w:line="400" w:lineRule="exact"/>
        <w:rPr>
          <w:rFonts w:ascii="宋体" w:hAnsi="宋体"/>
          <w:bCs/>
          <w:color w:val="ff0000"/>
          <w:sz w:val="28"/>
          <w:szCs w:val="28"/>
          <w:highlight w:val="none"/>
        </w:rPr>
      </w:pPr>
      <w:r/>
      <w:bookmarkStart w:id="172" w:name="_Toc16938559"/>
      <w:r/>
      <w:bookmarkStart w:id="173" w:name="_Toc513029243"/>
      <w:r/>
      <w:bookmarkStart w:id="174" w:name="_Toc3995"/>
      <w:r/>
      <w:bookmarkStart w:id="175" w:name="_Toc20823315"/>
      <w:r/>
      <w:bookmarkStart w:id="176" w:name="_Hlt16619350"/>
      <w:r/>
      <w:bookmarkStart w:id="177" w:name="_Toc120614244"/>
      <w:r/>
      <w:bookmarkStart w:id="178" w:name="_Toc20823346"/>
      <w:r/>
      <w:bookmarkStart w:id="179" w:name="_Toc16938590"/>
      <w:r/>
      <w:bookmarkStart w:id="180" w:name="_Toc479757211"/>
      <w:r/>
      <w:bookmarkStart w:id="181" w:name="_Toc462564139"/>
      <w:r>
        <w:rPr>
          <w:rFonts w:ascii="宋体" w:hAnsi="宋体"/>
          <w:bCs/>
          <w:color w:val="ff0000"/>
          <w:sz w:val="28"/>
          <w:szCs w:val="28"/>
          <w:highlight w:val="none"/>
        </w:rPr>
      </w:r>
      <w:r/>
    </w:p>
    <w:p>
      <w:pPr>
        <w:pStyle w:val="951"/>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82"/>
        <w:jc w:val="center"/>
        <w:rPr>
          <w:rFonts w:ascii="宋体" w:hAnsi="宋体" w:eastAsia="宋体" w:cs="宋体"/>
          <w:b/>
          <w:bCs/>
          <w:spacing w:val="-20"/>
          <w:highlight w:val="none"/>
        </w:rPr>
      </w:pPr>
      <w:r/>
      <w:bookmarkEnd w:id="172"/>
      <w:r/>
      <w:bookmarkEnd w:id="173"/>
      <w:r/>
      <w:bookmarkEnd w:id="174"/>
      <w:r/>
      <w:bookmarkEnd w:id="175"/>
      <w:r>
        <w:rPr>
          <w:rFonts w:ascii="宋体" w:hAnsi="宋体" w:eastAsia="宋体" w:cs="宋体"/>
          <w:b/>
          <w:bCs/>
          <w:spacing w:val="-20"/>
          <w:highlight w:val="none"/>
        </w:rPr>
      </w:r>
      <w:r/>
    </w:p>
    <w:p>
      <w:pPr>
        <w:pStyle w:val="982"/>
        <w:jc w:val="center"/>
        <w:rPr>
          <w:rFonts w:ascii="宋体" w:hAnsi="宋体" w:eastAsia="宋体" w:cs="宋体"/>
          <w:spacing w:val="-20"/>
          <w:highlight w:val="none"/>
        </w:rPr>
      </w:pPr>
      <w:r>
        <w:rPr>
          <w:rFonts w:ascii="宋体" w:hAnsi="宋体" w:eastAsia="宋体" w:cs="宋体"/>
          <w:spacing w:val="-20"/>
          <w:highlight w:val="none"/>
        </w:rPr>
      </w:r>
      <w:r/>
    </w:p>
    <w:p>
      <w:pPr>
        <w:pStyle w:val="982"/>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财政部 政府采购货物买卖合同（试行）</w:t>
      </w:r>
      <w:r>
        <w:rPr>
          <w:rFonts w:hint="eastAsia" w:ascii="方正黑体_GBK" w:hAnsi="方正黑体_GBK" w:eastAsia="方正黑体_GBK" w:cs="方正黑体_GBK"/>
          <w:spacing w:val="-20"/>
          <w:highlight w:val="none"/>
        </w:rPr>
      </w:r>
      <w:r/>
    </w:p>
    <w:p>
      <w:pPr>
        <w:pStyle w:val="982"/>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范    本</w:t>
      </w:r>
      <w:r>
        <w:rPr>
          <w:rFonts w:hint="eastAsia" w:ascii="方正黑体_GBK" w:hAnsi="方正黑体_GBK" w:eastAsia="方正黑体_GBK" w:cs="方正黑体_GBK"/>
          <w:spacing w:val="-20"/>
          <w:highlight w:val="none"/>
        </w:rPr>
      </w:r>
      <w:r/>
    </w:p>
    <w:p>
      <w:pPr>
        <w:pStyle w:val="951"/>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1"/>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1"/>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1"/>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1"/>
        <w:ind w:left="42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51"/>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1"/>
        <w:ind w:left="42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51"/>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1"/>
        <w:rPr>
          <w:sz w:val="28"/>
          <w:szCs w:val="28"/>
          <w:highlight w:val="none"/>
        </w:rPr>
      </w:pPr>
      <w:r>
        <w:rPr>
          <w:sz w:val="28"/>
          <w:szCs w:val="28"/>
          <w:highlight w:val="none"/>
        </w:rPr>
      </w:r>
      <w:r/>
    </w:p>
    <w:p>
      <w:pPr>
        <w:pStyle w:val="951"/>
        <w:rPr>
          <w:rFonts w:eastAsia="黑体"/>
          <w:sz w:val="28"/>
          <w:szCs w:val="28"/>
          <w:highlight w:val="none"/>
        </w:rPr>
      </w:pPr>
      <w:r>
        <w:rPr>
          <w:rFonts w:eastAsia="黑体"/>
          <w:sz w:val="28"/>
          <w:szCs w:val="28"/>
          <w:highlight w:val="none"/>
        </w:rPr>
      </w:r>
      <w:r/>
    </w:p>
    <w:p>
      <w:pPr>
        <w:pStyle w:val="951"/>
        <w:rPr>
          <w:rFonts w:eastAsia="黑体"/>
          <w:sz w:val="28"/>
          <w:szCs w:val="28"/>
          <w:highlight w:val="none"/>
        </w:rPr>
      </w:pPr>
      <w:r>
        <w:rPr>
          <w:rFonts w:eastAsia="黑体"/>
          <w:sz w:val="28"/>
          <w:szCs w:val="28"/>
          <w:highlight w:val="none"/>
        </w:rPr>
      </w:r>
      <w:r/>
    </w:p>
    <w:p>
      <w:pPr>
        <w:pStyle w:val="951"/>
        <w:rPr>
          <w:rFonts w:eastAsia="黑体"/>
          <w:sz w:val="28"/>
          <w:szCs w:val="28"/>
          <w:highlight w:val="none"/>
        </w:rPr>
      </w:pPr>
      <w:r>
        <w:rPr>
          <w:rFonts w:eastAsia="黑体"/>
          <w:sz w:val="28"/>
          <w:szCs w:val="28"/>
          <w:highlight w:val="none"/>
        </w:rPr>
      </w:r>
      <w:r/>
    </w:p>
    <w:p>
      <w:pPr>
        <w:pStyle w:val="951"/>
        <w:rPr>
          <w:rFonts w:eastAsia="黑体"/>
          <w:sz w:val="28"/>
          <w:szCs w:val="28"/>
          <w:highlight w:val="none"/>
        </w:rPr>
      </w:pPr>
      <w:r>
        <w:rPr>
          <w:rFonts w:eastAsia="黑体"/>
          <w:sz w:val="28"/>
          <w:szCs w:val="28"/>
          <w:highlight w:val="none"/>
        </w:rPr>
      </w:r>
      <w:r/>
    </w:p>
    <w:p>
      <w:pPr>
        <w:pStyle w:val="951"/>
        <w:rPr>
          <w:rFonts w:eastAsia="黑体"/>
          <w:sz w:val="28"/>
          <w:szCs w:val="28"/>
          <w:highlight w:val="none"/>
        </w:rPr>
      </w:pPr>
      <w:r>
        <w:rPr>
          <w:rFonts w:eastAsia="黑体"/>
          <w:sz w:val="28"/>
          <w:szCs w:val="28"/>
          <w:highlight w:val="none"/>
        </w:rPr>
      </w:r>
      <w:r/>
    </w:p>
    <w:p>
      <w:pPr>
        <w:pStyle w:val="951"/>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br w:type="page" w:clear="all"/>
      </w:r>
      <w:r>
        <w:rPr>
          <w:rFonts w:hint="eastAsia" w:ascii="方正黑体_GBK" w:hAnsi="方正黑体_GBK" w:eastAsia="方正黑体_GBK" w:cs="方正黑体_GBK"/>
          <w:sz w:val="28"/>
          <w:szCs w:val="28"/>
          <w:highlight w:val="none"/>
        </w:rPr>
        <w:t xml:space="preserve">使 用 说 明</w:t>
      </w:r>
      <w:r>
        <w:rPr>
          <w:rFonts w:hint="eastAsia" w:ascii="方正黑体_GBK" w:hAnsi="方正黑体_GBK" w:eastAsia="方正黑体_GBK" w:cs="方正黑体_GBK"/>
          <w:sz w:val="28"/>
          <w:szCs w:val="28"/>
          <w:highlight w:val="none"/>
        </w:rPr>
      </w:r>
      <w:r/>
    </w:p>
    <w:p>
      <w:pPr>
        <w:pStyle w:val="951"/>
        <w:ind w:firstLine="560"/>
        <w:spacing w:line="40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51"/>
        <w:ind w:firstLine="560"/>
        <w:rPr>
          <w:rFonts w:eastAsia="黑体"/>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highlight w:val="none"/>
        </w:rPr>
      </w:r>
      <w:r/>
    </w:p>
    <w:p>
      <w:pPr>
        <w:pStyle w:val="953"/>
        <w:keepLines/>
        <w:keepNext/>
        <w:pageBreakBefore w:val="0"/>
        <w:spacing w:line="400" w:lineRule="exact"/>
        <w:widowControl w:val="off"/>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84"/>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highlight w:val="none"/>
        </w:rPr>
      </w:r>
      <w:r/>
    </w:p>
    <w:p>
      <w:pPr>
        <w:pStyle w:val="951"/>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1.</w:t>
      </w:r>
      <w:r>
        <w:rPr>
          <w:rFonts w:hint="eastAsia" w:ascii="方正仿宋_GBK" w:hAnsi="方正仿宋_GBK" w:eastAsia="方正仿宋_GBK" w:cs="方正仿宋_GBK"/>
          <w:b/>
          <w:sz w:val="28"/>
          <w:szCs w:val="28"/>
          <w:highlight w:val="none"/>
        </w:rPr>
        <w:t xml:space="preserve">项目信息</w:t>
      </w:r>
      <w:r>
        <w:rPr>
          <w:rFonts w:hint="eastAsia" w:ascii="方正仿宋_GBK" w:hAnsi="方正仿宋_GBK" w:eastAsia="方正仿宋_GBK" w:cs="方正仿宋_GBK"/>
          <w:b/>
          <w:sz w:val="28"/>
          <w:szCs w:val="28"/>
          <w:highlight w:val="none"/>
        </w:rPr>
      </w:r>
      <w:r/>
    </w:p>
    <w:p>
      <w:pPr>
        <w:pStyle w:val="984"/>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84"/>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w:t>
      </w:r>
      <w:r>
        <w:rPr>
          <w:rFonts w:hint="eastAsia" w:ascii="方正仿宋_GBK" w:hAnsi="方正仿宋_GBK" w:eastAsia="方正仿宋_GBK" w:cs="方正仿宋_GBK"/>
          <w:sz w:val="28"/>
          <w:szCs w:val="28"/>
          <w:highlight w:val="none"/>
          <w:lang w:eastAsia="zh-CN"/>
        </w:rPr>
        <w:t xml:space="preserve">项目编号</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84"/>
        <w:ind w:left="0" w:firstLine="560"/>
        <w:keepLines w:val="0"/>
        <w:keepNext w:val="0"/>
        <w:pageBreakBefore w:val="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lang w:val="en-US" w:eastAsia="zh-CN"/>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1060"/>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51"/>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是否涉及绿色产品：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60"/>
        <w:ind w:firstLine="560"/>
        <w:keepLines w:val="0"/>
        <w:keepNext w:val="0"/>
        <w:pageBreakBefore w:val="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1060"/>
        <w:ind w:firstLine="84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highlight w:val="none"/>
        </w:rPr>
      </w:r>
      <w:r/>
    </w:p>
    <w:p>
      <w:pPr>
        <w:pStyle w:val="951"/>
        <w:ind w:firstLine="84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rPr>
          <w:rFonts w:hint="eastAsia" w:ascii="方正仿宋_GBK" w:hAnsi="方正仿宋_GBK" w:eastAsia="方正仿宋_GBK" w:cs="方正仿宋_GBK"/>
          <w:sz w:val="28"/>
          <w:szCs w:val="28"/>
          <w:highlight w:val="none"/>
        </w:rPr>
      </w:r>
      <w:r/>
    </w:p>
    <w:p>
      <w:pPr>
        <w:pStyle w:val="951"/>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2.</w:t>
      </w:r>
      <w:r>
        <w:rPr>
          <w:rFonts w:hint="eastAsia" w:ascii="方正仿宋_GBK" w:hAnsi="方正仿宋_GBK" w:eastAsia="方正仿宋_GBK" w:cs="方正仿宋_GBK"/>
          <w:b/>
          <w:sz w:val="28"/>
          <w:szCs w:val="28"/>
          <w:highlight w:val="none"/>
        </w:rPr>
        <w:t xml:space="preserve">合同金额</w:t>
      </w:r>
      <w:r>
        <w:rPr>
          <w:rFonts w:hint="eastAsia" w:ascii="方正仿宋_GBK" w:hAnsi="方正仿宋_GBK" w:eastAsia="方正仿宋_GBK" w:cs="方正仿宋_GBK"/>
          <w:b/>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rPr>
          <w:rFonts w:hint="eastAsia" w:ascii="方正仿宋_GBK" w:hAnsi="方正仿宋_GBK" w:eastAsia="方正仿宋_GBK" w:cs="方正仿宋_GBK"/>
          <w:sz w:val="28"/>
          <w:szCs w:val="28"/>
          <w:highlight w:val="none"/>
        </w:rPr>
      </w:r>
      <w:r/>
    </w:p>
    <w:p>
      <w:pPr>
        <w:pStyle w:val="951"/>
        <w:numPr>
          <w:ilvl w:val="0"/>
          <w:numId w:val="0"/>
        </w:num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widowControl w:val="off"/>
        <w:rPr>
          <w:rFonts w:hint="eastAsia"/>
          <w:sz w:val="28"/>
          <w:szCs w:val="28"/>
          <w:highlight w:val="none"/>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rFonts w:hint="eastAsia"/>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（3）付款方式（按项目实际勾选填写）：</w:t>
      </w:r>
      <w:r>
        <w:rPr>
          <w:rFonts w:hint="eastAsia" w:ascii="方正仿宋_GBK" w:hAnsi="方正仿宋_GBK" w:eastAsia="方正仿宋_GBK" w:cs="方正仿宋_GBK"/>
          <w:sz w:val="28"/>
          <w:szCs w:val="28"/>
          <w:highlight w:val="none"/>
          <w:lang w:eastAsia="zh-CN"/>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（应明确一次性支付合同款项的条件）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highlight w:val="none"/>
        </w:rPr>
        <w:t xml:space="preserve">，其中涉及预付款的：</w:t>
      </w:r>
      <w:r>
        <w:rPr>
          <w:rFonts w:hint="eastAsia" w:ascii="方正仿宋_GBK" w:hAnsi="方正仿宋_GBK" w:eastAsia="方正仿宋_GBK" w:cs="方正仿宋_GBK"/>
          <w:sz w:val="28"/>
          <w:szCs w:val="28"/>
          <w:highlight w:val="none"/>
          <w:u w:val="single"/>
        </w:rPr>
        <w:t xml:space="preserve"> （应明确预付款的支付比例和支付条件）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      （应明确按照成本补偿方式的支付方式和支付条件）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      （应明确按照绩效激励方式的支付方式和支付条件）   </w:t>
      </w:r>
      <w:r>
        <w:rPr>
          <w:rFonts w:hint="eastAsia" w:ascii="方正仿宋_GBK" w:hAnsi="方正仿宋_GBK" w:eastAsia="方正仿宋_GBK" w:cs="方正仿宋_GBK"/>
          <w:sz w:val="28"/>
          <w:szCs w:val="28"/>
          <w:highlight w:val="none"/>
          <w:u w:val="singl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lang w:val="en-US" w:eastAsia="zh-CN"/>
        </w:rPr>
        <w:t xml:space="preserve">3.</w:t>
      </w:r>
      <w:r>
        <w:rPr>
          <w:rFonts w:hint="eastAsia" w:ascii="方正仿宋_GBK" w:hAnsi="方正仿宋_GBK" w:eastAsia="方正仿宋_GBK" w:cs="方正仿宋_GBK"/>
          <w:b/>
          <w:sz w:val="28"/>
          <w:szCs w:val="28"/>
          <w:highlight w:val="none"/>
        </w:rPr>
        <w:t xml:space="preserve">合同履行</w:t>
      </w:r>
      <w:r>
        <w:rPr>
          <w:rFonts w:hint="eastAsia" w:ascii="方正仿宋_GBK" w:hAnsi="方正仿宋_GBK" w:eastAsia="方正仿宋_GBK" w:cs="方正仿宋_GBK"/>
          <w:b/>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color w:val="0000ff"/>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宋体" w:hAnsi="宋体" w:cs="宋体"/>
          <w:sz w:val="28"/>
          <w:szCs w:val="28"/>
          <w:highlight w:val="none"/>
          <w:u w:val="single"/>
        </w:rPr>
        <w:t xml:space="preserve"> </w:t>
      </w:r>
      <w:r>
        <w:rPr>
          <w:rFonts w:ascii="宋体" w:hAnsi="宋体" w:cs="宋体"/>
          <w:sz w:val="28"/>
          <w:szCs w:val="28"/>
          <w:highlight w:val="none"/>
          <w:u w:val="singl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4.</w:t>
      </w:r>
      <w:r>
        <w:rPr>
          <w:rFonts w:hint="eastAsia" w:ascii="方正仿宋_GBK" w:hAnsi="方正仿宋_GBK" w:eastAsia="方正仿宋_GBK" w:cs="方正仿宋_GBK"/>
          <w:b/>
          <w:sz w:val="28"/>
          <w:szCs w:val="28"/>
          <w:highlight w:val="none"/>
        </w:rPr>
        <w:t xml:space="preserve">合同验收</w:t>
      </w:r>
      <w:r>
        <w:rPr>
          <w:rFonts w:hint="eastAsia" w:ascii="方正仿宋_GBK" w:hAnsi="方正仿宋_GBK" w:eastAsia="方正仿宋_GBK" w:cs="方正仿宋_GBK"/>
          <w:b/>
          <w:sz w:val="28"/>
          <w:szCs w:val="28"/>
          <w:highlight w:val="non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rPr>
          <w:rFonts w:hint="eastAsia" w:ascii="方正仿宋_GBK" w:hAnsi="方正仿宋_GBK" w:eastAsia="方正仿宋_GBK" w:cs="方正仿宋_GBK"/>
          <w:bCs/>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highlight w:val="none"/>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hint="eastAsia" w:ascii="方正仿宋_GBK" w:hAnsi="方正仿宋_GBK" w:eastAsia="方正仿宋_GBK" w:cs="方正仿宋_GBK"/>
          <w:bCs/>
          <w:sz w:val="28"/>
          <w:szCs w:val="28"/>
          <w:highlight w:val="none"/>
          <w:lang w:val="en-US" w:eastAsia="zh-CN"/>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rPr>
          <w:rFonts w:hint="eastAsia" w:ascii="方正仿宋_GBK" w:hAnsi="方正仿宋_GBK" w:eastAsia="方正仿宋_GBK" w:cs="方正仿宋_GBK"/>
          <w:bCs/>
          <w:sz w:val="28"/>
          <w:szCs w:val="28"/>
          <w:highlight w:val="none"/>
          <w:u w:val="singl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5.</w:t>
      </w:r>
      <w:r>
        <w:rPr>
          <w:rFonts w:hint="eastAsia" w:ascii="方正仿宋_GBK" w:hAnsi="方正仿宋_GBK" w:eastAsia="方正仿宋_GBK" w:cs="方正仿宋_GBK"/>
          <w:b/>
          <w:sz w:val="28"/>
          <w:szCs w:val="28"/>
          <w:highlight w:val="none"/>
        </w:rPr>
        <w:t xml:space="preserve">组成合同的文件</w:t>
      </w:r>
      <w:r>
        <w:rPr>
          <w:rFonts w:hint="eastAsia" w:ascii="方正仿宋_GBK" w:hAnsi="方正仿宋_GBK" w:eastAsia="方正仿宋_GBK" w:cs="方正仿宋_GBK"/>
          <w:b/>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rPr>
          <w:rFonts w:hint="eastAsia" w:ascii="方正仿宋_GBK" w:hAnsi="方正仿宋_GBK" w:eastAsia="方正仿宋_GBK" w:cs="方正仿宋_GBK"/>
          <w:sz w:val="28"/>
          <w:szCs w:val="28"/>
          <w:highlight w:val="none"/>
        </w:rPr>
      </w:r>
      <w:r/>
    </w:p>
    <w:p>
      <w:pPr>
        <w:pStyle w:val="1060"/>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6.</w:t>
      </w:r>
      <w:r>
        <w:rPr>
          <w:rFonts w:hint="eastAsia" w:ascii="方正仿宋_GBK" w:hAnsi="方正仿宋_GBK" w:eastAsia="方正仿宋_GBK" w:cs="方正仿宋_GBK"/>
          <w:b/>
          <w:sz w:val="28"/>
          <w:szCs w:val="28"/>
          <w:highlight w:val="none"/>
        </w:rPr>
        <w:t xml:space="preserve">合同生效</w:t>
      </w:r>
      <w:r>
        <w:rPr>
          <w:rFonts w:hint="eastAsia" w:ascii="方正仿宋_GBK" w:hAnsi="方正仿宋_GBK" w:eastAsia="方正仿宋_GBK" w:cs="方正仿宋_GBK"/>
          <w:b/>
          <w:sz w:val="28"/>
          <w:szCs w:val="28"/>
          <w:highlight w:val="non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rPr>
          <w:rFonts w:hint="eastAsia" w:ascii="方正仿宋_GBK" w:hAnsi="方正仿宋_GBK" w:eastAsia="方正仿宋_GBK" w:cs="方正仿宋_GBK"/>
          <w:sz w:val="28"/>
          <w:szCs w:val="28"/>
          <w:highlight w:val="none"/>
        </w:rPr>
      </w:r>
      <w:r/>
    </w:p>
    <w:p>
      <w:pPr>
        <w:pStyle w:val="951"/>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7.</w:t>
      </w:r>
      <w:r>
        <w:rPr>
          <w:rFonts w:hint="eastAsia" w:ascii="方正仿宋_GBK" w:hAnsi="方正仿宋_GBK" w:eastAsia="方正仿宋_GBK" w:cs="方正仿宋_GBK"/>
          <w:b/>
          <w:sz w:val="28"/>
          <w:szCs w:val="28"/>
          <w:highlight w:val="none"/>
        </w:rPr>
        <w:t xml:space="preserve">合同份数</w:t>
      </w:r>
      <w:r>
        <w:rPr>
          <w:rFonts w:hint="eastAsia" w:ascii="方正仿宋_GBK" w:hAnsi="方正仿宋_GBK" w:eastAsia="方正仿宋_GBK" w:cs="方正仿宋_GBK"/>
          <w:b/>
          <w:sz w:val="28"/>
          <w:szCs w:val="28"/>
          <w:highlight w:val="non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b/>
          <w:bCs/>
          <w:sz w:val="28"/>
          <w:szCs w:val="28"/>
          <w:highlight w:val="none"/>
        </w:rPr>
      </w:r>
      <w:r/>
    </w:p>
    <w:p>
      <w:pPr>
        <w:pStyle w:val="1032"/>
        <w:pageBreakBefore w:val="0"/>
        <w:spacing w:line="400" w:lineRule="exact"/>
        <w:rPr>
          <w:sz w:val="28"/>
          <w:szCs w:val="28"/>
          <w:highlight w:val="none"/>
          <w:lang w:eastAsia="zh-CN"/>
        </w:rPr>
      </w:pPr>
      <w:r>
        <w:rPr>
          <w:sz w:val="28"/>
          <w:szCs w:val="28"/>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sz w:val="28"/>
                <w:szCs w:val="28"/>
                <w:highlight w:val="none"/>
              </w:rPr>
            </w:r>
            <w:r/>
          </w:p>
        </w:tc>
        <w:tc>
          <w:tcPr>
            <w:gridSpan w:val="2"/>
            <w:tcW w:w="394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rPr>
                <w:rFonts w:hint="eastAsia" w:ascii="方正仿宋_GBK" w:hAnsi="方正仿宋_GBK" w:eastAsia="方正仿宋_GBK" w:cs="方正仿宋_GBK"/>
                <w:sz w:val="28"/>
                <w:szCs w:val="28"/>
                <w:highlight w:val="none"/>
              </w:rPr>
            </w:r>
            <w:r/>
          </w:p>
        </w:tc>
      </w:tr>
      <w:tr>
        <w:trPr>
          <w:trHeight w:val="917"/>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1171"/>
        </w:trPr>
        <w:tc>
          <w:tcPr>
            <w:tcW w:w="1125" w:type="dxa"/>
            <w:vAlign w:val="center"/>
            <w:vMerge w:val="restart"/>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51"/>
              <w:ind w:firstLine="134"/>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666" w:type="dxa"/>
            <w:vAlign w:val="center"/>
            <w:vMerge w:val="restart"/>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483"/>
        </w:trPr>
        <w:tc>
          <w:tcPr>
            <w:tcW w:w="1125" w:type="dxa"/>
            <w:vAlign w:val="center"/>
            <w:vMerge w:val="continue"/>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1"/>
              <w:jc w:val="center"/>
              <w:pageBreakBefore w:val="0"/>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586"/>
        </w:trPr>
        <w:tc>
          <w:tcPr>
            <w:gridSpan w:val="4"/>
            <w:tcW w:w="8928" w:type="dxa"/>
            <w:vAlign w:val="center"/>
            <w:textDirection w:val="lrTb"/>
            <w:noWrap w:val="false"/>
          </w:tcPr>
          <w:p>
            <w:pPr>
              <w:pStyle w:val="984"/>
              <w:ind w:left="0"/>
              <w:jc w:val="left"/>
              <w:pageBreakBefore w:val="0"/>
              <w:spacing w:after="0"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rPr>
                <w:rFonts w:hint="eastAsia" w:ascii="方正仿宋_GBK" w:hAnsi="方正仿宋_GBK" w:eastAsia="方正仿宋_GBK" w:cs="方正仿宋_GBK"/>
                <w:spacing w:val="20"/>
                <w:sz w:val="28"/>
                <w:szCs w:val="28"/>
                <w:highlight w:val="none"/>
              </w:rPr>
            </w:r>
            <w:r/>
          </w:p>
        </w:tc>
      </w:tr>
    </w:tbl>
    <w:p>
      <w:pPr>
        <w:pStyle w:val="953"/>
        <w:spacing w:line="400" w:lineRule="exact"/>
        <w:rPr>
          <w:rFonts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合同标的及金额</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highlight w:val="none"/>
        </w:rPr>
      </w:r>
      <w:r/>
    </w:p>
    <w:p>
      <w:pPr>
        <w:pStyle w:val="1060"/>
        <w:numPr>
          <w:ilvl w:val="0"/>
          <w:numId w:val="5"/>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sz w:val="28"/>
          <w:szCs w:val="28"/>
          <w:highlight w:val="none"/>
        </w:rPr>
      </w:r>
      <w:r/>
    </w:p>
    <w:p>
      <w:pPr>
        <w:pStyle w:val="1060"/>
        <w:numPr>
          <w:ilvl w:val="0"/>
          <w:numId w:val="6"/>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60"/>
        <w:numPr>
          <w:ilvl w:val="0"/>
          <w:numId w:val="7"/>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 合同未尽事项</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rPr>
          <w:rFonts w:hint="eastAsia" w:ascii="方正仿宋_GBK" w:hAnsi="方正仿宋_GBK" w:eastAsia="方正仿宋_GBK" w:cs="方正仿宋_GBK"/>
          <w:sz w:val="28"/>
          <w:szCs w:val="28"/>
          <w:highlight w:val="none"/>
        </w:rPr>
      </w:r>
      <w:r/>
    </w:p>
    <w:p>
      <w:pPr>
        <w:pStyle w:val="106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rPr>
          <w:rFonts w:hint="eastAsia" w:ascii="方正仿宋_GBK" w:hAnsi="方正仿宋_GBK" w:eastAsia="方正仿宋_GBK" w:cs="方正仿宋_GBK"/>
          <w:sz w:val="28"/>
          <w:szCs w:val="28"/>
          <w:highlight w:val="none"/>
        </w:rPr>
      </w:r>
      <w:r/>
    </w:p>
    <w:p>
      <w:pPr>
        <w:pStyle w:val="953"/>
        <w:spacing w:line="400" w:lineRule="exact"/>
        <w:rPr>
          <w:rFonts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b w:val="0"/>
          <w:bCs w:val="0"/>
          <w:sz w:val="28"/>
          <w:szCs w:val="28"/>
          <w:highlight w:val="none"/>
        </w:rPr>
        <w:t xml:space="preserve">第三节 政府采购合同专用条款</w:t>
      </w:r>
      <w:r>
        <w:rPr>
          <w:rFonts w:ascii="黑体" w:hAnsi="华文中宋" w:eastAsia="黑体"/>
          <w:b w:val="0"/>
          <w:bCs w:val="0"/>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04"/>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restart"/>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continue"/>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72"/>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rPr>
                <w:rFonts w:hint="eastAsia" w:ascii="方正仿宋_GBK" w:hAnsi="方正仿宋_GBK" w:eastAsia="方正仿宋_GBK" w:cs="方正仿宋_GBK"/>
                <w:sz w:val="28"/>
                <w:szCs w:val="28"/>
                <w:highlight w:val="none"/>
              </w:rPr>
            </w:r>
            <w:r/>
          </w:p>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1060"/>
              <w:ind w:firstLine="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73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876"/>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90"/>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rPr>
                <w:rFonts w:hint="eastAsia" w:ascii="方正仿宋_GBK" w:hAnsi="方正仿宋_GBK" w:eastAsia="方正仿宋_GBK" w:cs="方正仿宋_GBK"/>
                <w:iCs/>
                <w:sz w:val="28"/>
                <w:szCs w:val="28"/>
                <w:highlight w:val="none"/>
              </w:rPr>
            </w:r>
            <w:r/>
          </w:p>
          <w:p>
            <w:pPr>
              <w:pStyle w:val="951"/>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rPr>
                <w:rFonts w:hint="eastAsia" w:ascii="方正仿宋_GBK" w:hAnsi="方正仿宋_GBK" w:eastAsia="方正仿宋_GBK" w:cs="方正仿宋_GBK"/>
                <w:sz w:val="28"/>
                <w:szCs w:val="28"/>
                <w:highlight w:val="none"/>
                <w:u w:val="single"/>
              </w:rPr>
            </w:r>
            <w:r/>
          </w:p>
        </w:tc>
      </w:tr>
      <w:tr>
        <w:trPr>
          <w:trHeight w:val="770"/>
        </w:trPr>
        <w:tc>
          <w:tcPr>
            <w:tcW w:w="233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3"/>
        <w:spacing w:line="40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t xml:space="preserve">第</w:t>
      </w:r>
      <w:bookmarkEnd w:id="176"/>
      <w:r>
        <w:rPr>
          <w:rFonts w:hint="eastAsia" w:ascii="黑体" w:hAnsi="黑体" w:eastAsia="黑体"/>
          <w:b w:val="0"/>
          <w:bCs w:val="0"/>
          <w:sz w:val="32"/>
          <w:szCs w:val="32"/>
          <w:highlight w:val="none"/>
        </w:rPr>
        <w:t xml:space="preserve">四章 采购需求</w:t>
      </w:r>
      <w:bookmarkEnd w:id="177"/>
      <w:r/>
      <w:bookmarkEnd w:id="178"/>
      <w:r/>
      <w:bookmarkEnd w:id="179"/>
      <w:r>
        <w:rPr>
          <w:rFonts w:hint="eastAsia" w:ascii="黑体" w:hAnsi="黑体" w:eastAsia="黑体"/>
          <w:b w:val="0"/>
          <w:bCs w:val="0"/>
          <w:sz w:val="32"/>
          <w:szCs w:val="32"/>
          <w:highlight w:val="none"/>
        </w:rPr>
      </w:r>
      <w:r/>
    </w:p>
    <w:p>
      <w:pPr>
        <w:pStyle w:val="953"/>
        <w:jc w:val="left"/>
        <w:spacing w:line="440" w:lineRule="exact"/>
        <w:rPr>
          <w:rFonts w:hint="eastAsia" w:ascii="黑体" w:hAnsi="黑体" w:eastAsia="黑体"/>
          <w:b w:val="0"/>
          <w:bCs w:val="0"/>
          <w:sz w:val="28"/>
          <w:szCs w:val="28"/>
          <w:highlight w:val="none"/>
        </w:rPr>
      </w:pPr>
      <w:r/>
      <w:bookmarkStart w:id="182" w:name="_Toc49090575"/>
      <w:r/>
      <w:bookmarkStart w:id="183" w:name="_Toc26554093"/>
      <w:r>
        <w:rPr>
          <w:rFonts w:hint="eastAsia" w:ascii="黑体" w:hAnsi="黑体" w:eastAsia="黑体"/>
          <w:b w:val="0"/>
          <w:bCs w:val="0"/>
          <w:sz w:val="28"/>
          <w:szCs w:val="28"/>
          <w:highlight w:val="none"/>
        </w:rPr>
        <w:t xml:space="preserve">一、采购标的清单</w:t>
      </w:r>
      <w:r>
        <w:rPr>
          <w:rFonts w:hint="eastAsia" w:ascii="黑体" w:hAnsi="黑体" w:eastAsia="黑体"/>
          <w:b w:val="0"/>
          <w:bCs w:val="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130"/>
        <w:gridCol w:w="4513"/>
        <w:gridCol w:w="3192"/>
      </w:tblGrid>
      <w:tr>
        <w:trPr>
          <w:cantSplit/>
          <w:trHeight w:val="710"/>
        </w:trPr>
        <w:tc>
          <w:tcPr>
            <w:tcW w:w="1130" w:type="dxa"/>
            <w:vAlign w:val="top"/>
            <w:textDirection w:val="lrTb"/>
            <w:noWrap w:val="false"/>
          </w:tcPr>
          <w:p>
            <w:pPr>
              <w:pStyle w:val="951"/>
              <w:jc w:val="center"/>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ascii="方正仿宋_GBK" w:hAnsi="方正仿宋_GBK" w:eastAsia="方正仿宋_GBK" w:cs="方正仿宋_GBK"/>
                <w:color w:val="000000"/>
                <w:sz w:val="28"/>
                <w:szCs w:val="28"/>
                <w:highlight w:val="none"/>
              </w:rPr>
            </w:r>
            <w:r/>
          </w:p>
          <w:p>
            <w:pPr>
              <w:pStyle w:val="951"/>
              <w:jc w:val="center"/>
              <w:spacing w:line="440" w:lineRule="exact"/>
              <w:rPr>
                <w:rFonts w:hint="eastAsia" w:ascii="仿宋" w:hAnsi="仿宋" w:eastAsia="仿宋"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仿宋" w:hAnsi="仿宋" w:eastAsia="仿宋" w:cs="方正仿宋_GBK"/>
                <w:sz w:val="28"/>
                <w:szCs w:val="28"/>
                <w:highlight w:val="none"/>
              </w:rPr>
            </w:r>
            <w:r/>
          </w:p>
        </w:tc>
        <w:tc>
          <w:tcPr>
            <w:tcW w:w="1130" w:type="dxa"/>
            <w:vAlign w:val="center"/>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序号</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标的名称</w:t>
            </w:r>
            <w:r>
              <w:rPr>
                <w:rFonts w:hint="eastAsia" w:ascii="仿宋" w:hAnsi="仿宋" w:eastAsia="仿宋" w:cs="方正仿宋_GBK"/>
                <w:sz w:val="28"/>
                <w:szCs w:val="28"/>
                <w:highlight w:val="none"/>
              </w:rPr>
            </w:r>
            <w:r/>
          </w:p>
        </w:tc>
        <w:tc>
          <w:tcPr>
            <w:tcW w:w="3192" w:type="dxa"/>
            <w:vAlign w:val="center"/>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对应中小企业划分标准所属行业</w:t>
            </w:r>
            <w:r>
              <w:rPr>
                <w:rFonts w:hint="eastAsia" w:ascii="仿宋" w:hAnsi="仿宋" w:eastAsia="仿宋" w:cs="方正仿宋_GBK"/>
                <w:sz w:val="28"/>
                <w:szCs w:val="28"/>
                <w:highlight w:val="none"/>
              </w:rPr>
            </w:r>
            <w:r/>
          </w:p>
        </w:tc>
      </w:tr>
      <w:tr>
        <w:trPr>
          <w:cantSplit/>
          <w:trHeight w:val="295"/>
        </w:trPr>
        <w:tc>
          <w:tcPr>
            <w:tcW w:w="1130" w:type="dxa"/>
            <w:vAlign w:val="center"/>
            <w:vMerge w:val="restart"/>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eastAsia="方正仿宋_GBK"/>
                <w:color w:val="000000"/>
                <w:sz w:val="28"/>
                <w:szCs w:val="28"/>
                <w:highlight w:val="none"/>
              </w:rPr>
              <w:t xml:space="preserve">1</w:t>
            </w: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ascii="仿宋" w:hAnsi="仿宋" w:eastAsia="仿宋" w:cs="宋体"/>
                <w:color w:val="000000"/>
                <w:sz w:val="28"/>
                <w:szCs w:val="28"/>
                <w:highlight w:val="none"/>
              </w:rPr>
              <w:t xml:space="preserve">联排课桌椅</w:t>
            </w:r>
            <w:r>
              <w:rPr>
                <w:rFonts w:hint="eastAsia" w:ascii="仿宋" w:hAnsi="仿宋" w:eastAsia="仿宋" w:cs="方正仿宋_GBK"/>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高清激光投影机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3</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教室终端</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4</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65寸辅助显示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5</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功放主机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6</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多媒体智能终端</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7</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画框幕</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8</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150寸推拉黑板</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9</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讲台</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10</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98寸智慧黑板</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11</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椅子</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12</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梯形桌</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13</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音箱</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14</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课桌</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15</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86寸触摸一体机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16</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智能话筒管家</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17</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阵列麦克风</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18</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智能交互书写终端</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19</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无线教学话筒</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20</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辅助显示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21</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电子升降讲台</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22</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cs="宋体"/>
                <w:color w:val="000000"/>
                <w:sz w:val="28"/>
                <w:szCs w:val="28"/>
                <w:highlight w:val="none"/>
              </w:rPr>
              <w:t xml:space="preserve">台式计算机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23</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网络中控及控制面板</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24</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高清录播主机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25</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cs="宋体"/>
                <w:color w:val="000000"/>
                <w:sz w:val="28"/>
                <w:szCs w:val="28"/>
                <w:highlight w:val="none"/>
              </w:rPr>
              <w:t xml:space="preserve">台式计算机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26</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多媒体讲台</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27</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学生高清摄像机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28</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教师高清摄像机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29</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网络摄像机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r>
        <w:trPr>
          <w:cantSplit/>
          <w:trHeight w:val="238"/>
        </w:trPr>
        <w:tc>
          <w:tcPr>
            <w:tcW w:w="1130" w:type="dxa"/>
            <w:vAlign w:val="top"/>
            <w:vMerge w:val="continue"/>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r>
            <w:r/>
          </w:p>
        </w:tc>
        <w:tc>
          <w:tcPr>
            <w:tcW w:w="1130" w:type="dxa"/>
            <w:vAlign w:val="top"/>
            <w:textDirection w:val="lrTb"/>
            <w:noWrap w:val="false"/>
          </w:tcPr>
          <w:p>
            <w:pPr>
              <w:pStyle w:val="951"/>
              <w:jc w:val="center"/>
              <w:spacing w:line="440" w:lineRule="exact"/>
              <w:rPr>
                <w:rFonts w:hint="eastAsia" w:ascii="仿宋" w:hAnsi="仿宋" w:eastAsia="仿宋" w:cs="方正仿宋_GBK"/>
                <w:sz w:val="28"/>
                <w:szCs w:val="28"/>
                <w:highlight w:val="none"/>
              </w:rPr>
            </w:pPr>
            <w:r>
              <w:rPr>
                <w:rFonts w:hint="eastAsia" w:ascii="仿宋" w:hAnsi="仿宋" w:eastAsia="仿宋" w:cs="方正仿宋_GBK"/>
                <w:sz w:val="28"/>
                <w:szCs w:val="28"/>
                <w:highlight w:val="none"/>
              </w:rPr>
              <w:t xml:space="preserve">30</w:t>
            </w:r>
            <w:r>
              <w:rPr>
                <w:rFonts w:hint="eastAsia" w:ascii="仿宋" w:hAnsi="仿宋" w:eastAsia="仿宋" w:cs="方正仿宋_GBK"/>
                <w:sz w:val="28"/>
                <w:szCs w:val="28"/>
                <w:highlight w:val="none"/>
              </w:rPr>
            </w:r>
            <w:r/>
          </w:p>
        </w:tc>
        <w:tc>
          <w:tcPr>
            <w:tcW w:w="4513" w:type="dxa"/>
            <w:vAlign w:val="center"/>
            <w:textDirection w:val="lrTb"/>
            <w:noWrap w:val="false"/>
          </w:tcPr>
          <w:p>
            <w:pPr>
              <w:pStyle w:val="951"/>
              <w:jc w:val="center"/>
              <w:spacing w:line="440" w:lineRule="exact"/>
              <w:rPr>
                <w:rFonts w:hint="eastAsia" w:ascii="仿宋" w:hAnsi="仿宋" w:eastAsia="仿宋"/>
                <w:sz w:val="28"/>
                <w:szCs w:val="28"/>
                <w:highlight w:val="none"/>
              </w:rPr>
            </w:pPr>
            <w:r>
              <w:rPr>
                <w:rFonts w:ascii="仿宋" w:hAnsi="仿宋" w:eastAsia="仿宋" w:cs="宋体"/>
                <w:color w:val="000000"/>
                <w:sz w:val="28"/>
                <w:szCs w:val="28"/>
                <w:highlight w:val="none"/>
              </w:rPr>
              <w:t xml:space="preserve">16路网络视频录像机</w:t>
            </w:r>
            <w:r>
              <w:rPr>
                <w:rFonts w:hint="eastAsia" w:ascii="仿宋" w:hAnsi="仿宋" w:eastAsia="仿宋"/>
                <w:sz w:val="28"/>
                <w:szCs w:val="28"/>
                <w:highlight w:val="none"/>
              </w:rPr>
            </w:r>
            <w:r/>
          </w:p>
        </w:tc>
        <w:tc>
          <w:tcPr>
            <w:tcW w:w="3192" w:type="dxa"/>
            <w:vAlign w:val="top"/>
            <w:textDirection w:val="lrTb"/>
            <w:noWrap w:val="false"/>
          </w:tcPr>
          <w:p>
            <w:pPr>
              <w:pStyle w:val="951"/>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工业</w:t>
            </w:r>
            <w:r>
              <w:rPr>
                <w:rFonts w:hint="eastAsia" w:ascii="仿宋" w:hAnsi="仿宋" w:eastAsia="仿宋"/>
                <w:sz w:val="28"/>
                <w:szCs w:val="28"/>
                <w:highlight w:val="none"/>
              </w:rPr>
            </w:r>
            <w:r/>
          </w:p>
        </w:tc>
      </w:tr>
    </w:tbl>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3"/>
        <w:jc w:val="both"/>
        <w:spacing w:before="0" w:after="0" w:line="44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二、政府采购中实施本国产品标准及相关政策</w:t>
      </w:r>
      <w:r>
        <w:rPr>
          <w:rFonts w:hint="eastAsia" w:ascii="黑体" w:hAnsi="黑体" w:eastAsia="黑体"/>
          <w:b w:val="0"/>
          <w:bCs w:val="0"/>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51"/>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rPr>
      </w:r>
      <w:r/>
    </w:p>
    <w:p>
      <w:pPr>
        <w:pStyle w:val="953"/>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三、技术要求</w:t>
      </w:r>
      <w:r>
        <w:rPr>
          <w:rFonts w:hint="eastAsia" w:ascii="黑体" w:hAnsi="黑体" w:eastAsia="黑体"/>
          <w:b w:val="0"/>
          <w:bCs w:val="0"/>
          <w:sz w:val="28"/>
          <w:szCs w:val="28"/>
          <w:highlight w:val="none"/>
        </w:rPr>
      </w:r>
      <w:r/>
    </w:p>
    <w:p>
      <w:pPr>
        <w:pStyle w:val="965"/>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（一）采购数量</w:t>
      </w:r>
      <w:r>
        <w:rPr>
          <w:rFonts w:hint="eastAsia" w:ascii="方正仿宋_GBK" w:hAnsi="方正仿宋_GBK" w:eastAsia="方正仿宋_GBK" w:cs="方正仿宋_GBK"/>
          <w:b/>
          <w:color w:val="000000"/>
          <w:sz w:val="28"/>
          <w:szCs w:val="28"/>
          <w:highlight w:val="none"/>
        </w:rPr>
      </w:r>
      <w:r/>
    </w:p>
    <w:tbl>
      <w:tblPr>
        <w:tblW w:w="0" w:type="auto"/>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0" w:type="dxa"/>
          <w:top w:w="20" w:type="dxa"/>
          <w:right w:w="20" w:type="dxa"/>
          <w:bottom w:w="20" w:type="dxa"/>
        </w:tblCellMar>
        <w:tblLook w:val="04A0" w:firstRow="1" w:lastRow="0" w:firstColumn="1" w:lastColumn="0" w:noHBand="0" w:noVBand="1"/>
      </w:tblPr>
      <w:tblGrid>
        <w:gridCol w:w="1164"/>
        <w:gridCol w:w="3750"/>
        <w:gridCol w:w="1500"/>
        <w:gridCol w:w="1717"/>
      </w:tblGrid>
      <w:tr>
        <w:trPr>
          <w:trHeight w:val="541"/>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color w:val="000000"/>
                <w:sz w:val="28"/>
                <w:szCs w:val="28"/>
                <w:highlight w:val="none"/>
              </w:rPr>
              <w:t xml:space="preserve">序号</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color w:val="000000"/>
                <w:sz w:val="28"/>
                <w:szCs w:val="28"/>
                <w:highlight w:val="none"/>
              </w:rPr>
              <w:t xml:space="preserve">名称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color w:val="000000"/>
                <w:sz w:val="28"/>
                <w:szCs w:val="28"/>
                <w:highlight w:val="none"/>
              </w:rPr>
              <w:t xml:space="preserve">单位</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color w:val="000000"/>
                <w:sz w:val="28"/>
                <w:szCs w:val="28"/>
                <w:highlight w:val="none"/>
              </w:rPr>
              <w:t xml:space="preserve">数量</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联排课桌椅</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位</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1000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高清激光投影机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教室终端</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65寸辅助显示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功放主机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多媒体智能终端</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画框幕</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150寸推拉黑板</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讲台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个</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98寸智慧黑板</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11</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椅子</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把</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110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梯形桌</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张</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50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13</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音箱</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对</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24</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14</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课桌</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张</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60</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15</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86寸触摸一体机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16</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智能话筒管家</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个</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17</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阵列麦克风</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只</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18</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智能交互书写终端</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19</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无线教学话筒</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个</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20</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辅助显示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21</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电子升降讲台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9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22</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台式计算机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23</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网络中控及控制面板</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24</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高清录播主机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25</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台式计算机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26</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多媒体讲台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27</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学生高清摄像机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教师高清摄像机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网络摄像机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sz w:val="28"/>
                <w:szCs w:val="28"/>
                <w:highlight w:val="none"/>
              </w:rPr>
            </w:r>
            <w:r/>
          </w:p>
        </w:tc>
      </w:tr>
      <w:tr>
        <w:trPr>
          <w:trHeight w:val="360"/>
        </w:trPr>
        <w:tc>
          <w:tcPr>
            <w:tcMar>
              <w:left w:w="20" w:type="dxa"/>
              <w:top w:w="20" w:type="dxa"/>
              <w:right w:w="20" w:type="dxa"/>
              <w:bottom w:w="20" w:type="dxa"/>
            </w:tcMar>
            <w:tcW w:w="1164"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375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16路网络视频录像机</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500"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台</w:t>
            </w:r>
            <w:r>
              <w:rPr>
                <w:rFonts w:hint="eastAsia" w:ascii="方正仿宋_GBK" w:hAnsi="方正仿宋_GBK" w:eastAsia="方正仿宋_GBK" w:cs="方正仿宋_GBK"/>
                <w:sz w:val="28"/>
                <w:szCs w:val="28"/>
                <w:highlight w:val="none"/>
              </w:rPr>
            </w:r>
            <w:r/>
          </w:p>
        </w:tc>
        <w:tc>
          <w:tcPr>
            <w:tcMar>
              <w:left w:w="20" w:type="dxa"/>
              <w:top w:w="20" w:type="dxa"/>
              <w:right w:w="20" w:type="dxa"/>
              <w:bottom w:w="20" w:type="dxa"/>
            </w:tcMar>
            <w:tcW w:w="1717"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r>
    </w:tbl>
    <w:p>
      <w:pPr>
        <w:pStyle w:val="965"/>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（二）技术参数要求</w:t>
      </w:r>
      <w:r>
        <w:rPr>
          <w:rFonts w:ascii="方正仿宋_GBK" w:hAnsi="方正仿宋_GBK" w:eastAsia="方正仿宋_GBK" w:cs="方正仿宋_GBK"/>
          <w:b/>
          <w:color w:val="000000"/>
          <w:sz w:val="28"/>
          <w:szCs w:val="28"/>
          <w:highlight w:val="none"/>
        </w:rPr>
      </w:r>
      <w:r/>
    </w:p>
    <w:tbl>
      <w:tblPr>
        <w:tblW w:w="9082" w:type="dxa"/>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719"/>
        <w:gridCol w:w="1134"/>
        <w:gridCol w:w="7229"/>
      </w:tblGrid>
      <w:tr>
        <w:trPr>
          <w:trHeight w:val="300"/>
        </w:trPr>
        <w:tc>
          <w:tcPr>
            <w:tcW w:w="719" w:type="dxa"/>
            <w:vAlign w:val="center"/>
            <w:textDirection w:val="lrTb"/>
            <w:noWrap w:val="false"/>
          </w:tcPr>
          <w:p>
            <w:pPr>
              <w:pStyle w:val="951"/>
              <w:jc w:val="center"/>
              <w:spacing w:line="440" w:lineRule="exact"/>
              <w:rPr>
                <w:rFonts w:hint="eastAsia" w:ascii="仿宋" w:hAnsi="仿宋" w:eastAsia="仿宋"/>
                <w:b/>
                <w:bCs/>
                <w:sz w:val="24"/>
                <w:szCs w:val="24"/>
                <w:highlight w:val="none"/>
              </w:rPr>
            </w:pPr>
            <w:r>
              <w:rPr>
                <w:rFonts w:ascii="仿宋" w:hAnsi="仿宋" w:eastAsia="仿宋" w:cs="宋体"/>
                <w:b/>
                <w:bCs/>
                <w:color w:val="000000"/>
                <w:sz w:val="24"/>
                <w:szCs w:val="24"/>
                <w:highlight w:val="none"/>
              </w:rPr>
              <w:t xml:space="preserve">序号</w:t>
            </w:r>
            <w:r>
              <w:rPr>
                <w:rFonts w:hint="eastAsia" w:ascii="仿宋" w:hAnsi="仿宋" w:eastAsia="仿宋"/>
                <w:b/>
                <w:bCs/>
                <w:sz w:val="24"/>
                <w:szCs w:val="24"/>
                <w:highlight w:val="none"/>
              </w:rPr>
            </w:r>
            <w:r/>
          </w:p>
        </w:tc>
        <w:tc>
          <w:tcPr>
            <w:tcW w:w="1134" w:type="dxa"/>
            <w:vAlign w:val="center"/>
            <w:textDirection w:val="lrTb"/>
            <w:noWrap w:val="false"/>
          </w:tcPr>
          <w:p>
            <w:pPr>
              <w:pStyle w:val="951"/>
              <w:jc w:val="center"/>
              <w:spacing w:line="440" w:lineRule="exact"/>
              <w:rPr>
                <w:rFonts w:hint="eastAsia" w:ascii="仿宋" w:hAnsi="仿宋" w:eastAsia="仿宋"/>
                <w:b/>
                <w:bCs/>
                <w:sz w:val="24"/>
                <w:szCs w:val="24"/>
                <w:highlight w:val="none"/>
              </w:rPr>
            </w:pPr>
            <w:r>
              <w:rPr>
                <w:rFonts w:ascii="仿宋" w:hAnsi="仿宋" w:eastAsia="仿宋" w:cs="宋体"/>
                <w:b/>
                <w:bCs/>
                <w:color w:val="000000"/>
                <w:sz w:val="24"/>
                <w:szCs w:val="24"/>
                <w:highlight w:val="none"/>
              </w:rPr>
              <w:t xml:space="preserve">名称</w:t>
            </w:r>
            <w:r>
              <w:rPr>
                <w:rFonts w:hint="eastAsia" w:ascii="仿宋" w:hAnsi="仿宋" w:eastAsia="仿宋"/>
                <w:b/>
                <w:bCs/>
                <w:sz w:val="24"/>
                <w:szCs w:val="24"/>
                <w:highlight w:val="none"/>
              </w:rPr>
            </w:r>
            <w:r/>
          </w:p>
        </w:tc>
        <w:tc>
          <w:tcPr>
            <w:tcW w:w="7229" w:type="dxa"/>
            <w:vAlign w:val="center"/>
            <w:textDirection w:val="lrTb"/>
            <w:noWrap w:val="false"/>
          </w:tcPr>
          <w:p>
            <w:pPr>
              <w:pStyle w:val="951"/>
              <w:jc w:val="center"/>
              <w:spacing w:line="440" w:lineRule="exact"/>
              <w:rPr>
                <w:rFonts w:hint="eastAsia" w:ascii="仿宋" w:hAnsi="仿宋" w:eastAsia="仿宋"/>
                <w:b/>
                <w:bCs/>
                <w:sz w:val="24"/>
                <w:szCs w:val="24"/>
                <w:highlight w:val="none"/>
              </w:rPr>
            </w:pPr>
            <w:r>
              <w:rPr>
                <w:rFonts w:ascii="仿宋" w:hAnsi="仿宋" w:eastAsia="仿宋" w:cs="宋体"/>
                <w:b/>
                <w:bCs/>
                <w:color w:val="000000"/>
                <w:sz w:val="24"/>
                <w:szCs w:val="24"/>
                <w:highlight w:val="none"/>
              </w:rPr>
              <w:t xml:space="preserve">参数</w:t>
            </w:r>
            <w:r>
              <w:rPr>
                <w:rFonts w:hint="eastAsia" w:ascii="仿宋" w:hAnsi="仿宋" w:eastAsia="仿宋"/>
                <w:b/>
                <w:bCs/>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联排课桌椅</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支撑要求采用不低于35×80mm×1.5mm承重椭圆管设计，顶部加盖胶塞；</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靠背要求采用铁框架设计，内嵌≥10mm多层板，弧形设计更贴合靠背；</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座支撑要求采用≥5mm钢板焊接，加铝合金圈设计，重力回位结构，座板厚≥16mm；</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地脚板要求由≥2mm冷轧钢板冲压成型，悬空固定不会因为接地而生锈；</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书写面板要求采用高压三胺板，桌面面不小于540mm*350mm，厚度≥25mm，表面贴防火板，近人体端圆弧设计，久靠无压痛感；</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中抽板为钢网镂空设计可置物，不留垃圾，深度≥200mm。</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高清激光投影机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激光光源，≥20000小时光源寿命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3LCD投影技术</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液晶面板尺寸 ≥0.67英寸含微透镜</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▲亮度≥6500流明（符合ISO21118标准）， 分辨率≥1920*1200，对比度≥5000000:1（符合ISO21118标准）</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投射比：≥1.35-2.20；</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▲大范围镜头位移：垂直≥±50%，水平≥±20%</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镜头光学变焦比：≥1.6倍</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w:t>
            </w:r>
            <w:r>
              <w:rPr>
                <w:rFonts w:ascii="仿宋" w:hAnsi="仿宋" w:eastAsia="仿宋" w:cs="宋体"/>
                <w:color w:val="000000"/>
                <w:sz w:val="24"/>
                <w:szCs w:val="24"/>
                <w:highlight w:val="none"/>
              </w:rPr>
              <w:t xml:space="preserve">整机功耗≤</w:t>
            </w:r>
            <w:r>
              <w:rPr>
                <w:rFonts w:hint="eastAsia" w:ascii="仿宋" w:hAnsi="仿宋" w:eastAsia="仿宋" w:cs="宋体"/>
                <w:color w:val="000000"/>
                <w:sz w:val="24"/>
                <w:szCs w:val="24"/>
                <w:highlight w:val="none"/>
              </w:rPr>
              <w:t xml:space="preserve">400</w:t>
            </w:r>
            <w:r>
              <w:rPr>
                <w:rFonts w:ascii="仿宋" w:hAnsi="仿宋" w:eastAsia="仿宋" w:cs="宋体"/>
                <w:color w:val="000000"/>
                <w:sz w:val="24"/>
                <w:szCs w:val="24"/>
                <w:highlight w:val="none"/>
              </w:rPr>
              <w:t xml:space="preserve">W</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接口：HDMI≥2、HDBaseT≥1、RS-232C≥1，RJ45≥1，USB Type A≥2，USB Type B≥1，内置无线网卡，HDMI OUT≥1</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支持快速四角调节，梯形、弧形等几何校正功能支持网络监控</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1、</w:t>
            </w:r>
            <w:r>
              <w:rPr>
                <w:rFonts w:ascii="仿宋" w:hAnsi="仿宋" w:eastAsia="仿宋" w:cs="宋体"/>
                <w:color w:val="000000"/>
                <w:sz w:val="24"/>
                <w:szCs w:val="24"/>
                <w:highlight w:val="none"/>
              </w:rPr>
              <w:t xml:space="preserve">专业防尘过滤网：≥20000小时 (标准模式)；≥30000小时（扩展模式）</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b/>
                <w:bCs/>
                <w:sz w:val="24"/>
                <w:szCs w:val="24"/>
                <w:highlight w:val="none"/>
              </w:rPr>
              <w:t xml:space="preserve">标▲参数，投标人提供产品官网截图或说明书复印件或产品彩页复印件等相应支撑证明材料</w:t>
            </w:r>
            <w:r>
              <w:rPr>
                <w:rFonts w:ascii="仿宋" w:hAnsi="仿宋" w:eastAsia="仿宋" w:cs="宋体"/>
                <w:b/>
                <w:bCs/>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教室终端</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、CPU：≥8核、≥16线程、主频≥2.0GHz、睿频频率≥4.0GHz、缓存≥16MB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内存：≥16GB DDR4内存，内存频率≥3200MT/s；</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硬盘：≥256GB M.2 NVMe SSD硬盘，支持拓展≥1个 M.2固态硬盘，支持拓展≥2个机械硬盘，</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显卡：≥4G显存独立显卡；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显示器：≥21.5寸</w:t>
            </w:r>
            <w:r>
              <w:rPr>
                <w:rFonts w:hint="eastAsia" w:ascii="仿宋" w:hAnsi="仿宋" w:eastAsia="仿宋" w:cs="宋体"/>
                <w:color w:val="000000"/>
                <w:sz w:val="24"/>
                <w:szCs w:val="24"/>
                <w:highlight w:val="none"/>
              </w:rPr>
              <w:t xml:space="preserve">，分辨率≥1920*1080，屏占比≥90%，可视角度≥178°</w:t>
            </w:r>
            <w:r>
              <w:rPr>
                <w:rFonts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前置面板接口：USB接口≥7个（至少包括USB-C 接口≥1个，其中包括USB-C在内的USB 3.2 Gen1速率接口≥3个；≥2个麦克风接口，其中至少包括1个3.5mm四段式耳麦接口并支持支持自动切换OMTP和CTIA标准，1个3.5mm三段式麦克风接口；</w:t>
            </w:r>
            <w:r>
              <w:rPr>
                <w:rFonts w:hint="eastAsia" w:ascii="仿宋" w:hAnsi="仿宋" w:eastAsia="仿宋"/>
                <w:sz w:val="24"/>
                <w:szCs w:val="24"/>
                <w:highlight w:val="none"/>
              </w:rPr>
            </w:r>
            <w:r/>
          </w:p>
          <w:p>
            <w:pPr>
              <w:pStyle w:val="951"/>
              <w:spacing w:line="440" w:lineRule="exact"/>
              <w:rPr>
                <w:rFonts w:hint="eastAsia" w:ascii="仿宋" w:hAnsi="仿宋" w:eastAsia="仿宋"/>
                <w:strike/>
                <w:sz w:val="24"/>
                <w:szCs w:val="24"/>
                <w:highlight w:val="none"/>
              </w:rPr>
            </w:pPr>
            <w:r>
              <w:rPr>
                <w:rFonts w:ascii="仿宋" w:hAnsi="仿宋" w:eastAsia="仿宋" w:cs="宋体"/>
                <w:color w:val="000000"/>
                <w:sz w:val="24"/>
                <w:szCs w:val="24"/>
                <w:highlight w:val="none"/>
              </w:rPr>
              <w:t xml:space="preserve">7</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关机状态下，支持≥1个前置USB端口对外供电；</w:t>
            </w:r>
            <w:r>
              <w:rPr>
                <w:rFonts w:hint="eastAsia" w:ascii="仿宋" w:hAnsi="仿宋" w:eastAsia="仿宋"/>
                <w:strike/>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后置面板接口：≥4个USB-A接口（至少包括USB 3.2 Gen1接口≥2个），后置USB接口支持键盘开机；≥1个HDMI 1.4b、≥1个DP 1.4、≥1个VGA接口；≥3个后置音频接口；1个RJ45接口；</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机箱体积：≥17L，机箱配备非后加或非原配件顶置提手,电源功率≥500W，电源转换效率≥92%；</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采用电源与主板直插式设计，电源与主板不通过软质线材连接，电源本体直接连接主板供电；</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1、</w:t>
            </w:r>
            <w:r>
              <w:rPr>
                <w:rFonts w:ascii="仿宋" w:hAnsi="仿宋" w:eastAsia="仿宋" w:cs="宋体"/>
                <w:color w:val="000000"/>
                <w:sz w:val="24"/>
                <w:szCs w:val="24"/>
                <w:highlight w:val="none"/>
              </w:rPr>
              <w:t xml:space="preserve">安全管控：BIOS支持单独管控关闭USB接口。支持Smart USB管控，开启后，存储类USB设备无法使用，非存储类USB设备正常使用。</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65寸辅助显示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屏幕尺寸（对角线）≥65英寸，显示比例16:9，亮度≥350cd/m2，对比度≥4000：1，刷新率≥60Hz，可视角度≥178°，分辨率不低于3840×2160，屏幕显示灰度等级≥1024灰阶。</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功放主机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音频处理器和数字功率放大器一体式设计,纯嵌入式设计，带≤4个安装孔可壁挂安装。</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采用数字信号处理器，要求主频≥700MHz，最大主频800MHz。</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主机软件输入1参数均衡模块支持麦克风≥60段频谱实时显示分析功能。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主机软件可消除输入通道白噪声≥15dB。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主机具有≥2路麦克风输入、≥2路线路输入、≥2路输出。</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主机软件具有≥4路输入≥4路输出音频矩阵管理功能，每路输入通道带支持扩展器、自动增益、参数均衡模块，每路输出通道带高低通、参数均衡、限幅器模块。</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主机具有自动温控功能，当机箱内温度超过47±3℃自动启动风扇。</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▲主机前面板带≥4个按键：静音、音量</w:t>
            </w:r>
            <w:r>
              <w:rPr>
                <w:rFonts w:hint="eastAsia" w:ascii="仿宋" w:hAnsi="仿宋" w:eastAsia="仿宋" w:cs="宋体"/>
                <w:color w:val="000000"/>
                <w:sz w:val="24"/>
                <w:szCs w:val="24"/>
                <w:highlight w:val="none"/>
              </w:rPr>
              <w:t xml:space="preserve">调节</w:t>
            </w:r>
            <w:r>
              <w:rPr>
                <w:rFonts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rPr>
              <w:t xml:space="preserve">开关机或</w:t>
            </w:r>
            <w:r>
              <w:rPr>
                <w:rFonts w:ascii="仿宋" w:hAnsi="仿宋" w:eastAsia="仿宋" w:cs="宋体"/>
                <w:color w:val="000000"/>
                <w:sz w:val="24"/>
                <w:szCs w:val="24"/>
                <w:highlight w:val="none"/>
              </w:rPr>
              <w:t xml:space="preserve">休眠</w:t>
            </w:r>
            <w:r>
              <w:rPr>
                <w:rFonts w:hint="eastAsia" w:ascii="仿宋" w:hAnsi="仿宋" w:eastAsia="仿宋" w:cs="宋体"/>
                <w:color w:val="000000"/>
                <w:sz w:val="24"/>
                <w:szCs w:val="24"/>
                <w:highlight w:val="none"/>
              </w:rPr>
              <w:t xml:space="preserve">等</w:t>
            </w:r>
            <w:r>
              <w:rPr>
                <w:rFonts w:ascii="仿宋" w:hAnsi="仿宋" w:eastAsia="仿宋" w:cs="宋体"/>
                <w:color w:val="000000"/>
                <w:sz w:val="24"/>
                <w:szCs w:val="24"/>
                <w:highlight w:val="none"/>
              </w:rPr>
              <w:t xml:space="preserve">。</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采用数字功放芯片组，解析力高，发热量低。具有延时保护、短路过流保护、过热保护功能。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、具有空间去混响算法功能，在有混响的教室扩声清晰洪亮，无金属尾音，回声和混响时间≤1秒，不丢字、不卡字，在混响环境中扩声不会放大混响，且具有抑制和消除混响的功能。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1</w:t>
            </w:r>
            <w:r>
              <w:rPr>
                <w:rFonts w:ascii="仿宋" w:hAnsi="仿宋" w:eastAsia="仿宋" w:cs="宋体"/>
                <w:color w:val="000000"/>
                <w:sz w:val="24"/>
                <w:szCs w:val="24"/>
                <w:highlight w:val="none"/>
              </w:rPr>
              <w:t xml:space="preserve">、具有音乐播放去回声算法:在扩声中消除音乐播放源，确保语音扩声不发生干扰。支持单声道和立体声AEC。</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2</w:t>
            </w:r>
            <w:r>
              <w:rPr>
                <w:rFonts w:ascii="仿宋" w:hAnsi="仿宋" w:eastAsia="仿宋" w:cs="宋体"/>
                <w:color w:val="000000"/>
                <w:sz w:val="24"/>
                <w:szCs w:val="24"/>
                <w:highlight w:val="none"/>
              </w:rPr>
              <w:t xml:space="preserve">、自动增益功能：在2-8米范围内扩声增益差＜3dB。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3</w:t>
            </w:r>
            <w:r>
              <w:rPr>
                <w:rFonts w:ascii="仿宋" w:hAnsi="仿宋" w:eastAsia="仿宋" w:cs="宋体"/>
                <w:color w:val="000000"/>
                <w:sz w:val="24"/>
                <w:szCs w:val="24"/>
                <w:highlight w:val="none"/>
              </w:rPr>
              <w:t xml:space="preserve">、内置自适应反馈抑制和自适应回声消除算法。</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14</w:t>
            </w:r>
            <w:r>
              <w:rPr>
                <w:rFonts w:ascii="仿宋" w:hAnsi="仿宋" w:eastAsia="仿宋" w:cs="宋体"/>
                <w:color w:val="000000"/>
                <w:sz w:val="24"/>
                <w:szCs w:val="24"/>
                <w:highlight w:val="none"/>
              </w:rPr>
              <w:t xml:space="preserve">、信噪比（A计权）：≥93dB。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15</w:t>
            </w:r>
            <w:r>
              <w:rPr>
                <w:rFonts w:ascii="仿宋" w:hAnsi="仿宋" w:eastAsia="仿宋" w:cs="宋体"/>
                <w:color w:val="000000"/>
                <w:sz w:val="24"/>
                <w:szCs w:val="24"/>
                <w:highlight w:val="none"/>
              </w:rPr>
              <w:t xml:space="preserve">、最大不失真输出功率：≥2*45W。</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16</w:t>
            </w:r>
            <w:r>
              <w:rPr>
                <w:rFonts w:ascii="仿宋" w:hAnsi="仿宋" w:eastAsia="仿宋" w:cs="宋体"/>
                <w:color w:val="000000"/>
                <w:sz w:val="24"/>
                <w:szCs w:val="24"/>
                <w:highlight w:val="none"/>
              </w:rPr>
              <w:t xml:space="preserve">、增益限制的有效频率范围：20Hz-20kHz（±3dB）。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17</w:t>
            </w:r>
            <w:r>
              <w:rPr>
                <w:rFonts w:ascii="仿宋" w:hAnsi="仿宋" w:eastAsia="仿宋" w:cs="宋体"/>
                <w:color w:val="000000"/>
                <w:sz w:val="24"/>
                <w:szCs w:val="24"/>
                <w:highlight w:val="none"/>
              </w:rPr>
              <w:t xml:space="preserve">、总谐波失真：≤0.5%（1kHz）。</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18</w:t>
            </w:r>
            <w:r>
              <w:rPr>
                <w:rFonts w:ascii="仿宋" w:hAnsi="仿宋" w:eastAsia="仿宋" w:cs="宋体"/>
                <w:color w:val="000000"/>
                <w:sz w:val="24"/>
                <w:szCs w:val="24"/>
                <w:highlight w:val="none"/>
              </w:rPr>
              <w:t xml:space="preserve">、增益差：≤0.2dB。</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多媒体智能终端</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1、控制主机、控制面板要求分体设计，支持液晶交互控制面板，具备系统锁定功能，系统锁定后面板任何按键操作无效，解锁后面板按键起作用。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2、需支持管理平台远程控制多媒体设备开关、信号切换、触控面板解锁、锁定等功能，具备计算机、笔记本、无线投屏音视频一键切换，一键开关系统。</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sz w:val="24"/>
                <w:szCs w:val="24"/>
                <w:highlight w:val="none"/>
              </w:rPr>
              <w:t xml:space="preserve">3、▲≥4</w:t>
            </w:r>
            <w:r>
              <w:rPr>
                <w:rFonts w:ascii="Segoe UI Symbol" w:hAnsi="Segoe UI Symbol" w:eastAsia="仿宋" w:cs="Segoe UI Symbol"/>
                <w:sz w:val="24"/>
                <w:szCs w:val="24"/>
                <w:highlight w:val="none"/>
              </w:rPr>
              <w:t xml:space="preserve">✕</w:t>
            </w:r>
            <w:r>
              <w:rPr>
                <w:rFonts w:ascii="仿宋" w:hAnsi="仿宋" w:eastAsia="仿宋" w:cs="宋体"/>
                <w:sz w:val="24"/>
                <w:szCs w:val="24"/>
                <w:highlight w:val="none"/>
              </w:rPr>
              <w:t xml:space="preserve">6 路 HDMI 矩阵，≥4路HDMI输入，≥6路HDMI输出；≥1路音频输入，≥2路3.5mm立体声音频输出。（投标人提供原厂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sz w:val="24"/>
                <w:szCs w:val="24"/>
                <w:highlight w:val="none"/>
              </w:rPr>
              <w:t xml:space="preserve">4、▲≥</w:t>
            </w:r>
            <w:r>
              <w:rPr>
                <w:rFonts w:hint="eastAsia" w:ascii="仿宋" w:hAnsi="仿宋" w:eastAsia="仿宋" w:cs="宋体"/>
                <w:sz w:val="24"/>
                <w:szCs w:val="24"/>
                <w:highlight w:val="none"/>
              </w:rPr>
              <w:t xml:space="preserve">8</w:t>
            </w:r>
            <w:r>
              <w:rPr>
                <w:rFonts w:ascii="仿宋" w:hAnsi="仿宋" w:eastAsia="仿宋" w:cs="宋体"/>
                <w:sz w:val="24"/>
                <w:szCs w:val="24"/>
                <w:highlight w:val="none"/>
              </w:rPr>
              <w:t xml:space="preserve">路RS232通讯接口；≥1路RS485接口；≥4路DI接口；≥2路DO接口；≥6路LAN网络接口。（投标人提供原厂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5、≥3路220V可控电源插座；≥2路220V幕布控制端口，可同步和异步单独控制；≥4路单刀双掷开关控制端口,无源干接点输出。</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6、支持长线驱动HDMI高清信号传输，支持1080P、4K，全高清20米长线驱动输出。</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需要具备IC卡权限管理，支持IC卡读卡器接入，支持刷卡启动系统，IC权限验证支持脱网工作模式；需支持IC卡数据本地存储，可以保存不少于3万张IC卡数据、不少于4万条刷卡记录，IC卡的权限由管理平台统一授权。</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w:t>
            </w:r>
            <w:r>
              <w:rPr>
                <w:rFonts w:ascii="仿宋" w:hAnsi="仿宋" w:eastAsia="仿宋" w:cs="宋体"/>
                <w:color w:val="000000"/>
                <w:sz w:val="24"/>
                <w:szCs w:val="24"/>
                <w:highlight w:val="none"/>
              </w:rPr>
              <w:t xml:space="preserve">、需要支持EDID读取、设置，可以根据不同分辨率显示设备（投影机、显示器、触控屏等）设置EDID，要求支持4K、1080P、720P、1024*768等多种分辨率。</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、主机标准≤2U机箱，方便固定安装在设备机架。</w:t>
            </w:r>
            <w:r>
              <w:rPr>
                <w:rFonts w:hint="eastAsia" w:ascii="仿宋" w:hAnsi="仿宋" w:eastAsia="仿宋"/>
                <w:sz w:val="24"/>
                <w:szCs w:val="24"/>
                <w:highlight w:val="none"/>
              </w:rPr>
            </w:r>
            <w:r/>
          </w:p>
          <w:p>
            <w:pPr>
              <w:pStyle w:val="951"/>
              <w:jc w:val="left"/>
              <w:spacing w:line="440" w:lineRule="exact"/>
              <w:widowControl/>
              <w:rPr>
                <w:rFonts w:ascii="仿宋" w:hAnsi="仿宋" w:eastAsia="仿宋" w:cs="宋体"/>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w:t>
            </w:r>
            <w:r>
              <w:rPr>
                <w:rFonts w:hint="eastAsia" w:ascii="仿宋" w:hAnsi="仿宋" w:eastAsia="仿宋" w:cs="宋体"/>
                <w:i/>
                <w:iCs/>
                <w:sz w:val="24"/>
                <w:szCs w:val="24"/>
                <w:highlight w:val="none"/>
                <w:u w:val="single"/>
              </w:rPr>
              <w:t xml:space="preserve">需免费无缝接入学校现有WISE I-CONTROL集控管理平台和智慧教学管理平台（平台提供无条件配合），实现课表联动、统一管控、统一状态监测、统一数据采集分析呈现，可依学院、楼宇、楼层进行分类，可实现对所有设备的在线状态查看与远程管理。教室远程管理:可按学院、楼宇、楼层、实验室进行分层级管理，以每个实教室为详情展示单元，显示每个教室设备的数量与在线状态，并可在线查看监控设备画面。并承诺在项目质保承诺期限免费更新数据和免费升级。</w:t>
            </w:r>
            <w:r>
              <w:rPr>
                <w:rFonts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学校现有集控管理平台介绍：</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(1)基于TCP/IP网络的多媒体教室网络化远程管理系统，基于SQL Server 数据库。</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C/S架构，组建方式灵活，具备多校区、多客户端（PC/移动客户端）、多用户权限管理（管理员、操作员、查询用户）；总控主界面可以设置常用固定键码快捷键显示，操作执行命令和教室面板同步；常用设备开关状态过滤功能。</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(3)教室数量和距离不受限制，可跨网段控制；在网络故障情况下，教室端的设备可以独立正常使用。</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(4)可以远程控制教室中控系统开关、投影机开关，幕布的升降，并且可以对其他设备进行操作，包括线路音量以及讲台的电控锁等；可以远程对多媒体系统进行锁定和解锁。</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(5)可以对各多媒体教室设备单独或批量教室设备进行管理和控制。</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(6)可以对各多媒体教室进行分组设置，分组内教室可以设定按指定日期、时间开启中控系统，可以设置教室自动执行分组键码动作（如上下课、开关投影机、电源管理等）。</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(7)可远程查看多媒体教室系统设备运行状态；中控在线、断网状态显示；可显示教室内各个设备的运行状态；</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(8)可对投影机内部信息自动采集，可以查看投影机开机时间、灯泡使用时间、工作状态、故障状态等信息；可查询系统操作日志等。</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(9)具备课表排课管理功能，可以手动添加课表，也可以导入教务课表，可以设置按课表时间自动开启指定教室，完成无人值守的全自动管理。</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(10)具备防盗报警功能，教室内中控VGA、数字I/O断线时，管理平台具备报警信息提示，可显示时间及教室号。</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(11)可以通过网络远程接管各教室的教学计算机，可以监视计算机显示桌面、控制教室端计算机，实现远程协助。</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(12)具备IC卡管理功能，可实现对教室内IC卡控制器远程管理，实现IC卡授权、发卡、刷卡记录查询、数据管理等；IC卡发卡可以添加教师编号、名称、院系、职称等信息；可以按教室和教师信息查询授权进度状态和刷卡记录查询。</w:t>
            </w:r>
            <w:r>
              <w:rPr>
                <w:rFonts w:hint="eastAsia" w:ascii="仿宋" w:hAnsi="仿宋" w:eastAsia="仿宋" w:cs="宋体"/>
                <w:sz w:val="24"/>
                <w:szCs w:val="24"/>
                <w:highlight w:val="none"/>
              </w:rPr>
            </w:r>
            <w:r/>
          </w:p>
          <w:p>
            <w:pPr>
              <w:pStyle w:val="951"/>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(13)具备手机客户端远程控制功能，可以在3G\4G\5G网络、校园无线WIFI网络运行；手机客户端可以监视教室多媒体系统运行状态，实时获取教学系统异常报警信息，并可对教室设备进行系统加锁解锁、上下课等控制；可与IP电话联动，当总控室固定IP电话占线或无人接听时，自动转接到手机客户端，即使手机在锁屏或在其他软件界面状态中，只要有IP电话呼叫，也可以自动切换到来电教室界面。</w:t>
            </w:r>
            <w:r>
              <w:rPr>
                <w:rFonts w:hint="eastAsia" w:ascii="仿宋" w:hAnsi="仿宋" w:eastAsia="仿宋" w:cs="宋体"/>
                <w:sz w:val="24"/>
                <w:szCs w:val="24"/>
                <w:highlight w:val="none"/>
              </w:rPr>
            </w:r>
            <w:r/>
          </w:p>
          <w:p>
            <w:pPr>
              <w:pStyle w:val="951"/>
              <w:spacing w:line="440" w:lineRule="exact"/>
              <w:rPr>
                <w:rFonts w:ascii="仿宋" w:hAnsi="仿宋" w:eastAsia="仿宋" w:cs="宋体"/>
                <w:sz w:val="24"/>
                <w:szCs w:val="24"/>
                <w:highlight w:val="none"/>
              </w:rPr>
            </w:pPr>
            <w:r>
              <w:rPr>
                <w:rFonts w:hint="eastAsia" w:ascii="仿宋" w:hAnsi="仿宋" w:eastAsia="仿宋" w:cs="宋体"/>
                <w:sz w:val="24"/>
                <w:szCs w:val="24"/>
                <w:highlight w:val="none"/>
              </w:rPr>
              <w:t xml:space="preserve">（14）已对接学校教务系统、一卡通系统和智慧教学管理平台。</w:t>
            </w:r>
            <w:r>
              <w:rPr>
                <w:rFonts w:ascii="仿宋" w:hAnsi="仿宋" w:eastAsia="仿宋" w:cs="宋体"/>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1</w:t>
            </w:r>
            <w:r>
              <w:rPr>
                <w:rFonts w:ascii="仿宋" w:hAnsi="仿宋" w:eastAsia="仿宋" w:cs="宋体"/>
                <w:color w:val="000000"/>
                <w:sz w:val="24"/>
                <w:szCs w:val="24"/>
                <w:highlight w:val="none"/>
              </w:rPr>
              <w:t xml:space="preserve">、液晶终端≤4.0寸IPS屏幕，分辨率≥480×480，≥20000h背光寿命，LED 背光，亮度≥250nit，支持 ≥100 级亮度调节。</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画框幕</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尺寸：150寸，比例：16：10，高清漫反射投影幕布，反射增益≥1.0，可视角≥150°，防水，防刮，无光斑。</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150寸推拉黑板</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1、尺寸：5400mm×2100mm。</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结构：左侧由两块同等大小的书写板组成，右侧可装150吋幕布，黑板上下推拉升降结构，附带隐蔽式轨道，内板上安有防撞胶垫，每块板不少于2个，连接穿插件为ABS一次成型，油丝绳传动降低噪音，轴承轮消声走行，升降平稳，走行无噪音。为确保产品耐久性，滑轮使用寿命应不低于10万次</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color w:val="ee0000"/>
                <w:sz w:val="24"/>
                <w:szCs w:val="24"/>
                <w:highlight w:val="none"/>
              </w:rPr>
            </w:pPr>
            <w:r>
              <w:rPr>
                <w:rFonts w:ascii="仿宋" w:hAnsi="仿宋" w:eastAsia="仿宋" w:cs="宋体"/>
                <w:color w:val="000000"/>
                <w:sz w:val="24"/>
                <w:szCs w:val="24"/>
                <w:highlight w:val="none"/>
              </w:rPr>
              <w:t xml:space="preserve">3、板面：采用金属烤漆书写板面，亚光、墨绿色，光泽度≤12光泽单位，没有因教学书写板本身原因产生的眩光，书写流畅字迹清晰、色彩协调可视效果佳，有效</w:t>
            </w:r>
            <w:r>
              <w:rPr>
                <w:rFonts w:hint="eastAsia" w:ascii="仿宋" w:hAnsi="仿宋" w:eastAsia="仿宋" w:cs="宋体"/>
                <w:color w:val="000000"/>
                <w:sz w:val="24"/>
                <w:szCs w:val="24"/>
                <w:highlight w:val="none"/>
              </w:rPr>
              <w:t xml:space="preserve">地</w:t>
            </w:r>
            <w:r>
              <w:rPr>
                <w:rFonts w:ascii="仿宋" w:hAnsi="仿宋" w:eastAsia="仿宋" w:cs="宋体"/>
                <w:color w:val="000000"/>
                <w:sz w:val="24"/>
                <w:szCs w:val="24"/>
                <w:highlight w:val="none"/>
              </w:rPr>
              <w:t xml:space="preserve">缓解学生视觉疲劳；可吸附磁钉、磁片，便于教学。为确保师生健康，板面应无铅镉汞等重金属物质</w:t>
            </w:r>
            <w:r>
              <w:rPr>
                <w:rFonts w:hint="eastAsia" w:ascii="仿宋" w:hAnsi="仿宋" w:eastAsia="仿宋" w:cs="宋体"/>
                <w:color w:val="000000"/>
                <w:sz w:val="24"/>
                <w:szCs w:val="24"/>
                <w:highlight w:val="none"/>
              </w:rPr>
              <w:t xml:space="preserve">。</w:t>
            </w:r>
            <w:r>
              <w:rPr>
                <w:rFonts w:hint="eastAsia" w:ascii="仿宋" w:hAnsi="仿宋" w:eastAsia="仿宋"/>
                <w:color w:val="ee0000"/>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4、内芯：采用吸音、防潮、阻燃的聚苯乙烯板。硬度高，消音环保，能极大</w:t>
            </w:r>
            <w:r>
              <w:rPr>
                <w:rFonts w:hint="eastAsia" w:ascii="仿宋" w:hAnsi="仿宋" w:eastAsia="仿宋" w:cs="宋体"/>
                <w:color w:val="000000"/>
                <w:sz w:val="24"/>
                <w:szCs w:val="24"/>
                <w:highlight w:val="none"/>
              </w:rPr>
              <w:t xml:space="preserve">地</w:t>
            </w:r>
            <w:r>
              <w:rPr>
                <w:rFonts w:ascii="仿宋" w:hAnsi="仿宋" w:eastAsia="仿宋" w:cs="宋体"/>
                <w:color w:val="000000"/>
                <w:sz w:val="24"/>
                <w:szCs w:val="24"/>
                <w:highlight w:val="none"/>
              </w:rPr>
              <w:t xml:space="preserve">缓冲粉笔与板面的</w:t>
            </w:r>
            <w:r>
              <w:rPr>
                <w:rFonts w:hint="eastAsia" w:ascii="仿宋" w:hAnsi="仿宋" w:eastAsia="仿宋" w:cs="宋体"/>
                <w:color w:val="000000"/>
                <w:sz w:val="24"/>
                <w:szCs w:val="24"/>
                <w:highlight w:val="none"/>
              </w:rPr>
              <w:t xml:space="preserve">摩擦</w:t>
            </w:r>
            <w:r>
              <w:rPr>
                <w:rFonts w:ascii="仿宋" w:hAnsi="仿宋" w:eastAsia="仿宋" w:cs="宋体"/>
                <w:color w:val="000000"/>
                <w:sz w:val="24"/>
                <w:szCs w:val="24"/>
                <w:highlight w:val="none"/>
              </w:rPr>
              <w:t xml:space="preserve">，具有防潮、吸音、挺度好、平压强度好的作用。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5、背板：采用镀锌钢板，机械化流水线一次成型。</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6、覆板：采用自动化流水线覆板作业，避免人工作业刷胶不均导致粘贴不牢、起鼓等现象</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color w:val="ee0000"/>
                <w:sz w:val="24"/>
                <w:szCs w:val="24"/>
                <w:highlight w:val="none"/>
              </w:rPr>
            </w:pPr>
            <w:r>
              <w:rPr>
                <w:rFonts w:ascii="仿宋" w:hAnsi="仿宋" w:eastAsia="仿宋" w:cs="宋体"/>
                <w:color w:val="000000"/>
                <w:sz w:val="24"/>
                <w:szCs w:val="24"/>
                <w:highlight w:val="none"/>
              </w:rPr>
              <w:t xml:space="preserve">7、边框：采用铝合金型材，电泳香槟色；外立框规格≥85*65mm，外横框规格≥85*45mm，内框规格≥25*25mm，壁厚≥1mm，黑板边框下沿带有通长拉手槽，方便老师在任意位置推拉。边框应具有良好的耐磨性及耐腐蚀性，耐腐蚀性CASS 72H不得低于10级，耐磨性（落沙试验）应不低于4000g</w:t>
            </w:r>
            <w:r>
              <w:rPr>
                <w:rFonts w:hint="eastAsia" w:ascii="仿宋" w:hAnsi="仿宋" w:eastAsia="仿宋" w:cs="宋体"/>
                <w:color w:val="000000"/>
                <w:sz w:val="24"/>
                <w:szCs w:val="24"/>
                <w:highlight w:val="none"/>
              </w:rPr>
              <w:t xml:space="preserve">。</w:t>
            </w:r>
            <w:r>
              <w:rPr>
                <w:rFonts w:hint="eastAsia" w:ascii="仿宋" w:hAnsi="仿宋" w:eastAsia="仿宋"/>
                <w:color w:val="ee0000"/>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8、包角：采用ABS塑料注塑成型，包角采用双壁成腔流线型设计，一体化模具成型，无尖角毛刺，符合GB 21027-2020《学生用品的安全通用要求》</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9</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讲台</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1、规格：L*W*H（mm）：1200*780*1020（允许正负5mm偏离）；</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2、材料：桌面采用≥9mm高密度纤维板，边缘采用单面封边工艺，采用冷压工艺三聚氰胺贴面，防划、防泼水；</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3、主体采用</w:t>
            </w:r>
            <w:r>
              <w:rPr>
                <w:rFonts w:hint="eastAsia" w:ascii="仿宋" w:hAnsi="仿宋" w:eastAsia="仿宋" w:cs="宋体"/>
                <w:sz w:val="24"/>
                <w:szCs w:val="24"/>
                <w:highlight w:val="none"/>
              </w:rPr>
              <w:t xml:space="preserve">≥</w:t>
            </w:r>
            <w:r>
              <w:rPr>
                <w:rFonts w:ascii="仿宋" w:hAnsi="仿宋" w:eastAsia="仿宋" w:cs="宋体"/>
                <w:color w:val="000000"/>
                <w:sz w:val="24"/>
                <w:szCs w:val="24"/>
                <w:highlight w:val="none"/>
              </w:rPr>
              <w:t xml:space="preserve">1.0-1.5mm冷轧钢板，钣金全部通过酸洗磷化喷涂后再进行高温烘烤，防锈</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4</w:t>
            </w:r>
            <w:r>
              <w:rPr>
                <w:rFonts w:ascii="仿宋" w:hAnsi="仿宋" w:eastAsia="仿宋" w:cs="宋体"/>
                <w:color w:val="000000"/>
                <w:sz w:val="24"/>
                <w:szCs w:val="24"/>
                <w:highlight w:val="none"/>
              </w:rPr>
              <w:t xml:space="preserve">、上层两侧采用橡木扶手，正面采用L型高档橡木装饰板，学生端活动维修门，无锁联动，下层后门打开后，上层维修门方可打开，上翻开启并可拆卸，方便LOGO丝印和设备安装；L型板两侧为长条出音孔，预留音箱架安装位；</w:t>
            </w:r>
            <w:r>
              <w:rPr>
                <w:rFonts w:ascii="Calibri" w:hAnsi="Calibri" w:eastAsia="仿宋" w:cs="Calibri"/>
                <w:color w:val="000000"/>
                <w:sz w:val="24"/>
                <w:szCs w:val="24"/>
                <w:highlight w:val="none"/>
              </w:rPr>
              <w:t xml:space="preserve"> </w:t>
            </w:r>
            <w:r>
              <w:rPr>
                <w:rFonts w:hint="eastAsia" w:ascii="仿宋" w:hAnsi="仿宋" w:eastAsia="仿宋"/>
                <w:sz w:val="24"/>
                <w:szCs w:val="24"/>
                <w:highlight w:val="none"/>
              </w:rPr>
            </w:r>
            <w:r/>
          </w:p>
          <w:p>
            <w:pPr>
              <w:pStyle w:val="951"/>
              <w:spacing w:line="440" w:lineRule="exact"/>
              <w:rPr>
                <w:rFonts w:hint="eastAsia" w:ascii="仿宋" w:hAnsi="仿宋" w:eastAsia="仿宋"/>
                <w:strike/>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翻转显示器安装位，可安装21.5寸到23.8寸的显示器，显示器翻转到最大尺寸。不锈钢可调阻尼转轴，显示器可以在0-130°中任意停留，不会出现反扣。上层采用等长双抽屉设计，上方抽屉预留键盘、鼠标安装位，键盘抽屉下方为储物抽屉。键盘抽屉和储物抽屉采用三节静音钢珠导轨，材料厚度1.2mm</w:t>
            </w:r>
            <w:r>
              <w:rPr>
                <w:rFonts w:hint="eastAsia" w:ascii="仿宋" w:hAnsi="仿宋" w:eastAsia="仿宋" w:cs="宋体"/>
                <w:color w:val="000000"/>
                <w:sz w:val="24"/>
                <w:szCs w:val="24"/>
                <w:highlight w:val="none"/>
              </w:rPr>
              <w:t xml:space="preserve">；</w:t>
            </w:r>
            <w:r>
              <w:rPr>
                <w:rFonts w:hint="eastAsia" w:ascii="仿宋" w:hAnsi="仿宋" w:eastAsia="仿宋"/>
                <w:strike/>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、显示器右侧安装笔记本模块，供输入接口：USB3.0接口x2、五孔方形插座 x1、HDMI线x1、网线x1。预留1个过线孔，方便鼠标和键盘引线到桌面。讲台内自带固定线孔位，可对台内所有设备线进行固定；</w:t>
            </w:r>
            <w:r>
              <w:rPr>
                <w:rFonts w:ascii="Calibri" w:hAnsi="Calibri" w:eastAsia="仿宋" w:cs="Calibri"/>
                <w:color w:val="000000"/>
                <w:sz w:val="24"/>
                <w:szCs w:val="24"/>
                <w:highlight w:val="none"/>
              </w:rPr>
              <w:t xml:space="preserve"> </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下层前门采用对开门设计，右侧预留光驱门，不打开柜门即可开关电脑和使用光驱，预留主机限位孔及限位卡槽；左侧设备门，标配19寸国标机架，可拆卸立柱及挡板，放置中控主机，功放等多媒体设备，设备总空间</w:t>
            </w:r>
            <w:r>
              <w:rPr>
                <w:rFonts w:hint="eastAsia" w:ascii="仿宋" w:hAnsi="仿宋" w:eastAsia="仿宋" w:cs="宋体"/>
                <w:color w:val="000000"/>
                <w:sz w:val="24"/>
                <w:szCs w:val="24"/>
                <w:highlight w:val="none"/>
              </w:rPr>
              <w:t xml:space="preserve">不小于</w:t>
            </w:r>
            <w:r>
              <w:rPr>
                <w:rFonts w:ascii="仿宋" w:hAnsi="仿宋" w:eastAsia="仿宋" w:cs="宋体"/>
                <w:color w:val="000000"/>
                <w:sz w:val="24"/>
                <w:szCs w:val="24"/>
                <w:highlight w:val="none"/>
              </w:rPr>
              <w:t xml:space="preserve">12U，采用天地锁，耐用、防盗。后门采用单开门设计，便于拆装，后门开门方向为从右到左顺时针方向；下层右侧板预留86盒安装位置，敲落孔设计；前后门和左右两侧均开有散热孔</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10</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98寸智慧黑板</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1、智慧黑板整体尺寸：长≥4450mm 、宽≥1350mm 、厚≤120mm。液晶显示屏98吋，显示比例：16:9，分辨率不小于3840X2160，4K UHD超高清。屏幕亮度：≥350cd/㎡；</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2、采用电容触控技术，手指、触控笔轻触、实现多点互动、多人同时流畅书写，并支持</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t xml:space="preserve">40点触控；</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3、整机采用三拼接平面一体化设计，无外露连接线，外观简洁，整机两侧副屏可支持多种媒介进行板书书写，主屏采用3.2mm防眩钢化玻璃；</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4、前置端口采用前出式设计：≥3路双通道 PC/Android 共享 USB 接口 、≥1 路Touch-USB、≥1 路 HDMI输入接口、≥1路TYPE-C输入接口，方便用户拓展使用；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5、前置接口保护：前置接口具备翻转保护盖，有效防止灰尘等杂物对接口的侵蚀；</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、前置</w:t>
            </w:r>
            <w:r>
              <w:rPr>
                <w:rFonts w:hint="eastAsia" w:ascii="仿宋" w:hAnsi="仿宋" w:eastAsia="仿宋" w:cs="宋体"/>
                <w:color w:val="000000"/>
                <w:sz w:val="24"/>
                <w:szCs w:val="24"/>
                <w:highlight w:val="none"/>
              </w:rPr>
              <w:t xml:space="preserve">不少于</w:t>
            </w:r>
            <w:r>
              <w:rPr>
                <w:rFonts w:ascii="仿宋" w:hAnsi="仿宋" w:eastAsia="仿宋" w:cs="宋体"/>
                <w:color w:val="000000"/>
                <w:sz w:val="24"/>
                <w:szCs w:val="24"/>
                <w:highlight w:val="none"/>
              </w:rPr>
              <w:t xml:space="preserve">八个物理按键包含：开关机、信号源、菜单、音量+、音量-、节能、主页、电脑，并具有隐藏式电脑一键还原按钮；</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、内置高性能安卓</w:t>
            </w:r>
            <w:r>
              <w:rPr>
                <w:rFonts w:hint="eastAsia" w:ascii="仿宋" w:hAnsi="仿宋" w:eastAsia="仿宋" w:cs="宋体"/>
                <w:color w:val="000000"/>
                <w:sz w:val="24"/>
                <w:szCs w:val="24"/>
                <w:highlight w:val="none"/>
              </w:rPr>
              <w:t xml:space="preserve">不低于</w:t>
            </w:r>
            <w:r>
              <w:rPr>
                <w:rFonts w:ascii="仿宋" w:hAnsi="仿宋" w:eastAsia="仿宋" w:cs="宋体"/>
                <w:color w:val="000000"/>
                <w:sz w:val="24"/>
                <w:szCs w:val="24"/>
                <w:highlight w:val="none"/>
              </w:rPr>
              <w:t xml:space="preserve">14.0系统平台，RAM≥4GB，ROM≥32GB，并支持蓝牙≥5.0技术；</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w:t>
            </w:r>
            <w:r>
              <w:rPr>
                <w:rFonts w:ascii="仿宋" w:hAnsi="仿宋" w:eastAsia="仿宋" w:cs="宋体"/>
                <w:color w:val="000000"/>
                <w:sz w:val="24"/>
                <w:szCs w:val="24"/>
                <w:highlight w:val="none"/>
              </w:rPr>
              <w:t xml:space="preserve">、支持同时四画面无线传屏，并支持反向控制，双向控制，支持扫码传屏，支持手机、PAD和电脑多终端平台使用；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、后置接口（不包含OPS）：≥HDMI×1、≥USB×2、≥Touch USB×1、≥COAX×1、≥TF CARD×1、≥EARPHONE×1、≥RJ45×1、≥R232×1、≥VGA×1、≥PC audio×1；</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、智能护眼：设备具有全通道减滤蓝光护眼功能，具有检测到用户触摸屏幕时，自动调节屏幕亮度以减小对眼镜的刺激，并具有纸质护眼功能，全通道实现多种不同</w:t>
            </w:r>
            <w:r>
              <w:rPr>
                <w:rFonts w:ascii="仿宋" w:hAnsi="仿宋" w:eastAsia="仿宋" w:cs="宋体"/>
                <w:sz w:val="24"/>
                <w:szCs w:val="24"/>
                <w:highlight w:val="none"/>
              </w:rPr>
              <w:t xml:space="preserve">类型纸质护眼效果</w:t>
            </w:r>
            <w:r>
              <w:rPr>
                <w:rFonts w:hint="eastAsia" w:ascii="仿宋" w:hAnsi="仿宋" w:eastAsia="仿宋" w:cs="宋体"/>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11</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椅子</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要求材料</w:t>
            </w:r>
            <w:r>
              <w:rPr>
                <w:rFonts w:ascii="仿宋" w:hAnsi="仿宋" w:eastAsia="仿宋" w:cs="宋体"/>
                <w:color w:val="000000"/>
                <w:sz w:val="24"/>
                <w:szCs w:val="24"/>
                <w:highlight w:val="none"/>
              </w:rPr>
              <w:t xml:space="preserve">采用PP加纤</w:t>
            </w:r>
            <w:r>
              <w:rPr>
                <w:rFonts w:hint="eastAsia" w:ascii="仿宋" w:hAnsi="仿宋" w:eastAsia="仿宋" w:cs="宋体"/>
                <w:color w:val="000000"/>
                <w:sz w:val="24"/>
                <w:szCs w:val="24"/>
                <w:highlight w:val="none"/>
              </w:rPr>
              <w:t xml:space="preserve">处理</w:t>
            </w:r>
            <w:r>
              <w:rPr>
                <w:rFonts w:ascii="仿宋" w:hAnsi="仿宋" w:eastAsia="仿宋" w:cs="宋体"/>
                <w:color w:val="000000"/>
                <w:sz w:val="24"/>
                <w:szCs w:val="24"/>
                <w:highlight w:val="none"/>
              </w:rPr>
              <w:t xml:space="preserve">，符合国</w:t>
            </w:r>
            <w:r>
              <w:rPr>
                <w:rFonts w:hint="eastAsia" w:ascii="仿宋" w:hAnsi="仿宋" w:eastAsia="仿宋" w:cs="宋体"/>
                <w:color w:val="000000"/>
                <w:sz w:val="24"/>
                <w:szCs w:val="24"/>
                <w:highlight w:val="none"/>
              </w:rPr>
              <w:t xml:space="preserve">家</w:t>
            </w:r>
            <w:r>
              <w:rPr>
                <w:rFonts w:ascii="仿宋" w:hAnsi="仿宋" w:eastAsia="仿宋" w:cs="宋体"/>
                <w:color w:val="000000"/>
                <w:sz w:val="24"/>
                <w:szCs w:val="24"/>
                <w:highlight w:val="none"/>
              </w:rPr>
              <w:t xml:space="preserve">环保标准；</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2、胶背厚≥7mm，加厚座板，实心圆柱脚≥3-3.5cm,一体注塑成型；</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3、承重≥120KG，拉力≥108KG；</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4、座高≥45cm，座深≥40cm，座宽≥42cm，总高≥81cm</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12</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梯形桌</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规格尺寸</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对角φ1500-1800mm*750mm</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材质说明</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1、桌架：采用圆管≥1.2mm壁厚优质冷轧钢管；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2、横梁：采用圆管≥1.2mm壁厚优质冷轧钢管； </w:t>
            </w:r>
            <w:r>
              <w:rPr>
                <w:rFonts w:ascii="Calibri" w:hAnsi="Calibri" w:eastAsia="仿宋" w:cs="Calibri"/>
                <w:color w:val="000000"/>
                <w:sz w:val="24"/>
                <w:szCs w:val="24"/>
                <w:highlight w:val="none"/>
              </w:rPr>
              <w:t xml:space="preserve">   </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3、站脚：采用优质铝合金压铸成型；</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4、脚轮：采用50mm.PVC活动万向轮；</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5、台面：采用≥16mm厚E1级抗倍特板，甲醛含量标准符合环境标志产品技术要求，颜色可选配。</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13</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音箱</w:t>
            </w:r>
            <w:r>
              <w:rPr>
                <w:rFonts w:hint="eastAsia" w:ascii="仿宋" w:hAnsi="仿宋" w:eastAsia="仿宋"/>
                <w:sz w:val="24"/>
                <w:szCs w:val="24"/>
                <w:highlight w:val="none"/>
              </w:rPr>
            </w:r>
            <w:r/>
          </w:p>
        </w:tc>
        <w:tc>
          <w:tcPr>
            <w:shd w:val="clear" w:color="auto" w:fill="ffffff"/>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要求</w:t>
            </w:r>
            <w:r>
              <w:rPr>
                <w:rFonts w:ascii="仿宋" w:hAnsi="仿宋" w:eastAsia="仿宋" w:cs="宋体"/>
                <w:color w:val="000000"/>
                <w:sz w:val="24"/>
                <w:szCs w:val="24"/>
                <w:highlight w:val="none"/>
              </w:rPr>
              <w:t xml:space="preserve">采用高清全频扬声器点声源波束技术；</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要求</w:t>
            </w:r>
            <w:r>
              <w:rPr>
                <w:rFonts w:ascii="仿宋" w:hAnsi="仿宋" w:eastAsia="仿宋" w:cs="宋体"/>
                <w:color w:val="000000"/>
                <w:sz w:val="24"/>
                <w:szCs w:val="24"/>
                <w:highlight w:val="none"/>
              </w:rPr>
              <w:t xml:space="preserve">采用木质MDF中纤板强化箱体，白色磨砂PVC皮，网罩材料：木质蒙灰色纤维麻纱；</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cs="宋体"/>
                <w:color w:val="000000"/>
                <w:sz w:val="24"/>
                <w:szCs w:val="24"/>
                <w:highlight w:val="none"/>
              </w:rPr>
              <w:t xml:space="preserve">、驱动单元：1*≥6.5寸全音域扬声器；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4</w:t>
            </w:r>
            <w:r>
              <w:rPr>
                <w:rFonts w:ascii="仿宋" w:hAnsi="仿宋" w:eastAsia="仿宋" w:cs="宋体"/>
                <w:color w:val="000000"/>
                <w:sz w:val="24"/>
                <w:szCs w:val="24"/>
                <w:highlight w:val="none"/>
              </w:rPr>
              <w:t xml:space="preserve">、阻抗：4Ω；</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、额定功率：≥40W；</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、灵敏度（1W/1m）：≥86dB；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、指定频带内声压级（峰值）：≥116dB；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w:t>
            </w:r>
            <w:r>
              <w:rPr>
                <w:rFonts w:ascii="仿宋" w:hAnsi="仿宋" w:eastAsia="仿宋" w:cs="宋体"/>
                <w:color w:val="000000"/>
                <w:sz w:val="24"/>
                <w:szCs w:val="24"/>
                <w:highlight w:val="none"/>
              </w:rPr>
              <w:t xml:space="preserve">、频率响应：等于或优于50Hz~20kHz；</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9</w:t>
            </w:r>
            <w:r>
              <w:rPr>
                <w:rFonts w:ascii="仿宋" w:hAnsi="仿宋" w:eastAsia="仿宋" w:cs="宋体"/>
                <w:color w:val="000000"/>
                <w:sz w:val="24"/>
                <w:szCs w:val="24"/>
                <w:highlight w:val="none"/>
              </w:rPr>
              <w:t xml:space="preserve">、扩散角度：垂直：≥80°，水平：≥80°。</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14</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课桌</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规格尺寸：800*550*750mm</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材质说明</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1、桌架：采用锥形管≥1.2mm壁厚优质冷轧钢管，一体成型，上粗下细；</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2、横梁：采用≥25*50</w:t>
            </w:r>
            <w:r>
              <w:rPr>
                <w:rFonts w:hint="eastAsia" w:ascii="仿宋" w:hAnsi="仿宋" w:eastAsia="仿宋" w:cs="宋体"/>
                <w:color w:val="000000"/>
                <w:sz w:val="24"/>
                <w:szCs w:val="24"/>
                <w:highlight w:val="none"/>
              </w:rPr>
              <w:t xml:space="preserve">mm </w:t>
            </w:r>
            <w:r>
              <w:rPr>
                <w:rFonts w:ascii="仿宋" w:hAnsi="仿宋" w:eastAsia="仿宋" w:cs="宋体"/>
                <w:color w:val="000000"/>
                <w:sz w:val="24"/>
                <w:szCs w:val="24"/>
                <w:highlight w:val="none"/>
              </w:rPr>
              <w:t xml:space="preserve">矩形管≥1.0mm壁厚优质冷轧钢管；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3、脚垫：采用PP加耐磨纤维塑料一体成型；</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4、台面：采用不低于16mm厚E1级抗倍特板，甲醛含量标准符合环境标志产品技术要求。</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15</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86寸触摸一体机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1、主屏显示尺寸：86英寸；背光：DLED背光；显示比例：16:9；水平/垂直可视角度：≥178°；图像分辨率：≥3840×2160 ；灰阶：≥256级；液晶屏达到A级标准。</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2、整机采用全贴合工艺，采用红外触控技术，在Windows系统和Android系统下支持＞50点触控；整机内置安卓操作系统：安卓版本Android 14.0或以上，RAM≥4G，ROM≥32G。</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3、整机内置2.2声道音响，发声单元≥4个，内置音腔体积≥2L，总额定功率≥72W；整机扬声器在100%音量下，可做到1米处声压级≥91dB，10米处声压级≥85dB，响度差距≤6dB。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4、整机支持扩音功能，无需外接音响，连接无线麦克风可通过大屏扩音，延时≤30ms。</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5、整机前置按键≤1个，按键可实现开关机、调取中控菜单、锁定和解锁屏幕等功能。常用教学功能均可通过手势操作调取。</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、前置接口：为方便教师使用，具备至少1路HDMI输入接口，3路USB3.0接口，1路Type-C接口，USB 接口、HDMI接口和Type-C接口支持在Windows、Android 和信创系统下被读取，即插即用。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、侧置接口：为方便教师使用，具备至少1路Touch USB，1路USB3.0，2路HDMI输入（其中1路HDMI支持ARC），1路耳机输出，1路RJ45以太网口，1路串口（RS232）。USB 接口支持在Windows、Android 和信创系统下被读取，即插即用。</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16</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智能话筒管家</w:t>
            </w:r>
            <w:r>
              <w:rPr>
                <w:rFonts w:hint="eastAsia" w:ascii="仿宋" w:hAnsi="仿宋" w:eastAsia="仿宋"/>
                <w:sz w:val="24"/>
                <w:szCs w:val="24"/>
                <w:highlight w:val="none"/>
              </w:rPr>
            </w:r>
            <w:r/>
          </w:p>
        </w:tc>
        <w:tc>
          <w:tcPr>
            <w:tcW w:w="7229" w:type="dxa"/>
            <w:vAlign w:val="center"/>
            <w:textDirection w:val="lrTb"/>
            <w:noWrap w:val="false"/>
          </w:tcPr>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1、天线系统前置在充电座，完美解决天线外露及固定、无线信号屏蔽、天线使用距离、接收机布置受限等传统无线话筒的问题；</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2、具备锁扣式智能保管功能，支持物联网智能接入控制；</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3、支持多频段无线信号接收处理；</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4、话筒解锁即可实现对频、通信等预处理工作，无需额外对频动作，拿起话筒无需任何操作和等待即可使用；</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5、具备使用语音提示，包含开机提示音，话筒落锁解锁提示音；</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6、集成多方位红外发射功能；</w:t>
            </w:r>
            <w:r>
              <w:rPr>
                <w:rFonts w:hint="eastAsia" w:ascii="仿宋" w:hAnsi="仿宋" w:eastAsia="仿宋" w:cs="仿宋"/>
                <w:color w:val="000000"/>
                <w:sz w:val="24"/>
                <w:szCs w:val="24"/>
                <w:highlight w:val="none"/>
              </w:rPr>
            </w:r>
            <w:r/>
          </w:p>
          <w:p>
            <w:pPr>
              <w:pStyle w:val="951"/>
              <w:jc w:val="left"/>
              <w:spacing w:line="440" w:lineRule="exact"/>
              <w:rPr>
                <w:rFonts w:hint="eastAsia" w:ascii="仿宋" w:hAnsi="仿宋" w:eastAsia="仿宋"/>
                <w:sz w:val="24"/>
                <w:szCs w:val="24"/>
                <w:highlight w:val="none"/>
              </w:rPr>
            </w:pPr>
            <w:r>
              <w:rPr>
                <w:rFonts w:hint="eastAsia" w:ascii="仿宋" w:hAnsi="仿宋" w:eastAsia="仿宋" w:cs="仿宋"/>
                <w:color w:val="000000"/>
                <w:sz w:val="24"/>
                <w:szCs w:val="24"/>
                <w:highlight w:val="none"/>
              </w:rPr>
              <w:t xml:space="preserve">7、分离式接口盒设计，桌面部分没有任何外露接插头，防止误插拔和接插头意外脱落。  </w:t>
            </w:r>
            <w:r>
              <w:rPr>
                <w:rFonts w:ascii="Calibri" w:hAnsi="Calibri" w:eastAsia="仿宋" w:cs="Calibri"/>
                <w:color w:val="000000"/>
                <w:sz w:val="24"/>
                <w:szCs w:val="24"/>
                <w:highlight w:val="none"/>
              </w:rPr>
              <w:t xml:space="preserve">                </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17</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阵列麦克风</w:t>
            </w:r>
            <w:r>
              <w:rPr>
                <w:rFonts w:hint="eastAsia" w:ascii="仿宋" w:hAnsi="仿宋" w:eastAsia="仿宋"/>
                <w:sz w:val="24"/>
                <w:szCs w:val="24"/>
                <w:highlight w:val="none"/>
              </w:rPr>
            </w:r>
            <w:r/>
          </w:p>
        </w:tc>
        <w:tc>
          <w:tcPr>
            <w:tcW w:w="7229" w:type="dxa"/>
            <w:vAlign w:val="top"/>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1、阵列麦克风，采用≥6咪线性阵列，高声源定位和波束成形，语音更清晰；</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2、可≥10米远距离宽范围拾音；</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cs="宋体"/>
                <w:color w:val="000000"/>
                <w:sz w:val="24"/>
                <w:szCs w:val="24"/>
                <w:highlight w:val="none"/>
              </w:rPr>
              <w:t xml:space="preserve">、48V幻象电源供电；</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4</w:t>
            </w:r>
            <w:r>
              <w:rPr>
                <w:rFonts w:ascii="仿宋" w:hAnsi="仿宋" w:eastAsia="仿宋" w:cs="宋体"/>
                <w:color w:val="000000"/>
                <w:sz w:val="24"/>
                <w:szCs w:val="24"/>
                <w:highlight w:val="none"/>
              </w:rPr>
              <w:t xml:space="preserve">、抗手机、电磁、高频干扰；</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、频率响应：20-20KHZ（±3dB）；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、敏感度：等于或优于-38dB±3dB；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、最大声压级：≥138dB SPL；</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w:t>
            </w:r>
            <w:r>
              <w:rPr>
                <w:rFonts w:ascii="仿宋" w:hAnsi="仿宋" w:eastAsia="仿宋" w:cs="宋体"/>
                <w:color w:val="000000"/>
                <w:sz w:val="24"/>
                <w:szCs w:val="24"/>
                <w:highlight w:val="none"/>
              </w:rPr>
              <w:t xml:space="preserve">、信噪比：≥82dB。</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18</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智能交互书写终端</w:t>
            </w:r>
            <w:r>
              <w:rPr>
                <w:rFonts w:hint="eastAsia" w:ascii="仿宋" w:hAnsi="仿宋" w:eastAsia="仿宋"/>
                <w:sz w:val="24"/>
                <w:szCs w:val="24"/>
                <w:highlight w:val="none"/>
              </w:rPr>
            </w:r>
            <w:r/>
          </w:p>
        </w:tc>
        <w:tc>
          <w:tcPr>
            <w:shd w:val="clear" w:color="auto" w:fill="ffffff"/>
            <w:tcW w:w="7229" w:type="dxa"/>
            <w:vAlign w:val="center"/>
            <w:textDirection w:val="lrTb"/>
            <w:noWrap w:val="false"/>
          </w:tcPr>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1、▲智能书写终端采用主屏、辅屏与读卡器一体化设计，主屏与辅屏要求左右分布模式，集成书写显示屏、交互控制面板、读卡器、人脸识别、一键呼叫功能；全贴合工艺，表面采用蚀刻AG防炫光玻璃。</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主屏显示尺寸（对角线）≥23英寸；分辨率≥1920×1080；显示比例16：9；对比度≥1000：1；亮度≥250cd/平米；触摸采用电容、电磁触控技术，支持手指及电磁笔双重触控方式；手写分辨率不低于5080LPI，压感级别不低于8192级；辅屏显示尺寸（对角线）≥10英寸，分辨率≥800×1280；屏幕比例10：16；对比度≥1000：1；亮度≥250cd/平米；内置Android操作系统；</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3、智能书写终端整机具备信号显示、书写白板、主屏辅屏互动、物联管控、一键呼叫等功能，满足老师教学时显示画面同步、快捷操作、板书书写、批注及多媒体设备智能控制；</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4、≥1路HDMI、≥1路VGA；≥2路USB扩展接口，可接U盘及设备充电；1路USB触控线接口；</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5、包含一支无源书写笔，采用电磁压感技术，响应快，笔触细腻，书写流畅；</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6、▲支持书写屏与交互控制面板大小屏交互，在交互控制面板上，可以对电脑上打开的程序进行预览，预览内容包括但不限于WPS、office、浏览器、视频播放器等各类应用软件；</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7、具备批注功能，多种笔形选择在教学时，可以通过批注功能将当前教学的重点内容进行批注；批注有多种笔型和颜色供选择；</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8、具备板书功能、老师在画板上可以自由进行涂画和书写，支持画笔颜色、笔粗细、板书背景颜色设置，支持擦除、清空、页面选择、保存板书等操作；支持双指上下拖动板书页面移动；</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辅屏控制面板可根据用户需求自编程设计，可自定义背景图片、功能按键图标、锁屏壁纸等，适配个性化场景需求；支持与多媒体智能终端联动控制（如上下课指令、设备开关、信号切换、录播控制等）；需支持通过浏览器或专用软件自定义配置，支持网络远程配置，支持IP地址、MAC地址扫描，支持IP地址设置，支持固件升级；需支持配置程序云端备份；</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支持与录播系统融合，在辅屏控制面板上提供对录播系统的控制功能，如开始、暂停、结束、切换视角等；支持在辅屏控制面板上实时拉流预览录制画面或摄像头视频，实时显示视频流状态；可以对录播系统进行画中画、三画面等导播操作切换；</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11、▲具备IP语音对讲功能，支持SIP协议，支持分机号码配置，需支持接入学校现有IP语音服务器，实现各教室与控制室IP语音通话功能；</w:t>
            </w:r>
            <w:r>
              <w:rPr>
                <w:rFonts w:hint="eastAsia" w:ascii="仿宋" w:hAnsi="仿宋" w:eastAsia="仿宋" w:cs="仿宋"/>
                <w:color w:val="000000"/>
                <w:sz w:val="24"/>
                <w:szCs w:val="24"/>
                <w:highlight w:val="none"/>
              </w:rPr>
              <w:t xml:space="preserve">（需提供无缝对接学校原有IP对讲系统承诺书）</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12、支持动态二维码显示，和老师统一身份数据对接后，二维码可用于手机扫码身份权限验证，实现扫码上课；</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13、需内置读卡器，支持刷IC卡方式身份权限验证，解锁系统；</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14、内置摄像头，摄像头≧200万像素；可扩展用于人脸识别，与学校人脸数据库对接后，支持人脸识别验证老师权限开启系统；</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15、支持密码验证解锁功能，输入正确密码后面板解锁，开启系统；</w:t>
            </w:r>
            <w:r>
              <w:rPr>
                <w:rFonts w:hint="eastAsia" w:ascii="仿宋" w:hAnsi="仿宋" w:eastAsia="仿宋" w:cs="仿宋"/>
                <w:sz w:val="24"/>
                <w:szCs w:val="24"/>
                <w:highlight w:val="none"/>
              </w:rPr>
            </w:r>
            <w:r/>
          </w:p>
          <w:p>
            <w:pPr>
              <w:pStyle w:val="951"/>
              <w:jc w:val="left"/>
              <w:spacing w:line="440" w:lineRule="exact"/>
              <w:widowControl/>
              <w:rPr>
                <w:rFonts w:hint="eastAsia" w:ascii="仿宋" w:hAnsi="仿宋" w:eastAsia="仿宋"/>
                <w:sz w:val="24"/>
                <w:szCs w:val="24"/>
                <w:highlight w:val="none"/>
              </w:rPr>
            </w:pPr>
            <w:r>
              <w:rPr>
                <w:rFonts w:hint="eastAsia" w:ascii="仿宋" w:hAnsi="仿宋" w:eastAsia="仿宋" w:cs="仿宋"/>
                <w:sz w:val="24"/>
                <w:szCs w:val="24"/>
                <w:highlight w:val="none"/>
              </w:rPr>
              <w:t xml:space="preserve">16、支持嵌入操作说明，支持嵌入图片和视频两种格式操作说明，触发操作说明按键后可打开电子文档、播放视频。</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19</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无线教学话筒</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sz w:val="24"/>
                <w:szCs w:val="24"/>
                <w:highlight w:val="none"/>
              </w:rPr>
              <w:t xml:space="preserve">1</w:t>
            </w:r>
            <w:r>
              <w:rPr>
                <w:rFonts w:hint="eastAsia" w:ascii="仿宋" w:hAnsi="仿宋" w:eastAsia="仿宋" w:cs="宋体"/>
                <w:color w:val="000000"/>
                <w:sz w:val="24"/>
                <w:szCs w:val="24"/>
                <w:highlight w:val="none"/>
              </w:rPr>
              <w:t xml:space="preserve">、2.4G传输，红外对频，不串频、不干扰。第一次对频成功后开机即可使用，无需再次对频；</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2、传输距离：≥25m；</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3、麦克风内置PPT翻页模块与激光笔模块；</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4、可通过麦克风上的OLED显示屏调节高音、低音、自动增益等功能，快速定制专属音质；</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5、带磁控锁充电底座；</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6、将笔形麦克风放入充电底座即可自动感应上锁；</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7、放入充电底座30分钟后自动关机，加快充电速度；</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8、无线麦接收模块内嵌于智能音频主机内。</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20</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辅助显示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屏幕尺寸（对角线）≥75英寸，显示比例16:9，亮度≥350cd/m2，对比度≥4000：1，刷新率60Hz，可视角度≥178°，分辨率3840×2160，屏幕显示灰度等级≥1024灰阶。</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21</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电子升降讲台</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1、规格：≥1300*700*770-1220㎜（长*宽*高-升降行程）</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2、主体材料厚度≥1.0mm的优质冷轧钢板，</w:t>
            </w:r>
            <w:r>
              <w:rPr>
                <w:rFonts w:hint="eastAsia" w:ascii="仿宋" w:hAnsi="仿宋" w:eastAsia="仿宋" w:cs="宋体"/>
                <w:color w:val="000000"/>
                <w:sz w:val="24"/>
                <w:szCs w:val="24"/>
                <w:highlight w:val="none"/>
              </w:rPr>
              <w:t xml:space="preserve">经规范工艺加工而成</w:t>
            </w:r>
            <w:r>
              <w:rPr>
                <w:rFonts w:ascii="仿宋" w:hAnsi="仿宋" w:eastAsia="仿宋" w:cs="宋体"/>
                <w:color w:val="000000"/>
                <w:sz w:val="24"/>
                <w:szCs w:val="24"/>
                <w:highlight w:val="none"/>
              </w:rPr>
              <w:t xml:space="preserve">。柜体边缘及拐角均采用大圆弧平滑过渡设计，美观大方并有效防止碰撞。柜体底部预留出线孔，方便设备连接，两侧做设备散热孔，下柜体双排标准机架，机箱可容纳不少于12U设备安装空间，同时能安放可调式活动层板，增大空间利用率，且设备机箱和电脑主机位均采用全封闭式结构。</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桌面采用E1级免漆板，厚度≥25㎜，桌面板所有棱边都采用弧形倒角设计，美观大方，保护师生安全，桌面上方采用三面实木围挡，环保水性漆，可有效防止桌面物品滑落，桌面前部具备完整平面的前挡板设计，可自由粘贴或丝网印刷学校的校徽LOGO。</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4、讲桌采用两节双电机升降脚架，电动升降脚架安装采用内嵌式安装方式，桌面离地总高度可调：770mm-1220mm,满足大部分用户的最适使用高度，集成≥4种高度预设模式，用户可以随时添加需要的高度。</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22</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ascii="仿宋" w:hAnsi="仿宋" w:eastAsia="仿宋"/>
                <w:sz w:val="24"/>
                <w:szCs w:val="24"/>
                <w:highlight w:val="none"/>
              </w:rPr>
            </w:pPr>
            <w:r>
              <w:rPr>
                <w:rFonts w:hint="eastAsia" w:ascii="仿宋" w:hAnsi="仿宋" w:eastAsia="仿宋" w:cs="宋体"/>
                <w:sz w:val="24"/>
                <w:szCs w:val="24"/>
                <w:highlight w:val="none"/>
              </w:rPr>
              <w:t xml:space="preserve">台式计算机</w:t>
            </w:r>
            <w:r>
              <w:rPr>
                <w:rFonts w:ascii="仿宋" w:hAnsi="仿宋" w:eastAsia="仿宋"/>
                <w:sz w:val="24"/>
                <w:szCs w:val="24"/>
                <w:highlight w:val="none"/>
              </w:rPr>
            </w:r>
            <w:r/>
          </w:p>
        </w:tc>
        <w:tc>
          <w:tcPr>
            <w:tcW w:w="7229" w:type="dxa"/>
            <w:vAlign w:val="center"/>
            <w:textDirection w:val="lrTb"/>
            <w:noWrap w:val="false"/>
          </w:tcPr>
          <w:p>
            <w:pPr>
              <w:pStyle w:val="951"/>
              <w:numPr>
                <w:ilvl w:val="0"/>
                <w:numId w:val="8"/>
              </w:numPr>
              <w:spacing w:line="440" w:lineRule="exact"/>
              <w:rPr>
                <w:rFonts w:hint="eastAsia" w:ascii="仿宋" w:hAnsi="仿宋" w:eastAsia="仿宋" w:cs="宋体"/>
                <w:i/>
                <w:iCs/>
                <w:sz w:val="24"/>
                <w:szCs w:val="24"/>
                <w:highlight w:val="none"/>
                <w:u w:val="single"/>
              </w:rPr>
            </w:pPr>
            <w:r>
              <w:rPr>
                <w:rFonts w:hint="eastAsia" w:ascii="仿宋" w:hAnsi="仿宋" w:eastAsia="仿宋" w:cs="宋体"/>
                <w:i/>
                <w:iCs/>
                <w:sz w:val="24"/>
                <w:szCs w:val="24"/>
                <w:highlight w:val="none"/>
                <w:u w:val="single"/>
              </w:rPr>
              <w:t xml:space="preserve">CPU：≥16核、≥24线程、主频≥2.2GHz、睿频频率≥5.2GHz、缓存≥30MB；</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ascii="仿宋" w:hAnsi="仿宋" w:eastAsia="仿宋" w:cs="宋体"/>
                <w:i/>
                <w:iCs/>
                <w:sz w:val="24"/>
                <w:szCs w:val="24"/>
                <w:highlight w:val="none"/>
                <w:u w:val="single"/>
              </w:rPr>
              <w:t xml:space="preserve">内存≥16G</w:t>
            </w:r>
            <w:r>
              <w:rPr>
                <w:rFonts w:hint="eastAsia" w:ascii="仿宋" w:hAnsi="仿宋" w:eastAsia="仿宋" w:cs="宋体"/>
                <w:i/>
                <w:iCs/>
                <w:sz w:val="24"/>
                <w:szCs w:val="24"/>
                <w:highlight w:val="none"/>
                <w:u w:val="single"/>
              </w:rPr>
              <w:t xml:space="preserve"> DDR4、</w:t>
            </w:r>
            <w:r>
              <w:rPr>
                <w:rFonts w:ascii="仿宋" w:hAnsi="仿宋" w:eastAsia="仿宋" w:cs="宋体"/>
                <w:i/>
                <w:iCs/>
                <w:color w:val="000000"/>
                <w:sz w:val="24"/>
                <w:szCs w:val="24"/>
                <w:highlight w:val="none"/>
                <w:u w:val="single"/>
              </w:rPr>
              <w:t xml:space="preserve">内存频率≥3200MT/s</w:t>
            </w:r>
            <w:r>
              <w:rPr>
                <w:rFonts w:hint="eastAsia" w:ascii="仿宋" w:hAnsi="仿宋" w:eastAsia="仿宋" w:cs="宋体"/>
                <w:i/>
                <w:iCs/>
                <w:color w:val="000000"/>
                <w:sz w:val="24"/>
                <w:szCs w:val="24"/>
                <w:highlight w:val="none"/>
                <w:u w:val="single"/>
              </w:rPr>
              <w:t xml:space="preserve">；</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ascii="仿宋" w:hAnsi="仿宋" w:eastAsia="仿宋" w:cs="宋体"/>
                <w:i/>
                <w:iCs/>
                <w:sz w:val="24"/>
                <w:szCs w:val="24"/>
                <w:highlight w:val="none"/>
                <w:u w:val="single"/>
              </w:rPr>
              <w:t xml:space="preserve">硬盘≥512G M.2</w:t>
            </w:r>
            <w:r>
              <w:rPr>
                <w:rFonts w:hint="eastAsia" w:ascii="仿宋" w:hAnsi="仿宋" w:eastAsia="仿宋" w:cs="宋体"/>
                <w:i/>
                <w:iCs/>
                <w:sz w:val="24"/>
                <w:szCs w:val="24"/>
                <w:highlight w:val="none"/>
                <w:u w:val="single"/>
              </w:rPr>
              <w:t xml:space="preserve">；</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hint="eastAsia" w:ascii="仿宋" w:hAnsi="仿宋" w:eastAsia="仿宋" w:cs="宋体"/>
                <w:i/>
                <w:iCs/>
                <w:sz w:val="24"/>
                <w:szCs w:val="24"/>
                <w:highlight w:val="none"/>
                <w:u w:val="single"/>
              </w:rPr>
              <w:t xml:space="preserve">独立</w:t>
            </w:r>
            <w:r>
              <w:rPr>
                <w:rFonts w:ascii="仿宋" w:hAnsi="仿宋" w:eastAsia="仿宋" w:cs="宋体"/>
                <w:i/>
                <w:iCs/>
                <w:sz w:val="24"/>
                <w:szCs w:val="24"/>
                <w:highlight w:val="none"/>
                <w:u w:val="single"/>
              </w:rPr>
              <w:t xml:space="preserve">显卡不低于8G配置</w:t>
            </w:r>
            <w:r>
              <w:rPr>
                <w:rFonts w:hint="eastAsia" w:ascii="仿宋" w:hAnsi="仿宋" w:eastAsia="仿宋" w:cs="宋体"/>
                <w:i/>
                <w:iCs/>
                <w:sz w:val="24"/>
                <w:szCs w:val="24"/>
                <w:highlight w:val="none"/>
                <w:u w:val="single"/>
              </w:rPr>
              <w:t xml:space="preserve">；</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hint="eastAsia" w:ascii="仿宋" w:hAnsi="仿宋" w:eastAsia="仿宋" w:cs="宋体"/>
                <w:i/>
                <w:iCs/>
                <w:sz w:val="24"/>
                <w:szCs w:val="24"/>
                <w:highlight w:val="none"/>
                <w:u w:val="single"/>
              </w:rPr>
              <w:t xml:space="preserve">前置面板接口：USB接口≥7个（至少包括USB-C 接口≥1个，其中包括USB-C在内的USB 3.2 Gen1速率接口≥3个）；</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hint="eastAsia" w:ascii="仿宋" w:hAnsi="仿宋" w:eastAsia="仿宋" w:cs="宋体"/>
                <w:i/>
                <w:iCs/>
                <w:sz w:val="24"/>
                <w:szCs w:val="24"/>
                <w:highlight w:val="none"/>
                <w:u w:val="single"/>
              </w:rPr>
              <w:t xml:space="preserve">≥2个麦克风接口；</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关机状态下，支持≥1个前置USB端口对外供电；</w:t>
            </w:r>
            <w:r>
              <w:rPr>
                <w:rFonts w:hint="eastAsia" w:ascii="仿宋" w:hAnsi="仿宋" w:eastAsia="仿宋" w:cs="宋体"/>
                <w:sz w:val="24"/>
                <w:szCs w:val="24"/>
                <w:highlight w:val="none"/>
              </w:rPr>
            </w:r>
            <w:r/>
          </w:p>
          <w:p>
            <w:pPr>
              <w:pStyle w:val="951"/>
              <w:numPr>
                <w:ilvl w:val="0"/>
                <w:numId w:val="8"/>
              </w:numPr>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后置面板接口：≥4个USB-A接口，后置USB接口支持键盘开机；</w:t>
            </w:r>
            <w:r>
              <w:rPr>
                <w:rFonts w:hint="eastAsia" w:ascii="仿宋" w:hAnsi="仿宋" w:eastAsia="仿宋" w:cs="宋体"/>
                <w:sz w:val="24"/>
                <w:szCs w:val="24"/>
                <w:highlight w:val="none"/>
              </w:rPr>
            </w:r>
            <w:r/>
          </w:p>
          <w:p>
            <w:pPr>
              <w:pStyle w:val="951"/>
              <w:numPr>
                <w:ilvl w:val="0"/>
                <w:numId w:val="8"/>
              </w:numPr>
              <w:spacing w:line="440" w:lineRule="exact"/>
              <w:rPr>
                <w:rFonts w:hint="eastAsia" w:ascii="仿宋" w:hAnsi="仿宋" w:eastAsia="仿宋" w:cs="宋体"/>
                <w:i/>
                <w:iCs/>
                <w:sz w:val="24"/>
                <w:szCs w:val="24"/>
                <w:highlight w:val="none"/>
                <w:u w:val="single"/>
              </w:rPr>
            </w:pPr>
            <w:r>
              <w:rPr>
                <w:rFonts w:hint="eastAsia" w:ascii="仿宋" w:hAnsi="仿宋" w:eastAsia="仿宋" w:cs="宋体"/>
                <w:i/>
                <w:iCs/>
                <w:sz w:val="24"/>
                <w:szCs w:val="24"/>
                <w:highlight w:val="none"/>
                <w:u w:val="single"/>
              </w:rPr>
              <w:t xml:space="preserve">≥1个HDMI 1.4b、≥1个DP 1.4、≥1个VGA接口；≥3个后置音频接口；1个RJ45接口；</w:t>
            </w:r>
            <w:r>
              <w:rPr>
                <w:rFonts w:hint="eastAsia" w:ascii="仿宋" w:hAnsi="仿宋" w:eastAsia="仿宋" w:cs="宋体"/>
                <w:i/>
                <w:iCs/>
                <w:sz w:val="24"/>
                <w:szCs w:val="24"/>
                <w:highlight w:val="none"/>
                <w:u w:val="single"/>
              </w:rPr>
            </w:r>
            <w:r/>
          </w:p>
          <w:p>
            <w:pPr>
              <w:pStyle w:val="951"/>
              <w:numPr>
                <w:ilvl w:val="0"/>
                <w:numId w:val="8"/>
              </w:numPr>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内置拓展接口：1个PCIE x16 5.0 16 Lanes、1个PCIE x4 4.0 4 Lanes、1个PCIE x1 4.0 Lanes；</w:t>
            </w:r>
            <w:r>
              <w:rPr>
                <w:rFonts w:hint="eastAsia" w:ascii="仿宋" w:hAnsi="仿宋" w:eastAsia="仿宋" w:cs="宋体"/>
                <w:sz w:val="24"/>
                <w:szCs w:val="24"/>
                <w:highlight w:val="none"/>
              </w:rPr>
            </w:r>
            <w:r/>
          </w:p>
          <w:p>
            <w:pPr>
              <w:pStyle w:val="951"/>
              <w:numPr>
                <w:ilvl w:val="0"/>
                <w:numId w:val="8"/>
              </w:numPr>
              <w:spacing w:line="44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电源：电源功率≥500W，电源转换效率≥92%</w:t>
            </w:r>
            <w:r>
              <w:rPr>
                <w:rFonts w:hint="eastAsia" w:ascii="仿宋" w:hAnsi="仿宋" w:eastAsia="仿宋" w:cs="宋体"/>
                <w:sz w:val="24"/>
                <w:szCs w:val="24"/>
                <w:highlight w:val="none"/>
              </w:rPr>
            </w:r>
            <w:r/>
          </w:p>
          <w:p>
            <w:pPr>
              <w:pStyle w:val="951"/>
              <w:spacing w:line="440" w:lineRule="exact"/>
              <w:rPr>
                <w:rFonts w:hint="eastAsia" w:ascii="仿宋" w:hAnsi="仿宋" w:eastAsia="仿宋"/>
                <w:b/>
                <w:bCs/>
                <w:sz w:val="24"/>
                <w:szCs w:val="24"/>
                <w:highlight w:val="none"/>
              </w:rPr>
            </w:pPr>
            <w:r>
              <w:rPr>
                <w:rFonts w:hint="eastAsia" w:ascii="仿宋" w:hAnsi="仿宋" w:eastAsia="仿宋"/>
                <w:i/>
                <w:iCs/>
                <w:sz w:val="24"/>
                <w:szCs w:val="24"/>
                <w:highlight w:val="none"/>
                <w:u w:val="single"/>
              </w:rPr>
              <w:t xml:space="preserve">须提供国家确定的认证机构出具的、处于有效期之内的该节能产品认证证书复印件。</w:t>
            </w:r>
            <w:r>
              <w:rPr>
                <w:rFonts w:hint="eastAsia" w:ascii="仿宋" w:hAnsi="仿宋" w:eastAsia="仿宋"/>
                <w:b/>
                <w:bCs/>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23</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网络中控及控制面板</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一、网络中控：</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1、终端机柜式和无风扇设计，≤2U。集成强电控制、音频矩阵、视频矩阵、USB、串口通信、交换机、DC供电功能。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具备物联接口，千兆交换机≥6口，其中≥4路POE，≥5路VLAN。数字功放≥2路，3.5音频输入≥1路，3.5mm音频输出≥2路，幻象供电麦克风输入≥1路。HDMI全交叉视频矩阵≥4*4，≥4路输入和≥4路输出，支持分辨率预置和音频传输选择。RS232接口≥6路，RS485接口≥2路，USB接口≥2路（可接USB转串口分配器并在平台端显示资源接口）。IO输入≥1路。IO干接点输出≥1路，支持常闭或者常开接入。DC12V/5V输出≥1路。</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3、支持DHCP，兼容路由器、交换机、网桥网关、Modem、Internet、组播、单播等任意网络结构，支持TCP/IP、UDP、IGMP(组播)协议。实现网络化传输16位立体声CD音质的音频信号。</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4、采用国产CPU，LINUX操作系统，处理器主频≥1.5GHz。实现网络融合功能，IP广播、物联网关、中控等功能运行于同一系统，使用同一IP地址。</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5、可接入无线/有线物联网关，控制无线协议物联模块。支持物联灯光模块、风扇模块、窗帘模块、红外模块、插座模块、门禁模块、幕布模块的接入。支持≥50路物联接入，可独立或批量控制。</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6、支持远程对设备及物联设备的手动、定时集控管理（设备的开关机、电源输出的开关等）。通过平台软件或者搜索软件进行配置，局域网内可远程和批量配置。</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7、软件采用可编程设计，支持端口自定义属性，将端口关联控制，实现联动管理。支持软件可编程功能，预置多套风格模板，无需关机即可切换。</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8、内置强电智能管理，≥3路独立可编程电源输出，采用国标电源插口，每路负载电流≥10A。支持自定义设置电源输出方式，可与投影仪、幕布、显示器、大屏、屏蔽仪、电脑、录播等设备自定义选择。</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9、支持模型配置功能，支持设备模型自定义关联添加或删除，终端同步更新，支持多设备关联控制，设备管理数量≥60个。支持自定义场景配置，每台终端可定义≥10个教学场景，不同教学场景可联动不同的教学设备及物联设备。</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二、中控面板：</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1、终端一体化设计，采用国产CPU，无风扇设计。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设备面板与中控功能融合一体化设计，支持壁挂、嵌入、桌面安装。触摸屏尺寸≥10.1英寸，分辨率≥1920×1200。≥2路千兆网口，1路支持POE。3.5mm音频输入≥1路，3.5mm音频输出≥1路。RS232接口≥3路，RS485接口≥1路，TYPE-C≥1路（可接USB转串口分配器并在平台端显示资源接口），DC 12V/5V供电输出，12V/5V采用同一端口。</w:t>
            </w:r>
            <w:r>
              <w:rPr>
                <w:rFonts w:ascii="仿宋" w:hAnsi="仿宋" w:eastAsia="仿宋" w:cs="宋体"/>
                <w:sz w:val="24"/>
                <w:szCs w:val="24"/>
                <w:highlight w:val="none"/>
              </w:rPr>
              <w:t xml:space="preserve">（投标人提供原厂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3、支持DHCP，兼容路由器、交换机、网桥网关、Modem、Internet、组播、单播等任意网络结构，支持TCP/IP、UDP、IGMP(组播)协议。实现网络化传输16位立体声CD音质的音频信号。</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4、采用工业级国产CPU，LINUX操作系统，处理器≥四核64位，主频≥1.7G。内存LPDDR4≥1.8GB，存储EMMC≥30GB。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提供键盘功能，可通过面板修改设备IP地址、服务器IP地址。具备IP语音电话功能，支持一键呼叫，可接通主控室IP语音电话对讲，实现快速即时远程运维请求。支持故障报修功能，可选择故障内容，一键报修。支持在线更换开机、待机图片，支持在线批量更换UI。</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24</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高清录播主机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一、整体设计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1、录播主机整体采用嵌入式设计，非PC与服务器工作站等架构以保障系统运行稳定、安全。为</w:t>
            </w:r>
            <w:r>
              <w:rPr>
                <w:rFonts w:hint="eastAsia" w:ascii="仿宋" w:hAnsi="仿宋" w:eastAsia="仿宋" w:cs="宋体"/>
                <w:color w:val="000000"/>
                <w:sz w:val="24"/>
                <w:szCs w:val="24"/>
                <w:highlight w:val="none"/>
              </w:rPr>
              <w:t xml:space="preserve">方便</w:t>
            </w:r>
            <w:r>
              <w:rPr>
                <w:rFonts w:ascii="仿宋" w:hAnsi="仿宋" w:eastAsia="仿宋" w:cs="宋体"/>
                <w:color w:val="000000"/>
                <w:sz w:val="24"/>
                <w:szCs w:val="24"/>
                <w:highlight w:val="none"/>
              </w:rPr>
              <w:t xml:space="preserve">设备部署考虑，为避免屏幕动态变化影响学生课堂专注力的情况，录播主机需为标准1U机架式设计，机身非壁挂且不存在大面积显示屏；</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2、录播主机功能高度集成化需同时具备录制、导播、直播、互动多功能功于一体；</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3、优质性能：录播主机CPU核心数≥8，同时内置GPU与NPU协处理器。</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4、嵌入式架构的录播主机应具有环保特性，整机正常工作状态下功耗不超过50W；</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5、工作噪声：主机在正常工作状态下的生产噪声不高于20dB(A)；</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6、主机支持≥4路D-Video输入、≥2路HDMI 输入；≥2路HDMI 输出，且输入输出分辨率均支持1080P@30fps；</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7、主机支持≥2路3.5mm线性音频模拟信号输入接口；≥2路3.5mm线性音频输出接口；≥6路数字音频Digital Mic输入接口；</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8、主机支持≥2路Console控制接口（RJ45），支持RS232串行通信协议进行外接控制；≥2路USB 接口，可用于连接U盘等外设；</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9、视频一线通：支持连接摄像机与主机之间通过一根双绞线进行供电、控制、视频信号同传；</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10、音频一线通：</w:t>
            </w:r>
            <w:r>
              <w:rPr>
                <w:rFonts w:hint="eastAsia" w:ascii="仿宋" w:hAnsi="仿宋" w:eastAsia="仿宋" w:cs="宋体"/>
                <w:color w:val="000000"/>
                <w:sz w:val="24"/>
                <w:szCs w:val="24"/>
                <w:highlight w:val="none"/>
              </w:rPr>
              <w:t xml:space="preserve">支持</w:t>
            </w:r>
            <w:r>
              <w:rPr>
                <w:rFonts w:ascii="仿宋" w:hAnsi="仿宋" w:eastAsia="仿宋" w:cs="宋体"/>
                <w:color w:val="000000"/>
                <w:sz w:val="24"/>
                <w:szCs w:val="24"/>
                <w:highlight w:val="none"/>
              </w:rPr>
              <w:t xml:space="preserve">通过RJ45接口同时实现数字音频信号的采集以及数字麦克风的供电，实现音频信号的高品质、抗干扰稳定传输</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11.主机兼容标准H.264视频编解码能力，要求支持4K@30fps、1080P@30fps、720P@30fps画面录制，以及AAC音频编解码协议标准且内置音频处理功能；</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12.主机具备标准RJ45网络接口，支持100/1000M网络自适应以及IPv4、IPv6双协议栈；</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13.存储容量：主机储存容量1TB，用于录制视频文件的本地存储；</w:t>
            </w:r>
            <w:r>
              <w:rPr>
                <w:rFonts w:hint="eastAsia" w:ascii="仿宋" w:hAnsi="仿宋" w:eastAsia="仿宋"/>
                <w:sz w:val="24"/>
                <w:szCs w:val="24"/>
                <w:highlight w:val="none"/>
              </w:rPr>
            </w:r>
            <w:r/>
          </w:p>
          <w:p>
            <w:pPr>
              <w:pStyle w:val="951"/>
              <w:spacing w:line="440" w:lineRule="exact"/>
              <w:rPr>
                <w:rFonts w:ascii="仿宋" w:hAnsi="仿宋" w:eastAsia="仿宋" w:cs="宋体"/>
                <w:color w:val="ff0000"/>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4</w:t>
            </w:r>
            <w:r>
              <w:rPr>
                <w:rFonts w:ascii="仿宋" w:hAnsi="仿宋" w:eastAsia="仿宋" w:cs="宋体"/>
                <w:color w:val="000000"/>
                <w:sz w:val="24"/>
                <w:szCs w:val="24"/>
                <w:highlight w:val="none"/>
              </w:rPr>
              <w:t xml:space="preserve">、▲AI边缘计算：要求录播主机支持AI人工智能课堂行为分析能力，无需添加任何设备即可实现基于课堂上师生的行为、语音、板书等相关数据进</w:t>
            </w:r>
            <w:r>
              <w:rPr>
                <w:rFonts w:ascii="仿宋" w:hAnsi="仿宋" w:eastAsia="仿宋" w:cs="宋体"/>
                <w:sz w:val="24"/>
                <w:szCs w:val="24"/>
                <w:highlight w:val="none"/>
              </w:rPr>
              <w:t xml:space="preserve">行分析；（投标人提供原厂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ascii="仿宋" w:hAnsi="仿宋" w:eastAsia="仿宋" w:cs="宋体"/>
                <w:color w:val="ff0000"/>
                <w:sz w:val="24"/>
                <w:szCs w:val="24"/>
                <w:highlight w:val="none"/>
              </w:rPr>
            </w:r>
            <w:r/>
          </w:p>
          <w:p>
            <w:pPr>
              <w:pStyle w:val="951"/>
              <w:spacing w:line="440" w:lineRule="exact"/>
              <w:rPr>
                <w:rFonts w:ascii="仿宋" w:hAnsi="仿宋" w:eastAsia="仿宋" w:cs="宋体"/>
                <w:sz w:val="24"/>
                <w:szCs w:val="24"/>
                <w:highlight w:val="none"/>
              </w:rPr>
            </w:pPr>
            <w:r>
              <w:rPr>
                <w:rFonts w:hint="eastAsia" w:ascii="仿宋" w:hAnsi="仿宋" w:eastAsia="仿宋" w:cs="宋体"/>
                <w:sz w:val="24"/>
                <w:szCs w:val="24"/>
                <w:highlight w:val="none"/>
              </w:rPr>
              <w:t xml:space="preserve">15、</w:t>
            </w:r>
            <w:r>
              <w:rPr>
                <w:rFonts w:ascii="仿宋" w:hAnsi="仿宋" w:eastAsia="仿宋" w:cs="宋体"/>
                <w:sz w:val="24"/>
                <w:szCs w:val="24"/>
                <w:highlight w:val="none"/>
              </w:rPr>
              <w:t xml:space="preserve">▲</w:t>
            </w:r>
            <w:r>
              <w:rPr>
                <w:rFonts w:hint="eastAsia" w:ascii="仿宋" w:hAnsi="仿宋" w:eastAsia="仿宋" w:cs="宋体"/>
                <w:sz w:val="24"/>
                <w:szCs w:val="24"/>
                <w:highlight w:val="none"/>
              </w:rPr>
              <w:t xml:space="preserve">可纳入智慧教学管理平台统一管理。（提供可纳入承诺书）</w:t>
            </w:r>
            <w:r>
              <w:rPr>
                <w:rFonts w:ascii="仿宋" w:hAnsi="仿宋" w:eastAsia="仿宋" w:cs="宋体"/>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二、功能设计</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、系统架构：软件需采用B/S架构设计，支持通过浏览器即可进行管理配置与操作，而无需额外安装客户端或APP；</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rPr>
              <w:t xml:space="preserve">7</w:t>
            </w:r>
            <w:r>
              <w:rPr>
                <w:rFonts w:ascii="仿宋" w:hAnsi="仿宋" w:eastAsia="仿宋" w:cs="宋体"/>
                <w:color w:val="000000"/>
                <w:sz w:val="24"/>
                <w:szCs w:val="24"/>
                <w:highlight w:val="none"/>
              </w:rPr>
              <w:t xml:space="preserve">、▲学生AI分析：要求主机具备学生AI分析能力，可提供学生视</w:t>
            </w:r>
            <w:r>
              <w:rPr>
                <w:rFonts w:ascii="仿宋" w:hAnsi="仿宋" w:eastAsia="仿宋" w:cs="宋体"/>
                <w:sz w:val="24"/>
                <w:szCs w:val="24"/>
                <w:highlight w:val="none"/>
              </w:rPr>
              <w:t xml:space="preserve">频分析数据包括但不限于课堂表情分析、课堂动作分析等数据；（投标人提供原厂</w:t>
            </w:r>
            <w:r>
              <w:rPr>
                <w:rFonts w:hint="eastAsia" w:ascii="仿宋" w:hAnsi="仿宋" w:eastAsia="仿宋" w:cs="宋体"/>
                <w:sz w:val="24"/>
                <w:szCs w:val="24"/>
                <w:highlight w:val="none"/>
              </w:rPr>
              <w:t xml:space="preserve">产品实物图片或产品技术规格说明截图或产品官网截图等相应支撑证明材料</w:t>
            </w:r>
            <w:r>
              <w:rPr>
                <w:rFonts w:ascii="仿宋" w:hAnsi="仿宋" w:eastAsia="仿宋" w:cs="宋体"/>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sz w:val="24"/>
                <w:szCs w:val="24"/>
                <w:highlight w:val="none"/>
              </w:rPr>
              <w:t xml:space="preserve">1</w:t>
            </w:r>
            <w:r>
              <w:rPr>
                <w:rFonts w:hint="eastAsia" w:ascii="仿宋" w:hAnsi="仿宋" w:eastAsia="仿宋" w:cs="宋体"/>
                <w:sz w:val="24"/>
                <w:szCs w:val="24"/>
                <w:highlight w:val="none"/>
              </w:rPr>
              <w:t xml:space="preserve">8</w:t>
            </w:r>
            <w:r>
              <w:rPr>
                <w:rFonts w:ascii="仿宋" w:hAnsi="仿宋" w:eastAsia="仿宋" w:cs="宋体"/>
                <w:sz w:val="24"/>
                <w:szCs w:val="24"/>
                <w:highlight w:val="none"/>
              </w:rPr>
              <w:t xml:space="preserve">、教师AI分析：要求主机具备教师AI分析能力，可提供教师视频分析数据包括但不限于教师教学行为分析、活动轨迹、教师巡视等数据；</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19</w:t>
            </w:r>
            <w:r>
              <w:rPr>
                <w:rFonts w:ascii="仿宋" w:hAnsi="仿宋" w:eastAsia="仿宋" w:cs="宋体"/>
                <w:color w:val="000000"/>
                <w:sz w:val="24"/>
                <w:szCs w:val="24"/>
                <w:highlight w:val="none"/>
              </w:rPr>
              <w:t xml:space="preserve">、画面同步：要求录播主机配套摄像机支持在多机位接入的情况下所有画面高度同步。在多画面布局以及多流录制、多流直播的使用场景下不同画面保持≤100ms的同步效果；</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0</w:t>
            </w:r>
            <w:r>
              <w:rPr>
                <w:rFonts w:ascii="仿宋" w:hAnsi="仿宋" w:eastAsia="仿宋" w:cs="宋体"/>
                <w:color w:val="000000"/>
                <w:sz w:val="24"/>
                <w:szCs w:val="24"/>
                <w:highlight w:val="none"/>
              </w:rPr>
              <w:t xml:space="preserve">、休眠唤醒：需支持定时休眠唤醒功能，提供精确到秒的自定义时间设置，可以单独设置是否定时休眠或者定时唤醒；</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rPr>
              <w:t xml:space="preserve">1</w:t>
            </w:r>
            <w:r>
              <w:rPr>
                <w:rFonts w:ascii="仿宋" w:hAnsi="仿宋" w:eastAsia="仿宋" w:cs="宋体"/>
                <w:color w:val="000000"/>
                <w:sz w:val="24"/>
                <w:szCs w:val="24"/>
                <w:highlight w:val="none"/>
              </w:rPr>
              <w:t xml:space="preserve">、权限管理：需支持对主机后台设置管理员用户与普通用户两种使用权限，普通用户无法进行相关参数与配置修改</w:t>
            </w:r>
            <w:r>
              <w:rPr>
                <w:rFonts w:hint="eastAsia" w:ascii="仿宋" w:hAnsi="仿宋" w:eastAsia="仿宋" w:cs="宋体"/>
                <w:color w:val="000000"/>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25</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ascii="仿宋" w:hAnsi="仿宋" w:eastAsia="仿宋"/>
                <w:sz w:val="24"/>
                <w:szCs w:val="24"/>
                <w:highlight w:val="none"/>
              </w:rPr>
            </w:pPr>
            <w:r>
              <w:rPr>
                <w:rFonts w:hint="eastAsia" w:ascii="仿宋" w:hAnsi="仿宋" w:eastAsia="仿宋" w:cs="宋体"/>
                <w:color w:val="000000"/>
                <w:sz w:val="24"/>
                <w:szCs w:val="24"/>
                <w:highlight w:val="none"/>
              </w:rPr>
              <w:t xml:space="preserve">台式计算机</w:t>
            </w:r>
            <w:r>
              <w:rPr>
                <w:rFonts w:ascii="仿宋" w:hAnsi="仿宋" w:eastAsia="仿宋"/>
                <w:sz w:val="24"/>
                <w:szCs w:val="24"/>
                <w:highlight w:val="none"/>
              </w:rPr>
            </w:r>
            <w:r/>
          </w:p>
        </w:tc>
        <w:tc>
          <w:tcPr>
            <w:tcW w:w="7229" w:type="dxa"/>
            <w:vAlign w:val="center"/>
            <w:textDirection w:val="lrTb"/>
            <w:noWrap w:val="false"/>
          </w:tcPr>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hint="eastAsia" w:ascii="仿宋" w:hAnsi="仿宋" w:eastAsia="仿宋" w:cs="宋体"/>
                <w:i/>
                <w:iCs/>
                <w:color w:val="000000"/>
                <w:sz w:val="24"/>
                <w:szCs w:val="24"/>
                <w:highlight w:val="none"/>
                <w:u w:val="single"/>
              </w:rPr>
              <w:t xml:space="preserve">CPU：≥10核、≥16线程、主频≥2.4GHz、睿频频率≥4.8GHz、缓存≥20MB；</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ascii="仿宋" w:hAnsi="仿宋" w:eastAsia="仿宋" w:cs="宋体"/>
                <w:i/>
                <w:iCs/>
                <w:color w:val="000000"/>
                <w:sz w:val="24"/>
                <w:szCs w:val="24"/>
                <w:highlight w:val="none"/>
                <w:u w:val="single"/>
              </w:rPr>
              <w:t xml:space="preserve">内存≥16G</w:t>
            </w:r>
            <w:r>
              <w:rPr>
                <w:rFonts w:hint="eastAsia" w:ascii="仿宋" w:hAnsi="仿宋" w:eastAsia="仿宋" w:cs="宋体"/>
                <w:i/>
                <w:iCs/>
                <w:sz w:val="24"/>
                <w:szCs w:val="24"/>
                <w:highlight w:val="none"/>
                <w:u w:val="single"/>
              </w:rPr>
              <w:t xml:space="preserve"> DDR4、</w:t>
            </w:r>
            <w:r>
              <w:rPr>
                <w:rFonts w:ascii="仿宋" w:hAnsi="仿宋" w:eastAsia="仿宋" w:cs="宋体"/>
                <w:i/>
                <w:iCs/>
                <w:color w:val="000000"/>
                <w:sz w:val="24"/>
                <w:szCs w:val="24"/>
                <w:highlight w:val="none"/>
                <w:u w:val="single"/>
              </w:rPr>
              <w:t xml:space="preserve">内存频率≥3200MT/s</w:t>
            </w:r>
            <w:r>
              <w:rPr>
                <w:rFonts w:hint="eastAsia" w:ascii="仿宋" w:hAnsi="仿宋" w:eastAsia="仿宋" w:cs="宋体"/>
                <w:i/>
                <w:iCs/>
                <w:color w:val="000000"/>
                <w:sz w:val="24"/>
                <w:szCs w:val="24"/>
                <w:highlight w:val="none"/>
                <w:u w:val="single"/>
              </w:rPr>
              <w:t xml:space="preserve">；</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ascii="仿宋" w:hAnsi="仿宋" w:eastAsia="仿宋" w:cs="宋体"/>
                <w:i/>
                <w:iCs/>
                <w:color w:val="000000"/>
                <w:sz w:val="24"/>
                <w:szCs w:val="24"/>
                <w:highlight w:val="none"/>
                <w:u w:val="single"/>
              </w:rPr>
              <w:t xml:space="preserve">硬盘≥256G固态硬盘</w:t>
            </w:r>
            <w:r>
              <w:rPr>
                <w:rFonts w:hint="eastAsia" w:ascii="仿宋" w:hAnsi="仿宋" w:eastAsia="仿宋" w:cs="宋体"/>
                <w:i/>
                <w:iCs/>
                <w:color w:val="000000"/>
                <w:sz w:val="24"/>
                <w:szCs w:val="24"/>
                <w:highlight w:val="none"/>
                <w:u w:val="single"/>
              </w:rPr>
              <w:t xml:space="preserve">；</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hint="eastAsia" w:ascii="仿宋" w:hAnsi="仿宋" w:eastAsia="仿宋" w:cs="宋体"/>
                <w:i/>
                <w:iCs/>
                <w:color w:val="000000"/>
                <w:sz w:val="24"/>
                <w:szCs w:val="24"/>
                <w:highlight w:val="none"/>
                <w:u w:val="single"/>
              </w:rPr>
              <w:t xml:space="preserve">独立</w:t>
            </w:r>
            <w:r>
              <w:rPr>
                <w:rFonts w:ascii="仿宋" w:hAnsi="仿宋" w:eastAsia="仿宋" w:cs="宋体"/>
                <w:i/>
                <w:iCs/>
                <w:color w:val="000000"/>
                <w:sz w:val="24"/>
                <w:szCs w:val="24"/>
                <w:highlight w:val="none"/>
                <w:u w:val="single"/>
              </w:rPr>
              <w:t xml:space="preserve">显卡不低于6G</w:t>
            </w:r>
            <w:r>
              <w:rPr>
                <w:rFonts w:hint="eastAsia" w:ascii="仿宋" w:hAnsi="仿宋" w:eastAsia="仿宋" w:cs="宋体"/>
                <w:i/>
                <w:iCs/>
                <w:color w:val="000000"/>
                <w:sz w:val="24"/>
                <w:szCs w:val="24"/>
                <w:highlight w:val="none"/>
                <w:u w:val="single"/>
              </w:rPr>
              <w:t xml:space="preserve">；</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ascii="仿宋" w:hAnsi="仿宋" w:eastAsia="仿宋" w:cs="宋体"/>
                <w:i/>
                <w:iCs/>
                <w:color w:val="000000"/>
                <w:sz w:val="24"/>
                <w:szCs w:val="24"/>
                <w:highlight w:val="none"/>
                <w:u w:val="single"/>
              </w:rPr>
              <w:t xml:space="preserve">显示器≥23.8寸</w:t>
            </w:r>
            <w:r>
              <w:rPr>
                <w:rFonts w:hint="eastAsia" w:ascii="仿宋" w:hAnsi="仿宋" w:eastAsia="仿宋" w:cs="宋体"/>
                <w:i/>
                <w:iCs/>
                <w:color w:val="000000"/>
                <w:sz w:val="24"/>
                <w:szCs w:val="24"/>
                <w:highlight w:val="none"/>
                <w:u w:val="single"/>
              </w:rPr>
              <w:t xml:space="preserve">；</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hint="eastAsia" w:ascii="仿宋" w:hAnsi="仿宋" w:eastAsia="仿宋" w:cs="宋体"/>
                <w:i/>
                <w:iCs/>
                <w:color w:val="000000"/>
                <w:sz w:val="24"/>
                <w:szCs w:val="24"/>
                <w:highlight w:val="none"/>
                <w:u w:val="single"/>
              </w:rPr>
              <w:t xml:space="preserve">前置面板接口：USB接口≥7个（至少包括USB-C 接口≥1个，其中包括USB-C在内的USB 3.2 Gen1速率接口≥3个）；</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color w:val="000000"/>
                <w:sz w:val="24"/>
                <w:szCs w:val="24"/>
                <w:highlight w:val="none"/>
              </w:rPr>
            </w:pPr>
            <w:r>
              <w:rPr>
                <w:rFonts w:hint="eastAsia" w:ascii="仿宋" w:hAnsi="仿宋" w:eastAsia="仿宋" w:cs="宋体"/>
                <w:i/>
                <w:iCs/>
                <w:color w:val="000000"/>
                <w:sz w:val="24"/>
                <w:szCs w:val="24"/>
                <w:highlight w:val="none"/>
                <w:u w:val="single"/>
              </w:rPr>
              <w:t xml:space="preserve">≥2个麦克风接口</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rPr>
            </w:r>
            <w:r/>
          </w:p>
          <w:p>
            <w:pPr>
              <w:pStyle w:val="951"/>
              <w:numPr>
                <w:ilvl w:val="0"/>
                <w:numId w:val="9"/>
              </w:numPr>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关机状态下，支持≥1个前置USB端口对外供电；</w:t>
            </w:r>
            <w:r>
              <w:rPr>
                <w:rFonts w:hint="eastAsia" w:ascii="仿宋" w:hAnsi="仿宋" w:eastAsia="仿宋" w:cs="宋体"/>
                <w:color w:val="000000"/>
                <w:sz w:val="24"/>
                <w:szCs w:val="24"/>
                <w:highlight w:val="none"/>
              </w:rPr>
            </w:r>
            <w:r/>
          </w:p>
          <w:p>
            <w:pPr>
              <w:pStyle w:val="951"/>
              <w:numPr>
                <w:ilvl w:val="0"/>
                <w:numId w:val="9"/>
              </w:numPr>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后置面板接口：≥4个USB-A接口，后置USB接口支持键盘开机；</w:t>
            </w:r>
            <w:r>
              <w:rPr>
                <w:rFonts w:hint="eastAsia" w:ascii="仿宋" w:hAnsi="仿宋" w:eastAsia="仿宋" w:cs="宋体"/>
                <w:color w:val="000000"/>
                <w:sz w:val="24"/>
                <w:szCs w:val="24"/>
                <w:highlight w:val="none"/>
              </w:rPr>
            </w:r>
            <w:r/>
          </w:p>
          <w:p>
            <w:pPr>
              <w:pStyle w:val="951"/>
              <w:numPr>
                <w:ilvl w:val="0"/>
                <w:numId w:val="9"/>
              </w:numPr>
              <w:spacing w:line="440" w:lineRule="exact"/>
              <w:rPr>
                <w:rFonts w:hint="eastAsia" w:ascii="仿宋" w:hAnsi="仿宋" w:eastAsia="仿宋" w:cs="宋体"/>
                <w:i/>
                <w:iCs/>
                <w:color w:val="000000"/>
                <w:sz w:val="24"/>
                <w:szCs w:val="24"/>
                <w:highlight w:val="none"/>
                <w:u w:val="single"/>
              </w:rPr>
            </w:pPr>
            <w:r>
              <w:rPr>
                <w:rFonts w:hint="eastAsia" w:ascii="仿宋" w:hAnsi="仿宋" w:eastAsia="仿宋" w:cs="宋体"/>
                <w:i/>
                <w:iCs/>
                <w:color w:val="000000"/>
                <w:sz w:val="24"/>
                <w:szCs w:val="24"/>
                <w:highlight w:val="none"/>
                <w:u w:val="single"/>
              </w:rPr>
              <w:t xml:space="preserve">≥1个HDMI 1.4b、≥1个DP 1.4、≥1个VGA接口；≥3个后置音频接口；1个RJ45接口；</w:t>
            </w:r>
            <w:r>
              <w:rPr>
                <w:rFonts w:hint="eastAsia" w:ascii="仿宋" w:hAnsi="仿宋" w:eastAsia="仿宋" w:cs="宋体"/>
                <w:i/>
                <w:iCs/>
                <w:color w:val="000000"/>
                <w:sz w:val="24"/>
                <w:szCs w:val="24"/>
                <w:highlight w:val="none"/>
                <w:u w:val="single"/>
              </w:rPr>
            </w:r>
            <w:r/>
          </w:p>
          <w:p>
            <w:pPr>
              <w:pStyle w:val="951"/>
              <w:numPr>
                <w:ilvl w:val="0"/>
                <w:numId w:val="9"/>
              </w:numPr>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内置拓展接口：1个PCIE x16 5.0 16 Lanes、1个PCIE x4 4.0 4 Lanes、1个PCIE x1 4.0 Lanes；</w:t>
            </w:r>
            <w:r>
              <w:rPr>
                <w:rFonts w:hint="eastAsia" w:ascii="仿宋" w:hAnsi="仿宋" w:eastAsia="仿宋" w:cs="宋体"/>
                <w:color w:val="000000"/>
                <w:sz w:val="24"/>
                <w:szCs w:val="24"/>
                <w:highlight w:val="none"/>
              </w:rPr>
            </w:r>
            <w:r/>
          </w:p>
          <w:p>
            <w:pPr>
              <w:pStyle w:val="951"/>
              <w:numPr>
                <w:ilvl w:val="0"/>
                <w:numId w:val="9"/>
              </w:numPr>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电源：电源功率≥500W，电源转换效率≥92%</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i/>
                <w:iCs/>
                <w:sz w:val="24"/>
                <w:szCs w:val="24"/>
                <w:highlight w:val="none"/>
                <w:u w:val="single"/>
              </w:rPr>
              <w:t xml:space="preserve">须提供国家确定的认证机构出具的、处于有效期之内的该节能产品认证证书复印件。</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26</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多媒体讲台</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1、讲桌台面≥高800mm，长≥1400mm，宽≥800mm ,桌面浅色耐磨防水；</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2、钢木结合材料一体成型；全封闭式结构；</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3、讲桌前围挡或桌面开孔安装定制中控触控面板；</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4、讲桌前围挡上提供三芯、两芯电源插座各1个，标准USB插口2个，HDMI输入口1个；</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、讲桌内设至少12U的置物空间，设备安装位置合理，带隔板，满足设备安装需求；</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、主体为冷轧钢板，厚度大于等于1.2mm，其他部分不低于1.0mm；材料要求安全环保。</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27</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学生高清摄像机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1、传感器：要求采用CMOS类型图像传感器，尺寸≥1/2.5英寸。有效像素不低于1100万。</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2、采用了2D和基于运动估计的3D降噪算法。</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3、最大水平视场角不小于80°，最大垂直视场角不小于50°。</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4、网络接口：RJ45接口≥1，10/100/1000M自适应。</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5、视频接口：D-Video数字视频接口（RJ45）≥1。</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6、编码技术：视频H.264/H.265。</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7、支持DC12V电源适配器供电与RJ45双绞线供电。</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28</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教师高清摄像机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1、传感器：要求采用CMOS类型图像传感器，尺寸≥1/2.5英寸。有效像素不低于1100万。</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2、采用了2D和基于运动估计的3D降噪算法。</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3、最大水平视场角不小于</w:t>
            </w:r>
            <w:r>
              <w:rPr>
                <w:rFonts w:hint="eastAsia" w:ascii="仿宋" w:hAnsi="仿宋" w:eastAsia="仿宋" w:cs="宋体"/>
                <w:color w:val="000000"/>
                <w:sz w:val="24"/>
                <w:szCs w:val="24"/>
                <w:highlight w:val="none"/>
              </w:rPr>
              <w:t xml:space="preserve">45</w:t>
            </w:r>
            <w:r>
              <w:rPr>
                <w:rFonts w:ascii="仿宋" w:hAnsi="仿宋" w:eastAsia="仿宋" w:cs="宋体"/>
                <w:color w:val="000000"/>
                <w:sz w:val="24"/>
                <w:szCs w:val="24"/>
                <w:highlight w:val="none"/>
              </w:rPr>
              <w:t xml:space="preserve">°，最大垂直视场角不小于</w:t>
            </w:r>
            <w:r>
              <w:rPr>
                <w:rFonts w:hint="eastAsia" w:ascii="仿宋" w:hAnsi="仿宋" w:eastAsia="仿宋" w:cs="宋体"/>
                <w:color w:val="000000"/>
                <w:sz w:val="24"/>
                <w:szCs w:val="24"/>
                <w:highlight w:val="none"/>
              </w:rPr>
              <w:t xml:space="preserve">25</w:t>
            </w:r>
            <w:r>
              <w:rPr>
                <w:rFonts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4、网络接口：RJ45接口≥1，10/100/1000M自适应。</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5、视频接口：D-Video数字视频接口（RJ45）≥1。</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6、编码技术：视频H.264/H.265。</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7、支持DC12V电源适配器供电与RJ45双绞线供电。</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w:t>
            </w:r>
            <w:r>
              <w:rPr>
                <w:rFonts w:hint="eastAsia" w:ascii="仿宋" w:hAnsi="仿宋" w:eastAsia="仿宋" w:cs="宋体"/>
                <w:color w:val="000000"/>
                <w:sz w:val="24"/>
                <w:szCs w:val="24"/>
                <w:highlight w:val="none"/>
              </w:rPr>
              <w:t xml:space="preserve">支持单镜头双画面输出功能，可同时生成全景和特写视频流，并支持录播主机选择录制</w:t>
            </w:r>
            <w:r>
              <w:rPr>
                <w:rFonts w:ascii="仿宋" w:hAnsi="仿宋" w:eastAsia="仿宋" w:cs="宋体"/>
                <w:color w:val="000000"/>
                <w:sz w:val="24"/>
                <w:szCs w:val="24"/>
                <w:highlight w:val="none"/>
              </w:rPr>
              <w:t xml:space="preserve">。</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29</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网络摄像机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1、传感器靶面:≥1/3.0，像素:≥400万，分辨率:≥2560*1440；</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2、水平中心分辨力检验：不小于1400TVL；</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3、最低照度：彩色≤0.0005lux，黑色≤0.0001lux；</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4、照度适应范围≥135dB；</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5、摄像机可对距离摄像机≤15m处的声音进行采集，并可通过客户端软件进行播放；</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6、支持区域遮盖功能：可在监视画面上设置遮盖的区域，区域个数、大小、位置可设置，最多可设置8个区域；</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7、设备红外补光灯可定时或自动开启，开启后可识别距离摄像机150m处人体（1.7m×0.5m）轮廓；</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8、宽动态自动切换功能检验：在WEB客户端下，摄像机具有宽动态自动设置选项。在环境亮度变化时，可自动进行关闭/开启切换；</w:t>
            </w:r>
            <w:r>
              <w:rPr>
                <w:rFonts w:hint="eastAsia" w:ascii="仿宋" w:hAnsi="仿宋" w:eastAsia="仿宋"/>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9、</w:t>
            </w:r>
            <w:r>
              <w:rPr>
                <w:rFonts w:hint="eastAsia" w:ascii="仿宋" w:hAnsi="仿宋" w:eastAsia="仿宋" w:cs="宋体"/>
                <w:color w:val="000000"/>
                <w:sz w:val="24"/>
                <w:szCs w:val="24"/>
                <w:highlight w:val="none"/>
              </w:rPr>
              <w:t xml:space="preserve">支持移动侦测功能，可自定义设置侦测区域的数量、大小及位</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置，满足实际监控需求即可。</w:t>
            </w:r>
            <w:r>
              <w:rPr>
                <w:rFonts w:hint="eastAsia" w:ascii="仿宋" w:hAnsi="仿宋" w:eastAsia="仿宋"/>
                <w:sz w:val="24"/>
                <w:szCs w:val="24"/>
                <w:highlight w:val="none"/>
              </w:rPr>
            </w:r>
            <w:r/>
          </w:p>
        </w:tc>
      </w:tr>
      <w:tr>
        <w:trPr>
          <w:trHeight w:val="300"/>
        </w:trPr>
        <w:tc>
          <w:tcPr>
            <w:tcW w:w="719" w:type="dxa"/>
            <w:vAlign w:val="center"/>
            <w:textDirection w:val="lrTb"/>
            <w:noWrap w:val="false"/>
          </w:tcPr>
          <w:p>
            <w:pPr>
              <w:pStyle w:val="951"/>
              <w:jc w:val="center"/>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30</w:t>
            </w:r>
            <w:r>
              <w:rPr>
                <w:rFonts w:hint="eastAsia" w:ascii="仿宋" w:hAnsi="仿宋" w:eastAsia="仿宋"/>
                <w:sz w:val="24"/>
                <w:szCs w:val="24"/>
                <w:highlight w:val="none"/>
              </w:rPr>
            </w:r>
            <w:r/>
          </w:p>
        </w:tc>
        <w:tc>
          <w:tcPr>
            <w:tcW w:w="1134"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16路网络视频录像机</w:t>
            </w:r>
            <w:r>
              <w:rPr>
                <w:rFonts w:hint="eastAsia" w:ascii="仿宋" w:hAnsi="仿宋" w:eastAsia="仿宋"/>
                <w:sz w:val="24"/>
                <w:szCs w:val="24"/>
                <w:highlight w:val="none"/>
              </w:rPr>
            </w:r>
            <w:r/>
          </w:p>
        </w:tc>
        <w:tc>
          <w:tcPr>
            <w:tcW w:w="7229" w:type="dxa"/>
            <w:vAlign w:val="center"/>
            <w:textDirection w:val="lrTb"/>
            <w:noWrap w:val="false"/>
          </w:tcPr>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1、1盘位网络视频录像机，支持16路接入能力；</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2、支持2个RJ4510M/100M自适应以太网电口；</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ascii="仿宋" w:hAnsi="仿宋" w:eastAsia="仿宋" w:cs="宋体"/>
                <w:color w:val="000000"/>
                <w:sz w:val="24"/>
                <w:szCs w:val="24"/>
                <w:highlight w:val="none"/>
              </w:rPr>
              <w:t xml:space="preserve">3、支持1入1出音频接口；1个USB2.0和1个USB3.0接口；</w:t>
            </w:r>
            <w:r>
              <w:rPr>
                <w:rFonts w:hint="eastAsia" w:ascii="仿宋" w:hAnsi="仿宋" w:eastAsia="仿宋"/>
                <w:sz w:val="24"/>
                <w:szCs w:val="24"/>
                <w:highlight w:val="none"/>
              </w:rPr>
            </w:r>
            <w:r/>
          </w:p>
          <w:p>
            <w:pPr>
              <w:pStyle w:val="951"/>
              <w:spacing w:line="44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4</w:t>
            </w:r>
            <w:r>
              <w:rPr>
                <w:rFonts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rPr>
              <w:t xml:space="preserve">支持多画面分割预览，至少支持1、4、9、16路画面同时显示，并</w:t>
            </w:r>
            <w:r>
              <w:rPr>
                <w:rFonts w:hint="eastAsia" w:ascii="仿宋" w:hAnsi="仿宋" w:eastAsia="仿宋" w:cs="宋体"/>
                <w:color w:val="000000"/>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支持走廊模式</w:t>
            </w:r>
            <w:r>
              <w:rPr>
                <w:rFonts w:ascii="仿宋" w:hAnsi="仿宋" w:eastAsia="仿宋" w:cs="宋体"/>
                <w:color w:val="000000"/>
                <w:sz w:val="24"/>
                <w:szCs w:val="24"/>
                <w:highlight w:val="none"/>
              </w:rPr>
              <w:t xml:space="preserve">；</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5</w:t>
            </w:r>
            <w:r>
              <w:rPr>
                <w:rFonts w:ascii="仿宋" w:hAnsi="仿宋" w:eastAsia="仿宋" w:cs="宋体"/>
                <w:color w:val="000000"/>
                <w:sz w:val="24"/>
                <w:szCs w:val="24"/>
                <w:highlight w:val="none"/>
              </w:rPr>
              <w:t xml:space="preserve">、回放时支持双进度条显示，一个进度条显示所有回放的录像进度，一个进度条显示当前回放的通道录像；</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color w:val="000000"/>
                <w:sz w:val="24"/>
                <w:szCs w:val="24"/>
                <w:highlight w:val="none"/>
              </w:rPr>
              <w:t xml:space="preserve">6</w:t>
            </w:r>
            <w:r>
              <w:rPr>
                <w:rFonts w:ascii="仿宋" w:hAnsi="仿宋" w:eastAsia="仿宋" w:cs="宋体"/>
                <w:color w:val="000000"/>
                <w:sz w:val="24"/>
                <w:szCs w:val="24"/>
                <w:highlight w:val="none"/>
              </w:rPr>
              <w:t xml:space="preserve">、支持1/8、1/4、1/2、1、2、4、8、16、32、64、128、256等倍速正放录像；1、2、4、8、16、32、64、128、256等倍速倒放录像；</w:t>
            </w:r>
            <w:r>
              <w:rPr>
                <w:rFonts w:hint="eastAsia" w:ascii="仿宋" w:hAnsi="仿宋" w:eastAsia="仿宋"/>
                <w:sz w:val="24"/>
                <w:szCs w:val="24"/>
                <w:highlight w:val="none"/>
              </w:rPr>
            </w:r>
            <w:r/>
          </w:p>
          <w:p>
            <w:pPr>
              <w:pStyle w:val="951"/>
              <w:spacing w:line="440" w:lineRule="exact"/>
              <w:rPr>
                <w:rFonts w:hint="eastAsia" w:ascii="仿宋" w:hAnsi="仿宋" w:eastAsia="仿宋"/>
                <w:sz w:val="24"/>
                <w:szCs w:val="24"/>
                <w:highlight w:val="none"/>
              </w:rPr>
            </w:pPr>
            <w:r>
              <w:rPr>
                <w:rFonts w:hint="eastAsia" w:ascii="仿宋" w:hAnsi="仿宋" w:eastAsia="仿宋" w:cs="宋体"/>
                <w:sz w:val="24"/>
                <w:szCs w:val="24"/>
                <w:highlight w:val="none"/>
              </w:rPr>
              <w:t xml:space="preserve">7</w:t>
            </w:r>
            <w:r>
              <w:rPr>
                <w:rFonts w:ascii="仿宋" w:hAnsi="仿宋" w:eastAsia="仿宋" w:cs="宋体"/>
                <w:sz w:val="24"/>
                <w:szCs w:val="24"/>
                <w:highlight w:val="none"/>
              </w:rPr>
              <w:t xml:space="preserve">、支持秒级存储和回放，可存储和回放设备断电断网前一秒的录像。</w:t>
            </w:r>
            <w:r>
              <w:rPr>
                <w:rFonts w:hint="eastAsia" w:ascii="仿宋" w:hAnsi="仿宋" w:eastAsia="仿宋"/>
                <w:sz w:val="24"/>
                <w:szCs w:val="24"/>
                <w:highlight w:val="none"/>
              </w:rPr>
            </w:r>
            <w:r/>
          </w:p>
        </w:tc>
      </w:tr>
    </w:tbl>
    <w:p>
      <w:pPr>
        <w:pStyle w:val="953"/>
        <w:jc w:val="both"/>
        <w:spacing w:before="0" w:after="0" w:line="44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jc w:val="both"/>
        <w:spacing w:before="0" w:after="0" w:line="44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四、商务要求</w:t>
      </w:r>
      <w:r>
        <w:rPr>
          <w:rFonts w:hint="eastAsia" w:ascii="黑体" w:hAnsi="黑体" w:eastAsia="黑体"/>
          <w:b w:val="0"/>
          <w:bCs w:val="0"/>
          <w:sz w:val="28"/>
          <w:szCs w:val="28"/>
          <w:highlight w:val="none"/>
        </w:rPr>
      </w:r>
      <w:r/>
    </w:p>
    <w:p>
      <w:pPr>
        <w:pStyle w:val="965"/>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（一）项目实施要求</w:t>
      </w:r>
      <w:r>
        <w:rPr>
          <w:rFonts w:hint="eastAsia" w:ascii="方正仿宋_GBK" w:hAnsi="方正仿宋_GBK" w:eastAsia="方正仿宋_GBK" w:cs="方正仿宋_GBK"/>
          <w:b/>
          <w:color w:val="000000"/>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应在设备发运前对其进行满足运输距离、防潮、防震、防锈和防破损装卸等要求包装，以保证设备安全运达采购人指定地点（实施地点：南京市浦口区珍珠南路65号，天佑楼8间为C302、C303、C304、C305、C306、B304、B305、B204；炎培楼2间为A404、A402；工程中心1间为B411；信息中心1间为A506，共12间）。</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2.用户手册、随配附件以及清单一并附于设备内。</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3.供应商在设备发运手续办理完毕后24小时内或货到采购方48小时前通知采购人，以准备接货。</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4.设备在交付采购人前发生的风险均由中标供应商负责。</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5.设备在规定的交付期限内由供应商送达采购人指定的地点视为交付，供应商同时需通知采购人设备已送达。</w:t>
      </w:r>
      <w:r>
        <w:rPr>
          <w:rFonts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6.供应商应在签订合同后30个日历日内完成所有设备的安装调试工作，并完成验收及培训等相关服务工作。</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7.以</w:t>
      </w:r>
      <w:r>
        <w:rPr>
          <w:rFonts w:hint="eastAsia" w:ascii="方正仿宋_GBK" w:hAnsi="方正仿宋_GBK" w:eastAsia="方正仿宋_GBK" w:cs="方正仿宋_GBK"/>
          <w:bCs/>
          <w:sz w:val="28"/>
          <w:szCs w:val="28"/>
          <w:highlight w:val="none"/>
        </w:rPr>
        <w:t xml:space="preserve">上清单为依照本次系统建设要求设置，含12间改造教室的所有老设备拆除摆放到用户指定位置并配合用户做登记，新设备及软件、系统进行安装调试并对甲方要求的部分区域进行改造（例如地台更新或更换、窗帘更换、墙壁粉刷、吊顶出新等），所有涉及到的教室所需要用到的各类型线进行标记、捆扎满足所有现场应用要求，要求安装规范整洁并跟原有系统进行无缝对接。包含为完成本项目功能使用的各种设施设备，线材（包含20米HDMI线10根，10米HDMI线3根，1米HDMI线60根，2米HDMI线12根，6类非屏蔽网线1200米，RVV3*0.</w:t>
      </w:r>
      <w:r>
        <w:rPr>
          <w:rFonts w:hint="eastAsia" w:ascii="方正仿宋_GBK" w:hAnsi="方正仿宋_GBK" w:eastAsia="方正仿宋_GBK" w:cs="方正仿宋_GBK"/>
          <w:bCs/>
          <w:sz w:val="28"/>
          <w:szCs w:val="28"/>
          <w:highlight w:val="none"/>
        </w:rPr>
        <w:t xml:space="preserve">75电源线600米等）、投影机吊架、辅助显示吊架、音箱壁挂架、摄像机支架、线槽线管等等配件辅材。如供应商认为完成本次招标功能所有要求需要增加数量或必要设备及主、辅材可在投标时添加扩展，费用包含在投标总价中，否则视为以上清单完全满足供应商对本次招标响应要求，如实施过程中因缺少关键设备、主、辅材或第三方软件、授权、中间件及关键因素导致无法完成本项目要求及功能的也由投标供应商出资解决，非建设单位需求原因实施过程不再增加费用（如因需要满足国家强制标准规范要求增加的费用也包含在本次投标范围内，请供应商充分考虑报价）。</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（二）售后服务要求</w:t>
      </w:r>
      <w:r>
        <w:rPr>
          <w:rFonts w:ascii="方正仿宋_GBK" w:hAnsi="方正仿宋_GBK" w:eastAsia="方正仿宋_GBK" w:cs="方正仿宋_GBK"/>
          <w:b/>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应向采购人提供完善周到的售后技术服务，提供售后服务的响应标准、服务体系、备件体系、故障解决方案、日常巡检、重大活动保障等服务质量保障方案，建立完善的售后服务管理体系并提供专业的售后服务实施及维护人员，保证设备的正常运行措施，质保期内质量保证提供免费技术支持、保修、系统升级和维护，不得另行收取其他费用，且保修服务方式均为供应商上门保修，即由供应商到采购人使用现场维修，产生的一切费用均由供应商承担。</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质保期内需提供7×24小时服务。对于设备在使用过程中出现的问题，须在30分钟内响应。如遇与所供设备有关的问题无法远程解决的，一般性故障解决问题时间不超过2小时，重大故障3小时内给出解决方案并提供临时应急处置措施，重大故障解决问题时间不超过48小时。因供应商工作延误，造成采购人损失的，供应商应负赔偿责任，具体赔偿方案在签订合同时订立。</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3.质保期满后，中标人应提供优先的有偿售后服务及按不高于投标文件中主要配件、易损件清单所报价格、供应原厂零配件等。软件终身免费升级服务（如果有）。</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服务原则：</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及时性：投标人应采取适当的手段确保提供的服务能够满足服务时间指标要求，包括技术人员服务时间、技术支持和应急服务的及时到场，对服务需求及时响应、信息资料及时更新、故障问题及时处理、相关报告及时汇总与提交。为保障服务的及时性，可提供驻场服务的优先；</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规范性：投标人应遵守服务管理流程，并严格执行操作规范，保证服务过程的规范运作。包括制定完善的现场技术服务制度与服务流程。</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安全性：投标人应采取适当的安全手段或措施，有效管理与控制系统运维以及功能发布等工作的各个环节，确保维护行为本身和设备运行的安全性，包括保证服务流程的周密安全、服务人员遵守运维制度等，确保运维工作的安全可靠性。</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Cs/>
          <w:sz w:val="28"/>
          <w:szCs w:val="28"/>
          <w:highlight w:val="none"/>
        </w:rPr>
        <w:t xml:space="preserve">可用性：投标人应采取适当措施，按照各项规章制度，保证生产实时监管系统的可用性。在此基础上，根据相关实际情况，提出合理的、可行的调整优化方案，实现该系统的不断优化完善。</w:t>
      </w:r>
      <w:r>
        <w:rPr>
          <w:rFonts w:hint="eastAsia" w:ascii="方正仿宋_GBK" w:hAnsi="方正仿宋_GBK" w:eastAsia="方正仿宋_GBK" w:cs="方正仿宋_GBK"/>
          <w:b/>
          <w:sz w:val="28"/>
          <w:szCs w:val="28"/>
          <w:highlight w:val="none"/>
        </w:rPr>
      </w:r>
      <w:r/>
    </w:p>
    <w:p>
      <w:pPr>
        <w:pStyle w:val="951"/>
        <w:ind w:firstLine="560"/>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（三）验收标准</w:t>
      </w:r>
      <w:r>
        <w:rPr>
          <w:rFonts w:hint="eastAsia" w:ascii="方正仿宋_GBK" w:hAnsi="方正仿宋_GBK" w:eastAsia="方正仿宋_GBK" w:cs="方正仿宋_GBK"/>
          <w:b/>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1.采购人以招标文件、中标人的投标文件、合同为依据，成立验收小组，负责对项目进行全面的验收，中标人须向采购人提供详细的系统验收方案。</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宋体" w:hAnsi="宋体"/>
          <w:color w:val="000000"/>
          <w:sz w:val="24"/>
          <w:szCs w:val="24"/>
          <w:highlight w:val="none"/>
        </w:rPr>
      </w:pPr>
      <w:r>
        <w:rPr>
          <w:rFonts w:hint="eastAsia" w:ascii="方正仿宋_GBK" w:hAnsi="方正仿宋_GBK" w:eastAsia="方正仿宋_GBK" w:cs="方正仿宋_GBK"/>
          <w:bCs/>
          <w:sz w:val="28"/>
          <w:szCs w:val="28"/>
          <w:highlight w:val="none"/>
        </w:rPr>
        <w:t xml:space="preserve">2.采购人按照国家规定标准验收，没有国家标准的按行业标准验收，无行业标准的按地方或企业标准验收，中标人应予以配合。涉及安全、消防、环保等其他需要由质检或行业主管部门验收的项目，采购人须约请相关部门和专家参加项目验收。</w:t>
      </w:r>
      <w:r>
        <w:rPr>
          <w:rFonts w:hint="eastAsia" w:ascii="宋体" w:hAnsi="宋体"/>
          <w:color w:val="000000"/>
          <w:sz w:val="24"/>
          <w:szCs w:val="24"/>
          <w:highlight w:val="none"/>
        </w:rPr>
      </w:r>
      <w:r/>
    </w:p>
    <w:p>
      <w:pPr>
        <w:pStyle w:val="951"/>
        <w:ind w:firstLine="560"/>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（四）质保期及履约保证金</w:t>
      </w:r>
      <w:r>
        <w:rPr>
          <w:rFonts w:hint="eastAsia" w:ascii="方正仿宋_GBK" w:hAnsi="方正仿宋_GBK" w:eastAsia="方正仿宋_GBK" w:cs="方正仿宋_GBK"/>
          <w:b/>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1.质保期</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自项目验收合格之日起36个月且提供至少一人的三年驻场服务，相关费用含在本次报价中。</w:t>
      </w:r>
      <w:r>
        <w:rPr>
          <w:rFonts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2.履约保证金</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签订合同后，供应方支付合同总价的5%至甲方账户。甲方于验收合格后6个月内将履约保证金无息返还乙方。</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（五）付款方式</w:t>
      </w:r>
      <w:r>
        <w:rPr>
          <w:rFonts w:ascii="方正仿宋_GBK" w:hAnsi="方正仿宋_GBK" w:eastAsia="方正仿宋_GBK" w:cs="方正仿宋_GBK"/>
          <w:b/>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1.预付款：本合同自双方签字盖章之日起生效。甲方应于合同生效后 7个工作日内，向乙方支付合同总金额的30%作为预付款。</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ascii="方正仿宋_GBK" w:hAnsi="方正仿宋_GBK" w:eastAsia="方正仿宋_GBK" w:cs="方正仿宋_GBK"/>
          <w:bCs/>
          <w:sz w:val="28"/>
          <w:szCs w:val="28"/>
          <w:highlight w:val="none"/>
        </w:rPr>
        <w:t xml:space="preserve">尾款支付：产品交付后，经甲方最终验收合格，甲方在收到乙方开具的等额、合法、有效的增值税发票之日起</w:t>
      </w:r>
      <w:r>
        <w:rPr>
          <w:rFonts w:hint="eastAsia" w:ascii="方正仿宋_GBK" w:hAnsi="方正仿宋_GBK" w:eastAsia="方正仿宋_GBK" w:cs="方正仿宋_GBK"/>
          <w:bCs/>
          <w:sz w:val="28"/>
          <w:szCs w:val="28"/>
          <w:highlight w:val="none"/>
        </w:rPr>
        <w:t xml:space="preserve">7</w:t>
      </w:r>
      <w:r>
        <w:rPr>
          <w:rFonts w:ascii="方正仿宋_GBK" w:hAnsi="方正仿宋_GBK" w:eastAsia="方正仿宋_GBK" w:cs="方正仿宋_GBK"/>
          <w:bCs/>
          <w:sz w:val="28"/>
          <w:szCs w:val="28"/>
          <w:highlight w:val="none"/>
        </w:rPr>
        <w:t xml:space="preserve">个工作日内，向乙方支付合同总金额的剩余70% 款项。</w:t>
      </w:r>
      <w:r>
        <w:rPr>
          <w:rFonts w:hint="eastAsia" w:ascii="方正仿宋_GBK" w:hAnsi="方正仿宋_GBK" w:eastAsia="方正仿宋_GBK" w:cs="方正仿宋_GBK"/>
          <w:bCs/>
          <w:sz w:val="28"/>
          <w:szCs w:val="28"/>
          <w:highlight w:val="none"/>
        </w:rPr>
      </w:r>
      <w:r/>
    </w:p>
    <w:p>
      <w:pPr>
        <w:pStyle w:val="951"/>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53"/>
        <w:jc w:val="left"/>
        <w:spacing w:line="44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五、其他要求</w:t>
      </w:r>
      <w:r>
        <w:rPr>
          <w:rFonts w:hint="eastAsia" w:ascii="黑体" w:hAnsi="黑体" w:eastAsia="黑体"/>
          <w:b w:val="0"/>
          <w:bCs w:val="0"/>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（一）项目属性：货物类项目。</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（二）核心产品</w:t>
      </w:r>
      <w:r>
        <w:rPr>
          <w:rFonts w:hint="eastAsia" w:ascii="方正仿宋_GBK" w:hAnsi="方正仿宋_GBK" w:eastAsia="方正仿宋_GBK" w:cs="方正仿宋_GBK"/>
          <w:bCs/>
          <w:sz w:val="28"/>
          <w:szCs w:val="28"/>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8"/>
        <w:gridCol w:w="6662"/>
      </w:tblGrid>
      <w:tr>
        <w:trPr/>
        <w:tc>
          <w:tcPr>
            <w:tcW w:w="2158"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662"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highlight w:val="none"/>
              </w:rPr>
            </w:r>
            <w:r/>
          </w:p>
        </w:tc>
      </w:tr>
      <w:tr>
        <w:trPr/>
        <w:tc>
          <w:tcPr>
            <w:tcW w:w="2158"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662"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多媒体智能终端</w:t>
            </w:r>
            <w:r>
              <w:rPr>
                <w:rFonts w:hint="eastAsia" w:ascii="方正仿宋_GBK" w:hAnsi="方正仿宋_GBK" w:eastAsia="方正仿宋_GBK" w:cs="方正仿宋_GBK"/>
                <w:sz w:val="28"/>
                <w:szCs w:val="28"/>
                <w:highlight w:val="none"/>
              </w:rPr>
            </w:r>
            <w:r/>
          </w:p>
        </w:tc>
      </w:tr>
    </w:tbl>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（三）进口产品投标</w:t>
      </w:r>
      <w:r>
        <w:rPr>
          <w:rFonts w:hint="eastAsia" w:ascii="方正仿宋_GBK" w:hAnsi="方正仿宋_GBK" w:eastAsia="方正仿宋_GBK" w:cs="方正仿宋_GBK"/>
          <w:bCs/>
          <w:sz w:val="28"/>
          <w:szCs w:val="28"/>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7"/>
        <w:gridCol w:w="7043"/>
      </w:tblGrid>
      <w:tr>
        <w:trPr/>
        <w:tc>
          <w:tcPr>
            <w:tcW w:w="1747"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043"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是否接受进口产品投标（是/否）</w:t>
            </w:r>
            <w:r>
              <w:rPr>
                <w:rFonts w:hint="eastAsia" w:ascii="方正仿宋_GBK" w:hAnsi="方正仿宋_GBK" w:eastAsia="方正仿宋_GBK" w:cs="方正仿宋_GBK"/>
                <w:sz w:val="28"/>
                <w:szCs w:val="28"/>
                <w:highlight w:val="none"/>
              </w:rPr>
            </w:r>
            <w:r/>
          </w:p>
        </w:tc>
      </w:tr>
      <w:tr>
        <w:trPr/>
        <w:tc>
          <w:tcPr>
            <w:tcW w:w="1747"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043" w:type="dxa"/>
            <w:vAlign w:val="top"/>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bl>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（四）演示要求</w:t>
      </w:r>
      <w:r>
        <w:rPr>
          <w:rFonts w:hint="eastAsia" w:ascii="方正仿宋_GBK" w:hAnsi="方正仿宋_GBK" w:eastAsia="方正仿宋_GBK" w:cs="方正仿宋_GBK"/>
          <w:sz w:val="28"/>
          <w:szCs w:val="28"/>
          <w:highlight w:val="none"/>
        </w:rPr>
      </w:r>
      <w:r/>
    </w:p>
    <w:p>
      <w:pPr>
        <w:pStyle w:val="951"/>
        <w:ind w:firstLine="560"/>
        <w:spacing w:line="440" w:lineRule="exact"/>
        <w:rPr>
          <w:rFonts w:hint="eastAsia" w:ascii="宋体" w:hAnsi="宋体" w:eastAsia="方正仿宋_GBK"/>
          <w:sz w:val="28"/>
          <w:szCs w:val="28"/>
          <w:highlight w:val="none"/>
        </w:rPr>
      </w:pPr>
      <w:r>
        <w:rPr>
          <w:rFonts w:hint="eastAsia" w:ascii="方正仿宋_GBK" w:hAnsi="方正仿宋_GBK" w:eastAsia="方正仿宋_GBK" w:cs="方正仿宋_GBK"/>
          <w:bCs/>
          <w:sz w:val="28"/>
          <w:szCs w:val="28"/>
          <w:highlight w:val="none"/>
        </w:rPr>
        <w:t xml:space="preserve">1.投标人需按照招标文件规定的演示内容制作演示视频文件，视频文件的格式为</w:t>
      </w:r>
      <w:r>
        <w:rPr>
          <w:rFonts w:hint="eastAsia" w:eastAsia="方正仿宋_GBK"/>
          <w:sz w:val="28"/>
          <w:szCs w:val="28"/>
          <w:highlight w:val="none"/>
        </w:rPr>
        <w:t xml:space="preserve">X.mp4</w:t>
      </w:r>
      <w:r>
        <w:rPr>
          <w:rFonts w:hint="eastAsia" w:ascii="方正仿宋_GBK" w:hAnsi="方正仿宋_GBK" w:eastAsia="方正仿宋_GBK" w:cs="方正仿宋_GBK"/>
          <w:bCs/>
          <w:sz w:val="28"/>
          <w:szCs w:val="28"/>
          <w:highlight w:val="none"/>
        </w:rPr>
        <w:t xml:space="preserve">或</w:t>
      </w:r>
      <w:r>
        <w:rPr>
          <w:rFonts w:hint="eastAsia" w:eastAsia="方正仿宋_GBK"/>
          <w:sz w:val="28"/>
          <w:szCs w:val="28"/>
          <w:highlight w:val="none"/>
        </w:rPr>
        <w:t xml:space="preserve">X.avi</w:t>
      </w:r>
      <w:r>
        <w:rPr>
          <w:rFonts w:hint="eastAsia" w:ascii="方正仿宋_GBK" w:hAnsi="方正仿宋_GBK" w:eastAsia="方正仿宋_GBK" w:cs="方正仿宋_GBK"/>
          <w:bCs/>
          <w:sz w:val="28"/>
          <w:szCs w:val="28"/>
          <w:highlight w:val="none"/>
        </w:rPr>
        <w:t xml:space="preserve">，投标人须将视频文件分段压缩为</w:t>
      </w:r>
      <w:r>
        <w:rPr>
          <w:rFonts w:hint="eastAsia" w:eastAsia="方正仿宋_GBK"/>
          <w:sz w:val="28"/>
          <w:szCs w:val="28"/>
          <w:highlight w:val="none"/>
        </w:rPr>
        <w:t xml:space="preserve">X.zip</w:t>
      </w:r>
      <w:r>
        <w:rPr>
          <w:rFonts w:hint="eastAsia" w:ascii="方正仿宋_GBK" w:hAnsi="方正仿宋_GBK" w:eastAsia="方正仿宋_GBK" w:cs="方正仿宋_GBK"/>
          <w:bCs/>
          <w:sz w:val="28"/>
          <w:szCs w:val="28"/>
          <w:highlight w:val="none"/>
        </w:rPr>
        <w:t xml:space="preserve">文件上传（单个文件不得大于</w:t>
      </w:r>
      <w:r>
        <w:rPr>
          <w:rFonts w:hint="eastAsia" w:eastAsia="方正仿宋_GBK"/>
          <w:sz w:val="28"/>
          <w:szCs w:val="28"/>
          <w:highlight w:val="none"/>
        </w:rPr>
        <w:t xml:space="preserve">50M</w:t>
      </w:r>
      <w:r>
        <w:rPr>
          <w:rFonts w:hint="eastAsia" w:ascii="方正仿宋_GBK" w:hAnsi="方正仿宋_GBK" w:eastAsia="方正仿宋_GBK" w:cs="方正仿宋_GBK"/>
          <w:bCs/>
          <w:sz w:val="28"/>
          <w:szCs w:val="28"/>
          <w:highlight w:val="none"/>
        </w:rPr>
        <w:t xml:space="preserve">，所有文件总共不得大于</w:t>
      </w:r>
      <w:r>
        <w:rPr>
          <w:rFonts w:hint="eastAsia" w:eastAsia="方正仿宋_GBK"/>
          <w:sz w:val="28"/>
          <w:szCs w:val="28"/>
          <w:highlight w:val="none"/>
        </w:rPr>
        <w:t xml:space="preserve">300M</w:t>
      </w:r>
      <w:r>
        <w:rPr>
          <w:rFonts w:hint="eastAsia" w:ascii="方正仿宋_GBK" w:hAnsi="方正仿宋_GBK" w:eastAsia="方正仿宋_GBK" w:cs="方正仿宋_GBK"/>
          <w:bCs/>
          <w:sz w:val="28"/>
          <w:szCs w:val="28"/>
          <w:highlight w:val="none"/>
        </w:rPr>
        <w:t xml:space="preserve">）。文件上传方式见《操作手册》规定，上传的演示视频将作为投标文件的组成部分，视频时长总计不超过15分钟。</w:t>
      </w:r>
      <w:r>
        <w:rPr>
          <w:rFonts w:hint="eastAsia" w:ascii="宋体" w:hAnsi="宋体" w:eastAsia="方正仿宋_GBK"/>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2.演示内容如下：</w:t>
      </w:r>
      <w:r>
        <w:rPr>
          <w:rFonts w:hint="eastAsia" w:ascii="方正仿宋_GBK" w:hAnsi="方正仿宋_GBK" w:eastAsia="方正仿宋_GBK" w:cs="方正仿宋_GBK"/>
          <w:bCs/>
          <w:sz w:val="28"/>
          <w:szCs w:val="28"/>
          <w:highlight w:val="none"/>
        </w:rPr>
      </w:r>
      <w:r/>
    </w:p>
    <w:p>
      <w:pPr>
        <w:pStyle w:val="951"/>
        <w:ind w:firstLine="560"/>
        <w:spacing w:line="400" w:lineRule="exact"/>
        <w:rPr>
          <w:rFonts w:hint="eastAsia" w:ascii="仿宋" w:hAnsi="仿宋" w:eastAsia="仿宋" w:cs="方正仿宋_GBK"/>
          <w:bCs/>
          <w:sz w:val="28"/>
          <w:szCs w:val="28"/>
          <w:highlight w:val="none"/>
        </w:rPr>
      </w:pPr>
      <w:r/>
      <w:bookmarkStart w:id="184" w:name="_Toc120614281"/>
      <w:r>
        <w:rPr>
          <w:rFonts w:hint="eastAsia" w:ascii="仿宋" w:hAnsi="仿宋" w:eastAsia="仿宋" w:cs="方正仿宋_GBK"/>
          <w:bCs/>
          <w:sz w:val="28"/>
          <w:szCs w:val="28"/>
          <w:highlight w:val="none"/>
        </w:rPr>
        <w:t xml:space="preserve">（1）多</w:t>
      </w:r>
      <w:r>
        <w:rPr>
          <w:rFonts w:hint="eastAsia" w:ascii="仿宋" w:hAnsi="仿宋" w:eastAsia="仿宋" w:cs="宋体"/>
          <w:bCs/>
          <w:sz w:val="28"/>
          <w:szCs w:val="28"/>
          <w:highlight w:val="none"/>
        </w:rPr>
        <w:t xml:space="preserve">媒</w:t>
      </w:r>
      <w:r>
        <w:rPr>
          <w:rFonts w:hint="eastAsia" w:ascii="仿宋" w:hAnsi="仿宋" w:eastAsia="仿宋" w:cs="___WRD_EMBED_SUB_1356"/>
          <w:bCs/>
          <w:sz w:val="28"/>
          <w:szCs w:val="28"/>
          <w:highlight w:val="none"/>
        </w:rPr>
        <w:t xml:space="preserve">体</w:t>
      </w:r>
      <w:r>
        <w:rPr>
          <w:rFonts w:hint="eastAsia" w:ascii="仿宋" w:hAnsi="仿宋" w:eastAsia="仿宋" w:cs="宋体"/>
          <w:bCs/>
          <w:sz w:val="28"/>
          <w:szCs w:val="28"/>
          <w:highlight w:val="none"/>
        </w:rPr>
        <w:t xml:space="preserve">智</w:t>
      </w:r>
      <w:r>
        <w:rPr>
          <w:rFonts w:hint="eastAsia" w:ascii="仿宋" w:hAnsi="仿宋" w:eastAsia="仿宋" w:cs="___WRD_EMBED_SUB_1356"/>
          <w:bCs/>
          <w:sz w:val="28"/>
          <w:szCs w:val="28"/>
          <w:highlight w:val="none"/>
        </w:rPr>
        <w:t xml:space="preserve">能终</w:t>
      </w:r>
      <w:r>
        <w:rPr>
          <w:rFonts w:hint="eastAsia" w:ascii="仿宋" w:hAnsi="仿宋" w:eastAsia="仿宋" w:cs="宋体"/>
          <w:bCs/>
          <w:sz w:val="28"/>
          <w:szCs w:val="28"/>
          <w:highlight w:val="none"/>
        </w:rPr>
        <w:t xml:space="preserve">端</w:t>
      </w:r>
      <w:r>
        <w:rPr>
          <w:rFonts w:hint="eastAsia" w:ascii="仿宋" w:hAnsi="仿宋" w:eastAsia="仿宋" w:cs="方正仿宋_GBK"/>
          <w:bCs/>
          <w:sz w:val="28"/>
          <w:szCs w:val="28"/>
          <w:highlight w:val="none"/>
        </w:rPr>
        <w:t xml:space="preserve">HDMI信号4进6出</w:t>
      </w:r>
      <w:r>
        <w:rPr>
          <w:rFonts w:hint="eastAsia" w:ascii="仿宋" w:hAnsi="仿宋" w:eastAsia="仿宋" w:cs="宋体"/>
          <w:bCs/>
          <w:sz w:val="28"/>
          <w:szCs w:val="28"/>
          <w:highlight w:val="none"/>
        </w:rPr>
        <w:t xml:space="preserve">矩阵</w:t>
      </w:r>
      <w:r>
        <w:rPr>
          <w:rFonts w:hint="eastAsia" w:ascii="仿宋" w:hAnsi="仿宋" w:eastAsia="仿宋" w:cs="___WRD_EMBED_SUB_1356"/>
          <w:bCs/>
          <w:sz w:val="28"/>
          <w:szCs w:val="28"/>
          <w:highlight w:val="none"/>
        </w:rPr>
        <w:t xml:space="preserve">切换，</w:t>
      </w:r>
      <w:r>
        <w:rPr>
          <w:rFonts w:hint="eastAsia" w:ascii="仿宋" w:hAnsi="仿宋" w:eastAsia="仿宋" w:cs="方正仿宋_GBK"/>
          <w:bCs/>
          <w:sz w:val="28"/>
          <w:szCs w:val="28"/>
          <w:highlight w:val="none"/>
        </w:rPr>
        <w:t xml:space="preserve">HDMI输出信号支持EDID读取、设置，可以根据不同分</w:t>
      </w:r>
      <w:r>
        <w:rPr>
          <w:rFonts w:hint="eastAsia" w:ascii="仿宋" w:hAnsi="仿宋" w:eastAsia="仿宋" w:cs="宋体"/>
          <w:bCs/>
          <w:sz w:val="28"/>
          <w:szCs w:val="28"/>
          <w:highlight w:val="none"/>
        </w:rPr>
        <w:t xml:space="preserve">辨</w:t>
      </w:r>
      <w:r>
        <w:rPr>
          <w:rFonts w:hint="eastAsia" w:ascii="仿宋" w:hAnsi="仿宋" w:eastAsia="仿宋" w:cs="___WRD_EMBED_SUB_1356"/>
          <w:bCs/>
          <w:sz w:val="28"/>
          <w:szCs w:val="28"/>
          <w:highlight w:val="none"/>
        </w:rPr>
        <w:t xml:space="preserve">率显示设备（投影机、显示器、触控</w:t>
      </w:r>
      <w:r>
        <w:rPr>
          <w:rFonts w:hint="eastAsia" w:ascii="仿宋" w:hAnsi="仿宋" w:eastAsia="仿宋" w:cs="宋体"/>
          <w:bCs/>
          <w:sz w:val="28"/>
          <w:szCs w:val="28"/>
          <w:highlight w:val="none"/>
        </w:rPr>
        <w:t xml:space="preserve">屏</w:t>
      </w:r>
      <w:r>
        <w:rPr>
          <w:rFonts w:hint="eastAsia" w:ascii="仿宋" w:hAnsi="仿宋" w:eastAsia="仿宋" w:cs="___WRD_EMBED_SUB_1356"/>
          <w:bCs/>
          <w:sz w:val="28"/>
          <w:szCs w:val="28"/>
          <w:highlight w:val="none"/>
        </w:rPr>
        <w:t xml:space="preserve">等），设置不少于</w:t>
      </w:r>
      <w:r>
        <w:rPr>
          <w:rFonts w:hint="eastAsia" w:ascii="仿宋" w:hAnsi="仿宋" w:eastAsia="仿宋" w:cs="方正仿宋_GBK"/>
          <w:bCs/>
          <w:sz w:val="28"/>
          <w:szCs w:val="28"/>
          <w:highlight w:val="none"/>
        </w:rPr>
        <w:t xml:space="preserve">3种不同分</w:t>
      </w:r>
      <w:r>
        <w:rPr>
          <w:rFonts w:hint="eastAsia" w:ascii="仿宋" w:hAnsi="仿宋" w:eastAsia="仿宋" w:cs="宋体"/>
          <w:bCs/>
          <w:sz w:val="28"/>
          <w:szCs w:val="28"/>
          <w:highlight w:val="none"/>
        </w:rPr>
        <w:t xml:space="preserve">辨</w:t>
      </w:r>
      <w:r>
        <w:rPr>
          <w:rFonts w:hint="eastAsia" w:ascii="仿宋" w:hAnsi="仿宋" w:eastAsia="仿宋" w:cs="___WRD_EMBED_SUB_1356"/>
          <w:bCs/>
          <w:sz w:val="28"/>
          <w:szCs w:val="28"/>
          <w:highlight w:val="none"/>
        </w:rPr>
        <w:t xml:space="preserve">率显示设备的</w:t>
      </w:r>
      <w:r>
        <w:rPr>
          <w:rFonts w:hint="eastAsia" w:ascii="仿宋" w:hAnsi="仿宋" w:eastAsia="仿宋" w:cs="方正仿宋_GBK"/>
          <w:bCs/>
          <w:sz w:val="28"/>
          <w:szCs w:val="28"/>
          <w:highlight w:val="none"/>
        </w:rPr>
        <w:t xml:space="preserve">EDID，要求支持4K、1080P、720P、1024*768等多种分</w:t>
      </w:r>
      <w:r>
        <w:rPr>
          <w:rFonts w:hint="eastAsia" w:ascii="仿宋" w:hAnsi="仿宋" w:eastAsia="仿宋" w:cs="宋体"/>
          <w:bCs/>
          <w:sz w:val="28"/>
          <w:szCs w:val="28"/>
          <w:highlight w:val="none"/>
        </w:rPr>
        <w:t xml:space="preserve">辨</w:t>
      </w:r>
      <w:r>
        <w:rPr>
          <w:rFonts w:hint="eastAsia" w:ascii="仿宋" w:hAnsi="仿宋" w:eastAsia="仿宋" w:cs="___WRD_EMBED_SUB_1356"/>
          <w:bCs/>
          <w:sz w:val="28"/>
          <w:szCs w:val="28"/>
          <w:highlight w:val="none"/>
        </w:rPr>
        <w:t xml:space="preserve">率。</w:t>
      </w:r>
      <w:r>
        <w:rPr>
          <w:rFonts w:hint="eastAsia" w:ascii="仿宋" w:hAnsi="仿宋" w:eastAsia="仿宋" w:cs="方正仿宋_GBK"/>
          <w:bCs/>
          <w:sz w:val="28"/>
          <w:szCs w:val="28"/>
          <w:highlight w:val="none"/>
        </w:rPr>
      </w:r>
      <w:r/>
    </w:p>
    <w:p>
      <w:pPr>
        <w:pStyle w:val="951"/>
        <w:ind w:firstLine="560"/>
        <w:spacing w:line="400" w:lineRule="exact"/>
        <w:rPr>
          <w:rFonts w:hint="eastAsia" w:ascii="仿宋" w:hAnsi="仿宋" w:eastAsia="仿宋" w:cs="方正仿宋_GBK"/>
          <w:bCs/>
          <w:sz w:val="28"/>
          <w:szCs w:val="28"/>
          <w:highlight w:val="none"/>
        </w:rPr>
      </w:pPr>
      <w:r>
        <w:rPr>
          <w:rFonts w:hint="eastAsia" w:ascii="仿宋" w:hAnsi="仿宋" w:eastAsia="仿宋" w:cs="方正仿宋_GBK"/>
          <w:bCs/>
          <w:sz w:val="28"/>
          <w:szCs w:val="28"/>
          <w:highlight w:val="none"/>
        </w:rPr>
        <w:t xml:space="preserve">（2）多</w:t>
      </w:r>
      <w:r>
        <w:rPr>
          <w:rFonts w:hint="eastAsia" w:ascii="仿宋" w:hAnsi="仿宋" w:eastAsia="仿宋" w:cs="宋体"/>
          <w:bCs/>
          <w:sz w:val="28"/>
          <w:szCs w:val="28"/>
          <w:highlight w:val="none"/>
        </w:rPr>
        <w:t xml:space="preserve">媒</w:t>
      </w:r>
      <w:r>
        <w:rPr>
          <w:rFonts w:hint="eastAsia" w:ascii="仿宋" w:hAnsi="仿宋" w:eastAsia="仿宋" w:cs="___WRD_EMBED_SUB_1356"/>
          <w:bCs/>
          <w:sz w:val="28"/>
          <w:szCs w:val="28"/>
          <w:highlight w:val="none"/>
        </w:rPr>
        <w:t xml:space="preserve">体</w:t>
      </w:r>
      <w:r>
        <w:rPr>
          <w:rFonts w:hint="eastAsia" w:ascii="仿宋" w:hAnsi="仿宋" w:eastAsia="仿宋" w:cs="宋体"/>
          <w:bCs/>
          <w:sz w:val="28"/>
          <w:szCs w:val="28"/>
          <w:highlight w:val="none"/>
        </w:rPr>
        <w:t xml:space="preserve">智</w:t>
      </w:r>
      <w:r>
        <w:rPr>
          <w:rFonts w:hint="eastAsia" w:ascii="仿宋" w:hAnsi="仿宋" w:eastAsia="仿宋" w:cs="___WRD_EMBED_SUB_1356"/>
          <w:bCs/>
          <w:sz w:val="28"/>
          <w:szCs w:val="28"/>
          <w:highlight w:val="none"/>
        </w:rPr>
        <w:t xml:space="preserve">能终</w:t>
      </w:r>
      <w:r>
        <w:rPr>
          <w:rFonts w:hint="eastAsia" w:ascii="仿宋" w:hAnsi="仿宋" w:eastAsia="仿宋" w:cs="宋体"/>
          <w:bCs/>
          <w:sz w:val="28"/>
          <w:szCs w:val="28"/>
          <w:highlight w:val="none"/>
        </w:rPr>
        <w:t xml:space="preserve">端</w:t>
      </w:r>
      <w:r>
        <w:rPr>
          <w:rFonts w:hint="eastAsia" w:ascii="仿宋" w:hAnsi="仿宋" w:eastAsia="仿宋" w:cs="___WRD_EMBED_SUB_1356"/>
          <w:bCs/>
          <w:sz w:val="28"/>
          <w:szCs w:val="28"/>
          <w:highlight w:val="none"/>
        </w:rPr>
        <w:t xml:space="preserve">具备交</w:t>
      </w:r>
      <w:r>
        <w:rPr>
          <w:rFonts w:hint="eastAsia" w:ascii="仿宋" w:hAnsi="仿宋" w:eastAsia="仿宋" w:cs="宋体"/>
          <w:bCs/>
          <w:sz w:val="28"/>
          <w:szCs w:val="28"/>
          <w:highlight w:val="none"/>
        </w:rPr>
        <w:t xml:space="preserve">互</w:t>
      </w:r>
      <w:r>
        <w:rPr>
          <w:rFonts w:hint="eastAsia" w:ascii="仿宋" w:hAnsi="仿宋" w:eastAsia="仿宋" w:cs="___WRD_EMBED_SUB_1356"/>
          <w:bCs/>
          <w:sz w:val="28"/>
          <w:szCs w:val="28"/>
          <w:highlight w:val="none"/>
        </w:rPr>
        <w:t xml:space="preserve">提醒下</w:t>
      </w:r>
      <w:r>
        <w:rPr>
          <w:rFonts w:hint="eastAsia" w:ascii="仿宋" w:hAnsi="仿宋" w:eastAsia="仿宋" w:cs="宋体"/>
          <w:bCs/>
          <w:sz w:val="28"/>
          <w:szCs w:val="28"/>
          <w:highlight w:val="none"/>
        </w:rPr>
        <w:t xml:space="preserve">课</w:t>
      </w:r>
      <w:r>
        <w:rPr>
          <w:rFonts w:hint="eastAsia" w:ascii="仿宋" w:hAnsi="仿宋" w:eastAsia="仿宋" w:cs="___WRD_EMBED_SUB_1356"/>
          <w:bCs/>
          <w:sz w:val="28"/>
          <w:szCs w:val="28"/>
          <w:highlight w:val="none"/>
        </w:rPr>
        <w:t xml:space="preserve">功能，到下</w:t>
      </w:r>
      <w:r>
        <w:rPr>
          <w:rFonts w:hint="eastAsia" w:ascii="仿宋" w:hAnsi="仿宋" w:eastAsia="仿宋" w:cs="宋体"/>
          <w:bCs/>
          <w:sz w:val="28"/>
          <w:szCs w:val="28"/>
          <w:highlight w:val="none"/>
        </w:rPr>
        <w:t xml:space="preserve">课</w:t>
      </w:r>
      <w:r>
        <w:rPr>
          <w:rFonts w:hint="eastAsia" w:ascii="仿宋" w:hAnsi="仿宋" w:eastAsia="仿宋" w:cs="___WRD_EMBED_SUB_1356"/>
          <w:bCs/>
          <w:sz w:val="28"/>
          <w:szCs w:val="28"/>
          <w:highlight w:val="none"/>
        </w:rPr>
        <w:t xml:space="preserve">时间可通过计算机</w:t>
      </w:r>
      <w:r>
        <w:rPr>
          <w:rFonts w:hint="eastAsia" w:ascii="仿宋" w:hAnsi="仿宋" w:eastAsia="仿宋" w:cs="宋体"/>
          <w:bCs/>
          <w:sz w:val="28"/>
          <w:szCs w:val="28"/>
          <w:highlight w:val="none"/>
        </w:rPr>
        <w:t xml:space="preserve">弹</w:t>
      </w:r>
      <w:r>
        <w:rPr>
          <w:rFonts w:hint="eastAsia" w:ascii="仿宋" w:hAnsi="仿宋" w:eastAsia="仿宋" w:cs="___WRD_EMBED_SUB_1356"/>
          <w:bCs/>
          <w:sz w:val="28"/>
          <w:szCs w:val="28"/>
          <w:highlight w:val="none"/>
        </w:rPr>
        <w:t xml:space="preserve">出对话框提示，询问</w:t>
      </w:r>
      <w:r>
        <w:rPr>
          <w:rFonts w:hint="eastAsia" w:ascii="仿宋" w:hAnsi="仿宋" w:eastAsia="仿宋" w:cs="宋体"/>
          <w:bCs/>
          <w:sz w:val="28"/>
          <w:szCs w:val="28"/>
          <w:highlight w:val="none"/>
        </w:rPr>
        <w:t xml:space="preserve">老师</w:t>
      </w:r>
      <w:r>
        <w:rPr>
          <w:rFonts w:hint="eastAsia" w:ascii="仿宋" w:hAnsi="仿宋" w:eastAsia="仿宋" w:cs="___WRD_EMBED_SUB_1356"/>
          <w:bCs/>
          <w:sz w:val="28"/>
          <w:szCs w:val="28"/>
          <w:highlight w:val="none"/>
        </w:rPr>
        <w:t xml:space="preserve">是否继续使用多</w:t>
      </w:r>
      <w:r>
        <w:rPr>
          <w:rFonts w:hint="eastAsia" w:ascii="仿宋" w:hAnsi="仿宋" w:eastAsia="仿宋" w:cs="宋体"/>
          <w:bCs/>
          <w:sz w:val="28"/>
          <w:szCs w:val="28"/>
          <w:highlight w:val="none"/>
        </w:rPr>
        <w:t xml:space="preserve">媒</w:t>
      </w:r>
      <w:r>
        <w:rPr>
          <w:rFonts w:hint="eastAsia" w:ascii="仿宋" w:hAnsi="仿宋" w:eastAsia="仿宋" w:cs="___WRD_EMBED_SUB_1356"/>
          <w:bCs/>
          <w:sz w:val="28"/>
          <w:szCs w:val="28"/>
          <w:highlight w:val="none"/>
        </w:rPr>
        <w:t xml:space="preserve">体，如果没有回复，系统在</w:t>
      </w:r>
      <w:r>
        <w:rPr>
          <w:rFonts w:hint="eastAsia" w:ascii="仿宋" w:hAnsi="仿宋" w:eastAsia="仿宋" w:cs="宋体"/>
          <w:bCs/>
          <w:sz w:val="28"/>
          <w:szCs w:val="28"/>
          <w:highlight w:val="none"/>
        </w:rPr>
        <w:t xml:space="preserve">倒</w:t>
      </w:r>
      <w:r>
        <w:rPr>
          <w:rFonts w:hint="eastAsia" w:ascii="仿宋" w:hAnsi="仿宋" w:eastAsia="仿宋" w:cs="___WRD_EMBED_SUB_1356"/>
          <w:bCs/>
          <w:sz w:val="28"/>
          <w:szCs w:val="28"/>
          <w:highlight w:val="none"/>
        </w:rPr>
        <w:t xml:space="preserve">计时结束后，自动关</w:t>
      </w:r>
      <w:r>
        <w:rPr>
          <w:rFonts w:hint="eastAsia" w:ascii="仿宋" w:hAnsi="仿宋" w:eastAsia="仿宋" w:cs="宋体"/>
          <w:bCs/>
          <w:sz w:val="28"/>
          <w:szCs w:val="28"/>
          <w:highlight w:val="none"/>
        </w:rPr>
        <w:t xml:space="preserve">闭</w:t>
      </w:r>
      <w:r>
        <w:rPr>
          <w:rFonts w:hint="eastAsia" w:ascii="仿宋" w:hAnsi="仿宋" w:eastAsia="仿宋" w:cs="___WRD_EMBED_SUB_1356"/>
          <w:bCs/>
          <w:sz w:val="28"/>
          <w:szCs w:val="28"/>
          <w:highlight w:val="none"/>
        </w:rPr>
        <w:t xml:space="preserve">系统；如继续使用，根据提示操作取消关机；可自定义</w:t>
      </w:r>
      <w:r>
        <w:rPr>
          <w:rFonts w:hint="eastAsia" w:ascii="仿宋" w:hAnsi="仿宋" w:eastAsia="仿宋" w:cs="宋体"/>
          <w:bCs/>
          <w:sz w:val="28"/>
          <w:szCs w:val="28"/>
          <w:highlight w:val="none"/>
        </w:rPr>
        <w:t xml:space="preserve">倒</w:t>
      </w:r>
      <w:r>
        <w:rPr>
          <w:rFonts w:hint="eastAsia" w:ascii="仿宋" w:hAnsi="仿宋" w:eastAsia="仿宋" w:cs="___WRD_EMBED_SUB_1356"/>
          <w:bCs/>
          <w:sz w:val="28"/>
          <w:szCs w:val="28"/>
          <w:highlight w:val="none"/>
        </w:rPr>
        <w:t xml:space="preserve">计时时长。</w:t>
      </w:r>
      <w:r>
        <w:rPr>
          <w:rFonts w:hint="eastAsia" w:ascii="仿宋" w:hAnsi="仿宋" w:eastAsia="仿宋" w:cs="方正仿宋_GBK"/>
          <w:bCs/>
          <w:sz w:val="28"/>
          <w:szCs w:val="28"/>
          <w:highlight w:val="none"/>
        </w:rPr>
      </w:r>
      <w:r/>
    </w:p>
    <w:p>
      <w:pPr>
        <w:pStyle w:val="951"/>
        <w:ind w:firstLine="560"/>
        <w:spacing w:line="440" w:lineRule="exact"/>
        <w:rPr>
          <w:rFonts w:hint="eastAsia" w:ascii="仿宋" w:hAnsi="仿宋" w:eastAsia="仿宋" w:cs="方正仿宋_GBK"/>
          <w:bCs/>
          <w:sz w:val="28"/>
          <w:szCs w:val="28"/>
          <w:highlight w:val="none"/>
        </w:rPr>
      </w:pPr>
      <w:r>
        <w:rPr>
          <w:rFonts w:hint="eastAsia" w:ascii="仿宋" w:hAnsi="仿宋" w:eastAsia="仿宋" w:cs="方正仿宋_GBK"/>
          <w:bCs/>
          <w:sz w:val="28"/>
          <w:szCs w:val="28"/>
          <w:highlight w:val="none"/>
        </w:rPr>
        <w:t xml:space="preserve">（3）此次采购的多</w:t>
      </w:r>
      <w:r>
        <w:rPr>
          <w:rFonts w:hint="eastAsia" w:ascii="仿宋" w:hAnsi="仿宋" w:eastAsia="仿宋" w:cs="宋体"/>
          <w:bCs/>
          <w:sz w:val="28"/>
          <w:szCs w:val="28"/>
          <w:highlight w:val="none"/>
        </w:rPr>
        <w:t xml:space="preserve">媒</w:t>
      </w:r>
      <w:r>
        <w:rPr>
          <w:rFonts w:hint="eastAsia" w:ascii="仿宋" w:hAnsi="仿宋" w:eastAsia="仿宋" w:cs="___WRD_EMBED_SUB_1356"/>
          <w:bCs/>
          <w:sz w:val="28"/>
          <w:szCs w:val="28"/>
          <w:highlight w:val="none"/>
        </w:rPr>
        <w:t xml:space="preserve">体</w:t>
      </w:r>
      <w:r>
        <w:rPr>
          <w:rFonts w:hint="eastAsia" w:ascii="仿宋" w:hAnsi="仿宋" w:eastAsia="仿宋" w:cs="宋体"/>
          <w:bCs/>
          <w:sz w:val="28"/>
          <w:szCs w:val="28"/>
          <w:highlight w:val="none"/>
        </w:rPr>
        <w:t xml:space="preserve">智</w:t>
      </w:r>
      <w:r>
        <w:rPr>
          <w:rFonts w:hint="eastAsia" w:ascii="仿宋" w:hAnsi="仿宋" w:eastAsia="仿宋" w:cs="___WRD_EMBED_SUB_1356"/>
          <w:bCs/>
          <w:sz w:val="28"/>
          <w:szCs w:val="28"/>
          <w:highlight w:val="none"/>
        </w:rPr>
        <w:t xml:space="preserve">能终</w:t>
      </w:r>
      <w:r>
        <w:rPr>
          <w:rFonts w:hint="eastAsia" w:ascii="仿宋" w:hAnsi="仿宋" w:eastAsia="仿宋" w:cs="宋体"/>
          <w:bCs/>
          <w:sz w:val="28"/>
          <w:szCs w:val="28"/>
          <w:highlight w:val="none"/>
        </w:rPr>
        <w:t xml:space="preserve">端</w:t>
      </w:r>
      <w:r>
        <w:rPr>
          <w:rFonts w:hint="eastAsia" w:ascii="仿宋" w:hAnsi="仿宋" w:eastAsia="仿宋" w:cs="___WRD_EMBED_SUB_1356"/>
          <w:bCs/>
          <w:sz w:val="28"/>
          <w:szCs w:val="28"/>
          <w:highlight w:val="none"/>
        </w:rPr>
        <w:t xml:space="preserve">可</w:t>
      </w:r>
      <w:r>
        <w:rPr>
          <w:rFonts w:hint="eastAsia" w:ascii="仿宋" w:hAnsi="仿宋" w:eastAsia="仿宋" w:cs="宋体"/>
          <w:bCs/>
          <w:sz w:val="28"/>
          <w:szCs w:val="28"/>
          <w:highlight w:val="none"/>
        </w:rPr>
        <w:t xml:space="preserve">兼</w:t>
      </w:r>
      <w:r>
        <w:rPr>
          <w:rFonts w:hint="eastAsia" w:ascii="仿宋" w:hAnsi="仿宋" w:eastAsia="仿宋" w:cs="___WRD_EMBED_SUB_1356"/>
          <w:bCs/>
          <w:sz w:val="28"/>
          <w:szCs w:val="28"/>
          <w:highlight w:val="none"/>
        </w:rPr>
        <w:t xml:space="preserve">容</w:t>
      </w:r>
      <w:r>
        <w:rPr>
          <w:rFonts w:hint="eastAsia" w:ascii="仿宋" w:hAnsi="仿宋" w:eastAsia="仿宋" w:cs="宋体"/>
          <w:bCs/>
          <w:sz w:val="28"/>
          <w:szCs w:val="28"/>
          <w:highlight w:val="none"/>
        </w:rPr>
        <w:t xml:space="preserve">学校</w:t>
      </w:r>
      <w:r>
        <w:rPr>
          <w:rFonts w:hint="eastAsia" w:ascii="仿宋" w:hAnsi="仿宋" w:eastAsia="仿宋" w:cs="___WRD_EMBED_SUB_1356"/>
          <w:bCs/>
          <w:sz w:val="28"/>
          <w:szCs w:val="28"/>
          <w:highlight w:val="none"/>
        </w:rPr>
        <w:t xml:space="preserve">现有多</w:t>
      </w:r>
      <w:r>
        <w:rPr>
          <w:rFonts w:hint="eastAsia" w:ascii="仿宋" w:hAnsi="仿宋" w:eastAsia="仿宋" w:cs="宋体"/>
          <w:bCs/>
          <w:sz w:val="28"/>
          <w:szCs w:val="28"/>
          <w:highlight w:val="none"/>
        </w:rPr>
        <w:t xml:space="preserve">媒</w:t>
      </w:r>
      <w:r>
        <w:rPr>
          <w:rFonts w:hint="eastAsia" w:ascii="仿宋" w:hAnsi="仿宋" w:eastAsia="仿宋" w:cs="___WRD_EMBED_SUB_1356"/>
          <w:bCs/>
          <w:sz w:val="28"/>
          <w:szCs w:val="28"/>
          <w:highlight w:val="none"/>
        </w:rPr>
        <w:t xml:space="preserve">体中控控制管理平台，实现中控设备状态实时反馈，实现统一上</w:t>
      </w:r>
      <w:r>
        <w:rPr>
          <w:rFonts w:hint="eastAsia" w:ascii="仿宋" w:hAnsi="仿宋" w:eastAsia="仿宋" w:cs="方正仿宋_GBK"/>
          <w:bCs/>
          <w:sz w:val="28"/>
          <w:szCs w:val="28"/>
          <w:highlight w:val="none"/>
        </w:rPr>
        <w:t xml:space="preserve">/下</w:t>
      </w:r>
      <w:r>
        <w:rPr>
          <w:rFonts w:hint="eastAsia" w:ascii="仿宋" w:hAnsi="仿宋" w:eastAsia="仿宋" w:cs="宋体"/>
          <w:bCs/>
          <w:sz w:val="28"/>
          <w:szCs w:val="28"/>
          <w:highlight w:val="none"/>
        </w:rPr>
        <w:t xml:space="preserve">课</w:t>
      </w:r>
      <w:r>
        <w:rPr>
          <w:rFonts w:hint="eastAsia" w:ascii="仿宋" w:hAnsi="仿宋" w:eastAsia="仿宋" w:cs="___WRD_EMBED_SUB_1356"/>
          <w:bCs/>
          <w:sz w:val="28"/>
          <w:szCs w:val="28"/>
          <w:highlight w:val="none"/>
        </w:rPr>
        <w:t xml:space="preserve">；同时支持单独设备开关，如单独控制投影机</w:t>
      </w:r>
      <w:r>
        <w:rPr>
          <w:rFonts w:hint="eastAsia" w:ascii="仿宋" w:hAnsi="仿宋" w:eastAsia="仿宋" w:cs="方正仿宋_GBK"/>
          <w:bCs/>
          <w:sz w:val="28"/>
          <w:szCs w:val="28"/>
          <w:highlight w:val="none"/>
        </w:rPr>
        <w:t xml:space="preserve">/大</w:t>
      </w:r>
      <w:r>
        <w:rPr>
          <w:rFonts w:hint="eastAsia" w:ascii="仿宋" w:hAnsi="仿宋" w:eastAsia="仿宋" w:cs="宋体"/>
          <w:bCs/>
          <w:sz w:val="28"/>
          <w:szCs w:val="28"/>
          <w:highlight w:val="none"/>
        </w:rPr>
        <w:t xml:space="preserve">屏</w:t>
      </w:r>
      <w:r>
        <w:rPr>
          <w:rFonts w:hint="eastAsia" w:ascii="仿宋" w:hAnsi="仿宋" w:eastAsia="仿宋" w:cs="___WRD_EMBED_SUB_1356"/>
          <w:bCs/>
          <w:sz w:val="28"/>
          <w:szCs w:val="28"/>
          <w:highlight w:val="none"/>
        </w:rPr>
        <w:t xml:space="preserve">开关</w:t>
      </w:r>
      <w:r>
        <w:rPr>
          <w:rFonts w:hint="eastAsia" w:ascii="仿宋" w:hAnsi="仿宋" w:eastAsia="仿宋" w:cs="方正仿宋_GBK"/>
          <w:bCs/>
          <w:sz w:val="28"/>
          <w:szCs w:val="28"/>
          <w:highlight w:val="none"/>
        </w:rPr>
        <w:t xml:space="preserve">。</w:t>
      </w:r>
      <w:r>
        <w:rPr>
          <w:rFonts w:hint="eastAsia" w:ascii="仿宋" w:hAnsi="仿宋" w:eastAsia="仿宋"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（五）履约能力要求</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1.供应商应具有</w:t>
      </w:r>
      <w:r>
        <w:rPr>
          <w:rFonts w:ascii="方正仿宋_GBK" w:hAnsi="方正仿宋_GBK" w:eastAsia="方正仿宋_GBK" w:cs="方正仿宋_GBK"/>
          <w:bCs/>
          <w:sz w:val="28"/>
          <w:szCs w:val="28"/>
          <w:highlight w:val="none"/>
        </w:rPr>
        <w:t xml:space="preserve">智慧教室建设</w:t>
      </w:r>
      <w:r>
        <w:rPr>
          <w:rFonts w:hint="eastAsia" w:ascii="方正仿宋_GBK" w:hAnsi="方正仿宋_GBK" w:eastAsia="方正仿宋_GBK" w:cs="方正仿宋_GBK"/>
          <w:bCs/>
          <w:sz w:val="28"/>
          <w:szCs w:val="28"/>
          <w:highlight w:val="none"/>
        </w:rPr>
        <w:t xml:space="preserve">经验。</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（六）项目方案</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实施方案：投标人应根据招标文件要求及本项目特点，制订项目实施方案，包括全部产品的安装部署、联合调试和验收方案、供货及安装各节点时间进度、人员配置安排、现场文明施工等，并结合本项目特点，提供具体详实的重点难点分析以及相应的解决方案。实施方案应做到完整全面、科学可行，并有针对性，配备具有相应资质和经验的项目经理及技术服务人员，服从采购人管理要求，确保在规定的交付时限内完成；</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2.技术方案：投标人应根据招标文件要求并结合本项目特点，提供具体详实的技术方案，包括系统架构设计方案、深化设计方案等。方案应做到完整全面、科学可行，并有针对性，确保满足本项目的实际需求。</w:t>
      </w:r>
      <w:r>
        <w:rPr>
          <w:rFonts w:hint="eastAsia" w:ascii="方正仿宋_GBK" w:hAnsi="方正仿宋_GBK" w:eastAsia="方正仿宋_GBK" w:cs="方正仿宋_GBK"/>
          <w:bCs/>
          <w:sz w:val="28"/>
          <w:szCs w:val="28"/>
          <w:highlight w:val="none"/>
        </w:rPr>
      </w:r>
      <w:r/>
    </w:p>
    <w:p>
      <w:pPr>
        <w:pStyle w:val="951"/>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质量保障方案：投标人应根据招标文件要求及本项目特点，制订项目质量保障方案，建立质量管理标准架构体系。方案要体现项目的全过程产品质量管控，包括产品的生产、检验检测、包装运输、到场安装调试等全过程质量保障措施，并收集整理包括产品说明书、出厂合格证、技术文档等的全套技术材料，确保本项目供货产品质量达到投标人的各项响应承诺要求。</w:t>
      </w:r>
      <w:r>
        <w:rPr>
          <w:rFonts w:ascii="方正仿宋_GBK" w:hAnsi="方正仿宋_GBK" w:eastAsia="方正仿宋_GBK" w:cs="方正仿宋_GBK"/>
          <w:bCs/>
          <w:sz w:val="28"/>
          <w:szCs w:val="28"/>
          <w:highlight w:val="none"/>
        </w:rPr>
      </w:r>
      <w:r/>
    </w:p>
    <w:p>
      <w:pPr>
        <w:pStyle w:val="9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32"/>
          <w:szCs w:val="32"/>
          <w:highlight w:val="none"/>
        </w:rPr>
        <w:br w:type="page" w:clear="all"/>
      </w:r>
      <w:r>
        <w:rPr>
          <w:rFonts w:hint="eastAsia" w:ascii="黑体" w:hAnsi="黑体" w:eastAsia="黑体"/>
          <w:b w:val="0"/>
          <w:bCs w:val="0"/>
          <w:sz w:val="32"/>
          <w:szCs w:val="32"/>
          <w:highlight w:val="none"/>
        </w:rPr>
        <w:t xml:space="preserve">第五章  评标方法与评标标准</w:t>
      </w:r>
      <w:r>
        <w:rPr>
          <w:rFonts w:hint="eastAsia" w:ascii="黑体" w:hAnsi="黑体" w:eastAsia="黑体"/>
          <w:b w:val="0"/>
          <w:bCs w:val="0"/>
          <w:sz w:val="28"/>
          <w:szCs w:val="28"/>
          <w:highlight w:val="none"/>
        </w:rPr>
      </w:r>
      <w:r/>
    </w:p>
    <w:p>
      <w:pPr>
        <w:pStyle w:val="951"/>
        <w:ind w:firstLine="560"/>
        <w:spacing w:line="44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063"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71"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51"/>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textDirection w:val="lrTb"/>
            <w:noWrap w:val="false"/>
          </w:tcPr>
          <w:p>
            <w:pPr>
              <w:pStyle w:val="951"/>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951"/>
        <w:ind w:firstLine="420"/>
        <w:spacing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rPr>
          <w:rFonts w:hint="eastAsia" w:ascii="宋体" w:hAnsi="宋体"/>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宋体" w:hAnsi="宋体"/>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highlight w:val="none"/>
        </w:rPr>
      </w:r>
      <w:r/>
    </w:p>
    <w:p>
      <w:pPr>
        <w:pStyle w:val="951"/>
        <w:ind w:firstLine="560"/>
        <w:spacing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951"/>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sz w:val="28"/>
          <w:szCs w:val="28"/>
          <w:highlight w:val="none"/>
        </w:rPr>
        <w:t xml:space="preserve"> （一）投标报价（35分）</w:t>
      </w:r>
      <w:r>
        <w:rPr>
          <w:rFonts w:hint="eastAsia" w:ascii="方正仿宋_GBK" w:hAnsi="方正仿宋_GBK" w:eastAsia="方正仿宋_GBK" w:cs="方正仿宋_GBK"/>
          <w:sz w:val="28"/>
          <w:szCs w:val="28"/>
          <w:highlight w:val="none"/>
        </w:rPr>
      </w:r>
      <w:r/>
    </w:p>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价格分采用低价优先法计算，即满足招标文件要求且报价最低的供应商报价为评标基准价，其价格分为满分35分，其他投标人的价格分统一按照以下公式计算：投标报价得分=（评标基准价/该投标人的投标报价）×35分。分值保留小数点后2位。</w:t>
      </w:r>
      <w:r>
        <w:rPr>
          <w:rFonts w:hint="eastAsia" w:ascii="方正仿宋_GBK" w:hAnsi="方正仿宋_GBK" w:eastAsia="方正仿宋_GBK" w:cs="方正仿宋_GBK"/>
          <w:sz w:val="28"/>
          <w:szCs w:val="28"/>
          <w:highlight w:val="none"/>
        </w:rPr>
      </w:r>
      <w:r/>
    </w:p>
    <w:p>
      <w:pPr>
        <w:pStyle w:val="951"/>
        <w:ind w:firstLine="560"/>
        <w:spacing w:line="44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（二）技术参数响应情况（38分）</w:t>
      </w:r>
      <w:r>
        <w:rPr>
          <w:rFonts w:ascii="方正仿宋_GBK" w:hAnsi="方正仿宋_GBK" w:eastAsia="方正仿宋_GBK" w:cs="方正仿宋_GBK"/>
          <w:sz w:val="28"/>
          <w:szCs w:val="28"/>
          <w:highlight w:val="none"/>
        </w:rPr>
      </w:r>
      <w:r/>
    </w:p>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根据投标文件的技术参数响应情况进行评分：全部响应即满足招标文件的“技术参数要求”的得38分；其中标注▲项有负偏离的每项减1分，其他有负偏离的每项减0.1分。（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方正仿宋_GBK" w:hAnsi="方正仿宋_GBK" w:eastAsia="方正仿宋_GBK" w:cs="方正仿宋_GBK"/>
          <w:sz w:val="28"/>
          <w:szCs w:val="28"/>
          <w:highlight w:val="none"/>
        </w:rPr>
      </w:r>
      <w:r/>
    </w:p>
    <w:p>
      <w:pPr>
        <w:pStyle w:val="95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（三）项目方案（12分）</w:t>
      </w:r>
      <w:r>
        <w:rPr>
          <w:rFonts w:hint="eastAsia" w:ascii="方正仿宋_GBK" w:hAnsi="方正仿宋_GBK" w:eastAsia="方正仿宋_GBK" w:cs="方正仿宋_GBK"/>
          <w:sz w:val="28"/>
          <w:szCs w:val="28"/>
          <w:highlight w:val="none"/>
        </w:rPr>
      </w:r>
      <w:r/>
    </w:p>
    <w:p>
      <w:pPr>
        <w:pStyle w:val="951"/>
        <w:ind w:firstLine="560"/>
        <w:spacing w:line="440" w:lineRule="exact"/>
        <w:rPr>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rPr>
        <w:t xml:space="preserve">实施方案（4分）。评委根据投标文件对招标文件第四章“采购需求”中“实施方案”要求的响应情况进行评审:(1)投标文件未符合“实施方案”中全部条款要求的，视为不符合招标文件，本项得0分。(2)投标文件符合“实施方案”中全部条款要求的，视为符合招标文件，本项得2分。(3)经评委认定，投标文件对“实施方案”中“进度安排”、“人员配置”、“重难点解决方案”三项要求的响应内容全部优于招标文件要求的(投标文件对“实施方案”中除“进度安排”、“人员配置”、“重难点解决方案”外其他要求响应内容符合招标文件要求)，本项得4分。</w:t>
      </w:r>
      <w:r>
        <w:rPr>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技术方案（4分）。评委根据投标文件对招标文件第四章“采购需求”中“技术方案”要求的响应情况进行评审:(1)投标文件未符合“技术方案”中全部条款要求的，视为不符合招标文件，本项得0分。(2)投标文件符合“技术方案”中全部条款要求的，视为符合招标文件，本项得2分。(3)经评委认定，投标文件对“技术方案”中“</w:t>
      </w:r>
      <w:r>
        <w:rPr>
          <w:rFonts w:hint="eastAsia" w:ascii="方正仿宋_GBK" w:hAnsi="方正仿宋_GBK" w:eastAsia="方正仿宋_GBK" w:cs="方正仿宋_GBK"/>
          <w:bCs/>
          <w:sz w:val="28"/>
          <w:szCs w:val="28"/>
          <w:highlight w:val="none"/>
        </w:rPr>
        <w:t xml:space="preserve">系统架构设计方案</w:t>
      </w:r>
      <w:r>
        <w:rPr>
          <w:rFonts w:hint="eastAsia" w:ascii="方正仿宋_GBK" w:hAnsi="方正仿宋_GBK" w:eastAsia="方正仿宋_GBK" w:cs="方正仿宋_GBK"/>
          <w:color w:val="000000"/>
          <w:sz w:val="28"/>
          <w:szCs w:val="28"/>
          <w:highlight w:val="none"/>
        </w:rPr>
        <w:t xml:space="preserve">”要求的响应内容全部优于招标文件要求的(投标文件对“技术方案”中除“</w:t>
      </w:r>
      <w:r>
        <w:rPr>
          <w:rFonts w:hint="eastAsia" w:ascii="方正仿宋_GBK" w:hAnsi="方正仿宋_GBK" w:eastAsia="方正仿宋_GBK" w:cs="方正仿宋_GBK"/>
          <w:bCs/>
          <w:sz w:val="28"/>
          <w:szCs w:val="28"/>
          <w:highlight w:val="none"/>
        </w:rPr>
        <w:t xml:space="preserve">系统架构设计方案</w:t>
      </w:r>
      <w:r>
        <w:rPr>
          <w:rFonts w:hint="eastAsia" w:ascii="方正仿宋_GBK" w:hAnsi="方正仿宋_GBK" w:eastAsia="方正仿宋_GBK" w:cs="方正仿宋_GBK"/>
          <w:color w:val="000000"/>
          <w:sz w:val="28"/>
          <w:szCs w:val="28"/>
          <w:highlight w:val="none"/>
        </w:rPr>
        <w:t xml:space="preserve">”外其他要求响应内容符合招标文件要求)，本项得4分。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质量保障方案（4分）。评委根据投标文件对招标文件第四章“采购需求”中“质量保障方案”要求的响应情况进行评审:(1)投标文件未符合“质量保障方案”中全部条款要求的，视为不符合招标文件，本项得0分。(2)投标文件符合“质量保障方案”中全部条款要求的，视为符合招标文件，本项得2分。(3)经评委认定，投标文件对“质量保障方案”中“</w:t>
      </w:r>
      <w:r>
        <w:rPr>
          <w:rFonts w:hint="eastAsia" w:ascii="方正仿宋_GBK" w:hAnsi="方正仿宋_GBK" w:eastAsia="方正仿宋_GBK" w:cs="方正仿宋_GBK"/>
          <w:bCs/>
          <w:sz w:val="28"/>
          <w:szCs w:val="28"/>
          <w:highlight w:val="none"/>
        </w:rPr>
        <w:t xml:space="preserve">到场安装调试</w:t>
      </w:r>
      <w:r>
        <w:rPr>
          <w:rFonts w:hint="eastAsia" w:ascii="方正仿宋_GBK" w:hAnsi="方正仿宋_GBK" w:eastAsia="方正仿宋_GBK" w:cs="方正仿宋_GBK"/>
          <w:color w:val="000000"/>
          <w:sz w:val="28"/>
          <w:szCs w:val="28"/>
          <w:highlight w:val="none"/>
        </w:rPr>
        <w:t xml:space="preserve">”要求的响应内容全部优于招标文件要求的(投标文件对“质量保障方案”中除“</w:t>
      </w:r>
      <w:r>
        <w:rPr>
          <w:rFonts w:hint="eastAsia" w:ascii="方正仿宋_GBK" w:hAnsi="方正仿宋_GBK" w:eastAsia="方正仿宋_GBK" w:cs="方正仿宋_GBK"/>
          <w:bCs/>
          <w:sz w:val="28"/>
          <w:szCs w:val="28"/>
          <w:highlight w:val="none"/>
        </w:rPr>
        <w:t xml:space="preserve">到场安装调试</w:t>
      </w:r>
      <w:r>
        <w:rPr>
          <w:rFonts w:hint="eastAsia" w:ascii="方正仿宋_GBK" w:hAnsi="方正仿宋_GBK" w:eastAsia="方正仿宋_GBK" w:cs="方正仿宋_GBK"/>
          <w:color w:val="000000"/>
          <w:sz w:val="28"/>
          <w:szCs w:val="28"/>
          <w:highlight w:val="none"/>
        </w:rPr>
        <w:t xml:space="preserve">”外其他要求响应内容符合招标文件要求)，本项得4分。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（四）供应商服务（6分）</w:t>
      </w:r>
      <w:r>
        <w:rPr>
          <w:rFonts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4.1驻场服务（3分）。在提供驻场服务3年的基础上，每增加驻场一年得1分，最高3分。（提供承诺函加盖公章，格式自拟）</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4.2质保（3分）。在质保3年基础上，每增加一年得1分，最高3分。（提供承诺函加盖公章，格式自拟）</w:t>
      </w:r>
      <w:r>
        <w:rPr>
          <w:rFonts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（五）业绩（4分）</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投标人提供2022年1月1日起（以合同签订时间为准）以来具有智慧教室建设业绩的（必须含有录播系统和触控一体机），每有一个业绩得1分，最多得4分。（提供合同复印件，若合同不能反映相关内容的，需提供采购人盖章的其他证明材料，否则不予得分。）</w:t>
      </w:r>
      <w:r>
        <w:rPr>
          <w:rFonts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（六）演示（3分）</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演示不完整或未演示不得分。</w:t>
      </w:r>
      <w:r>
        <w:rPr>
          <w:rFonts w:hint="eastAsia" w:ascii="方正仿宋_GBK" w:hAnsi="方正仿宋_GBK" w:eastAsia="方正仿宋_GBK" w:cs="方正仿宋_GBK"/>
          <w:color w:val="000000"/>
          <w:sz w:val="28"/>
          <w:szCs w:val="28"/>
          <w:highlight w:val="none"/>
        </w:rPr>
      </w:r>
      <w:r/>
    </w:p>
    <w:p>
      <w:pPr>
        <w:pStyle w:val="951"/>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多媒体智能终端HDMI信号4进6出矩阵切换，HDMI输出信号支持EDID读取、设置，可以根据不同分辨率显示设备（投影机、显示器、触控屏等），设置不少于3种不同分辨率显示设备的EDID，要求支持4K、1080P、720P、1024*768等多种分辨率。</w:t>
      </w:r>
      <w:r>
        <w:rPr>
          <w:rFonts w:hint="eastAsia" w:ascii="方正仿宋_GBK" w:hAnsi="方正仿宋_GBK" w:eastAsia="方正仿宋_GBK" w:cs="方正仿宋_GBK"/>
          <w:color w:val="000000"/>
          <w:sz w:val="28"/>
          <w:szCs w:val="28"/>
          <w:highlight w:val="none"/>
        </w:rPr>
      </w:r>
      <w:r/>
    </w:p>
    <w:p>
      <w:pPr>
        <w:pStyle w:val="951"/>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多媒体智能终端具备交互提醒下课功能，到下课时间可通过计算机弹出对话框提示，询问老师是否继续使用多媒体，如果没有回复，系统在倒计时结束后，自动关闭系统；如继续使用，根据提示操作取消关机；可自定义倒计时时长。</w:t>
      </w:r>
      <w:r>
        <w:rPr>
          <w:rFonts w:hint="eastAsia" w:ascii="方正仿宋_GBK" w:hAnsi="方正仿宋_GBK" w:eastAsia="方正仿宋_GBK" w:cs="方正仿宋_GBK"/>
          <w:color w:val="000000"/>
          <w:sz w:val="28"/>
          <w:szCs w:val="28"/>
          <w:highlight w:val="none"/>
        </w:rPr>
      </w:r>
      <w:r/>
    </w:p>
    <w:p>
      <w:pPr>
        <w:pStyle w:val="951"/>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6.3此次采购的多媒体智能终端可兼容学校现有多媒体中控控制管理平台，实现中控设备状态实时反馈，实现统一上/下课；同时支持单独设备开关，如单独控制投影机/大屏开关。</w:t>
      </w:r>
      <w:r>
        <w:rPr>
          <w:rFonts w:hint="eastAsia" w:ascii="方正仿宋_GBK" w:hAnsi="方正仿宋_GBK" w:eastAsia="方正仿宋_GBK" w:cs="方正仿宋_GBK"/>
          <w:color w:val="000000"/>
          <w:sz w:val="28"/>
          <w:szCs w:val="28"/>
          <w:highlight w:val="none"/>
        </w:rPr>
      </w:r>
      <w:r/>
    </w:p>
    <w:p>
      <w:pPr>
        <w:pStyle w:val="1013"/>
        <w:ind w:firstLine="560"/>
        <w:jc w:val="both"/>
        <w:spacing w:before="0" w:beforeAutospacing="0" w:after="0" w:afterAutospacing="0"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（以上每条演示完整且满足要求的得1分，不满足要求、演示不完整或未演示的不得分）</w:t>
      </w:r>
      <w:r>
        <w:rPr>
          <w:rFonts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（七）节能环保（2分）</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方正仿宋_GBK" w:hAnsi="方正仿宋_GBK" w:eastAsia="方正仿宋_GBK" w:cs="方正仿宋_GBK"/>
          <w:color w:val="000000"/>
          <w:sz w:val="28"/>
          <w:szCs w:val="28"/>
          <w:highlight w:val="none"/>
        </w:rPr>
      </w:r>
      <w:r/>
    </w:p>
    <w:p>
      <w:pPr>
        <w:pStyle w:val="951"/>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1"/>
        <w:rPr>
          <w:rFonts w:hint="eastAsia"/>
          <w:highlight w:val="none"/>
        </w:rPr>
      </w:pPr>
      <w:r>
        <w:rPr>
          <w:rFonts w:hint="eastAsia"/>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br w:type="page" w:clear="all"/>
      </w:r>
      <w:r>
        <w:rPr>
          <w:rFonts w:hint="eastAsia" w:ascii="黑体" w:hAnsi="黑体" w:eastAsia="黑体"/>
          <w:b w:val="0"/>
          <w:bCs w:val="0"/>
          <w:sz w:val="32"/>
          <w:szCs w:val="32"/>
          <w:highlight w:val="none"/>
        </w:rPr>
        <w:t xml:space="preserve">第六章  投标</w:t>
      </w:r>
      <w:bookmarkEnd w:id="182"/>
      <w:r/>
      <w:bookmarkEnd w:id="183"/>
      <w:r/>
      <w:bookmarkEnd w:id="184"/>
      <w:r>
        <w:rPr>
          <w:rFonts w:hint="eastAsia" w:ascii="黑体" w:hAnsi="黑体" w:eastAsia="黑体"/>
          <w:b w:val="0"/>
          <w:bCs w:val="0"/>
          <w:sz w:val="32"/>
          <w:szCs w:val="32"/>
          <w:highlight w:val="none"/>
        </w:rPr>
        <w:t xml:space="preserve">文件格式</w:t>
      </w:r>
      <w:r>
        <w:rPr>
          <w:rFonts w:hint="eastAsia" w:ascii="黑体" w:hAnsi="黑体" w:eastAsia="黑体"/>
          <w:b w:val="0"/>
          <w:bCs w:val="0"/>
          <w:sz w:val="28"/>
          <w:szCs w:val="28"/>
          <w:highlight w:val="none"/>
        </w:rPr>
      </w:r>
      <w:r/>
    </w:p>
    <w:p>
      <w:pPr>
        <w:pStyle w:val="951"/>
        <w:jc w:val="center"/>
        <w:spacing w:line="400" w:lineRule="exact"/>
        <w:rPr>
          <w:rFonts w:hint="eastAsia" w:ascii="宋体" w:hAnsi="宋体"/>
          <w:b/>
          <w:color w:val="000000"/>
          <w:sz w:val="28"/>
          <w:szCs w:val="28"/>
          <w:highlight w:val="none"/>
        </w:rPr>
      </w:pPr>
      <w:r/>
      <w:bookmarkStart w:id="185" w:name="_Hlt26671244"/>
      <w:r/>
      <w:bookmarkEnd w:id="185"/>
      <w:r/>
      <w:bookmarkStart w:id="186" w:name="_Hlt26955039"/>
      <w:r/>
      <w:bookmarkEnd w:id="186"/>
      <w:r/>
      <w:bookmarkStart w:id="187" w:name="_Toc49090576"/>
      <w:r/>
      <w:bookmarkStart w:id="188" w:name="_Toc26554094"/>
      <w:r/>
      <w:bookmarkStart w:id="189" w:name="_Toc120614282"/>
      <w:r>
        <w:rPr>
          <w:rFonts w:hint="eastAsia" w:ascii="宋体" w:hAnsi="宋体"/>
          <w:b/>
          <w:color w:val="000000"/>
          <w:sz w:val="28"/>
          <w:szCs w:val="28"/>
          <w:highlight w:val="none"/>
        </w:rPr>
      </w:r>
      <w:r/>
    </w:p>
    <w:p>
      <w:pPr>
        <w:pStyle w:val="951"/>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51"/>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1"/>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1"/>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51"/>
        <w:ind w:firstLine="840"/>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1"/>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51"/>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51"/>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5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t>
      </w:r>
      <w:r>
        <w:rPr>
          <w:rFonts w:eastAsia="方正仿宋_GBK"/>
          <w:sz w:val="28"/>
          <w:szCs w:val="28"/>
          <w:highlight w:val="none"/>
        </w:rPr>
        <w:t xml:space="preserve">www.creditchina.gov.cn</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10.中小微企业声明函（如果本项目专门面向中小微型企业采购，则必须提供。格式见附件9）</w:t>
      </w:r>
      <w:r>
        <w:rPr>
          <w:rFonts w:hint="eastAsia" w:ascii="宋体" w:hAnsi="宋体"/>
          <w:sz w:val="28"/>
          <w:szCs w:val="28"/>
          <w:highlight w:val="none"/>
        </w:rPr>
      </w:r>
      <w:r/>
    </w:p>
    <w:p>
      <w:pPr>
        <w:pStyle w:val="951"/>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8"/>
          <w:szCs w:val="28"/>
          <w:highlight w:val="none"/>
        </w:rPr>
      </w:r>
      <w:r/>
    </w:p>
    <w:p>
      <w:pPr>
        <w:pStyle w:val="951"/>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12.联合体协议（如果本项目接受联合体参加投标，投标人是联合体的，则必须提供。格式见附件11）</w:t>
      </w:r>
      <w:r>
        <w:rPr>
          <w:rFonts w:hint="eastAsia" w:ascii="宋体" w:hAnsi="宋体"/>
          <w:sz w:val="28"/>
          <w:szCs w:val="28"/>
          <w:highlight w:val="none"/>
        </w:rPr>
      </w:r>
      <w:r/>
    </w:p>
    <w:p>
      <w:pPr>
        <w:pStyle w:val="95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95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951"/>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pStyle w:val="951"/>
        <w:ind w:left="480"/>
        <w:spacing w:line="400" w:lineRule="exact"/>
        <w:rPr>
          <w:rFonts w:ascii="宋体" w:hAnsi="宋体"/>
          <w:b/>
          <w:sz w:val="28"/>
          <w:szCs w:val="28"/>
          <w:highlight w:val="none"/>
        </w:rPr>
      </w:pPr>
      <w:r>
        <w:rPr>
          <w:rFonts w:ascii="宋体" w:hAnsi="宋体"/>
          <w:b/>
          <w:sz w:val="28"/>
          <w:szCs w:val="28"/>
          <w:highlight w:val="none"/>
        </w:rPr>
      </w:r>
      <w:r/>
    </w:p>
    <w:p>
      <w:pPr>
        <w:pStyle w:val="951"/>
        <w:ind w:left="480"/>
        <w:spacing w:line="400" w:lineRule="exact"/>
        <w:rPr>
          <w:rFonts w:ascii="宋体" w:hAnsi="宋体"/>
          <w:b/>
          <w:sz w:val="28"/>
          <w:szCs w:val="28"/>
          <w:highlight w:val="none"/>
        </w:rPr>
      </w:pPr>
      <w:r>
        <w:rPr>
          <w:rFonts w:ascii="宋体" w:hAnsi="宋体"/>
          <w:b/>
          <w:sz w:val="28"/>
          <w:szCs w:val="28"/>
          <w:highlight w:val="none"/>
        </w:rPr>
      </w:r>
      <w:r/>
    </w:p>
    <w:p>
      <w:pPr>
        <w:pStyle w:val="951"/>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bCs/>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sz w:val="28"/>
          <w:szCs w:val="28"/>
          <w:highlight w:val="none"/>
        </w:rPr>
        <w:t xml:space="preserve">XXXX</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gridSpan w:val="2"/>
            <w:tcW w:w="8886"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r>
        <w:trPr>
          <w:cantSplit/>
          <w:trHeight w:val="505"/>
        </w:trPr>
        <w:tc>
          <w:tcPr>
            <w:tcW w:w="248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rPr>
                <w:rFonts w:hint="eastAsia" w:ascii="方正仿宋_GBK" w:hAnsi="方正仿宋_GBK" w:eastAsia="方正仿宋_GBK" w:cs="方正仿宋_GBK"/>
                <w:sz w:val="28"/>
                <w:szCs w:val="28"/>
                <w:highlight w:val="none"/>
              </w:rPr>
            </w:r>
            <w:r/>
          </w:p>
        </w:tc>
        <w:tc>
          <w:tcPr>
            <w:tcW w:w="6405" w:type="dxa"/>
            <w:vAlign w:val="center"/>
            <w:textDirection w:val="lrTb"/>
            <w:noWrap w:val="false"/>
          </w:tcPr>
          <w:p>
            <w:pPr>
              <w:pStyle w:val="95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1"/>
        <w:spacing w:line="400" w:lineRule="exact"/>
        <w:rPr>
          <w:rFonts w:hint="eastAsia" w:ascii="宋体" w:hAnsi="宋体"/>
          <w:sz w:val="28"/>
          <w:szCs w:val="28"/>
          <w:highlight w:val="none"/>
        </w:rPr>
      </w:pPr>
      <w:r>
        <w:rPr>
          <w:rFonts w:hint="eastAsia" w:ascii="宋体" w:hAnsi="宋体"/>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投标分项报价表（采购包号：XX）</w:t>
      </w:r>
      <w:r>
        <w:rPr>
          <w:rFonts w:hint="eastAsia" w:ascii="方正黑体_GBK" w:hAnsi="方正黑体_GBK" w:eastAsia="方正黑体_GBK" w:cs="方正黑体_GBK"/>
          <w:bCs/>
          <w:sz w:val="28"/>
          <w:szCs w:val="28"/>
          <w:highlight w:val="none"/>
        </w:rPr>
      </w:r>
      <w:r/>
    </w:p>
    <w:tbl>
      <w:tblPr>
        <w:tblW w:w="0" w:type="auto"/>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57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57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57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7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57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514" w:type="dxa"/>
            <w:vAlign w:val="top"/>
            <w:textDirection w:val="lrTb"/>
            <w:noWrap w:val="false"/>
          </w:tcPr>
          <w:p>
            <w:pPr>
              <w:pStyle w:val="951"/>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67"/>
        </w:trPr>
        <w:tc>
          <w:tcPr>
            <w:gridSpan w:val="10"/>
            <w:tcW w:w="9514" w:type="dxa"/>
            <w:vAlign w:val="top"/>
            <w:textDirection w:val="lrTb"/>
            <w:noWrap w:val="false"/>
          </w:tcPr>
          <w:p>
            <w:pPr>
              <w:pStyle w:val="1013"/>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highlight w:val="none"/>
        </w:rPr>
      </w:r>
      <w:r/>
    </w:p>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4.投标人需认真填写本报价表，尤其注意规格型号的准确填写。</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1"/>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1"/>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1"/>
        <w:ind w:firstLine="482"/>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ascii="宋体" w:hAnsi="宋体"/>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51"/>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1"/>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51"/>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1"/>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1"/>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方正仿宋_GBK" w:hAnsi="方正仿宋_GBK" w:eastAsia="方正仿宋_GBK" w:cs="方正仿宋_GBK"/>
          <w:sz w:val="28"/>
          <w:szCs w:val="28"/>
          <w:highlight w:val="none"/>
        </w:rPr>
      </w:r>
      <w:r/>
    </w:p>
    <w:p>
      <w:pPr>
        <w:pStyle w:val="951"/>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1"/>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1"/>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191" w:name="_Hlt26671380"/>
      <w:r/>
      <w:bookmarkEnd w:id="191"/>
      <w:r/>
      <w:bookmarkStart w:id="192" w:name="_格式3__银行出具的资信证明"/>
      <w:r/>
      <w:bookmarkEnd w:id="192"/>
      <w:r/>
      <w:bookmarkStart w:id="193" w:name="_Hlt26955070"/>
      <w:r/>
      <w:bookmarkEnd w:id="193"/>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1"/>
        <w:ind w:firstLine="420"/>
        <w:spacing w:line="400" w:lineRule="exact"/>
        <w:rPr>
          <w:color w:val="000000"/>
          <w:sz w:val="28"/>
          <w:szCs w:val="28"/>
          <w:highlight w:val="none"/>
        </w:rPr>
      </w:pPr>
      <w:r>
        <w:rPr>
          <w:color w:val="000000"/>
          <w:sz w:val="28"/>
          <w:szCs w:val="28"/>
          <w:highlight w:val="none"/>
        </w:rPr>
      </w:r>
      <w:r/>
    </w:p>
    <w:p>
      <w:pPr>
        <w:pStyle w:val="951"/>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51"/>
        <w:ind w:left="420" w:firstLine="560"/>
        <w:jc w:val="left"/>
        <w:spacing w:line="400" w:lineRule="exact"/>
        <w:rPr>
          <w:rFonts w:hint="eastAsia" w:ascii="宋体" w:hAnsi="宋体"/>
          <w:sz w:val="28"/>
          <w:szCs w:val="28"/>
          <w:highlight w:val="none"/>
        </w:rPr>
      </w:pPr>
      <w:r>
        <w:rPr>
          <w:rFonts w:hint="eastAsia" w:ascii="宋体" w:hAnsi="宋体"/>
          <w:sz w:val="28"/>
          <w:szCs w:val="28"/>
          <w:highlight w:val="none"/>
        </w:rPr>
      </w:r>
      <w:r/>
    </w:p>
    <w:p>
      <w:pPr>
        <w:pStyle w:val="951"/>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1"/>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1"/>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附件9  中小微企业声明函（货物类项目）（采购包号：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1"/>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51"/>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951"/>
        <w:ind w:right="480" w:firstLine="364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1"/>
        <w:ind w:firstLine="560"/>
        <w:jc w:val="left"/>
        <w:spacing w:line="400" w:lineRule="exact"/>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rPr>
          <w:rFonts w:ascii="宋体" w:hAnsi="宋体"/>
          <w:color w:val="ff0000"/>
          <w:sz w:val="28"/>
          <w:szCs w:val="28"/>
          <w:highlight w:val="none"/>
        </w:rPr>
      </w:r>
      <w:r/>
    </w:p>
    <w:p>
      <w:pPr>
        <w:pStyle w:val="951"/>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51"/>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51"/>
        <w:ind w:firstLine="560"/>
        <w:jc w:val="left"/>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附件10残疾人福利性单位声明函（货物类项目）（采购包号：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51"/>
        <w:ind w:firstLine="584"/>
        <w:spacing w:line="400"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951"/>
        <w:ind w:right="180" w:firstLine="584"/>
        <w:jc w:val="right"/>
        <w:spacing w:line="400" w:lineRule="exact"/>
        <w:rPr>
          <w:rFonts w:hint="eastAsia" w:ascii="方正仿宋_GBK" w:hAnsi="方正仿宋_GBK" w:eastAsia="方正仿宋_GBK" w:cs="方正仿宋_GBK"/>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51"/>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期：___年____月____日 </w:t>
      </w:r>
      <w:r>
        <w:rPr>
          <w:rFonts w:hint="eastAsia" w:ascii="方正仿宋_GBK" w:hAnsi="方正仿宋_GBK" w:eastAsia="方正仿宋_GBK" w:cs="方正仿宋_GBK"/>
          <w:sz w:val="28"/>
          <w:szCs w:val="28"/>
          <w:highlight w:val="none"/>
        </w:rPr>
      </w:r>
      <w:r/>
    </w:p>
    <w:p>
      <w:pPr>
        <w:pStyle w:val="95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1"/>
        <w:ind w:firstLine="560"/>
        <w:jc w:val="left"/>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）的政府采购活动，我联合体指定</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1"/>
        <w:spacing w:line="400" w:lineRule="exact"/>
        <w:rPr>
          <w:rFonts w:hint="eastAsia" w:ascii="宋体" w:hAns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rPr>
        <w:t xml:space="preserve">            </w:t>
      </w:r>
      <w:r>
        <w:rPr>
          <w:rFonts w:hint="eastAsia" w:ascii="宋体" w:hAnsi="宋体"/>
          <w:sz w:val="28"/>
          <w:szCs w:val="28"/>
          <w:highlight w:val="none"/>
        </w:rPr>
      </w:r>
      <w:r/>
    </w:p>
    <w:p>
      <w:pPr>
        <w:pStyle w:val="951"/>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951"/>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日期：___年____月____日 </w:t>
      </w:r>
      <w:r>
        <w:rPr>
          <w:rFonts w:hint="eastAsia" w:ascii="方正仿宋_GBK" w:hAnsi="方正仿宋_GBK" w:eastAsia="方正仿宋_GBK" w:cs="方正仿宋_GBK"/>
          <w:sz w:val="28"/>
          <w:szCs w:val="28"/>
          <w:highlight w:val="none"/>
        </w:rPr>
      </w:r>
      <w:r/>
    </w:p>
    <w:p>
      <w:pPr>
        <w:pStyle w:val="951"/>
        <w:ind w:firstLine="645"/>
        <w:spacing w:line="400" w:lineRule="exact"/>
        <w:rPr>
          <w:rFonts w:ascii="宋体" w:hAnsi="宋体"/>
          <w:sz w:val="28"/>
          <w:szCs w:val="28"/>
          <w:highlight w:val="none"/>
        </w:rPr>
      </w:pPr>
      <w:r>
        <w:rPr>
          <w:rFonts w:ascii="宋体" w:hAnsi="宋体"/>
          <w:sz w:val="28"/>
          <w:szCs w:val="28"/>
          <w:highlight w:val="none"/>
        </w:rPr>
      </w:r>
      <w:r/>
    </w:p>
    <w:p>
      <w:pPr>
        <w:pStyle w:val="951"/>
        <w:ind w:firstLine="645"/>
        <w:spacing w:line="400" w:lineRule="exact"/>
        <w:rPr>
          <w:rFonts w:ascii="宋体" w:hAnsi="宋体"/>
          <w:sz w:val="28"/>
          <w:szCs w:val="28"/>
          <w:highlight w:val="none"/>
        </w:rPr>
      </w:pPr>
      <w:r>
        <w:rPr>
          <w:rFonts w:ascii="宋体" w:hAnsi="宋体"/>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951"/>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1"/>
        <w:ind w:firstLine="560"/>
        <w:jc w:val="left"/>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附件12实质性要求响应及偏离表（采购包号：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51"/>
        <w:spacing w:line="400" w:lineRule="exact"/>
        <w:rPr>
          <w:rFonts w:ascii="宋体" w:hAnsi="宋体"/>
          <w:sz w:val="28"/>
          <w:szCs w:val="28"/>
          <w:highlight w:val="none"/>
        </w:rPr>
      </w:pPr>
      <w:r>
        <w:rPr>
          <w:rFonts w:ascii="宋体" w:hAnsi="宋体"/>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5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51"/>
        <w:spacing w:line="400" w:lineRule="exact"/>
        <w:rPr>
          <w:rFonts w:hint="eastAsia" w:ascii="宋体" w:hAnsi="宋体"/>
          <w:sz w:val="28"/>
          <w:szCs w:val="28"/>
          <w:highlight w:val="none"/>
        </w:rPr>
      </w:pPr>
      <w:r>
        <w:rPr>
          <w:rFonts w:hint="eastAsia" w:ascii="宋体" w:hAnsi="宋体"/>
          <w:sz w:val="28"/>
          <w:szCs w:val="28"/>
          <w:highlight w:val="none"/>
        </w:rPr>
      </w:r>
      <w:r/>
    </w:p>
    <w:p>
      <w:pPr>
        <w:pStyle w:val="951"/>
        <w:ind w:firstLine="280"/>
        <w:jc w:val="left"/>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1013"/>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25"/>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25"/>
          <w:rFonts w:hint="eastAsia" w:ascii="方正仿宋_GBK" w:hAnsi="方正仿宋_GBK" w:eastAsia="方正仿宋_GBK" w:cs="方正仿宋_GBK"/>
          <w:i w:val="0"/>
          <w:sz w:val="28"/>
          <w:szCs w:val="28"/>
          <w:highlight w:val="none"/>
          <w:u w:val="single"/>
          <w:shd w:val="clear" w:color="auto" w:fill="ffffff"/>
        </w:rPr>
        <w:t xml:space="preserve">（厂名）</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2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25"/>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25"/>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2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13"/>
        <w:spacing w:before="30" w:beforeAutospacing="0" w:after="30" w:afterAutospacing="0" w:line="400" w:lineRule="exact"/>
        <w:rPr>
          <w:rFonts w:hint="eastAsia"/>
          <w:sz w:val="28"/>
          <w:szCs w:val="28"/>
          <w:highlight w:val="none"/>
        </w:rPr>
      </w:pPr>
      <w:r>
        <w:rPr>
          <w:rFonts w:hint="eastAsia"/>
          <w:sz w:val="28"/>
          <w:szCs w:val="28"/>
          <w:highlight w:val="none"/>
        </w:rPr>
      </w:r>
      <w:r/>
    </w:p>
    <w:p>
      <w:pPr>
        <w:pStyle w:val="1013"/>
        <w:ind w:firstLine="560"/>
        <w:jc w:val="right"/>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                   公司（单位）名称（加盖CA电子公章）：　  日期：___年____月____日   </w:t>
      </w:r>
      <w:r>
        <w:rPr>
          <w:rFonts w:hint="eastAsia"/>
          <w:sz w:val="28"/>
          <w:szCs w:val="28"/>
          <w:highlight w:val="none"/>
          <w:shd w:val="clear" w:color="auto" w:fill="ffffff"/>
        </w:rPr>
        <w:t xml:space="preserve">     </w:t>
      </w:r>
      <w:r>
        <w:rPr>
          <w:rFonts w:hint="eastAsia"/>
          <w:sz w:val="28"/>
          <w:szCs w:val="28"/>
          <w:highlight w:val="none"/>
        </w:rPr>
      </w:r>
      <w:r/>
    </w:p>
    <w:p>
      <w:pPr>
        <w:pStyle w:val="1013"/>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13"/>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1"/>
        <w:ind w:firstLine="280"/>
        <w:jc w:val="center"/>
        <w:spacing w:line="400" w:lineRule="exact"/>
        <w:rPr>
          <w:rFonts w:hint="eastAsia" w:ascii="方正黑体_GBK" w:hAnsi="方正黑体_GBK" w:eastAsia="方正黑体_GBK" w:cs="方正黑体_GBK"/>
          <w:bCs/>
          <w:sz w:val="28"/>
          <w:szCs w:val="28"/>
          <w:highlight w:val="none"/>
        </w:rPr>
      </w:pPr>
      <w:r/>
      <w:bookmarkEnd w:id="180"/>
      <w:r/>
      <w:bookmarkEnd w:id="181"/>
      <w:r/>
      <w:bookmarkEnd w:id="190"/>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51"/>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51"/>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51"/>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51"/>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__WRD_EMBED_SUB_1356">
    <w:panose1 w:val="020B0503020202020204"/>
  </w:font>
  <w:font w:name="华文新魏">
    <w:panose1 w:val="02010800040101010101"/>
  </w:font>
  <w:font w:name="Segoe UI Symbol">
    <w:panose1 w:val="020B0502040204020203"/>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p>
  <w:p>
    <w:pPr>
      <w:pStyle w:val="9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3"/>
      </w:rPr>
      <w:framePr w:wrap="around" w:vAnchor="text" w:hAnchor="margin" w:xAlign="center" w:yAlign="top"/>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0"/>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5"/>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8"/>
  </w:num>
  <w:num w:numId="2">
    <w:abstractNumId w:val="6"/>
  </w:num>
  <w:num w:numId="3">
    <w:abstractNumId w:val="7"/>
  </w:num>
  <w:num w:numId="4">
    <w:abstractNumId w:val="1"/>
  </w:num>
  <w:num w:numId="5">
    <w:abstractNumId w:val="2"/>
  </w:num>
  <w:num w:numId="6">
    <w:abstractNumId w:val="4"/>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2"/>
      <w:lang w:val="en-US" w:eastAsia="zh-CN" w:bidi="ar-SA"/>
    </w:rPr>
  </w:style>
  <w:style w:type="paragraph" w:styleId="952">
    <w:name w:val="标题 1"/>
    <w:basedOn w:val="951"/>
    <w:next w:val="951"/>
    <w:link w:val="963"/>
    <w:qFormat/>
    <w:pPr>
      <w:jc w:val="center"/>
      <w:keepNext/>
      <w:outlineLvl w:val="0"/>
    </w:pPr>
    <w:rPr>
      <w:rFonts w:ascii="楷体_GB2312" w:hAnsi="Times New Roman" w:eastAsia="楷体_GB2312" w:cs="Times New Roman"/>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hAnsi="Times New Roman" w:eastAsia="宋体" w:cs="Times New Roman"/>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cs="Times New Roman"/>
      <w:szCs w:val="21"/>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字符"/>
    <w:next w:val="963"/>
    <w:link w:val="952"/>
    <w:rPr>
      <w:rFonts w:ascii="楷体_GB2312" w:hAnsi="Times New Roman" w:eastAsia="楷体_GB2312" w:cs="Times New Roman"/>
      <w:sz w:val="28"/>
      <w:szCs w:val="28"/>
    </w:rPr>
  </w:style>
  <w:style w:type="character" w:styleId="964">
    <w:name w:val="标题 2 字符"/>
    <w:next w:val="964"/>
    <w:link w:val="953"/>
    <w:rPr>
      <w:rFonts w:ascii="Arial" w:hAnsi="Arial" w:eastAsia="幼圆" w:cs="Arial"/>
      <w:b/>
      <w:bCs/>
      <w:sz w:val="44"/>
      <w:szCs w:val="44"/>
    </w:rPr>
  </w:style>
  <w:style w:type="paragraph" w:styleId="965">
    <w:name w:val="正文缩进"/>
    <w:basedOn w:val="951"/>
    <w:next w:val="965"/>
    <w:link w:val="966"/>
    <w:pPr>
      <w:ind w:firstLine="420"/>
    </w:pPr>
    <w:rPr>
      <w:szCs w:val="21"/>
    </w:rPr>
  </w:style>
  <w:style w:type="character" w:styleId="966">
    <w:name w:val="正文缩进 字符"/>
    <w:next w:val="966"/>
    <w:link w:val="965"/>
    <w:rPr>
      <w:szCs w:val="21"/>
    </w:rPr>
  </w:style>
  <w:style w:type="character" w:styleId="967">
    <w:name w:val="标题 3 字符"/>
    <w:next w:val="967"/>
    <w:link w:val="954"/>
    <w:rPr>
      <w:rFonts w:ascii="Times New Roman" w:hAnsi="Times New Roman" w:eastAsia="宋体" w:cs="Times New Roman"/>
      <w:b/>
      <w:bCs/>
      <w:sz w:val="32"/>
      <w:szCs w:val="32"/>
    </w:rPr>
  </w:style>
  <w:style w:type="character" w:styleId="968">
    <w:name w:val="标题 4 字符"/>
    <w:next w:val="968"/>
    <w:link w:val="955"/>
    <w:rPr>
      <w:rFonts w:ascii="Arial" w:hAnsi="Arial" w:eastAsia="黑体" w:cs="Arial"/>
      <w:b/>
      <w:bCs/>
      <w:sz w:val="28"/>
      <w:szCs w:val="28"/>
    </w:rPr>
  </w:style>
  <w:style w:type="character" w:styleId="969">
    <w:name w:val="标题 5 字符"/>
    <w:next w:val="969"/>
    <w:link w:val="956"/>
    <w:rPr>
      <w:rFonts w:ascii="宋体" w:hAnsi="Times New Roman" w:eastAsia="宋体" w:cs="Times New Roman"/>
      <w:color w:val="000000"/>
      <w:sz w:val="28"/>
      <w:szCs w:val="28"/>
    </w:rPr>
  </w:style>
  <w:style w:type="character" w:styleId="970">
    <w:name w:val="标题 6 字符"/>
    <w:next w:val="970"/>
    <w:link w:val="957"/>
    <w:rPr>
      <w:rFonts w:ascii="Arial" w:hAnsi="Arial" w:eastAsia="黑体" w:cs="Times New Roman"/>
      <w:b/>
      <w:bCs/>
      <w:sz w:val="24"/>
      <w:szCs w:val="24"/>
    </w:rPr>
  </w:style>
  <w:style w:type="character" w:styleId="971">
    <w:name w:val="标题 7 字符"/>
    <w:next w:val="971"/>
    <w:link w:val="958"/>
    <w:rPr>
      <w:rFonts w:ascii="Times New Roman" w:hAnsi="Times New Roman" w:eastAsia="宋体" w:cs="Times New Roman"/>
      <w:b/>
      <w:bCs/>
      <w:sz w:val="24"/>
      <w:szCs w:val="24"/>
    </w:rPr>
  </w:style>
  <w:style w:type="character" w:styleId="972">
    <w:name w:val="标题 8 字符"/>
    <w:next w:val="972"/>
    <w:link w:val="959"/>
    <w:rPr>
      <w:rFonts w:ascii="Arial" w:hAnsi="Arial" w:eastAsia="黑体" w:cs="Times New Roman"/>
      <w:sz w:val="24"/>
      <w:szCs w:val="24"/>
    </w:rPr>
  </w:style>
  <w:style w:type="character" w:styleId="973">
    <w:name w:val="标题 9 字符"/>
    <w:next w:val="973"/>
    <w:link w:val="960"/>
    <w:rPr>
      <w:rFonts w:ascii="Arial" w:hAnsi="Arial" w:eastAsia="黑体" w:cs="Times New Roman"/>
      <w:szCs w:val="21"/>
    </w:rPr>
  </w:style>
  <w:style w:type="paragraph" w:styleId="974">
    <w:name w:val="列表 3"/>
    <w:basedOn w:val="951"/>
    <w:next w:val="974"/>
    <w:link w:val="951"/>
    <w:pPr>
      <w:ind w:left="100" w:hanging="200"/>
    </w:pPr>
    <w:rPr>
      <w:rFonts w:ascii="Times New Roman" w:hAnsi="Times New Roman" w:eastAsia="宋体" w:cs="Times New Roman"/>
      <w:szCs w:val="21"/>
    </w:rPr>
  </w:style>
  <w:style w:type="paragraph" w:styleId="975">
    <w:name w:val="目录 7"/>
    <w:basedOn w:val="951"/>
    <w:next w:val="951"/>
    <w:link w:val="951"/>
    <w:semiHidden/>
    <w:pPr>
      <w:ind w:left="1260"/>
      <w:jc w:val="left"/>
    </w:pPr>
    <w:rPr>
      <w:rFonts w:ascii="Times New Roman" w:hAnsi="Times New Roman" w:eastAsia="宋体" w:cs="Times New Roman"/>
      <w:szCs w:val="21"/>
    </w:rPr>
  </w:style>
  <w:style w:type="paragraph" w:styleId="976">
    <w:name w:val="文档结构图"/>
    <w:basedOn w:val="951"/>
    <w:next w:val="976"/>
    <w:link w:val="977"/>
    <w:semiHidden/>
    <w:pPr>
      <w:shd w:val="clear" w:color="auto" w:fill="000080"/>
    </w:pPr>
    <w:rPr>
      <w:rFonts w:ascii="Times New Roman" w:hAnsi="Times New Roman" w:eastAsia="宋体" w:cs="Times New Roman"/>
      <w:szCs w:val="21"/>
    </w:rPr>
  </w:style>
  <w:style w:type="character" w:styleId="977">
    <w:name w:val="文档结构图 字符"/>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unhideWhenUsed/>
    <w:pPr>
      <w:jc w:val="left"/>
    </w:pPr>
  </w:style>
  <w:style w:type="character" w:styleId="979">
    <w:name w:val="批注文字 字符"/>
    <w:next w:val="979"/>
    <w:link w:val="978"/>
    <w:uiPriority w:val="99"/>
    <w:semiHidden/>
  </w:style>
  <w:style w:type="paragraph" w:styleId="980">
    <w:name w:val="正文文本 3"/>
    <w:basedOn w:val="951"/>
    <w:next w:val="980"/>
    <w:link w:val="981"/>
    <w:rPr>
      <w:rFonts w:ascii="仿宋_GB2312" w:hAnsi="Arial" w:eastAsia="仿宋_GB2312" w:cs="Times New Roman"/>
      <w:sz w:val="32"/>
      <w:szCs w:val="32"/>
    </w:rPr>
  </w:style>
  <w:style w:type="character" w:styleId="981">
    <w:name w:val="正文文本 3 字符"/>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cs="Times New Roman"/>
      <w:sz w:val="28"/>
      <w:szCs w:val="28"/>
    </w:rPr>
  </w:style>
  <w:style w:type="character" w:styleId="983">
    <w:name w:val="正文文本 字符"/>
    <w:next w:val="983"/>
    <w:link w:val="982"/>
    <w:rPr>
      <w:rFonts w:ascii="楷体_GB2312" w:hAnsi="Arial" w:eastAsia="楷体_GB2312" w:cs="Times New Roman"/>
      <w:sz w:val="28"/>
      <w:szCs w:val="28"/>
    </w:rPr>
  </w:style>
  <w:style w:type="paragraph" w:styleId="984">
    <w:name w:val="正文文本缩进"/>
    <w:basedOn w:val="951"/>
    <w:next w:val="984"/>
    <w:link w:val="985"/>
    <w:unhideWhenUsed/>
    <w:pPr>
      <w:ind w:left="420"/>
      <w:spacing w:after="120"/>
    </w:pPr>
  </w:style>
  <w:style w:type="character" w:styleId="985">
    <w:name w:val="正文文本缩进 字符"/>
    <w:next w:val="985"/>
    <w:link w:val="984"/>
    <w:uiPriority w:val="99"/>
    <w:semiHidden/>
  </w:style>
  <w:style w:type="paragraph" w:styleId="986">
    <w:name w:val="列表 2"/>
    <w:basedOn w:val="951"/>
    <w:next w:val="986"/>
    <w:link w:val="951"/>
    <w:pPr>
      <w:ind w:left="100" w:hanging="200"/>
    </w:pPr>
    <w:rPr>
      <w:rFonts w:ascii="Times New Roman" w:hAnsi="Times New Roman" w:eastAsia="宋体" w:cs="Times New Roman"/>
      <w:szCs w:val="21"/>
    </w:rPr>
  </w:style>
  <w:style w:type="paragraph" w:styleId="987">
    <w:name w:val="目录 5"/>
    <w:basedOn w:val="951"/>
    <w:next w:val="951"/>
    <w:link w:val="951"/>
    <w:semiHidden/>
    <w:pPr>
      <w:ind w:left="840"/>
      <w:jc w:val="left"/>
    </w:pPr>
    <w:rPr>
      <w:rFonts w:ascii="Times New Roman" w:hAnsi="Times New Roman" w:eastAsia="宋体" w:cs="Times New Roman"/>
      <w:szCs w:val="21"/>
    </w:rPr>
  </w:style>
  <w:style w:type="paragraph" w:styleId="988">
    <w:name w:val="目录 3"/>
    <w:basedOn w:val="951"/>
    <w:next w:val="951"/>
    <w:link w:val="951"/>
    <w:semiHidden/>
    <w:pPr>
      <w:ind w:left="420"/>
      <w:jc w:val="left"/>
    </w:pPr>
    <w:rPr>
      <w:rFonts w:ascii="Times New Roman" w:hAnsi="Times New Roman" w:eastAsia="宋体" w:cs="Times New Roman"/>
      <w:i/>
      <w:iCs/>
      <w:szCs w:val="24"/>
    </w:rPr>
  </w:style>
  <w:style w:type="paragraph" w:styleId="989">
    <w:name w:val="纯文本"/>
    <w:basedOn w:val="951"/>
    <w:next w:val="989"/>
    <w:link w:val="990"/>
    <w:qFormat/>
    <w:rPr>
      <w:rFonts w:ascii="宋体" w:hAnsi="Courier New" w:eastAsia="宋体" w:cs="Courier New"/>
      <w:szCs w:val="21"/>
    </w:rPr>
  </w:style>
  <w:style w:type="character" w:styleId="990">
    <w:name w:val="纯文本 字符"/>
    <w:next w:val="990"/>
    <w:link w:val="989"/>
    <w:rPr>
      <w:rFonts w:ascii="宋体" w:hAnsi="Courier New" w:eastAsia="宋体" w:cs="Courier New"/>
      <w:szCs w:val="21"/>
    </w:rPr>
  </w:style>
  <w:style w:type="paragraph" w:styleId="991">
    <w:name w:val="目录 8"/>
    <w:basedOn w:val="951"/>
    <w:next w:val="951"/>
    <w:link w:val="951"/>
    <w:semiHidden/>
    <w:pPr>
      <w:ind w:left="1470"/>
      <w:jc w:val="left"/>
    </w:pPr>
    <w:rPr>
      <w:rFonts w:ascii="Times New Roman" w:hAnsi="Times New Roman" w:eastAsia="宋体" w:cs="Times New Roman"/>
      <w:szCs w:val="21"/>
    </w:rPr>
  </w:style>
  <w:style w:type="paragraph" w:styleId="992">
    <w:name w:val="日期"/>
    <w:basedOn w:val="951"/>
    <w:next w:val="951"/>
    <w:link w:val="993"/>
    <w:rPr>
      <w:rFonts w:ascii="Times New Roman" w:hAnsi="Times New Roman" w:eastAsia="宋体" w:cs="Times New Roman"/>
      <w:sz w:val="24"/>
      <w:szCs w:val="24"/>
    </w:rPr>
  </w:style>
  <w:style w:type="character" w:styleId="993">
    <w:name w:val="日期 字符"/>
    <w:next w:val="993"/>
    <w:link w:val="992"/>
    <w:rPr>
      <w:rFonts w:ascii="Times New Roman" w:hAnsi="Times New Roman" w:eastAsia="宋体" w:cs="Times New Roman"/>
      <w:sz w:val="24"/>
      <w:szCs w:val="24"/>
    </w:rPr>
  </w:style>
  <w:style w:type="paragraph" w:styleId="994">
    <w:name w:val="正文文本缩进 2"/>
    <w:basedOn w:val="951"/>
    <w:next w:val="994"/>
    <w:link w:val="995"/>
    <w:pPr>
      <w:ind w:left="630" w:firstLine="645"/>
    </w:pPr>
    <w:rPr>
      <w:rFonts w:ascii="Arial" w:hAnsi="Arial" w:eastAsia="仿宋_GB2312" w:cs="Arial"/>
      <w:sz w:val="32"/>
      <w:szCs w:val="32"/>
    </w:rPr>
  </w:style>
  <w:style w:type="character" w:styleId="995">
    <w:name w:val="正文文本缩进 2 字符"/>
    <w:next w:val="995"/>
    <w:link w:val="994"/>
    <w:rPr>
      <w:rFonts w:ascii="Arial" w:hAnsi="Arial" w:eastAsia="仿宋_GB2312" w:cs="Arial"/>
      <w:sz w:val="32"/>
      <w:szCs w:val="32"/>
    </w:rPr>
  </w:style>
  <w:style w:type="paragraph" w:styleId="996">
    <w:name w:val="批注框文本"/>
    <w:basedOn w:val="951"/>
    <w:next w:val="996"/>
    <w:link w:val="997"/>
    <w:semiHidden/>
    <w:rPr>
      <w:rFonts w:ascii="Times New Roman" w:hAnsi="Times New Roman" w:eastAsia="宋体" w:cs="Times New Roman"/>
      <w:sz w:val="18"/>
      <w:szCs w:val="18"/>
    </w:rPr>
  </w:style>
  <w:style w:type="character" w:styleId="997">
    <w:name w:val="批注框文本 字符"/>
    <w:next w:val="997"/>
    <w:link w:val="996"/>
    <w:semiHidden/>
    <w:rPr>
      <w:rFonts w:ascii="Times New Roman" w:hAnsi="Times New Roman" w:eastAsia="宋体" w:cs="Times New Roman"/>
      <w:sz w:val="18"/>
      <w:szCs w:val="18"/>
    </w:rPr>
  </w:style>
  <w:style w:type="paragraph" w:styleId="998">
    <w:name w:val="页脚"/>
    <w:basedOn w:val="951"/>
    <w:next w:val="998"/>
    <w:link w:val="99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9">
    <w:name w:val="页脚 字符"/>
    <w:next w:val="999"/>
    <w:link w:val="998"/>
    <w:uiPriority w:val="99"/>
    <w:rPr>
      <w:rFonts w:ascii="Times New Roman" w:hAnsi="Times New Roman" w:eastAsia="宋体" w:cs="Times New Roman"/>
      <w:sz w:val="18"/>
      <w:szCs w:val="18"/>
    </w:rPr>
  </w:style>
  <w:style w:type="paragraph" w:styleId="1000">
    <w:name w:val="页眉"/>
    <w:basedOn w:val="951"/>
    <w:next w:val="1000"/>
    <w:link w:val="100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1">
    <w:name w:val="页眉 字符"/>
    <w:next w:val="1001"/>
    <w:link w:val="1000"/>
    <w:rPr>
      <w:rFonts w:ascii="Times New Roman" w:hAnsi="Times New Roman" w:eastAsia="宋体" w:cs="Times New Roman"/>
      <w:sz w:val="18"/>
      <w:szCs w:val="18"/>
    </w:rPr>
  </w:style>
  <w:style w:type="paragraph" w:styleId="1002">
    <w:name w:val="目录 1"/>
    <w:basedOn w:val="951"/>
    <w:next w:val="951"/>
    <w:link w:val="95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3">
    <w:name w:val="目录 4"/>
    <w:basedOn w:val="951"/>
    <w:next w:val="951"/>
    <w:link w:val="951"/>
    <w:semiHidden/>
    <w:pPr>
      <w:ind w:left="630"/>
      <w:jc w:val="left"/>
    </w:pPr>
    <w:rPr>
      <w:rFonts w:ascii="Times New Roman" w:hAnsi="Times New Roman" w:eastAsia="宋体" w:cs="Times New Roman"/>
      <w:szCs w:val="21"/>
    </w:rPr>
  </w:style>
  <w:style w:type="paragraph" w:styleId="1004">
    <w:name w:val="列表"/>
    <w:basedOn w:val="951"/>
    <w:next w:val="1004"/>
    <w:link w:val="951"/>
    <w:pPr>
      <w:ind w:left="200" w:hanging="200"/>
    </w:pPr>
    <w:rPr>
      <w:rFonts w:ascii="Times New Roman" w:hAnsi="Times New Roman" w:eastAsia="宋体" w:cs="Times New Roman"/>
      <w:szCs w:val="21"/>
    </w:rPr>
  </w:style>
  <w:style w:type="paragraph" w:styleId="1005">
    <w:name w:val="目录 6"/>
    <w:basedOn w:val="951"/>
    <w:next w:val="951"/>
    <w:link w:val="951"/>
    <w:semiHidden/>
    <w:pPr>
      <w:ind w:left="1050"/>
      <w:jc w:val="left"/>
    </w:pPr>
    <w:rPr>
      <w:rFonts w:ascii="Times New Roman" w:hAnsi="Times New Roman" w:eastAsia="宋体" w:cs="Times New Roman"/>
      <w:szCs w:val="21"/>
    </w:rPr>
  </w:style>
  <w:style w:type="paragraph" w:styleId="1006">
    <w:name w:val="正文文本缩进 3"/>
    <w:basedOn w:val="951"/>
    <w:next w:val="1006"/>
    <w:link w:val="1007"/>
    <w:pPr>
      <w:ind w:left="645" w:firstLine="645"/>
    </w:pPr>
    <w:rPr>
      <w:rFonts w:ascii="Arial" w:hAnsi="Arial" w:eastAsia="仿宋_GB2312" w:cs="Arial"/>
      <w:color w:val="ffff00"/>
      <w:sz w:val="32"/>
      <w:szCs w:val="32"/>
    </w:rPr>
  </w:style>
  <w:style w:type="character" w:styleId="1007">
    <w:name w:val="正文文本缩进 3 字符"/>
    <w:next w:val="1007"/>
    <w:link w:val="1006"/>
    <w:rPr>
      <w:rFonts w:ascii="Arial" w:hAnsi="Arial" w:eastAsia="仿宋_GB2312" w:cs="Arial"/>
      <w:color w:val="ffff00"/>
      <w:sz w:val="32"/>
      <w:szCs w:val="32"/>
    </w:rPr>
  </w:style>
  <w:style w:type="paragraph" w:styleId="1008">
    <w:name w:val="图表目录"/>
    <w:basedOn w:val="951"/>
    <w:next w:val="951"/>
    <w:link w:val="951"/>
    <w:semiHidden/>
    <w:pPr>
      <w:ind w:left="840" w:hanging="420"/>
    </w:pPr>
    <w:rPr>
      <w:rFonts w:ascii="Times New Roman" w:hAnsi="Times New Roman" w:eastAsia="宋体" w:cs="Times New Roman"/>
      <w:szCs w:val="21"/>
    </w:rPr>
  </w:style>
  <w:style w:type="paragraph" w:styleId="1009">
    <w:name w:val="目录 2"/>
    <w:basedOn w:val="951"/>
    <w:next w:val="951"/>
    <w:link w:val="951"/>
    <w:semiHidden/>
    <w:pPr>
      <w:ind w:left="210"/>
      <w:jc w:val="left"/>
    </w:pPr>
    <w:rPr>
      <w:rFonts w:ascii="Times New Roman" w:hAnsi="Times New Roman" w:eastAsia="宋体" w:cs="Times New Roman"/>
      <w:smallCaps/>
      <w:szCs w:val="24"/>
    </w:rPr>
  </w:style>
  <w:style w:type="paragraph" w:styleId="1010">
    <w:name w:val="目录 9"/>
    <w:basedOn w:val="951"/>
    <w:next w:val="951"/>
    <w:link w:val="951"/>
    <w:semiHidden/>
    <w:pPr>
      <w:ind w:left="1680"/>
      <w:jc w:val="left"/>
    </w:pPr>
    <w:rPr>
      <w:rFonts w:ascii="Times New Roman" w:hAnsi="Times New Roman" w:eastAsia="宋体" w:cs="Times New Roman"/>
      <w:szCs w:val="21"/>
    </w:rPr>
  </w:style>
  <w:style w:type="paragraph" w:styleId="1011">
    <w:name w:val="正文文本 2"/>
    <w:basedOn w:val="951"/>
    <w:next w:val="1011"/>
    <w:link w:val="1012"/>
    <w:pPr>
      <w:jc w:val="center"/>
      <w:widowControl/>
    </w:pPr>
    <w:rPr>
      <w:rFonts w:ascii="楷体_GB2312" w:hAnsi="Times New Roman" w:eastAsia="楷体_GB2312" w:cs="Times New Roman"/>
      <w:sz w:val="28"/>
      <w:szCs w:val="28"/>
    </w:rPr>
  </w:style>
  <w:style w:type="character" w:styleId="1012">
    <w:name w:val="正文文本 2 字符"/>
    <w:next w:val="1012"/>
    <w:link w:val="1011"/>
    <w:rPr>
      <w:rFonts w:ascii="楷体_GB2312" w:hAnsi="Times New Roman" w:eastAsia="楷体_GB2312" w:cs="Times New Roman"/>
      <w:sz w:val="28"/>
      <w:szCs w:val="28"/>
    </w:rPr>
  </w:style>
  <w:style w:type="paragraph" w:styleId="1013">
    <w:name w:val="普通(网站)"/>
    <w:basedOn w:val="951"/>
    <w:next w:val="1013"/>
    <w:link w:val="951"/>
    <w:uiPriority w:val="99"/>
    <w:pPr>
      <w:jc w:val="left"/>
      <w:spacing w:before="100" w:beforeAutospacing="1" w:after="100" w:afterAutospacing="1"/>
      <w:widowControl/>
    </w:pPr>
    <w:rPr>
      <w:rFonts w:ascii="宋体" w:hAnsi="宋体" w:eastAsia="宋体" w:cs="宋体"/>
      <w:sz w:val="24"/>
      <w:szCs w:val="24"/>
    </w:rPr>
  </w:style>
  <w:style w:type="paragraph" w:styleId="1014">
    <w:name w:val="索引 1"/>
    <w:basedOn w:val="951"/>
    <w:next w:val="951"/>
    <w:link w:val="951"/>
    <w:semiHidden/>
    <w:pPr>
      <w:spacing w:line="240" w:lineRule="atLeast"/>
    </w:pPr>
    <w:rPr>
      <w:rFonts w:ascii="Times New Roman" w:hAnsi="Times New Roman" w:eastAsia="宋体" w:cs="Times New Roman"/>
      <w:b/>
      <w:bCs/>
      <w:szCs w:val="21"/>
    </w:rPr>
  </w:style>
  <w:style w:type="paragraph" w:styleId="1015">
    <w:name w:val="批注主题"/>
    <w:basedOn w:val="978"/>
    <w:next w:val="978"/>
    <w:link w:val="1016"/>
    <w:semiHidden/>
    <w:rPr>
      <w:rFonts w:ascii="Times New Roman" w:hAnsi="Times New Roman" w:eastAsia="宋体" w:cs="Times New Roman"/>
      <w:b/>
      <w:bCs/>
      <w:szCs w:val="21"/>
    </w:rPr>
  </w:style>
  <w:style w:type="character" w:styleId="1016">
    <w:name w:val="批注主题 字符"/>
    <w:next w:val="1016"/>
    <w:link w:val="1015"/>
    <w:semiHidden/>
    <w:rPr>
      <w:rFonts w:ascii="Times New Roman" w:hAnsi="Times New Roman" w:eastAsia="宋体" w:cs="Times New Roman"/>
      <w:b/>
      <w:bCs/>
      <w:szCs w:val="21"/>
    </w:rPr>
  </w:style>
  <w:style w:type="paragraph" w:styleId="1017">
    <w:name w:val="正文首行缩进"/>
    <w:basedOn w:val="951"/>
    <w:next w:val="1017"/>
    <w:link w:val="1018"/>
    <w:pPr>
      <w:ind w:firstLine="200"/>
      <w:spacing w:line="360" w:lineRule="auto"/>
    </w:pPr>
    <w:rPr>
      <w:rFonts w:ascii="仿宋_GB2312" w:hAnsi="Times New Roman" w:eastAsia="仿宋_GB2312" w:cs="Times New Roman"/>
      <w:sz w:val="30"/>
      <w:szCs w:val="30"/>
    </w:rPr>
  </w:style>
  <w:style w:type="character" w:styleId="1018">
    <w:name w:val="正文文本首行缩进 字符"/>
    <w:next w:val="1018"/>
    <w:link w:val="1017"/>
    <w:rPr>
      <w:rFonts w:ascii="仿宋_GB2312" w:hAnsi="Times New Roman" w:eastAsia="仿宋_GB2312" w:cs="Times New Roman"/>
      <w:sz w:val="30"/>
      <w:szCs w:val="30"/>
    </w:rPr>
  </w:style>
  <w:style w:type="paragraph" w:styleId="1019">
    <w:name w:val="正文首行缩进 2"/>
    <w:basedOn w:val="984"/>
    <w:next w:val="1019"/>
    <w:link w:val="1020"/>
    <w:pPr>
      <w:ind w:left="0" w:firstLine="420"/>
      <w:spacing w:after="0" w:line="360" w:lineRule="auto"/>
    </w:pPr>
    <w:rPr>
      <w:rFonts w:ascii="宋体" w:hAnsi="宋体" w:eastAsia="宋体" w:cs="Times New Roman"/>
      <w:szCs w:val="20"/>
    </w:rPr>
  </w:style>
  <w:style w:type="character" w:styleId="1020">
    <w:name w:val="正文文本首行缩进 2 字符"/>
    <w:next w:val="1020"/>
    <w:link w:val="1019"/>
    <w:rPr>
      <w:rFonts w:ascii="宋体" w:hAnsi="宋体" w:eastAsia="宋体" w:cs="Times New Roman"/>
      <w:szCs w:val="20"/>
    </w:rPr>
  </w:style>
  <w:style w:type="table" w:styleId="1021">
    <w:name w:val="网格型"/>
    <w:basedOn w:val="962"/>
    <w:next w:val="1021"/>
    <w:link w:val="951"/>
    <w:pPr>
      <w:jc w:val="both"/>
      <w:widowControl w:val="off"/>
    </w:pPr>
    <w:rPr>
      <w:rFonts w:ascii="Times New Roman" w:hAnsi="Times New Roman" w:eastAsia="宋体" w:cs="Times New Roman"/>
      <w:sz w:val="20"/>
      <w:szCs w:val="20"/>
    </w:rPr>
    <w:tblPr/>
  </w:style>
  <w:style w:type="character" w:styleId="1022">
    <w:name w:val="要点"/>
    <w:next w:val="1022"/>
    <w:link w:val="951"/>
    <w:qFormat/>
    <w:rPr>
      <w:b/>
      <w:bCs/>
    </w:rPr>
  </w:style>
  <w:style w:type="character" w:styleId="1023">
    <w:name w:val="页码"/>
    <w:next w:val="1023"/>
    <w:link w:val="951"/>
  </w:style>
  <w:style w:type="character" w:styleId="1024">
    <w:name w:val="已访问的超链接"/>
    <w:next w:val="1024"/>
    <w:link w:val="951"/>
    <w:rPr>
      <w:color w:val="800080"/>
      <w:u w:val="single"/>
    </w:rPr>
  </w:style>
  <w:style w:type="character" w:styleId="1025">
    <w:name w:val="强调"/>
    <w:next w:val="1025"/>
    <w:link w:val="951"/>
    <w:qFormat/>
    <w:rPr>
      <w:i/>
    </w:rPr>
  </w:style>
  <w:style w:type="character" w:styleId="1026">
    <w:name w:val="超链接"/>
    <w:next w:val="1026"/>
    <w:link w:val="951"/>
    <w:rPr>
      <w:color w:val="0000ff"/>
      <w:u w:val="single"/>
    </w:rPr>
  </w:style>
  <w:style w:type="character" w:styleId="1027">
    <w:name w:val="批注引用"/>
    <w:next w:val="1027"/>
    <w:link w:val="951"/>
    <w:semiHidden/>
    <w:rPr>
      <w:sz w:val="21"/>
      <w:szCs w:val="21"/>
    </w:rPr>
  </w:style>
  <w:style w:type="character" w:styleId="1028">
    <w:name w:val="font5 Char"/>
    <w:next w:val="1028"/>
    <w:link w:val="951"/>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951"/>
    <w:link w:val="1029"/>
    <w:pPr>
      <w:numPr>
        <w:ilvl w:val="0"/>
        <w:numId w:val="2"/>
      </w:numPr>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951"/>
    <w:next w:val="1032"/>
    <w:link w:val="1031"/>
    <w:qFormat/>
    <w:pPr>
      <w:contextualSpacing/>
      <w:ind w:left="720"/>
      <w:jc w:val="left"/>
      <w:widowControl/>
    </w:pPr>
    <w:rPr>
      <w:rFonts w:ascii="Calibri" w:hAnsi="Calibri"/>
      <w:sz w:val="24"/>
      <w:szCs w:val="24"/>
      <w:lang w:eastAsia="en-US" w:bidi="en-US"/>
    </w:rPr>
  </w:style>
  <w:style w:type="paragraph" w:styleId="1033">
    <w:name w:val="xl25"/>
    <w:basedOn w:val="951"/>
    <w:next w:val="1033"/>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列表段落"/>
    <w:basedOn w:val="951"/>
    <w:next w:val="1034"/>
    <w:link w:val="951"/>
    <w:qFormat/>
    <w:pPr>
      <w:contextualSpacing/>
      <w:ind w:left="720"/>
      <w:jc w:val="left"/>
      <w:widowControl/>
    </w:pPr>
    <w:rPr>
      <w:rFonts w:ascii="Calibri" w:hAnsi="Calibri" w:eastAsia="宋体" w:cs="Times New Roman"/>
      <w:sz w:val="24"/>
      <w:szCs w:val="24"/>
      <w:lang w:eastAsia="en-US" w:bidi="en-US"/>
    </w:rPr>
  </w:style>
  <w:style w:type="paragraph" w:styleId="1035">
    <w:name w:val="附录1"/>
    <w:next w:val="1035"/>
    <w:link w:val="951"/>
    <w:pPr>
      <w:numPr>
        <w:ilvl w:val="0"/>
        <w:numId w:val="2"/>
      </w:numPr>
      <w:spacing w:before="240" w:line="600" w:lineRule="atLeast"/>
      <w:tabs>
        <w:tab w:val="left" w:pos="907" w:leader="none"/>
      </w:tabs>
    </w:pPr>
    <w:rPr>
      <w:b/>
      <w:i/>
      <w:sz w:val="28"/>
      <w:lang w:val="en-US" w:eastAsia="zh-CN" w:bidi="ar-SA"/>
    </w:rPr>
  </w:style>
  <w:style w:type="paragraph" w:styleId="1036">
    <w:name w:val="图标"/>
    <w:basedOn w:val="951"/>
    <w:next w:val="951"/>
    <w:link w:val="95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name w:val="table_lines"/>
    <w:basedOn w:val="951"/>
    <w:next w:val="1037"/>
    <w:link w:val="951"/>
    <w:pPr>
      <w:jc w:val="left"/>
      <w:widowControl/>
    </w:pPr>
    <w:rPr>
      <w:rFonts w:ascii="Times New Roman" w:hAnsi="Times New Roman" w:eastAsia="宋体" w:cs="Times New Roman"/>
      <w:sz w:val="20"/>
      <w:szCs w:val="20"/>
      <w:lang w:val="de-DE" w:eastAsia="de-DE"/>
    </w:rPr>
  </w:style>
  <w:style w:type="paragraph" w:styleId="1038">
    <w:name w:val="table_1stline"/>
    <w:basedOn w:val="951"/>
    <w:next w:val="1038"/>
    <w:link w:val="951"/>
    <w:pPr>
      <w:jc w:val="left"/>
      <w:spacing w:before="120"/>
      <w:widowControl/>
    </w:pPr>
    <w:rPr>
      <w:rFonts w:ascii="Times New Roman" w:hAnsi="Times New Roman" w:eastAsia="宋体" w:cs="Times New Roman"/>
      <w:bCs/>
      <w:sz w:val="20"/>
      <w:szCs w:val="20"/>
      <w:lang w:val="de-DE" w:eastAsia="de-DE"/>
    </w:rPr>
  </w:style>
  <w:style w:type="paragraph" w:styleId="1039">
    <w:name w:val="修订"/>
    <w:next w:val="1039"/>
    <w:link w:val="951"/>
    <w:uiPriority w:val="99"/>
    <w:semiHidden/>
    <w:rPr>
      <w:sz w:val="21"/>
      <w:szCs w:val="21"/>
      <w:lang w:val="en-US" w:eastAsia="zh-CN" w:bidi="ar-SA"/>
    </w:rPr>
  </w:style>
  <w:style w:type="paragraph" w:styleId="1040">
    <w:name w:val="xl30"/>
    <w:basedOn w:val="951"/>
    <w:next w:val="1040"/>
    <w:link w:val="951"/>
    <w:pPr>
      <w:jc w:val="center"/>
      <w:spacing w:before="100" w:beforeAutospacing="1" w:after="100" w:afterAutospacing="1"/>
      <w:widowControl/>
    </w:pPr>
    <w:rPr>
      <w:rFonts w:ascii="宋体" w:hAnsi="宋体" w:eastAsia="宋体" w:cs="Times New Roman"/>
      <w:b/>
      <w:bCs/>
      <w:sz w:val="36"/>
      <w:szCs w:val="36"/>
    </w:rPr>
  </w:style>
  <w:style w:type="paragraph" w:styleId="1041">
    <w:name w:val="xl28"/>
    <w:basedOn w:val="951"/>
    <w:next w:val="1041"/>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2">
    <w:name w:val="xl29"/>
    <w:basedOn w:val="951"/>
    <w:next w:val="1042"/>
    <w:link w:val="95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3">
    <w:name w:val="xl24"/>
    <w:basedOn w:val="951"/>
    <w:next w:val="104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4">
    <w:name w:val="font6"/>
    <w:basedOn w:val="951"/>
    <w:next w:val="1044"/>
    <w:link w:val="951"/>
    <w:pPr>
      <w:jc w:val="left"/>
      <w:spacing w:before="100" w:beforeAutospacing="1" w:after="100" w:afterAutospacing="1"/>
      <w:widowControl/>
    </w:pPr>
    <w:rPr>
      <w:rFonts w:hint="eastAsia" w:ascii="宋体" w:hAnsi="宋体" w:eastAsia="宋体" w:cs="Times New Roman"/>
      <w:sz w:val="28"/>
      <w:szCs w:val="28"/>
      <w:u w:val="single"/>
    </w:rPr>
  </w:style>
  <w:style w:type="paragraph" w:styleId="1045">
    <w:name w:val="样式1"/>
    <w:basedOn w:val="951"/>
    <w:next w:val="1045"/>
    <w:link w:val="951"/>
    <w:pPr>
      <w:numPr>
        <w:ilvl w:val="0"/>
        <w:numId w:val="3"/>
      </w:numPr>
      <w:tabs>
        <w:tab w:val="left" w:pos="709" w:leader="none"/>
      </w:tabs>
    </w:pPr>
    <w:rPr>
      <w:rFonts w:ascii="宋体" w:hAnsi="宋体" w:eastAsia="宋体" w:cs="Times New Roman"/>
      <w:szCs w:val="21"/>
    </w:rPr>
  </w:style>
  <w:style w:type="paragraph" w:styleId="1046">
    <w:name w:val=" Char Char Char Char Char Char Char Char Char Char"/>
    <w:basedOn w:val="951"/>
    <w:next w:val="1046"/>
    <w:link w:val="951"/>
    <w:pPr>
      <w:spacing w:line="360" w:lineRule="auto"/>
    </w:pPr>
    <w:rPr>
      <w:rFonts w:ascii="Times New Roman" w:hAnsi="Times New Roman" w:eastAsia="宋体" w:cs="Times New Roman"/>
      <w:sz w:val="24"/>
      <w:szCs w:val="20"/>
    </w:rPr>
  </w:style>
  <w:style w:type="paragraph" w:styleId="1047">
    <w:name w:val=" Char Char Char Char Char Char Char Char"/>
    <w:basedOn w:val="951"/>
    <w:next w:val="1047"/>
    <w:link w:val="951"/>
    <w:pPr>
      <w:jc w:val="left"/>
      <w:spacing w:after="160" w:line="240" w:lineRule="exact"/>
      <w:widowControl/>
    </w:pPr>
    <w:rPr>
      <w:rFonts w:ascii="Verdana" w:hAnsi="Verdana" w:eastAsia="宋体" w:cs="Times New Roman"/>
      <w:sz w:val="20"/>
      <w:szCs w:val="20"/>
      <w:lang w:eastAsia="en-US"/>
    </w:rPr>
  </w:style>
  <w:style w:type="paragraph" w:styleId="1048">
    <w:name w:val="普通 (Web)"/>
    <w:basedOn w:val="951"/>
    <w:next w:val="1048"/>
    <w:link w:val="951"/>
    <w:pPr>
      <w:jc w:val="left"/>
      <w:spacing w:before="100" w:beforeAutospacing="1" w:after="100" w:afterAutospacing="1"/>
      <w:widowControl/>
    </w:pPr>
    <w:rPr>
      <w:rFonts w:ascii="宋体" w:hAnsi="宋体" w:eastAsia="宋体" w:cs="Times New Roman"/>
      <w:sz w:val="24"/>
      <w:szCs w:val="24"/>
    </w:rPr>
  </w:style>
  <w:style w:type="paragraph" w:styleId="1049">
    <w:name w:val="4"/>
    <w:basedOn w:val="951"/>
    <w:next w:val="1006"/>
    <w:link w:val="951"/>
    <w:pPr>
      <w:ind w:firstLine="420"/>
      <w:spacing w:line="360" w:lineRule="auto"/>
    </w:pPr>
    <w:rPr>
      <w:rFonts w:ascii="Times New Roman" w:hAnsi="Times New Roman" w:eastAsia="宋体" w:cs="Times New Roman"/>
      <w:color w:val="ff0000"/>
      <w:sz w:val="24"/>
      <w:szCs w:val="24"/>
    </w:rPr>
  </w:style>
  <w:style w:type="paragraph" w:styleId="1050">
    <w:name w:val="标题3"/>
    <w:basedOn w:val="951"/>
    <w:next w:val="951"/>
    <w:link w:val="951"/>
    <w:pPr>
      <w:ind w:firstLine="624"/>
      <w:spacing w:line="590" w:lineRule="atLeast"/>
    </w:pPr>
    <w:rPr>
      <w:rFonts w:ascii="方正黑体_GBK" w:hAnsi="Times New Roman" w:eastAsia="方正黑体_GBK" w:cs="Times New Roman"/>
      <w:sz w:val="32"/>
      <w:szCs w:val="32"/>
    </w:rPr>
  </w:style>
  <w:style w:type="paragraph" w:styleId="1051">
    <w:name w:val="普通正文"/>
    <w:basedOn w:val="951"/>
    <w:next w:val="1051"/>
    <w:link w:val="951"/>
    <w:pPr>
      <w:ind w:firstLine="480"/>
      <w:jc w:val="left"/>
      <w:spacing w:before="120" w:after="120" w:line="360" w:lineRule="auto"/>
    </w:pPr>
    <w:rPr>
      <w:rFonts w:ascii="Arial" w:hAnsi="Arial" w:eastAsia="宋体" w:cs="Times New Roman"/>
      <w:sz w:val="24"/>
      <w:szCs w:val="24"/>
    </w:rPr>
  </w:style>
  <w:style w:type="paragraph" w:styleId="1052">
    <w:name w:val=" Char"/>
    <w:basedOn w:val="976"/>
    <w:next w:val="1052"/>
    <w:link w:val="951"/>
    <w:rPr>
      <w:rFonts w:ascii="Tahoma" w:hAnsi="Tahoma"/>
      <w:sz w:val="24"/>
      <w:szCs w:val="24"/>
    </w:rPr>
  </w:style>
  <w:style w:type="paragraph" w:styleId="1053">
    <w:name w:val="font5"/>
    <w:basedOn w:val="951"/>
    <w:next w:val="1053"/>
    <w:link w:val="951"/>
    <w:pPr>
      <w:jc w:val="left"/>
      <w:spacing w:before="100" w:beforeAutospacing="1" w:after="100" w:afterAutospacing="1"/>
      <w:widowControl/>
    </w:pPr>
    <w:rPr>
      <w:rFonts w:hint="eastAsia" w:ascii="宋体" w:hAnsi="宋体" w:eastAsia="宋体" w:cs="Times New Roman"/>
      <w:sz w:val="28"/>
      <w:szCs w:val="28"/>
    </w:rPr>
  </w:style>
  <w:style w:type="paragraph" w:styleId="1054">
    <w:name w:val="xl26"/>
    <w:basedOn w:val="951"/>
    <w:next w:val="1054"/>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name w:val="无间隔"/>
    <w:next w:val="1055"/>
    <w:link w:val="951"/>
    <w:uiPriority w:val="99"/>
    <w:qFormat/>
    <w:pPr>
      <w:jc w:val="both"/>
      <w:widowControl w:val="off"/>
    </w:pPr>
    <w:rPr>
      <w:sz w:val="21"/>
      <w:szCs w:val="21"/>
      <w:lang w:val="en-US" w:eastAsia="zh-CN" w:bidi="ar-SA"/>
    </w:rPr>
  </w:style>
  <w:style w:type="paragraph" w:styleId="1056">
    <w:name w:val=" Char Char Char Char"/>
    <w:basedOn w:val="976"/>
    <w:next w:val="1056"/>
    <w:link w:val="951"/>
    <w:pPr>
      <w:spacing w:line="360" w:lineRule="auto"/>
    </w:pPr>
    <w:rPr>
      <w:rFonts w:ascii="Tahoma" w:hAnsi="Tahoma"/>
      <w:sz w:val="24"/>
      <w:szCs w:val="24"/>
    </w:rPr>
  </w:style>
  <w:style w:type="paragraph" w:styleId="1057">
    <w:name w:val="标题1"/>
    <w:basedOn w:val="951"/>
    <w:next w:val="951"/>
    <w:link w:val="95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8">
    <w:name w:val="Char Char Char Char Char Char Char Char"/>
    <w:basedOn w:val="951"/>
    <w:next w:val="1058"/>
    <w:link w:val="951"/>
    <w:pPr>
      <w:jc w:val="left"/>
      <w:spacing w:after="160" w:line="240" w:lineRule="exact"/>
      <w:widowControl/>
    </w:pPr>
    <w:rPr>
      <w:rFonts w:ascii="Verdana" w:hAnsi="Verdana" w:eastAsia="宋体" w:cs="Times New Roman"/>
      <w:sz w:val="20"/>
      <w:szCs w:val="20"/>
      <w:lang w:eastAsia="en-US"/>
    </w:rPr>
  </w:style>
  <w:style w:type="paragraph" w:styleId="1059">
    <w:name w:val="font7"/>
    <w:basedOn w:val="951"/>
    <w:next w:val="1059"/>
    <w:link w:val="951"/>
    <w:pPr>
      <w:jc w:val="left"/>
      <w:spacing w:before="100" w:beforeAutospacing="1" w:after="100" w:afterAutospacing="1"/>
      <w:widowControl/>
    </w:pPr>
    <w:rPr>
      <w:rFonts w:hint="eastAsia" w:ascii="宋体" w:hAnsi="宋体" w:eastAsia="宋体" w:cs="Times New Roman"/>
      <w:sz w:val="18"/>
      <w:szCs w:val="18"/>
    </w:rPr>
  </w:style>
  <w:style w:type="paragraph" w:styleId="1060">
    <w:name w:val="AONormal"/>
    <w:next w:val="1060"/>
    <w:link w:val="951"/>
    <w:qFormat/>
    <w:pPr>
      <w:ind w:firstLine="440"/>
      <w:spacing w:line="400" w:lineRule="exact"/>
    </w:pPr>
    <w:rPr>
      <w:rFonts w:ascii="华文楷体" w:hAnsi="华文楷体" w:eastAsia="华文楷体" w:cs="华文楷体"/>
      <w:sz w:val="22"/>
      <w:szCs w:val="21"/>
      <w:lang w:val="en-US" w:eastAsia="zh-CN" w:bidi="ar-SA"/>
    </w:rPr>
  </w:style>
  <w:style w:type="paragraph" w:styleId="1061">
    <w:name w:val="Body Text(ch)"/>
    <w:basedOn w:val="951"/>
    <w:next w:val="982"/>
    <w:link w:val="951"/>
    <w:pPr>
      <w:spacing w:after="120"/>
    </w:pPr>
    <w:rPr>
      <w:rFonts w:ascii="宋体" w:hAnsi="Arial" w:eastAsia="宋体" w:cs="Times New Roman"/>
      <w:bCs/>
      <w:iCs/>
      <w:szCs w:val="24"/>
    </w:rPr>
  </w:style>
  <w:style w:type="paragraph" w:styleId="1062">
    <w:name w:val="xl27"/>
    <w:basedOn w:val="951"/>
    <w:next w:val="1062"/>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name w:val="Char Char Char Char"/>
    <w:basedOn w:val="976"/>
    <w:next w:val="1063"/>
    <w:link w:val="951"/>
    <w:pPr>
      <w:spacing w:line="360" w:lineRule="auto"/>
    </w:pPr>
    <w:rPr>
      <w:rFonts w:ascii="Tahoma" w:hAnsi="Tahoma"/>
      <w:sz w:val="24"/>
      <w:szCs w:val="24"/>
    </w:rPr>
  </w:style>
  <w:style w:type="paragraph" w:styleId="1064">
    <w:name w:val="Char"/>
    <w:basedOn w:val="951"/>
    <w:next w:val="1064"/>
    <w:link w:val="951"/>
    <w:pPr>
      <w:ind w:firstLine="200"/>
      <w:tabs>
        <w:tab w:val="left" w:pos="360" w:leader="none"/>
      </w:tabs>
    </w:pPr>
    <w:rPr>
      <w:rFonts w:ascii="Times New Roman" w:hAnsi="Times New Roman" w:eastAsia="宋体" w:cs="Times New Roman"/>
      <w:sz w:val="28"/>
      <w:szCs w:val="30"/>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8</cp:revision>
  <dcterms:created xsi:type="dcterms:W3CDTF">2026-08-04T07:54:00Z</dcterms:created>
  <dcterms:modified xsi:type="dcterms:W3CDTF">2026-08-05T05:24:54Z</dcterms:modified>
</cp:coreProperties>
</file>