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A9F7B2">
      <w:pPr>
        <w:pStyle w:val="254"/>
        <w:ind w:firstLine="0"/>
        <w:jc w:val="center"/>
        <w:rPr>
          <w:rFonts w:ascii="仿宋" w:hAnsi="仿宋" w:eastAsia="仿宋" w:cs="仿宋"/>
          <w:b/>
          <w:bCs/>
          <w:color w:val="auto"/>
          <w:sz w:val="96"/>
          <w:szCs w:val="28"/>
          <w:highlight w:val="none"/>
        </w:rPr>
      </w:pPr>
    </w:p>
    <w:p w14:paraId="388B6789">
      <w:pPr>
        <w:pStyle w:val="254"/>
        <w:ind w:firstLine="0"/>
        <w:jc w:val="center"/>
        <w:rPr>
          <w:rFonts w:ascii="仿宋" w:hAnsi="仿宋" w:eastAsia="仿宋" w:cs="仿宋"/>
          <w:b/>
          <w:bCs/>
          <w:color w:val="auto"/>
          <w:sz w:val="84"/>
          <w:highlight w:val="none"/>
        </w:rPr>
      </w:pPr>
      <w:r>
        <w:rPr>
          <w:rFonts w:hint="eastAsia" w:ascii="仿宋" w:hAnsi="仿宋" w:eastAsia="仿宋" w:cs="仿宋"/>
          <w:b/>
          <w:bCs/>
          <w:color w:val="auto"/>
          <w:sz w:val="96"/>
          <w:szCs w:val="28"/>
          <w:highlight w:val="none"/>
        </w:rPr>
        <w:t>招　标　文　件</w:t>
      </w:r>
    </w:p>
    <w:p w14:paraId="6B14BBB0">
      <w:pPr>
        <w:pStyle w:val="254"/>
        <w:ind w:firstLine="0"/>
        <w:jc w:val="center"/>
        <w:rPr>
          <w:rFonts w:ascii="仿宋" w:hAnsi="仿宋" w:eastAsia="仿宋" w:cs="仿宋"/>
          <w:b/>
          <w:bCs/>
          <w:color w:val="auto"/>
          <w:sz w:val="52"/>
          <w:szCs w:val="20"/>
          <w:highlight w:val="none"/>
        </w:rPr>
      </w:pPr>
      <w:r>
        <w:rPr>
          <w:rFonts w:hint="eastAsia" w:ascii="仿宋" w:hAnsi="仿宋" w:eastAsia="仿宋" w:cs="仿宋"/>
          <w:b/>
          <w:bCs/>
          <w:color w:val="auto"/>
          <w:sz w:val="52"/>
          <w:szCs w:val="20"/>
          <w:highlight w:val="none"/>
        </w:rPr>
        <w:t>（服务类）</w:t>
      </w:r>
    </w:p>
    <w:p w14:paraId="0C6C91ED">
      <w:pPr>
        <w:pStyle w:val="254"/>
        <w:ind w:firstLine="1606"/>
        <w:rPr>
          <w:rFonts w:ascii="仿宋" w:hAnsi="仿宋" w:eastAsia="仿宋" w:cs="仿宋"/>
          <w:b/>
          <w:bCs/>
          <w:color w:val="auto"/>
          <w:sz w:val="32"/>
          <w:highlight w:val="none"/>
        </w:rPr>
      </w:pPr>
    </w:p>
    <w:p w14:paraId="647D8E57">
      <w:pPr>
        <w:pStyle w:val="254"/>
        <w:ind w:firstLine="1606"/>
        <w:rPr>
          <w:rFonts w:ascii="仿宋" w:hAnsi="仿宋" w:eastAsia="仿宋" w:cs="仿宋"/>
          <w:b/>
          <w:bCs/>
          <w:color w:val="auto"/>
          <w:sz w:val="32"/>
          <w:highlight w:val="none"/>
        </w:rPr>
      </w:pPr>
    </w:p>
    <w:p w14:paraId="7E93206A">
      <w:pPr>
        <w:pStyle w:val="254"/>
        <w:ind w:firstLine="1606"/>
        <w:rPr>
          <w:rFonts w:ascii="仿宋" w:hAnsi="仿宋" w:eastAsia="仿宋" w:cs="仿宋"/>
          <w:b/>
          <w:bCs/>
          <w:color w:val="auto"/>
          <w:sz w:val="32"/>
          <w:highlight w:val="none"/>
        </w:rPr>
      </w:pPr>
    </w:p>
    <w:p w14:paraId="194C01DC">
      <w:pPr>
        <w:pStyle w:val="254"/>
        <w:ind w:left="1807" w:hanging="1807" w:hangingChars="500"/>
        <w:rPr>
          <w:rFonts w:ascii="仿宋" w:hAnsi="仿宋" w:eastAsia="仿宋" w:cs="仿宋"/>
          <w:b/>
          <w:bCs/>
          <w:color w:val="auto"/>
          <w:sz w:val="36"/>
          <w:szCs w:val="28"/>
          <w:highlight w:val="none"/>
        </w:rPr>
      </w:pPr>
      <w:bookmarkStart w:id="0" w:name="_Toc21520"/>
      <w:bookmarkStart w:id="1" w:name="_Toc5939"/>
      <w:r>
        <w:rPr>
          <w:rFonts w:hint="eastAsia" w:ascii="仿宋" w:hAnsi="仿宋" w:eastAsia="仿宋" w:cs="仿宋"/>
          <w:b/>
          <w:bCs/>
          <w:color w:val="auto"/>
          <w:sz w:val="36"/>
          <w:szCs w:val="28"/>
          <w:highlight w:val="none"/>
        </w:rPr>
        <w:t>项目名称：</w:t>
      </w:r>
      <w:bookmarkEnd w:id="0"/>
      <w:bookmarkEnd w:id="1"/>
      <w:bookmarkStart w:id="2" w:name="_Toc31166"/>
      <w:bookmarkStart w:id="3" w:name="_Toc19122"/>
      <w:r>
        <w:rPr>
          <w:rFonts w:hint="eastAsia" w:ascii="仿宋" w:hAnsi="仿宋" w:eastAsia="仿宋" w:cs="仿宋"/>
          <w:b/>
          <w:bCs/>
          <w:color w:val="auto"/>
          <w:sz w:val="36"/>
          <w:szCs w:val="28"/>
          <w:highlight w:val="none"/>
        </w:rPr>
        <w:t>道路运输新业态市场风险动态监测技术辅助服务</w:t>
      </w:r>
    </w:p>
    <w:p w14:paraId="457A8DC0">
      <w:pPr>
        <w:pStyle w:val="254"/>
        <w:ind w:firstLine="0"/>
        <w:jc w:val="both"/>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lang w:eastAsia="zh-CN"/>
        </w:rPr>
        <w:t>项目编号：</w:t>
      </w:r>
      <w:r>
        <w:rPr>
          <w:rFonts w:hint="eastAsia" w:ascii="仿宋" w:hAnsi="仿宋" w:eastAsia="仿宋" w:cs="仿宋"/>
          <w:b/>
          <w:bCs/>
          <w:color w:val="auto"/>
          <w:sz w:val="36"/>
          <w:szCs w:val="28"/>
          <w:highlight w:val="none"/>
          <w:lang w:val="en-US" w:eastAsia="zh-CN"/>
        </w:rPr>
        <w:t>JSZC-320000-JSQC-G2026-0029</w:t>
      </w:r>
    </w:p>
    <w:p w14:paraId="5C667678">
      <w:pPr>
        <w:pStyle w:val="254"/>
        <w:ind w:firstLine="0"/>
        <w:jc w:val="both"/>
        <w:rPr>
          <w:rFonts w:hint="eastAsia" w:ascii="仿宋" w:hAnsi="仿宋" w:eastAsia="仿宋" w:cs="仿宋"/>
          <w:b/>
          <w:bCs/>
          <w:color w:val="auto"/>
          <w:sz w:val="36"/>
          <w:szCs w:val="28"/>
          <w:highlight w:val="none"/>
          <w:lang w:val="en-US" w:eastAsia="zh-CN"/>
        </w:rPr>
      </w:pPr>
      <w:r>
        <w:rPr>
          <w:rFonts w:hint="eastAsia" w:ascii="仿宋" w:hAnsi="仿宋" w:eastAsia="仿宋" w:cs="仿宋"/>
          <w:b/>
          <w:bCs/>
          <w:color w:val="auto"/>
          <w:sz w:val="36"/>
          <w:szCs w:val="28"/>
          <w:highlight w:val="none"/>
          <w:lang w:eastAsia="zh-CN"/>
        </w:rPr>
        <w:t>柒采内部</w:t>
      </w:r>
      <w:r>
        <w:rPr>
          <w:rFonts w:hint="eastAsia" w:ascii="仿宋" w:hAnsi="仿宋" w:eastAsia="仿宋" w:cs="仿宋"/>
          <w:b/>
          <w:bCs/>
          <w:color w:val="auto"/>
          <w:sz w:val="36"/>
          <w:szCs w:val="28"/>
          <w:highlight w:val="none"/>
        </w:rPr>
        <w:t>编号：</w:t>
      </w:r>
      <w:bookmarkEnd w:id="2"/>
      <w:bookmarkEnd w:id="3"/>
      <w:r>
        <w:rPr>
          <w:rFonts w:hint="eastAsia" w:ascii="仿宋" w:hAnsi="仿宋" w:eastAsia="仿宋" w:cs="仿宋"/>
          <w:b/>
          <w:bCs/>
          <w:color w:val="auto"/>
          <w:sz w:val="36"/>
          <w:szCs w:val="28"/>
          <w:highlight w:val="none"/>
        </w:rPr>
        <w:t>QC-202605081</w:t>
      </w:r>
      <w:r>
        <w:rPr>
          <w:rFonts w:hint="eastAsia" w:ascii="仿宋" w:hAnsi="仿宋" w:eastAsia="仿宋" w:cs="仿宋"/>
          <w:b/>
          <w:bCs/>
          <w:color w:val="auto"/>
          <w:sz w:val="36"/>
          <w:szCs w:val="28"/>
          <w:highlight w:val="none"/>
          <w:lang w:val="en-US" w:eastAsia="zh-CN"/>
        </w:rPr>
        <w:t>1</w:t>
      </w:r>
      <w:r>
        <w:rPr>
          <w:rFonts w:hint="eastAsia" w:ascii="仿宋" w:hAnsi="仿宋" w:eastAsia="仿宋" w:cs="仿宋"/>
          <w:b/>
          <w:bCs/>
          <w:color w:val="auto"/>
          <w:sz w:val="36"/>
          <w:szCs w:val="28"/>
          <w:highlight w:val="none"/>
        </w:rPr>
        <w:t>G</w:t>
      </w:r>
    </w:p>
    <w:p w14:paraId="61D63DCD">
      <w:pPr>
        <w:ind w:left="2100" w:hanging="2100"/>
        <w:rPr>
          <w:rFonts w:ascii="仿宋" w:hAnsi="仿宋" w:eastAsia="仿宋" w:cs="仿宋"/>
          <w:b/>
          <w:color w:val="auto"/>
          <w:sz w:val="30"/>
          <w:szCs w:val="30"/>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p>
    <w:p w14:paraId="4C7706B1">
      <w:pPr>
        <w:pStyle w:val="254"/>
        <w:spacing w:before="0" w:after="0"/>
        <w:ind w:firstLine="0"/>
        <w:rPr>
          <w:rFonts w:ascii="仿宋" w:hAnsi="仿宋" w:eastAsia="仿宋" w:cs="仿宋"/>
          <w:color w:val="auto"/>
          <w:highlight w:val="none"/>
        </w:rPr>
      </w:pPr>
    </w:p>
    <w:p w14:paraId="72FCE704">
      <w:pPr>
        <w:pStyle w:val="254"/>
        <w:spacing w:before="0" w:after="0"/>
        <w:ind w:firstLine="0"/>
        <w:rPr>
          <w:rFonts w:ascii="仿宋" w:hAnsi="仿宋" w:eastAsia="仿宋" w:cs="仿宋"/>
          <w:color w:val="auto"/>
          <w:highlight w:val="none"/>
        </w:rPr>
      </w:pPr>
    </w:p>
    <w:p w14:paraId="1387D753">
      <w:pPr>
        <w:pStyle w:val="254"/>
        <w:spacing w:before="0" w:after="0"/>
        <w:ind w:firstLine="0"/>
        <w:rPr>
          <w:rFonts w:ascii="仿宋" w:hAnsi="仿宋" w:eastAsia="仿宋" w:cs="仿宋"/>
          <w:color w:val="auto"/>
          <w:highlight w:val="none"/>
        </w:rPr>
      </w:pPr>
    </w:p>
    <w:p w14:paraId="58A16E8B">
      <w:pPr>
        <w:pStyle w:val="254"/>
        <w:ind w:firstLine="0"/>
        <w:jc w:val="center"/>
        <w:rPr>
          <w:rFonts w:ascii="仿宋" w:hAnsi="仿宋" w:eastAsia="仿宋" w:cs="仿宋"/>
          <w:b/>
          <w:bCs/>
          <w:color w:val="auto"/>
          <w:sz w:val="32"/>
          <w:highlight w:val="none"/>
        </w:rPr>
      </w:pPr>
      <w:bookmarkStart w:id="4" w:name="_Toc5072"/>
      <w:bookmarkStart w:id="5" w:name="_Toc1928"/>
      <w:r>
        <w:rPr>
          <w:rFonts w:hint="eastAsia" w:ascii="仿宋" w:hAnsi="仿宋" w:eastAsia="仿宋" w:cs="仿宋"/>
          <w:b/>
          <w:bCs/>
          <w:color w:val="auto"/>
          <w:sz w:val="32"/>
          <w:highlight w:val="none"/>
        </w:rPr>
        <w:t>采购人名称：</w:t>
      </w:r>
      <w:bookmarkEnd w:id="4"/>
      <w:r>
        <w:rPr>
          <w:rFonts w:hint="eastAsia" w:ascii="仿宋" w:hAnsi="仿宋" w:eastAsia="仿宋" w:cs="仿宋"/>
          <w:b/>
          <w:bCs/>
          <w:color w:val="auto"/>
          <w:sz w:val="32"/>
          <w:highlight w:val="none"/>
        </w:rPr>
        <w:t>江苏省交通运输综合行政执法监督局</w:t>
      </w:r>
    </w:p>
    <w:p w14:paraId="4D19FFC4">
      <w:pPr>
        <w:pStyle w:val="254"/>
        <w:ind w:firstLine="1947" w:firstLineChars="606"/>
        <w:jc w:val="both"/>
        <w:rPr>
          <w:rFonts w:ascii="仿宋" w:hAnsi="仿宋" w:eastAsia="仿宋" w:cs="仿宋"/>
          <w:b/>
          <w:bCs/>
          <w:color w:val="auto"/>
          <w:sz w:val="32"/>
          <w:highlight w:val="none"/>
        </w:rPr>
      </w:pPr>
      <w:r>
        <w:rPr>
          <w:rFonts w:hint="eastAsia" w:ascii="仿宋" w:hAnsi="仿宋" w:eastAsia="仿宋" w:cs="仿宋"/>
          <w:b/>
          <w:bCs/>
          <w:color w:val="auto"/>
          <w:sz w:val="32"/>
          <w:highlight w:val="none"/>
        </w:rPr>
        <w:t>采购代理机构：江苏柒采招标代理有限公司</w:t>
      </w:r>
      <w:bookmarkEnd w:id="5"/>
    </w:p>
    <w:p w14:paraId="604B5D33">
      <w:pPr>
        <w:pStyle w:val="254"/>
        <w:ind w:firstLine="0"/>
        <w:jc w:val="center"/>
        <w:rPr>
          <w:rFonts w:ascii="仿宋" w:hAnsi="仿宋" w:eastAsia="仿宋" w:cs="仿宋"/>
          <w:b/>
          <w:bCs/>
          <w:color w:val="auto"/>
          <w:sz w:val="32"/>
          <w:highlight w:val="none"/>
        </w:rPr>
      </w:pPr>
      <w:r>
        <w:rPr>
          <w:rFonts w:hint="eastAsia" w:ascii="仿宋" w:hAnsi="仿宋" w:eastAsia="仿宋" w:cs="仿宋"/>
          <w:b/>
          <w:bCs/>
          <w:color w:val="auto"/>
          <w:sz w:val="32"/>
          <w:highlight w:val="none"/>
        </w:rPr>
        <w:t>2026年07月</w:t>
      </w:r>
    </w:p>
    <w:p w14:paraId="33461AC8">
      <w:pPr>
        <w:pStyle w:val="254"/>
        <w:ind w:firstLine="0"/>
        <w:jc w:val="center"/>
        <w:rPr>
          <w:rFonts w:ascii="仿宋" w:hAnsi="仿宋" w:eastAsia="仿宋" w:cs="仿宋"/>
          <w:b/>
          <w:bCs/>
          <w:color w:val="auto"/>
          <w:sz w:val="32"/>
          <w:highlight w:val="none"/>
        </w:rPr>
      </w:pPr>
    </w:p>
    <w:p w14:paraId="53F8549E">
      <w:pPr>
        <w:pStyle w:val="254"/>
        <w:spacing w:before="60" w:after="60" w:line="480" w:lineRule="exact"/>
        <w:ind w:firstLine="0"/>
        <w:jc w:val="center"/>
        <w:rPr>
          <w:rFonts w:ascii="仿宋" w:hAnsi="仿宋" w:eastAsia="仿宋" w:cs="仿宋"/>
          <w:b/>
          <w:color w:val="auto"/>
          <w:sz w:val="44"/>
          <w:highlight w:val="none"/>
        </w:rPr>
      </w:pPr>
      <w:bookmarkStart w:id="6" w:name="_Toc9350"/>
      <w:bookmarkStart w:id="7" w:name="_Toc20173"/>
      <w:bookmarkStart w:id="8" w:name="_Toc28121"/>
      <w:bookmarkStart w:id="9" w:name="_Toc18309"/>
      <w:bookmarkStart w:id="10" w:name="_Toc24790"/>
      <w:bookmarkStart w:id="11" w:name="_Toc28368"/>
      <w:bookmarkStart w:id="12" w:name="_Toc18348"/>
      <w:bookmarkStart w:id="13" w:name="_Toc120614210"/>
      <w:bookmarkStart w:id="14" w:name="_Toc523127445"/>
      <w:bookmarkStart w:id="15" w:name="_Toc513029200"/>
      <w:bookmarkStart w:id="16" w:name="_Toc16938516"/>
      <w:bookmarkStart w:id="17" w:name="_Toc479757206"/>
      <w:bookmarkStart w:id="18" w:name="_Toc20823272"/>
      <w:r>
        <w:rPr>
          <w:rFonts w:hint="eastAsia" w:ascii="仿宋" w:hAnsi="仿宋" w:eastAsia="仿宋" w:cs="仿宋"/>
          <w:b/>
          <w:color w:val="auto"/>
          <w:sz w:val="44"/>
          <w:highlight w:val="none"/>
        </w:rPr>
        <w:t>目  录</w:t>
      </w:r>
      <w:bookmarkEnd w:id="6"/>
      <w:bookmarkEnd w:id="7"/>
      <w:bookmarkEnd w:id="8"/>
      <w:bookmarkEnd w:id="9"/>
      <w:bookmarkEnd w:id="10"/>
      <w:bookmarkEnd w:id="11"/>
      <w:bookmarkEnd w:id="12"/>
    </w:p>
    <w:p w14:paraId="7FC24C03">
      <w:pPr>
        <w:pStyle w:val="25"/>
        <w:tabs>
          <w:tab w:val="right" w:leader="dot" w:pos="9746"/>
        </w:tabs>
        <w:rPr>
          <w:color w:val="auto"/>
          <w:sz w:val="32"/>
          <w:szCs w:val="32"/>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color w:val="auto"/>
          <w:highlight w:val="none"/>
        </w:rPr>
        <w:fldChar w:fldCharType="begin"/>
      </w:r>
      <w:r>
        <w:rPr>
          <w:color w:val="auto"/>
          <w:highlight w:val="none"/>
        </w:rPr>
        <w:instrText xml:space="preserve"> HYPERLINK \l "_Toc4413" </w:instrText>
      </w:r>
      <w:r>
        <w:rPr>
          <w:color w:val="auto"/>
          <w:highlight w:val="none"/>
        </w:rPr>
        <w:fldChar w:fldCharType="separate"/>
      </w:r>
      <w:r>
        <w:rPr>
          <w:rFonts w:hint="eastAsia" w:ascii="仿宋" w:hAnsi="仿宋" w:eastAsia="仿宋" w:cs="仿宋"/>
          <w:bCs/>
          <w:color w:val="auto"/>
          <w:sz w:val="32"/>
          <w:szCs w:val="32"/>
          <w:highlight w:val="none"/>
        </w:rPr>
        <w:t>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_Toc4413 \h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color w:val="auto"/>
          <w:sz w:val="32"/>
          <w:szCs w:val="32"/>
          <w:highlight w:val="none"/>
        </w:rPr>
        <w:fldChar w:fldCharType="end"/>
      </w:r>
    </w:p>
    <w:p w14:paraId="43841281">
      <w:pPr>
        <w:pStyle w:val="25"/>
        <w:tabs>
          <w:tab w:val="right" w:leader="dot" w:pos="9746"/>
        </w:tabs>
        <w:rPr>
          <w:color w:val="auto"/>
          <w:sz w:val="32"/>
          <w:szCs w:val="32"/>
          <w:highlight w:val="none"/>
        </w:rPr>
      </w:pPr>
      <w:r>
        <w:rPr>
          <w:color w:val="auto"/>
          <w:highlight w:val="none"/>
        </w:rPr>
        <w:fldChar w:fldCharType="begin"/>
      </w:r>
      <w:r>
        <w:rPr>
          <w:color w:val="auto"/>
          <w:highlight w:val="none"/>
        </w:rPr>
        <w:instrText xml:space="preserve"> HYPERLINK \l "_Toc3617" </w:instrText>
      </w:r>
      <w:r>
        <w:rPr>
          <w:color w:val="auto"/>
          <w:highlight w:val="none"/>
        </w:rPr>
        <w:fldChar w:fldCharType="separate"/>
      </w:r>
      <w:r>
        <w:rPr>
          <w:rFonts w:hint="eastAsia" w:ascii="仿宋" w:hAnsi="仿宋" w:eastAsia="仿宋" w:cs="仿宋"/>
          <w:bCs/>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_Toc3617 \h </w:instrText>
      </w:r>
      <w:r>
        <w:rPr>
          <w:color w:val="auto"/>
          <w:sz w:val="32"/>
          <w:szCs w:val="32"/>
          <w:highlight w:val="none"/>
        </w:rPr>
        <w:fldChar w:fldCharType="separate"/>
      </w:r>
      <w:r>
        <w:rPr>
          <w:color w:val="auto"/>
          <w:sz w:val="32"/>
          <w:szCs w:val="32"/>
          <w:highlight w:val="none"/>
        </w:rPr>
        <w:t>5</w:t>
      </w:r>
      <w:r>
        <w:rPr>
          <w:color w:val="auto"/>
          <w:sz w:val="32"/>
          <w:szCs w:val="32"/>
          <w:highlight w:val="none"/>
        </w:rPr>
        <w:fldChar w:fldCharType="end"/>
      </w:r>
      <w:r>
        <w:rPr>
          <w:color w:val="auto"/>
          <w:sz w:val="32"/>
          <w:szCs w:val="32"/>
          <w:highlight w:val="none"/>
        </w:rPr>
        <w:fldChar w:fldCharType="end"/>
      </w:r>
    </w:p>
    <w:p w14:paraId="4AF49CF1">
      <w:pPr>
        <w:pStyle w:val="25"/>
        <w:tabs>
          <w:tab w:val="right" w:leader="dot" w:pos="9746"/>
        </w:tabs>
        <w:rPr>
          <w:color w:val="auto"/>
          <w:sz w:val="32"/>
          <w:szCs w:val="32"/>
          <w:highlight w:val="none"/>
        </w:rPr>
      </w:pPr>
      <w:r>
        <w:rPr>
          <w:color w:val="auto"/>
          <w:highlight w:val="none"/>
        </w:rPr>
        <w:fldChar w:fldCharType="begin"/>
      </w:r>
      <w:r>
        <w:rPr>
          <w:color w:val="auto"/>
          <w:highlight w:val="none"/>
        </w:rPr>
        <w:instrText xml:space="preserve"> HYPERLINK \l "_Toc1070" </w:instrText>
      </w:r>
      <w:r>
        <w:rPr>
          <w:color w:val="auto"/>
          <w:highlight w:val="none"/>
        </w:rPr>
        <w:fldChar w:fldCharType="separate"/>
      </w:r>
      <w:r>
        <w:rPr>
          <w:rFonts w:hint="eastAsia" w:ascii="仿宋" w:hAnsi="仿宋" w:eastAsia="仿宋" w:cs="仿宋"/>
          <w:bCs/>
          <w:color w:val="auto"/>
          <w:sz w:val="32"/>
          <w:szCs w:val="32"/>
          <w:highlight w:val="none"/>
        </w:rPr>
        <w:t>第三章  合同文本（服务）</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_Toc1070 \h </w:instrText>
      </w:r>
      <w:r>
        <w:rPr>
          <w:color w:val="auto"/>
          <w:sz w:val="32"/>
          <w:szCs w:val="32"/>
          <w:highlight w:val="none"/>
        </w:rPr>
        <w:fldChar w:fldCharType="separate"/>
      </w:r>
      <w:r>
        <w:rPr>
          <w:color w:val="auto"/>
          <w:sz w:val="32"/>
          <w:szCs w:val="32"/>
          <w:highlight w:val="none"/>
        </w:rPr>
        <w:t>17</w:t>
      </w:r>
      <w:r>
        <w:rPr>
          <w:color w:val="auto"/>
          <w:sz w:val="32"/>
          <w:szCs w:val="32"/>
          <w:highlight w:val="none"/>
        </w:rPr>
        <w:fldChar w:fldCharType="end"/>
      </w:r>
      <w:r>
        <w:rPr>
          <w:color w:val="auto"/>
          <w:sz w:val="32"/>
          <w:szCs w:val="32"/>
          <w:highlight w:val="none"/>
        </w:rPr>
        <w:fldChar w:fldCharType="end"/>
      </w:r>
    </w:p>
    <w:p w14:paraId="5A7056C3">
      <w:pPr>
        <w:pStyle w:val="25"/>
        <w:tabs>
          <w:tab w:val="right" w:leader="dot" w:pos="9746"/>
        </w:tabs>
        <w:rPr>
          <w:color w:val="auto"/>
          <w:sz w:val="32"/>
          <w:szCs w:val="32"/>
          <w:highlight w:val="none"/>
        </w:rPr>
      </w:pPr>
      <w:r>
        <w:rPr>
          <w:color w:val="auto"/>
          <w:highlight w:val="none"/>
        </w:rPr>
        <w:fldChar w:fldCharType="begin"/>
      </w:r>
      <w:r>
        <w:rPr>
          <w:color w:val="auto"/>
          <w:highlight w:val="none"/>
        </w:rPr>
        <w:instrText xml:space="preserve"> HYPERLINK \l "_Toc25556" </w:instrText>
      </w:r>
      <w:r>
        <w:rPr>
          <w:color w:val="auto"/>
          <w:highlight w:val="none"/>
        </w:rPr>
        <w:fldChar w:fldCharType="separate"/>
      </w:r>
      <w:r>
        <w:rPr>
          <w:rFonts w:hint="eastAsia" w:ascii="仿宋" w:hAnsi="仿宋" w:eastAsia="仿宋" w:cs="仿宋"/>
          <w:bCs/>
          <w:color w:val="auto"/>
          <w:sz w:val="32"/>
          <w:szCs w:val="32"/>
          <w:highlight w:val="none"/>
        </w:rPr>
        <w:t>第四章  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_Toc25556 \h </w:instrText>
      </w:r>
      <w:r>
        <w:rPr>
          <w:color w:val="auto"/>
          <w:sz w:val="32"/>
          <w:szCs w:val="32"/>
          <w:highlight w:val="none"/>
        </w:rPr>
        <w:fldChar w:fldCharType="separate"/>
      </w:r>
      <w:r>
        <w:rPr>
          <w:color w:val="auto"/>
          <w:sz w:val="32"/>
          <w:szCs w:val="32"/>
          <w:highlight w:val="none"/>
        </w:rPr>
        <w:t>34</w:t>
      </w:r>
      <w:r>
        <w:rPr>
          <w:color w:val="auto"/>
          <w:sz w:val="32"/>
          <w:szCs w:val="32"/>
          <w:highlight w:val="none"/>
        </w:rPr>
        <w:fldChar w:fldCharType="end"/>
      </w:r>
      <w:r>
        <w:rPr>
          <w:color w:val="auto"/>
          <w:sz w:val="32"/>
          <w:szCs w:val="32"/>
          <w:highlight w:val="none"/>
        </w:rPr>
        <w:fldChar w:fldCharType="end"/>
      </w:r>
    </w:p>
    <w:p w14:paraId="1ED5095A">
      <w:pPr>
        <w:pStyle w:val="25"/>
        <w:tabs>
          <w:tab w:val="right" w:leader="dot" w:pos="9746"/>
        </w:tabs>
        <w:rPr>
          <w:color w:val="auto"/>
          <w:sz w:val="32"/>
          <w:szCs w:val="32"/>
          <w:highlight w:val="none"/>
        </w:rPr>
      </w:pPr>
      <w:r>
        <w:rPr>
          <w:color w:val="auto"/>
          <w:highlight w:val="none"/>
        </w:rPr>
        <w:fldChar w:fldCharType="begin"/>
      </w:r>
      <w:r>
        <w:rPr>
          <w:color w:val="auto"/>
          <w:highlight w:val="none"/>
        </w:rPr>
        <w:instrText xml:space="preserve"> HYPERLINK \l "_Toc21665" </w:instrText>
      </w:r>
      <w:r>
        <w:rPr>
          <w:color w:val="auto"/>
          <w:highlight w:val="none"/>
        </w:rPr>
        <w:fldChar w:fldCharType="separate"/>
      </w:r>
      <w:r>
        <w:rPr>
          <w:rFonts w:hint="eastAsia" w:ascii="仿宋" w:hAnsi="仿宋" w:eastAsia="仿宋" w:cs="仿宋"/>
          <w:bCs/>
          <w:color w:val="auto"/>
          <w:sz w:val="32"/>
          <w:szCs w:val="32"/>
          <w:highlight w:val="none"/>
        </w:rPr>
        <w:t>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_Toc21665 \h </w:instrText>
      </w:r>
      <w:r>
        <w:rPr>
          <w:color w:val="auto"/>
          <w:sz w:val="32"/>
          <w:szCs w:val="32"/>
          <w:highlight w:val="none"/>
        </w:rPr>
        <w:fldChar w:fldCharType="separate"/>
      </w:r>
      <w:r>
        <w:rPr>
          <w:color w:val="auto"/>
          <w:sz w:val="32"/>
          <w:szCs w:val="32"/>
          <w:highlight w:val="none"/>
        </w:rPr>
        <w:t>38</w:t>
      </w:r>
      <w:r>
        <w:rPr>
          <w:color w:val="auto"/>
          <w:sz w:val="32"/>
          <w:szCs w:val="32"/>
          <w:highlight w:val="none"/>
        </w:rPr>
        <w:fldChar w:fldCharType="end"/>
      </w:r>
      <w:r>
        <w:rPr>
          <w:color w:val="auto"/>
          <w:sz w:val="32"/>
          <w:szCs w:val="32"/>
          <w:highlight w:val="none"/>
        </w:rPr>
        <w:fldChar w:fldCharType="end"/>
      </w:r>
    </w:p>
    <w:p w14:paraId="6BE22E98">
      <w:pPr>
        <w:pStyle w:val="25"/>
        <w:tabs>
          <w:tab w:val="right" w:leader="dot" w:pos="9746"/>
        </w:tabs>
        <w:rPr>
          <w:color w:val="auto"/>
          <w:highlight w:val="none"/>
        </w:rPr>
      </w:pPr>
      <w:r>
        <w:rPr>
          <w:color w:val="auto"/>
          <w:highlight w:val="none"/>
        </w:rPr>
        <w:fldChar w:fldCharType="begin"/>
      </w:r>
      <w:r>
        <w:rPr>
          <w:color w:val="auto"/>
          <w:highlight w:val="none"/>
        </w:rPr>
        <w:instrText xml:space="preserve"> HYPERLINK \l "_Toc25268" </w:instrText>
      </w:r>
      <w:r>
        <w:rPr>
          <w:color w:val="auto"/>
          <w:highlight w:val="none"/>
        </w:rPr>
        <w:fldChar w:fldCharType="separate"/>
      </w:r>
      <w:r>
        <w:rPr>
          <w:rFonts w:hint="eastAsia" w:ascii="仿宋" w:hAnsi="仿宋" w:eastAsia="仿宋" w:cs="仿宋"/>
          <w:bCs/>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_Toc25268 \h </w:instrText>
      </w:r>
      <w:r>
        <w:rPr>
          <w:color w:val="auto"/>
          <w:sz w:val="32"/>
          <w:szCs w:val="32"/>
          <w:highlight w:val="none"/>
        </w:rPr>
        <w:fldChar w:fldCharType="separate"/>
      </w:r>
      <w:r>
        <w:rPr>
          <w:color w:val="auto"/>
          <w:sz w:val="32"/>
          <w:szCs w:val="32"/>
          <w:highlight w:val="none"/>
        </w:rPr>
        <w:t>48</w:t>
      </w:r>
      <w:r>
        <w:rPr>
          <w:color w:val="auto"/>
          <w:sz w:val="32"/>
          <w:szCs w:val="32"/>
          <w:highlight w:val="none"/>
        </w:rPr>
        <w:fldChar w:fldCharType="end"/>
      </w:r>
      <w:r>
        <w:rPr>
          <w:color w:val="auto"/>
          <w:sz w:val="32"/>
          <w:szCs w:val="32"/>
          <w:highlight w:val="none"/>
        </w:rPr>
        <w:fldChar w:fldCharType="end"/>
      </w:r>
    </w:p>
    <w:p w14:paraId="3987F932">
      <w:pPr>
        <w:pStyle w:val="31"/>
        <w:tabs>
          <w:tab w:val="right" w:leader="dot" w:pos="9746"/>
        </w:tabs>
        <w:rPr>
          <w:color w:val="auto"/>
          <w:highlight w:val="none"/>
        </w:rPr>
      </w:pPr>
    </w:p>
    <w:p w14:paraId="568A04BB">
      <w:pPr>
        <w:spacing w:line="480" w:lineRule="auto"/>
        <w:jc w:val="center"/>
        <w:rPr>
          <w:rFonts w:ascii="仿宋" w:hAnsi="仿宋" w:eastAsia="仿宋" w:cs="仿宋"/>
          <w:b/>
          <w:bCs/>
          <w:color w:val="auto"/>
          <w:sz w:val="40"/>
          <w:szCs w:val="40"/>
          <w:highlight w:val="none"/>
        </w:rPr>
        <w:sectPr>
          <w:headerReference r:id="rId4" w:type="first"/>
          <w:footerReference r:id="rId6" w:type="first"/>
          <w:headerReference r:id="rId3" w:type="default"/>
          <w:footerReference r:id="rId5" w:type="default"/>
          <w:pgSz w:w="11906" w:h="16838"/>
          <w:pgMar w:top="1440" w:right="1080" w:bottom="1440" w:left="1080" w:header="851" w:footer="907" w:gutter="0"/>
          <w:cols w:space="720" w:num="1"/>
          <w:titlePg/>
          <w:docGrid w:linePitch="360" w:charSpace="0"/>
        </w:sectPr>
      </w:pPr>
      <w:r>
        <w:rPr>
          <w:rFonts w:hint="eastAsia" w:ascii="仿宋" w:hAnsi="仿宋" w:eastAsia="仿宋" w:cs="仿宋"/>
          <w:color w:val="auto"/>
          <w:szCs w:val="28"/>
          <w:highlight w:val="none"/>
        </w:rPr>
        <w:fldChar w:fldCharType="end"/>
      </w:r>
      <w:bookmarkStart w:id="19" w:name="_Toc10055"/>
    </w:p>
    <w:p w14:paraId="5AB5C267">
      <w:pPr>
        <w:pStyle w:val="191"/>
        <w:spacing w:before="156" w:after="156" w:line="530" w:lineRule="exact"/>
        <w:rPr>
          <w:rFonts w:ascii="仿宋" w:hAnsi="仿宋" w:eastAsia="仿宋" w:cs="仿宋"/>
          <w:b/>
          <w:bCs/>
          <w:color w:val="auto"/>
          <w:sz w:val="40"/>
          <w:szCs w:val="40"/>
          <w:highlight w:val="none"/>
        </w:rPr>
      </w:pPr>
      <w:bookmarkStart w:id="20" w:name="_Toc4413"/>
      <w:r>
        <w:rPr>
          <w:rFonts w:hint="eastAsia" w:ascii="仿宋" w:hAnsi="仿宋" w:eastAsia="仿宋" w:cs="仿宋"/>
          <w:b/>
          <w:bCs/>
          <w:color w:val="auto"/>
          <w:sz w:val="40"/>
          <w:szCs w:val="40"/>
          <w:highlight w:val="none"/>
        </w:rPr>
        <w:t xml:space="preserve">第一章  </w:t>
      </w:r>
      <w:bookmarkEnd w:id="13"/>
      <w:r>
        <w:rPr>
          <w:rFonts w:hint="eastAsia" w:ascii="仿宋" w:hAnsi="仿宋" w:eastAsia="仿宋" w:cs="仿宋"/>
          <w:b/>
          <w:bCs/>
          <w:color w:val="auto"/>
          <w:sz w:val="40"/>
          <w:szCs w:val="40"/>
          <w:highlight w:val="none"/>
        </w:rPr>
        <w:t>投标邀请</w:t>
      </w:r>
      <w:bookmarkEnd w:id="19"/>
      <w:bookmarkEnd w:id="20"/>
    </w:p>
    <w:p w14:paraId="4D209F35">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受</w:t>
      </w:r>
      <w:r>
        <w:rPr>
          <w:rFonts w:hint="eastAsia" w:ascii="仿宋" w:hAnsi="仿宋" w:eastAsia="仿宋" w:cs="仿宋"/>
          <w:b/>
          <w:bCs/>
          <w:color w:val="auto"/>
          <w:sz w:val="24"/>
          <w:szCs w:val="24"/>
          <w:highlight w:val="none"/>
        </w:rPr>
        <w:t>江苏省交通运输综合行政执法监督局</w:t>
      </w:r>
      <w:r>
        <w:rPr>
          <w:rFonts w:hint="eastAsia" w:ascii="仿宋" w:hAnsi="仿宋" w:eastAsia="仿宋" w:cs="仿宋"/>
          <w:color w:val="auto"/>
          <w:sz w:val="24"/>
          <w:szCs w:val="24"/>
          <w:highlight w:val="none"/>
        </w:rPr>
        <w:t>的委托，江苏柒采招标代理有限公司就</w:t>
      </w:r>
      <w:r>
        <w:rPr>
          <w:rFonts w:hint="eastAsia" w:ascii="仿宋" w:hAnsi="仿宋" w:eastAsia="仿宋" w:cs="仿宋"/>
          <w:b/>
          <w:bCs/>
          <w:color w:val="auto"/>
          <w:sz w:val="24"/>
          <w:szCs w:val="24"/>
          <w:highlight w:val="none"/>
        </w:rPr>
        <w:t>道路运输新业态市场风险动态监测技术辅助服务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JSZC-320000-JSQC-G2026-0029</w:t>
      </w:r>
      <w:r>
        <w:rPr>
          <w:rFonts w:hint="eastAsia" w:ascii="仿宋" w:hAnsi="仿宋" w:eastAsia="仿宋" w:cs="仿宋"/>
          <w:color w:val="auto"/>
          <w:sz w:val="24"/>
          <w:szCs w:val="24"/>
          <w:highlight w:val="none"/>
        </w:rPr>
        <w:t>）项目进行公开招标采购，欢迎符合条件的投标人参加投标。</w:t>
      </w:r>
    </w:p>
    <w:p w14:paraId="4034A134">
      <w:pPr>
        <w:pBdr>
          <w:top w:val="single" w:color="000000" w:sz="4" w:space="1"/>
          <w:left w:val="single" w:color="000000" w:sz="4" w:space="4"/>
          <w:bottom w:val="single" w:color="000000" w:sz="4" w:space="1"/>
          <w:right w:val="single" w:color="000000" w:sz="4" w:space="4"/>
        </w:pBdr>
        <w:spacing w:line="50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项目概况</w:t>
      </w:r>
    </w:p>
    <w:p w14:paraId="6083CD2D">
      <w:pPr>
        <w:pBdr>
          <w:top w:val="single" w:color="000000" w:sz="4" w:space="1"/>
          <w:left w:val="single" w:color="000000" w:sz="4" w:space="4"/>
          <w:bottom w:val="single" w:color="000000" w:sz="4" w:space="1"/>
          <w:right w:val="single" w:color="000000" w:sz="4" w:space="4"/>
        </w:pBd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道路运输新业态市场风险动态监测技术辅助服务的潜在投标人应在江苏政府采购网“苏采云”系统</w:t>
      </w:r>
      <w:bookmarkStart w:id="21" w:name="OLE_LINK180"/>
      <w:bookmarkStart w:id="22" w:name="OLE_LINK178"/>
      <w:r>
        <w:rPr>
          <w:rFonts w:hint="eastAsia" w:ascii="仿宋" w:hAnsi="仿宋" w:eastAsia="仿宋" w:cs="仿宋"/>
          <w:color w:val="auto"/>
          <w:sz w:val="24"/>
          <w:szCs w:val="24"/>
          <w:highlight w:val="none"/>
        </w:rPr>
        <w:t>中</w:t>
      </w:r>
      <w:bookmarkEnd w:id="21"/>
      <w:bookmarkStart w:id="23" w:name="OLE_LINK179"/>
      <w:r>
        <w:rPr>
          <w:rFonts w:hint="eastAsia" w:ascii="仿宋" w:hAnsi="仿宋" w:eastAsia="仿宋" w:cs="仿宋"/>
          <w:color w:val="auto"/>
          <w:sz w:val="24"/>
          <w:szCs w:val="24"/>
          <w:highlight w:val="none"/>
        </w:rPr>
        <w:t>免费</w:t>
      </w:r>
      <w:bookmarkEnd w:id="23"/>
      <w:r>
        <w:rPr>
          <w:rFonts w:hint="eastAsia" w:ascii="仿宋" w:hAnsi="仿宋" w:eastAsia="仿宋" w:cs="仿宋"/>
          <w:color w:val="auto"/>
          <w:sz w:val="24"/>
          <w:szCs w:val="24"/>
          <w:highlight w:val="none"/>
        </w:rPr>
        <w:t>下载</w:t>
      </w:r>
      <w:bookmarkEnd w:id="22"/>
      <w:r>
        <w:rPr>
          <w:rFonts w:hint="eastAsia" w:ascii="仿宋" w:hAnsi="仿宋" w:eastAsia="仿宋" w:cs="仿宋"/>
          <w:color w:val="auto"/>
          <w:sz w:val="24"/>
          <w:szCs w:val="24"/>
          <w:highlight w:val="none"/>
        </w:rPr>
        <w:t>招标文件，并于2026年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日14:30（北京时间）前上传加密版电子投标文件。</w:t>
      </w:r>
    </w:p>
    <w:p w14:paraId="1B62F6E3">
      <w:pPr>
        <w:pStyle w:val="192"/>
        <w:spacing w:before="0" w:after="0" w:line="500" w:lineRule="exact"/>
        <w:ind w:firstLine="436"/>
        <w:jc w:val="left"/>
        <w:rPr>
          <w:rFonts w:ascii="仿宋" w:hAnsi="仿宋" w:eastAsia="仿宋" w:cs="仿宋"/>
          <w:color w:val="auto"/>
          <w:sz w:val="28"/>
          <w:szCs w:val="28"/>
          <w:highlight w:val="none"/>
        </w:rPr>
      </w:pPr>
      <w:bookmarkStart w:id="24" w:name="_Toc38985263"/>
      <w:bookmarkStart w:id="25" w:name="_Toc14757"/>
      <w:bookmarkStart w:id="26" w:name="_Toc28359079"/>
      <w:bookmarkStart w:id="27" w:name="_Toc9101"/>
      <w:bookmarkStart w:id="28" w:name="_Toc28359002"/>
      <w:bookmarkStart w:id="29" w:name="_Toc17660"/>
      <w:bookmarkStart w:id="30" w:name="_Toc35393790"/>
      <w:bookmarkStart w:id="31" w:name="_Toc31798"/>
      <w:bookmarkStart w:id="32" w:name="_Toc35393621"/>
      <w:bookmarkStart w:id="33" w:name="_Hlk24379207"/>
      <w:r>
        <w:rPr>
          <w:rFonts w:hint="eastAsia" w:ascii="仿宋" w:hAnsi="仿宋" w:eastAsia="仿宋" w:cs="仿宋"/>
          <w:color w:val="auto"/>
          <w:sz w:val="28"/>
          <w:szCs w:val="28"/>
          <w:highlight w:val="none"/>
        </w:rPr>
        <w:t>一、项目基本情况</w:t>
      </w:r>
      <w:bookmarkEnd w:id="24"/>
      <w:bookmarkEnd w:id="25"/>
      <w:bookmarkEnd w:id="26"/>
      <w:bookmarkEnd w:id="27"/>
      <w:bookmarkEnd w:id="28"/>
      <w:bookmarkEnd w:id="29"/>
      <w:bookmarkEnd w:id="30"/>
      <w:bookmarkEnd w:id="31"/>
      <w:bookmarkEnd w:id="32"/>
    </w:p>
    <w:p w14:paraId="6C5ECBAA">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JSZC-320000-JSQC-G2026-0029</w:t>
      </w:r>
    </w:p>
    <w:p w14:paraId="19A5231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2.项目名称：道路运输新业态市场风险动态监测技术辅助服务</w:t>
      </w:r>
    </w:p>
    <w:bookmarkEnd w:id="33"/>
    <w:p w14:paraId="57A49C98">
      <w:pPr>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3.预算总金额（含税）：人民币</w:t>
      </w:r>
      <w:r>
        <w:rPr>
          <w:rFonts w:hint="eastAsia" w:ascii="仿宋" w:hAnsi="仿宋" w:eastAsia="仿宋" w:cs="仿宋"/>
          <w:b/>
          <w:bCs/>
          <w:color w:val="auto"/>
          <w:sz w:val="24"/>
          <w:szCs w:val="24"/>
          <w:highlight w:val="none"/>
          <w:u w:val="single"/>
        </w:rPr>
        <w:t>壹佰零伍万元</w:t>
      </w:r>
      <w:r>
        <w:rPr>
          <w:rFonts w:hint="eastAsia" w:ascii="仿宋" w:hAnsi="仿宋" w:eastAsia="仿宋" w:cs="仿宋"/>
          <w:color w:val="auto"/>
          <w:sz w:val="24"/>
          <w:szCs w:val="24"/>
          <w:highlight w:val="none"/>
        </w:rPr>
        <w:t>整（¥1,050,000.00）</w:t>
      </w:r>
    </w:p>
    <w:p w14:paraId="5A0E34A4">
      <w:pPr>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分包一：道路运输新业态市场运营风险监测分析辅助技术服务，预算金额为人民币72万元；</w:t>
      </w:r>
    </w:p>
    <w:p w14:paraId="55C366E2">
      <w:pPr>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分包二：道路执法检查计划执行分析辅助技术服务，预算金额为人民币33万元。</w:t>
      </w:r>
    </w:p>
    <w:p w14:paraId="157DF333">
      <w:pPr>
        <w:spacing w:line="500" w:lineRule="exact"/>
        <w:ind w:firstLine="480" w:firstLineChars="200"/>
        <w:rPr>
          <w:rFonts w:ascii="仿宋" w:hAnsi="仿宋" w:eastAsia="仿宋" w:cs="仿宋"/>
          <w:b/>
          <w:bCs/>
          <w:i/>
          <w:iCs/>
          <w:color w:val="auto"/>
          <w:sz w:val="24"/>
          <w:szCs w:val="24"/>
          <w:highlight w:val="none"/>
          <w:u w:val="single"/>
        </w:rPr>
      </w:pPr>
      <w:r>
        <w:rPr>
          <w:rFonts w:hint="eastAsia" w:ascii="仿宋" w:hAnsi="仿宋" w:eastAsia="仿宋" w:cs="仿宋"/>
          <w:color w:val="auto"/>
          <w:sz w:val="24"/>
          <w:szCs w:val="24"/>
          <w:highlight w:val="none"/>
        </w:rPr>
        <w:t>4.最高总限价（含税）：</w:t>
      </w:r>
      <w:r>
        <w:rPr>
          <w:rFonts w:hint="eastAsia" w:ascii="仿宋" w:hAnsi="仿宋" w:eastAsia="仿宋" w:cs="仿宋"/>
          <w:b/>
          <w:bCs/>
          <w:i/>
          <w:iCs/>
          <w:color w:val="auto"/>
          <w:sz w:val="24"/>
          <w:szCs w:val="24"/>
          <w:highlight w:val="none"/>
          <w:u w:val="single"/>
        </w:rPr>
        <w:t>分包一：道路运输新业态市场运营风险监测分析辅助技术服务，最高限价为人民币72万元；</w:t>
      </w:r>
    </w:p>
    <w:p w14:paraId="6D680E35">
      <w:pPr>
        <w:spacing w:line="500" w:lineRule="exact"/>
        <w:ind w:firstLine="482" w:firstLineChars="200"/>
        <w:rPr>
          <w:rFonts w:ascii="仿宋" w:hAnsi="仿宋" w:eastAsia="仿宋" w:cs="仿宋"/>
          <w:b/>
          <w:bCs/>
          <w:i/>
          <w:iCs/>
          <w:color w:val="auto"/>
          <w:sz w:val="24"/>
          <w:szCs w:val="24"/>
          <w:highlight w:val="none"/>
          <w:u w:val="single"/>
        </w:rPr>
      </w:pPr>
      <w:r>
        <w:rPr>
          <w:rFonts w:hint="eastAsia" w:ascii="仿宋" w:hAnsi="仿宋" w:eastAsia="仿宋" w:cs="仿宋"/>
          <w:b/>
          <w:bCs/>
          <w:i/>
          <w:iCs/>
          <w:color w:val="auto"/>
          <w:sz w:val="24"/>
          <w:szCs w:val="24"/>
          <w:highlight w:val="none"/>
          <w:u w:val="single"/>
        </w:rPr>
        <w:t>分包二：道路执法检查计划执行分析辅助技术服务，最高限价为人民币33万元。</w:t>
      </w:r>
    </w:p>
    <w:p w14:paraId="593FDD25">
      <w:pPr>
        <w:spacing w:line="500" w:lineRule="exact"/>
        <w:ind w:firstLine="482" w:firstLineChars="200"/>
        <w:rPr>
          <w:rFonts w:ascii="仿宋" w:hAnsi="仿宋" w:eastAsia="仿宋" w:cs="仿宋"/>
          <w:b/>
          <w:bCs/>
          <w:i/>
          <w:iCs/>
          <w:color w:val="auto"/>
          <w:sz w:val="24"/>
          <w:szCs w:val="24"/>
          <w:highlight w:val="none"/>
          <w:u w:val="single"/>
        </w:rPr>
      </w:pPr>
      <w:r>
        <w:rPr>
          <w:rFonts w:hint="eastAsia" w:ascii="仿宋" w:hAnsi="仿宋" w:eastAsia="仿宋" w:cs="仿宋"/>
          <w:b/>
          <w:bCs/>
          <w:i/>
          <w:iCs/>
          <w:color w:val="auto"/>
          <w:sz w:val="24"/>
          <w:szCs w:val="24"/>
          <w:highlight w:val="none"/>
          <w:u w:val="single"/>
        </w:rPr>
        <w:t>报价不得超过最高限价，否则视为无效投标。</w:t>
      </w:r>
    </w:p>
    <w:p w14:paraId="2C09762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5.采购需求：本次项目为道路运输新业态市场风险动态监测技术辅助服务，具体内容详见招标文件项目需求章节。</w:t>
      </w:r>
    </w:p>
    <w:p w14:paraId="635F158D">
      <w:pPr>
        <w:spacing w:line="50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6.合同履行期限：分包一：合同签订之日起满1年；分包二：合同签订之日起满1年。</w:t>
      </w:r>
    </w:p>
    <w:p w14:paraId="51C1CD5A">
      <w:pPr>
        <w:spacing w:line="500" w:lineRule="exact"/>
        <w:ind w:firstLine="480"/>
        <w:rPr>
          <w:rFonts w:ascii="仿宋" w:hAnsi="仿宋" w:eastAsia="仿宋" w:cs="仿宋"/>
          <w:color w:val="auto"/>
          <w:sz w:val="24"/>
          <w:szCs w:val="24"/>
          <w:highlight w:val="none"/>
        </w:rPr>
      </w:pPr>
      <w:bookmarkStart w:id="34" w:name="_Toc28359080"/>
      <w:bookmarkStart w:id="35" w:name="_Toc38985264"/>
      <w:bookmarkStart w:id="36" w:name="_Toc35393622"/>
      <w:bookmarkStart w:id="37" w:name="_Toc35393791"/>
      <w:bookmarkStart w:id="38" w:name="_Toc28359003"/>
      <w:bookmarkStart w:id="39" w:name="_Toc11258"/>
      <w:r>
        <w:rPr>
          <w:rFonts w:hint="eastAsia" w:ascii="仿宋" w:hAnsi="仿宋" w:eastAsia="仿宋" w:cs="仿宋"/>
          <w:color w:val="auto"/>
          <w:sz w:val="24"/>
          <w:szCs w:val="24"/>
          <w:highlight w:val="none"/>
        </w:rPr>
        <w:t>7.本项目是否属于专门面向中小企业采购项目：</w:t>
      </w:r>
    </w:p>
    <w:p w14:paraId="710B73FE">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分包一：非专门面向中小企业采购项目；</w:t>
      </w:r>
    </w:p>
    <w:p w14:paraId="407644AD">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分包二：非专门面向中小企业采购项目。</w:t>
      </w:r>
    </w:p>
    <w:p w14:paraId="3BF946F0">
      <w:pPr>
        <w:pStyle w:val="192"/>
        <w:spacing w:before="0" w:after="0" w:line="500" w:lineRule="exact"/>
        <w:ind w:firstLine="436"/>
        <w:jc w:val="left"/>
        <w:rPr>
          <w:rFonts w:ascii="仿宋" w:hAnsi="仿宋" w:eastAsia="仿宋" w:cs="仿宋"/>
          <w:color w:val="auto"/>
          <w:sz w:val="28"/>
          <w:szCs w:val="28"/>
          <w:highlight w:val="none"/>
        </w:rPr>
      </w:pPr>
      <w:bookmarkStart w:id="40" w:name="_Toc14057"/>
      <w:bookmarkStart w:id="41" w:name="_Toc13683"/>
      <w:bookmarkStart w:id="42" w:name="_Toc25052"/>
      <w:r>
        <w:rPr>
          <w:rFonts w:hint="eastAsia" w:ascii="仿宋" w:hAnsi="仿宋" w:eastAsia="仿宋" w:cs="仿宋"/>
          <w:color w:val="auto"/>
          <w:sz w:val="28"/>
          <w:szCs w:val="28"/>
          <w:highlight w:val="none"/>
        </w:rPr>
        <w:t>二、投标人的资格要求：</w:t>
      </w:r>
      <w:bookmarkEnd w:id="34"/>
      <w:bookmarkEnd w:id="35"/>
      <w:bookmarkEnd w:id="36"/>
      <w:bookmarkEnd w:id="37"/>
      <w:bookmarkEnd w:id="38"/>
      <w:bookmarkEnd w:id="39"/>
      <w:bookmarkEnd w:id="40"/>
      <w:bookmarkEnd w:id="41"/>
      <w:bookmarkEnd w:id="42"/>
    </w:p>
    <w:p w14:paraId="568F0171">
      <w:pPr>
        <w:spacing w:line="500" w:lineRule="exact"/>
        <w:ind w:firstLine="480"/>
        <w:rPr>
          <w:rFonts w:ascii="仿宋" w:hAnsi="仿宋" w:eastAsia="仿宋" w:cs="仿宋"/>
          <w:color w:val="auto"/>
          <w:sz w:val="24"/>
          <w:szCs w:val="24"/>
          <w:highlight w:val="none"/>
        </w:rPr>
      </w:pPr>
      <w:bookmarkStart w:id="43" w:name="_Toc38985265"/>
      <w:bookmarkStart w:id="44" w:name="_Toc35393792"/>
      <w:bookmarkStart w:id="45" w:name="_Toc35393623"/>
      <w:bookmarkStart w:id="46" w:name="_Toc28359004"/>
      <w:bookmarkStart w:id="47" w:name="_Toc28359081"/>
      <w:r>
        <w:rPr>
          <w:rFonts w:hint="eastAsia" w:ascii="仿宋" w:hAnsi="仿宋" w:eastAsia="仿宋" w:cs="仿宋"/>
          <w:color w:val="auto"/>
          <w:sz w:val="24"/>
          <w:szCs w:val="24"/>
          <w:highlight w:val="none"/>
        </w:rPr>
        <w:t>1.满足《中华人民共和国政府采购法》第二十二条规定，并提供下列材料：</w:t>
      </w:r>
    </w:p>
    <w:p w14:paraId="254B4AF0">
      <w:pPr>
        <w:spacing w:line="500" w:lineRule="exact"/>
        <w:ind w:firstLine="480"/>
        <w:rPr>
          <w:rFonts w:ascii="仿宋" w:hAnsi="仿宋" w:eastAsia="仿宋" w:cs="仿宋"/>
          <w:color w:val="auto"/>
          <w:sz w:val="24"/>
          <w:szCs w:val="24"/>
          <w:highlight w:val="none"/>
        </w:rPr>
      </w:pPr>
      <w:bookmarkStart w:id="48" w:name="_Toc30251"/>
      <w:bookmarkStart w:id="49" w:name="_Toc23404"/>
      <w:r>
        <w:rPr>
          <w:rFonts w:hint="eastAsia" w:ascii="仿宋" w:hAnsi="仿宋" w:eastAsia="仿宋" w:cs="仿宋"/>
          <w:color w:val="auto"/>
          <w:sz w:val="24"/>
          <w:szCs w:val="24"/>
          <w:highlight w:val="none"/>
        </w:rPr>
        <w:t>1.1 具有独立承担民事责任的能力（提供营业执照，自然人的身份证并加盖公章）。</w:t>
      </w:r>
    </w:p>
    <w:p w14:paraId="0943673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 具有良好的商业信誉和健全的财务会计制度（提供上一年度的财务状况报告（成立不满1年不需提供。若2025年财务状况报告未完成，可提交2024年的财务状况或近1年任意1个月的财务报表））。</w:t>
      </w:r>
    </w:p>
    <w:p w14:paraId="75B19F9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 有依法缴纳税收和社会保障资金的良好记录（提供提交投标文件截止时间</w:t>
      </w:r>
      <w:r>
        <w:rPr>
          <w:rFonts w:hint="eastAsia" w:ascii="仿宋" w:hAnsi="仿宋" w:eastAsia="仿宋" w:cs="仿宋"/>
          <w:b/>
          <w:bCs/>
          <w:color w:val="auto"/>
          <w:sz w:val="24"/>
          <w:szCs w:val="24"/>
          <w:highlight w:val="none"/>
        </w:rPr>
        <w:t>前1年内至少一个月依法缴纳税收及缴纳社会保障资金的证明材料</w:t>
      </w:r>
      <w:r>
        <w:rPr>
          <w:rFonts w:hint="eastAsia" w:ascii="仿宋" w:hAnsi="仿宋" w:eastAsia="仿宋" w:cs="仿宋"/>
          <w:color w:val="auto"/>
          <w:sz w:val="24"/>
          <w:szCs w:val="24"/>
          <w:highlight w:val="none"/>
        </w:rPr>
        <w:t>。投标人依法享受缓缴、免缴税收、社会保障资金的提供证明材料）。</w:t>
      </w:r>
    </w:p>
    <w:p w14:paraId="5DC3A5A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1.4具备履行合同所必需的设备和专业技术能力的书面声明。</w:t>
      </w:r>
    </w:p>
    <w:p w14:paraId="4DA72734">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1.5参加政府采购活动前3年内在经营活动中没有重大违法记录的书面声明。</w:t>
      </w:r>
    </w:p>
    <w:p w14:paraId="48DF40E8">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1.6法律、行政法规规定的其他条件：无。</w:t>
      </w:r>
    </w:p>
    <w:p w14:paraId="5C2EBF21">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第1.5条所称重大违法记录，是指投标人因违法经营受到刑事处罚或者责令停产停业、吊销许可证或者执照、较大数额罚款等行政处罚。（2）投标人在参加政府采购活动前3年内因违法经营被禁止在一定期限内参加政府采购活动，期限届满的，可以参加政府采购活动。</w:t>
      </w:r>
    </w:p>
    <w:p w14:paraId="3FF6742D">
      <w:pPr>
        <w:spacing w:line="5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2.落实政府采购政策需满足的资格要求：分包一：非专门面向中小企业采购项目。</w:t>
      </w:r>
    </w:p>
    <w:p w14:paraId="0CA04B4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分包二：非专门面向中小企业采购项目。</w:t>
      </w:r>
    </w:p>
    <w:p w14:paraId="5E46B9CA">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3.本项目的特定资格要求：无。</w:t>
      </w:r>
    </w:p>
    <w:p w14:paraId="7049278E">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w:t>
      </w:r>
      <w:r>
        <w:rPr>
          <w:rFonts w:hint="eastAsia" w:ascii="仿宋" w:hAnsi="仿宋" w:eastAsia="仿宋" w:cs="仿宋"/>
          <w:b/>
          <w:bCs/>
          <w:color w:val="auto"/>
          <w:sz w:val="24"/>
          <w:szCs w:val="24"/>
          <w:highlight w:val="none"/>
          <w:u w:val="single"/>
        </w:rPr>
        <w:t>不接受</w:t>
      </w:r>
      <w:r>
        <w:rPr>
          <w:rFonts w:hint="eastAsia" w:ascii="仿宋" w:hAnsi="仿宋" w:eastAsia="仿宋" w:cs="仿宋"/>
          <w:color w:val="auto"/>
          <w:sz w:val="24"/>
          <w:szCs w:val="24"/>
          <w:highlight w:val="none"/>
        </w:rPr>
        <w:t>联合体投标。</w:t>
      </w:r>
    </w:p>
    <w:p w14:paraId="620CE088">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5.本项目</w:t>
      </w:r>
      <w:r>
        <w:rPr>
          <w:rFonts w:hint="eastAsia" w:ascii="仿宋" w:hAnsi="仿宋" w:eastAsia="仿宋" w:cs="仿宋"/>
          <w:b/>
          <w:bCs/>
          <w:color w:val="auto"/>
          <w:sz w:val="24"/>
          <w:szCs w:val="24"/>
          <w:highlight w:val="none"/>
          <w:u w:val="single"/>
        </w:rPr>
        <w:t>不允许</w:t>
      </w:r>
      <w:r>
        <w:rPr>
          <w:rFonts w:hint="eastAsia" w:ascii="仿宋" w:hAnsi="仿宋" w:eastAsia="仿宋" w:cs="仿宋"/>
          <w:color w:val="auto"/>
          <w:sz w:val="24"/>
          <w:szCs w:val="24"/>
          <w:highlight w:val="none"/>
        </w:rPr>
        <w:t>分包、转包；</w:t>
      </w:r>
      <w:r>
        <w:rPr>
          <w:rFonts w:hint="eastAsia" w:ascii="仿宋" w:hAnsi="仿宋" w:eastAsia="仿宋" w:cs="仿宋"/>
          <w:b/>
          <w:bCs/>
          <w:color w:val="auto"/>
          <w:sz w:val="24"/>
          <w:szCs w:val="24"/>
          <w:highlight w:val="none"/>
          <w:u w:val="single"/>
        </w:rPr>
        <w:t>不接受</w:t>
      </w:r>
      <w:r>
        <w:rPr>
          <w:rFonts w:hint="eastAsia" w:ascii="仿宋" w:hAnsi="仿宋" w:eastAsia="仿宋" w:cs="仿宋"/>
          <w:color w:val="auto"/>
          <w:sz w:val="24"/>
          <w:szCs w:val="24"/>
          <w:highlight w:val="none"/>
        </w:rPr>
        <w:t>进口产品投标（注：本文件所称进口产品是指通过中国海关报关验放进入中国境内且产自关境外的产品）。</w:t>
      </w:r>
    </w:p>
    <w:p w14:paraId="19E1345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6.拒绝下述投标人参加本次采购活动：</w:t>
      </w:r>
    </w:p>
    <w:p w14:paraId="15B83B12">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6.1负责人为同一人或者存在直接控股、管理关系的不同供应商，不得参加同一合同项下的政府采购活动。</w:t>
      </w:r>
    </w:p>
    <w:p w14:paraId="7906DBB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6.2投标人被“信用中国”（www.creditchina.gov.cn）、“中国政府采购网”（www.ccgp.gov.cn）等网站列入失信被执行人、重大税收违法失信主体名单、政府采购严重违法失信行为记录名单。</w:t>
      </w:r>
    </w:p>
    <w:p w14:paraId="3AC54CB2">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6.3除单一来源采购项目外，为采购项目提供整体设计、规范编制或者项目管理、监理、检测等服务的投标人，不得再参加该采购项目的其他采购活动。</w:t>
      </w:r>
    </w:p>
    <w:p w14:paraId="7C210278">
      <w:pPr>
        <w:pStyle w:val="192"/>
        <w:spacing w:before="0" w:after="0" w:line="500" w:lineRule="exact"/>
        <w:ind w:firstLine="436"/>
        <w:jc w:val="left"/>
        <w:rPr>
          <w:rFonts w:ascii="仿宋" w:hAnsi="仿宋" w:eastAsia="仿宋" w:cs="仿宋"/>
          <w:color w:val="auto"/>
          <w:sz w:val="28"/>
          <w:szCs w:val="28"/>
          <w:highlight w:val="none"/>
        </w:rPr>
      </w:pPr>
      <w:bookmarkStart w:id="50" w:name="_Toc23952"/>
      <w:bookmarkStart w:id="51" w:name="_Toc21687"/>
      <w:r>
        <w:rPr>
          <w:rFonts w:hint="eastAsia" w:ascii="仿宋" w:hAnsi="仿宋" w:eastAsia="仿宋" w:cs="仿宋"/>
          <w:color w:val="auto"/>
          <w:sz w:val="28"/>
          <w:szCs w:val="28"/>
          <w:highlight w:val="none"/>
        </w:rPr>
        <w:t>三、获取招标文件</w:t>
      </w:r>
      <w:bookmarkEnd w:id="43"/>
      <w:bookmarkEnd w:id="44"/>
      <w:bookmarkEnd w:id="45"/>
      <w:bookmarkEnd w:id="46"/>
      <w:bookmarkEnd w:id="47"/>
      <w:bookmarkEnd w:id="48"/>
      <w:bookmarkEnd w:id="49"/>
      <w:bookmarkEnd w:id="50"/>
      <w:bookmarkEnd w:id="51"/>
    </w:p>
    <w:p w14:paraId="160FB3E9">
      <w:pPr>
        <w:spacing w:line="500" w:lineRule="exact"/>
        <w:ind w:firstLine="539"/>
        <w:rPr>
          <w:rFonts w:ascii="仿宋" w:hAnsi="仿宋" w:eastAsia="仿宋" w:cs="仿宋"/>
          <w:color w:val="auto"/>
          <w:sz w:val="24"/>
          <w:szCs w:val="24"/>
          <w:highlight w:val="none"/>
        </w:rPr>
      </w:pPr>
      <w:bookmarkStart w:id="52" w:name="_Toc28359082"/>
      <w:bookmarkStart w:id="53" w:name="_Toc28359005"/>
      <w:bookmarkStart w:id="54" w:name="_Toc7070"/>
      <w:bookmarkStart w:id="55" w:name="_Toc38985266"/>
      <w:bookmarkStart w:id="56" w:name="_Toc35393624"/>
      <w:bookmarkStart w:id="57" w:name="_Toc35393793"/>
      <w:r>
        <w:rPr>
          <w:rFonts w:hint="eastAsia" w:ascii="仿宋" w:hAnsi="仿宋" w:eastAsia="仿宋" w:cs="仿宋"/>
          <w:b/>
          <w:bCs/>
          <w:color w:val="auto"/>
          <w:sz w:val="24"/>
          <w:szCs w:val="24"/>
          <w:highlight w:val="none"/>
        </w:rPr>
        <w:t>时间：</w:t>
      </w:r>
      <w:r>
        <w:rPr>
          <w:rFonts w:hint="eastAsia" w:ascii="仿宋" w:hAnsi="仿宋" w:eastAsia="仿宋" w:cs="仿宋"/>
          <w:color w:val="auto"/>
          <w:sz w:val="24"/>
          <w:szCs w:val="24"/>
          <w:highlight w:val="none"/>
        </w:rPr>
        <w:t>2026年0</w:t>
      </w:r>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日至2026年0</w:t>
      </w:r>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日，每天上午09:00至12:00，下午14:00至17:00（北京时间，法定节假日除外）。</w:t>
      </w:r>
    </w:p>
    <w:p w14:paraId="1A4EE0ED">
      <w:pPr>
        <w:spacing w:line="500" w:lineRule="exact"/>
        <w:ind w:firstLine="540"/>
        <w:rPr>
          <w:rFonts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rPr>
        <w:t>地点：</w:t>
      </w:r>
      <w:r>
        <w:rPr>
          <w:rFonts w:hint="eastAsia" w:ascii="仿宋" w:hAnsi="仿宋" w:eastAsia="仿宋" w:cs="仿宋"/>
          <w:color w:val="auto"/>
          <w:sz w:val="24"/>
          <w:szCs w:val="24"/>
          <w:highlight w:val="none"/>
          <w:u w:val="single"/>
        </w:rPr>
        <w:t>江苏政府采购网“苏采云”系统</w:t>
      </w:r>
    </w:p>
    <w:p w14:paraId="56CC35E3">
      <w:pPr>
        <w:spacing w:line="500" w:lineRule="exact"/>
        <w:ind w:firstLine="54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获取方式：</w:t>
      </w:r>
    </w:p>
    <w:p w14:paraId="45FF7CB2">
      <w:pPr>
        <w:spacing w:line="500" w:lineRule="exact"/>
        <w:ind w:firstLine="539"/>
        <w:rPr>
          <w:rFonts w:ascii="仿宋" w:hAnsi="仿宋" w:eastAsia="仿宋" w:cs="仿宋"/>
          <w:color w:val="auto"/>
          <w:sz w:val="24"/>
          <w:szCs w:val="24"/>
          <w:highlight w:val="none"/>
        </w:rPr>
      </w:pPr>
      <w:bookmarkStart w:id="58" w:name="OLE_LINK212"/>
      <w:bookmarkStart w:id="59" w:name="_Toc19261"/>
      <w:r>
        <w:rPr>
          <w:rFonts w:hint="eastAsia" w:ascii="仿宋" w:hAnsi="仿宋" w:eastAsia="仿宋" w:cs="仿宋"/>
          <w:color w:val="auto"/>
          <w:sz w:val="24"/>
          <w:szCs w:val="24"/>
          <w:highlight w:val="none"/>
        </w:rPr>
        <w:t>供应商登录江苏政府采购网，在网站首页点击“苏采云”系统自行免费下载。</w:t>
      </w:r>
    </w:p>
    <w:p w14:paraId="3D591C24">
      <w:pPr>
        <w:spacing w:line="500" w:lineRule="exact"/>
        <w:ind w:firstLine="53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0" w:name="OLE_LINK85"/>
      <w:r>
        <w:rPr>
          <w:rFonts w:hint="eastAsia" w:ascii="仿宋" w:hAnsi="仿宋" w:eastAsia="仿宋" w:cs="仿宋"/>
          <w:color w:val="auto"/>
          <w:sz w:val="24"/>
          <w:szCs w:val="24"/>
          <w:highlight w:val="none"/>
        </w:rPr>
        <w:t>作</w:t>
      </w:r>
      <w:bookmarkEnd w:id="60"/>
      <w:r>
        <w:rPr>
          <w:rFonts w:hint="eastAsia" w:ascii="仿宋" w:hAnsi="仿宋" w:eastAsia="仿宋" w:cs="仿宋"/>
          <w:color w:val="auto"/>
          <w:sz w:val="24"/>
          <w:szCs w:val="24"/>
          <w:highlight w:val="none"/>
        </w:rPr>
        <w:t>。</w:t>
      </w:r>
    </w:p>
    <w:bookmarkEnd w:id="58"/>
    <w:p w14:paraId="5884CFB9">
      <w:pPr>
        <w:spacing w:line="500" w:lineRule="exact"/>
        <w:ind w:firstLine="48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标书工本费（售价）：</w:t>
      </w:r>
      <w:r>
        <w:rPr>
          <w:rFonts w:hint="eastAsia" w:ascii="仿宋" w:hAnsi="仿宋" w:eastAsia="仿宋" w:cs="仿宋"/>
          <w:color w:val="auto"/>
          <w:sz w:val="24"/>
          <w:szCs w:val="24"/>
          <w:highlight w:val="none"/>
        </w:rPr>
        <w:t>人民币0元/分包。招标文件获取后，工本费概不退还。</w:t>
      </w:r>
    </w:p>
    <w:p w14:paraId="1AD2184C">
      <w:pPr>
        <w:pStyle w:val="192"/>
        <w:spacing w:before="0" w:after="0" w:line="500" w:lineRule="exact"/>
        <w:ind w:firstLine="436"/>
        <w:jc w:val="left"/>
        <w:rPr>
          <w:rFonts w:ascii="仿宋" w:hAnsi="仿宋" w:eastAsia="仿宋" w:cs="仿宋"/>
          <w:color w:val="auto"/>
          <w:sz w:val="28"/>
          <w:szCs w:val="28"/>
          <w:highlight w:val="none"/>
        </w:rPr>
      </w:pPr>
      <w:bookmarkStart w:id="61" w:name="_Toc29776"/>
      <w:bookmarkStart w:id="62" w:name="_Toc17258"/>
      <w:r>
        <w:rPr>
          <w:rFonts w:hint="eastAsia" w:ascii="仿宋" w:hAnsi="仿宋" w:eastAsia="仿宋" w:cs="仿宋"/>
          <w:color w:val="auto"/>
          <w:sz w:val="28"/>
          <w:szCs w:val="28"/>
          <w:highlight w:val="none"/>
        </w:rPr>
        <w:t>四、提交投标文件</w:t>
      </w:r>
      <w:bookmarkEnd w:id="52"/>
      <w:bookmarkEnd w:id="53"/>
      <w:r>
        <w:rPr>
          <w:rFonts w:hint="eastAsia" w:ascii="仿宋" w:hAnsi="仿宋" w:eastAsia="仿宋" w:cs="仿宋"/>
          <w:color w:val="auto"/>
          <w:sz w:val="28"/>
          <w:szCs w:val="28"/>
          <w:highlight w:val="none"/>
        </w:rPr>
        <w:t>截止时间、开标时间和地点</w:t>
      </w:r>
      <w:bookmarkEnd w:id="54"/>
      <w:bookmarkEnd w:id="55"/>
      <w:bookmarkEnd w:id="56"/>
      <w:bookmarkEnd w:id="57"/>
      <w:bookmarkEnd w:id="59"/>
      <w:bookmarkEnd w:id="61"/>
      <w:bookmarkEnd w:id="62"/>
    </w:p>
    <w:p w14:paraId="214492EE">
      <w:pPr>
        <w:spacing w:line="500" w:lineRule="exact"/>
        <w:ind w:firstLine="480"/>
        <w:rPr>
          <w:rFonts w:ascii="仿宋" w:hAnsi="仿宋" w:eastAsia="仿宋" w:cs="仿宋"/>
          <w:color w:val="auto"/>
          <w:sz w:val="24"/>
          <w:szCs w:val="24"/>
          <w:highlight w:val="none"/>
        </w:rPr>
      </w:pPr>
      <w:bookmarkStart w:id="63" w:name="_Toc35393625"/>
      <w:bookmarkStart w:id="64" w:name="_Toc28359007"/>
      <w:bookmarkStart w:id="65" w:name="_Toc35393794"/>
      <w:bookmarkStart w:id="66" w:name="_Toc28359084"/>
      <w:bookmarkStart w:id="67" w:name="_Toc38985267"/>
      <w:r>
        <w:rPr>
          <w:rFonts w:hint="eastAsia" w:ascii="仿宋" w:hAnsi="仿宋" w:eastAsia="仿宋" w:cs="仿宋"/>
          <w:color w:val="auto"/>
          <w:sz w:val="24"/>
          <w:szCs w:val="24"/>
          <w:highlight w:val="none"/>
        </w:rPr>
        <w:t>时间：2026年0</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日14时30分（北京时间）</w:t>
      </w:r>
    </w:p>
    <w:p w14:paraId="26213DB4">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地点：江苏政府采购网“苏采云”系统</w:t>
      </w:r>
    </w:p>
    <w:p w14:paraId="01798009">
      <w:pPr>
        <w:pStyle w:val="192"/>
        <w:spacing w:before="0" w:after="0" w:line="500" w:lineRule="exact"/>
        <w:ind w:firstLine="436"/>
        <w:jc w:val="left"/>
        <w:rPr>
          <w:rFonts w:ascii="仿宋" w:hAnsi="仿宋" w:eastAsia="仿宋" w:cs="仿宋"/>
          <w:color w:val="auto"/>
          <w:sz w:val="28"/>
          <w:szCs w:val="28"/>
          <w:highlight w:val="none"/>
        </w:rPr>
      </w:pPr>
      <w:bookmarkStart w:id="68" w:name="_Toc15625"/>
      <w:bookmarkStart w:id="69" w:name="_Toc22315"/>
      <w:bookmarkStart w:id="70" w:name="_Toc4654"/>
      <w:r>
        <w:rPr>
          <w:rFonts w:hint="eastAsia" w:ascii="仿宋" w:hAnsi="仿宋" w:eastAsia="仿宋" w:cs="仿宋"/>
          <w:color w:val="auto"/>
          <w:sz w:val="28"/>
          <w:szCs w:val="28"/>
          <w:highlight w:val="none"/>
        </w:rPr>
        <w:t>五、公告期限</w:t>
      </w:r>
      <w:bookmarkEnd w:id="63"/>
      <w:bookmarkEnd w:id="64"/>
      <w:bookmarkEnd w:id="65"/>
      <w:bookmarkEnd w:id="66"/>
      <w:bookmarkEnd w:id="67"/>
      <w:bookmarkEnd w:id="68"/>
      <w:bookmarkEnd w:id="69"/>
      <w:bookmarkEnd w:id="70"/>
    </w:p>
    <w:p w14:paraId="10747422">
      <w:pPr>
        <w:tabs>
          <w:tab w:val="center" w:pos="4873"/>
        </w:tabs>
        <w:spacing w:line="500" w:lineRule="exact"/>
        <w:ind w:firstLine="480"/>
        <w:rPr>
          <w:rFonts w:ascii="仿宋" w:hAnsi="仿宋" w:eastAsia="仿宋" w:cs="仿宋"/>
          <w:color w:val="auto"/>
          <w:sz w:val="24"/>
          <w:szCs w:val="24"/>
          <w:highlight w:val="none"/>
        </w:rPr>
      </w:pPr>
      <w:bookmarkStart w:id="71" w:name="_Toc35393626"/>
      <w:bookmarkStart w:id="72" w:name="_Toc35393795"/>
      <w:bookmarkStart w:id="73" w:name="_Toc38985268"/>
      <w:r>
        <w:rPr>
          <w:rFonts w:hint="eastAsia" w:ascii="仿宋" w:hAnsi="仿宋" w:eastAsia="仿宋" w:cs="仿宋"/>
          <w:color w:val="auto"/>
          <w:sz w:val="24"/>
          <w:szCs w:val="24"/>
          <w:highlight w:val="none"/>
        </w:rPr>
        <w:t>自本公告发布之日起5个工作日。</w:t>
      </w:r>
    </w:p>
    <w:p w14:paraId="30F8E6FE">
      <w:pPr>
        <w:pStyle w:val="192"/>
        <w:spacing w:before="0" w:after="0" w:line="500" w:lineRule="exact"/>
        <w:ind w:firstLine="436"/>
        <w:jc w:val="left"/>
        <w:rPr>
          <w:rFonts w:ascii="仿宋" w:hAnsi="仿宋" w:eastAsia="仿宋" w:cs="仿宋"/>
          <w:color w:val="auto"/>
          <w:sz w:val="28"/>
          <w:szCs w:val="28"/>
          <w:highlight w:val="none"/>
        </w:rPr>
      </w:pPr>
      <w:bookmarkStart w:id="74" w:name="_Toc21286"/>
      <w:bookmarkStart w:id="75" w:name="_Toc7024"/>
      <w:bookmarkStart w:id="76" w:name="_Toc19779"/>
      <w:bookmarkStart w:id="77" w:name="_Toc11996"/>
      <w:r>
        <w:rPr>
          <w:rFonts w:hint="eastAsia" w:ascii="仿宋" w:hAnsi="仿宋" w:eastAsia="仿宋" w:cs="仿宋"/>
          <w:color w:val="auto"/>
          <w:sz w:val="28"/>
          <w:szCs w:val="28"/>
          <w:highlight w:val="none"/>
        </w:rPr>
        <w:t>六、其他补充事宜</w:t>
      </w:r>
      <w:bookmarkEnd w:id="71"/>
      <w:bookmarkEnd w:id="72"/>
      <w:bookmarkEnd w:id="73"/>
      <w:bookmarkEnd w:id="74"/>
      <w:bookmarkEnd w:id="75"/>
      <w:bookmarkEnd w:id="76"/>
      <w:bookmarkEnd w:id="77"/>
    </w:p>
    <w:p w14:paraId="14B4AFA3">
      <w:pPr>
        <w:spacing w:line="500" w:lineRule="exact"/>
        <w:ind w:firstLine="480"/>
        <w:rPr>
          <w:rFonts w:ascii="仿宋" w:hAnsi="仿宋" w:eastAsia="仿宋" w:cs="仿宋"/>
          <w:color w:val="auto"/>
          <w:sz w:val="24"/>
          <w:szCs w:val="24"/>
          <w:highlight w:val="none"/>
        </w:rPr>
      </w:pPr>
      <w:bookmarkStart w:id="78" w:name="_Toc14169"/>
      <w:bookmarkStart w:id="79" w:name="_Toc28359085"/>
      <w:bookmarkStart w:id="80" w:name="_Toc35393627"/>
      <w:bookmarkStart w:id="81" w:name="_Toc28359008"/>
      <w:bookmarkStart w:id="82" w:name="_Toc9794"/>
      <w:bookmarkStart w:id="83" w:name="_Toc38985269"/>
      <w:bookmarkStart w:id="84" w:name="_Toc35393796"/>
      <w:r>
        <w:rPr>
          <w:rFonts w:hint="eastAsia" w:ascii="仿宋" w:hAnsi="仿宋" w:eastAsia="仿宋" w:cs="仿宋"/>
          <w:color w:val="auto"/>
          <w:sz w:val="24"/>
          <w:szCs w:val="24"/>
          <w:highlight w:val="none"/>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0B84FFE8">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7C324151">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如果“江苏政府采购网”（www.ccgp-jiangsu.gov.cn）信息与“江苏政务服务网” （www.jszwfw.gov.cn），“一企来办”专栏下“政府采购”模块中信息不一致，以“江苏政府采购网”信息为准。</w:t>
      </w:r>
    </w:p>
    <w:p w14:paraId="3EF91DFA">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有关本次招标事项若存在变动或修改，敬请及时关注江苏柒采招标代理有限公司在“江苏政府采购网”发布的更正公告。</w:t>
      </w:r>
    </w:p>
    <w:p w14:paraId="562022EA">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 本次招标不收取投标保证金。</w:t>
      </w:r>
    </w:p>
    <w:p w14:paraId="3A0DF2B2">
      <w:pPr>
        <w:pStyle w:val="192"/>
        <w:spacing w:before="0" w:after="0" w:line="500" w:lineRule="exact"/>
        <w:ind w:firstLine="436"/>
        <w:jc w:val="left"/>
        <w:rPr>
          <w:rFonts w:ascii="仿宋" w:hAnsi="仿宋" w:eastAsia="仿宋" w:cs="仿宋"/>
          <w:color w:val="auto"/>
          <w:sz w:val="28"/>
          <w:szCs w:val="28"/>
          <w:highlight w:val="none"/>
        </w:rPr>
      </w:pPr>
      <w:bookmarkStart w:id="85" w:name="_Toc31382"/>
      <w:bookmarkStart w:id="86" w:name="_Toc8630"/>
      <w:r>
        <w:rPr>
          <w:rFonts w:hint="eastAsia" w:ascii="仿宋" w:hAnsi="仿宋" w:eastAsia="仿宋" w:cs="仿宋"/>
          <w:color w:val="auto"/>
          <w:sz w:val="28"/>
          <w:szCs w:val="28"/>
          <w:highlight w:val="none"/>
        </w:rPr>
        <w:t>七、本次招标联系方式</w:t>
      </w:r>
      <w:bookmarkEnd w:id="78"/>
      <w:bookmarkEnd w:id="79"/>
      <w:bookmarkEnd w:id="80"/>
      <w:bookmarkEnd w:id="81"/>
      <w:bookmarkEnd w:id="82"/>
      <w:bookmarkEnd w:id="83"/>
      <w:bookmarkEnd w:id="84"/>
      <w:bookmarkEnd w:id="85"/>
      <w:bookmarkEnd w:id="86"/>
    </w:p>
    <w:p w14:paraId="05C3A5B4">
      <w:pPr>
        <w:widowControl/>
        <w:spacing w:line="500" w:lineRule="exact"/>
        <w:jc w:val="lef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w:t>
      </w:r>
      <w:r>
        <w:rPr>
          <w:rFonts w:hint="eastAsia" w:ascii="仿宋" w:hAnsi="仿宋" w:eastAsia="仿宋" w:cs="仿宋"/>
          <w:color w:val="auto"/>
          <w:sz w:val="24"/>
          <w:szCs w:val="24"/>
          <w:highlight w:val="none"/>
        </w:rPr>
        <w:t>1.采购人信息</w:t>
      </w:r>
    </w:p>
    <w:p w14:paraId="66CC2228">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称：江苏省交通运输综合行政执法监督局</w:t>
      </w:r>
    </w:p>
    <w:p w14:paraId="4BF2ADA9">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址：南京市石鼓路69号交通大厦</w:t>
      </w:r>
    </w:p>
    <w:p w14:paraId="138A114B">
      <w:pPr>
        <w:spacing w:line="500" w:lineRule="exact"/>
        <w:ind w:firstLine="480"/>
        <w:jc w:val="left"/>
        <w:rPr>
          <w:rFonts w:ascii="仿宋" w:hAnsi="仿宋" w:eastAsia="仿宋" w:cs="仿宋"/>
          <w:color w:val="auto"/>
          <w:sz w:val="24"/>
          <w:szCs w:val="24"/>
          <w:highlight w:val="none"/>
        </w:rPr>
      </w:pPr>
      <w:bookmarkStart w:id="87" w:name="_Toc28359086"/>
      <w:bookmarkStart w:id="88" w:name="_Toc28359009"/>
      <w:r>
        <w:rPr>
          <w:rFonts w:hint="eastAsia" w:ascii="仿宋" w:hAnsi="仿宋" w:eastAsia="仿宋" w:cs="仿宋"/>
          <w:color w:val="auto"/>
          <w:sz w:val="24"/>
          <w:szCs w:val="24"/>
          <w:highlight w:val="none"/>
        </w:rPr>
        <w:t>联 系 人：黄祥</w:t>
      </w:r>
      <w:r>
        <w:rPr>
          <w:rFonts w:ascii="仿宋" w:hAnsi="仿宋" w:eastAsia="仿宋" w:cs="仿宋"/>
          <w:color w:val="auto"/>
          <w:sz w:val="24"/>
          <w:szCs w:val="24"/>
          <w:highlight w:val="none"/>
        </w:rPr>
        <w:t>春</w:t>
      </w:r>
    </w:p>
    <w:p w14:paraId="7098307A">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联系方式：025-</w:t>
      </w:r>
      <w:r>
        <w:rPr>
          <w:rFonts w:ascii="仿宋" w:hAnsi="仿宋" w:eastAsia="仿宋" w:cs="仿宋"/>
          <w:color w:val="auto"/>
          <w:sz w:val="24"/>
          <w:szCs w:val="24"/>
          <w:highlight w:val="none"/>
        </w:rPr>
        <w:t>84329620</w:t>
      </w:r>
    </w:p>
    <w:p w14:paraId="04172E68">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2.招标代理信息</w:t>
      </w:r>
    </w:p>
    <w:p w14:paraId="764DCA7D">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bookmarkEnd w:id="87"/>
      <w:bookmarkEnd w:id="88"/>
    </w:p>
    <w:p w14:paraId="408EDAC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址：南京市建邺区奥体大街68号（新城科技园国际研发总园）3幢6楼</w:t>
      </w:r>
    </w:p>
    <w:p w14:paraId="38DA6F0E">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人：倪斌/张明立</w:t>
      </w:r>
    </w:p>
    <w:p w14:paraId="42F9CF8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bookmarkStart w:id="89" w:name="_Toc28359087"/>
      <w:bookmarkStart w:id="90" w:name="_Toc28359010"/>
      <w:r>
        <w:rPr>
          <w:rFonts w:hint="eastAsia" w:ascii="仿宋" w:hAnsi="仿宋" w:eastAsia="仿宋" w:cs="仿宋"/>
          <w:color w:val="auto"/>
          <w:sz w:val="24"/>
          <w:szCs w:val="24"/>
          <w:highlight w:val="none"/>
        </w:rPr>
        <w:t>025-83370596-</w:t>
      </w:r>
      <w:bookmarkEnd w:id="89"/>
      <w:bookmarkEnd w:id="90"/>
      <w:r>
        <w:rPr>
          <w:rFonts w:hint="eastAsia" w:ascii="仿宋" w:hAnsi="仿宋" w:eastAsia="仿宋" w:cs="仿宋"/>
          <w:color w:val="auto"/>
          <w:sz w:val="24"/>
          <w:szCs w:val="24"/>
          <w:highlight w:val="none"/>
        </w:rPr>
        <w:t>705</w:t>
      </w:r>
    </w:p>
    <w:p w14:paraId="3D5968F4">
      <w:pPr>
        <w:pStyle w:val="192"/>
        <w:spacing w:before="0" w:after="0" w:line="500" w:lineRule="exact"/>
        <w:ind w:firstLine="436"/>
        <w:jc w:val="left"/>
        <w:rPr>
          <w:rFonts w:ascii="仿宋" w:hAnsi="仿宋" w:eastAsia="仿宋" w:cs="仿宋"/>
          <w:color w:val="auto"/>
          <w:sz w:val="28"/>
          <w:szCs w:val="28"/>
          <w:highlight w:val="none"/>
        </w:rPr>
      </w:pPr>
      <w:bookmarkStart w:id="91" w:name="_Toc12781"/>
      <w:bookmarkStart w:id="92" w:name="_Toc5689"/>
      <w:bookmarkStart w:id="93" w:name="_Toc16654"/>
      <w:bookmarkStart w:id="94" w:name="_Toc24723"/>
      <w:r>
        <w:rPr>
          <w:rFonts w:hint="eastAsia" w:ascii="仿宋" w:hAnsi="仿宋" w:eastAsia="仿宋" w:cs="仿宋"/>
          <w:color w:val="auto"/>
          <w:sz w:val="28"/>
          <w:szCs w:val="28"/>
          <w:highlight w:val="none"/>
        </w:rPr>
        <w:t>八、其他</w:t>
      </w:r>
      <w:bookmarkEnd w:id="91"/>
      <w:bookmarkEnd w:id="92"/>
      <w:bookmarkEnd w:id="93"/>
      <w:bookmarkEnd w:id="94"/>
    </w:p>
    <w:p w14:paraId="6040AAF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1.采购项目需要落实的政府采购政策：</w:t>
      </w:r>
    </w:p>
    <w:p w14:paraId="001CC244">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1.1政府采购促进中小企业发展</w:t>
      </w:r>
    </w:p>
    <w:p w14:paraId="017A014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1.2政府采购支持监狱企业发展</w:t>
      </w:r>
    </w:p>
    <w:p w14:paraId="29FC6505">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1.3政府采购促进残疾人就业</w:t>
      </w:r>
    </w:p>
    <w:p w14:paraId="68ECD1E6">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1.4政府采购鼓励采购节能环保产品</w:t>
      </w:r>
    </w:p>
    <w:p w14:paraId="7849DF71">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2.请投标人在获取招标文件后，认真阅读各项内容，按照招标文件的要求详细填写和编制投标文件，进行必要的准备，并按招标文件确定的时间、地点准时参加开标活动。</w:t>
      </w:r>
    </w:p>
    <w:p w14:paraId="2DC860CE">
      <w:pPr>
        <w:pStyle w:val="191"/>
        <w:rPr>
          <w:rFonts w:ascii="仿宋" w:hAnsi="仿宋" w:eastAsia="仿宋" w:cs="仿宋"/>
          <w:b/>
          <w:bCs/>
          <w:color w:val="auto"/>
          <w:sz w:val="44"/>
          <w:szCs w:val="44"/>
          <w:highlight w:val="none"/>
        </w:rPr>
      </w:pPr>
      <w:r>
        <w:rPr>
          <w:rFonts w:hint="eastAsia" w:ascii="仿宋" w:hAnsi="仿宋" w:eastAsia="仿宋" w:cs="仿宋"/>
          <w:color w:val="auto"/>
          <w:sz w:val="24"/>
          <w:szCs w:val="24"/>
          <w:highlight w:val="none"/>
        </w:rPr>
        <w:br w:type="page" w:clear="all"/>
      </w:r>
      <w:bookmarkStart w:id="95" w:name="_Toc120614211"/>
      <w:bookmarkStart w:id="96" w:name="_Toc738"/>
      <w:bookmarkStart w:id="97" w:name="_Toc3617"/>
      <w:r>
        <w:rPr>
          <w:rFonts w:hint="eastAsia" w:ascii="仿宋" w:hAnsi="仿宋" w:eastAsia="仿宋" w:cs="仿宋"/>
          <w:b/>
          <w:bCs/>
          <w:color w:val="auto"/>
          <w:sz w:val="40"/>
          <w:szCs w:val="40"/>
          <w:highlight w:val="none"/>
        </w:rPr>
        <w:t xml:space="preserve">第二章  </w:t>
      </w:r>
      <w:bookmarkEnd w:id="14"/>
      <w:bookmarkEnd w:id="15"/>
      <w:bookmarkEnd w:id="16"/>
      <w:bookmarkEnd w:id="17"/>
      <w:bookmarkEnd w:id="18"/>
      <w:bookmarkEnd w:id="95"/>
      <w:bookmarkStart w:id="98" w:name="_Toc513029202"/>
      <w:bookmarkStart w:id="99" w:name="_Toc20823274"/>
      <w:bookmarkStart w:id="100" w:name="_Toc16938518"/>
      <w:bookmarkStart w:id="101" w:name="_Toc120614213"/>
      <w:r>
        <w:rPr>
          <w:rFonts w:hint="eastAsia" w:ascii="仿宋" w:hAnsi="仿宋" w:eastAsia="仿宋" w:cs="仿宋"/>
          <w:b/>
          <w:bCs/>
          <w:color w:val="auto"/>
          <w:sz w:val="40"/>
          <w:szCs w:val="40"/>
          <w:highlight w:val="none"/>
        </w:rPr>
        <w:t>投标人须知</w:t>
      </w:r>
      <w:bookmarkEnd w:id="96"/>
      <w:bookmarkEnd w:id="97"/>
      <w:bookmarkEnd w:id="98"/>
      <w:bookmarkEnd w:id="99"/>
      <w:bookmarkEnd w:id="100"/>
      <w:bookmarkEnd w:id="101"/>
    </w:p>
    <w:p w14:paraId="3552E03B">
      <w:pPr>
        <w:widowControl/>
        <w:spacing w:before="156" w:line="360" w:lineRule="auto"/>
        <w:jc w:val="center"/>
        <w:outlineLvl w:val="1"/>
        <w:rPr>
          <w:rFonts w:ascii="仿宋" w:hAnsi="仿宋" w:eastAsia="仿宋" w:cs="仿宋"/>
          <w:b/>
          <w:bCs/>
          <w:color w:val="auto"/>
          <w:sz w:val="28"/>
          <w:szCs w:val="28"/>
          <w:highlight w:val="none"/>
        </w:rPr>
      </w:pPr>
      <w:bookmarkStart w:id="102" w:name="_Toc2828"/>
      <w:bookmarkStart w:id="103" w:name="_Toc26997"/>
      <w:bookmarkStart w:id="104" w:name="_Toc5452"/>
      <w:bookmarkStart w:id="105" w:name="_Toc22634"/>
      <w:bookmarkStart w:id="106" w:name="_Toc24056"/>
      <w:bookmarkStart w:id="107" w:name="_Toc513029203"/>
      <w:bookmarkStart w:id="108" w:name="_Toc120614214"/>
      <w:bookmarkStart w:id="109" w:name="_Toc16938519"/>
      <w:bookmarkStart w:id="110" w:name="_Toc20823275"/>
      <w:r>
        <w:rPr>
          <w:rFonts w:hint="eastAsia" w:ascii="仿宋" w:hAnsi="仿宋" w:eastAsia="仿宋" w:cs="仿宋"/>
          <w:b/>
          <w:bCs/>
          <w:color w:val="auto"/>
          <w:sz w:val="28"/>
          <w:szCs w:val="28"/>
          <w:highlight w:val="none"/>
        </w:rPr>
        <w:t>投标人须知前附表</w:t>
      </w:r>
      <w:bookmarkEnd w:id="102"/>
      <w:bookmarkEnd w:id="103"/>
      <w:bookmarkEnd w:id="104"/>
      <w:bookmarkEnd w:id="105"/>
    </w:p>
    <w:tbl>
      <w:tblPr>
        <w:tblStyle w:val="34"/>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330"/>
        <w:gridCol w:w="6609"/>
      </w:tblGrid>
      <w:tr w14:paraId="6D207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BD97DEC">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330" w:type="dxa"/>
            <w:tcBorders>
              <w:top w:val="single" w:color="000000" w:sz="4" w:space="0"/>
              <w:left w:val="single" w:color="000000" w:sz="4" w:space="0"/>
              <w:bottom w:val="single" w:color="000000" w:sz="4" w:space="0"/>
              <w:right w:val="single" w:color="000000" w:sz="4" w:space="0"/>
            </w:tcBorders>
            <w:vAlign w:val="center"/>
          </w:tcPr>
          <w:p w14:paraId="62C6A75F">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  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73173C9F">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2F415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15BEB7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30" w:type="dxa"/>
            <w:tcBorders>
              <w:top w:val="single" w:color="000000" w:sz="4" w:space="0"/>
              <w:left w:val="single" w:color="000000" w:sz="4" w:space="0"/>
              <w:bottom w:val="single" w:color="000000" w:sz="4" w:space="0"/>
              <w:right w:val="single" w:color="000000" w:sz="4" w:space="0"/>
            </w:tcBorders>
            <w:vAlign w:val="center"/>
          </w:tcPr>
          <w:p w14:paraId="053037D9">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w:t>
            </w:r>
          </w:p>
        </w:tc>
        <w:tc>
          <w:tcPr>
            <w:tcW w:w="6609" w:type="dxa"/>
            <w:tcBorders>
              <w:top w:val="single" w:color="000000" w:sz="4" w:space="0"/>
              <w:left w:val="single" w:color="000000" w:sz="4" w:space="0"/>
              <w:bottom w:val="single" w:color="000000" w:sz="4" w:space="0"/>
              <w:right w:val="single" w:color="000000" w:sz="4" w:space="0"/>
            </w:tcBorders>
          </w:tcPr>
          <w:p w14:paraId="35C37BE6">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称：江苏省交通运输综合行政执法监督局</w:t>
            </w:r>
          </w:p>
          <w:p w14:paraId="18D76019">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址：南京市石鼓路69号交通大厦</w:t>
            </w:r>
          </w:p>
          <w:p w14:paraId="5D5C4E91">
            <w:pPr>
              <w:widowControl/>
              <w:spacing w:line="530" w:lineRule="exact"/>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rPr>
              <w:t>黄祥</w:t>
            </w:r>
            <w:r>
              <w:rPr>
                <w:rFonts w:ascii="仿宋" w:hAnsi="仿宋" w:eastAsia="仿宋" w:cs="仿宋"/>
                <w:color w:val="auto"/>
                <w:sz w:val="24"/>
                <w:szCs w:val="24"/>
                <w:highlight w:val="none"/>
              </w:rPr>
              <w:t>春</w:t>
            </w:r>
          </w:p>
          <w:p w14:paraId="1F22E240">
            <w:pPr>
              <w:widowControl/>
              <w:spacing w:line="530" w:lineRule="exact"/>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联系方式：025-84329620</w:t>
            </w:r>
          </w:p>
        </w:tc>
      </w:tr>
      <w:tr w14:paraId="2F079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7ECFB3F">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330" w:type="dxa"/>
            <w:tcBorders>
              <w:top w:val="single" w:color="000000" w:sz="4" w:space="0"/>
              <w:left w:val="single" w:color="000000" w:sz="4" w:space="0"/>
              <w:bottom w:val="single" w:color="000000" w:sz="4" w:space="0"/>
              <w:right w:val="single" w:color="000000" w:sz="4" w:space="0"/>
            </w:tcBorders>
            <w:vAlign w:val="center"/>
          </w:tcPr>
          <w:p w14:paraId="0682A864">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p>
        </w:tc>
        <w:tc>
          <w:tcPr>
            <w:tcW w:w="6609" w:type="dxa"/>
            <w:tcBorders>
              <w:top w:val="single" w:color="000000" w:sz="4" w:space="0"/>
              <w:left w:val="single" w:color="000000" w:sz="4" w:space="0"/>
              <w:bottom w:val="single" w:color="000000" w:sz="4" w:space="0"/>
              <w:right w:val="single" w:color="000000" w:sz="4" w:space="0"/>
            </w:tcBorders>
            <w:vAlign w:val="center"/>
          </w:tcPr>
          <w:p w14:paraId="5F61DF9C">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p>
          <w:p w14:paraId="3D9ADB79">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址：南京市建邺区奥体大街68号（新城科技园国际研发总部园）3幢6楼</w:t>
            </w:r>
          </w:p>
          <w:p w14:paraId="5C1BEC7C">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人：倪斌/张明立</w:t>
            </w:r>
          </w:p>
          <w:p w14:paraId="53615CC0">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联系方式：025-83370596-705</w:t>
            </w:r>
          </w:p>
        </w:tc>
      </w:tr>
      <w:tr w14:paraId="01EB6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F3EC8A6">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330" w:type="dxa"/>
            <w:tcBorders>
              <w:top w:val="single" w:color="000000" w:sz="4" w:space="0"/>
              <w:left w:val="single" w:color="000000" w:sz="4" w:space="0"/>
              <w:bottom w:val="single" w:color="000000" w:sz="4" w:space="0"/>
              <w:right w:val="single" w:color="000000" w:sz="4" w:space="0"/>
            </w:tcBorders>
            <w:vAlign w:val="center"/>
          </w:tcPr>
          <w:p w14:paraId="0D093AF0">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00734785">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道路运输新业态市场风险动态监测技术辅助服务</w:t>
            </w:r>
          </w:p>
        </w:tc>
      </w:tr>
      <w:tr w14:paraId="61A9E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D7A4E1B">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330" w:type="dxa"/>
            <w:tcBorders>
              <w:top w:val="single" w:color="000000" w:sz="4" w:space="0"/>
              <w:left w:val="single" w:color="000000" w:sz="4" w:space="0"/>
              <w:bottom w:val="single" w:color="000000" w:sz="4" w:space="0"/>
              <w:right w:val="single" w:color="000000" w:sz="4" w:space="0"/>
            </w:tcBorders>
            <w:vAlign w:val="center"/>
          </w:tcPr>
          <w:p w14:paraId="339733AB">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76A72C4C">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分包一：道路运输新业态市场运营风险监测分析辅助技术服务；</w:t>
            </w:r>
          </w:p>
          <w:p w14:paraId="26B159B5">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分包二：道路执法检查计划执行分析辅助技术服务。</w:t>
            </w:r>
          </w:p>
        </w:tc>
      </w:tr>
      <w:tr w14:paraId="7F57B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1274DAE">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330" w:type="dxa"/>
            <w:tcBorders>
              <w:top w:val="single" w:color="000000" w:sz="4" w:space="0"/>
              <w:left w:val="single" w:color="000000" w:sz="4" w:space="0"/>
              <w:bottom w:val="single" w:color="000000" w:sz="4" w:space="0"/>
              <w:right w:val="single" w:color="000000" w:sz="4" w:space="0"/>
            </w:tcBorders>
            <w:vAlign w:val="center"/>
          </w:tcPr>
          <w:p w14:paraId="3E84B952">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3CF5512F">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JSZC-320000-JSQC-G2026-0029</w:t>
            </w:r>
          </w:p>
        </w:tc>
      </w:tr>
      <w:tr w14:paraId="1ED0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88C9B6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330" w:type="dxa"/>
            <w:tcBorders>
              <w:top w:val="single" w:color="000000" w:sz="4" w:space="0"/>
              <w:left w:val="single" w:color="000000" w:sz="4" w:space="0"/>
              <w:bottom w:val="single" w:color="000000" w:sz="4" w:space="0"/>
              <w:right w:val="single" w:color="000000" w:sz="4" w:space="0"/>
            </w:tcBorders>
            <w:vAlign w:val="center"/>
          </w:tcPr>
          <w:p w14:paraId="2780819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预算总金额    （含税）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39249621">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rPr>
              <w:t>壹佰零伍万元</w:t>
            </w:r>
            <w:r>
              <w:rPr>
                <w:rFonts w:hint="eastAsia" w:ascii="仿宋" w:hAnsi="仿宋" w:eastAsia="仿宋" w:cs="仿宋"/>
                <w:color w:val="auto"/>
                <w:sz w:val="24"/>
                <w:szCs w:val="24"/>
                <w:highlight w:val="none"/>
              </w:rPr>
              <w:t>整（¥1,050,000.00）</w:t>
            </w:r>
          </w:p>
        </w:tc>
      </w:tr>
      <w:tr w14:paraId="4252B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6902E4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330" w:type="dxa"/>
            <w:tcBorders>
              <w:top w:val="single" w:color="000000" w:sz="4" w:space="0"/>
              <w:left w:val="single" w:color="000000" w:sz="4" w:space="0"/>
              <w:bottom w:val="single" w:color="000000" w:sz="4" w:space="0"/>
              <w:right w:val="single" w:color="000000" w:sz="4" w:space="0"/>
            </w:tcBorders>
            <w:vAlign w:val="center"/>
          </w:tcPr>
          <w:p w14:paraId="5B156F5D">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分包预算（含税）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67060AD7">
            <w:pPr>
              <w:widowControl/>
              <w:spacing w:line="53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分包一：</w:t>
            </w:r>
            <w:r>
              <w:rPr>
                <w:rFonts w:hint="eastAsia" w:ascii="仿宋" w:hAnsi="仿宋" w:eastAsia="仿宋" w:cs="仿宋"/>
                <w:color w:val="auto"/>
                <w:sz w:val="24"/>
                <w:szCs w:val="24"/>
                <w:highlight w:val="none"/>
              </w:rPr>
              <w:t>道路运输新业态市场运营风险监测分析辅助技术服务</w:t>
            </w:r>
            <w:r>
              <w:rPr>
                <w:rFonts w:ascii="仿宋" w:hAnsi="仿宋" w:eastAsia="仿宋" w:cs="仿宋"/>
                <w:color w:val="auto"/>
                <w:sz w:val="24"/>
                <w:szCs w:val="24"/>
                <w:highlight w:val="none"/>
              </w:rPr>
              <w:t>，预算金额为人民币72万元；</w:t>
            </w:r>
          </w:p>
          <w:p w14:paraId="7571B4B5">
            <w:pPr>
              <w:widowControl/>
              <w:spacing w:line="53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分包二：</w:t>
            </w:r>
            <w:r>
              <w:rPr>
                <w:rFonts w:hint="eastAsia" w:ascii="仿宋" w:hAnsi="仿宋" w:eastAsia="仿宋" w:cs="仿宋"/>
                <w:color w:val="auto"/>
                <w:sz w:val="24"/>
                <w:szCs w:val="24"/>
                <w:highlight w:val="none"/>
              </w:rPr>
              <w:t>道路执法检查计划执行分析辅助技术服务</w:t>
            </w:r>
            <w:r>
              <w:rPr>
                <w:rFonts w:ascii="仿宋" w:hAnsi="仿宋" w:eastAsia="仿宋" w:cs="仿宋"/>
                <w:color w:val="auto"/>
                <w:sz w:val="24"/>
                <w:szCs w:val="24"/>
                <w:highlight w:val="none"/>
              </w:rPr>
              <w:t>，预算金额为人民币33万元。</w:t>
            </w:r>
          </w:p>
        </w:tc>
      </w:tr>
      <w:tr w14:paraId="149AD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A195844">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330" w:type="dxa"/>
            <w:tcBorders>
              <w:top w:val="single" w:color="000000" w:sz="4" w:space="0"/>
              <w:left w:val="single" w:color="000000" w:sz="4" w:space="0"/>
              <w:bottom w:val="single" w:color="000000" w:sz="4" w:space="0"/>
              <w:right w:val="single" w:color="000000" w:sz="4" w:space="0"/>
            </w:tcBorders>
            <w:vAlign w:val="center"/>
          </w:tcPr>
          <w:p w14:paraId="78F2754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最高总限价    （含税）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3B53888C">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rPr>
              <w:t>壹佰零伍万元</w:t>
            </w:r>
            <w:r>
              <w:rPr>
                <w:rFonts w:hint="eastAsia" w:ascii="仿宋" w:hAnsi="仿宋" w:eastAsia="仿宋" w:cs="仿宋"/>
                <w:color w:val="auto"/>
                <w:sz w:val="24"/>
                <w:szCs w:val="24"/>
                <w:highlight w:val="none"/>
              </w:rPr>
              <w:t>整（¥1,050,000.00）</w:t>
            </w:r>
          </w:p>
        </w:tc>
      </w:tr>
      <w:tr w14:paraId="2E13D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A99D06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330" w:type="dxa"/>
            <w:tcBorders>
              <w:top w:val="single" w:color="000000" w:sz="4" w:space="0"/>
              <w:left w:val="single" w:color="000000" w:sz="4" w:space="0"/>
              <w:bottom w:val="single" w:color="000000" w:sz="4" w:space="0"/>
              <w:right w:val="single" w:color="000000" w:sz="4" w:space="0"/>
            </w:tcBorders>
            <w:vAlign w:val="center"/>
          </w:tcPr>
          <w:p w14:paraId="6E8D6035">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分包限价（含税）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587C63EC">
            <w:pPr>
              <w:widowControl/>
              <w:spacing w:line="53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分包一：</w:t>
            </w:r>
            <w:r>
              <w:rPr>
                <w:rFonts w:hint="eastAsia" w:ascii="仿宋" w:hAnsi="仿宋" w:eastAsia="仿宋" w:cs="仿宋"/>
                <w:color w:val="auto"/>
                <w:sz w:val="24"/>
                <w:szCs w:val="24"/>
                <w:highlight w:val="none"/>
              </w:rPr>
              <w:t>道路运输新业态市场运营风险监测分析辅助技术服务</w:t>
            </w:r>
            <w:r>
              <w:rPr>
                <w:rFonts w:ascii="仿宋" w:hAnsi="仿宋" w:eastAsia="仿宋" w:cs="仿宋"/>
                <w:color w:val="auto"/>
                <w:sz w:val="24"/>
                <w:szCs w:val="24"/>
                <w:highlight w:val="none"/>
              </w:rPr>
              <w:t>，预算金额为人民币72万元；</w:t>
            </w:r>
          </w:p>
          <w:p w14:paraId="15EDEA67">
            <w:pPr>
              <w:widowControl/>
              <w:spacing w:line="53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分包二：</w:t>
            </w:r>
            <w:r>
              <w:rPr>
                <w:rFonts w:hint="eastAsia" w:ascii="仿宋" w:hAnsi="仿宋" w:eastAsia="仿宋" w:cs="仿宋"/>
                <w:color w:val="auto"/>
                <w:sz w:val="24"/>
                <w:szCs w:val="24"/>
                <w:highlight w:val="none"/>
              </w:rPr>
              <w:t>道路执法检查计划执行分析辅助技术服务</w:t>
            </w:r>
            <w:r>
              <w:rPr>
                <w:rFonts w:ascii="仿宋" w:hAnsi="仿宋" w:eastAsia="仿宋" w:cs="仿宋"/>
                <w:color w:val="auto"/>
                <w:sz w:val="24"/>
                <w:szCs w:val="24"/>
                <w:highlight w:val="none"/>
              </w:rPr>
              <w:t>，预算金额为人民币33万元。</w:t>
            </w:r>
          </w:p>
        </w:tc>
      </w:tr>
      <w:tr w14:paraId="36D5E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C74A3F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330" w:type="dxa"/>
            <w:tcBorders>
              <w:top w:val="single" w:color="000000" w:sz="4" w:space="0"/>
              <w:left w:val="single" w:color="000000" w:sz="4" w:space="0"/>
              <w:bottom w:val="single" w:color="000000" w:sz="4" w:space="0"/>
              <w:right w:val="single" w:color="000000" w:sz="4" w:space="0"/>
            </w:tcBorders>
            <w:vAlign w:val="center"/>
          </w:tcPr>
          <w:p w14:paraId="2EE6AB5D">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05BC3517">
            <w:pPr>
              <w:widowControl/>
              <w:spacing w:line="53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江苏省。</w:t>
            </w:r>
          </w:p>
        </w:tc>
      </w:tr>
      <w:tr w14:paraId="75839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610E37A">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330" w:type="dxa"/>
            <w:tcBorders>
              <w:top w:val="single" w:color="000000" w:sz="4" w:space="0"/>
              <w:left w:val="single" w:color="000000" w:sz="4" w:space="0"/>
              <w:bottom w:val="single" w:color="000000" w:sz="4" w:space="0"/>
              <w:right w:val="single" w:color="000000" w:sz="4" w:space="0"/>
            </w:tcBorders>
            <w:vAlign w:val="center"/>
          </w:tcPr>
          <w:p w14:paraId="10BBB3D0">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现场勘查/集中答疑</w:t>
            </w:r>
          </w:p>
        </w:tc>
        <w:tc>
          <w:tcPr>
            <w:tcW w:w="6609" w:type="dxa"/>
            <w:tcBorders>
              <w:top w:val="single" w:color="000000" w:sz="4" w:space="0"/>
              <w:left w:val="single" w:color="000000" w:sz="4" w:space="0"/>
              <w:bottom w:val="single" w:color="000000" w:sz="4" w:space="0"/>
              <w:right w:val="single" w:color="000000" w:sz="4" w:space="0"/>
            </w:tcBorders>
            <w:vAlign w:val="center"/>
          </w:tcPr>
          <w:p w14:paraId="1EDC4B4E">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b/>
                <w:color w:val="auto"/>
                <w:sz w:val="24"/>
                <w:szCs w:val="24"/>
                <w:highlight w:val="none"/>
                <w:u w:val="single"/>
              </w:rPr>
              <w:t>不安排</w:t>
            </w:r>
            <w:r>
              <w:rPr>
                <w:rFonts w:hint="eastAsia" w:ascii="仿宋" w:hAnsi="仿宋" w:eastAsia="仿宋" w:cs="仿宋"/>
                <w:bCs/>
                <w:color w:val="auto"/>
                <w:sz w:val="24"/>
                <w:szCs w:val="24"/>
                <w:highlight w:val="none"/>
              </w:rPr>
              <w:t>现场勘查/</w:t>
            </w:r>
            <w:r>
              <w:rPr>
                <w:rFonts w:hint="eastAsia" w:ascii="仿宋" w:hAnsi="仿宋" w:eastAsia="仿宋" w:cs="仿宋"/>
                <w:color w:val="auto"/>
                <w:sz w:val="24"/>
                <w:szCs w:val="24"/>
                <w:highlight w:val="none"/>
              </w:rPr>
              <w:t>集中答疑。</w:t>
            </w:r>
          </w:p>
          <w:p w14:paraId="06A870E1">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司对投标文件进行的答疑、澄清或补充，将会以邮件的方式发送给投标人报名时预留的电子邮箱；更正公告将在“江苏政府采购网‘苏采云’系统”及时发布。该公告或澄清、补充、答疑等内容为投标文件的组成部分，对投标人具有同样约束力。投标人应主动接收邮件或上网查询，且采购人及采购代理机构不承担投标人未及时关注相关信息而引发的相关责任。</w:t>
            </w:r>
          </w:p>
        </w:tc>
      </w:tr>
      <w:tr w14:paraId="45B3B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AD36F9E">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2330" w:type="dxa"/>
            <w:tcBorders>
              <w:top w:val="single" w:color="000000" w:sz="4" w:space="0"/>
              <w:left w:val="single" w:color="000000" w:sz="4" w:space="0"/>
              <w:bottom w:val="single" w:color="000000" w:sz="4" w:space="0"/>
              <w:right w:val="single" w:color="000000" w:sz="4" w:space="0"/>
            </w:tcBorders>
            <w:vAlign w:val="center"/>
          </w:tcPr>
          <w:p w14:paraId="707401AE">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609" w:type="dxa"/>
            <w:tcBorders>
              <w:top w:val="single" w:color="000000" w:sz="4" w:space="0"/>
              <w:left w:val="single" w:color="000000" w:sz="4" w:space="0"/>
              <w:bottom w:val="single" w:color="000000" w:sz="4" w:space="0"/>
              <w:right w:val="single" w:color="000000" w:sz="4" w:space="0"/>
            </w:tcBorders>
            <w:vAlign w:val="center"/>
          </w:tcPr>
          <w:p w14:paraId="0A168C45">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无</w:t>
            </w:r>
          </w:p>
        </w:tc>
      </w:tr>
      <w:tr w14:paraId="1F0AF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D84E43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2330" w:type="dxa"/>
            <w:tcBorders>
              <w:top w:val="single" w:color="000000" w:sz="4" w:space="0"/>
              <w:left w:val="single" w:color="000000" w:sz="4" w:space="0"/>
              <w:bottom w:val="single" w:color="000000" w:sz="4" w:space="0"/>
              <w:right w:val="single" w:color="000000" w:sz="4" w:space="0"/>
            </w:tcBorders>
            <w:vAlign w:val="center"/>
          </w:tcPr>
          <w:p w14:paraId="676A17FF">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投标文件接收截止时间及地点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429F35EE">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截止时间：2026年08月</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日14:30</w:t>
            </w:r>
          </w:p>
          <w:p w14:paraId="18E451CC">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接收地点：江苏政府采购网“苏采云”系统</w:t>
            </w:r>
          </w:p>
        </w:tc>
      </w:tr>
      <w:tr w14:paraId="70526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6CBD64F">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330" w:type="dxa"/>
            <w:tcBorders>
              <w:top w:val="single" w:color="000000" w:sz="4" w:space="0"/>
              <w:left w:val="single" w:color="000000" w:sz="4" w:space="0"/>
              <w:bottom w:val="single" w:color="000000" w:sz="4" w:space="0"/>
              <w:right w:val="single" w:color="000000" w:sz="4" w:space="0"/>
            </w:tcBorders>
            <w:vAlign w:val="center"/>
          </w:tcPr>
          <w:p w14:paraId="2FB37BD1">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投标文件启封时间</w:t>
            </w:r>
          </w:p>
        </w:tc>
        <w:tc>
          <w:tcPr>
            <w:tcW w:w="6609" w:type="dxa"/>
            <w:tcBorders>
              <w:top w:val="single" w:color="000000" w:sz="4" w:space="0"/>
              <w:left w:val="single" w:color="000000" w:sz="4" w:space="0"/>
              <w:bottom w:val="single" w:color="000000" w:sz="4" w:space="0"/>
              <w:right w:val="single" w:color="000000" w:sz="4" w:space="0"/>
            </w:tcBorders>
            <w:vAlign w:val="center"/>
          </w:tcPr>
          <w:p w14:paraId="7D3BF16A">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时间：2026年08月</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日14:30</w:t>
            </w:r>
            <w:r>
              <w:rPr>
                <w:rFonts w:hint="eastAsia" w:ascii="仿宋" w:hAnsi="仿宋" w:eastAsia="仿宋" w:cs="仿宋"/>
                <w:color w:val="auto"/>
                <w:sz w:val="24"/>
                <w:szCs w:val="24"/>
                <w:highlight w:val="none"/>
              </w:rPr>
              <w:tab/>
            </w:r>
          </w:p>
          <w:p w14:paraId="435FF23F">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地点：江苏政府采购网“苏采云”系统</w:t>
            </w:r>
          </w:p>
        </w:tc>
      </w:tr>
      <w:tr w14:paraId="487DD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2D252254">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2330" w:type="dxa"/>
            <w:tcBorders>
              <w:top w:val="single" w:color="000000" w:sz="4" w:space="0"/>
              <w:left w:val="single" w:color="000000" w:sz="4" w:space="0"/>
              <w:bottom w:val="single" w:color="000000" w:sz="4" w:space="0"/>
              <w:right w:val="single" w:color="000000" w:sz="4" w:space="0"/>
            </w:tcBorders>
            <w:vAlign w:val="center"/>
          </w:tcPr>
          <w:p w14:paraId="18D14AA3">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w:t>
            </w:r>
          </w:p>
        </w:tc>
        <w:tc>
          <w:tcPr>
            <w:tcW w:w="6609" w:type="dxa"/>
            <w:tcBorders>
              <w:top w:val="single" w:color="000000" w:sz="4" w:space="0"/>
              <w:left w:val="single" w:color="000000" w:sz="4" w:space="0"/>
              <w:bottom w:val="single" w:color="000000" w:sz="4" w:space="0"/>
              <w:right w:val="single" w:color="000000" w:sz="4" w:space="0"/>
            </w:tcBorders>
            <w:vAlign w:val="center"/>
          </w:tcPr>
          <w:p w14:paraId="1338D636">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制作和提交投标文件时，可能需使用有效的CA数字证书和电子签章，按照《操作手册》要求对投标文件进行电子签章和加密，并在投标文件提交截止时间前在“江苏政府采购网‘苏采云’系统”内提交。供应商应充分考虑到网络环境、网络带宽等风险因素，如因供应商自身原因造成的电子投标文件上传不成功的做无效投标处理。</w:t>
            </w:r>
          </w:p>
        </w:tc>
      </w:tr>
      <w:tr w14:paraId="16B11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177A30E">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2330" w:type="dxa"/>
            <w:tcBorders>
              <w:top w:val="single" w:color="000000" w:sz="4" w:space="0"/>
              <w:left w:val="single" w:color="000000" w:sz="4" w:space="0"/>
              <w:bottom w:val="single" w:color="000000" w:sz="4" w:space="0"/>
              <w:right w:val="single" w:color="000000" w:sz="4" w:space="0"/>
            </w:tcBorders>
            <w:vAlign w:val="center"/>
          </w:tcPr>
          <w:p w14:paraId="421E6FEF">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6609" w:type="dxa"/>
            <w:tcBorders>
              <w:top w:val="single" w:color="000000" w:sz="4" w:space="0"/>
              <w:left w:val="single" w:color="000000" w:sz="4" w:space="0"/>
              <w:bottom w:val="single" w:color="000000" w:sz="4" w:space="0"/>
              <w:right w:val="single" w:color="000000" w:sz="4" w:space="0"/>
            </w:tcBorders>
            <w:vAlign w:val="center"/>
          </w:tcPr>
          <w:p w14:paraId="0797ADE0">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投标截止时间后六十天（60天）。</w:t>
            </w:r>
          </w:p>
        </w:tc>
      </w:tr>
      <w:tr w14:paraId="32C99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0D7F3DB">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2330" w:type="dxa"/>
            <w:tcBorders>
              <w:top w:val="single" w:color="000000" w:sz="4" w:space="0"/>
              <w:left w:val="single" w:color="000000" w:sz="4" w:space="0"/>
              <w:bottom w:val="single" w:color="000000" w:sz="4" w:space="0"/>
              <w:right w:val="single" w:color="000000" w:sz="4" w:space="0"/>
            </w:tcBorders>
            <w:vAlign w:val="center"/>
          </w:tcPr>
          <w:p w14:paraId="71059FBA">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是否专门面向中小企业采购项目</w:t>
            </w:r>
          </w:p>
        </w:tc>
        <w:tc>
          <w:tcPr>
            <w:tcW w:w="6609" w:type="dxa"/>
            <w:tcBorders>
              <w:top w:val="single" w:color="000000" w:sz="4" w:space="0"/>
              <w:left w:val="single" w:color="000000" w:sz="4" w:space="0"/>
              <w:bottom w:val="single" w:color="000000" w:sz="4" w:space="0"/>
              <w:right w:val="single" w:color="000000" w:sz="4" w:space="0"/>
            </w:tcBorders>
            <w:vAlign w:val="center"/>
          </w:tcPr>
          <w:p w14:paraId="77129977">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分包一：非专门面向中小企业采购项目。</w:t>
            </w:r>
          </w:p>
          <w:p w14:paraId="06EF92E3">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分包二：非专门面向中小企业采购项目。</w:t>
            </w:r>
          </w:p>
        </w:tc>
      </w:tr>
      <w:tr w14:paraId="70CF9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D012DB6">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2330" w:type="dxa"/>
            <w:tcBorders>
              <w:top w:val="single" w:color="000000" w:sz="4" w:space="0"/>
              <w:left w:val="single" w:color="000000" w:sz="4" w:space="0"/>
              <w:bottom w:val="single" w:color="000000" w:sz="4" w:space="0"/>
              <w:right w:val="single" w:color="000000" w:sz="4" w:space="0"/>
            </w:tcBorders>
            <w:vAlign w:val="center"/>
          </w:tcPr>
          <w:p w14:paraId="07DC5CF5">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项目所属行业及</w:t>
            </w:r>
          </w:p>
          <w:p w14:paraId="30424D3C">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划分标准</w:t>
            </w:r>
          </w:p>
        </w:tc>
        <w:tc>
          <w:tcPr>
            <w:tcW w:w="6609" w:type="dxa"/>
            <w:tcBorders>
              <w:top w:val="single" w:color="000000" w:sz="4" w:space="0"/>
              <w:left w:val="single" w:color="000000" w:sz="4" w:space="0"/>
              <w:bottom w:val="single" w:color="000000" w:sz="4" w:space="0"/>
              <w:right w:val="single" w:color="000000" w:sz="4" w:space="0"/>
            </w:tcBorders>
            <w:vAlign w:val="center"/>
          </w:tcPr>
          <w:p w14:paraId="51CE8625">
            <w:pPr>
              <w:widowControl/>
              <w:spacing w:line="530" w:lineRule="exact"/>
              <w:jc w:val="left"/>
              <w:rPr>
                <w:rFonts w:ascii="仿宋" w:hAnsi="仿宋" w:eastAsia="仿宋" w:cs="仿宋"/>
                <w:color w:val="auto"/>
                <w:sz w:val="24"/>
                <w:szCs w:val="24"/>
                <w:highlight w:val="none"/>
              </w:rPr>
            </w:pPr>
            <w:r>
              <w:rPr>
                <w:rFonts w:ascii="仿宋" w:hAnsi="仿宋" w:eastAsia="仿宋" w:cs="仿宋"/>
                <w:b/>
                <w:bCs/>
                <w:color w:val="auto"/>
                <w:sz w:val="24"/>
                <w:szCs w:val="24"/>
                <w:highlight w:val="none"/>
                <w:u w:val="single"/>
              </w:rPr>
              <w:t>其他未列明行业</w:t>
            </w:r>
            <w:r>
              <w:rPr>
                <w:rFonts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tc>
      </w:tr>
      <w:tr w14:paraId="79D72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19FC5DA">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330" w:type="dxa"/>
            <w:tcBorders>
              <w:top w:val="single" w:color="000000" w:sz="4" w:space="0"/>
              <w:left w:val="single" w:color="000000" w:sz="4" w:space="0"/>
              <w:bottom w:val="single" w:color="000000" w:sz="4" w:space="0"/>
              <w:right w:val="single" w:color="000000" w:sz="4" w:space="0"/>
            </w:tcBorders>
            <w:vAlign w:val="center"/>
          </w:tcPr>
          <w:p w14:paraId="27B06704">
            <w:pPr>
              <w:widowControl/>
              <w:spacing w:line="530" w:lineRule="exact"/>
              <w:jc w:val="lef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rPr>
              <w:t>支持本国产品</w:t>
            </w:r>
          </w:p>
        </w:tc>
        <w:tc>
          <w:tcPr>
            <w:tcW w:w="6609" w:type="dxa"/>
            <w:tcBorders>
              <w:top w:val="single" w:color="000000" w:sz="4" w:space="0"/>
              <w:left w:val="single" w:color="000000" w:sz="4" w:space="0"/>
              <w:bottom w:val="single" w:color="000000" w:sz="4" w:space="0"/>
              <w:right w:val="single" w:color="000000" w:sz="4" w:space="0"/>
            </w:tcBorders>
            <w:vAlign w:val="center"/>
          </w:tcPr>
          <w:p w14:paraId="7932117F">
            <w:pPr>
              <w:widowControl/>
              <w:spacing w:line="530" w:lineRule="exact"/>
              <w:jc w:val="left"/>
              <w:rPr>
                <w:rFonts w:hint="default" w:ascii="仿宋" w:hAnsi="仿宋" w:eastAsia="仿宋" w:cs="仿宋"/>
                <w:color w:val="auto"/>
                <w:sz w:val="24"/>
                <w:szCs w:val="24"/>
                <w:highlight w:val="none"/>
                <w:lang w:eastAsia="en-US"/>
              </w:rPr>
            </w:pPr>
            <w:r>
              <w:rPr>
                <w:rFonts w:hint="default" w:ascii="仿宋" w:hAnsi="仿宋" w:eastAsia="仿宋" w:cs="仿宋"/>
                <w:color w:val="auto"/>
                <w:sz w:val="24"/>
                <w:szCs w:val="24"/>
                <w:highlight w:val="none"/>
                <w:lang w:eastAsia="en-US"/>
              </w:rPr>
              <w:t>根据《国务院办公厅关于在政府采购中实施本国产品标准及相关政策的通知》（国办发〔2025〕34号），鼓励供应商提供本国产品参加本项目采购活动。</w:t>
            </w:r>
          </w:p>
          <w:p w14:paraId="7C0D602F">
            <w:pPr>
              <w:widowControl/>
              <w:spacing w:line="530" w:lineRule="exact"/>
              <w:jc w:val="left"/>
              <w:rPr>
                <w:rFonts w:hint="default" w:ascii="仿宋" w:hAnsi="仿宋" w:eastAsia="仿宋" w:cs="仿宋"/>
                <w:color w:val="auto"/>
                <w:sz w:val="24"/>
                <w:szCs w:val="24"/>
                <w:highlight w:val="none"/>
                <w:lang w:eastAsia="en-US"/>
              </w:rPr>
            </w:pPr>
            <w:r>
              <w:rPr>
                <w:rFonts w:hint="default" w:ascii="仿宋" w:hAnsi="仿宋" w:eastAsia="仿宋" w:cs="仿宋"/>
                <w:color w:val="auto"/>
                <w:sz w:val="24"/>
                <w:szCs w:val="24"/>
                <w:highlight w:val="none"/>
                <w:lang w:eastAsia="en-US"/>
              </w:rPr>
              <w:t>（1）既有本国产品又有非本国产品参与竞争的，对本国产品的报价给予20%的价格扣除，用扣除后的价格参与评审；</w:t>
            </w:r>
          </w:p>
          <w:p w14:paraId="7CF83BDC">
            <w:pPr>
              <w:widowControl/>
              <w:spacing w:line="530" w:lineRule="exact"/>
              <w:jc w:val="left"/>
              <w:rPr>
                <w:rFonts w:hint="default" w:ascii="仿宋" w:hAnsi="仿宋" w:eastAsia="仿宋" w:cs="仿宋"/>
                <w:color w:val="auto"/>
                <w:sz w:val="24"/>
                <w:szCs w:val="24"/>
                <w:highlight w:val="none"/>
                <w:lang w:eastAsia="en-US"/>
              </w:rPr>
            </w:pPr>
            <w:r>
              <w:rPr>
                <w:rFonts w:hint="default" w:ascii="仿宋" w:hAnsi="仿宋" w:eastAsia="仿宋" w:cs="仿宋"/>
                <w:color w:val="auto"/>
                <w:sz w:val="24"/>
                <w:szCs w:val="24"/>
                <w:highlight w:val="none"/>
                <w:lang w:eastAsia="en-US"/>
              </w:rPr>
              <w:t>（2）采购项目或采购包中含有多种产品，</w:t>
            </w:r>
            <w:r>
              <w:rPr>
                <w:rFonts w:hint="default" w:ascii="仿宋" w:hAnsi="仿宋" w:eastAsia="仿宋" w:cs="仿宋"/>
                <w:color w:val="auto"/>
                <w:sz w:val="24"/>
                <w:szCs w:val="24"/>
                <w:highlight w:val="none"/>
                <w:lang w:val="en-US" w:eastAsia="zh-CN"/>
              </w:rPr>
              <w:t>供应商</w:t>
            </w:r>
            <w:r>
              <w:rPr>
                <w:rFonts w:hint="default" w:ascii="仿宋" w:hAnsi="仿宋" w:eastAsia="仿宋" w:cs="仿宋"/>
                <w:color w:val="auto"/>
                <w:sz w:val="24"/>
                <w:szCs w:val="24"/>
                <w:highlight w:val="none"/>
                <w:lang w:eastAsia="en-US"/>
              </w:rPr>
              <w:t>提供的本国产品成本之和占该</w:t>
            </w:r>
            <w:r>
              <w:rPr>
                <w:rFonts w:hint="default" w:ascii="仿宋" w:hAnsi="仿宋" w:eastAsia="仿宋" w:cs="仿宋"/>
                <w:color w:val="auto"/>
                <w:sz w:val="24"/>
                <w:szCs w:val="24"/>
                <w:highlight w:val="none"/>
                <w:lang w:val="en-US" w:eastAsia="zh-CN"/>
              </w:rPr>
              <w:t>供应商</w:t>
            </w:r>
            <w:r>
              <w:rPr>
                <w:rFonts w:hint="default" w:ascii="仿宋" w:hAnsi="仿宋" w:eastAsia="仿宋" w:cs="仿宋"/>
                <w:color w:val="auto"/>
                <w:sz w:val="24"/>
                <w:szCs w:val="24"/>
                <w:highlight w:val="none"/>
                <w:lang w:eastAsia="en-US"/>
              </w:rPr>
              <w:t>提供的全部产品成本之和的比例达到80%以上时，对该</w:t>
            </w:r>
            <w:r>
              <w:rPr>
                <w:rFonts w:hint="default" w:ascii="仿宋" w:hAnsi="仿宋" w:eastAsia="仿宋" w:cs="仿宋"/>
                <w:color w:val="auto"/>
                <w:sz w:val="24"/>
                <w:szCs w:val="24"/>
                <w:highlight w:val="none"/>
                <w:lang w:val="en-US" w:eastAsia="zh-CN"/>
              </w:rPr>
              <w:t>供应商</w:t>
            </w:r>
            <w:r>
              <w:rPr>
                <w:rFonts w:hint="default" w:ascii="仿宋" w:hAnsi="仿宋" w:eastAsia="仿宋" w:cs="仿宋"/>
                <w:color w:val="auto"/>
                <w:sz w:val="24"/>
                <w:szCs w:val="24"/>
                <w:highlight w:val="none"/>
                <w:lang w:eastAsia="en-US"/>
              </w:rPr>
              <w:t>提供的全部产品的总报价给予20%的价格扣除，用扣除后的价格参与评审。</w:t>
            </w:r>
          </w:p>
          <w:p w14:paraId="685E02DA">
            <w:pPr>
              <w:widowControl/>
              <w:spacing w:line="530" w:lineRule="exact"/>
              <w:jc w:val="left"/>
              <w:rPr>
                <w:rFonts w:hint="default" w:ascii="仿宋" w:hAnsi="仿宋" w:eastAsia="仿宋" w:cs="仿宋"/>
                <w:color w:val="auto"/>
                <w:sz w:val="24"/>
                <w:szCs w:val="24"/>
                <w:highlight w:val="none"/>
                <w:lang w:eastAsia="en-US"/>
              </w:rPr>
            </w:pPr>
            <w:r>
              <w:rPr>
                <w:rFonts w:hint="default" w:ascii="仿宋" w:hAnsi="仿宋" w:eastAsia="仿宋" w:cs="仿宋"/>
                <w:color w:val="auto"/>
                <w:sz w:val="24"/>
                <w:szCs w:val="24"/>
                <w:highlight w:val="none"/>
                <w:lang w:eastAsia="en-US"/>
              </w:rPr>
              <w:t>评审中需对供应商出具的《关于符合本国产品标准的声明函》进行审查，审查要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p>
          <w:p w14:paraId="1BCCF036">
            <w:pPr>
              <w:widowControl/>
              <w:spacing w:line="530" w:lineRule="exact"/>
              <w:jc w:val="left"/>
              <w:rPr>
                <w:rFonts w:ascii="仿宋" w:hAnsi="仿宋" w:eastAsia="仿宋" w:cs="仿宋"/>
                <w:color w:val="auto"/>
                <w:sz w:val="24"/>
                <w:szCs w:val="24"/>
                <w:highlight w:val="none"/>
              </w:rPr>
            </w:pPr>
            <w:r>
              <w:rPr>
                <w:rFonts w:hint="default" w:ascii="仿宋" w:hAnsi="仿宋" w:eastAsia="仿宋" w:cs="仿宋"/>
                <w:b/>
                <w:bCs/>
                <w:color w:val="auto"/>
                <w:sz w:val="24"/>
                <w:szCs w:val="24"/>
                <w:highlight w:val="none"/>
                <w:lang w:eastAsia="zh-CN"/>
              </w:rPr>
              <w:t>本项目</w:t>
            </w:r>
            <w:r>
              <w:rPr>
                <w:rFonts w:hint="default" w:ascii="仿宋" w:hAnsi="仿宋" w:eastAsia="仿宋" w:cs="仿宋"/>
                <w:b/>
                <w:bCs/>
                <w:color w:val="auto"/>
                <w:sz w:val="24"/>
                <w:szCs w:val="24"/>
                <w:highlight w:val="none"/>
              </w:rPr>
              <w:t>不属于《国务院办公厅关于在政府采购中实施本国产品标准及相关</w:t>
            </w:r>
            <w:bookmarkStart w:id="402" w:name="_GoBack"/>
            <w:bookmarkEnd w:id="402"/>
            <w:r>
              <w:rPr>
                <w:rFonts w:hint="default" w:ascii="仿宋" w:hAnsi="仿宋" w:eastAsia="仿宋" w:cs="仿宋"/>
                <w:b/>
                <w:bCs/>
                <w:color w:val="auto"/>
                <w:sz w:val="24"/>
                <w:szCs w:val="24"/>
                <w:highlight w:val="none"/>
              </w:rPr>
              <w:t>政策的通知》的适用范围</w:t>
            </w:r>
            <w:r>
              <w:rPr>
                <w:rFonts w:hint="default" w:ascii="仿宋" w:hAnsi="仿宋" w:eastAsia="仿宋" w:cs="仿宋"/>
                <w:b/>
                <w:bCs/>
                <w:color w:val="auto"/>
                <w:sz w:val="24"/>
                <w:szCs w:val="24"/>
                <w:highlight w:val="none"/>
                <w:lang w:eastAsia="zh-CN"/>
              </w:rPr>
              <w:t>。</w:t>
            </w:r>
          </w:p>
        </w:tc>
      </w:tr>
      <w:tr w14:paraId="06B0F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148E9D6">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330" w:type="dxa"/>
            <w:tcBorders>
              <w:top w:val="single" w:color="000000" w:sz="4" w:space="0"/>
              <w:left w:val="single" w:color="000000" w:sz="4" w:space="0"/>
              <w:bottom w:val="single" w:color="000000" w:sz="4" w:space="0"/>
              <w:right w:val="single" w:color="000000" w:sz="4" w:space="0"/>
            </w:tcBorders>
            <w:vAlign w:val="center"/>
          </w:tcPr>
          <w:p w14:paraId="63E79E6D">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w:t>
            </w:r>
          </w:p>
        </w:tc>
        <w:tc>
          <w:tcPr>
            <w:tcW w:w="6609" w:type="dxa"/>
            <w:tcBorders>
              <w:top w:val="single" w:color="000000" w:sz="4" w:space="0"/>
              <w:left w:val="single" w:color="000000" w:sz="4" w:space="0"/>
              <w:bottom w:val="single" w:color="000000" w:sz="4" w:space="0"/>
              <w:right w:val="single" w:color="000000" w:sz="4" w:space="0"/>
            </w:tcBorders>
            <w:vAlign w:val="center"/>
          </w:tcPr>
          <w:p w14:paraId="7483C8A1">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本项目采购预算已包含政府采购代理服务费，代理服务费由中标供应商承担并支付。</w:t>
            </w:r>
          </w:p>
          <w:p w14:paraId="3CACAE2F">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代理服务费由中标供应商在领取中标通知书前向招标代理机构一次性支付，中标供应商凭《中标通知书》与采购方签订合同。</w:t>
            </w:r>
          </w:p>
          <w:p w14:paraId="0B2D7BA0">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付款形式：网上银行转账或银行电汇（不接受其他形式），并在转账或电汇时，备注“11G+代理费”字样。</w:t>
            </w:r>
          </w:p>
          <w:p w14:paraId="652A0039">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收费标准：按照《江苏省政府采购代理服务收费指导意见》（苏政采协〔2024〕20号）规定执行。此项费用不单独开列而应计入投标价。</w:t>
            </w:r>
          </w:p>
        </w:tc>
      </w:tr>
    </w:tbl>
    <w:p w14:paraId="00A3FB88">
      <w:pPr>
        <w:pStyle w:val="193"/>
        <w:spacing w:before="0" w:after="0" w:line="360" w:lineRule="auto"/>
        <w:ind w:firstLine="498"/>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111" w:name="_Toc14736"/>
      <w:bookmarkStart w:id="112" w:name="_Toc1000"/>
      <w:r>
        <w:rPr>
          <w:rFonts w:hint="eastAsia" w:ascii="仿宋" w:hAnsi="仿宋" w:eastAsia="仿宋" w:cs="仿宋"/>
          <w:color w:val="auto"/>
          <w:highlight w:val="none"/>
        </w:rPr>
        <w:t>一、总则</w:t>
      </w:r>
      <w:bookmarkEnd w:id="106"/>
      <w:bookmarkEnd w:id="107"/>
      <w:bookmarkEnd w:id="108"/>
      <w:bookmarkEnd w:id="109"/>
      <w:bookmarkEnd w:id="110"/>
      <w:bookmarkEnd w:id="111"/>
      <w:bookmarkEnd w:id="112"/>
    </w:p>
    <w:p w14:paraId="79E406AF">
      <w:pPr>
        <w:pStyle w:val="195"/>
        <w:spacing w:before="0" w:after="0" w:line="240" w:lineRule="auto"/>
        <w:ind w:firstLine="361"/>
        <w:rPr>
          <w:rFonts w:ascii="仿宋" w:hAnsi="仿宋" w:eastAsia="仿宋" w:cs="仿宋"/>
          <w:color w:val="auto"/>
          <w:sz w:val="24"/>
          <w:szCs w:val="24"/>
          <w:highlight w:val="none"/>
        </w:rPr>
      </w:pPr>
      <w:bookmarkStart w:id="113" w:name="_Hlt16619475"/>
      <w:bookmarkEnd w:id="113"/>
      <w:bookmarkStart w:id="114" w:name="_Toc458694821"/>
      <w:bookmarkStart w:id="115" w:name="_Toc20823276"/>
      <w:bookmarkStart w:id="116" w:name="_Toc16938520"/>
      <w:bookmarkStart w:id="117" w:name="_Toc513029204"/>
      <w:r>
        <w:rPr>
          <w:rFonts w:hint="eastAsia" w:ascii="仿宋" w:hAnsi="仿宋" w:eastAsia="仿宋" w:cs="仿宋"/>
          <w:color w:val="auto"/>
          <w:sz w:val="24"/>
          <w:szCs w:val="24"/>
          <w:highlight w:val="none"/>
        </w:rPr>
        <w:t>1</w:t>
      </w:r>
      <w:bookmarkEnd w:id="114"/>
      <w:r>
        <w:rPr>
          <w:rFonts w:hint="eastAsia" w:ascii="仿宋" w:hAnsi="仿宋" w:eastAsia="仿宋" w:cs="仿宋"/>
          <w:color w:val="auto"/>
          <w:sz w:val="24"/>
          <w:szCs w:val="24"/>
          <w:highlight w:val="none"/>
        </w:rPr>
        <w:t>.招标方式</w:t>
      </w:r>
      <w:bookmarkEnd w:id="115"/>
      <w:bookmarkEnd w:id="116"/>
      <w:bookmarkEnd w:id="117"/>
    </w:p>
    <w:p w14:paraId="50CB0D42">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rPr>
        <w:t>1.1 本次招标采取公开招标方式，本招标文件仅适用于招标公告中所述项目。</w:t>
      </w:r>
    </w:p>
    <w:p w14:paraId="68F74D58">
      <w:pPr>
        <w:pStyle w:val="195"/>
        <w:spacing w:before="0" w:after="0" w:line="240" w:lineRule="auto"/>
        <w:ind w:firstLine="361"/>
        <w:rPr>
          <w:rFonts w:ascii="仿宋" w:hAnsi="仿宋" w:eastAsia="仿宋" w:cs="仿宋"/>
          <w:color w:val="auto"/>
          <w:sz w:val="24"/>
          <w:szCs w:val="24"/>
          <w:highlight w:val="none"/>
        </w:rPr>
      </w:pPr>
      <w:bookmarkStart w:id="118" w:name="_Toc20823277"/>
      <w:bookmarkStart w:id="119" w:name="_Toc16938521"/>
      <w:bookmarkStart w:id="120" w:name="_Toc513029205"/>
      <w:r>
        <w:rPr>
          <w:rFonts w:hint="eastAsia" w:ascii="仿宋" w:hAnsi="仿宋" w:eastAsia="仿宋" w:cs="仿宋"/>
          <w:color w:val="auto"/>
          <w:sz w:val="24"/>
          <w:szCs w:val="24"/>
          <w:highlight w:val="none"/>
        </w:rPr>
        <w:t>2.合格的投标人</w:t>
      </w:r>
      <w:bookmarkEnd w:id="118"/>
      <w:bookmarkEnd w:id="119"/>
      <w:bookmarkEnd w:id="120"/>
    </w:p>
    <w:p w14:paraId="5DC7D4B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2.1 满足招标公告中供应商的资格要求的规定。</w:t>
      </w:r>
    </w:p>
    <w:p w14:paraId="1638CF3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2.2 满足本文件实质性条款的规定。</w:t>
      </w:r>
      <w:bookmarkStart w:id="121" w:name="_Toc513029206"/>
      <w:bookmarkStart w:id="122" w:name="_Toc16938522"/>
      <w:bookmarkStart w:id="123" w:name="_Toc20823278"/>
    </w:p>
    <w:p w14:paraId="330469B0">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3.适用法律</w:t>
      </w:r>
      <w:bookmarkEnd w:id="121"/>
      <w:bookmarkEnd w:id="122"/>
      <w:bookmarkEnd w:id="123"/>
    </w:p>
    <w:p w14:paraId="12151AA6">
      <w:pPr>
        <w:spacing w:line="288" w:lineRule="auto"/>
        <w:ind w:firstLine="440"/>
        <w:rPr>
          <w:rFonts w:ascii="仿宋" w:hAnsi="仿宋" w:eastAsia="仿宋" w:cs="仿宋"/>
          <w:color w:val="auto"/>
          <w:sz w:val="22"/>
          <w:szCs w:val="22"/>
          <w:highlight w:val="none"/>
        </w:rPr>
      </w:pPr>
      <w:bookmarkStart w:id="124" w:name="_Toc513029207"/>
      <w:bookmarkStart w:id="125" w:name="_Toc462564067"/>
      <w:bookmarkStart w:id="126" w:name="_Toc20823279"/>
      <w:bookmarkStart w:id="127" w:name="_Toc16938523"/>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《中华人民共和国政府采购法》《中华人民共和国政府采购法实施条例》《政府采购货物和服务招标投标管理办法》等有关法律、规章和规定等。</w:t>
      </w:r>
    </w:p>
    <w:p w14:paraId="21ADAACF">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4.政策功能</w:t>
      </w:r>
    </w:p>
    <w:p w14:paraId="3E09195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4.1 政府采购促进中小企业发展，在政府采购活动中，供应商提供的服务符合下列情形的，享受中小企业扶持政策：</w:t>
      </w:r>
    </w:p>
    <w:p w14:paraId="13DE29E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（1）在服务采购项目中，服务由中小企业承接，即提供服务的人员为中小企业依照《中华人民共和国劳动合同法》订立劳动合同的从业人员。</w:t>
      </w:r>
    </w:p>
    <w:p w14:paraId="01B462C8">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（2）以联合体形式参加政府采购活动，联合体各方均为中小企业的，联合体视同中小企业。其中，联合体各方均为小微企业的，联合体视同小微企业。</w:t>
      </w:r>
    </w:p>
    <w:p w14:paraId="10098E9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（3）中小企业供应商参加政府采购活动，应当出具《中小企业声明函》（格式见后附件），否则不得享受相关中小企业扶持政策。</w:t>
      </w:r>
    </w:p>
    <w:p w14:paraId="44725CB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DC5413D">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285B113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4BF8564">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5DB8F90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4.5 提供的产品属于信息安全产品的，供应商应当选择经国家认证的信息安全产品投标，并提供由中国信息安全认证中心按国家标准认证颁发的有效认证证书扫描件。</w:t>
      </w:r>
    </w:p>
    <w:p w14:paraId="634AB278">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4.6 提供的产品属于政府强制采购节能产品的，供应商应当选择依据国家标准中二级能效 （水效）指标认证的节能产品投标，并提供有效的节能产品认证证书扫描件。</w:t>
      </w:r>
    </w:p>
    <w:p w14:paraId="5C2A4E8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4.7 提供的产品属于环境标志产品的，供应商应当选择依据相关标准的最新版本认证的环境标志产品投标，并提供有效的环境标志产品认证证书扫描件。</w:t>
      </w:r>
    </w:p>
    <w:p w14:paraId="5B7D7B0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4.8未按要求提供相关材料的，不享受相关政策。</w:t>
      </w:r>
    </w:p>
    <w:p w14:paraId="49B0B50B">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5.投标费用</w:t>
      </w:r>
      <w:bookmarkEnd w:id="124"/>
      <w:bookmarkEnd w:id="125"/>
      <w:bookmarkEnd w:id="126"/>
      <w:bookmarkEnd w:id="127"/>
    </w:p>
    <w:p w14:paraId="615F987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5.1 投标人应自行承担所有与参加投标有关的费用，无论投标过程中的做法和结果如何，江苏柒采招标代理有限公司（以下简称招标代理）在任何情况下均无义务和责任承担这些费用。</w:t>
      </w:r>
    </w:p>
    <w:p w14:paraId="25821994">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5.2本项目收取政府采购代理服务费，具体详见第一章 投标邀请及第二章 投标人须知前附表。 </w:t>
      </w:r>
    </w:p>
    <w:p w14:paraId="4D775BD4">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6.招标文件的约束力</w:t>
      </w:r>
    </w:p>
    <w:p w14:paraId="6EDD060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6.1 投标人一旦参加本项目采购活动，即被认为接受了本招标文件的规定和约束。</w:t>
      </w:r>
    </w:p>
    <w:p w14:paraId="3A071DFC">
      <w:pPr>
        <w:pStyle w:val="193"/>
        <w:spacing w:before="0" w:after="0" w:line="360" w:lineRule="auto"/>
        <w:ind w:firstLine="498"/>
        <w:rPr>
          <w:rFonts w:ascii="仿宋" w:hAnsi="仿宋" w:eastAsia="仿宋" w:cs="仿宋"/>
          <w:color w:val="auto"/>
          <w:highlight w:val="none"/>
        </w:rPr>
      </w:pPr>
      <w:bookmarkStart w:id="128" w:name="_Toc11598"/>
      <w:bookmarkStart w:id="129" w:name="_Toc28433"/>
      <w:bookmarkStart w:id="130" w:name="_Toc20823281"/>
      <w:bookmarkStart w:id="131" w:name="_Toc29366"/>
      <w:bookmarkStart w:id="132" w:name="_Toc120614215"/>
      <w:bookmarkStart w:id="133" w:name="_Toc513029209"/>
      <w:bookmarkStart w:id="134" w:name="_Toc16938525"/>
      <w:r>
        <w:rPr>
          <w:rFonts w:hint="eastAsia" w:ascii="仿宋" w:hAnsi="仿宋" w:eastAsia="仿宋" w:cs="仿宋"/>
          <w:color w:val="auto"/>
          <w:highlight w:val="none"/>
        </w:rPr>
        <w:t>二、招标文件</w:t>
      </w:r>
      <w:bookmarkEnd w:id="128"/>
      <w:bookmarkEnd w:id="129"/>
      <w:bookmarkEnd w:id="130"/>
      <w:bookmarkEnd w:id="131"/>
      <w:bookmarkEnd w:id="132"/>
      <w:bookmarkEnd w:id="133"/>
      <w:bookmarkEnd w:id="134"/>
    </w:p>
    <w:p w14:paraId="30323171">
      <w:pPr>
        <w:pStyle w:val="195"/>
        <w:spacing w:before="0" w:after="0" w:line="240" w:lineRule="auto"/>
        <w:ind w:firstLine="361"/>
        <w:rPr>
          <w:rFonts w:ascii="仿宋" w:hAnsi="仿宋" w:eastAsia="仿宋" w:cs="仿宋"/>
          <w:color w:val="auto"/>
          <w:sz w:val="24"/>
          <w:szCs w:val="24"/>
          <w:highlight w:val="none"/>
        </w:rPr>
      </w:pPr>
      <w:bookmarkStart w:id="135" w:name="_Toc20823282"/>
      <w:bookmarkStart w:id="136" w:name="_Toc513029210"/>
      <w:bookmarkStart w:id="137" w:name="_Toc16938526"/>
      <w:r>
        <w:rPr>
          <w:rFonts w:hint="eastAsia" w:ascii="仿宋" w:hAnsi="仿宋" w:eastAsia="仿宋" w:cs="仿宋"/>
          <w:color w:val="auto"/>
          <w:sz w:val="24"/>
          <w:szCs w:val="24"/>
          <w:highlight w:val="none"/>
        </w:rPr>
        <w:t>7.招标文件构成</w:t>
      </w:r>
      <w:bookmarkEnd w:id="135"/>
      <w:bookmarkEnd w:id="136"/>
      <w:bookmarkEnd w:id="137"/>
    </w:p>
    <w:p w14:paraId="32E1D66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7.1 招标文件由以下部分组成：</w:t>
      </w:r>
    </w:p>
    <w:p w14:paraId="342B4DF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（1）投标邀请</w:t>
      </w:r>
    </w:p>
    <w:p w14:paraId="0D16B67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（2）投标人须知</w:t>
      </w:r>
    </w:p>
    <w:p w14:paraId="32A81DE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（3）合同文本</w:t>
      </w:r>
    </w:p>
    <w:p w14:paraId="44BD30E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（4）项目需求</w:t>
      </w:r>
    </w:p>
    <w:p w14:paraId="201B9864">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（5）评标方法与评标标准</w:t>
      </w:r>
    </w:p>
    <w:p w14:paraId="737A09E4">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（6）投标文件格式</w:t>
      </w:r>
    </w:p>
    <w:p w14:paraId="7AD4289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请仔细检查招标文件是否齐全，如有缺漏请立即与招标代理联系解决。</w:t>
      </w:r>
    </w:p>
    <w:p w14:paraId="048513A5">
      <w:pPr>
        <w:spacing w:line="288" w:lineRule="auto"/>
        <w:ind w:firstLine="440"/>
        <w:rPr>
          <w:rFonts w:ascii="仿宋" w:hAnsi="仿宋" w:eastAsia="仿宋" w:cs="仿宋"/>
          <w:color w:val="auto"/>
          <w:sz w:val="24"/>
          <w:highlight w:val="none"/>
        </w:rPr>
      </w:pPr>
      <w:r>
        <w:rPr>
          <w:rFonts w:hint="eastAsia" w:ascii="仿宋" w:hAnsi="仿宋" w:eastAsia="仿宋" w:cs="仿宋"/>
          <w:color w:val="auto"/>
          <w:sz w:val="22"/>
          <w:szCs w:val="22"/>
          <w:highlight w:val="none"/>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E59B28D">
      <w:pPr>
        <w:pStyle w:val="195"/>
        <w:spacing w:before="0" w:after="0" w:line="240" w:lineRule="auto"/>
        <w:ind w:firstLine="361"/>
        <w:rPr>
          <w:rFonts w:ascii="仿宋" w:hAnsi="仿宋" w:eastAsia="仿宋" w:cs="仿宋"/>
          <w:color w:val="auto"/>
          <w:sz w:val="24"/>
          <w:szCs w:val="24"/>
          <w:highlight w:val="none"/>
        </w:rPr>
      </w:pPr>
      <w:bookmarkStart w:id="138" w:name="_Toc20823283"/>
      <w:bookmarkStart w:id="139" w:name="_Toc513029211"/>
      <w:bookmarkStart w:id="140" w:name="_Toc462564070"/>
      <w:bookmarkStart w:id="141" w:name="_Toc16938527"/>
      <w:r>
        <w:rPr>
          <w:rFonts w:hint="eastAsia" w:ascii="仿宋" w:hAnsi="仿宋" w:eastAsia="仿宋" w:cs="仿宋"/>
          <w:color w:val="auto"/>
          <w:sz w:val="24"/>
          <w:szCs w:val="24"/>
          <w:highlight w:val="none"/>
        </w:rPr>
        <w:t>8.招标文件的澄清</w:t>
      </w:r>
      <w:bookmarkEnd w:id="138"/>
      <w:bookmarkEnd w:id="139"/>
      <w:bookmarkEnd w:id="140"/>
      <w:bookmarkEnd w:id="141"/>
    </w:p>
    <w:p w14:paraId="70569FDC">
      <w:pPr>
        <w:spacing w:line="288" w:lineRule="auto"/>
        <w:ind w:firstLine="440"/>
        <w:rPr>
          <w:rFonts w:ascii="仿宋" w:hAnsi="仿宋" w:eastAsia="仿宋" w:cs="仿宋"/>
          <w:color w:val="auto"/>
          <w:sz w:val="22"/>
          <w:szCs w:val="22"/>
          <w:highlight w:val="none"/>
        </w:rPr>
      </w:pPr>
      <w:bookmarkStart w:id="142" w:name="_Toc513029212"/>
      <w:bookmarkStart w:id="143" w:name="_Toc16938528"/>
      <w:bookmarkStart w:id="144" w:name="_Toc462564071"/>
      <w:bookmarkStart w:id="145" w:name="_Toc20823284"/>
      <w:r>
        <w:rPr>
          <w:rFonts w:hint="eastAsia" w:ascii="仿宋" w:hAnsi="仿宋" w:eastAsia="仿宋" w:cs="仿宋"/>
          <w:color w:val="auto"/>
          <w:sz w:val="22"/>
          <w:szCs w:val="22"/>
          <w:highlight w:val="none"/>
        </w:rPr>
        <w:t>8.1 任何要求需要对招标文件内容进行澄清的投标人，应在投标截止时间前按招标公告中的联系方式、通讯地址，以书面形式通知招标代理机构。</w:t>
      </w:r>
    </w:p>
    <w:p w14:paraId="1BE3AB9B">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9.招标文件的修改</w:t>
      </w:r>
      <w:bookmarkEnd w:id="142"/>
      <w:bookmarkEnd w:id="143"/>
      <w:bookmarkEnd w:id="144"/>
      <w:bookmarkEnd w:id="145"/>
    </w:p>
    <w:p w14:paraId="19C7A3B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9.1 在投标截止时间之前，招标代理可以对招标文件进行修改。</w:t>
      </w:r>
    </w:p>
    <w:p w14:paraId="4FAF6CA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9.2 招标代理有权按照法定的要求推迟投标截止日期和开标日期。</w:t>
      </w:r>
    </w:p>
    <w:p w14:paraId="6181EA5B">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9.3 招标文件的修改将在“江苏政府采购网‘苏采云’系统”</w:t>
      </w:r>
      <w:r>
        <w:rPr>
          <w:rFonts w:hint="eastAsia" w:ascii="仿宋" w:hAnsi="仿宋" w:eastAsia="仿宋" w:cs="仿宋"/>
          <w:color w:val="auto"/>
          <w:sz w:val="24"/>
          <w:highlight w:val="none"/>
        </w:rPr>
        <w:t>公布，</w:t>
      </w:r>
      <w:r>
        <w:rPr>
          <w:rFonts w:hint="eastAsia" w:ascii="仿宋" w:hAnsi="仿宋" w:eastAsia="仿宋" w:cs="仿宋"/>
          <w:color w:val="auto"/>
          <w:sz w:val="22"/>
          <w:szCs w:val="22"/>
          <w:highlight w:val="none"/>
        </w:rPr>
        <w:t>补充文件将作为招标文件的组成部分，并对投标人具有约束力。</w:t>
      </w:r>
    </w:p>
    <w:p w14:paraId="1FE5F5C3">
      <w:pPr>
        <w:pStyle w:val="193"/>
        <w:spacing w:before="0" w:after="0" w:line="360" w:lineRule="auto"/>
        <w:ind w:firstLine="498"/>
        <w:rPr>
          <w:rFonts w:ascii="仿宋" w:hAnsi="仿宋" w:eastAsia="仿宋" w:cs="仿宋"/>
          <w:color w:val="auto"/>
          <w:highlight w:val="none"/>
        </w:rPr>
      </w:pPr>
      <w:bookmarkStart w:id="146" w:name="_Toc16938529"/>
      <w:bookmarkStart w:id="147" w:name="_Toc20976"/>
      <w:bookmarkStart w:id="148" w:name="_Toc20823285"/>
      <w:bookmarkStart w:id="149" w:name="_Toc462564072"/>
      <w:bookmarkStart w:id="150" w:name="_Toc26352"/>
      <w:bookmarkStart w:id="151" w:name="_Toc120614216"/>
      <w:bookmarkStart w:id="152" w:name="_Toc31007"/>
      <w:bookmarkStart w:id="153" w:name="_Toc513029213"/>
      <w:r>
        <w:rPr>
          <w:rFonts w:hint="eastAsia" w:ascii="仿宋" w:hAnsi="仿宋" w:eastAsia="仿宋" w:cs="仿宋"/>
          <w:color w:val="auto"/>
          <w:highlight w:val="none"/>
        </w:rPr>
        <w:t>三、投标文件的编制</w:t>
      </w:r>
      <w:bookmarkEnd w:id="146"/>
      <w:bookmarkEnd w:id="147"/>
      <w:bookmarkEnd w:id="148"/>
      <w:bookmarkEnd w:id="149"/>
      <w:bookmarkEnd w:id="150"/>
      <w:bookmarkEnd w:id="151"/>
      <w:bookmarkEnd w:id="152"/>
      <w:bookmarkEnd w:id="153"/>
    </w:p>
    <w:p w14:paraId="6212FC02">
      <w:pPr>
        <w:pStyle w:val="195"/>
        <w:spacing w:before="0" w:after="0" w:line="240" w:lineRule="auto"/>
        <w:ind w:firstLine="361"/>
        <w:rPr>
          <w:rFonts w:ascii="仿宋" w:hAnsi="仿宋" w:eastAsia="仿宋" w:cs="仿宋"/>
          <w:color w:val="auto"/>
          <w:sz w:val="24"/>
          <w:szCs w:val="24"/>
          <w:highlight w:val="none"/>
        </w:rPr>
      </w:pPr>
      <w:bookmarkStart w:id="154" w:name="_Toc462564073"/>
      <w:bookmarkStart w:id="155" w:name="_Toc16938530"/>
      <w:bookmarkStart w:id="156" w:name="_Toc20823286"/>
      <w:bookmarkStart w:id="157" w:name="_Toc513029214"/>
      <w:r>
        <w:rPr>
          <w:rFonts w:hint="eastAsia" w:ascii="仿宋" w:hAnsi="仿宋" w:eastAsia="仿宋" w:cs="仿宋"/>
          <w:color w:val="auto"/>
          <w:sz w:val="24"/>
          <w:szCs w:val="24"/>
          <w:highlight w:val="none"/>
        </w:rPr>
        <w:t>10.投标文件的语言及度量衡单位</w:t>
      </w:r>
      <w:bookmarkEnd w:id="154"/>
      <w:bookmarkEnd w:id="155"/>
      <w:bookmarkEnd w:id="156"/>
      <w:bookmarkEnd w:id="157"/>
    </w:p>
    <w:p w14:paraId="407B50E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10.1 投标人提交的投标文件以及投标人与招标代理就有关投标的所有来往通知、函件和文件均应</w:t>
      </w:r>
      <w:r>
        <w:rPr>
          <w:rFonts w:hint="eastAsia" w:ascii="仿宋" w:hAnsi="仿宋" w:eastAsia="仿宋" w:cs="仿宋"/>
          <w:color w:val="auto"/>
          <w:sz w:val="24"/>
          <w:highlight w:val="none"/>
        </w:rPr>
        <w:t>使用</w:t>
      </w:r>
      <w:r>
        <w:rPr>
          <w:rFonts w:hint="eastAsia" w:ascii="仿宋" w:hAnsi="仿宋" w:eastAsia="仿宋" w:cs="仿宋"/>
          <w:b/>
          <w:bCs/>
          <w:color w:val="auto"/>
          <w:sz w:val="24"/>
          <w:highlight w:val="none"/>
        </w:rPr>
        <w:t>简体中文</w:t>
      </w:r>
      <w:r>
        <w:rPr>
          <w:rFonts w:hint="eastAsia" w:ascii="仿宋" w:hAnsi="仿宋" w:eastAsia="仿宋" w:cs="仿宋"/>
          <w:color w:val="auto"/>
          <w:sz w:val="24"/>
          <w:highlight w:val="none"/>
        </w:rPr>
        <w:t>。</w:t>
      </w:r>
    </w:p>
    <w:p w14:paraId="5C3E82EE">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10.2 除技术性能另有规定外，投标文件所使用的度量衡单位，均须采用国家法定计量单位。</w:t>
      </w:r>
    </w:p>
    <w:p w14:paraId="52C1B8F1">
      <w:pPr>
        <w:pStyle w:val="195"/>
        <w:spacing w:before="0" w:after="0" w:line="240" w:lineRule="auto"/>
        <w:ind w:firstLine="361"/>
        <w:rPr>
          <w:rFonts w:ascii="仿宋" w:hAnsi="仿宋" w:eastAsia="仿宋" w:cs="仿宋"/>
          <w:color w:val="auto"/>
          <w:sz w:val="24"/>
          <w:szCs w:val="24"/>
          <w:highlight w:val="none"/>
        </w:rPr>
      </w:pPr>
      <w:bookmarkStart w:id="158" w:name="_Toc16938531"/>
      <w:bookmarkStart w:id="159" w:name="_Toc462564074"/>
      <w:bookmarkStart w:id="160" w:name="_Toc20823287"/>
      <w:bookmarkStart w:id="161" w:name="_Toc513029215"/>
      <w:r>
        <w:rPr>
          <w:rFonts w:hint="eastAsia" w:ascii="仿宋" w:hAnsi="仿宋" w:eastAsia="仿宋" w:cs="仿宋"/>
          <w:color w:val="auto"/>
          <w:sz w:val="24"/>
          <w:szCs w:val="24"/>
          <w:highlight w:val="none"/>
        </w:rPr>
        <w:t>11.投标文件构成</w:t>
      </w:r>
      <w:bookmarkEnd w:id="158"/>
      <w:bookmarkEnd w:id="159"/>
      <w:bookmarkEnd w:id="160"/>
      <w:bookmarkEnd w:id="161"/>
    </w:p>
    <w:p w14:paraId="245F74B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11.1 投标人编写的投标文件应包括资格证明文件、法人授权委托书、投标函、开标一览表、投标分项报价表、技术要求响应及偏离表、商务要求响应及偏离表、其他证明文件等部分。</w:t>
      </w:r>
    </w:p>
    <w:p w14:paraId="32F04301">
      <w:pPr>
        <w:spacing w:line="288" w:lineRule="auto"/>
        <w:ind w:firstLine="440"/>
        <w:rPr>
          <w:rFonts w:ascii="仿宋" w:hAnsi="仿宋" w:eastAsia="仿宋" w:cs="仿宋"/>
          <w:color w:val="auto"/>
          <w:sz w:val="22"/>
          <w:szCs w:val="22"/>
          <w:highlight w:val="none"/>
        </w:rPr>
      </w:pPr>
      <w:bookmarkStart w:id="162" w:name="_Hlt26670360"/>
      <w:bookmarkEnd w:id="162"/>
      <w:bookmarkStart w:id="163" w:name="_Hlt26668975"/>
      <w:bookmarkEnd w:id="163"/>
      <w:bookmarkStart w:id="164" w:name="_Hlt26954838"/>
      <w:bookmarkEnd w:id="164"/>
      <w:bookmarkStart w:id="165" w:name="_Toc513029216"/>
      <w:bookmarkStart w:id="166" w:name="_Toc49090507"/>
      <w:bookmarkStart w:id="167" w:name="_Toc513029219"/>
      <w:bookmarkStart w:id="168" w:name="_Toc49090509"/>
      <w:bookmarkStart w:id="169" w:name="_Toc14577357"/>
      <w:bookmarkStart w:id="170" w:name="_Toc14577354"/>
      <w:r>
        <w:rPr>
          <w:rFonts w:hint="eastAsia" w:ascii="仿宋" w:hAnsi="仿宋" w:eastAsia="仿宋" w:cs="仿宋"/>
          <w:color w:val="auto"/>
          <w:sz w:val="22"/>
          <w:szCs w:val="22"/>
          <w:highlight w:val="none"/>
        </w:rPr>
        <w:t>11.2 投标人应将投标文件按顺序装订成册，并编制投标文件资料目录。</w:t>
      </w:r>
    </w:p>
    <w:p w14:paraId="6D063015">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12.证明投标人及投标标的符合招标文件规定的文件</w:t>
      </w:r>
      <w:bookmarkEnd w:id="165"/>
      <w:bookmarkEnd w:id="166"/>
      <w:bookmarkEnd w:id="167"/>
      <w:bookmarkEnd w:id="168"/>
      <w:bookmarkEnd w:id="169"/>
      <w:bookmarkEnd w:id="170"/>
    </w:p>
    <w:p w14:paraId="66C5729D">
      <w:pPr>
        <w:spacing w:line="288" w:lineRule="auto"/>
        <w:ind w:firstLine="440"/>
        <w:rPr>
          <w:rFonts w:ascii="仿宋" w:hAnsi="仿宋" w:eastAsia="仿宋" w:cs="仿宋"/>
          <w:color w:val="auto"/>
          <w:sz w:val="22"/>
          <w:szCs w:val="22"/>
          <w:highlight w:val="none"/>
        </w:rPr>
      </w:pPr>
      <w:bookmarkStart w:id="171" w:name="_Toc14577355"/>
      <w:bookmarkStart w:id="172" w:name="_Toc49090508"/>
      <w:r>
        <w:rPr>
          <w:rFonts w:hint="eastAsia" w:ascii="仿宋" w:hAnsi="仿宋" w:eastAsia="仿宋" w:cs="仿宋"/>
          <w:color w:val="auto"/>
          <w:sz w:val="22"/>
          <w:szCs w:val="22"/>
          <w:highlight w:val="none"/>
        </w:rPr>
        <w:t>12.1 投标人应按照法律法规、规章和规范性文件以及招标文件要求提交证明文件，证明其及投标标的符合招标文件规定。</w:t>
      </w:r>
    </w:p>
    <w:p w14:paraId="2C4DF8F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12.2 招标文件对证明文件无明确形式要求的，证明文件可以以文字资料、图纸和数据等形式提交。</w:t>
      </w:r>
    </w:p>
    <w:p w14:paraId="57D68014">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13.投标分项报价</w:t>
      </w:r>
      <w:bookmarkEnd w:id="171"/>
      <w:bookmarkStart w:id="173" w:name="_Hlt26670373"/>
      <w:bookmarkEnd w:id="173"/>
      <w:r>
        <w:rPr>
          <w:rFonts w:hint="eastAsia" w:ascii="仿宋" w:hAnsi="仿宋" w:eastAsia="仿宋" w:cs="仿宋"/>
          <w:color w:val="auto"/>
          <w:sz w:val="24"/>
          <w:szCs w:val="24"/>
          <w:highlight w:val="none"/>
        </w:rPr>
        <w:t>表</w:t>
      </w:r>
      <w:bookmarkEnd w:id="172"/>
    </w:p>
    <w:p w14:paraId="520B290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13.1 投</w:t>
      </w:r>
      <w:bookmarkStart w:id="174" w:name="_Hlt26954840"/>
      <w:bookmarkEnd w:id="174"/>
      <w:r>
        <w:rPr>
          <w:rFonts w:hint="eastAsia" w:ascii="仿宋" w:hAnsi="仿宋" w:eastAsia="仿宋" w:cs="仿宋"/>
          <w:color w:val="auto"/>
          <w:sz w:val="22"/>
          <w:szCs w:val="22"/>
          <w:highlight w:val="none"/>
        </w:rPr>
        <w:t>标人应按照招标文件规定格式填报投标分项报价表</w:t>
      </w:r>
      <w:bookmarkStart w:id="175" w:name="_Hlt26670399"/>
      <w:bookmarkEnd w:id="175"/>
      <w:r>
        <w:rPr>
          <w:rFonts w:hint="eastAsia" w:ascii="仿宋" w:hAnsi="仿宋" w:eastAsia="仿宋" w:cs="仿宋"/>
          <w:color w:val="auto"/>
          <w:sz w:val="22"/>
          <w:szCs w:val="22"/>
          <w:highlight w:val="none"/>
        </w:rPr>
        <w:t>。</w:t>
      </w:r>
    </w:p>
    <w:p w14:paraId="5E325E14">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13.2 投标货币。投标文件中的单价和总价无特殊规定的采用人民币报价，以元为单位标注。招标文件中另有规定的按规定执行。</w:t>
      </w:r>
    </w:p>
    <w:p w14:paraId="7C8E353D">
      <w:pPr>
        <w:pStyle w:val="195"/>
        <w:spacing w:before="0" w:after="0" w:line="240" w:lineRule="auto"/>
        <w:ind w:firstLine="361"/>
        <w:rPr>
          <w:rFonts w:ascii="仿宋" w:hAnsi="仿宋" w:eastAsia="仿宋" w:cs="仿宋"/>
          <w:color w:val="auto"/>
          <w:sz w:val="24"/>
          <w:szCs w:val="24"/>
          <w:highlight w:val="none"/>
        </w:rPr>
      </w:pPr>
      <w:bookmarkStart w:id="176" w:name="_Hlt26668983"/>
      <w:bookmarkEnd w:id="176"/>
      <w:bookmarkStart w:id="177" w:name="_Hlt26954731"/>
      <w:bookmarkEnd w:id="177"/>
      <w:bookmarkStart w:id="178" w:name="_Hlt26670482"/>
      <w:bookmarkEnd w:id="178"/>
      <w:bookmarkStart w:id="179" w:name="_Hlt26954848"/>
      <w:bookmarkEnd w:id="179"/>
      <w:bookmarkStart w:id="180" w:name="_Hlt26954842"/>
      <w:bookmarkEnd w:id="180"/>
      <w:bookmarkStart w:id="181" w:name="_Hlt26670403"/>
      <w:bookmarkEnd w:id="181"/>
      <w:bookmarkStart w:id="182" w:name="_Hlt26670425"/>
      <w:bookmarkEnd w:id="182"/>
      <w:bookmarkStart w:id="183" w:name="_Hlt26670486"/>
      <w:bookmarkEnd w:id="183"/>
      <w:bookmarkStart w:id="184" w:name="_Hlt26954844"/>
      <w:bookmarkEnd w:id="184"/>
      <w:bookmarkStart w:id="185" w:name="_Hlt26954846"/>
      <w:bookmarkEnd w:id="185"/>
      <w:r>
        <w:rPr>
          <w:rFonts w:hint="eastAsia" w:ascii="仿宋" w:hAnsi="仿宋" w:eastAsia="仿宋" w:cs="仿宋"/>
          <w:color w:val="auto"/>
          <w:sz w:val="24"/>
          <w:szCs w:val="24"/>
          <w:highlight w:val="none"/>
        </w:rPr>
        <w:t>14.技术要求响应及偏离表、商务要求响应及偏离表</w:t>
      </w:r>
    </w:p>
    <w:p w14:paraId="7088835F">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投标人需对招标文件中的技术要求与商务要求逐项作出响应或偏离，并说明原因。</w:t>
      </w:r>
    </w:p>
    <w:p w14:paraId="70FDDF60">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投标人可在投标文件中提供认为需要的其他技术文件或说明。</w:t>
      </w:r>
    </w:p>
    <w:p w14:paraId="474A9348">
      <w:pPr>
        <w:pStyle w:val="195"/>
        <w:spacing w:before="0" w:after="0" w:line="240" w:lineRule="auto"/>
        <w:ind w:firstLine="361"/>
        <w:rPr>
          <w:rFonts w:ascii="仿宋" w:hAnsi="仿宋" w:eastAsia="仿宋" w:cs="仿宋"/>
          <w:color w:val="auto"/>
          <w:sz w:val="24"/>
          <w:szCs w:val="24"/>
          <w:highlight w:val="none"/>
        </w:rPr>
      </w:pPr>
      <w:bookmarkStart w:id="186" w:name="_Toc14577359"/>
      <w:bookmarkStart w:id="187" w:name="_Toc49090510"/>
      <w:r>
        <w:rPr>
          <w:rFonts w:hint="eastAsia" w:ascii="仿宋" w:hAnsi="仿宋" w:eastAsia="仿宋" w:cs="仿宋"/>
          <w:color w:val="auto"/>
          <w:sz w:val="24"/>
          <w:szCs w:val="24"/>
          <w:highlight w:val="none"/>
        </w:rPr>
        <w:t>15.投标函和开标一览表</w:t>
      </w:r>
    </w:p>
    <w:p w14:paraId="2CAF9DA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15.1 投标人应按照招标文件中提供的格式完整、正确填写投标函、开标一览表。</w:t>
      </w:r>
    </w:p>
    <w:p w14:paraId="552F1A8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15.2 对于采用货币报价的项目，开标一览表中的投标总报价应与投标分项报价表中的投标总报价一致，如不一致，不作为无效投标处理，但评标时按开标一览表中价格为准。</w:t>
      </w:r>
      <w:bookmarkEnd w:id="186"/>
      <w:bookmarkEnd w:id="187"/>
    </w:p>
    <w:p w14:paraId="3E130B03">
      <w:pPr>
        <w:pStyle w:val="195"/>
        <w:spacing w:before="0" w:after="0" w:line="240" w:lineRule="auto"/>
        <w:ind w:firstLine="361"/>
        <w:rPr>
          <w:rFonts w:ascii="仿宋" w:hAnsi="仿宋" w:eastAsia="仿宋" w:cs="仿宋"/>
          <w:color w:val="auto"/>
          <w:sz w:val="24"/>
          <w:szCs w:val="24"/>
          <w:highlight w:val="none"/>
        </w:rPr>
      </w:pPr>
      <w:bookmarkStart w:id="188" w:name="_Hlt26954850"/>
      <w:bookmarkEnd w:id="188"/>
      <w:bookmarkStart w:id="189" w:name="_Hlt26670489"/>
      <w:bookmarkEnd w:id="189"/>
      <w:bookmarkStart w:id="190" w:name="_Hlt26954734"/>
      <w:bookmarkEnd w:id="190"/>
      <w:bookmarkStart w:id="191" w:name="_Toc14577360"/>
      <w:bookmarkStart w:id="192" w:name="_Toc49090511"/>
      <w:r>
        <w:rPr>
          <w:rFonts w:hint="eastAsia" w:ascii="仿宋" w:hAnsi="仿宋" w:eastAsia="仿宋" w:cs="仿宋"/>
          <w:color w:val="auto"/>
          <w:sz w:val="24"/>
          <w:szCs w:val="24"/>
          <w:highlight w:val="none"/>
        </w:rPr>
        <w:t>16.投标有效期</w:t>
      </w:r>
      <w:bookmarkEnd w:id="191"/>
      <w:bookmarkEnd w:id="192"/>
    </w:p>
    <w:p w14:paraId="798322B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16.1 投标有效期为招标代理规定的开标之日后</w:t>
      </w:r>
      <w:r>
        <w:rPr>
          <w:rFonts w:hint="eastAsia" w:ascii="仿宋" w:hAnsi="仿宋" w:eastAsia="仿宋" w:cs="仿宋"/>
          <w:b/>
          <w:bCs/>
          <w:color w:val="auto"/>
          <w:sz w:val="22"/>
          <w:szCs w:val="22"/>
          <w:highlight w:val="none"/>
          <w:u w:val="single"/>
        </w:rPr>
        <w:t>六十（60）天</w:t>
      </w:r>
      <w:r>
        <w:rPr>
          <w:rFonts w:hint="eastAsia" w:ascii="仿宋" w:hAnsi="仿宋" w:eastAsia="仿宋" w:cs="仿宋"/>
          <w:color w:val="auto"/>
          <w:sz w:val="22"/>
          <w:szCs w:val="22"/>
          <w:highlight w:val="none"/>
        </w:rPr>
        <w:t>。投标有效期比规定短的将被视为未实质性响应招标文件而予以拒绝。</w:t>
      </w:r>
    </w:p>
    <w:p w14:paraId="43060201">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17投标有效期的延长</w:t>
      </w:r>
    </w:p>
    <w:p w14:paraId="182ED969">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93" w:name="_Toc23632"/>
      <w:bookmarkStart w:id="194" w:name="_Toc3311"/>
      <w:bookmarkStart w:id="195" w:name="_Toc21072"/>
      <w:bookmarkStart w:id="196" w:name="_Toc1772"/>
      <w:bookmarkStart w:id="197" w:name="_Toc29101"/>
      <w:bookmarkStart w:id="198" w:name="_Toc17254"/>
      <w:bookmarkStart w:id="199" w:name="_Toc453781895"/>
      <w:bookmarkStart w:id="200" w:name="_Toc3221"/>
      <w:bookmarkStart w:id="201" w:name="_Toc26450"/>
    </w:p>
    <w:p w14:paraId="30BD7876">
      <w:pPr>
        <w:pStyle w:val="195"/>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18.投标文件的签署</w:t>
      </w:r>
      <w:bookmarkEnd w:id="193"/>
      <w:bookmarkEnd w:id="194"/>
      <w:bookmarkEnd w:id="195"/>
      <w:bookmarkEnd w:id="196"/>
      <w:bookmarkEnd w:id="197"/>
      <w:bookmarkEnd w:id="198"/>
      <w:bookmarkEnd w:id="199"/>
      <w:bookmarkEnd w:id="200"/>
      <w:bookmarkEnd w:id="201"/>
    </w:p>
    <w:p w14:paraId="386DFD64">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 投标文件须经法定代表人或授权代表签署和加盖投标人公章。本招标文件所表述（指定）的公章是指法定名称章，不包括合同专用章、业务专用章等印章。</w:t>
      </w:r>
    </w:p>
    <w:p w14:paraId="21747037">
      <w:pPr>
        <w:spacing w:line="288" w:lineRule="auto"/>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 xml:space="preserve"> 除投标人对错处做必要修改外，投标文件不得行间插字、涂改或增删。如有修改错漏处，必须由投标文件签署人签字或盖章。</w:t>
      </w:r>
    </w:p>
    <w:p w14:paraId="10D6A37E">
      <w:pPr>
        <w:pStyle w:val="193"/>
        <w:spacing w:before="0" w:after="0" w:line="360" w:lineRule="exact"/>
        <w:ind w:firstLine="498"/>
        <w:rPr>
          <w:rFonts w:ascii="仿宋" w:hAnsi="仿宋" w:eastAsia="仿宋" w:cs="仿宋"/>
          <w:color w:val="auto"/>
          <w:highlight w:val="none"/>
        </w:rPr>
      </w:pPr>
      <w:bookmarkStart w:id="202" w:name="_Hlt26954739"/>
      <w:bookmarkEnd w:id="202"/>
      <w:bookmarkStart w:id="203" w:name="_Hlt26954852"/>
      <w:bookmarkEnd w:id="203"/>
      <w:bookmarkStart w:id="204" w:name="_Toc513029224"/>
      <w:bookmarkStart w:id="205" w:name="_Toc20823296"/>
      <w:bookmarkStart w:id="206" w:name="_Toc16938540"/>
      <w:bookmarkStart w:id="207" w:name="_Toc21564"/>
      <w:bookmarkStart w:id="208" w:name="_Toc120614217"/>
      <w:bookmarkStart w:id="209" w:name="_Toc6968"/>
      <w:bookmarkStart w:id="210" w:name="_Toc17812"/>
      <w:r>
        <w:rPr>
          <w:rFonts w:hint="eastAsia" w:ascii="仿宋" w:hAnsi="仿宋" w:eastAsia="仿宋" w:cs="仿宋"/>
          <w:color w:val="auto"/>
          <w:highlight w:val="none"/>
        </w:rPr>
        <w:t>四、投标文件的递交</w:t>
      </w:r>
      <w:bookmarkEnd w:id="204"/>
      <w:bookmarkEnd w:id="205"/>
      <w:bookmarkEnd w:id="206"/>
      <w:bookmarkEnd w:id="207"/>
      <w:bookmarkEnd w:id="208"/>
      <w:bookmarkEnd w:id="209"/>
      <w:bookmarkEnd w:id="210"/>
    </w:p>
    <w:p w14:paraId="31764636">
      <w:pPr>
        <w:pStyle w:val="195"/>
        <w:spacing w:before="0" w:after="0" w:line="360" w:lineRule="exact"/>
        <w:ind w:firstLine="361"/>
        <w:rPr>
          <w:rFonts w:ascii="仿宋" w:hAnsi="仿宋" w:eastAsia="仿宋" w:cs="仿宋"/>
          <w:color w:val="auto"/>
          <w:sz w:val="24"/>
          <w:szCs w:val="24"/>
          <w:highlight w:val="none"/>
        </w:rPr>
      </w:pPr>
      <w:bookmarkStart w:id="211" w:name="_Toc21137"/>
      <w:bookmarkStart w:id="212" w:name="_Toc2792"/>
      <w:bookmarkStart w:id="213" w:name="_Toc1292"/>
      <w:bookmarkStart w:id="214" w:name="_Toc5198"/>
      <w:bookmarkStart w:id="215" w:name="_Toc453781897"/>
      <w:bookmarkStart w:id="216" w:name="_Toc2314"/>
      <w:bookmarkStart w:id="217" w:name="_Toc30326"/>
      <w:bookmarkStart w:id="218" w:name="_Toc4062"/>
      <w:bookmarkStart w:id="219" w:name="_Toc10597"/>
      <w:bookmarkStart w:id="220" w:name="_Toc20823298"/>
      <w:bookmarkStart w:id="221" w:name="_Toc513029226"/>
      <w:bookmarkStart w:id="222" w:name="_Toc16938542"/>
      <w:r>
        <w:rPr>
          <w:rFonts w:hint="eastAsia" w:ascii="仿宋" w:hAnsi="仿宋" w:eastAsia="仿宋" w:cs="仿宋"/>
          <w:color w:val="auto"/>
          <w:sz w:val="24"/>
          <w:szCs w:val="24"/>
          <w:highlight w:val="none"/>
        </w:rPr>
        <w:t>19.电子投标文件的递交</w:t>
      </w:r>
    </w:p>
    <w:p w14:paraId="5D6C5549">
      <w:pPr>
        <w:spacing w:line="360" w:lineRule="exact"/>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投标人应当按照《操作手册》规定，在投标截止时间前制作并上传电子投标文件。</w:t>
      </w:r>
      <w:bookmarkEnd w:id="211"/>
      <w:bookmarkEnd w:id="212"/>
      <w:bookmarkEnd w:id="213"/>
      <w:bookmarkEnd w:id="214"/>
      <w:bookmarkEnd w:id="215"/>
      <w:bookmarkEnd w:id="216"/>
      <w:bookmarkEnd w:id="217"/>
      <w:bookmarkEnd w:id="218"/>
      <w:bookmarkEnd w:id="219"/>
    </w:p>
    <w:p w14:paraId="50BF1EEA">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20.投标截止</w:t>
      </w:r>
      <w:bookmarkEnd w:id="220"/>
      <w:bookmarkEnd w:id="221"/>
      <w:bookmarkEnd w:id="222"/>
      <w:r>
        <w:rPr>
          <w:rFonts w:hint="eastAsia" w:ascii="仿宋" w:hAnsi="仿宋" w:eastAsia="仿宋" w:cs="仿宋"/>
          <w:color w:val="auto"/>
          <w:sz w:val="24"/>
          <w:szCs w:val="24"/>
          <w:highlight w:val="none"/>
        </w:rPr>
        <w:t>时间</w:t>
      </w:r>
    </w:p>
    <w:p w14:paraId="5B87D531">
      <w:pPr>
        <w:spacing w:line="360" w:lineRule="exact"/>
        <w:ind w:firstLine="440"/>
        <w:rPr>
          <w:rFonts w:ascii="仿宋" w:hAnsi="仿宋" w:eastAsia="仿宋" w:cs="仿宋"/>
          <w:color w:val="auto"/>
          <w:sz w:val="22"/>
          <w:szCs w:val="22"/>
          <w:highlight w:val="none"/>
          <w:lang w:val="zh-CN"/>
        </w:rPr>
      </w:pPr>
      <w:bookmarkStart w:id="223" w:name="_Toc20823299"/>
      <w:bookmarkStart w:id="224" w:name="_Toc513029227"/>
      <w:bookmarkStart w:id="225" w:name="_Toc16938543"/>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.1 投标人上传电子投标文件的时间不得迟于招标公告中规定的投标截止时间。</w:t>
      </w:r>
    </w:p>
    <w:p w14:paraId="0A5335C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投标人应充分考虑到网络环境、网络带宽等风险因素，如因投标人自身原因造成的电子投标文件上传不成功的做无效投标处理。</w:t>
      </w:r>
    </w:p>
    <w:p w14:paraId="1A30C99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.2 招标代理机构可以按照规定，通过修改招标文件有权酌情延长投标截止日期，在此情况下，投标人的所有权利和义务以及投标人受制的截止日期均应以延长后新的截止日期为准。</w:t>
      </w:r>
    </w:p>
    <w:p w14:paraId="0F876D3D">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21.投标文件</w:t>
      </w:r>
      <w:bookmarkEnd w:id="223"/>
      <w:bookmarkEnd w:id="224"/>
      <w:bookmarkEnd w:id="225"/>
      <w:r>
        <w:rPr>
          <w:rFonts w:hint="eastAsia" w:ascii="仿宋" w:hAnsi="仿宋" w:eastAsia="仿宋" w:cs="仿宋"/>
          <w:color w:val="auto"/>
          <w:sz w:val="24"/>
          <w:szCs w:val="24"/>
          <w:highlight w:val="none"/>
        </w:rPr>
        <w:t>的拒收</w:t>
      </w:r>
    </w:p>
    <w:p w14:paraId="2774443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21</w:t>
      </w:r>
      <w:r>
        <w:rPr>
          <w:rFonts w:hint="eastAsia" w:ascii="仿宋" w:hAnsi="仿宋" w:eastAsia="仿宋" w:cs="仿宋"/>
          <w:color w:val="auto"/>
          <w:sz w:val="22"/>
          <w:szCs w:val="22"/>
          <w:highlight w:val="none"/>
          <w:lang w:val="zh-CN"/>
        </w:rPr>
        <w:t>.1招标代理拒绝接收在其规定的投标截止时间后</w:t>
      </w:r>
      <w:r>
        <w:rPr>
          <w:rFonts w:hint="eastAsia" w:ascii="仿宋" w:hAnsi="仿宋" w:eastAsia="仿宋" w:cs="仿宋"/>
          <w:color w:val="auto"/>
          <w:sz w:val="22"/>
          <w:szCs w:val="22"/>
          <w:highlight w:val="none"/>
        </w:rPr>
        <w:t>上传</w:t>
      </w:r>
      <w:r>
        <w:rPr>
          <w:rFonts w:hint="eastAsia" w:ascii="仿宋" w:hAnsi="仿宋" w:eastAsia="仿宋" w:cs="仿宋"/>
          <w:color w:val="auto"/>
          <w:sz w:val="22"/>
          <w:szCs w:val="22"/>
          <w:highlight w:val="none"/>
          <w:lang w:val="zh-CN"/>
        </w:rPr>
        <w:t>的任何投标文件。</w:t>
      </w:r>
    </w:p>
    <w:p w14:paraId="3B93F681">
      <w:pPr>
        <w:pStyle w:val="195"/>
        <w:spacing w:before="0" w:after="0" w:line="360" w:lineRule="exact"/>
        <w:ind w:firstLine="361"/>
        <w:rPr>
          <w:rFonts w:ascii="仿宋" w:hAnsi="仿宋" w:eastAsia="仿宋" w:cs="仿宋"/>
          <w:color w:val="auto"/>
          <w:sz w:val="24"/>
          <w:szCs w:val="24"/>
          <w:highlight w:val="none"/>
        </w:rPr>
      </w:pPr>
      <w:bookmarkStart w:id="226" w:name="_Toc27247"/>
      <w:bookmarkStart w:id="227" w:name="_Toc32741"/>
      <w:bookmarkStart w:id="228" w:name="_Toc12489"/>
      <w:bookmarkStart w:id="229" w:name="_Toc24846"/>
      <w:bookmarkStart w:id="230" w:name="_Toc453781900"/>
      <w:bookmarkStart w:id="231" w:name="_Toc7363"/>
      <w:bookmarkStart w:id="232" w:name="_Toc30437"/>
      <w:bookmarkStart w:id="233" w:name="_Toc13147"/>
      <w:bookmarkStart w:id="234" w:name="_Toc28912"/>
      <w:bookmarkStart w:id="235" w:name="_Toc513029228"/>
      <w:bookmarkStart w:id="236" w:name="_Toc20823300"/>
      <w:bookmarkStart w:id="237" w:name="_Toc16938544"/>
      <w:r>
        <w:rPr>
          <w:rFonts w:hint="eastAsia" w:ascii="仿宋" w:hAnsi="仿宋" w:eastAsia="仿宋" w:cs="仿宋"/>
          <w:color w:val="auto"/>
          <w:sz w:val="24"/>
          <w:szCs w:val="24"/>
          <w:highlight w:val="none"/>
        </w:rPr>
        <w:t>22.投标文件的修改和撤回</w:t>
      </w:r>
      <w:bookmarkEnd w:id="226"/>
      <w:bookmarkEnd w:id="227"/>
      <w:bookmarkEnd w:id="228"/>
      <w:bookmarkEnd w:id="229"/>
      <w:bookmarkEnd w:id="230"/>
      <w:bookmarkEnd w:id="231"/>
      <w:bookmarkEnd w:id="232"/>
      <w:bookmarkEnd w:id="233"/>
      <w:bookmarkEnd w:id="234"/>
    </w:p>
    <w:p w14:paraId="0C831D3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.1 投标人可在投标截止时间前，撤回其电子投标文件，具体操作方法见《操作手册》。</w:t>
      </w:r>
    </w:p>
    <w:p w14:paraId="13F35B4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投标人撤回电子投标文件，则认为其不再参与本项目投标活动。</w:t>
      </w:r>
    </w:p>
    <w:p w14:paraId="2529CA3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投标人可在投标截止时间前，对其电子投标文件进行修改，具体操作方法见《操作手册》。在投标截止时间之后，投标人不得对其</w:t>
      </w:r>
      <w:r>
        <w:rPr>
          <w:rFonts w:hint="eastAsia" w:ascii="仿宋" w:hAnsi="仿宋" w:eastAsia="仿宋" w:cs="仿宋"/>
          <w:color w:val="auto"/>
          <w:sz w:val="22"/>
          <w:szCs w:val="22"/>
          <w:highlight w:val="none"/>
        </w:rPr>
        <w:t>电子</w:t>
      </w:r>
      <w:r>
        <w:rPr>
          <w:rFonts w:hint="eastAsia" w:ascii="仿宋" w:hAnsi="仿宋" w:eastAsia="仿宋" w:cs="仿宋"/>
          <w:color w:val="auto"/>
          <w:sz w:val="22"/>
          <w:szCs w:val="22"/>
          <w:highlight w:val="none"/>
          <w:lang w:val="zh-CN"/>
        </w:rPr>
        <w:t>投标文件作任何修改。</w:t>
      </w:r>
    </w:p>
    <w:p w14:paraId="1200CC7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.4 在投标截止时间至招标文件中规定的投标有效期满之间的这段时间内，投标人不得撤回其投标。</w:t>
      </w:r>
      <w:bookmarkEnd w:id="235"/>
      <w:bookmarkEnd w:id="236"/>
      <w:bookmarkEnd w:id="237"/>
    </w:p>
    <w:p w14:paraId="35BA9BC7">
      <w:pPr>
        <w:pStyle w:val="193"/>
        <w:spacing w:before="0" w:after="0" w:line="360" w:lineRule="exact"/>
        <w:ind w:firstLine="498"/>
        <w:rPr>
          <w:rFonts w:ascii="仿宋" w:hAnsi="仿宋" w:eastAsia="仿宋" w:cs="仿宋"/>
          <w:color w:val="auto"/>
          <w:highlight w:val="none"/>
        </w:rPr>
      </w:pPr>
      <w:bookmarkStart w:id="238" w:name="_Toc17586"/>
      <w:bookmarkStart w:id="239" w:name="_Toc20823301"/>
      <w:bookmarkStart w:id="240" w:name="_Toc29781"/>
      <w:bookmarkStart w:id="241" w:name="_Toc16292"/>
      <w:bookmarkStart w:id="242" w:name="_Toc513029229"/>
      <w:bookmarkStart w:id="243" w:name="_Toc16938545"/>
      <w:bookmarkStart w:id="244" w:name="_Toc120614218"/>
      <w:r>
        <w:rPr>
          <w:rFonts w:hint="eastAsia" w:ascii="仿宋" w:hAnsi="仿宋" w:eastAsia="仿宋" w:cs="仿宋"/>
          <w:color w:val="auto"/>
          <w:highlight w:val="none"/>
        </w:rPr>
        <w:t>五、开标与评标</w:t>
      </w:r>
      <w:bookmarkEnd w:id="238"/>
      <w:bookmarkEnd w:id="239"/>
      <w:bookmarkEnd w:id="240"/>
      <w:bookmarkEnd w:id="241"/>
      <w:bookmarkEnd w:id="242"/>
      <w:bookmarkEnd w:id="243"/>
      <w:bookmarkEnd w:id="244"/>
    </w:p>
    <w:p w14:paraId="4E2FCAC5">
      <w:pPr>
        <w:pStyle w:val="195"/>
        <w:spacing w:before="0" w:after="0" w:line="360" w:lineRule="exact"/>
        <w:ind w:firstLine="361"/>
        <w:rPr>
          <w:rFonts w:ascii="仿宋" w:hAnsi="仿宋" w:eastAsia="仿宋" w:cs="仿宋"/>
          <w:color w:val="auto"/>
          <w:sz w:val="24"/>
          <w:szCs w:val="24"/>
          <w:highlight w:val="none"/>
        </w:rPr>
      </w:pPr>
      <w:bookmarkStart w:id="245" w:name="_Toc16938546"/>
      <w:bookmarkStart w:id="246" w:name="_Toc20823302"/>
      <w:bookmarkStart w:id="247" w:name="_Toc513029230"/>
      <w:r>
        <w:rPr>
          <w:rFonts w:hint="eastAsia" w:ascii="仿宋" w:hAnsi="仿宋" w:eastAsia="仿宋" w:cs="仿宋"/>
          <w:color w:val="auto"/>
          <w:sz w:val="24"/>
          <w:szCs w:val="24"/>
          <w:highlight w:val="none"/>
        </w:rPr>
        <w:t>23.开标</w:t>
      </w:r>
      <w:bookmarkEnd w:id="245"/>
      <w:bookmarkEnd w:id="246"/>
      <w:bookmarkEnd w:id="247"/>
    </w:p>
    <w:p w14:paraId="177366B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 招标代理将在招标公告中规定的时间和地点组织公开开标。投标人应当按照《操作手册》规定，参加开标活动和在苏采云系统规定的时间内对投标文件进行解密。</w:t>
      </w:r>
    </w:p>
    <w:p w14:paraId="3228FA7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.2开标仪式由招标代理组织。苏采云系统将自动对项目进行开标，并宣布各投标人名称和投标价格。</w:t>
      </w:r>
    </w:p>
    <w:p w14:paraId="3EFC7AB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.4 投标人在开标过程中涉及到的投标文件解密、开标结果确认等工作，应按照《操作手册》规定执行。</w:t>
      </w:r>
    </w:p>
    <w:p w14:paraId="60220AF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.5 投标人如果对开标过程和开标记录有疑义，应当根据《操作手册》规定提出，如苏采云系统中《开标记录表》宣布后5分钟内未提出的，视同认可开标结果。</w:t>
      </w:r>
    </w:p>
    <w:p w14:paraId="5BDEE5CB">
      <w:pPr>
        <w:spacing w:line="360" w:lineRule="exact"/>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.6 投标人在报价时不允许采用选择性报价，否则将被视为无效投标。</w:t>
      </w:r>
    </w:p>
    <w:p w14:paraId="618BF054">
      <w:pPr>
        <w:pStyle w:val="195"/>
        <w:spacing w:before="0" w:after="0" w:line="360" w:lineRule="exact"/>
        <w:ind w:firstLine="361"/>
        <w:rPr>
          <w:rFonts w:ascii="仿宋" w:hAnsi="仿宋" w:eastAsia="仿宋" w:cs="仿宋"/>
          <w:color w:val="auto"/>
          <w:sz w:val="24"/>
          <w:szCs w:val="24"/>
          <w:highlight w:val="none"/>
        </w:rPr>
      </w:pPr>
      <w:bookmarkStart w:id="248" w:name="_Toc16938547"/>
      <w:bookmarkStart w:id="249" w:name="_Toc513029231"/>
      <w:bookmarkStart w:id="250" w:name="_Toc20823303"/>
      <w:r>
        <w:rPr>
          <w:rFonts w:hint="eastAsia" w:ascii="仿宋" w:hAnsi="仿宋" w:eastAsia="仿宋" w:cs="仿宋"/>
          <w:color w:val="auto"/>
          <w:sz w:val="24"/>
          <w:szCs w:val="24"/>
          <w:highlight w:val="none"/>
        </w:rPr>
        <w:t>24.评标委员会</w:t>
      </w:r>
    </w:p>
    <w:p w14:paraId="214564A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开标后，招标代理将立即组织评标委员会（以下简称评标委员会）进行评标。</w:t>
      </w:r>
    </w:p>
    <w:p w14:paraId="3D9D2E9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评标委员会由采购人代表和有关技术、经济等方面的专家组成，且人员构成符合政府采购有关规定。</w:t>
      </w:r>
    </w:p>
    <w:p w14:paraId="5AB5393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评标委员会独立工作，负责评审所有投标文件并</w:t>
      </w:r>
      <w:r>
        <w:rPr>
          <w:rFonts w:hint="eastAsia" w:ascii="仿宋" w:hAnsi="仿宋" w:eastAsia="仿宋" w:cs="仿宋"/>
          <w:color w:val="auto"/>
          <w:sz w:val="22"/>
          <w:szCs w:val="22"/>
          <w:highlight w:val="none"/>
        </w:rPr>
        <w:t>推荐</w:t>
      </w:r>
      <w:r>
        <w:rPr>
          <w:rFonts w:hint="eastAsia" w:ascii="仿宋" w:hAnsi="仿宋" w:eastAsia="仿宋" w:cs="仿宋"/>
          <w:color w:val="auto"/>
          <w:sz w:val="22"/>
          <w:szCs w:val="22"/>
          <w:highlight w:val="none"/>
          <w:lang w:val="zh-CN"/>
        </w:rPr>
        <w:t>中标侯选人。</w:t>
      </w:r>
    </w:p>
    <w:p w14:paraId="31DACBF3">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25.评标过程的保密与公正</w:t>
      </w:r>
      <w:bookmarkEnd w:id="248"/>
      <w:bookmarkEnd w:id="249"/>
      <w:bookmarkEnd w:id="250"/>
    </w:p>
    <w:p w14:paraId="2867476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公开开标后，直至向中标的投标人授予合同时止，凡是与审查、澄清、评价和本次投标的有关资料以及授标建议等，采购人、评委、招标代理均不得向投标人或与评标无关的其他人员透露。</w:t>
      </w:r>
    </w:p>
    <w:p w14:paraId="6981AB7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在评标过程中，投标人不得以任何行为影响评标过程，否则其投标文件将被作为无效投标文件。</w:t>
      </w:r>
    </w:p>
    <w:p w14:paraId="723D017E">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.3 招标代理和评标委员会不向未中标的投标人解释未中标原因，也不公布评标过程中的相关细节。</w:t>
      </w:r>
    </w:p>
    <w:p w14:paraId="1C6D9D3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.4 采用综合评分法的项目，未中标的投标人可于中标结果公告期限届满之日起通过苏采云系统查看自己的评审得分及排序情况。</w:t>
      </w:r>
    </w:p>
    <w:p w14:paraId="26682399">
      <w:pPr>
        <w:pStyle w:val="195"/>
        <w:spacing w:before="0" w:after="0" w:line="360" w:lineRule="exact"/>
        <w:ind w:firstLine="361"/>
        <w:rPr>
          <w:rFonts w:ascii="仿宋" w:hAnsi="仿宋" w:eastAsia="仿宋" w:cs="仿宋"/>
          <w:color w:val="auto"/>
          <w:sz w:val="24"/>
          <w:szCs w:val="24"/>
          <w:highlight w:val="none"/>
        </w:rPr>
      </w:pPr>
      <w:bookmarkStart w:id="251" w:name="_Toc20823304"/>
      <w:bookmarkStart w:id="252" w:name="_Toc513029232"/>
      <w:bookmarkStart w:id="253" w:name="_Toc16938548"/>
      <w:r>
        <w:rPr>
          <w:rFonts w:hint="eastAsia" w:ascii="仿宋" w:hAnsi="仿宋" w:eastAsia="仿宋" w:cs="仿宋"/>
          <w:color w:val="auto"/>
          <w:sz w:val="24"/>
          <w:szCs w:val="24"/>
          <w:highlight w:val="none"/>
        </w:rPr>
        <w:t>26.投标文件的澄清</w:t>
      </w:r>
      <w:bookmarkEnd w:id="251"/>
      <w:bookmarkEnd w:id="252"/>
      <w:bookmarkEnd w:id="253"/>
    </w:p>
    <w:p w14:paraId="41CB455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评标期间，评标委员会对投标文件中含义不明确、同类问题表述不一致或者有明显文字和计算错误的内容 ，有权要求投标人作出必要的澄清、说明或者补正。</w:t>
      </w:r>
    </w:p>
    <w:p w14:paraId="2BCED76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投标人的澄清、说明或者补正不得超出投标文件的范围或者改变投标文件的实质性内容。</w:t>
      </w:r>
    </w:p>
    <w:p w14:paraId="4893173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评标委员会并非对每个投标人都做澄清要求。</w:t>
      </w:r>
    </w:p>
    <w:p w14:paraId="3670797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.2 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833E1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.3 接到评标委员会澄清、说明和补正要求的投标人如未按规定做出澄清、说明和补正，其风险由投标人自行承担。</w:t>
      </w:r>
    </w:p>
    <w:p w14:paraId="5ECBDBD7">
      <w:pPr>
        <w:pStyle w:val="195"/>
        <w:spacing w:before="0" w:after="0" w:line="360" w:lineRule="exact"/>
        <w:ind w:firstLine="361"/>
        <w:rPr>
          <w:rFonts w:ascii="仿宋" w:hAnsi="仿宋" w:eastAsia="仿宋" w:cs="仿宋"/>
          <w:color w:val="auto"/>
          <w:sz w:val="24"/>
          <w:szCs w:val="24"/>
          <w:highlight w:val="none"/>
        </w:rPr>
      </w:pPr>
      <w:bookmarkStart w:id="254" w:name="_Toc513029233"/>
      <w:bookmarkStart w:id="255" w:name="_Toc20823305"/>
      <w:bookmarkStart w:id="256" w:name="_Toc16938549"/>
      <w:r>
        <w:rPr>
          <w:rFonts w:hint="eastAsia" w:ascii="仿宋" w:hAnsi="仿宋" w:eastAsia="仿宋" w:cs="仿宋"/>
          <w:color w:val="auto"/>
          <w:sz w:val="24"/>
          <w:szCs w:val="24"/>
          <w:highlight w:val="none"/>
        </w:rPr>
        <w:t>27.对投标文件的初审</w:t>
      </w:r>
      <w:bookmarkEnd w:id="254"/>
      <w:bookmarkEnd w:id="255"/>
      <w:bookmarkEnd w:id="256"/>
    </w:p>
    <w:p w14:paraId="5BDAB4C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投标文件初审分为资格审查和符合性审查。</w:t>
      </w:r>
    </w:p>
    <w:p w14:paraId="05FE2C8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.1.1 资格审查：依据法律法规和招标文件的规定，由采购人对投标文件中的资格证明文件进行审查。资格审查的结论，采购人以书面形式向评标委员会进行反馈。</w:t>
      </w:r>
    </w:p>
    <w:p w14:paraId="6BDBF66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采购人在进行资格性审查的同时，将在“信用中国”网站（www.creditchina.gov.cn）和“中国政府采购网"（www.ccgp.gov.cn）查询投标人的信用记录，以确定投标人是否具备投标资格，查询结果留存并归档。</w:t>
      </w:r>
    </w:p>
    <w:p w14:paraId="77012BD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5292E96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.1.2 符合性审查：依据招标文件的规定，由评标委员会从投标文件的有效性、完整性和对招标文件的响应程度进行审查，以确定是否对招标文件的实质性要求作出响应。</w:t>
      </w:r>
    </w:p>
    <w:p w14:paraId="7357C6E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.1.3 未通过资格审查或符合性审查的投标人，招标代理机构将在苏采云系统中告知未通过资格审查或符合性审查的原因，评标结束后，采购人和招标代理机构将不再告知未通过资格审查和符合性审查的原因。</w:t>
      </w:r>
    </w:p>
    <w:p w14:paraId="0E29C2C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在详细评标之前，评标委员会将首先审查每份投标文件是否实质性响应了招标文件的要求。实质性响应的投标应该是与招标文件要求的全部条款、条件和规格相符，没有重大偏离或保留的投标。</w:t>
      </w:r>
    </w:p>
    <w:p w14:paraId="652C35E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187E334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如果投标文件实质上没有响应招标文件的要求，评标委员会将予以拒绝，投标人不得通过修改或撤销不符合要求的偏离或保留而使其投标成为实质性响应的投标。</w:t>
      </w:r>
    </w:p>
    <w:p w14:paraId="414B269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.4</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评标委员会将对确定为实质性响应的投标进行进一步审核，确定其是否有计算上或累加上的算术错误，修正错误的原则如下：</w:t>
      </w:r>
    </w:p>
    <w:p w14:paraId="78B2793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（1）投标文件中开标一览表内容与投标文件中相应内容不一致的，以开标一览表为准。</w:t>
      </w:r>
    </w:p>
    <w:p w14:paraId="7EE9987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（2）大写金额和小写金额不一致的，以大写金额为准。</w:t>
      </w:r>
    </w:p>
    <w:p w14:paraId="3124186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（3）单价金额小数点或者百分比有明显错位的，以开标一览表的总价为准，并修改单价。</w:t>
      </w:r>
    </w:p>
    <w:p w14:paraId="0510408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（4）总价金额与按单价汇总金额不一致的，以单价金额计算结果为准。</w:t>
      </w:r>
    </w:p>
    <w:p w14:paraId="2A3295E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同时出现两种以上错误的，按照前款规定的顺序修正。</w:t>
      </w:r>
    </w:p>
    <w:p w14:paraId="3CAE503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.5 评标委员会将按上述修正错误的方法调整投标文件中的投标报价，并通过苏采云系统告知投标人，调整后的价格应对投标人具有约束力。如果投标人不接受修正后的价格，则其投标将被拒绝。</w:t>
      </w:r>
    </w:p>
    <w:p w14:paraId="4F471AB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 xml:space="preserve"> 投标人在开、评标全过程中应保持通讯畅通，及时登录苏采云系统查阅、答复相关信息，并安排专人与</w:t>
      </w:r>
      <w:r>
        <w:rPr>
          <w:rFonts w:hint="eastAsia" w:ascii="仿宋" w:hAnsi="仿宋" w:eastAsia="仿宋" w:cs="仿宋"/>
          <w:color w:val="auto"/>
          <w:sz w:val="22"/>
          <w:szCs w:val="22"/>
          <w:highlight w:val="none"/>
        </w:rPr>
        <w:t>招标代理机构</w:t>
      </w:r>
      <w:r>
        <w:rPr>
          <w:rFonts w:hint="eastAsia" w:ascii="仿宋" w:hAnsi="仿宋" w:eastAsia="仿宋" w:cs="仿宋"/>
          <w:color w:val="auto"/>
          <w:sz w:val="22"/>
          <w:szCs w:val="22"/>
          <w:highlight w:val="none"/>
          <w:lang w:val="zh-CN"/>
        </w:rPr>
        <w:t>及评标委员会联系。</w:t>
      </w:r>
      <w:bookmarkStart w:id="257" w:name="_Toc20823306"/>
      <w:bookmarkStart w:id="258" w:name="_Toc16938550"/>
      <w:bookmarkStart w:id="259" w:name="_Toc513029234"/>
    </w:p>
    <w:p w14:paraId="62B45B0B">
      <w:pPr>
        <w:spacing w:line="400" w:lineRule="exact"/>
        <w:ind w:firstLine="420"/>
        <w:rPr>
          <w:rFonts w:ascii="方正魏碑_GBK" w:hAnsi="方正魏碑_GBK" w:eastAsia="方正魏碑_GBK" w:cs="方正魏碑_GBK"/>
          <w:color w:val="auto"/>
          <w:sz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 xml:space="preserve"> 异常低价投标审查</w:t>
      </w:r>
    </w:p>
    <w:p w14:paraId="368CD6C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27.7.1 评标过程中出现下列情形之一的，评标委员会应当启动异常低价投标审查程序：</w:t>
      </w:r>
    </w:p>
    <w:p w14:paraId="7E2F00A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（1）投标报价低于全部通过符合性审查供应商投标报价平均值50%的，即投标报价&lt;全部通过符合性审查供应商投标报价平均值×50%；</w:t>
      </w:r>
    </w:p>
    <w:p w14:paraId="349651A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（2）投标报价低于通过符合性审查的次低报价供应商投标报价50%的，即投标报价&lt;通过符合性审查的次低报价供应商投标报价×50%；</w:t>
      </w:r>
    </w:p>
    <w:p w14:paraId="11BBD21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（3）投标报价低于采购项目最高限价45%的，即投标报价&lt;采购项目最高限价×45%；</w:t>
      </w:r>
    </w:p>
    <w:p w14:paraId="4B6712A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（4）评标委员会基于专业判断，认为供应商报价过低，有可能影响产品质量或者不能诚信履约的其他情形。</w:t>
      </w:r>
    </w:p>
    <w:p w14:paraId="66445BC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sz w:val="22"/>
          <w:szCs w:val="22"/>
          <w:highlight w:val="none"/>
          <w:u w:val="single"/>
          <w:lang w:val="zh-CN"/>
        </w:rPr>
        <w:t>其中投标报价低于采购项目最高限价（预算）45%的，投标人应在投标文件中提供合理性相关书面说明及必要的证明材料。</w:t>
      </w:r>
    </w:p>
    <w:p w14:paraId="06DDD38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bookmarkEnd w:id="257"/>
    <w:bookmarkEnd w:id="258"/>
    <w:bookmarkEnd w:id="259"/>
    <w:p w14:paraId="294DCAC3">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28.无效投标条款和废标条款</w:t>
      </w:r>
    </w:p>
    <w:p w14:paraId="05721501">
      <w:pPr>
        <w:spacing w:line="360" w:lineRule="exact"/>
        <w:ind w:firstLine="440"/>
        <w:rPr>
          <w:rFonts w:ascii="仿宋" w:hAnsi="仿宋" w:eastAsia="仿宋" w:cs="仿宋"/>
          <w:color w:val="auto"/>
          <w:sz w:val="22"/>
          <w:szCs w:val="22"/>
          <w:highlight w:val="none"/>
          <w:lang w:val="zh-CN"/>
        </w:rPr>
      </w:pPr>
      <w:bookmarkStart w:id="260" w:name="_Toc16938551"/>
      <w:bookmarkStart w:id="261" w:name="_Toc20823307"/>
      <w:bookmarkStart w:id="262" w:name="_Toc513029235"/>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无效投标条款</w:t>
      </w:r>
    </w:p>
    <w:p w14:paraId="1F84283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）投标人在苏采云系统规定的时间内未成功解密电子投标文件的。</w:t>
      </w:r>
    </w:p>
    <w:p w14:paraId="6EDFB40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投标人未按照招标文件要求上传电子投标文件的。</w:t>
      </w:r>
    </w:p>
    <w:p w14:paraId="6604E82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）投标人同一采购包提交两个（含两个）以上不同的投标报价的。</w:t>
      </w:r>
    </w:p>
    <w:p w14:paraId="5C4E619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）投标人不具备招标文件中规定资格要求的。</w:t>
      </w:r>
    </w:p>
    <w:p w14:paraId="7F5B73C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）投标人的报价超过了采购预算或最高限价的。</w:t>
      </w:r>
    </w:p>
    <w:p w14:paraId="1415592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）未通过符合性审查的。</w:t>
      </w:r>
    </w:p>
    <w:p w14:paraId="0E6FF13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）不符合招标文件中规定的其他实质性要求的。</w:t>
      </w:r>
    </w:p>
    <w:p w14:paraId="6C6ACFF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024174B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）投标文件含有采购人不能接受的附加条件的。</w:t>
      </w:r>
    </w:p>
    <w:p w14:paraId="503E7A2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10</w:t>
      </w:r>
      <w:r>
        <w:rPr>
          <w:rFonts w:hint="eastAsia" w:ascii="仿宋" w:hAnsi="仿宋" w:eastAsia="仿宋" w:cs="仿宋"/>
          <w:color w:val="auto"/>
          <w:sz w:val="22"/>
          <w:szCs w:val="22"/>
          <w:highlight w:val="none"/>
          <w:lang w:val="zh-CN"/>
        </w:rPr>
        <w:t>）评标委员会按照本招标文件规定对投标人进行异常低价投标审查后，认为投标人不能证明其报价合理性的。</w:t>
      </w:r>
    </w:p>
    <w:p w14:paraId="63CE680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11</w:t>
      </w:r>
      <w:r>
        <w:rPr>
          <w:rFonts w:hint="eastAsia" w:ascii="仿宋" w:hAnsi="仿宋" w:eastAsia="仿宋" w:cs="仿宋"/>
          <w:color w:val="auto"/>
          <w:sz w:val="22"/>
          <w:szCs w:val="22"/>
          <w:highlight w:val="none"/>
          <w:lang w:val="zh-CN"/>
        </w:rPr>
        <w:t>）投标文件未按照招标文件要求加盖CA电子公章的。</w:t>
      </w:r>
    </w:p>
    <w:p w14:paraId="5F663923">
      <w:pPr>
        <w:spacing w:line="360" w:lineRule="exact"/>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12）投标人所提供的服务不符合招标文件中所列国家强制性标准的。</w:t>
      </w:r>
    </w:p>
    <w:p w14:paraId="624956C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（13）</w:t>
      </w:r>
      <w:r>
        <w:rPr>
          <w:rFonts w:hint="eastAsia" w:ascii="仿宋" w:hAnsi="仿宋" w:eastAsia="仿宋" w:cs="仿宋"/>
          <w:color w:val="auto"/>
          <w:sz w:val="22"/>
          <w:szCs w:val="22"/>
          <w:highlight w:val="none"/>
          <w:lang w:val="zh-CN"/>
        </w:rPr>
        <w:t>其他法律法规及本招标文件规定的属于无效投标的情形。</w:t>
      </w:r>
    </w:p>
    <w:p w14:paraId="6E73C1F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.2废标条款</w:t>
      </w:r>
    </w:p>
    <w:p w14:paraId="2D0E014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）符合资格条件的供应商或者对招标文件作实质响应的供应商不足三家的。</w:t>
      </w:r>
    </w:p>
    <w:p w14:paraId="630EE1C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）出现影响采购公正的违法、违规行为的。</w:t>
      </w:r>
    </w:p>
    <w:p w14:paraId="3E68CFD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）因重大变故，采购任务取消的。</w:t>
      </w:r>
    </w:p>
    <w:p w14:paraId="5A254BE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）评标委员会认定招标文件存在歧义、重大缺陷导致评审工作无法进行的。</w:t>
      </w:r>
    </w:p>
    <w:p w14:paraId="37316836">
      <w:pPr>
        <w:spacing w:line="360" w:lineRule="exact"/>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5）因苏采云系统故障原因造成开标不成功的。</w:t>
      </w:r>
    </w:p>
    <w:p w14:paraId="32320EB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.3 投标截止时间结束后参加投标的供应商不足三家的处理：如出现投标截止时间结束后参加投标的供应商或者在评标期间对招标文件做出实质响应的供应商不足三家情况，按政府采购相关规定执行。</w:t>
      </w:r>
    </w:p>
    <w:p w14:paraId="66AC809F">
      <w:pPr>
        <w:pStyle w:val="193"/>
        <w:spacing w:before="0" w:after="0" w:line="360" w:lineRule="exact"/>
        <w:ind w:firstLine="498"/>
        <w:rPr>
          <w:rFonts w:ascii="仿宋" w:hAnsi="仿宋" w:eastAsia="仿宋" w:cs="仿宋"/>
          <w:color w:val="auto"/>
          <w:highlight w:val="none"/>
        </w:rPr>
      </w:pPr>
      <w:bookmarkStart w:id="263" w:name="_Toc30059"/>
      <w:bookmarkStart w:id="264" w:name="_Toc30637"/>
      <w:bookmarkStart w:id="265" w:name="_Toc120614219"/>
      <w:bookmarkStart w:id="266" w:name="_Toc27185"/>
      <w:r>
        <w:rPr>
          <w:rFonts w:hint="eastAsia" w:ascii="仿宋" w:hAnsi="仿宋" w:eastAsia="仿宋" w:cs="仿宋"/>
          <w:color w:val="auto"/>
          <w:highlight w:val="none"/>
        </w:rPr>
        <w:t>六、</w:t>
      </w:r>
      <w:bookmarkEnd w:id="260"/>
      <w:bookmarkEnd w:id="261"/>
      <w:bookmarkEnd w:id="262"/>
      <w:r>
        <w:rPr>
          <w:rFonts w:hint="eastAsia" w:ascii="仿宋" w:hAnsi="仿宋" w:eastAsia="仿宋" w:cs="仿宋"/>
          <w:color w:val="auto"/>
          <w:highlight w:val="none"/>
        </w:rPr>
        <w:t>定标</w:t>
      </w:r>
      <w:bookmarkEnd w:id="263"/>
      <w:bookmarkEnd w:id="264"/>
      <w:bookmarkEnd w:id="265"/>
      <w:bookmarkEnd w:id="266"/>
    </w:p>
    <w:p w14:paraId="7A3AF850">
      <w:pPr>
        <w:pStyle w:val="195"/>
        <w:spacing w:before="0" w:after="0" w:line="360" w:lineRule="exact"/>
        <w:ind w:firstLine="361"/>
        <w:rPr>
          <w:rFonts w:ascii="仿宋" w:hAnsi="仿宋" w:eastAsia="仿宋" w:cs="仿宋"/>
          <w:color w:val="auto"/>
          <w:sz w:val="24"/>
          <w:szCs w:val="24"/>
          <w:highlight w:val="none"/>
        </w:rPr>
      </w:pPr>
      <w:bookmarkStart w:id="267" w:name="_Toc513029238"/>
      <w:bookmarkStart w:id="268" w:name="_Toc16938554"/>
      <w:bookmarkStart w:id="269" w:name="_Toc20823310"/>
      <w:r>
        <w:rPr>
          <w:rFonts w:hint="eastAsia" w:ascii="仿宋" w:hAnsi="仿宋" w:eastAsia="仿宋" w:cs="仿宋"/>
          <w:color w:val="auto"/>
          <w:sz w:val="24"/>
          <w:szCs w:val="24"/>
          <w:highlight w:val="none"/>
        </w:rPr>
        <w:t>2</w:t>
      </w:r>
      <w:bookmarkEnd w:id="267"/>
      <w:r>
        <w:rPr>
          <w:rFonts w:hint="eastAsia" w:ascii="仿宋" w:hAnsi="仿宋" w:eastAsia="仿宋" w:cs="仿宋"/>
          <w:color w:val="auto"/>
          <w:sz w:val="24"/>
          <w:szCs w:val="24"/>
          <w:highlight w:val="none"/>
        </w:rPr>
        <w:t>9.确定</w:t>
      </w:r>
      <w:bookmarkEnd w:id="268"/>
      <w:bookmarkEnd w:id="269"/>
      <w:r>
        <w:rPr>
          <w:rFonts w:hint="eastAsia" w:ascii="仿宋" w:hAnsi="仿宋" w:eastAsia="仿宋" w:cs="仿宋"/>
          <w:color w:val="auto"/>
          <w:sz w:val="24"/>
          <w:szCs w:val="24"/>
          <w:highlight w:val="none"/>
        </w:rPr>
        <w:t>中标单位</w:t>
      </w:r>
    </w:p>
    <w:p w14:paraId="6F22C75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中标候选人的选取原则和数量见招标文件第五章规定。 </w:t>
      </w:r>
    </w:p>
    <w:p w14:paraId="38E8D95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.2 采购人应根据评标委员会推荐的中标候选人确定中标人。</w:t>
      </w:r>
    </w:p>
    <w:p w14:paraId="100A66D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.3 招标代理将在“江苏政府采购网‘苏采云’系统”发布中标公告，公告期限为1个工作日。</w:t>
      </w:r>
    </w:p>
    <w:p w14:paraId="24FB1A6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.4  若有充分证据证明，中标人出现下列情况之一的，一经查实，将被取消中标资格：</w:t>
      </w:r>
    </w:p>
    <w:p w14:paraId="0FAA247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）提供虚假材料谋取中标的。</w:t>
      </w:r>
    </w:p>
    <w:p w14:paraId="1952462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）向采购人、招标代理行贿或者提供其他不正当利益的。</w:t>
      </w:r>
    </w:p>
    <w:p w14:paraId="255AD7A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）属于本文件规定的无效条件，但在评标过程中又未被评标委员会发现的。</w:t>
      </w:r>
    </w:p>
    <w:p w14:paraId="196485A0">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）与采购人或者其他供应商恶意串通的。</w:t>
      </w:r>
    </w:p>
    <w:p w14:paraId="66F3B7C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）采取不正当手段诋毁、排挤其他供应商的。</w:t>
      </w:r>
    </w:p>
    <w:p w14:paraId="4560A41A">
      <w:pPr>
        <w:spacing w:line="360" w:lineRule="exact"/>
        <w:ind w:firstLine="440"/>
        <w:rPr>
          <w:rFonts w:ascii="仿宋" w:hAnsi="仿宋" w:eastAsia="仿宋" w:cs="仿宋"/>
          <w:color w:val="auto"/>
          <w:sz w:val="22"/>
          <w:szCs w:val="22"/>
          <w:highlight w:val="none"/>
          <w:lang w:val="zh-CN"/>
        </w:rPr>
      </w:pPr>
      <w:bookmarkStart w:id="270" w:name="_Toc200451960"/>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.5 有下列情形之一的，视为投标人串通投标，投标无效：</w:t>
      </w:r>
    </w:p>
    <w:p w14:paraId="44933AD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）不同投标人的投标文件由同一单位或者个人编制。</w:t>
      </w:r>
    </w:p>
    <w:p w14:paraId="52F72AA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）不同投标人委托同一单位或者个人办理投标事宜。</w:t>
      </w:r>
    </w:p>
    <w:p w14:paraId="6A235AF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）不同投标人的投标文件载明的项目管理成员或者联系人员为同一人。</w:t>
      </w:r>
    </w:p>
    <w:p w14:paraId="0C11A39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）不同投标人的投标文件异常一致或者投标报价呈规律性差异。</w:t>
      </w:r>
    </w:p>
    <w:p w14:paraId="0F5878F0">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30.质疑处理</w:t>
      </w:r>
      <w:bookmarkEnd w:id="270"/>
    </w:p>
    <w:p w14:paraId="2623B56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.1 提出质疑的供应商应当是参与所质疑项目采购活动的供应商。潜在供应商依法获取其可质疑的招标文件的，可以对招标文件提出质疑。</w:t>
      </w:r>
    </w:p>
    <w:p w14:paraId="33200E4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供应商认为招标文件、招标过程和采购结果使自己的权益受到损害的，可以在知道或应知其权益受到损害之日起七个工作日内，以书面形式向招标代理或采购人提出质疑。上述应知其权益受到损害之日，是指：</w:t>
      </w:r>
    </w:p>
    <w:p w14:paraId="7741652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对可以质疑的招标文件提出质疑的，为收到招标文件之日或者招标文件公告期限届满之日；</w:t>
      </w:r>
    </w:p>
    <w:p w14:paraId="7E0D785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对采购过程提出质疑的，为各采购程序环节结束之日；</w:t>
      </w:r>
    </w:p>
    <w:p w14:paraId="5DF1F23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对中标结果提出质疑的，为中标结果公告期限届满之日。</w:t>
      </w:r>
    </w:p>
    <w:p w14:paraId="4BE2E18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供应商应当在法定质疑期内一次性提出针对同一采购程序环节的质疑。供应商如在法定期限内对同一采购程序环节提出多次质疑的，招标代理、采购人将只对供应商第一次质疑作出答复。</w:t>
      </w:r>
    </w:p>
    <w:p w14:paraId="47F4AB4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3 </w:t>
      </w:r>
      <w:r>
        <w:rPr>
          <w:rFonts w:hint="eastAsia" w:ascii="仿宋" w:hAnsi="仿宋" w:eastAsia="仿宋" w:cs="仿宋"/>
          <w:color w:val="auto"/>
          <w:sz w:val="22"/>
          <w:szCs w:val="22"/>
          <w:highlight w:val="none"/>
          <w:lang w:val="zh-CN"/>
        </w:rPr>
        <w:t>质疑必须以参加投标的法定代表人或授权代表（投标文件中所确定的）纸质原件送达的方式提交。</w:t>
      </w:r>
    </w:p>
    <w:p w14:paraId="556F851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30.4 </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未参加投标活动的投标人或在投标活动中自身权益未受到损害的投标人所提出的质疑不予受理。</w:t>
      </w:r>
    </w:p>
    <w:p w14:paraId="65B956F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5 </w:t>
      </w:r>
      <w:r>
        <w:rPr>
          <w:rFonts w:hint="eastAsia" w:ascii="仿宋" w:hAnsi="仿宋" w:eastAsia="仿宋" w:cs="仿宋"/>
          <w:color w:val="auto"/>
          <w:sz w:val="22"/>
          <w:szCs w:val="22"/>
          <w:highlight w:val="none"/>
          <w:lang w:val="zh-CN"/>
        </w:rPr>
        <w:t>质疑函应当包括下列内容：</w:t>
      </w:r>
    </w:p>
    <w:p w14:paraId="5394DCB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质疑投标人的名称、地址、邮编、联系人、联系电话；</w:t>
      </w:r>
    </w:p>
    <w:p w14:paraId="6EE0C9B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具体的质疑事项及明确的请求；</w:t>
      </w:r>
    </w:p>
    <w:p w14:paraId="6514FB5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认为自己合法权益受到损害或可能受到损害的相关证据材料；</w:t>
      </w:r>
    </w:p>
    <w:p w14:paraId="49C2B5B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提起质疑的日期；</w:t>
      </w:r>
    </w:p>
    <w:p w14:paraId="0F444E3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p>
    <w:p w14:paraId="2F367D0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 招标</w:t>
      </w:r>
      <w:r>
        <w:rPr>
          <w:rFonts w:hint="eastAsia" w:ascii="仿宋" w:hAnsi="仿宋" w:eastAsia="仿宋" w:cs="仿宋"/>
          <w:color w:val="auto"/>
          <w:sz w:val="22"/>
          <w:szCs w:val="22"/>
          <w:highlight w:val="none"/>
          <w:lang w:val="zh-CN"/>
        </w:rPr>
        <w:t>代理机构收到质疑函后，将对质疑的形式和内容进行审查，如质疑函内容、格式不符合规定，招标代理机构将告知质疑人进行补正。</w:t>
      </w:r>
    </w:p>
    <w:p w14:paraId="3580A54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7 </w:t>
      </w:r>
      <w:r>
        <w:rPr>
          <w:rFonts w:hint="eastAsia" w:ascii="仿宋" w:hAnsi="仿宋" w:eastAsia="仿宋" w:cs="仿宋"/>
          <w:color w:val="auto"/>
          <w:sz w:val="22"/>
          <w:szCs w:val="22"/>
          <w:highlight w:val="none"/>
          <w:lang w:val="zh-CN"/>
        </w:rPr>
        <w:t>质疑人应当在法定质疑期限内进行补正并重新提交质疑函，拒不补正或者在法定期限内未重新提交质疑函的，为无效质疑，招标代理机构有权不予受理。</w:t>
      </w:r>
    </w:p>
    <w:p w14:paraId="2578BA8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 xml:space="preserve"> 以下情形的质疑不予受理</w:t>
      </w:r>
    </w:p>
    <w:p w14:paraId="62D57D1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内容不符合《政府采购质疑和投诉办法》第十二条规定的质疑。</w:t>
      </w:r>
    </w:p>
    <w:p w14:paraId="6C59BF7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）超出政府采购法定期限的质疑。</w:t>
      </w:r>
    </w:p>
    <w:p w14:paraId="2DFEDCD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）以传真、电子邮件等方式递交的非原件形式的质疑。</w:t>
      </w:r>
    </w:p>
    <w:p w14:paraId="6E21584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w:t>
      </w:r>
    </w:p>
    <w:p w14:paraId="7F2ECE8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）投标人组成联合体参加投标，联合体中任何一方或多方未按要求签字、盖章、加盖公章的质疑。</w:t>
      </w:r>
    </w:p>
    <w:p w14:paraId="6ECD112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p>
    <w:p w14:paraId="52773C6D">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31.中标通知书</w:t>
      </w:r>
    </w:p>
    <w:p w14:paraId="21AA332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.l 中标结果确定后，招标代理将向中标人发出中标通知书。请中标人在中标结果公示期满后，主动与项目负责人联系领取中标通知书。</w:t>
      </w:r>
    </w:p>
    <w:p w14:paraId="556480D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中标通知书将是合同的一个组成部分。对采购人和中标人均具有法律效力。中标通知书发出后，采购人改变中标结果的，或者中标人放弃中标项目的，应当依法承担法律责任。</w:t>
      </w:r>
    </w:p>
    <w:p w14:paraId="15077A07">
      <w:pPr>
        <w:pStyle w:val="193"/>
        <w:spacing w:before="0" w:after="0" w:line="360" w:lineRule="exact"/>
        <w:ind w:firstLine="498"/>
        <w:rPr>
          <w:rFonts w:ascii="仿宋" w:hAnsi="仿宋" w:eastAsia="仿宋" w:cs="仿宋"/>
          <w:color w:val="auto"/>
          <w:highlight w:val="none"/>
        </w:rPr>
      </w:pPr>
      <w:bookmarkStart w:id="271" w:name="_Toc20823308"/>
      <w:bookmarkStart w:id="272" w:name="_Toc25696"/>
      <w:bookmarkStart w:id="273" w:name="_Toc16938552"/>
      <w:bookmarkStart w:id="274" w:name="_Toc513029236"/>
      <w:bookmarkStart w:id="275" w:name="_Toc1711"/>
      <w:bookmarkStart w:id="276" w:name="_Toc25681"/>
      <w:bookmarkStart w:id="277" w:name="_Toc120614220"/>
      <w:r>
        <w:rPr>
          <w:rFonts w:hint="eastAsia" w:ascii="仿宋" w:hAnsi="仿宋" w:eastAsia="仿宋" w:cs="仿宋"/>
          <w:color w:val="auto"/>
          <w:highlight w:val="none"/>
        </w:rPr>
        <w:t>七、授予合同</w:t>
      </w:r>
      <w:bookmarkEnd w:id="271"/>
      <w:bookmarkEnd w:id="272"/>
      <w:bookmarkEnd w:id="273"/>
      <w:bookmarkEnd w:id="274"/>
      <w:bookmarkEnd w:id="275"/>
      <w:bookmarkEnd w:id="276"/>
      <w:bookmarkEnd w:id="277"/>
    </w:p>
    <w:p w14:paraId="23DEA021">
      <w:pPr>
        <w:pStyle w:val="195"/>
        <w:spacing w:before="0" w:after="0" w:line="360" w:lineRule="exact"/>
        <w:ind w:firstLine="361"/>
        <w:rPr>
          <w:rFonts w:ascii="仿宋" w:hAnsi="仿宋" w:eastAsia="仿宋" w:cs="仿宋"/>
          <w:color w:val="auto"/>
          <w:sz w:val="24"/>
          <w:szCs w:val="24"/>
          <w:highlight w:val="none"/>
        </w:rPr>
      </w:pPr>
      <w:bookmarkStart w:id="278" w:name="_Toc16938553"/>
      <w:bookmarkStart w:id="279" w:name="_Toc20823309"/>
      <w:bookmarkStart w:id="280" w:name="_Toc513029237"/>
      <w:r>
        <w:rPr>
          <w:rFonts w:hint="eastAsia" w:ascii="仿宋" w:hAnsi="仿宋" w:eastAsia="仿宋" w:cs="仿宋"/>
          <w:color w:val="auto"/>
          <w:sz w:val="24"/>
          <w:szCs w:val="24"/>
          <w:highlight w:val="none"/>
        </w:rPr>
        <w:t>32.签订合同</w:t>
      </w:r>
    </w:p>
    <w:p w14:paraId="6DD5DE0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.l</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中标人应当在中标通知书发出之日起三十日内，按照招标文件确定的事项与采购人签订政府采购合同。</w:t>
      </w:r>
    </w:p>
    <w:p w14:paraId="4F8FCCF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招标文件、中标人的投标文件及招标过程中有关澄清、承诺文件均应作为合同附件。</w:t>
      </w:r>
    </w:p>
    <w:p w14:paraId="1F85F09C">
      <w:pPr>
        <w:spacing w:line="360" w:lineRule="exact"/>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2BF32957">
      <w:pPr>
        <w:pStyle w:val="195"/>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33.服务（包含与服务相关的产品）的追加</w:t>
      </w:r>
    </w:p>
    <w:p w14:paraId="78AFFDB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政府采购合同履行中，采购人需追加与合同标的相同的服务（包含与服务相关的产品）的，在不改变合同其他条款的前提下，可以与中标人协商签订补充合同，但所有补充合同的采购金额不超过原合同金额10%。</w:t>
      </w:r>
      <w:bookmarkEnd w:id="278"/>
      <w:bookmarkEnd w:id="279"/>
      <w:bookmarkEnd w:id="280"/>
    </w:p>
    <w:p w14:paraId="3D354DAD">
      <w:pPr>
        <w:pStyle w:val="213"/>
        <w:ind w:left="0"/>
        <w:rPr>
          <w:rFonts w:ascii="仿宋" w:hAnsi="仿宋" w:eastAsia="仿宋" w:cs="仿宋"/>
          <w:color w:val="auto"/>
          <w:highlight w:val="none"/>
        </w:rPr>
      </w:pPr>
      <w:bookmarkStart w:id="281" w:name="_Toc16938558"/>
      <w:bookmarkStart w:id="282" w:name="_Toc120614221"/>
      <w:bookmarkStart w:id="283" w:name="_Toc479757207"/>
      <w:bookmarkStart w:id="284" w:name="_Toc20823314"/>
      <w:bookmarkStart w:id="285" w:name="_Toc513029242"/>
    </w:p>
    <w:bookmarkEnd w:id="281"/>
    <w:bookmarkEnd w:id="282"/>
    <w:bookmarkEnd w:id="283"/>
    <w:bookmarkEnd w:id="284"/>
    <w:bookmarkEnd w:id="285"/>
    <w:p w14:paraId="586DE8E9">
      <w:pPr>
        <w:pStyle w:val="191"/>
        <w:jc w:val="both"/>
        <w:rPr>
          <w:rFonts w:ascii="仿宋" w:hAnsi="仿宋" w:eastAsia="仿宋" w:cs="仿宋"/>
          <w:bCs/>
          <w:color w:val="auto"/>
          <w:sz w:val="44"/>
          <w:highlight w:val="none"/>
        </w:rPr>
      </w:pPr>
      <w:bookmarkStart w:id="286" w:name="_Toc2521"/>
      <w:bookmarkStart w:id="287" w:name="_Hlt16619350"/>
      <w:bookmarkStart w:id="288" w:name="_Toc120614244"/>
      <w:bookmarkStart w:id="289" w:name="_Toc16938590"/>
      <w:bookmarkStart w:id="290" w:name="_Toc20823346"/>
      <w:bookmarkStart w:id="291" w:name="_Toc479757211"/>
      <w:bookmarkStart w:id="292" w:name="_Toc462564139"/>
      <w:r>
        <w:rPr>
          <w:rFonts w:hint="eastAsia" w:ascii="仿宋" w:hAnsi="仿宋" w:eastAsia="仿宋" w:cs="仿宋"/>
          <w:bCs/>
          <w:color w:val="auto"/>
          <w:sz w:val="44"/>
          <w:highlight w:val="none"/>
        </w:rPr>
        <w:br w:type="page" w:clear="all"/>
      </w:r>
      <w:bookmarkStart w:id="293" w:name="_Toc1070"/>
      <w:r>
        <w:rPr>
          <w:rFonts w:hint="eastAsia" w:ascii="仿宋" w:hAnsi="仿宋" w:eastAsia="仿宋" w:cs="仿宋"/>
          <w:b/>
          <w:bCs/>
          <w:color w:val="auto"/>
          <w:sz w:val="40"/>
          <w:szCs w:val="40"/>
          <w:highlight w:val="none"/>
        </w:rPr>
        <w:t>第三章  合同文本</w:t>
      </w:r>
      <w:bookmarkEnd w:id="286"/>
      <w:r>
        <w:rPr>
          <w:rFonts w:hint="eastAsia" w:ascii="仿宋" w:hAnsi="仿宋" w:eastAsia="仿宋" w:cs="仿宋"/>
          <w:b/>
          <w:bCs/>
          <w:color w:val="auto"/>
          <w:sz w:val="40"/>
          <w:szCs w:val="40"/>
          <w:highlight w:val="none"/>
        </w:rPr>
        <w:t>（服务）</w:t>
      </w:r>
      <w:bookmarkEnd w:id="293"/>
    </w:p>
    <w:p w14:paraId="708E987C">
      <w:pPr>
        <w:spacing w:line="579" w:lineRule="exact"/>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 xml:space="preserve">合同编号： </w:t>
      </w:r>
    </w:p>
    <w:p w14:paraId="68DD46C6">
      <w:pPr>
        <w:spacing w:line="500" w:lineRule="exact"/>
        <w:rPr>
          <w:rFonts w:ascii="仿宋" w:hAnsi="仿宋" w:eastAsia="仿宋" w:cs="仿宋"/>
          <w:b/>
          <w:bCs/>
          <w:color w:val="auto"/>
          <w:sz w:val="36"/>
          <w:szCs w:val="36"/>
          <w:highlight w:val="none"/>
        </w:rPr>
      </w:pPr>
    </w:p>
    <w:p w14:paraId="614658BE">
      <w:pPr>
        <w:spacing w:line="500" w:lineRule="exact"/>
        <w:ind w:firstLine="723"/>
        <w:rPr>
          <w:rFonts w:ascii="仿宋" w:hAnsi="仿宋" w:eastAsia="仿宋" w:cs="仿宋"/>
          <w:b/>
          <w:bCs/>
          <w:color w:val="auto"/>
          <w:sz w:val="36"/>
          <w:szCs w:val="36"/>
          <w:highlight w:val="none"/>
        </w:rPr>
      </w:pPr>
    </w:p>
    <w:p w14:paraId="45D1694E">
      <w:pPr>
        <w:spacing w:line="500" w:lineRule="exact"/>
        <w:ind w:firstLine="723"/>
        <w:rPr>
          <w:rFonts w:ascii="仿宋" w:hAnsi="仿宋" w:eastAsia="仿宋" w:cs="仿宋"/>
          <w:b/>
          <w:bCs/>
          <w:color w:val="auto"/>
          <w:sz w:val="36"/>
          <w:szCs w:val="36"/>
          <w:highlight w:val="none"/>
        </w:rPr>
      </w:pPr>
    </w:p>
    <w:p w14:paraId="4EA968A5">
      <w:pPr>
        <w:spacing w:line="500" w:lineRule="exact"/>
        <w:ind w:firstLine="723"/>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p>
    <w:p w14:paraId="4B162E12">
      <w:pPr>
        <w:tabs>
          <w:tab w:val="center" w:pos="4476"/>
          <w:tab w:val="left" w:pos="7335"/>
        </w:tabs>
        <w:spacing w:line="360" w:lineRule="auto"/>
        <w:jc w:val="center"/>
        <w:rPr>
          <w:rFonts w:ascii="Calibri" w:hAnsi="Calibri" w:eastAsia="方正小标宋_GBK"/>
          <w:bCs/>
          <w:color w:val="auto"/>
          <w:sz w:val="52"/>
          <w:szCs w:val="52"/>
          <w:highlight w:val="none"/>
        </w:rPr>
      </w:pPr>
      <w:bookmarkStart w:id="294" w:name="_Toc20439"/>
      <w:r>
        <w:rPr>
          <w:rFonts w:hint="eastAsia" w:ascii="仿宋" w:hAnsi="仿宋" w:eastAsia="仿宋" w:cs="仿宋"/>
          <w:b/>
          <w:color w:val="auto"/>
          <w:sz w:val="52"/>
          <w:szCs w:val="52"/>
          <w:highlight w:val="none"/>
        </w:rPr>
        <w:t>省交通综合执法局政府采购合同</w:t>
      </w:r>
      <w:bookmarkEnd w:id="294"/>
    </w:p>
    <w:p w14:paraId="0D4282D5">
      <w:pPr>
        <w:tabs>
          <w:tab w:val="center" w:pos="4476"/>
          <w:tab w:val="left" w:pos="7335"/>
        </w:tabs>
        <w:spacing w:line="360" w:lineRule="auto"/>
        <w:jc w:val="center"/>
        <w:rPr>
          <w:rFonts w:eastAsia="方正小标宋_GBK"/>
          <w:color w:val="auto"/>
          <w:sz w:val="36"/>
          <w:szCs w:val="36"/>
          <w:highlight w:val="none"/>
        </w:rPr>
      </w:pPr>
      <w:bookmarkStart w:id="295" w:name="_Toc6902"/>
      <w:r>
        <w:rPr>
          <w:rFonts w:eastAsia="方正小标宋_GBK"/>
          <w:color w:val="auto"/>
          <w:sz w:val="36"/>
          <w:szCs w:val="36"/>
          <w:highlight w:val="none"/>
        </w:rPr>
        <w:t>（服务类</w:t>
      </w:r>
      <w:r>
        <w:rPr>
          <w:rFonts w:hint="eastAsia" w:eastAsia="方正小标宋_GBK"/>
          <w:color w:val="auto"/>
          <w:sz w:val="36"/>
          <w:szCs w:val="36"/>
          <w:highlight w:val="none"/>
        </w:rPr>
        <w:t>示范</w:t>
      </w:r>
      <w:r>
        <w:rPr>
          <w:rFonts w:eastAsia="方正小标宋_GBK"/>
          <w:color w:val="auto"/>
          <w:sz w:val="36"/>
          <w:szCs w:val="36"/>
          <w:highlight w:val="none"/>
        </w:rPr>
        <w:t>文本）</w:t>
      </w:r>
      <w:bookmarkEnd w:id="295"/>
    </w:p>
    <w:p w14:paraId="37A03EB9">
      <w:pPr>
        <w:tabs>
          <w:tab w:val="center" w:pos="4476"/>
          <w:tab w:val="left" w:pos="7335"/>
        </w:tabs>
        <w:spacing w:line="360" w:lineRule="auto"/>
        <w:jc w:val="center"/>
        <w:rPr>
          <w:rFonts w:eastAsia="方正小标宋_GBK"/>
          <w:bCs/>
          <w:color w:val="auto"/>
          <w:sz w:val="36"/>
          <w:szCs w:val="36"/>
          <w:highlight w:val="none"/>
        </w:rPr>
      </w:pPr>
    </w:p>
    <w:p w14:paraId="2B7D4810">
      <w:pPr>
        <w:tabs>
          <w:tab w:val="right" w:pos="8953"/>
        </w:tabs>
        <w:spacing w:line="360" w:lineRule="auto"/>
        <w:ind w:firstLine="720"/>
        <w:rPr>
          <w:color w:val="auto"/>
          <w:sz w:val="36"/>
          <w:szCs w:val="36"/>
          <w:highlight w:val="none"/>
        </w:rPr>
      </w:pPr>
    </w:p>
    <w:p w14:paraId="6342E415">
      <w:pPr>
        <w:tabs>
          <w:tab w:val="right" w:pos="8953"/>
        </w:tabs>
        <w:spacing w:line="360" w:lineRule="auto"/>
        <w:ind w:firstLine="720"/>
        <w:rPr>
          <w:color w:val="auto"/>
          <w:sz w:val="36"/>
          <w:szCs w:val="36"/>
          <w:highlight w:val="none"/>
        </w:rPr>
      </w:pPr>
    </w:p>
    <w:p w14:paraId="643C0E14">
      <w:pPr>
        <w:tabs>
          <w:tab w:val="right" w:pos="8953"/>
        </w:tabs>
        <w:spacing w:line="360" w:lineRule="auto"/>
        <w:ind w:firstLine="720"/>
        <w:rPr>
          <w:color w:val="auto"/>
          <w:sz w:val="36"/>
          <w:szCs w:val="36"/>
          <w:highlight w:val="none"/>
        </w:rPr>
      </w:pPr>
    </w:p>
    <w:p w14:paraId="5E2BEE03">
      <w:pPr>
        <w:tabs>
          <w:tab w:val="right" w:pos="8953"/>
        </w:tabs>
        <w:spacing w:line="360" w:lineRule="auto"/>
        <w:ind w:firstLine="720"/>
        <w:jc w:val="left"/>
        <w:rPr>
          <w:color w:val="auto"/>
          <w:sz w:val="36"/>
          <w:szCs w:val="36"/>
          <w:highlight w:val="none"/>
        </w:rPr>
      </w:pPr>
    </w:p>
    <w:p w14:paraId="2C4BCF08">
      <w:pPr>
        <w:tabs>
          <w:tab w:val="right" w:pos="8953"/>
        </w:tabs>
        <w:spacing w:line="360" w:lineRule="auto"/>
        <w:ind w:left="1928" w:hanging="1928"/>
        <w:jc w:val="left"/>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项目名称 ：</w:t>
      </w:r>
      <w:r>
        <w:rPr>
          <w:rFonts w:hint="eastAsia" w:ascii="仿宋" w:hAnsi="仿宋" w:eastAsia="仿宋" w:cs="仿宋"/>
          <w:b/>
          <w:color w:val="auto"/>
          <w:sz w:val="24"/>
          <w:szCs w:val="24"/>
          <w:highlight w:val="none"/>
          <w:u w:val="single"/>
        </w:rPr>
        <w:t xml:space="preserve">道路运输新业态市场风险动态监测技术辅助服务 </w:t>
      </w:r>
    </w:p>
    <w:p w14:paraId="7C9C4EF3">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甲方（买方）：</w:t>
      </w:r>
      <w:r>
        <w:rPr>
          <w:color w:val="auto"/>
          <w:highlight w:val="none"/>
        </w:rPr>
        <w:fldChar w:fldCharType="begin"/>
      </w:r>
      <w:r>
        <w:rPr>
          <w:color w:val="auto"/>
          <w:highlight w:val="none"/>
        </w:rPr>
        <w:instrText xml:space="preserve"> HYPERLINK "http://www.baidu.com/link?url=x8H3jAlDN4qU2T93-lBuHU7exF1GEpmWCn4tk_O4LacE-KJ1U-3wnnS1P4LJyWLoslsFoWA_SMC5hBEjdRFy3cAwVUv7HVy0u0xaliBn2GKLz3AwwovkHQmwnLOm633dO8T9NEfWCJ915pAI9Lqqk-MzpHq8kAPPYOn2xeBbKOMk9FoLOyQx495drNrc4LwQdRIAwatPVc0M4hc6V2JVg4odMK_69DH00wkHelElYy3T0XzasXjmrSVEfNBl40urZ6wtJAVR26KOvz7tnM7J4jsYo-iEhR24HURM5VUa7GQ5RWo29d8PdnRjsucGH8TXwYRt05kI4Sq3NadHBNEIGN1Nf5iBxMTpc_D4xRVuboe" \t "https://www.baidu.com/_blank" </w:instrText>
      </w:r>
      <w:r>
        <w:rPr>
          <w:color w:val="auto"/>
          <w:highlight w:val="none"/>
        </w:rPr>
        <w:fldChar w:fldCharType="separate"/>
      </w:r>
      <w:r>
        <w:rPr>
          <w:rFonts w:hint="eastAsia" w:ascii="仿宋" w:hAnsi="仿宋" w:eastAsia="仿宋" w:cs="仿宋"/>
          <w:b/>
          <w:color w:val="auto"/>
          <w:sz w:val="24"/>
          <w:szCs w:val="24"/>
          <w:highlight w:val="none"/>
          <w:u w:val="single"/>
        </w:rPr>
        <w:t>江苏省交通运输综合行政执法监督局</w:t>
      </w:r>
      <w:r>
        <w:rPr>
          <w:rFonts w:hint="eastAsia" w:ascii="仿宋" w:hAnsi="仿宋" w:eastAsia="仿宋" w:cs="仿宋"/>
          <w:b/>
          <w:color w:val="auto"/>
          <w:sz w:val="24"/>
          <w:szCs w:val="24"/>
          <w:highlight w:val="none"/>
          <w:u w:val="single"/>
        </w:rPr>
        <w:fldChar w:fldCharType="end"/>
      </w:r>
    </w:p>
    <w:p w14:paraId="5C17087E">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乙方（卖方）：</w:t>
      </w:r>
      <w:r>
        <w:rPr>
          <w:rFonts w:hint="eastAsia" w:ascii="仿宋" w:hAnsi="仿宋" w:eastAsia="仿宋" w:cs="仿宋"/>
          <w:b/>
          <w:color w:val="auto"/>
          <w:sz w:val="24"/>
          <w:szCs w:val="24"/>
          <w:highlight w:val="none"/>
          <w:u w:val="single"/>
        </w:rPr>
        <w:t xml:space="preserve">                                </w:t>
      </w:r>
    </w:p>
    <w:p w14:paraId="41C42B3C">
      <w:pPr>
        <w:spacing w:line="360" w:lineRule="auto"/>
        <w:ind w:firstLine="211"/>
        <w:rPr>
          <w:rFonts w:ascii="仿宋" w:hAnsi="仿宋" w:eastAsia="仿宋" w:cs="仿宋"/>
          <w:b/>
          <w:color w:val="auto"/>
          <w:szCs w:val="32"/>
          <w:highlight w:val="none"/>
          <w:u w:val="single"/>
        </w:rPr>
      </w:pPr>
    </w:p>
    <w:p w14:paraId="4F8A40F8">
      <w:pPr>
        <w:spacing w:line="360" w:lineRule="auto"/>
        <w:ind w:firstLine="720"/>
        <w:rPr>
          <w:rFonts w:ascii="仿宋" w:hAnsi="仿宋" w:eastAsia="仿宋" w:cs="仿宋"/>
          <w:color w:val="auto"/>
          <w:sz w:val="36"/>
          <w:szCs w:val="36"/>
          <w:highlight w:val="none"/>
        </w:rPr>
      </w:pPr>
    </w:p>
    <w:p w14:paraId="3E162536">
      <w:pPr>
        <w:spacing w:line="360" w:lineRule="auto"/>
        <w:ind w:firstLine="720"/>
        <w:rPr>
          <w:rFonts w:ascii="仿宋" w:hAnsi="仿宋" w:eastAsia="仿宋" w:cs="仿宋"/>
          <w:color w:val="auto"/>
          <w:sz w:val="36"/>
          <w:szCs w:val="36"/>
          <w:highlight w:val="none"/>
        </w:rPr>
      </w:pPr>
    </w:p>
    <w:p w14:paraId="15601BD8">
      <w:pPr>
        <w:pStyle w:val="216"/>
        <w:spacing w:line="360" w:lineRule="auto"/>
        <w:ind w:firstLine="480"/>
        <w:rPr>
          <w:rFonts w:ascii="仿宋" w:hAnsi="仿宋" w:eastAsia="仿宋" w:cs="仿宋"/>
          <w:color w:val="auto"/>
          <w:sz w:val="24"/>
          <w:highlight w:val="none"/>
        </w:rPr>
      </w:pPr>
    </w:p>
    <w:p w14:paraId="03763FAC">
      <w:pPr>
        <w:pStyle w:val="216"/>
        <w:spacing w:line="480" w:lineRule="exact"/>
        <w:ind w:firstLine="482"/>
        <w:rPr>
          <w:rFonts w:ascii="仿宋" w:hAnsi="仿宋" w:eastAsia="仿宋" w:cs="仿宋"/>
          <w:b/>
          <w:color w:val="auto"/>
          <w:sz w:val="24"/>
          <w:highlight w:val="none"/>
        </w:rPr>
      </w:pPr>
    </w:p>
    <w:p w14:paraId="367DBE31">
      <w:pPr>
        <w:pStyle w:val="216"/>
        <w:spacing w:line="480" w:lineRule="exact"/>
        <w:ind w:firstLine="482"/>
        <w:rPr>
          <w:rFonts w:ascii="仿宋" w:hAnsi="仿宋" w:eastAsia="仿宋" w:cs="仿宋"/>
          <w:b/>
          <w:color w:val="auto"/>
          <w:sz w:val="24"/>
          <w:highlight w:val="none"/>
        </w:rPr>
      </w:pPr>
    </w:p>
    <w:p w14:paraId="09395032">
      <w:pPr>
        <w:pStyle w:val="216"/>
        <w:spacing w:line="480" w:lineRule="exact"/>
        <w:ind w:firstLine="482"/>
        <w:rPr>
          <w:rFonts w:ascii="仿宋" w:hAnsi="仿宋" w:eastAsia="仿宋" w:cs="仿宋"/>
          <w:b/>
          <w:color w:val="auto"/>
          <w:sz w:val="24"/>
          <w:highlight w:val="none"/>
        </w:rPr>
      </w:pPr>
    </w:p>
    <w:p w14:paraId="44669BAB">
      <w:pPr>
        <w:pStyle w:val="216"/>
        <w:spacing w:line="480" w:lineRule="exact"/>
        <w:ind w:firstLine="482"/>
        <w:rPr>
          <w:rFonts w:ascii="仿宋" w:hAnsi="仿宋" w:eastAsia="仿宋" w:cs="仿宋"/>
          <w:b/>
          <w:color w:val="auto"/>
          <w:sz w:val="24"/>
          <w:highlight w:val="none"/>
        </w:rPr>
      </w:pPr>
    </w:p>
    <w:p w14:paraId="459A4CDD">
      <w:pPr>
        <w:pStyle w:val="19"/>
        <w:snapToGrid w:val="0"/>
        <w:spacing w:line="380" w:lineRule="exact"/>
        <w:rPr>
          <w:rFonts w:hint="default" w:ascii="仿宋" w:hAnsi="仿宋" w:eastAsia="仿宋" w:cs="仿宋"/>
          <w:b/>
          <w:bCs/>
          <w:snapToGrid w:val="0"/>
          <w:color w:val="auto"/>
          <w:sz w:val="24"/>
          <w:szCs w:val="24"/>
          <w:highlight w:val="none"/>
          <w:u w:color="595959"/>
        </w:rPr>
      </w:pPr>
      <w:r>
        <w:rPr>
          <w:rFonts w:ascii="仿宋" w:hAnsi="仿宋" w:eastAsia="仿宋" w:cs="仿宋"/>
          <w:b/>
          <w:bCs/>
          <w:snapToGrid w:val="0"/>
          <w:color w:val="auto"/>
          <w:sz w:val="24"/>
          <w:szCs w:val="24"/>
          <w:highlight w:val="none"/>
          <w:u w:color="595959"/>
        </w:rPr>
        <w:t>分包一合同：</w:t>
      </w:r>
    </w:p>
    <w:p w14:paraId="626631AC">
      <w:pPr>
        <w:pStyle w:val="19"/>
        <w:snapToGrid w:val="0"/>
        <w:spacing w:line="380" w:lineRule="exact"/>
        <w:ind w:firstLine="480"/>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甲、乙双方根据</w:t>
      </w:r>
      <w:r>
        <w:rPr>
          <w:rFonts w:ascii="仿宋" w:hAnsi="仿宋" w:eastAsia="仿宋" w:cs="仿宋"/>
          <w:snapToGrid w:val="0"/>
          <w:color w:val="auto"/>
          <w:sz w:val="24"/>
          <w:szCs w:val="24"/>
          <w:highlight w:val="none"/>
          <w:u w:val="single" w:color="595959"/>
        </w:rPr>
        <w:t xml:space="preserve"> 江苏柒采招标代理有限公司 </w:t>
      </w:r>
      <w:r>
        <w:rPr>
          <w:rFonts w:ascii="仿宋" w:hAnsi="仿宋" w:eastAsia="仿宋" w:cs="仿宋"/>
          <w:snapToGrid w:val="0"/>
          <w:color w:val="auto"/>
          <w:sz w:val="24"/>
          <w:szCs w:val="24"/>
          <w:highlight w:val="none"/>
          <w:u w:color="595959"/>
        </w:rPr>
        <w:t>（委托代理机构）</w:t>
      </w:r>
      <w:r>
        <w:rPr>
          <w:rFonts w:ascii="仿宋" w:hAnsi="仿宋" w:eastAsia="仿宋" w:cs="仿宋"/>
          <w:snapToGrid w:val="0"/>
          <w:color w:val="auto"/>
          <w:sz w:val="24"/>
          <w:szCs w:val="24"/>
          <w:highlight w:val="none"/>
          <w:u w:val="single" w:color="595959"/>
        </w:rPr>
        <w:t xml:space="preserve"> 道路运输新业态市场风险动态监测技术辅助服务</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项目</w:t>
      </w:r>
      <w:r>
        <w:rPr>
          <w:rFonts w:ascii="仿宋" w:hAnsi="仿宋" w:eastAsia="仿宋" w:cs="仿宋"/>
          <w:snapToGrid w:val="0"/>
          <w:color w:val="auto"/>
          <w:sz w:val="24"/>
          <w:szCs w:val="24"/>
          <w:highlight w:val="none"/>
          <w:u w:color="595959"/>
        </w:rPr>
        <w:sym w:font="Wingdings 2" w:char="0052"/>
      </w:r>
      <w:r>
        <w:rPr>
          <w:rFonts w:ascii="仿宋" w:hAnsi="仿宋" w:eastAsia="仿宋" w:cs="仿宋"/>
          <w:snapToGrid w:val="0"/>
          <w:color w:val="auto"/>
          <w:sz w:val="24"/>
          <w:szCs w:val="24"/>
          <w:highlight w:val="none"/>
          <w:u w:color="595959"/>
        </w:rPr>
        <w:t>公开招标</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竞争性谈判</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竞争性磋商</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单一来源谈判</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询价采购的结果，签署本合同。</w:t>
      </w:r>
    </w:p>
    <w:p w14:paraId="145E2748">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一、采购标的</w:t>
      </w:r>
    </w:p>
    <w:p w14:paraId="54A1E780">
      <w:pPr>
        <w:pStyle w:val="19"/>
        <w:snapToGrid w:val="0"/>
        <w:spacing w:line="380" w:lineRule="exact"/>
        <w:ind w:firstLine="360" w:firstLineChars="15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1.1 服务名称</w:t>
      </w:r>
    </w:p>
    <w:p w14:paraId="780401E0">
      <w:pPr>
        <w:pStyle w:val="19"/>
        <w:snapToGrid w:val="0"/>
        <w:spacing w:line="380" w:lineRule="exact"/>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val="single" w:color="595959"/>
        </w:rPr>
        <w:t xml:space="preserve">  道路运输新业态市场运营风险监测分析辅助技术服务  </w:t>
      </w:r>
    </w:p>
    <w:p w14:paraId="656E8796">
      <w:pPr>
        <w:pStyle w:val="19"/>
        <w:snapToGrid w:val="0"/>
        <w:spacing w:line="380" w:lineRule="exact"/>
        <w:ind w:firstLine="360" w:firstLineChars="15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1.2 服务范围、内容及服务要求</w:t>
      </w:r>
    </w:p>
    <w:p w14:paraId="4BC09396">
      <w:pPr>
        <w:pStyle w:val="19"/>
        <w:snapToGrid w:val="0"/>
        <w:spacing w:line="380" w:lineRule="exact"/>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val="single" w:color="595959"/>
        </w:rPr>
        <w:t xml:space="preserve">  详见招标文件采购需求  </w:t>
      </w:r>
      <w:r>
        <w:rPr>
          <w:rFonts w:ascii="仿宋" w:hAnsi="仿宋" w:eastAsia="仿宋" w:cs="仿宋"/>
          <w:snapToGrid w:val="0"/>
          <w:color w:val="auto"/>
          <w:sz w:val="24"/>
          <w:szCs w:val="24"/>
          <w:highlight w:val="none"/>
          <w:u w:color="595959"/>
        </w:rPr>
        <w:t xml:space="preserve"> </w:t>
      </w:r>
    </w:p>
    <w:p w14:paraId="6F68D2EC">
      <w:pPr>
        <w:pStyle w:val="19"/>
        <w:snapToGrid w:val="0"/>
        <w:spacing w:line="380" w:lineRule="exact"/>
        <w:ind w:firstLine="480"/>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 服务期限按照第</w:t>
      </w:r>
      <w:r>
        <w:rPr>
          <w:rFonts w:ascii="仿宋" w:hAnsi="仿宋" w:eastAsia="仿宋" w:cs="仿宋"/>
          <w:snapToGrid w:val="0"/>
          <w:color w:val="auto"/>
          <w:sz w:val="24"/>
          <w:szCs w:val="24"/>
          <w:highlight w:val="none"/>
          <w:u w:val="single" w:color="595959"/>
        </w:rPr>
        <w:t xml:space="preserve"> （2） </w:t>
      </w:r>
      <w:r>
        <w:rPr>
          <w:rFonts w:ascii="仿宋" w:hAnsi="仿宋" w:eastAsia="仿宋" w:cs="仿宋"/>
          <w:snapToGrid w:val="0"/>
          <w:color w:val="auto"/>
          <w:sz w:val="24"/>
          <w:szCs w:val="24"/>
          <w:highlight w:val="none"/>
          <w:u w:color="595959"/>
        </w:rPr>
        <w:t>种方式明确</w:t>
      </w:r>
    </w:p>
    <w:p w14:paraId="774D6967">
      <w:pPr>
        <w:pStyle w:val="19"/>
        <w:snapToGrid w:val="0"/>
        <w:spacing w:line="380" w:lineRule="exact"/>
        <w:ind w:firstLine="480"/>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（1）本合同服务期限自</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日起，至</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日止。</w:t>
      </w:r>
    </w:p>
    <w:p w14:paraId="17C92ED1">
      <w:pPr>
        <w:pStyle w:val="19"/>
        <w:snapToGrid w:val="0"/>
        <w:spacing w:line="380" w:lineRule="exact"/>
        <w:ind w:firstLine="480"/>
        <w:jc w:val="left"/>
        <w:rPr>
          <w:rFonts w:hint="default" w:ascii="仿宋" w:hAnsi="仿宋" w:eastAsia="仿宋" w:cs="仿宋"/>
          <w:color w:val="auto"/>
          <w:sz w:val="30"/>
          <w:szCs w:val="30"/>
          <w:highlight w:val="none"/>
        </w:rPr>
      </w:pPr>
      <w:r>
        <w:rPr>
          <w:rFonts w:ascii="仿宋" w:hAnsi="仿宋" w:eastAsia="仿宋" w:cs="仿宋"/>
          <w:snapToGrid w:val="0"/>
          <w:color w:val="auto"/>
          <w:sz w:val="24"/>
          <w:szCs w:val="24"/>
          <w:highlight w:val="none"/>
          <w:u w:color="595959"/>
        </w:rPr>
        <w:t xml:space="preserve">（2）本合同服务期限自签订合同之日起，至 </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 xml:space="preserve"> 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日止。</w:t>
      </w:r>
    </w:p>
    <w:p w14:paraId="5C1BD20E">
      <w:pPr>
        <w:pStyle w:val="19"/>
        <w:snapToGrid w:val="0"/>
        <w:spacing w:line="380" w:lineRule="exact"/>
        <w:ind w:firstLine="480"/>
        <w:jc w:val="left"/>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（3）本合同服务期限自</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日起，至</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止。</w:t>
      </w:r>
    </w:p>
    <w:p w14:paraId="69839286">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1.4服务地点（域）</w:t>
      </w:r>
    </w:p>
    <w:p w14:paraId="597DFF6B">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本合同约定的服务地点（域）：</w:t>
      </w:r>
      <w:r>
        <w:rPr>
          <w:rFonts w:ascii="仿宋" w:hAnsi="仿宋" w:eastAsia="仿宋" w:cs="仿宋"/>
          <w:snapToGrid w:val="0"/>
          <w:color w:val="auto"/>
          <w:sz w:val="24"/>
          <w:szCs w:val="24"/>
          <w:highlight w:val="none"/>
          <w:u w:val="single" w:color="595959"/>
        </w:rPr>
        <w:t xml:space="preserve">  江苏省 </w:t>
      </w:r>
      <w:r>
        <w:rPr>
          <w:rFonts w:ascii="仿宋" w:hAnsi="仿宋" w:eastAsia="仿宋" w:cs="仿宋"/>
          <w:snapToGrid w:val="0"/>
          <w:color w:val="auto"/>
          <w:sz w:val="24"/>
          <w:szCs w:val="24"/>
          <w:highlight w:val="none"/>
          <w:u w:color="595959"/>
        </w:rPr>
        <w:t xml:space="preserve">。                                                               </w:t>
      </w:r>
    </w:p>
    <w:p w14:paraId="0A758FB0">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二、合同金额</w:t>
      </w:r>
    </w:p>
    <w:p w14:paraId="026DA54D">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2.1本合同金额按照第</w:t>
      </w:r>
      <w:r>
        <w:rPr>
          <w:rFonts w:ascii="仿宋" w:hAnsi="仿宋" w:eastAsia="仿宋" w:cs="仿宋"/>
          <w:snapToGrid w:val="0"/>
          <w:color w:val="auto"/>
          <w:sz w:val="24"/>
          <w:szCs w:val="24"/>
          <w:highlight w:val="none"/>
          <w:u w:val="single" w:color="595959"/>
        </w:rPr>
        <w:t xml:space="preserve"> （1） </w:t>
      </w:r>
      <w:r>
        <w:rPr>
          <w:rFonts w:ascii="仿宋" w:hAnsi="仿宋" w:eastAsia="仿宋" w:cs="仿宋"/>
          <w:snapToGrid w:val="0"/>
          <w:color w:val="auto"/>
          <w:sz w:val="24"/>
          <w:szCs w:val="24"/>
          <w:highlight w:val="none"/>
          <w:u w:color="595959"/>
        </w:rPr>
        <w:t>种方式明确：</w:t>
      </w:r>
    </w:p>
    <w:p w14:paraId="3B9BDB39">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(1)本合同为固定总价合同，合同金额（含税）为人民币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p>
    <w:p w14:paraId="5B42ACE6">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(2)本合同为固定单价合同，本项目预算金额为人民币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整），合同实施过程中单价不予调整，结算的服务费用以最终实际发生的服务数量为准。服务单价确定方式：</w:t>
      </w:r>
      <w:r>
        <w:rPr>
          <w:rFonts w:ascii="仿宋" w:hAnsi="仿宋" w:eastAsia="仿宋" w:cs="仿宋"/>
          <w:snapToGrid w:val="0"/>
          <w:color w:val="auto"/>
          <w:sz w:val="24"/>
          <w:szCs w:val="24"/>
          <w:highlight w:val="none"/>
          <w:u w:val="single" w:color="595959"/>
        </w:rPr>
        <w:t xml:space="preserve">                                                                </w:t>
      </w:r>
    </w:p>
    <w:p w14:paraId="0B7EA808">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(3)本合同为其他非固定总价合同，本项目预算金额为人民币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整），服务费用计算方式</w:t>
      </w:r>
      <w:r>
        <w:rPr>
          <w:rFonts w:ascii="仿宋" w:hAnsi="仿宋" w:eastAsia="仿宋" w:cs="仿宋"/>
          <w:snapToGrid w:val="0"/>
          <w:color w:val="auto"/>
          <w:sz w:val="24"/>
          <w:szCs w:val="24"/>
          <w:highlight w:val="none"/>
        </w:rPr>
        <w:t>：</w:t>
      </w:r>
      <w:r>
        <w:rPr>
          <w:rFonts w:ascii="仿宋" w:hAnsi="仿宋" w:eastAsia="仿宋" w:cs="仿宋"/>
          <w:snapToGrid w:val="0"/>
          <w:color w:val="auto"/>
          <w:sz w:val="24"/>
          <w:szCs w:val="24"/>
          <w:highlight w:val="none"/>
          <w:u w:val="single" w:color="595959"/>
        </w:rPr>
        <w:t xml:space="preserve">                                         </w:t>
      </w:r>
    </w:p>
    <w:p w14:paraId="0021284B">
      <w:pPr>
        <w:pStyle w:val="19"/>
        <w:snapToGrid w:val="0"/>
        <w:spacing w:line="380" w:lineRule="exact"/>
        <w:jc w:val="left"/>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val="single" w:color="595959"/>
        </w:rPr>
        <w:t xml:space="preserve">                                                                         </w:t>
      </w:r>
    </w:p>
    <w:p w14:paraId="35F5847D">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本合同价款包含所有乙方提供合同约定相关服务的报酬及乙方提供合同中相关服务所支出的必要费用，甲方在上述合同价款之外不再向乙方支付其他任何费用。</w:t>
      </w:r>
    </w:p>
    <w:p w14:paraId="321F7A86">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2.2关于合同金额计算的补充约定事项：</w:t>
      </w:r>
      <w:r>
        <w:rPr>
          <w:rFonts w:ascii="仿宋" w:hAnsi="仿宋" w:eastAsia="仿宋" w:cs="仿宋"/>
          <w:snapToGrid w:val="0"/>
          <w:color w:val="auto"/>
          <w:sz w:val="24"/>
          <w:szCs w:val="24"/>
          <w:highlight w:val="none"/>
          <w:u w:val="single" w:color="595959"/>
        </w:rPr>
        <w:t xml:space="preserve">                                    </w:t>
      </w:r>
    </w:p>
    <w:p w14:paraId="2A58C662">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三、合同履行</w:t>
      </w:r>
    </w:p>
    <w:p w14:paraId="461607EE">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3.1本合同范围内服务的提供参照本项目采购文件以及乙方响应文件承诺的具体要求履行，甲乙双方通过补充条款进行特殊约定的从其约定。</w:t>
      </w:r>
    </w:p>
    <w:p w14:paraId="0A3621ED">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3.2补充条款：</w:t>
      </w:r>
      <w:r>
        <w:rPr>
          <w:rFonts w:ascii="仿宋" w:hAnsi="仿宋" w:eastAsia="仿宋" w:cs="仿宋"/>
          <w:snapToGrid w:val="0"/>
          <w:color w:val="auto"/>
          <w:sz w:val="24"/>
          <w:szCs w:val="24"/>
          <w:highlight w:val="none"/>
          <w:u w:val="single" w:color="595959"/>
        </w:rPr>
        <w:t xml:space="preserve">                                                  　    </w:t>
      </w:r>
    </w:p>
    <w:p w14:paraId="684D9A6F">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四、服务成果内容和形式</w:t>
      </w:r>
    </w:p>
    <w:p w14:paraId="1B90D1CE">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4.1本合同应提交的成果内容、完成期限、成果形式及相关要求：</w:t>
      </w:r>
    </w:p>
    <w:p w14:paraId="4BDDA13E">
      <w:pPr>
        <w:spacing w:line="380" w:lineRule="exact"/>
        <w:ind w:firstLine="480" w:firstLineChars="200"/>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w:t>
      </w:r>
      <w:r>
        <w:rPr>
          <w:rFonts w:ascii="仿宋" w:hAnsi="仿宋" w:eastAsia="仿宋" w:cs="仿宋"/>
          <w:color w:val="auto"/>
          <w:sz w:val="24"/>
          <w:szCs w:val="24"/>
          <w:highlight w:val="none"/>
          <w:u w:val="single"/>
        </w:rPr>
        <w:t>1）</w:t>
      </w:r>
      <w:r>
        <w:rPr>
          <w:rFonts w:hint="eastAsia" w:ascii="仿宋" w:hAnsi="仿宋" w:eastAsia="仿宋" w:cs="仿宋"/>
          <w:color w:val="auto"/>
          <w:sz w:val="24"/>
          <w:szCs w:val="24"/>
          <w:highlight w:val="none"/>
          <w:u w:val="single"/>
        </w:rPr>
        <w:t>形成全省道路运输新业态市场风险评估报告（年度）；</w:t>
      </w:r>
    </w:p>
    <w:p w14:paraId="0C982974">
      <w:pPr>
        <w:spacing w:line="380" w:lineRule="exact"/>
        <w:ind w:firstLine="480" w:firstLineChars="200"/>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货车、网约车司机群体集中诉求分析报告（按月）；</w:t>
      </w:r>
    </w:p>
    <w:p w14:paraId="2D24A49E">
      <w:pPr>
        <w:spacing w:line="380" w:lineRule="exact"/>
        <w:ind w:firstLine="480" w:firstLineChars="200"/>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形成全省网约车行业执法监管动态监测报告（季报、年报）；</w:t>
      </w:r>
    </w:p>
    <w:p w14:paraId="7AFA67A9">
      <w:pPr>
        <w:spacing w:line="380" w:lineRule="exact"/>
        <w:ind w:firstLine="480" w:firstLineChars="200"/>
        <w:jc w:val="lef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4）</w:t>
      </w:r>
      <w:r>
        <w:rPr>
          <w:rFonts w:hint="eastAsia" w:ascii="仿宋" w:hAnsi="仿宋" w:eastAsia="仿宋" w:cs="仿宋"/>
          <w:color w:val="auto"/>
          <w:sz w:val="24"/>
          <w:szCs w:val="24"/>
          <w:highlight w:val="none"/>
          <w:u w:val="single"/>
        </w:rPr>
        <w:t>形成《江苏省交通运输道路行政执法检查计划编制指南》修订分析报告。</w:t>
      </w:r>
    </w:p>
    <w:p w14:paraId="73E8DBD0">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五、履约验收</w:t>
      </w:r>
    </w:p>
    <w:p w14:paraId="4ECEDF01">
      <w:pPr>
        <w:spacing w:line="380" w:lineRule="exact"/>
        <w:ind w:firstLine="480" w:firstLineChars="200"/>
        <w:jc w:val="lef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5.1 本合同履约验收要求为（包括但不限于：履约验收的实施主体、验收时间、验收方式、验收内容和标准）</w:t>
      </w:r>
      <w:r>
        <w:rPr>
          <w:rFonts w:hint="eastAsia" w:ascii="仿宋" w:hAnsi="仿宋" w:eastAsia="仿宋" w:cs="仿宋"/>
          <w:snapToGrid w:val="0"/>
          <w:color w:val="auto"/>
          <w:sz w:val="24"/>
          <w:szCs w:val="24"/>
          <w:highlight w:val="none"/>
          <w:u w:val="single"/>
        </w:rPr>
        <w:t xml:space="preserve">  参照《江苏省政府采购履约验收管理办法》要求，合同签订后满1年后组织专家对投标人提供的相关服务或交付的工作进行验收 </w:t>
      </w:r>
      <w:r>
        <w:rPr>
          <w:rFonts w:hint="eastAsia" w:ascii="仿宋" w:hAnsi="仿宋" w:eastAsia="仿宋" w:cs="仿宋"/>
          <w:snapToGrid w:val="0"/>
          <w:color w:val="auto"/>
          <w:sz w:val="24"/>
          <w:szCs w:val="24"/>
          <w:highlight w:val="none"/>
          <w:u w:color="595959"/>
        </w:rPr>
        <w:t>。</w:t>
      </w:r>
    </w:p>
    <w:p w14:paraId="3ED243C3">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5.2 甲方依据以上验收要求对乙方提供的相关服务进行阶段性验收（如有）及总体验收。</w:t>
      </w:r>
    </w:p>
    <w:p w14:paraId="7AD4EACA">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11058961">
      <w:pPr>
        <w:spacing w:line="380" w:lineRule="exact"/>
        <w:ind w:firstLine="354" w:firstLineChars="147"/>
        <w:rPr>
          <w:rFonts w:ascii="仿宋" w:hAnsi="仿宋" w:eastAsia="仿宋" w:cs="仿宋"/>
          <w:i/>
          <w:snapToGrid w:val="0"/>
          <w:color w:val="auto"/>
          <w:highlight w:val="none"/>
        </w:rPr>
      </w:pPr>
      <w:r>
        <w:rPr>
          <w:rFonts w:hint="eastAsia" w:ascii="仿宋" w:hAnsi="仿宋" w:eastAsia="仿宋" w:cs="仿宋"/>
          <w:b/>
          <w:snapToGrid w:val="0"/>
          <w:color w:val="auto"/>
          <w:sz w:val="24"/>
          <w:szCs w:val="24"/>
          <w:highlight w:val="none"/>
          <w:u w:color="595959"/>
        </w:rPr>
        <w:t xml:space="preserve">六、款项支付 </w:t>
      </w:r>
    </w:p>
    <w:p w14:paraId="35DD186D">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6.1 本合同款项采用以下第</w:t>
      </w:r>
      <w:r>
        <w:rPr>
          <w:rFonts w:hint="eastAsia" w:ascii="仿宋" w:hAnsi="仿宋" w:eastAsia="仿宋" w:cs="仿宋"/>
          <w:snapToGrid w:val="0"/>
          <w:color w:val="auto"/>
          <w:sz w:val="24"/>
          <w:szCs w:val="24"/>
          <w:highlight w:val="none"/>
          <w:u w:val="single" w:color="595959"/>
        </w:rPr>
        <w:t xml:space="preserve"> （1） </w:t>
      </w:r>
      <w:r>
        <w:rPr>
          <w:rFonts w:hint="eastAsia" w:ascii="仿宋" w:hAnsi="仿宋" w:eastAsia="仿宋" w:cs="仿宋"/>
          <w:snapToGrid w:val="0"/>
          <w:color w:val="auto"/>
          <w:sz w:val="24"/>
          <w:szCs w:val="24"/>
          <w:highlight w:val="none"/>
        </w:rPr>
        <w:t>种方式支付：</w:t>
      </w:r>
    </w:p>
    <w:p w14:paraId="75BCB73E">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 本合同款项分三期支付。支付条件（时间）及支付金额如下：</w:t>
      </w:r>
    </w:p>
    <w:p w14:paraId="30BE9DE0">
      <w:pPr>
        <w:spacing w:line="380" w:lineRule="exact"/>
        <w:ind w:firstLine="352" w:firstLineChars="147"/>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第一期:合同签订后</w:t>
      </w:r>
      <w:r>
        <w:rPr>
          <w:rFonts w:hint="eastAsia" w:ascii="仿宋" w:hAnsi="仿宋" w:eastAsia="仿宋" w:cs="仿宋"/>
          <w:snapToGrid w:val="0"/>
          <w:color w:val="auto"/>
          <w:sz w:val="24"/>
          <w:szCs w:val="24"/>
          <w:highlight w:val="none"/>
          <w:u w:val="single"/>
        </w:rPr>
        <w:t>30</w:t>
      </w:r>
      <w:r>
        <w:rPr>
          <w:rFonts w:hint="eastAsia" w:ascii="仿宋" w:hAnsi="仿宋" w:eastAsia="仿宋" w:cs="仿宋"/>
          <w:snapToGrid w:val="0"/>
          <w:color w:val="auto"/>
          <w:sz w:val="24"/>
          <w:szCs w:val="24"/>
          <w:highlight w:val="none"/>
          <w:u w:color="595959"/>
        </w:rPr>
        <w:t>个工作日内支付首付款，付款比例为合同金额的</w:t>
      </w:r>
      <w:r>
        <w:rPr>
          <w:rFonts w:hint="eastAsia" w:ascii="仿宋" w:hAnsi="仿宋" w:eastAsia="仿宋" w:cs="仿宋"/>
          <w:snapToGrid w:val="0"/>
          <w:color w:val="auto"/>
          <w:sz w:val="24"/>
          <w:szCs w:val="24"/>
          <w:highlight w:val="none"/>
          <w:u w:val="single" w:color="595959"/>
        </w:rPr>
        <w:t xml:space="preserve"> 50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31748682">
      <w:pPr>
        <w:spacing w:line="380" w:lineRule="exact"/>
        <w:ind w:firstLine="352" w:firstLineChars="147"/>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第二期：当</w:t>
      </w:r>
      <w:r>
        <w:rPr>
          <w:rFonts w:hint="eastAsia" w:ascii="仿宋" w:hAnsi="仿宋" w:eastAsia="仿宋" w:cs="仿宋"/>
          <w:snapToGrid w:val="0"/>
          <w:color w:val="auto"/>
          <w:sz w:val="24"/>
          <w:szCs w:val="24"/>
          <w:highlight w:val="none"/>
          <w:u w:val="single" w:color="595959"/>
        </w:rPr>
        <w:t xml:space="preserve">  乙方完成2026年12月10日之前的支撑服务，通过审查后30个工作日内 </w:t>
      </w:r>
      <w:r>
        <w:rPr>
          <w:rFonts w:hint="eastAsia" w:ascii="仿宋" w:hAnsi="仿宋" w:eastAsia="仿宋" w:cs="仿宋"/>
          <w:snapToGrid w:val="0"/>
          <w:color w:val="auto"/>
          <w:sz w:val="24"/>
          <w:szCs w:val="24"/>
          <w:highlight w:val="none"/>
        </w:rPr>
        <w:t>时支付第二期款项，</w:t>
      </w:r>
      <w:r>
        <w:rPr>
          <w:rFonts w:hint="eastAsia" w:ascii="仿宋" w:hAnsi="仿宋" w:eastAsia="仿宋" w:cs="仿宋"/>
          <w:snapToGrid w:val="0"/>
          <w:color w:val="auto"/>
          <w:sz w:val="24"/>
          <w:szCs w:val="24"/>
          <w:highlight w:val="none"/>
          <w:u w:color="595959"/>
        </w:rPr>
        <w:t>付款比例为合同金额的</w:t>
      </w:r>
      <w:r>
        <w:rPr>
          <w:rFonts w:hint="eastAsia" w:ascii="仿宋" w:hAnsi="仿宋" w:eastAsia="仿宋" w:cs="仿宋"/>
          <w:snapToGrid w:val="0"/>
          <w:color w:val="auto"/>
          <w:sz w:val="24"/>
          <w:szCs w:val="24"/>
          <w:highlight w:val="none"/>
          <w:u w:val="single" w:color="595959"/>
        </w:rPr>
        <w:t xml:space="preserve"> 16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63C5F841">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第三期：当乙方提供本合同所有服务成果并经甲方验收通过后</w:t>
      </w:r>
      <w:r>
        <w:rPr>
          <w:rFonts w:hint="eastAsia" w:ascii="仿宋" w:hAnsi="仿宋" w:eastAsia="仿宋" w:cs="仿宋"/>
          <w:snapToGrid w:val="0"/>
          <w:color w:val="auto"/>
          <w:sz w:val="24"/>
          <w:szCs w:val="24"/>
          <w:highlight w:val="none"/>
          <w:u w:val="single" w:color="595959"/>
        </w:rPr>
        <w:t xml:space="preserve"> 30 </w:t>
      </w:r>
      <w:r>
        <w:rPr>
          <w:rFonts w:hint="eastAsia" w:ascii="仿宋" w:hAnsi="仿宋" w:eastAsia="仿宋" w:cs="仿宋"/>
          <w:snapToGrid w:val="0"/>
          <w:color w:val="auto"/>
          <w:sz w:val="24"/>
          <w:szCs w:val="24"/>
          <w:highlight w:val="none"/>
        </w:rPr>
        <w:t>工作日内</w:t>
      </w:r>
      <w:r>
        <w:rPr>
          <w:rFonts w:hint="eastAsia" w:ascii="仿宋" w:hAnsi="仿宋" w:eastAsia="仿宋" w:cs="仿宋"/>
          <w:snapToGrid w:val="0"/>
          <w:color w:val="auto"/>
          <w:sz w:val="24"/>
          <w:szCs w:val="24"/>
          <w:highlight w:val="none"/>
          <w:u w:color="595959"/>
        </w:rPr>
        <w:t>，支付剩余款项，</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10C16C74">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(2)</w:t>
      </w:r>
      <w:r>
        <w:rPr>
          <w:rFonts w:hint="eastAsia" w:ascii="仿宋" w:hAnsi="仿宋" w:eastAsia="仿宋" w:cs="仿宋"/>
          <w:snapToGrid w:val="0"/>
          <w:color w:val="auto"/>
          <w:sz w:val="24"/>
          <w:szCs w:val="24"/>
          <w:highlight w:val="none"/>
        </w:rPr>
        <w:t xml:space="preserve"> </w:t>
      </w:r>
      <w:r>
        <w:rPr>
          <w:rFonts w:hint="eastAsia" w:ascii="仿宋" w:hAnsi="仿宋" w:eastAsia="仿宋" w:cs="仿宋"/>
          <w:snapToGrid w:val="0"/>
          <w:color w:val="auto"/>
          <w:sz w:val="24"/>
          <w:szCs w:val="24"/>
          <w:highlight w:val="none"/>
          <w:u w:color="595959"/>
        </w:rPr>
        <w:t>本合同款项分两期支付。支付条件（时间）及支付金额如下：</w:t>
      </w:r>
    </w:p>
    <w:p w14:paraId="3D51023F">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第一期:合同签订后</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color="595959"/>
        </w:rPr>
        <w:t>个工作日内支付首付款，付款比例为合同金额的</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1ECFA90D">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第二期：当乙方提供本合同所有服务成果并经甲方验收通过后</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工作日内</w:t>
      </w:r>
      <w:r>
        <w:rPr>
          <w:rFonts w:hint="eastAsia" w:ascii="仿宋" w:hAnsi="仿宋" w:eastAsia="仿宋" w:cs="仿宋"/>
          <w:snapToGrid w:val="0"/>
          <w:color w:val="auto"/>
          <w:sz w:val="24"/>
          <w:szCs w:val="24"/>
          <w:highlight w:val="none"/>
          <w:u w:color="595959"/>
        </w:rPr>
        <w:t>，支付剩余款项，</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602E5066">
      <w:pPr>
        <w:numPr>
          <w:ilvl w:val="0"/>
          <w:numId w:val="4"/>
        </w:num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rPr>
        <w:t>乙方无预付款要求的，在</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时按乙方实际完成的工作量据实结算。</w:t>
      </w:r>
    </w:p>
    <w:p w14:paraId="79FAD9C9">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(4)</w:t>
      </w:r>
      <w:r>
        <w:rPr>
          <w:rFonts w:hint="eastAsia" w:ascii="仿宋" w:hAnsi="仿宋" w:eastAsia="仿宋" w:cs="仿宋"/>
          <w:snapToGrid w:val="0"/>
          <w:color w:val="auto"/>
          <w:sz w:val="24"/>
          <w:szCs w:val="24"/>
          <w:highlight w:val="none"/>
        </w:rPr>
        <w:t>合同签订后</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个工作日内支付首付款，付款比例为合同金额的</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 xml:space="preserve"> 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整），其余费用</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按乙方实际进度工作量据实结算。</w:t>
      </w:r>
    </w:p>
    <w:p w14:paraId="2B16AC3E">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6.2甲方在支付上述款项前，应收到乙方提供的与应付款项等额的税务发票。因乙方未能根据合同提交相应票据和资料，导致甲方未能如期付款的，甲方不承担延期付款责任。</w:t>
      </w:r>
    </w:p>
    <w:p w14:paraId="00BCCAC8">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七、争议与纠纷处理</w:t>
      </w:r>
    </w:p>
    <w:p w14:paraId="17E56B65">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7.1 本合同执行过程中发生争议或纠纷时，由甲乙双方协商解决，若协商不成，双方一致同意采用以下第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种</w:t>
      </w:r>
      <w:r>
        <w:rPr>
          <w:rFonts w:hint="eastAsia" w:ascii="仿宋" w:hAnsi="仿宋" w:eastAsia="仿宋" w:cs="仿宋"/>
          <w:snapToGrid w:val="0"/>
          <w:color w:val="auto"/>
          <w:sz w:val="24"/>
          <w:szCs w:val="24"/>
          <w:highlight w:val="none"/>
          <w:u w:color="595959"/>
        </w:rPr>
        <w:t>方式处理：</w:t>
      </w:r>
    </w:p>
    <w:p w14:paraId="10D80F45">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（1）申请仲裁，约定向甲方所在地仲裁委员会申请仲裁。</w:t>
      </w:r>
    </w:p>
    <w:p w14:paraId="17254B08">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（2）提起诉讼，约定向甲方所在地法院提起诉讼。</w:t>
      </w:r>
    </w:p>
    <w:p w14:paraId="7E0CE6C5">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八、知识产权</w:t>
      </w:r>
    </w:p>
    <w:p w14:paraId="3F17000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5B8161B7">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九、产权归属</w:t>
      </w:r>
    </w:p>
    <w:p w14:paraId="4D5996A2">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9.1 本项目的成果形成的知识产权归属约定如下：</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______________。</w:t>
      </w:r>
    </w:p>
    <w:p w14:paraId="69BE56F6">
      <w:pPr>
        <w:pStyle w:val="19"/>
        <w:snapToGrid w:val="0"/>
        <w:spacing w:line="380" w:lineRule="exac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如未约定，产权均归属于甲方。</w:t>
      </w:r>
    </w:p>
    <w:p w14:paraId="48C374B9">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十、权利和义务</w:t>
      </w:r>
    </w:p>
    <w:p w14:paraId="7DE37FCB">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 甲方权利</w:t>
      </w:r>
    </w:p>
    <w:p w14:paraId="65B0A5B1">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10.1.1甲方有权对乙方依照合同提供的服务进行监督和检查。</w:t>
      </w:r>
    </w:p>
    <w:p w14:paraId="57654E2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10.1.2甲方有权对所发现的问题进行调查和处理，若发现乙方完成的服务内容与合同约定不符的，甲方有权要求乙方限期整改，若造成甲方损失，还应承担违约责任。</w:t>
      </w:r>
    </w:p>
    <w:p w14:paraId="4E46F31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 甲方义务</w:t>
      </w:r>
    </w:p>
    <w:p w14:paraId="3EC7FC00">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10.2.1 在能力范围内，配合乙方履行本合同，尽量为乙方的履约提供必要的支持。</w:t>
      </w:r>
    </w:p>
    <w:p w14:paraId="24C364D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10.2.2 按照合同约定向乙方支付款项。</w:t>
      </w:r>
    </w:p>
    <w:p w14:paraId="7EE89B13">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10.2.3 合同履行完毕后，及时组织验收。</w:t>
      </w:r>
    </w:p>
    <w:p w14:paraId="74A2A67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 乙方权利</w:t>
      </w:r>
    </w:p>
    <w:p w14:paraId="5D5D36DF">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10.3.1 乙方有权依约收取费用。</w:t>
      </w:r>
    </w:p>
    <w:p w14:paraId="1866D742">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10.3.2 乙方有权拒绝甲方提出的除合同约定和乙方承诺以外的其他要求。</w:t>
      </w:r>
    </w:p>
    <w:p w14:paraId="7FEA4E6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10.3.3 乙方有权拒绝甲方在服务过程中的不正当要求和违规行为，并可以依法主张其合法权利。</w:t>
      </w:r>
    </w:p>
    <w:p w14:paraId="263F1B76">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 乙方义务</w:t>
      </w:r>
    </w:p>
    <w:p w14:paraId="034FFD00">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10.4.1 严格执行国家的法律、法规，守法经营，按章办事，自觉维护甲方的利益。</w:t>
      </w:r>
    </w:p>
    <w:p w14:paraId="1F5E864D">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10.4.2 接受甲方的检查、监督，严格履行服务承诺，做到诚实、守信。</w:t>
      </w:r>
    </w:p>
    <w:p w14:paraId="19E35AE9">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10.4.3按照响应文件的承诺以服务进程进行管理与控制，包括制定方案、合理配备工作人员、设施设备，按期组织实施，交付项目成果，保证服务项目质量。</w:t>
      </w:r>
    </w:p>
    <w:p w14:paraId="2B6AC9C6">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5EBB8C89">
      <w:pPr>
        <w:pStyle w:val="19"/>
        <w:snapToGrid w:val="0"/>
        <w:spacing w:line="380" w:lineRule="exact"/>
        <w:ind w:firstLine="354" w:firstLineChars="147"/>
        <w:rPr>
          <w:rFonts w:hint="default" w:ascii="仿宋" w:hAnsi="仿宋" w:eastAsia="仿宋" w:cs="仿宋"/>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十一、违约责任</w:t>
      </w:r>
    </w:p>
    <w:p w14:paraId="50ECA659">
      <w:pPr>
        <w:autoSpaceDE w:val="0"/>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11.1如乙方未按合同约定，或未按照甲、乙双方最终商定的整改期限内完成本项目，每延期一日(或每发生一次)，甲方有权要求乙方向甲方支付合同总价</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‰的违约金，但违约金的总数不超过合同总价的10％。如延期超过</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日或者延误服务确认</w:t>
      </w:r>
    </w:p>
    <w:p w14:paraId="6E461B0E">
      <w:pPr>
        <w:autoSpaceDE w:val="0"/>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次，甲方有权解除合同，并要求乙方赔偿损失。</w:t>
      </w:r>
    </w:p>
    <w:p w14:paraId="1485899A">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11.2如甲方未按合同约定的期限付款，每延期一日，乙方有权要求甲方支付合同总价</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‰的违约金，但违约金的总数不超过合同总价的10％。如延期付款超过</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日，乙方有权解除合同，并要求甲方赔偿损失。</w:t>
      </w:r>
    </w:p>
    <w:p w14:paraId="4051B3C2">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11.3因乙方工作失误而造成的破坏或损失，乙方需承担赔偿或修复完好的责任，由此而发生的相关费用由乙方承担。</w:t>
      </w:r>
    </w:p>
    <w:p w14:paraId="5FBDF2BF">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11.4如因乙方服务工作不及时或者质量不能满足合同要求，造成影响的，甲方有权指定第三方进行服务，所发生费用全部由乙方承担。</w:t>
      </w:r>
    </w:p>
    <w:p w14:paraId="3D7C84D7">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11.5如发生违约事件，履约方要求违约方支付违约金时，应当以书面方式通知违约方，内容包括违约事件、违约金、支付时间和方式等，违约方在收到上述通知后，应当于7日内答复对方，并支付违约金。</w:t>
      </w:r>
    </w:p>
    <w:p w14:paraId="4EC1AA30">
      <w:pPr>
        <w:autoSpaceDE w:val="0"/>
        <w:spacing w:line="380" w:lineRule="exact"/>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　　11.6其他违约责任约定：</w:t>
      </w:r>
      <w:r>
        <w:rPr>
          <w:rFonts w:hint="eastAsia" w:ascii="仿宋" w:hAnsi="仿宋" w:eastAsia="仿宋" w:cs="仿宋"/>
          <w:snapToGrid w:val="0"/>
          <w:color w:val="auto"/>
          <w:sz w:val="24"/>
          <w:szCs w:val="24"/>
          <w:highlight w:val="none"/>
          <w:u w:val="single" w:color="595959"/>
        </w:rPr>
        <w:t xml:space="preserve">                                               </w:t>
      </w:r>
    </w:p>
    <w:p w14:paraId="51B4D1EE">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十二、保密条款</w:t>
      </w:r>
    </w:p>
    <w:p w14:paraId="254052A8">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0FC1B11E">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12.2乙方对所获得甲方的保密信息负有保密义务的期限为永久，不受本合同解除的限制，直至保密信息已进入公共渠道或甲方以书面形式明确表示无须再负保密义务为止。</w:t>
      </w:r>
    </w:p>
    <w:p w14:paraId="6FE624E3">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12.3甲方有特殊保密要求的，应当另行签订保密协议，以保密协议的约定为准。</w:t>
      </w:r>
    </w:p>
    <w:p w14:paraId="61305928">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十三、转包或分包</w:t>
      </w:r>
    </w:p>
    <w:p w14:paraId="1368A12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13.1 本合同范围内的服务，应由乙方直接组织实施，不得转让他人。</w:t>
      </w:r>
    </w:p>
    <w:p w14:paraId="71E524F3">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13.2 除非得到甲方的书面同意，乙方不得分包给他人。</w:t>
      </w:r>
    </w:p>
    <w:p w14:paraId="240B2F8A">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十四、履约担保</w:t>
      </w:r>
    </w:p>
    <w:p w14:paraId="027AD75F">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 xml:space="preserve"> 14.1 本合同履约担保按照以下第_____种方式提供：</w:t>
      </w:r>
    </w:p>
    <w:p w14:paraId="56FB7D41">
      <w:pPr>
        <w:pStyle w:val="19"/>
        <w:snapToGrid w:val="0"/>
        <w:spacing w:line="380" w:lineRule="exact"/>
        <w:ind w:firstLine="472" w:firstLineChars="19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 乙方不提供履约担保。</w:t>
      </w:r>
    </w:p>
    <w:p w14:paraId="6495DE3C">
      <w:pPr>
        <w:pStyle w:val="19"/>
        <w:snapToGrid w:val="0"/>
        <w:spacing w:line="380" w:lineRule="exact"/>
        <w:ind w:firstLine="472" w:firstLineChars="197"/>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(2) 乙方提供银行保函，保函金额为合同金额的</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w:t>
      </w:r>
      <w:r>
        <w:rPr>
          <w:rFonts w:ascii="仿宋" w:hAnsi="仿宋" w:eastAsia="仿宋" w:cs="仿宋"/>
          <w:snapToGrid w:val="0"/>
          <w:color w:val="auto"/>
          <w:sz w:val="24"/>
          <w:szCs w:val="24"/>
          <w:highlight w:val="none"/>
        </w:rPr>
        <w:t>计人民币</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rPr>
        <w:t>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整），到期日为_______。</w:t>
      </w:r>
    </w:p>
    <w:p w14:paraId="1B441F83">
      <w:pPr>
        <w:pStyle w:val="19"/>
        <w:snapToGrid w:val="0"/>
        <w:spacing w:line="380" w:lineRule="exact"/>
        <w:ind w:firstLine="472" w:firstLineChars="19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78E8EE14">
      <w:pPr>
        <w:pStyle w:val="19"/>
        <w:snapToGrid w:val="0"/>
        <w:spacing w:line="380" w:lineRule="exact"/>
        <w:ind w:firstLine="48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14B62308">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十五、其他条款</w:t>
      </w:r>
    </w:p>
    <w:p w14:paraId="7B6F7AE3">
      <w:pPr>
        <w:pStyle w:val="19"/>
        <w:snapToGrid w:val="0"/>
        <w:spacing w:line="380" w:lineRule="exact"/>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 xml:space="preserve">     </w:t>
      </w:r>
      <w:r>
        <w:rPr>
          <w:rFonts w:ascii="仿宋" w:hAnsi="仿宋" w:eastAsia="仿宋" w:cs="仿宋"/>
          <w:snapToGrid w:val="0"/>
          <w:color w:val="auto"/>
          <w:sz w:val="24"/>
          <w:szCs w:val="24"/>
          <w:highlight w:val="none"/>
          <w:u w:val="single" w:color="595959"/>
        </w:rPr>
        <w:t xml:space="preserve">                                                                    </w:t>
      </w:r>
    </w:p>
    <w:p w14:paraId="141E2899">
      <w:pPr>
        <w:spacing w:line="380" w:lineRule="exact"/>
        <w:ind w:firstLine="480"/>
        <w:rPr>
          <w:rFonts w:ascii="仿宋" w:hAnsi="仿宋" w:eastAsia="仿宋" w:cs="仿宋"/>
          <w:b/>
          <w:snapToGrid w:val="0"/>
          <w:color w:val="auto"/>
          <w:sz w:val="24"/>
          <w:szCs w:val="24"/>
          <w:highlight w:val="none"/>
          <w:u w:color="595959"/>
        </w:rPr>
      </w:pPr>
      <w:r>
        <w:rPr>
          <w:rFonts w:hint="eastAsia" w:ascii="仿宋" w:hAnsi="仿宋" w:eastAsia="仿宋" w:cs="仿宋"/>
          <w:b/>
          <w:snapToGrid w:val="0"/>
          <w:color w:val="auto"/>
          <w:sz w:val="24"/>
          <w:szCs w:val="24"/>
          <w:highlight w:val="none"/>
          <w:u w:color="595959"/>
        </w:rPr>
        <w:t>十六、组成本合同的文件</w:t>
      </w:r>
    </w:p>
    <w:p w14:paraId="44557D20">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16.1 合同及附件；</w:t>
      </w:r>
    </w:p>
    <w:p w14:paraId="7783BABC">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16.2成交通知书；</w:t>
      </w:r>
    </w:p>
    <w:p w14:paraId="4B11F722">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16.3采购文件和乙方的响应文件；</w:t>
      </w:r>
    </w:p>
    <w:p w14:paraId="4058BBF8">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16.4采购过程中有关补充资料和澄清文件等（如有）；</w:t>
      </w:r>
    </w:p>
    <w:p w14:paraId="33AD2A5D">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16.5 甲乙双方商定的其他必要文件。</w:t>
      </w:r>
    </w:p>
    <w:p w14:paraId="6D453891">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上述文件内容互为补充，如有不明确，由甲方负责解释。</w:t>
      </w:r>
    </w:p>
    <w:p w14:paraId="30E96823">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b/>
          <w:snapToGrid w:val="0"/>
          <w:color w:val="auto"/>
          <w:sz w:val="24"/>
          <w:szCs w:val="24"/>
          <w:highlight w:val="none"/>
          <w:u w:color="595959"/>
        </w:rPr>
        <w:t>　　十七、不可抗力</w:t>
      </w:r>
    </w:p>
    <w:p w14:paraId="523EB3CD">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17.1当事人一方因不可抗力不能履行合同的，应当及时通知对方，并积极采取措施以减轻或消除可能给对方造成的损失，并在事件结束后7个自然日内提供事实性证明。</w:t>
      </w:r>
    </w:p>
    <w:p w14:paraId="4BC77E47">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17.2因不可抗力不能履行合同的，根据不可抗力的影响，部分或者全部（由双方</w:t>
      </w:r>
    </w:p>
    <w:p w14:paraId="09F019C4">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协商确定）免除责任，但法律另有规定的除外。当事人迟延履行合同后发生不可抗力的，不能免除责任。</w:t>
      </w:r>
    </w:p>
    <w:p w14:paraId="434B33A1">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17.3因不可抗力使合同不能如期履行时，由双方协商确定是否延期履行或终止本</w:t>
      </w:r>
    </w:p>
    <w:p w14:paraId="4104C120">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合同。</w:t>
      </w:r>
    </w:p>
    <w:p w14:paraId="34183CA7">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十八、合同生效及其他</w:t>
      </w:r>
    </w:p>
    <w:p w14:paraId="213C9535">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18.1 合同经双方法定代表人或授权委托代表人签字并加盖单位公章后生效。</w:t>
      </w:r>
    </w:p>
    <w:p w14:paraId="4E42C45C">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18.2 本合同未尽事宜，遵照国家合同相关法律法规执行。</w:t>
      </w:r>
    </w:p>
    <w:p w14:paraId="0747C98A">
      <w:pPr>
        <w:spacing w:line="380" w:lineRule="exact"/>
        <w:jc w:val="lef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18. 3 本合同一式六份，具有同等法律效力，中文书写。甲乙双方各执三份。</w:t>
      </w:r>
    </w:p>
    <w:p w14:paraId="7C08D6D8">
      <w:pPr>
        <w:pStyle w:val="19"/>
        <w:snapToGrid w:val="0"/>
        <w:spacing w:line="376" w:lineRule="exact"/>
        <w:ind w:firstLine="319" w:firstLineChars="133"/>
        <w:rPr>
          <w:rFonts w:hint="default" w:ascii="仿宋" w:hAnsi="仿宋" w:eastAsia="仿宋" w:cs="仿宋"/>
          <w:snapToGrid w:val="0"/>
          <w:color w:val="auto"/>
          <w:sz w:val="24"/>
          <w:szCs w:val="24"/>
          <w:highlight w:val="none"/>
          <w:u w:color="595959"/>
        </w:rPr>
      </w:pPr>
    </w:p>
    <w:p w14:paraId="4154C4AC">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205E26E2">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5DE16975">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甲方（单位盖章）：                    乙方（单位盖章）：</w:t>
      </w:r>
    </w:p>
    <w:p w14:paraId="08FE6FFB">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1E81AEC9">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统一社会信用代码：                    统一社会信用代码：</w:t>
      </w:r>
    </w:p>
    <w:p w14:paraId="1676C711">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099D5E7D">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单位住所地：                          单位住所地：</w:t>
      </w:r>
    </w:p>
    <w:p w14:paraId="3FBC88E6">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373CB212">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法定代表人或授权代表：                法定代表人或授权代表：</w:t>
      </w:r>
    </w:p>
    <w:p w14:paraId="6E1A0702">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38D6A12D">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联系电话：                            联系电话：</w:t>
      </w:r>
    </w:p>
    <w:p w14:paraId="0B0617C7">
      <w:pPr>
        <w:pStyle w:val="19"/>
        <w:snapToGrid w:val="0"/>
        <w:spacing w:line="300" w:lineRule="exact"/>
        <w:ind w:left="3009" w:leftChars="133" w:hanging="2730" w:hangingChars="1300"/>
        <w:rPr>
          <w:rFonts w:hint="default" w:ascii="仿宋" w:hAnsi="仿宋" w:eastAsia="仿宋" w:cs="仿宋"/>
          <w:snapToGrid w:val="0"/>
          <w:color w:val="auto"/>
          <w:highlight w:val="none"/>
          <w:u w:color="595959"/>
        </w:rPr>
      </w:pPr>
      <w:r>
        <w:rPr>
          <w:rFonts w:ascii="仿宋" w:hAnsi="仿宋" w:eastAsia="仿宋" w:cs="仿宋"/>
          <w:snapToGrid w:val="0"/>
          <w:color w:val="auto"/>
          <w:highlight w:val="none"/>
          <w:u w:color="595959"/>
        </w:rPr>
        <w:t xml:space="preserve">                                                                                   </w:t>
      </w:r>
    </w:p>
    <w:p w14:paraId="388DDA95">
      <w:pPr>
        <w:pStyle w:val="19"/>
        <w:snapToGrid w:val="0"/>
        <w:spacing w:line="300" w:lineRule="exact"/>
        <w:ind w:left="3399" w:leftChars="133" w:hanging="3120" w:hangingChars="1300"/>
        <w:rPr>
          <w:rFonts w:hint="default" w:ascii="仿宋" w:hAnsi="仿宋" w:eastAsia="仿宋" w:cs="仿宋"/>
          <w:color w:val="auto"/>
          <w:sz w:val="24"/>
          <w:szCs w:val="24"/>
          <w:highlight w:val="none"/>
          <w:u w:color="595959"/>
        </w:rPr>
      </w:pPr>
      <w:r>
        <w:rPr>
          <w:rFonts w:ascii="仿宋" w:hAnsi="仿宋" w:eastAsia="仿宋" w:cs="仿宋"/>
          <w:snapToGrid w:val="0"/>
          <w:color w:val="auto"/>
          <w:sz w:val="24"/>
          <w:szCs w:val="24"/>
          <w:highlight w:val="none"/>
          <w:u w:color="595959"/>
        </w:rPr>
        <w:t>签订日期：     年</w:t>
      </w:r>
      <w:r>
        <w:rPr>
          <w:rFonts w:ascii="仿宋" w:hAnsi="仿宋" w:eastAsia="仿宋" w:cs="仿宋"/>
          <w:color w:val="auto"/>
          <w:sz w:val="24"/>
          <w:szCs w:val="24"/>
          <w:highlight w:val="none"/>
          <w:u w:color="595959"/>
        </w:rPr>
        <w:t xml:space="preserve">   月  日  　  </w:t>
      </w:r>
      <w:r>
        <w:rPr>
          <w:rFonts w:ascii="仿宋" w:hAnsi="仿宋" w:eastAsia="仿宋" w:cs="仿宋"/>
          <w:snapToGrid w:val="0"/>
          <w:color w:val="auto"/>
          <w:sz w:val="24"/>
          <w:szCs w:val="24"/>
          <w:highlight w:val="none"/>
          <w:u w:color="595959"/>
        </w:rPr>
        <w:t>签订日期：      年</w:t>
      </w:r>
      <w:r>
        <w:rPr>
          <w:rFonts w:ascii="仿宋" w:hAnsi="仿宋" w:eastAsia="仿宋" w:cs="仿宋"/>
          <w:color w:val="auto"/>
          <w:sz w:val="24"/>
          <w:szCs w:val="24"/>
          <w:highlight w:val="none"/>
          <w:u w:color="595959"/>
        </w:rPr>
        <w:t xml:space="preserve">   月  日</w:t>
      </w:r>
    </w:p>
    <w:p w14:paraId="11D2444E">
      <w:pPr>
        <w:rPr>
          <w:rFonts w:ascii="仿宋" w:hAnsi="仿宋" w:eastAsia="仿宋" w:cs="仿宋"/>
          <w:bCs/>
          <w:color w:val="auto"/>
          <w:sz w:val="44"/>
          <w:highlight w:val="none"/>
        </w:rPr>
        <w:sectPr>
          <w:headerReference r:id="rId7" w:type="default"/>
          <w:footerReference r:id="rId8" w:type="default"/>
          <w:pgSz w:w="11906" w:h="16838"/>
          <w:pgMar w:top="1440" w:right="1080" w:bottom="1440" w:left="1080" w:header="851" w:footer="907" w:gutter="0"/>
          <w:pgNumType w:start="1"/>
          <w:cols w:space="720" w:num="1"/>
          <w:docGrid w:linePitch="360" w:charSpace="0"/>
        </w:sectPr>
      </w:pPr>
      <w:r>
        <w:rPr>
          <w:rFonts w:hint="eastAsia" w:ascii="仿宋" w:hAnsi="仿宋" w:eastAsia="仿宋" w:cs="仿宋"/>
          <w:bCs/>
          <w:color w:val="auto"/>
          <w:sz w:val="44"/>
          <w:highlight w:val="none"/>
        </w:rPr>
        <w:br w:type="page" w:clear="all"/>
      </w:r>
    </w:p>
    <w:p w14:paraId="7A418EFF">
      <w:pPr>
        <w:pStyle w:val="19"/>
        <w:snapToGrid w:val="0"/>
        <w:spacing w:line="380" w:lineRule="exact"/>
        <w:rPr>
          <w:rFonts w:hint="default" w:ascii="仿宋" w:hAnsi="仿宋" w:eastAsia="仿宋" w:cs="仿宋"/>
          <w:b/>
          <w:bCs/>
          <w:snapToGrid w:val="0"/>
          <w:color w:val="auto"/>
          <w:sz w:val="24"/>
          <w:szCs w:val="24"/>
          <w:highlight w:val="none"/>
          <w:u w:color="595959"/>
        </w:rPr>
      </w:pPr>
      <w:r>
        <w:rPr>
          <w:rFonts w:ascii="仿宋" w:hAnsi="仿宋" w:eastAsia="仿宋" w:cs="仿宋"/>
          <w:b/>
          <w:bCs/>
          <w:snapToGrid w:val="0"/>
          <w:color w:val="auto"/>
          <w:sz w:val="24"/>
          <w:szCs w:val="24"/>
          <w:highlight w:val="none"/>
          <w:u w:color="595959"/>
        </w:rPr>
        <w:t>分包二合同：</w:t>
      </w:r>
    </w:p>
    <w:p w14:paraId="47446C90">
      <w:pPr>
        <w:pStyle w:val="19"/>
        <w:snapToGrid w:val="0"/>
        <w:spacing w:line="380" w:lineRule="exact"/>
        <w:ind w:firstLine="480"/>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甲、乙双方根据</w:t>
      </w:r>
      <w:r>
        <w:rPr>
          <w:rFonts w:ascii="仿宋" w:hAnsi="仿宋" w:eastAsia="仿宋" w:cs="仿宋"/>
          <w:snapToGrid w:val="0"/>
          <w:color w:val="auto"/>
          <w:sz w:val="24"/>
          <w:szCs w:val="24"/>
          <w:highlight w:val="none"/>
          <w:u w:val="single" w:color="595959"/>
        </w:rPr>
        <w:t xml:space="preserve"> 江苏柒采招标代理有限公司 </w:t>
      </w:r>
      <w:r>
        <w:rPr>
          <w:rFonts w:ascii="仿宋" w:hAnsi="仿宋" w:eastAsia="仿宋" w:cs="仿宋"/>
          <w:snapToGrid w:val="0"/>
          <w:color w:val="auto"/>
          <w:sz w:val="24"/>
          <w:szCs w:val="24"/>
          <w:highlight w:val="none"/>
          <w:u w:color="595959"/>
        </w:rPr>
        <w:t>（委托代理机构）</w:t>
      </w:r>
      <w:r>
        <w:rPr>
          <w:rFonts w:ascii="仿宋" w:hAnsi="仿宋" w:eastAsia="仿宋" w:cs="仿宋"/>
          <w:snapToGrid w:val="0"/>
          <w:color w:val="auto"/>
          <w:sz w:val="24"/>
          <w:szCs w:val="24"/>
          <w:highlight w:val="none"/>
          <w:u w:val="single" w:color="595959"/>
        </w:rPr>
        <w:t xml:space="preserve"> 道路运输新业态市场风险动态监测技术辅助服务</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项目</w:t>
      </w:r>
      <w:r>
        <w:rPr>
          <w:rFonts w:ascii="仿宋" w:hAnsi="仿宋" w:eastAsia="仿宋" w:cs="仿宋"/>
          <w:snapToGrid w:val="0"/>
          <w:color w:val="auto"/>
          <w:sz w:val="24"/>
          <w:szCs w:val="24"/>
          <w:highlight w:val="none"/>
          <w:u w:color="595959"/>
        </w:rPr>
        <w:sym w:font="Wingdings 2" w:char="0052"/>
      </w:r>
      <w:r>
        <w:rPr>
          <w:rFonts w:ascii="仿宋" w:hAnsi="仿宋" w:eastAsia="仿宋" w:cs="仿宋"/>
          <w:snapToGrid w:val="0"/>
          <w:color w:val="auto"/>
          <w:sz w:val="24"/>
          <w:szCs w:val="24"/>
          <w:highlight w:val="none"/>
          <w:u w:color="595959"/>
        </w:rPr>
        <w:t>公开招标</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竞争性谈判</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竞争性磋商</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单一来源谈判</w:t>
      </w:r>
      <w:r>
        <w:rPr>
          <w:rFonts w:ascii="仿宋" w:hAnsi="仿宋" w:eastAsia="仿宋" w:cs="仿宋"/>
          <w:color w:val="auto"/>
          <w:spacing w:val="-20"/>
          <w:sz w:val="24"/>
          <w:szCs w:val="24"/>
          <w:highlight w:val="none"/>
          <w:u w:color="595959"/>
        </w:rPr>
        <w:t>☐</w:t>
      </w:r>
      <w:r>
        <w:rPr>
          <w:rFonts w:ascii="仿宋" w:hAnsi="仿宋" w:eastAsia="仿宋" w:cs="仿宋"/>
          <w:snapToGrid w:val="0"/>
          <w:color w:val="auto"/>
          <w:sz w:val="24"/>
          <w:szCs w:val="24"/>
          <w:highlight w:val="none"/>
          <w:u w:color="595959"/>
        </w:rPr>
        <w:t>询价采购的结果，签署本合同。</w:t>
      </w:r>
    </w:p>
    <w:p w14:paraId="7C81F71B">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一、采购标的</w:t>
      </w:r>
    </w:p>
    <w:p w14:paraId="4850BFCC">
      <w:pPr>
        <w:pStyle w:val="19"/>
        <w:snapToGrid w:val="0"/>
        <w:spacing w:line="380" w:lineRule="exact"/>
        <w:ind w:firstLine="360" w:firstLineChars="15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1.1 服务名称</w:t>
      </w:r>
    </w:p>
    <w:p w14:paraId="023D307E">
      <w:pPr>
        <w:pStyle w:val="19"/>
        <w:snapToGrid w:val="0"/>
        <w:spacing w:line="380" w:lineRule="exact"/>
        <w:ind w:firstLine="360" w:firstLineChars="150"/>
        <w:rPr>
          <w:rFonts w:hint="default" w:ascii="仿宋" w:hAnsi="仿宋" w:eastAsia="仿宋" w:cs="仿宋"/>
          <w:snapToGrid w:val="0"/>
          <w:color w:val="auto"/>
          <w:sz w:val="24"/>
          <w:szCs w:val="24"/>
          <w:highlight w:val="none"/>
          <w:u w:val="single"/>
        </w:rPr>
      </w:pP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val="single"/>
        </w:rPr>
        <w:t xml:space="preserve">道路执法检查计划执行分析辅助技术服务  </w:t>
      </w:r>
    </w:p>
    <w:p w14:paraId="21F79B70">
      <w:pPr>
        <w:pStyle w:val="19"/>
        <w:snapToGrid w:val="0"/>
        <w:spacing w:line="380" w:lineRule="exact"/>
        <w:ind w:firstLine="360" w:firstLineChars="15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1.2 服务范围、内容及服务要求</w:t>
      </w:r>
    </w:p>
    <w:p w14:paraId="2586FBD3">
      <w:pPr>
        <w:pStyle w:val="19"/>
        <w:snapToGrid w:val="0"/>
        <w:spacing w:line="380" w:lineRule="exact"/>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val="single" w:color="595959"/>
        </w:rPr>
        <w:t xml:space="preserve">  详见招标文件采购需求  </w:t>
      </w:r>
      <w:r>
        <w:rPr>
          <w:rFonts w:ascii="仿宋" w:hAnsi="仿宋" w:eastAsia="仿宋" w:cs="仿宋"/>
          <w:snapToGrid w:val="0"/>
          <w:color w:val="auto"/>
          <w:sz w:val="24"/>
          <w:szCs w:val="24"/>
          <w:highlight w:val="none"/>
          <w:u w:color="595959"/>
        </w:rPr>
        <w:t xml:space="preserve"> </w:t>
      </w:r>
    </w:p>
    <w:p w14:paraId="4BF1D990">
      <w:pPr>
        <w:pStyle w:val="19"/>
        <w:snapToGrid w:val="0"/>
        <w:spacing w:line="380" w:lineRule="exact"/>
        <w:ind w:firstLine="480"/>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 服务期限按照第</w:t>
      </w:r>
      <w:r>
        <w:rPr>
          <w:rFonts w:ascii="仿宋" w:hAnsi="仿宋" w:eastAsia="仿宋" w:cs="仿宋"/>
          <w:snapToGrid w:val="0"/>
          <w:color w:val="auto"/>
          <w:sz w:val="24"/>
          <w:szCs w:val="24"/>
          <w:highlight w:val="none"/>
          <w:u w:val="single" w:color="595959"/>
        </w:rPr>
        <w:t xml:space="preserve"> （2） </w:t>
      </w:r>
      <w:r>
        <w:rPr>
          <w:rFonts w:ascii="仿宋" w:hAnsi="仿宋" w:eastAsia="仿宋" w:cs="仿宋"/>
          <w:snapToGrid w:val="0"/>
          <w:color w:val="auto"/>
          <w:sz w:val="24"/>
          <w:szCs w:val="24"/>
          <w:highlight w:val="none"/>
          <w:u w:color="595959"/>
        </w:rPr>
        <w:t>种方式明确</w:t>
      </w:r>
    </w:p>
    <w:p w14:paraId="4C432FD4">
      <w:pPr>
        <w:pStyle w:val="19"/>
        <w:snapToGrid w:val="0"/>
        <w:spacing w:line="380" w:lineRule="exact"/>
        <w:ind w:firstLine="480"/>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（1）本合同服务期限自</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日起，至</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日止。</w:t>
      </w:r>
    </w:p>
    <w:p w14:paraId="3A3F0C39">
      <w:pPr>
        <w:pStyle w:val="19"/>
        <w:snapToGrid w:val="0"/>
        <w:spacing w:line="380" w:lineRule="exact"/>
        <w:ind w:firstLine="480"/>
        <w:jc w:val="left"/>
        <w:rPr>
          <w:rFonts w:hint="default" w:ascii="仿宋" w:hAnsi="仿宋" w:eastAsia="仿宋" w:cs="仿宋"/>
          <w:color w:val="auto"/>
          <w:sz w:val="30"/>
          <w:szCs w:val="30"/>
          <w:highlight w:val="none"/>
        </w:rPr>
      </w:pPr>
      <w:r>
        <w:rPr>
          <w:rFonts w:ascii="仿宋" w:hAnsi="仿宋" w:eastAsia="仿宋" w:cs="仿宋"/>
          <w:snapToGrid w:val="0"/>
          <w:color w:val="auto"/>
          <w:sz w:val="24"/>
          <w:szCs w:val="24"/>
          <w:highlight w:val="none"/>
          <w:u w:color="595959"/>
        </w:rPr>
        <w:t xml:space="preserve">（2）本合同服务期限自签订合同之日起，至 </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 xml:space="preserve"> 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日止。</w:t>
      </w:r>
    </w:p>
    <w:p w14:paraId="07C91112">
      <w:pPr>
        <w:pStyle w:val="19"/>
        <w:snapToGrid w:val="0"/>
        <w:spacing w:line="380" w:lineRule="exact"/>
        <w:ind w:firstLine="480"/>
        <w:jc w:val="left"/>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（3）本合同服务期限自</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月</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日起，至</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止。</w:t>
      </w:r>
    </w:p>
    <w:p w14:paraId="138FBC44">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1.4服务地点（域）</w:t>
      </w:r>
    </w:p>
    <w:p w14:paraId="5945528B">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本合同约定的服务地点（域）：</w:t>
      </w:r>
      <w:r>
        <w:rPr>
          <w:rFonts w:ascii="仿宋" w:hAnsi="仿宋" w:eastAsia="仿宋" w:cs="仿宋"/>
          <w:snapToGrid w:val="0"/>
          <w:color w:val="auto"/>
          <w:sz w:val="24"/>
          <w:szCs w:val="24"/>
          <w:highlight w:val="none"/>
          <w:u w:val="single" w:color="595959"/>
        </w:rPr>
        <w:t xml:space="preserve">  江苏省 </w:t>
      </w:r>
      <w:r>
        <w:rPr>
          <w:rFonts w:ascii="仿宋" w:hAnsi="仿宋" w:eastAsia="仿宋" w:cs="仿宋"/>
          <w:snapToGrid w:val="0"/>
          <w:color w:val="auto"/>
          <w:sz w:val="24"/>
          <w:szCs w:val="24"/>
          <w:highlight w:val="none"/>
          <w:u w:color="595959"/>
        </w:rPr>
        <w:t xml:space="preserve">。                                                               </w:t>
      </w:r>
    </w:p>
    <w:p w14:paraId="21BF1650">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二、合同金额</w:t>
      </w:r>
    </w:p>
    <w:p w14:paraId="3185C3DF">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2.1本合同金额按照第</w:t>
      </w:r>
      <w:r>
        <w:rPr>
          <w:rFonts w:ascii="仿宋" w:hAnsi="仿宋" w:eastAsia="仿宋" w:cs="仿宋"/>
          <w:snapToGrid w:val="0"/>
          <w:color w:val="auto"/>
          <w:sz w:val="24"/>
          <w:szCs w:val="24"/>
          <w:highlight w:val="none"/>
          <w:u w:val="single" w:color="595959"/>
        </w:rPr>
        <w:t xml:space="preserve"> （1） </w:t>
      </w:r>
      <w:r>
        <w:rPr>
          <w:rFonts w:ascii="仿宋" w:hAnsi="仿宋" w:eastAsia="仿宋" w:cs="仿宋"/>
          <w:snapToGrid w:val="0"/>
          <w:color w:val="auto"/>
          <w:sz w:val="24"/>
          <w:szCs w:val="24"/>
          <w:highlight w:val="none"/>
          <w:u w:color="595959"/>
        </w:rPr>
        <w:t>种方式明确：</w:t>
      </w:r>
    </w:p>
    <w:p w14:paraId="6C56309D">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(1)本合同为固定总价合同，合同金额（含税）为人民币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p>
    <w:p w14:paraId="09EE8678">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(2)本合同为固定单价合同，本项目预算金额为人民币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整），合同实施过程中单价不予调整，结算的服务费用以最终实际发生的服务数量为准。服务单价确定方式：</w:t>
      </w:r>
      <w:r>
        <w:rPr>
          <w:rFonts w:ascii="仿宋" w:hAnsi="仿宋" w:eastAsia="仿宋" w:cs="仿宋"/>
          <w:snapToGrid w:val="0"/>
          <w:color w:val="auto"/>
          <w:sz w:val="24"/>
          <w:szCs w:val="24"/>
          <w:highlight w:val="none"/>
          <w:u w:val="single" w:color="595959"/>
        </w:rPr>
        <w:t xml:space="preserve">                                                                </w:t>
      </w:r>
    </w:p>
    <w:p w14:paraId="27BE40D2">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(3)本合同为其他非固定总价合同，本项目预算金额为人民币</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整），服务费用计算方式</w:t>
      </w:r>
      <w:r>
        <w:rPr>
          <w:rFonts w:ascii="仿宋" w:hAnsi="仿宋" w:eastAsia="仿宋" w:cs="仿宋"/>
          <w:snapToGrid w:val="0"/>
          <w:color w:val="auto"/>
          <w:sz w:val="24"/>
          <w:szCs w:val="24"/>
          <w:highlight w:val="none"/>
        </w:rPr>
        <w:t>：</w:t>
      </w:r>
      <w:r>
        <w:rPr>
          <w:rFonts w:ascii="仿宋" w:hAnsi="仿宋" w:eastAsia="仿宋" w:cs="仿宋"/>
          <w:snapToGrid w:val="0"/>
          <w:color w:val="auto"/>
          <w:sz w:val="24"/>
          <w:szCs w:val="24"/>
          <w:highlight w:val="none"/>
          <w:u w:val="single" w:color="595959"/>
        </w:rPr>
        <w:t xml:space="preserve">                                         </w:t>
      </w:r>
    </w:p>
    <w:p w14:paraId="147AE8D2">
      <w:pPr>
        <w:pStyle w:val="19"/>
        <w:snapToGrid w:val="0"/>
        <w:spacing w:line="380" w:lineRule="exact"/>
        <w:jc w:val="left"/>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val="single" w:color="595959"/>
        </w:rPr>
        <w:t xml:space="preserve">                                                                         </w:t>
      </w:r>
    </w:p>
    <w:p w14:paraId="6210722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本合同价款包含所有乙方提供合同约定相关服务的报酬及乙方提供合同中相关服务所支出的必要费用，甲方在上述合同价款之外不再向乙方支付其他任何费用。</w:t>
      </w:r>
    </w:p>
    <w:p w14:paraId="52002F3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2.2关于合同金额计算的补充约定事项：</w:t>
      </w:r>
      <w:r>
        <w:rPr>
          <w:rFonts w:ascii="仿宋" w:hAnsi="仿宋" w:eastAsia="仿宋" w:cs="仿宋"/>
          <w:snapToGrid w:val="0"/>
          <w:color w:val="auto"/>
          <w:sz w:val="24"/>
          <w:szCs w:val="24"/>
          <w:highlight w:val="none"/>
          <w:u w:val="single" w:color="595959"/>
        </w:rPr>
        <w:t xml:space="preserve">                                    </w:t>
      </w:r>
    </w:p>
    <w:p w14:paraId="0492EA32">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三、合同履行</w:t>
      </w:r>
    </w:p>
    <w:p w14:paraId="627C0F48">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3.1本合同范围内服务的提供参照本项目采购文件以及乙方响应文件承诺的具体要求履行，甲乙双方通过补充条款进行特殊约定的从其约定。</w:t>
      </w:r>
    </w:p>
    <w:p w14:paraId="7A806016">
      <w:pPr>
        <w:pStyle w:val="19"/>
        <w:snapToGrid w:val="0"/>
        <w:spacing w:line="380" w:lineRule="exact"/>
        <w:ind w:firstLine="352" w:firstLineChars="147"/>
        <w:rPr>
          <w:rFonts w:hint="default" w:ascii="仿宋" w:hAnsi="仿宋" w:eastAsia="仿宋" w:cs="仿宋"/>
          <w:snapToGrid w:val="0"/>
          <w:color w:val="auto"/>
          <w:sz w:val="24"/>
          <w:szCs w:val="24"/>
          <w:highlight w:val="none"/>
          <w:u w:val="single" w:color="595959"/>
        </w:rPr>
      </w:pPr>
      <w:r>
        <w:rPr>
          <w:rFonts w:ascii="仿宋" w:hAnsi="仿宋" w:eastAsia="仿宋" w:cs="仿宋"/>
          <w:snapToGrid w:val="0"/>
          <w:color w:val="auto"/>
          <w:sz w:val="24"/>
          <w:szCs w:val="24"/>
          <w:highlight w:val="none"/>
          <w:u w:color="595959"/>
        </w:rPr>
        <w:t>3.2补充条款：</w:t>
      </w:r>
      <w:r>
        <w:rPr>
          <w:rFonts w:ascii="仿宋" w:hAnsi="仿宋" w:eastAsia="仿宋" w:cs="仿宋"/>
          <w:snapToGrid w:val="0"/>
          <w:color w:val="auto"/>
          <w:sz w:val="24"/>
          <w:szCs w:val="24"/>
          <w:highlight w:val="none"/>
          <w:u w:val="single" w:color="595959"/>
        </w:rPr>
        <w:t xml:space="preserve">                                                  　    </w:t>
      </w:r>
    </w:p>
    <w:p w14:paraId="49309681">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四、服务成果内容和形式</w:t>
      </w:r>
    </w:p>
    <w:p w14:paraId="3AA117AD">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4.1本合同应提交的成果内容、完成期限、成果形式及相关要求：</w:t>
      </w:r>
    </w:p>
    <w:p w14:paraId="3D6240F7">
      <w:pPr>
        <w:spacing w:line="48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rPr>
        <w:t xml:space="preserve">形成道路执法领域行政检查计划执行情况分析报告（季度）； </w:t>
      </w:r>
    </w:p>
    <w:p w14:paraId="2F8EEE12">
      <w:pPr>
        <w:spacing w:line="48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形成道路执法领域行政检查计划全生命周期人工智能应用开发需求建议清单；</w:t>
      </w:r>
    </w:p>
    <w:p w14:paraId="065259EC">
      <w:pPr>
        <w:spacing w:line="480" w:lineRule="exact"/>
        <w:ind w:firstLine="480" w:firstLineChars="20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形成道路运输执法行权数字化守护2.0升级改造需求建议清单。</w:t>
      </w:r>
    </w:p>
    <w:p w14:paraId="6DDF5B04">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五、履约验收</w:t>
      </w:r>
    </w:p>
    <w:p w14:paraId="654523BD">
      <w:pPr>
        <w:spacing w:line="380" w:lineRule="exact"/>
        <w:ind w:firstLine="480" w:firstLineChars="200"/>
        <w:jc w:val="lef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5.1 本合同履约验收要求为（包括但不限于：履约验收的实施主体、验收时间、验收方式、验收内容和标准）</w:t>
      </w:r>
      <w:r>
        <w:rPr>
          <w:rFonts w:hint="eastAsia" w:ascii="仿宋" w:hAnsi="仿宋" w:eastAsia="仿宋" w:cs="仿宋"/>
          <w:snapToGrid w:val="0"/>
          <w:color w:val="auto"/>
          <w:sz w:val="24"/>
          <w:szCs w:val="24"/>
          <w:highlight w:val="none"/>
          <w:u w:val="single"/>
        </w:rPr>
        <w:t xml:space="preserve">  参照《江苏省政府采购履约验收管理办法》要求，合同签订后满1年后组织专家对投标人提供的相关服务或交付的工作进行验收 </w:t>
      </w:r>
      <w:r>
        <w:rPr>
          <w:rFonts w:hint="eastAsia" w:ascii="仿宋" w:hAnsi="仿宋" w:eastAsia="仿宋" w:cs="仿宋"/>
          <w:snapToGrid w:val="0"/>
          <w:color w:val="auto"/>
          <w:sz w:val="24"/>
          <w:szCs w:val="24"/>
          <w:highlight w:val="none"/>
          <w:u w:color="595959"/>
        </w:rPr>
        <w:t>。</w:t>
      </w:r>
    </w:p>
    <w:p w14:paraId="59280115">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5.2 甲方依据以上验收要求对乙方提供的相关服务进行阶段性验收（如有）及总体验收。</w:t>
      </w:r>
    </w:p>
    <w:p w14:paraId="56D8004F">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0490155F">
      <w:pPr>
        <w:spacing w:line="380" w:lineRule="exact"/>
        <w:ind w:firstLine="354" w:firstLineChars="147"/>
        <w:rPr>
          <w:rFonts w:ascii="仿宋" w:hAnsi="仿宋" w:eastAsia="仿宋" w:cs="仿宋"/>
          <w:i/>
          <w:snapToGrid w:val="0"/>
          <w:color w:val="auto"/>
          <w:highlight w:val="none"/>
        </w:rPr>
      </w:pPr>
      <w:r>
        <w:rPr>
          <w:rFonts w:hint="eastAsia" w:ascii="仿宋" w:hAnsi="仿宋" w:eastAsia="仿宋" w:cs="仿宋"/>
          <w:b/>
          <w:snapToGrid w:val="0"/>
          <w:color w:val="auto"/>
          <w:sz w:val="24"/>
          <w:szCs w:val="24"/>
          <w:highlight w:val="none"/>
          <w:u w:color="595959"/>
        </w:rPr>
        <w:t xml:space="preserve">六、款项支付 </w:t>
      </w:r>
    </w:p>
    <w:p w14:paraId="256E75E1">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6.1 本合同款项采用以下第</w:t>
      </w:r>
      <w:r>
        <w:rPr>
          <w:rFonts w:hint="eastAsia" w:ascii="仿宋" w:hAnsi="仿宋" w:eastAsia="仿宋" w:cs="仿宋"/>
          <w:snapToGrid w:val="0"/>
          <w:color w:val="auto"/>
          <w:sz w:val="24"/>
          <w:szCs w:val="24"/>
          <w:highlight w:val="none"/>
          <w:u w:val="single" w:color="595959"/>
        </w:rPr>
        <w:t xml:space="preserve"> （1） </w:t>
      </w:r>
      <w:r>
        <w:rPr>
          <w:rFonts w:hint="eastAsia" w:ascii="仿宋" w:hAnsi="仿宋" w:eastAsia="仿宋" w:cs="仿宋"/>
          <w:snapToGrid w:val="0"/>
          <w:color w:val="auto"/>
          <w:sz w:val="24"/>
          <w:szCs w:val="24"/>
          <w:highlight w:val="none"/>
        </w:rPr>
        <w:t>种方式支付：</w:t>
      </w:r>
    </w:p>
    <w:p w14:paraId="126BF028">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 本合同款项分三期支付。支付条件（时间）及支付金额如下：</w:t>
      </w:r>
    </w:p>
    <w:p w14:paraId="0B1DB422">
      <w:pPr>
        <w:spacing w:line="380" w:lineRule="exact"/>
        <w:ind w:firstLine="352" w:firstLineChars="147"/>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第一期:合同签订后</w:t>
      </w:r>
      <w:r>
        <w:rPr>
          <w:rFonts w:hint="eastAsia" w:ascii="仿宋" w:hAnsi="仿宋" w:eastAsia="仿宋" w:cs="仿宋"/>
          <w:snapToGrid w:val="0"/>
          <w:color w:val="auto"/>
          <w:sz w:val="24"/>
          <w:szCs w:val="24"/>
          <w:highlight w:val="none"/>
          <w:u w:val="single"/>
        </w:rPr>
        <w:t>30</w:t>
      </w:r>
      <w:r>
        <w:rPr>
          <w:rFonts w:hint="eastAsia" w:ascii="仿宋" w:hAnsi="仿宋" w:eastAsia="仿宋" w:cs="仿宋"/>
          <w:snapToGrid w:val="0"/>
          <w:color w:val="auto"/>
          <w:sz w:val="24"/>
          <w:szCs w:val="24"/>
          <w:highlight w:val="none"/>
          <w:u w:color="595959"/>
        </w:rPr>
        <w:t>个工作日内支付首付款，付款比例为合同金额的</w:t>
      </w:r>
      <w:r>
        <w:rPr>
          <w:rFonts w:hint="eastAsia" w:ascii="仿宋" w:hAnsi="仿宋" w:eastAsia="仿宋" w:cs="仿宋"/>
          <w:snapToGrid w:val="0"/>
          <w:color w:val="auto"/>
          <w:sz w:val="24"/>
          <w:szCs w:val="24"/>
          <w:highlight w:val="none"/>
          <w:u w:val="single" w:color="595959"/>
        </w:rPr>
        <w:t xml:space="preserve"> 50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55D72D14">
      <w:pPr>
        <w:spacing w:line="380" w:lineRule="exact"/>
        <w:ind w:firstLine="352" w:firstLineChars="147"/>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第二期：当</w:t>
      </w:r>
      <w:r>
        <w:rPr>
          <w:rFonts w:hint="eastAsia" w:ascii="仿宋" w:hAnsi="仿宋" w:eastAsia="仿宋" w:cs="仿宋"/>
          <w:snapToGrid w:val="0"/>
          <w:color w:val="auto"/>
          <w:sz w:val="24"/>
          <w:szCs w:val="24"/>
          <w:highlight w:val="none"/>
          <w:u w:val="single" w:color="595959"/>
        </w:rPr>
        <w:t xml:space="preserve">  乙方完成2026年12月10日之前的支撑服务，通过审查后30个工作日内 </w:t>
      </w:r>
      <w:r>
        <w:rPr>
          <w:rFonts w:hint="eastAsia" w:ascii="仿宋" w:hAnsi="仿宋" w:eastAsia="仿宋" w:cs="仿宋"/>
          <w:snapToGrid w:val="0"/>
          <w:color w:val="auto"/>
          <w:sz w:val="24"/>
          <w:szCs w:val="24"/>
          <w:highlight w:val="none"/>
        </w:rPr>
        <w:t>时支付第二期款项，</w:t>
      </w:r>
      <w:r>
        <w:rPr>
          <w:rFonts w:hint="eastAsia" w:ascii="仿宋" w:hAnsi="仿宋" w:eastAsia="仿宋" w:cs="仿宋"/>
          <w:snapToGrid w:val="0"/>
          <w:color w:val="auto"/>
          <w:sz w:val="24"/>
          <w:szCs w:val="24"/>
          <w:highlight w:val="none"/>
          <w:u w:color="595959"/>
        </w:rPr>
        <w:t>付款比例为合同金额的</w:t>
      </w:r>
      <w:r>
        <w:rPr>
          <w:rFonts w:hint="eastAsia" w:ascii="仿宋" w:hAnsi="仿宋" w:eastAsia="仿宋" w:cs="仿宋"/>
          <w:snapToGrid w:val="0"/>
          <w:color w:val="auto"/>
          <w:sz w:val="24"/>
          <w:szCs w:val="24"/>
          <w:highlight w:val="none"/>
          <w:u w:val="single" w:color="595959"/>
        </w:rPr>
        <w:t xml:space="preserve"> 16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41D0135D">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第三期：当乙方提供本合同所有服务成果并经甲方验收通过后</w:t>
      </w:r>
      <w:r>
        <w:rPr>
          <w:rFonts w:hint="eastAsia" w:ascii="仿宋" w:hAnsi="仿宋" w:eastAsia="仿宋" w:cs="仿宋"/>
          <w:snapToGrid w:val="0"/>
          <w:color w:val="auto"/>
          <w:sz w:val="24"/>
          <w:szCs w:val="24"/>
          <w:highlight w:val="none"/>
          <w:u w:val="single" w:color="595959"/>
        </w:rPr>
        <w:t xml:space="preserve"> 30 </w:t>
      </w:r>
      <w:r>
        <w:rPr>
          <w:rFonts w:hint="eastAsia" w:ascii="仿宋" w:hAnsi="仿宋" w:eastAsia="仿宋" w:cs="仿宋"/>
          <w:snapToGrid w:val="0"/>
          <w:color w:val="auto"/>
          <w:sz w:val="24"/>
          <w:szCs w:val="24"/>
          <w:highlight w:val="none"/>
        </w:rPr>
        <w:t>工作日内</w:t>
      </w:r>
      <w:r>
        <w:rPr>
          <w:rFonts w:hint="eastAsia" w:ascii="仿宋" w:hAnsi="仿宋" w:eastAsia="仿宋" w:cs="仿宋"/>
          <w:snapToGrid w:val="0"/>
          <w:color w:val="auto"/>
          <w:sz w:val="24"/>
          <w:szCs w:val="24"/>
          <w:highlight w:val="none"/>
          <w:u w:color="595959"/>
        </w:rPr>
        <w:t>，支付剩余款项，</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386584CA">
      <w:pPr>
        <w:spacing w:line="380" w:lineRule="exact"/>
        <w:ind w:firstLine="352" w:firstLineChars="147"/>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(2)</w:t>
      </w:r>
      <w:r>
        <w:rPr>
          <w:rFonts w:hint="eastAsia" w:ascii="仿宋" w:hAnsi="仿宋" w:eastAsia="仿宋" w:cs="仿宋"/>
          <w:snapToGrid w:val="0"/>
          <w:color w:val="auto"/>
          <w:sz w:val="24"/>
          <w:szCs w:val="24"/>
          <w:highlight w:val="none"/>
        </w:rPr>
        <w:t xml:space="preserve"> </w:t>
      </w:r>
      <w:r>
        <w:rPr>
          <w:rFonts w:hint="eastAsia" w:ascii="仿宋" w:hAnsi="仿宋" w:eastAsia="仿宋" w:cs="仿宋"/>
          <w:snapToGrid w:val="0"/>
          <w:color w:val="auto"/>
          <w:sz w:val="24"/>
          <w:szCs w:val="24"/>
          <w:highlight w:val="none"/>
          <w:u w:color="595959"/>
        </w:rPr>
        <w:t>本合同款项分两期支付。支付条件（时间）及支付金额如下：</w:t>
      </w:r>
    </w:p>
    <w:p w14:paraId="205E06B5">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第一期:合同签订后</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color="595959"/>
        </w:rPr>
        <w:t>个工作日内支付首付款，付款比例为合同金额的</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1B847578">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第二期：当乙方提供本合同所有服务成果并经甲方验收通过后</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工作日内</w:t>
      </w:r>
      <w:r>
        <w:rPr>
          <w:rFonts w:hint="eastAsia" w:ascii="仿宋" w:hAnsi="仿宋" w:eastAsia="仿宋" w:cs="仿宋"/>
          <w:snapToGrid w:val="0"/>
          <w:color w:val="auto"/>
          <w:sz w:val="24"/>
          <w:szCs w:val="24"/>
          <w:highlight w:val="none"/>
          <w:u w:color="595959"/>
        </w:rPr>
        <w:t>，支付剩余款项，</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整）</w:t>
      </w:r>
      <w:r>
        <w:rPr>
          <w:rFonts w:hint="eastAsia" w:ascii="仿宋" w:hAnsi="仿宋" w:eastAsia="仿宋" w:cs="仿宋"/>
          <w:snapToGrid w:val="0"/>
          <w:color w:val="auto"/>
          <w:sz w:val="24"/>
          <w:szCs w:val="24"/>
          <w:highlight w:val="none"/>
        </w:rPr>
        <w:t>。</w:t>
      </w:r>
    </w:p>
    <w:p w14:paraId="5E40ED5B">
      <w:pPr>
        <w:numPr>
          <w:ilvl w:val="0"/>
          <w:numId w:val="4"/>
        </w:num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rPr>
        <w:t>乙方无预付款要求的，在</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时按乙方实际完成的工作量据实结算。</w:t>
      </w:r>
    </w:p>
    <w:p w14:paraId="49BF59C0">
      <w:pPr>
        <w:spacing w:line="380" w:lineRule="exact"/>
        <w:ind w:firstLine="352" w:firstLineChars="147"/>
        <w:rPr>
          <w:rFonts w:ascii="仿宋" w:hAnsi="仿宋" w:eastAsia="仿宋" w:cs="仿宋"/>
          <w:snapToGrid w:val="0"/>
          <w:color w:val="auto"/>
          <w:sz w:val="24"/>
          <w:szCs w:val="24"/>
          <w:highlight w:val="none"/>
        </w:rPr>
      </w:pPr>
      <w:r>
        <w:rPr>
          <w:rFonts w:hint="eastAsia" w:ascii="仿宋" w:hAnsi="仿宋" w:eastAsia="仿宋" w:cs="仿宋"/>
          <w:snapToGrid w:val="0"/>
          <w:color w:val="auto"/>
          <w:sz w:val="24"/>
          <w:szCs w:val="24"/>
          <w:highlight w:val="none"/>
          <w:u w:color="595959"/>
        </w:rPr>
        <w:t>(4)</w:t>
      </w:r>
      <w:r>
        <w:rPr>
          <w:rFonts w:hint="eastAsia" w:ascii="仿宋" w:hAnsi="仿宋" w:eastAsia="仿宋" w:cs="仿宋"/>
          <w:snapToGrid w:val="0"/>
          <w:color w:val="auto"/>
          <w:sz w:val="24"/>
          <w:szCs w:val="24"/>
          <w:highlight w:val="none"/>
        </w:rPr>
        <w:t>合同签订后</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个工作日内支付首付款，付款比例为合同金额的</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 xml:space="preserve"> 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整），其余费用</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rPr>
        <w:t>按乙方实际进度工作量据实结算。</w:t>
      </w:r>
    </w:p>
    <w:p w14:paraId="4287793D">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6.2甲方在支付上述款项前，应收到乙方提供的与应付款项等额的税务发票。因乙方未能根据合同提交相应票据和资料，导致甲方未能如期付款的，甲方不承担延期付款责任。</w:t>
      </w:r>
    </w:p>
    <w:p w14:paraId="6E48DB03">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七、争议与纠纷处理</w:t>
      </w:r>
    </w:p>
    <w:p w14:paraId="6E3D40A5">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7.1 本合同执行过程中发生争议或纠纷时，由甲乙双方协商解决，若协商不成，双方一致同意采用以下第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种</w:t>
      </w:r>
      <w:r>
        <w:rPr>
          <w:rFonts w:hint="eastAsia" w:ascii="仿宋" w:hAnsi="仿宋" w:eastAsia="仿宋" w:cs="仿宋"/>
          <w:snapToGrid w:val="0"/>
          <w:color w:val="auto"/>
          <w:sz w:val="24"/>
          <w:szCs w:val="24"/>
          <w:highlight w:val="none"/>
          <w:u w:color="595959"/>
        </w:rPr>
        <w:t>方式处理：</w:t>
      </w:r>
    </w:p>
    <w:p w14:paraId="69BEAA05">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（1）申请仲裁，约定向甲方所在地仲裁委员会申请仲裁。</w:t>
      </w:r>
    </w:p>
    <w:p w14:paraId="70DD1573">
      <w:pPr>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（2）提起诉讼，约定向甲方所在地法院提起诉讼。</w:t>
      </w:r>
    </w:p>
    <w:p w14:paraId="3434EAE6">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八、知识产权</w:t>
      </w:r>
    </w:p>
    <w:p w14:paraId="5C662C8F">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5A54394C">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九、产权归属</w:t>
      </w:r>
    </w:p>
    <w:p w14:paraId="3D13E578">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9.1 本项目的成果形成的知识产权归属约定如下：</w:t>
      </w:r>
      <w:r>
        <w:rPr>
          <w:rFonts w:ascii="仿宋" w:hAnsi="仿宋" w:eastAsia="仿宋" w:cs="仿宋"/>
          <w:snapToGrid w:val="0"/>
          <w:color w:val="auto"/>
          <w:sz w:val="24"/>
          <w:szCs w:val="24"/>
          <w:highlight w:val="none"/>
          <w:u w:val="single"/>
        </w:rPr>
        <w:t xml:space="preserve">         </w:t>
      </w:r>
      <w:r>
        <w:rPr>
          <w:rFonts w:ascii="仿宋" w:hAnsi="仿宋" w:eastAsia="仿宋" w:cs="仿宋"/>
          <w:snapToGrid w:val="0"/>
          <w:color w:val="auto"/>
          <w:sz w:val="24"/>
          <w:szCs w:val="24"/>
          <w:highlight w:val="none"/>
          <w:u w:color="595959"/>
        </w:rPr>
        <w:t>______________。</w:t>
      </w:r>
    </w:p>
    <w:p w14:paraId="645859EF">
      <w:pPr>
        <w:pStyle w:val="19"/>
        <w:snapToGrid w:val="0"/>
        <w:spacing w:line="380" w:lineRule="exac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如未约定，产权均归属于甲方。</w:t>
      </w:r>
    </w:p>
    <w:p w14:paraId="27799EB7">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十、权利和义务</w:t>
      </w:r>
    </w:p>
    <w:p w14:paraId="777B99FA">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 甲方权利</w:t>
      </w:r>
    </w:p>
    <w:p w14:paraId="08C20EF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10.1.1甲方有权对乙方依照合同提供的服务进行监督和检查。</w:t>
      </w:r>
    </w:p>
    <w:p w14:paraId="1E902F31">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10.1.2甲方有权对所发现的问题进行调查和处理，若发现乙方完成的服务内容与合同约定不符的，甲方有权要求乙方限期整改，若造成甲方损失，还应承担违约责任。</w:t>
      </w:r>
    </w:p>
    <w:p w14:paraId="30DAA9B4">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 甲方义务</w:t>
      </w:r>
    </w:p>
    <w:p w14:paraId="650C9AB3">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10.2.1 在能力范围内，配合乙方履行本合同，尽量为乙方的履约提供必要的支持。</w:t>
      </w:r>
    </w:p>
    <w:p w14:paraId="6FBE7A3D">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10.2.2 按照合同约定向乙方支付款项。</w:t>
      </w:r>
    </w:p>
    <w:p w14:paraId="30E46CD1">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10.2.3 合同履行完毕后，及时组织验收。</w:t>
      </w:r>
    </w:p>
    <w:p w14:paraId="7481AE75">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 乙方权利</w:t>
      </w:r>
    </w:p>
    <w:p w14:paraId="65E6E8FF">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10.3.1 乙方有权依约收取费用。</w:t>
      </w:r>
    </w:p>
    <w:p w14:paraId="0EF3C24E">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10.3.2 乙方有权拒绝甲方提出的除合同约定和乙方承诺以外的其他要求。</w:t>
      </w:r>
    </w:p>
    <w:p w14:paraId="074874DF">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10.3.3 乙方有权拒绝甲方在服务过程中的不正当要求和违规行为，并可以依法主张其合法权利。</w:t>
      </w:r>
    </w:p>
    <w:p w14:paraId="3309B594">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 乙方义务</w:t>
      </w:r>
    </w:p>
    <w:p w14:paraId="0C567DF3">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10.4.1 严格执行国家的法律、法规，守法经营，按章办事，自觉维护甲方的利益。</w:t>
      </w:r>
    </w:p>
    <w:p w14:paraId="73D22538">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10.4.2 接受甲方的检查、监督，严格履行服务承诺，做到诚实、守信。</w:t>
      </w:r>
    </w:p>
    <w:p w14:paraId="2A7D7AE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10.4.3按照响应文件的承诺以服务进程进行管理与控制，包括制定方案、合理配备工作人员、设施设备，按期组织实施，交付项目成果，保证服务项目质量。</w:t>
      </w:r>
    </w:p>
    <w:p w14:paraId="6EF04D57">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6467566D">
      <w:pPr>
        <w:pStyle w:val="19"/>
        <w:snapToGrid w:val="0"/>
        <w:spacing w:line="380" w:lineRule="exact"/>
        <w:ind w:firstLine="354" w:firstLineChars="147"/>
        <w:rPr>
          <w:rFonts w:hint="default" w:ascii="仿宋" w:hAnsi="仿宋" w:eastAsia="仿宋" w:cs="仿宋"/>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十一、违约责任</w:t>
      </w:r>
    </w:p>
    <w:p w14:paraId="3E0D6894">
      <w:pPr>
        <w:autoSpaceDE w:val="0"/>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11.1如乙方未按合同约定，或未按照甲、乙双方最终商定的整改期限内完成本项目，每延期一日(或每发生一次)，甲方有权要求乙方向甲方支付合同总价</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‰的违约金，但违约金的总数不超过合同总价的10％。如延期超过</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日或者延误服务确认</w:t>
      </w:r>
    </w:p>
    <w:p w14:paraId="21C7BEAC">
      <w:pPr>
        <w:autoSpaceDE w:val="0"/>
        <w:spacing w:line="380" w:lineRule="exact"/>
        <w:ind w:firstLine="480"/>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次，甲方有权解除合同，并要求乙方赔偿损失。</w:t>
      </w:r>
    </w:p>
    <w:p w14:paraId="624FC233">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11.2如甲方未按合同约定的期限付款，每延期一日，乙方有权要求甲方支付合同总价</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‰的违约金，但违约金的总数不超过合同总价的10％。如延期付款超过</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color="595959"/>
        </w:rPr>
        <w:t>日，乙方有权解除合同，并要求甲方赔偿损失。</w:t>
      </w:r>
    </w:p>
    <w:p w14:paraId="09755630">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11.3因乙方工作失误而造成的破坏或损失，乙方需承担赔偿或修复完好的责任，由此而发生的相关费用由乙方承担。</w:t>
      </w:r>
    </w:p>
    <w:p w14:paraId="6018BC27">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11.4如因乙方服务工作不及时或者质量不能满足合同要求，造成影响的，甲方有权指定第三方进行服务，所发生费用全部由乙方承担。</w:t>
      </w:r>
    </w:p>
    <w:p w14:paraId="3DD33EA5">
      <w:pPr>
        <w:autoSpaceDE w:val="0"/>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11.5如发生违约事件，履约方要求违约方支付违约金时，应当以书面方式通知违约方，内容包括违约事件、违约金、支付时间和方式等，违约方在收到上述通知后，应当于7日内答复对方，并支付违约金。</w:t>
      </w:r>
    </w:p>
    <w:p w14:paraId="0CB78B89">
      <w:pPr>
        <w:autoSpaceDE w:val="0"/>
        <w:spacing w:line="380" w:lineRule="exact"/>
        <w:rPr>
          <w:rFonts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color="595959"/>
        </w:rPr>
        <w:t>　　11.6其他违约责任约定：</w:t>
      </w:r>
      <w:r>
        <w:rPr>
          <w:rFonts w:hint="eastAsia" w:ascii="仿宋" w:hAnsi="仿宋" w:eastAsia="仿宋" w:cs="仿宋"/>
          <w:snapToGrid w:val="0"/>
          <w:color w:val="auto"/>
          <w:sz w:val="24"/>
          <w:szCs w:val="24"/>
          <w:highlight w:val="none"/>
          <w:u w:val="single" w:color="595959"/>
        </w:rPr>
        <w:t xml:space="preserve">                                               </w:t>
      </w:r>
    </w:p>
    <w:p w14:paraId="5BE38274">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十二、保密条款</w:t>
      </w:r>
    </w:p>
    <w:p w14:paraId="29BB1175">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21B61990">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12.2乙方对所获得甲方的保密信息负有保密义务的期限为永久，不受本合同解除的限制，直至保密信息已进入公共渠道或甲方以书面形式明确表示无须再负保密义务为止。</w:t>
      </w:r>
    </w:p>
    <w:p w14:paraId="2E40BD36">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12.3甲方有特殊保密要求的，应当另行签订保密协议，以保密协议的约定为准。</w:t>
      </w:r>
    </w:p>
    <w:p w14:paraId="355BCF4D">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十三、转包或分包</w:t>
      </w:r>
    </w:p>
    <w:p w14:paraId="6B08C3B3">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13.1 本合同范围内的服务，应由乙方直接组织实施，不得转让他人。</w:t>
      </w:r>
    </w:p>
    <w:p w14:paraId="3EB66800">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13.2 除非得到甲方的书面同意，乙方不得分包给他人。</w:t>
      </w:r>
    </w:p>
    <w:p w14:paraId="0745E34C">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十四、履约担保</w:t>
      </w:r>
    </w:p>
    <w:p w14:paraId="4D9AA9BC">
      <w:pPr>
        <w:pStyle w:val="19"/>
        <w:snapToGrid w:val="0"/>
        <w:spacing w:line="380" w:lineRule="exact"/>
        <w:ind w:firstLine="352" w:firstLineChars="14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 xml:space="preserve"> 14.1 本合同履约担保按照以下第_____种方式提供：</w:t>
      </w:r>
    </w:p>
    <w:p w14:paraId="561BC93A">
      <w:pPr>
        <w:pStyle w:val="19"/>
        <w:snapToGrid w:val="0"/>
        <w:spacing w:line="380" w:lineRule="exact"/>
        <w:ind w:firstLine="472" w:firstLineChars="19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(1) 乙方不提供履约担保。</w:t>
      </w:r>
    </w:p>
    <w:p w14:paraId="2381164C">
      <w:pPr>
        <w:pStyle w:val="19"/>
        <w:snapToGrid w:val="0"/>
        <w:spacing w:line="380" w:lineRule="exact"/>
        <w:ind w:firstLine="472" w:firstLineChars="197"/>
        <w:jc w:val="left"/>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(2) 乙方提供银行保函，保函金额为合同金额的</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w:t>
      </w:r>
      <w:r>
        <w:rPr>
          <w:rFonts w:ascii="仿宋" w:hAnsi="仿宋" w:eastAsia="仿宋" w:cs="仿宋"/>
          <w:snapToGrid w:val="0"/>
          <w:color w:val="auto"/>
          <w:sz w:val="24"/>
          <w:szCs w:val="24"/>
          <w:highlight w:val="none"/>
        </w:rPr>
        <w:t>计人民币</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rPr>
        <w:t>整，</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w:t>
      </w:r>
      <w:r>
        <w:rPr>
          <w:rFonts w:ascii="仿宋" w:hAnsi="仿宋" w:eastAsia="仿宋" w:cs="仿宋"/>
          <w:snapToGrid w:val="0"/>
          <w:color w:val="auto"/>
          <w:sz w:val="24"/>
          <w:szCs w:val="24"/>
          <w:highlight w:val="none"/>
          <w:u w:val="single" w:color="595959"/>
        </w:rPr>
        <w:t xml:space="preserve">        </w:t>
      </w:r>
      <w:r>
        <w:rPr>
          <w:rFonts w:ascii="仿宋" w:hAnsi="仿宋" w:eastAsia="仿宋" w:cs="仿宋"/>
          <w:snapToGrid w:val="0"/>
          <w:color w:val="auto"/>
          <w:sz w:val="24"/>
          <w:szCs w:val="24"/>
          <w:highlight w:val="none"/>
          <w:u w:color="595959"/>
        </w:rPr>
        <w:t>整），到期日为_______。</w:t>
      </w:r>
    </w:p>
    <w:p w14:paraId="4D839880">
      <w:pPr>
        <w:pStyle w:val="19"/>
        <w:snapToGrid w:val="0"/>
        <w:spacing w:line="380" w:lineRule="exact"/>
        <w:ind w:firstLine="472" w:firstLineChars="197"/>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304D53D0">
      <w:pPr>
        <w:pStyle w:val="19"/>
        <w:snapToGrid w:val="0"/>
        <w:spacing w:line="380" w:lineRule="exact"/>
        <w:ind w:firstLine="480"/>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488E71E6">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十五、其他条款</w:t>
      </w:r>
    </w:p>
    <w:p w14:paraId="3A772C79">
      <w:pPr>
        <w:pStyle w:val="19"/>
        <w:snapToGrid w:val="0"/>
        <w:spacing w:line="380" w:lineRule="exact"/>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 xml:space="preserve">     </w:t>
      </w:r>
      <w:r>
        <w:rPr>
          <w:rFonts w:ascii="仿宋" w:hAnsi="仿宋" w:eastAsia="仿宋" w:cs="仿宋"/>
          <w:snapToGrid w:val="0"/>
          <w:color w:val="auto"/>
          <w:sz w:val="24"/>
          <w:szCs w:val="24"/>
          <w:highlight w:val="none"/>
          <w:u w:val="single" w:color="595959"/>
        </w:rPr>
        <w:t xml:space="preserve">                                                                    </w:t>
      </w:r>
    </w:p>
    <w:p w14:paraId="211AA591">
      <w:pPr>
        <w:spacing w:line="380" w:lineRule="exact"/>
        <w:ind w:firstLine="480"/>
        <w:rPr>
          <w:rFonts w:ascii="仿宋" w:hAnsi="仿宋" w:eastAsia="仿宋" w:cs="仿宋"/>
          <w:b/>
          <w:snapToGrid w:val="0"/>
          <w:color w:val="auto"/>
          <w:sz w:val="24"/>
          <w:szCs w:val="24"/>
          <w:highlight w:val="none"/>
          <w:u w:color="595959"/>
        </w:rPr>
      </w:pPr>
      <w:r>
        <w:rPr>
          <w:rFonts w:hint="eastAsia" w:ascii="仿宋" w:hAnsi="仿宋" w:eastAsia="仿宋" w:cs="仿宋"/>
          <w:b/>
          <w:snapToGrid w:val="0"/>
          <w:color w:val="auto"/>
          <w:sz w:val="24"/>
          <w:szCs w:val="24"/>
          <w:highlight w:val="none"/>
          <w:u w:color="595959"/>
        </w:rPr>
        <w:t>十六、组成本合同的文件</w:t>
      </w:r>
    </w:p>
    <w:p w14:paraId="47E97E81">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16.1 合同及附件；</w:t>
      </w:r>
    </w:p>
    <w:p w14:paraId="7FC426E8">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16.2成交通知书；</w:t>
      </w:r>
    </w:p>
    <w:p w14:paraId="109A6EBD">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16.3采购文件和乙方的响应文件；</w:t>
      </w:r>
    </w:p>
    <w:p w14:paraId="2ACC92EC">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16.4采购过程中有关补充资料和澄清文件等（如有）；</w:t>
      </w:r>
    </w:p>
    <w:p w14:paraId="79519940">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16.5 甲乙双方商定的其他必要文件。</w:t>
      </w:r>
    </w:p>
    <w:p w14:paraId="5C43CF5D">
      <w:pPr>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上述文件内容互为补充，如有不明确，由甲方负责解释。</w:t>
      </w:r>
    </w:p>
    <w:p w14:paraId="7E6BE38D">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b/>
          <w:snapToGrid w:val="0"/>
          <w:color w:val="auto"/>
          <w:sz w:val="24"/>
          <w:szCs w:val="24"/>
          <w:highlight w:val="none"/>
          <w:u w:color="595959"/>
        </w:rPr>
        <w:t>　　十七、不可抗力</w:t>
      </w:r>
    </w:p>
    <w:p w14:paraId="5ED540BC">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17.1当事人一方因不可抗力不能履行合同的，应当及时通知对方，并积极采取措施以减轻或消除可能给对方造成的损失，并在事件结束后7个自然日内提供事实性证明。</w:t>
      </w:r>
    </w:p>
    <w:p w14:paraId="3D94EB4D">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17.2因不可抗力不能履行合同的，根据不可抗力的影响，部分或者全部（由双方</w:t>
      </w:r>
    </w:p>
    <w:p w14:paraId="36CAAA2B">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协商确定）免除责任，但法律另有规定的除外。当事人迟延履行合同后发生不可抗力的，不能免除责任。</w:t>
      </w:r>
    </w:p>
    <w:p w14:paraId="68487A46">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17.3因不可抗力使合同不能如期履行时，由双方协商确定是否延期履行或终止本</w:t>
      </w:r>
    </w:p>
    <w:p w14:paraId="5658E154">
      <w:pPr>
        <w:pStyle w:val="52"/>
        <w:spacing w:line="380" w:lineRule="exac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合同。</w:t>
      </w:r>
    </w:p>
    <w:p w14:paraId="25BB0F14">
      <w:pPr>
        <w:pStyle w:val="19"/>
        <w:snapToGrid w:val="0"/>
        <w:spacing w:line="380" w:lineRule="exact"/>
        <w:ind w:firstLine="354" w:firstLineChars="147"/>
        <w:rPr>
          <w:rFonts w:hint="default" w:ascii="仿宋" w:hAnsi="仿宋" w:eastAsia="仿宋" w:cs="仿宋"/>
          <w:b/>
          <w:snapToGrid w:val="0"/>
          <w:color w:val="auto"/>
          <w:sz w:val="24"/>
          <w:szCs w:val="24"/>
          <w:highlight w:val="none"/>
          <w:u w:color="595959"/>
        </w:rPr>
      </w:pPr>
      <w:r>
        <w:rPr>
          <w:rFonts w:ascii="仿宋" w:hAnsi="仿宋" w:eastAsia="仿宋" w:cs="仿宋"/>
          <w:b/>
          <w:snapToGrid w:val="0"/>
          <w:color w:val="auto"/>
          <w:sz w:val="24"/>
          <w:szCs w:val="24"/>
          <w:highlight w:val="none"/>
          <w:u w:color="595959"/>
        </w:rPr>
        <w:t>十八、合同生效及其他</w:t>
      </w:r>
    </w:p>
    <w:p w14:paraId="280A0954">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18.1 合同经双方法定代表人或授权委托代表人签字并加盖单位公章后生效。</w:t>
      </w:r>
    </w:p>
    <w:p w14:paraId="408D05C9">
      <w:pPr>
        <w:pStyle w:val="19"/>
        <w:snapToGrid w:val="0"/>
        <w:spacing w:line="380" w:lineRule="exact"/>
        <w:ind w:firstLine="352" w:firstLineChars="147"/>
        <w:rPr>
          <w:rFonts w:hint="default" w:ascii="仿宋" w:hAnsi="仿宋" w:eastAsia="仿宋" w:cs="仿宋"/>
          <w:b/>
          <w:snapToGrid w:val="0"/>
          <w:color w:val="auto"/>
          <w:sz w:val="24"/>
          <w:szCs w:val="24"/>
          <w:highlight w:val="none"/>
          <w:u w:color="595959"/>
        </w:rPr>
      </w:pPr>
      <w:r>
        <w:rPr>
          <w:rFonts w:ascii="仿宋" w:hAnsi="仿宋" w:eastAsia="仿宋" w:cs="仿宋"/>
          <w:snapToGrid w:val="0"/>
          <w:color w:val="auto"/>
          <w:sz w:val="24"/>
          <w:szCs w:val="24"/>
          <w:highlight w:val="none"/>
          <w:u w:color="595959"/>
        </w:rPr>
        <w:t>18.2 本合同未尽事宜，遵照国家合同相关法律法规执行。</w:t>
      </w:r>
    </w:p>
    <w:p w14:paraId="33EAC3D4">
      <w:pPr>
        <w:spacing w:line="380" w:lineRule="exact"/>
        <w:jc w:val="left"/>
        <w:rPr>
          <w:rFonts w:ascii="仿宋" w:hAnsi="仿宋" w:eastAsia="仿宋" w:cs="仿宋"/>
          <w:snapToGrid w:val="0"/>
          <w:color w:val="auto"/>
          <w:sz w:val="24"/>
          <w:szCs w:val="24"/>
          <w:highlight w:val="none"/>
          <w:u w:color="595959"/>
        </w:rPr>
      </w:pPr>
      <w:r>
        <w:rPr>
          <w:rFonts w:hint="eastAsia" w:ascii="仿宋" w:hAnsi="仿宋" w:eastAsia="仿宋" w:cs="仿宋"/>
          <w:snapToGrid w:val="0"/>
          <w:color w:val="auto"/>
          <w:sz w:val="24"/>
          <w:szCs w:val="24"/>
          <w:highlight w:val="none"/>
          <w:u w:color="595959"/>
        </w:rPr>
        <w:t xml:space="preserve">    18. 3 本合同一式六份，具有同等法律效力，中文书写。甲乙双方各执三份。</w:t>
      </w:r>
    </w:p>
    <w:p w14:paraId="48C29B15">
      <w:pPr>
        <w:pStyle w:val="19"/>
        <w:snapToGrid w:val="0"/>
        <w:spacing w:line="376" w:lineRule="exact"/>
        <w:ind w:firstLine="319" w:firstLineChars="133"/>
        <w:rPr>
          <w:rFonts w:hint="default" w:ascii="仿宋" w:hAnsi="仿宋" w:eastAsia="仿宋" w:cs="仿宋"/>
          <w:snapToGrid w:val="0"/>
          <w:color w:val="auto"/>
          <w:sz w:val="24"/>
          <w:szCs w:val="24"/>
          <w:highlight w:val="none"/>
          <w:u w:color="595959"/>
        </w:rPr>
      </w:pPr>
    </w:p>
    <w:p w14:paraId="430A7C99">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21194C8D">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483E76FD">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甲方（单位盖章）：                    乙方（单位盖章）：</w:t>
      </w:r>
    </w:p>
    <w:p w14:paraId="62AF5A5F">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31E3CC4E">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统一社会信用代码：                    统一社会信用代码：</w:t>
      </w:r>
    </w:p>
    <w:p w14:paraId="5BA139DE">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1D333E2F">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单位住所地：                          单位住所地：</w:t>
      </w:r>
    </w:p>
    <w:p w14:paraId="58FD079B">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3290802A">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法定代表人或授权代表：                法定代表人或授权代表：</w:t>
      </w:r>
    </w:p>
    <w:p w14:paraId="0ABEE063">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p>
    <w:p w14:paraId="45B87D20">
      <w:pPr>
        <w:pStyle w:val="19"/>
        <w:snapToGrid w:val="0"/>
        <w:spacing w:line="300" w:lineRule="exact"/>
        <w:ind w:firstLine="319" w:firstLineChars="133"/>
        <w:rPr>
          <w:rFonts w:hint="default" w:ascii="仿宋" w:hAnsi="仿宋" w:eastAsia="仿宋" w:cs="仿宋"/>
          <w:snapToGrid w:val="0"/>
          <w:color w:val="auto"/>
          <w:sz w:val="24"/>
          <w:szCs w:val="24"/>
          <w:highlight w:val="none"/>
          <w:u w:color="595959"/>
        </w:rPr>
      </w:pPr>
      <w:r>
        <w:rPr>
          <w:rFonts w:ascii="仿宋" w:hAnsi="仿宋" w:eastAsia="仿宋" w:cs="仿宋"/>
          <w:snapToGrid w:val="0"/>
          <w:color w:val="auto"/>
          <w:sz w:val="24"/>
          <w:szCs w:val="24"/>
          <w:highlight w:val="none"/>
          <w:u w:color="595959"/>
        </w:rPr>
        <w:t>联系电话：                            联系电话：</w:t>
      </w:r>
    </w:p>
    <w:p w14:paraId="2F866C88">
      <w:pPr>
        <w:pStyle w:val="19"/>
        <w:snapToGrid w:val="0"/>
        <w:spacing w:line="300" w:lineRule="exact"/>
        <w:ind w:left="3009" w:leftChars="133" w:hanging="2730" w:hangingChars="1300"/>
        <w:rPr>
          <w:rFonts w:hint="default" w:ascii="仿宋" w:hAnsi="仿宋" w:eastAsia="仿宋" w:cs="仿宋"/>
          <w:snapToGrid w:val="0"/>
          <w:color w:val="auto"/>
          <w:highlight w:val="none"/>
          <w:u w:color="595959"/>
        </w:rPr>
      </w:pPr>
      <w:r>
        <w:rPr>
          <w:rFonts w:ascii="仿宋" w:hAnsi="仿宋" w:eastAsia="仿宋" w:cs="仿宋"/>
          <w:snapToGrid w:val="0"/>
          <w:color w:val="auto"/>
          <w:highlight w:val="none"/>
          <w:u w:color="595959"/>
        </w:rPr>
        <w:t xml:space="preserve">                                                                                   </w:t>
      </w:r>
    </w:p>
    <w:p w14:paraId="092C9112">
      <w:pPr>
        <w:pStyle w:val="19"/>
        <w:snapToGrid w:val="0"/>
        <w:spacing w:line="300" w:lineRule="exact"/>
        <w:ind w:left="3399" w:leftChars="133" w:hanging="3120" w:hangingChars="1300"/>
        <w:rPr>
          <w:rFonts w:hint="default" w:ascii="仿宋" w:hAnsi="仿宋" w:eastAsia="仿宋" w:cs="仿宋"/>
          <w:color w:val="auto"/>
          <w:sz w:val="24"/>
          <w:szCs w:val="24"/>
          <w:highlight w:val="none"/>
          <w:u w:color="595959"/>
        </w:rPr>
      </w:pPr>
      <w:r>
        <w:rPr>
          <w:rFonts w:ascii="仿宋" w:hAnsi="仿宋" w:eastAsia="仿宋" w:cs="仿宋"/>
          <w:snapToGrid w:val="0"/>
          <w:color w:val="auto"/>
          <w:sz w:val="24"/>
          <w:szCs w:val="24"/>
          <w:highlight w:val="none"/>
          <w:u w:color="595959"/>
        </w:rPr>
        <w:t>签订日期：     年</w:t>
      </w:r>
      <w:r>
        <w:rPr>
          <w:rFonts w:ascii="仿宋" w:hAnsi="仿宋" w:eastAsia="仿宋" w:cs="仿宋"/>
          <w:color w:val="auto"/>
          <w:sz w:val="24"/>
          <w:szCs w:val="24"/>
          <w:highlight w:val="none"/>
          <w:u w:color="595959"/>
        </w:rPr>
        <w:t xml:space="preserve">   月  日  　  </w:t>
      </w:r>
      <w:r>
        <w:rPr>
          <w:rFonts w:ascii="仿宋" w:hAnsi="仿宋" w:eastAsia="仿宋" w:cs="仿宋"/>
          <w:snapToGrid w:val="0"/>
          <w:color w:val="auto"/>
          <w:sz w:val="24"/>
          <w:szCs w:val="24"/>
          <w:highlight w:val="none"/>
          <w:u w:color="595959"/>
        </w:rPr>
        <w:t>签订日期：      年</w:t>
      </w:r>
      <w:r>
        <w:rPr>
          <w:rFonts w:ascii="仿宋" w:hAnsi="仿宋" w:eastAsia="仿宋" w:cs="仿宋"/>
          <w:color w:val="auto"/>
          <w:sz w:val="24"/>
          <w:szCs w:val="24"/>
          <w:highlight w:val="none"/>
          <w:u w:color="595959"/>
        </w:rPr>
        <w:t xml:space="preserve">   月  日</w:t>
      </w:r>
    </w:p>
    <w:p w14:paraId="49701BDC">
      <w:pPr>
        <w:rPr>
          <w:rFonts w:ascii="仿宋" w:hAnsi="仿宋" w:eastAsia="仿宋" w:cs="仿宋"/>
          <w:bCs/>
          <w:color w:val="auto"/>
          <w:sz w:val="44"/>
          <w:highlight w:val="none"/>
        </w:rPr>
        <w:sectPr>
          <w:headerReference r:id="rId9" w:type="default"/>
          <w:footerReference r:id="rId10" w:type="default"/>
          <w:pgSz w:w="11906" w:h="16838"/>
          <w:pgMar w:top="1440" w:right="1080" w:bottom="1440" w:left="1080" w:header="851" w:footer="907" w:gutter="0"/>
          <w:cols w:space="720" w:num="1"/>
          <w:docGrid w:linePitch="360" w:charSpace="0"/>
        </w:sectPr>
      </w:pPr>
      <w:r>
        <w:rPr>
          <w:rFonts w:hint="eastAsia" w:ascii="仿宋" w:hAnsi="仿宋" w:eastAsia="仿宋" w:cs="仿宋"/>
          <w:bCs/>
          <w:color w:val="auto"/>
          <w:sz w:val="44"/>
          <w:highlight w:val="none"/>
        </w:rPr>
        <w:br w:type="page" w:clear="all"/>
      </w:r>
    </w:p>
    <w:p w14:paraId="10787146">
      <w:pPr>
        <w:widowControl/>
        <w:jc w:val="left"/>
        <w:rPr>
          <w:rFonts w:ascii="仿宋" w:hAnsi="仿宋" w:eastAsia="仿宋" w:cs="仿宋"/>
          <w:b/>
          <w:bCs/>
          <w:color w:val="auto"/>
          <w:sz w:val="24"/>
          <w:szCs w:val="40"/>
          <w:highlight w:val="none"/>
        </w:rPr>
      </w:pPr>
      <w:r>
        <w:rPr>
          <w:rFonts w:hint="eastAsia" w:ascii="仿宋" w:hAnsi="仿宋" w:eastAsia="仿宋" w:cs="仿宋"/>
          <w:b/>
          <w:bCs/>
          <w:color w:val="auto"/>
          <w:sz w:val="24"/>
          <w:szCs w:val="40"/>
          <w:highlight w:val="none"/>
        </w:rPr>
        <w:t>附件2</w:t>
      </w:r>
    </w:p>
    <w:p w14:paraId="38C7CE51">
      <w:pPr>
        <w:spacing w:line="700" w:lineRule="exact"/>
        <w:jc w:val="center"/>
        <w:rPr>
          <w:rFonts w:ascii="仿宋" w:hAnsi="仿宋" w:eastAsia="仿宋" w:cs="仿宋"/>
          <w:color w:val="auto"/>
          <w:sz w:val="44"/>
          <w:szCs w:val="44"/>
          <w:highlight w:val="none"/>
        </w:rPr>
      </w:pPr>
    </w:p>
    <w:p w14:paraId="657BFE01">
      <w:pPr>
        <w:spacing w:line="700" w:lineRule="exact"/>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政府采购项目中标单位廉政承诺书</w:t>
      </w:r>
    </w:p>
    <w:p w14:paraId="358DBF5C">
      <w:pPr>
        <w:spacing w:line="560" w:lineRule="exact"/>
        <w:rPr>
          <w:rFonts w:ascii="仿宋" w:hAnsi="仿宋" w:eastAsia="仿宋" w:cs="仿宋"/>
          <w:color w:val="auto"/>
          <w:szCs w:val="24"/>
          <w:highlight w:val="none"/>
        </w:rPr>
      </w:pPr>
    </w:p>
    <w:p w14:paraId="4EA3DA0E">
      <w:pPr>
        <w:spacing w:line="560" w:lineRule="exact"/>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省交通运输综合行政执法监督局：</w:t>
      </w:r>
    </w:p>
    <w:p w14:paraId="3C2C8AA3">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553AECC8">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一、严格遵守法律法规与政策规定</w:t>
      </w:r>
    </w:p>
    <w:p w14:paraId="3E9EBCCA">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6C3464C7">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二、杜绝利益输送等违规行为</w:t>
      </w:r>
    </w:p>
    <w:p w14:paraId="566FA7BB">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67D7DB66">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绝不与省交通综合执法局工作人员私下协商、背离合同实质性内容签订补充协议；</w:t>
      </w:r>
    </w:p>
    <w:p w14:paraId="5FC3B3EF">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绝不在履约中以次充好、偷工减料、拖延工期；</w:t>
      </w:r>
    </w:p>
    <w:p w14:paraId="51768701">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绝不将中标项目违法转包、擅自分包，或擅自变更项目负责人、核心技术人员；</w:t>
      </w:r>
    </w:p>
    <w:p w14:paraId="63462D38">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绝不索取、收受省交通综合执法局工作人员、采购代理机构的任何不当利益，也不利用项目实施便利谋取个人或第三方私利；</w:t>
      </w:r>
    </w:p>
    <w:p w14:paraId="31E5E320">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6</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65B45B5C">
      <w:pPr>
        <w:keepNext/>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三、规范履约与主动接受监督</w:t>
      </w:r>
    </w:p>
    <w:p w14:paraId="45EC0C82">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严格按招标文件、投标文件及中标合同约定履约，严控项目质量、进度与成本，确保项目成果符合采购需求；</w:t>
      </w:r>
    </w:p>
    <w:p w14:paraId="1B9EA5E8">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主动接受省交通综合执法局计划、财务、纪检部门及社会公众的监督检查，如实提供项目资料、财务凭证、沟通记录等相关材料，不拒绝、不阻挠、不隐匿；</w:t>
      </w:r>
    </w:p>
    <w:p w14:paraId="5E0644E4">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建立项目廉政台账，加强内部人员廉政教育，对参与项目的团队成员严格管理，杜绝违规行为，若发生相关问题，我方承担全部责任。</w:t>
      </w:r>
    </w:p>
    <w:p w14:paraId="4C68F603">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四、违约责任承担</w:t>
      </w:r>
    </w:p>
    <w:p w14:paraId="37F1DBB7">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若我方违反上述任一承诺，自愿承担以下后果：</w:t>
      </w:r>
    </w:p>
    <w:p w14:paraId="0D839294">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接受省交通综合执法局取消中标资格、没收履约保证金、终止合同、拒付工程款等处理；</w:t>
      </w:r>
    </w:p>
    <w:p w14:paraId="141ADD18">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承担由此给省交通综合执法局、采购代理机构造成的全部经济损失及相应法律责任（含民事、行政乃至刑事责任）。</w:t>
      </w:r>
    </w:p>
    <w:p w14:paraId="5E844CA7">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本承诺书作为中标合同的有效组成部分，与合同具有同等法律效力，自我方签字盖章之日起生效，持续约束至项目完全履约完毕。</w:t>
      </w:r>
    </w:p>
    <w:p w14:paraId="3DD5D38A">
      <w:pPr>
        <w:spacing w:line="560" w:lineRule="exact"/>
        <w:rPr>
          <w:rFonts w:ascii="仿宋" w:hAnsi="仿宋" w:eastAsia="仿宋" w:cs="仿宋"/>
          <w:color w:val="auto"/>
          <w:sz w:val="24"/>
          <w:szCs w:val="40"/>
          <w:highlight w:val="none"/>
        </w:rPr>
      </w:pPr>
    </w:p>
    <w:p w14:paraId="776FF64D">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承诺单位（公章）：[中标单位全称]</w:t>
      </w:r>
    </w:p>
    <w:p w14:paraId="6F4F64D0">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法定代表人/授权代表（签字）：[签字]</w:t>
      </w:r>
    </w:p>
    <w:p w14:paraId="35DB1903">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统一社会信用代码：[代码]</w:t>
      </w:r>
    </w:p>
    <w:p w14:paraId="1AC876F9">
      <w:pPr>
        <w:spacing w:line="560" w:lineRule="exact"/>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日期：[YYYY年MM月DD日]</w:t>
      </w:r>
    </w:p>
    <w:p w14:paraId="4EF5D5D2">
      <w:pPr>
        <w:widowControl/>
        <w:jc w:val="left"/>
        <w:rPr>
          <w:rFonts w:ascii="仿宋" w:hAnsi="仿宋" w:eastAsia="仿宋" w:cs="仿宋"/>
          <w:color w:val="auto"/>
          <w:szCs w:val="32"/>
          <w:highlight w:val="none"/>
        </w:rPr>
      </w:pPr>
      <w:r>
        <w:rPr>
          <w:rFonts w:hint="eastAsia" w:ascii="仿宋" w:hAnsi="仿宋" w:eastAsia="仿宋" w:cs="仿宋"/>
          <w:color w:val="auto"/>
          <w:szCs w:val="32"/>
          <w:highlight w:val="none"/>
        </w:rPr>
        <w:br w:type="page"/>
      </w:r>
      <w:r>
        <w:rPr>
          <w:rFonts w:hint="eastAsia" w:ascii="仿宋" w:hAnsi="仿宋" w:eastAsia="仿宋" w:cs="仿宋"/>
          <w:b/>
          <w:bCs/>
          <w:color w:val="auto"/>
          <w:sz w:val="24"/>
          <w:szCs w:val="40"/>
          <w:highlight w:val="none"/>
        </w:rPr>
        <w:t>附件3</w:t>
      </w:r>
    </w:p>
    <w:p w14:paraId="4092847D">
      <w:pPr>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政府采购项目中标单位廉政合同</w:t>
      </w:r>
    </w:p>
    <w:p w14:paraId="3841773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合同编号：</w:t>
      </w:r>
    </w:p>
    <w:p w14:paraId="4B1687C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项目名称：______________</w:t>
      </w:r>
    </w:p>
    <w:p w14:paraId="0B67DB2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项目编号：________________________</w:t>
      </w:r>
    </w:p>
    <w:p w14:paraId="7F82859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签订地点：江苏省南京市____区</w:t>
      </w:r>
    </w:p>
    <w:p w14:paraId="472F9CA5">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签订时间：______年____月____日</w:t>
      </w:r>
    </w:p>
    <w:p w14:paraId="754B6C78">
      <w:pPr>
        <w:rPr>
          <w:rFonts w:ascii="仿宋" w:hAnsi="仿宋" w:eastAsia="仿宋" w:cs="仿宋"/>
          <w:color w:val="auto"/>
          <w:sz w:val="24"/>
          <w:szCs w:val="40"/>
          <w:highlight w:val="none"/>
        </w:rPr>
      </w:pPr>
    </w:p>
    <w:p w14:paraId="600397C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甲方（采购人）</w:t>
      </w:r>
    </w:p>
    <w:p w14:paraId="63B25AE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单位名称：________________________</w:t>
      </w:r>
    </w:p>
    <w:p w14:paraId="29D8C045">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统一社会信用代码：________________</w:t>
      </w:r>
    </w:p>
    <w:p w14:paraId="52E5C6A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地址：____________________________</w:t>
      </w:r>
    </w:p>
    <w:p w14:paraId="33661633">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联系人：____________ 联系电话：____________</w:t>
      </w:r>
    </w:p>
    <w:p w14:paraId="03C58F21">
      <w:pPr>
        <w:rPr>
          <w:rFonts w:ascii="仿宋" w:hAnsi="仿宋" w:eastAsia="仿宋" w:cs="仿宋"/>
          <w:color w:val="auto"/>
          <w:sz w:val="24"/>
          <w:szCs w:val="40"/>
          <w:highlight w:val="none"/>
        </w:rPr>
      </w:pPr>
    </w:p>
    <w:p w14:paraId="011CE9E4">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乙方（中标供应商）</w:t>
      </w:r>
    </w:p>
    <w:p w14:paraId="1973289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单位名称：________________________</w:t>
      </w:r>
    </w:p>
    <w:p w14:paraId="3EB99D3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统一社会信用代码：________________</w:t>
      </w:r>
    </w:p>
    <w:p w14:paraId="588C3BB3">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地址：____________________________</w:t>
      </w:r>
    </w:p>
    <w:p w14:paraId="79012C0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法定代表人：______________________</w:t>
      </w:r>
    </w:p>
    <w:p w14:paraId="4F823E90">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项目负责人：______________________</w:t>
      </w:r>
    </w:p>
    <w:p w14:paraId="1D3C9687">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联系电话：________________________</w:t>
      </w:r>
    </w:p>
    <w:p w14:paraId="15E8D2B5">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717C95C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本合同为上述项目主合同不可分割的组成部分，与主合同具有同等法律效力，主合同无效、被撤销或终止的，本合同关于廉政责任、违约责任、争议解决的条款依然有效。</w:t>
      </w:r>
    </w:p>
    <w:p w14:paraId="355EDE7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第一条 适用范围与期限</w:t>
      </w:r>
    </w:p>
    <w:p w14:paraId="23E6976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本合同适用于本项目中标、签约、履约、供货、施工、服务、验收、付款、质保、售后服务全流程、全环节。</w:t>
      </w:r>
    </w:p>
    <w:p w14:paraId="6923E2E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廉政责任期限：自合同签订之日起，至项目质保期满、款项结清、所有责任履行完毕之日止。</w:t>
      </w:r>
    </w:p>
    <w:p w14:paraId="4BA5AD80">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第二条 乙方（中标单位）廉政责任与禁止行为</w:t>
      </w:r>
    </w:p>
    <w:p w14:paraId="6029D08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乙方郑重承诺，在项目全过程中严格遵守国家法律法规及政府采购廉政规定，坚决杜绝以下行为：</w:t>
      </w:r>
    </w:p>
    <w:p w14:paraId="4E30FC9E">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不得以任何形式向甲方工作人员、评审专家、监理、验收人员及上述人员亲属、特定关系人赠送现金、礼金、礼品、有价证券、支付凭证、消费卡、电子红包、土特产、奢侈品等任何财物。</w:t>
      </w:r>
    </w:p>
    <w:p w14:paraId="2B85E95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不得提供或接受宴请、旅游、健身、娱乐、高消费活动，不得报销任何应由个人支付的费用，不得提供住房装修、车辆使用、家政服务等任何不正当利益。</w:t>
      </w:r>
    </w:p>
    <w:p w14:paraId="70BB0425">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不得违法转包、擅自分包、挂靠经营，不得随意更换项目负责人、技术负责人、核心服务人员。</w:t>
      </w:r>
    </w:p>
    <w:p w14:paraId="61B39889">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不得在合同约定之外，以任何名义向甲方或相关人员索要、收受回扣、好处费、中介费、感谢费、协调费等不正当利益。</w:t>
      </w:r>
    </w:p>
    <w:p w14:paraId="2DF0B4CE">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不得通过打招呼、递条子、托关系、宴请等方式干预评审、干预验收、干预付款等。</w:t>
      </w:r>
    </w:p>
    <w:p w14:paraId="08DDCEF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6</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不得以次充好、偷工减料、降低标准、拖延工期、虚假履约等方式损害甲方及公共利益。</w:t>
      </w:r>
    </w:p>
    <w:p w14:paraId="301A9444">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7</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不得拒绝、阻挠、逃避计划、财务、审计、纪检、采购人的监督检查，不得隐匿、伪造、篡改、销毁项目资料、财务凭证、合同文件、往来记录等。</w:t>
      </w:r>
    </w:p>
    <w:p w14:paraId="0D1DBB4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8</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不得泄露本项目相关保密信息（包括但不限于采购文件、投标文件、技术参数、验收标准、履约细节等），不得建立或加入与本项目相关的不正当联络群，杜绝通过不正当渠道传递涉密信息。</w:t>
      </w:r>
    </w:p>
    <w:p w14:paraId="00F672A6">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第三条 甲方（采购人）廉政责任与禁止行为</w:t>
      </w:r>
    </w:p>
    <w:p w14:paraId="3CC7AC5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甲方严格执行政府采购内控制度，坚持集体研究、公开透明，严禁个人擅自决定参数、验收标准及付款事项。</w:t>
      </w:r>
    </w:p>
    <w:p w14:paraId="1F694E5D">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甲方工作人员严禁索取、收受、变相收受乙方任何财物、礼品、宴请、消费及不正当利益，严禁利用职权指定品牌、指定供应商、干预中标结果。</w:t>
      </w:r>
    </w:p>
    <w:p w14:paraId="71CB14B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甲方严禁违规变更合同实质性条款。</w:t>
      </w:r>
    </w:p>
    <w:p w14:paraId="70BD482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甲方应按规定及时组织验收、按期支付资金，不得无故拖延、刁难、设置不合理门槛，不得利用验收、付款职权谋取私利。</w:t>
      </w:r>
    </w:p>
    <w:p w14:paraId="4E8C760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甲方与乙方存在利害关系的人员，必须主动申请回避，不得参与项目评审、验收、付款等关键环节。</w:t>
      </w:r>
    </w:p>
    <w:p w14:paraId="6A01EC8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第四条 全过程留痕与档案管理</w:t>
      </w:r>
    </w:p>
    <w:p w14:paraId="63D66B5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为落实政府采购全过程可追溯要求，双方严格执行以下留痕制度：</w:t>
      </w:r>
    </w:p>
    <w:p w14:paraId="4BC2E47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乙方须建立项目廉政台账，完整保存其自身履约过程中产生的文件资料，如：合同文件、投标资料、供货记录、施工日志、服务记录、验收单据、财务凭证、发票、往来函件等。</w:t>
      </w:r>
    </w:p>
    <w:p w14:paraId="57B85046">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所有关键环节（需求确认、变更、验收、付款）必须书面确认、签字盖章，严禁口头约定、私下变更。</w:t>
      </w:r>
    </w:p>
    <w:p w14:paraId="5EBA6CE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项目档案保存期限不少于15年，随时接受计划、财务、审计、纪检等部门调阅核查。</w:t>
      </w:r>
    </w:p>
    <w:p w14:paraId="442D994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乙方须指定专人负责廉政联络与资料归档，如发生廉政风险线索，24小时内主动向甲方及纪检部门报告。</w:t>
      </w:r>
    </w:p>
    <w:p w14:paraId="6AD550A8">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第五条 异议与举报处理</w:t>
      </w:r>
    </w:p>
    <w:p w14:paraId="01BE04F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乙方如发现甲方或相关人员存在违纪违法、不廉洁行为，有权实名或匿名举报，甲方及监管部门必须严格保密、及时核查反馈。</w:t>
      </w:r>
    </w:p>
    <w:p w14:paraId="781E020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廉政监督举报方式：</w:t>
      </w:r>
    </w:p>
    <w:p w14:paraId="53D6B8F7">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采购人监督电话：____________________</w:t>
      </w:r>
    </w:p>
    <w:p w14:paraId="197A3DA9">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计划部门采购监督电话：______________</w:t>
      </w:r>
    </w:p>
    <w:p w14:paraId="39E990B9">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任何一方不得对举报人员打击报复、刁难设卡、中止履约、恶意扣款，违者承担全部法律责任。</w:t>
      </w:r>
    </w:p>
    <w:p w14:paraId="4840A07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第六条 违约责任（严格执行政府采购管控条款）</w:t>
      </w:r>
    </w:p>
    <w:p w14:paraId="0AFA9FF9">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（一）乙方违约责任</w:t>
      </w:r>
    </w:p>
    <w:p w14:paraId="52BAFC7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乙方违反本合同第二条任何一项禁止行为，均视为严重违约，甲方有权立即采取以下一项或多项措施：</w:t>
      </w:r>
    </w:p>
    <w:p w14:paraId="5799488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中止合同履行、暂停所有款项支付；</w:t>
      </w:r>
    </w:p>
    <w:p w14:paraId="0CF46F60">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没收全部履约保证金；</w:t>
      </w:r>
    </w:p>
    <w:p w14:paraId="4222D02F">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单方解除主合同与廉政合同，拒付已发生款项，并追究经济损失；</w:t>
      </w:r>
    </w:p>
    <w:p w14:paraId="199205BF">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追究乙方民事赔偿责任，包括但不限于损失赔偿、违约金、律师费、诉讼费、保全费等；</w:t>
      </w:r>
    </w:p>
    <w:p w14:paraId="1AAA6DAD">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涉嫌违纪违法、商业贿赂、串通投标的，直接移交纪检监察机关、公安机关处理，依法追究刑事责任。</w:t>
      </w:r>
    </w:p>
    <w:p w14:paraId="0D5B8D15">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（二）甲方违约责任</w:t>
      </w:r>
    </w:p>
    <w:p w14:paraId="5FAD292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甲方工作人员违反廉政规定，经查证属实的，由甲方依规依纪处理；给乙方造成损失的，依法予以赔偿。</w:t>
      </w:r>
    </w:p>
    <w:p w14:paraId="30668FDD">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第七条 监督管理</w:t>
      </w:r>
    </w:p>
    <w:p w14:paraId="41E082B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1EBF678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甲方定期对项目进行廉政回访与风险排查，乙方须无条件配合。</w:t>
      </w:r>
    </w:p>
    <w:p w14:paraId="560D90B6">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本合同作为项目验收、付款、归档的必备文件，无廉政合同不得启动验收与支付流程。</w:t>
      </w:r>
    </w:p>
    <w:p w14:paraId="14C8C5FA">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第八条 其他约定</w:t>
      </w:r>
    </w:p>
    <w:p w14:paraId="3006EA4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本合同未尽事宜，按照国家、江苏省关于政府采购廉政管理的最新规定执行。</w:t>
      </w:r>
    </w:p>
    <w:p w14:paraId="44B43542">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因本合同产生争议，双方先行协商；协商不成的，提交项目所在地人民法院诉讼解决。</w:t>
      </w:r>
    </w:p>
    <w:p w14:paraId="76496117">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本合同一式肆份，甲方执贰份，乙方执贰份，具有同等法律效力。</w:t>
      </w:r>
    </w:p>
    <w:p w14:paraId="5246DE16">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（以下为签署页，无正文）</w:t>
      </w:r>
    </w:p>
    <w:p w14:paraId="58B07B8A">
      <w:pPr>
        <w:ind w:firstLine="632"/>
        <w:rPr>
          <w:rFonts w:ascii="仿宋" w:hAnsi="仿宋" w:eastAsia="仿宋" w:cs="仿宋"/>
          <w:color w:val="auto"/>
          <w:sz w:val="24"/>
          <w:szCs w:val="40"/>
          <w:highlight w:val="none"/>
        </w:rPr>
      </w:pPr>
    </w:p>
    <w:p w14:paraId="4CF11B0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甲方（采购人）：（盖章）</w:t>
      </w:r>
    </w:p>
    <w:p w14:paraId="320BB1CE">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法定代表人/授权代表（签字）：</w:t>
      </w:r>
    </w:p>
    <w:p w14:paraId="0F9B1A11">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日期：______年____月____日</w:t>
      </w:r>
    </w:p>
    <w:p w14:paraId="61E4DDBC">
      <w:pPr>
        <w:rPr>
          <w:rFonts w:ascii="仿宋" w:hAnsi="仿宋" w:eastAsia="仿宋" w:cs="仿宋"/>
          <w:color w:val="auto"/>
          <w:sz w:val="24"/>
          <w:szCs w:val="40"/>
          <w:highlight w:val="none"/>
        </w:rPr>
      </w:pPr>
    </w:p>
    <w:p w14:paraId="302133EC">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乙方（中标供应商）：（盖章）</w:t>
      </w:r>
    </w:p>
    <w:p w14:paraId="12D14A7B">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法定代表人（签字）：</w:t>
      </w:r>
    </w:p>
    <w:p w14:paraId="5B89FE6D">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项目负责人（签字）：</w:t>
      </w:r>
    </w:p>
    <w:p w14:paraId="70A53899">
      <w:pPr>
        <w:ind w:firstLine="632"/>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日期：______年____月____日</w:t>
      </w:r>
    </w:p>
    <w:p w14:paraId="316BB1AD">
      <w:pPr>
        <w:rPr>
          <w:rFonts w:ascii="仿宋" w:hAnsi="仿宋" w:eastAsia="仿宋" w:cs="仿宋"/>
          <w:color w:val="auto"/>
          <w:szCs w:val="32"/>
          <w:highlight w:val="none"/>
        </w:rPr>
      </w:pPr>
    </w:p>
    <w:p w14:paraId="3D14EAC9">
      <w:pPr>
        <w:rPr>
          <w:rFonts w:ascii="仿宋" w:hAnsi="仿宋" w:eastAsia="仿宋" w:cs="仿宋"/>
          <w:bCs/>
          <w:color w:val="auto"/>
          <w:sz w:val="44"/>
          <w:highlight w:val="none"/>
        </w:rPr>
        <w:sectPr>
          <w:pgSz w:w="11906" w:h="16838"/>
          <w:pgMar w:top="1440" w:right="1080" w:bottom="1440" w:left="1080" w:header="851" w:footer="907" w:gutter="0"/>
          <w:cols w:space="720" w:num="1"/>
          <w:docGrid w:linePitch="360" w:charSpace="0"/>
        </w:sectPr>
      </w:pPr>
    </w:p>
    <w:p w14:paraId="5C2A9E1D">
      <w:pPr>
        <w:pStyle w:val="191"/>
        <w:spacing w:line="480" w:lineRule="exact"/>
        <w:rPr>
          <w:rFonts w:ascii="仿宋" w:hAnsi="仿宋" w:eastAsia="仿宋" w:cs="仿宋"/>
          <w:color w:val="auto"/>
          <w:sz w:val="24"/>
          <w:szCs w:val="24"/>
          <w:highlight w:val="none"/>
        </w:rPr>
      </w:pPr>
      <w:bookmarkStart w:id="296" w:name="_Toc25556"/>
      <w:r>
        <w:rPr>
          <w:rFonts w:hint="eastAsia" w:ascii="仿宋" w:hAnsi="仿宋" w:eastAsia="仿宋" w:cs="仿宋"/>
          <w:b/>
          <w:bCs/>
          <w:color w:val="auto"/>
          <w:sz w:val="40"/>
          <w:szCs w:val="40"/>
          <w:highlight w:val="none"/>
        </w:rPr>
        <w:t>第</w:t>
      </w:r>
      <w:bookmarkEnd w:id="287"/>
      <w:r>
        <w:rPr>
          <w:rFonts w:hint="eastAsia" w:ascii="仿宋" w:hAnsi="仿宋" w:eastAsia="仿宋" w:cs="仿宋"/>
          <w:b/>
          <w:bCs/>
          <w:color w:val="auto"/>
          <w:sz w:val="40"/>
          <w:szCs w:val="40"/>
          <w:highlight w:val="none"/>
        </w:rPr>
        <w:t>四章  项目需求</w:t>
      </w:r>
      <w:bookmarkEnd w:id="288"/>
      <w:bookmarkEnd w:id="289"/>
      <w:bookmarkEnd w:id="290"/>
      <w:bookmarkEnd w:id="296"/>
    </w:p>
    <w:p w14:paraId="51732113">
      <w:pPr>
        <w:pStyle w:val="192"/>
        <w:spacing w:before="2" w:after="2" w:line="360" w:lineRule="auto"/>
        <w:ind w:firstLine="562" w:firstLineChars="200"/>
        <w:jc w:val="left"/>
        <w:outlineLvl w:val="9"/>
        <w:rPr>
          <w:rFonts w:ascii="仿宋" w:hAnsi="仿宋" w:eastAsia="仿宋" w:cs="仿宋"/>
          <w:color w:val="auto"/>
          <w:sz w:val="28"/>
          <w:szCs w:val="28"/>
          <w:highlight w:val="none"/>
        </w:rPr>
      </w:pPr>
      <w:bookmarkStart w:id="297" w:name="_Toc17550"/>
      <w:bookmarkStart w:id="298" w:name="_Toc3608"/>
      <w:bookmarkStart w:id="299" w:name="_Toc8018"/>
      <w:bookmarkStart w:id="300" w:name="_Toc49090575"/>
      <w:bookmarkStart w:id="301" w:name="_Toc120614281"/>
      <w:bookmarkStart w:id="302" w:name="_Toc26554093"/>
    </w:p>
    <w:bookmarkEnd w:id="297"/>
    <w:bookmarkEnd w:id="298"/>
    <w:p w14:paraId="664136FE">
      <w:pPr>
        <w:pStyle w:val="192"/>
        <w:spacing w:before="2" w:after="2" w:line="480" w:lineRule="exact"/>
        <w:jc w:val="left"/>
        <w:rPr>
          <w:rFonts w:ascii="仿宋" w:hAnsi="仿宋" w:eastAsia="仿宋" w:cs="仿宋"/>
          <w:color w:val="auto"/>
          <w:sz w:val="28"/>
          <w:szCs w:val="28"/>
          <w:highlight w:val="none"/>
        </w:rPr>
      </w:pPr>
      <w:bookmarkStart w:id="303" w:name="_Toc21405"/>
      <w:r>
        <w:rPr>
          <w:rFonts w:hint="eastAsia" w:ascii="仿宋" w:hAnsi="仿宋" w:eastAsia="仿宋" w:cs="仿宋"/>
          <w:color w:val="auto"/>
          <w:sz w:val="28"/>
          <w:szCs w:val="28"/>
          <w:highlight w:val="none"/>
        </w:rPr>
        <w:t>分包一：</w:t>
      </w:r>
      <w:bookmarkEnd w:id="303"/>
    </w:p>
    <w:p w14:paraId="2DA0160E">
      <w:pPr>
        <w:pStyle w:val="192"/>
        <w:spacing w:before="2" w:after="2" w:line="480" w:lineRule="exact"/>
        <w:jc w:val="left"/>
        <w:rPr>
          <w:rFonts w:ascii="仿宋" w:hAnsi="仿宋" w:eastAsia="仿宋" w:cs="仿宋"/>
          <w:color w:val="auto"/>
          <w:sz w:val="28"/>
          <w:szCs w:val="28"/>
          <w:highlight w:val="none"/>
        </w:rPr>
      </w:pPr>
      <w:bookmarkStart w:id="304" w:name="_Toc15746"/>
      <w:r>
        <w:rPr>
          <w:rFonts w:hint="eastAsia" w:ascii="仿宋" w:hAnsi="仿宋" w:eastAsia="仿宋" w:cs="仿宋"/>
          <w:color w:val="auto"/>
          <w:sz w:val="28"/>
          <w:szCs w:val="28"/>
          <w:highlight w:val="none"/>
        </w:rPr>
        <w:t>一、项目背景</w:t>
      </w:r>
      <w:bookmarkEnd w:id="304"/>
    </w:p>
    <w:p w14:paraId="14934B8C">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拟聚焦道路运输新业态市场状况风险研判，开展对不同业态经营主体、市场运营和执法监管等数据的动态分析，定期调查行业从业人员的就业情况、集中诉求等，评估网络预约出租汽车、网络道路货运等平台企业的竞争状况，做好季度风险研判和监测预警。通过强化事前事中事后全链条数据分析应用，完善新业态市场风险研判标准，支撑健全新业态经营主体的风险评估标准，完善差异化监管规则，推动行业规范发展，并提出完善道路执法领域行政检查计划编制指南的建议。</w:t>
      </w:r>
    </w:p>
    <w:p w14:paraId="2EE8C9F2">
      <w:pPr>
        <w:pStyle w:val="192"/>
        <w:spacing w:before="2" w:after="2" w:line="480" w:lineRule="exact"/>
        <w:jc w:val="left"/>
        <w:rPr>
          <w:rFonts w:ascii="仿宋" w:hAnsi="仿宋" w:eastAsia="仿宋" w:cs="仿宋"/>
          <w:color w:val="auto"/>
          <w:sz w:val="28"/>
          <w:szCs w:val="28"/>
          <w:highlight w:val="none"/>
        </w:rPr>
      </w:pPr>
      <w:bookmarkStart w:id="305" w:name="_Toc12559"/>
      <w:bookmarkStart w:id="306" w:name="_Toc25539"/>
      <w:r>
        <w:rPr>
          <w:rFonts w:hint="eastAsia" w:ascii="仿宋" w:hAnsi="仿宋" w:eastAsia="仿宋" w:cs="仿宋"/>
          <w:color w:val="auto"/>
          <w:sz w:val="28"/>
          <w:szCs w:val="28"/>
          <w:highlight w:val="none"/>
        </w:rPr>
        <w:t>二、工作内容及成果</w:t>
      </w:r>
      <w:bookmarkEnd w:id="305"/>
      <w:bookmarkEnd w:id="306"/>
    </w:p>
    <w:p w14:paraId="4CCF3EB9">
      <w:pPr>
        <w:spacing w:line="480" w:lineRule="exact"/>
        <w:ind w:firstLine="480" w:firstLineChars="200"/>
        <w:rPr>
          <w:rFonts w:ascii="仿宋" w:hAnsi="仿宋" w:eastAsia="仿宋" w:cs="仿宋"/>
          <w:color w:val="auto"/>
          <w:sz w:val="24"/>
          <w:szCs w:val="24"/>
          <w:highlight w:val="none"/>
        </w:rPr>
      </w:pPr>
      <w:bookmarkStart w:id="307" w:name="_Toc21151"/>
      <w:r>
        <w:rPr>
          <w:rFonts w:hint="eastAsia" w:ascii="仿宋" w:hAnsi="仿宋" w:eastAsia="仿宋" w:cs="仿宋"/>
          <w:color w:val="auto"/>
          <w:sz w:val="24"/>
          <w:szCs w:val="24"/>
          <w:highlight w:val="none"/>
        </w:rPr>
        <w:t>（1）工作内容</w:t>
      </w:r>
    </w:p>
    <w:p w14:paraId="3F2A78B9">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 开展网约车平台、网约车车辆服务第三方企业、网络货运平台市场状况风险研判。对省内网约车平台、网约车车辆服务第三方企业、网络货运平台进行风险分析评估，包括但不仅限于经营服务、安全生产、权益保障、价格机制、派单服务、投诉纠纷处理等，结合货车司机、网约车司机的集中诉求，形成全省道路运输新业态市场风险评估报告。</w:t>
      </w:r>
    </w:p>
    <w:p w14:paraId="683E640D">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开展网约车行业执法监管动态监测分析。通过一体化平台、网约车交互信息平台等数据，对我省在营网约车平台企业合规情况、平台和司机违法违规情况等开展分析，动态监测网约车行业运行情况和执法监管情况，研究提出监管建议。</w:t>
      </w:r>
    </w:p>
    <w:p w14:paraId="241FDB3E">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 开展“三车”司机群体诉求分析。充分运用12328、12345热线、信访举报等途径，结合面向司机群体的调查，搜集相关诉求，定期开展分析，查找问题并提出建议。</w:t>
      </w:r>
    </w:p>
    <w:p w14:paraId="41692FA0">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开展《江苏省交通运输道路行政执法检查计划编制指南（试行）》评估修订。贯彻落实国家及省规范涉企行政检查要求，结合《江苏省交通运输执法领域涉企行政检查工作指引》《江苏省交通运输行政执法检查标准及参考检查要点》等规范，评估《江苏省交通运输道路行政执法检查计划编制指南（试行）》实施情况并提出修订建议。</w:t>
      </w:r>
    </w:p>
    <w:p w14:paraId="33EDA647">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（2）工作成果</w:t>
      </w:r>
    </w:p>
    <w:p w14:paraId="2894FACA">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1.形成全省道路运输新业态市场风险评估报告（年度）；</w:t>
      </w:r>
    </w:p>
    <w:p w14:paraId="7047868C">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2.货车、网约车司机群体集中诉求分析报告（按月）；</w:t>
      </w:r>
    </w:p>
    <w:p w14:paraId="0FBECA01">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3.形成全省网约车行业执法监管动态监测报告（季报、年报）；</w:t>
      </w:r>
    </w:p>
    <w:p w14:paraId="32B6DDDE">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4.形成《江苏省交通运输道路行政执法检查计划编制指南》修订分析报告。</w:t>
      </w:r>
    </w:p>
    <w:p w14:paraId="6E195C09">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（3）人员配备要求</w:t>
      </w:r>
    </w:p>
    <w:p w14:paraId="75F6C629">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1）项目负责人1名，具有相关职称，同时具有类似项目经验；</w:t>
      </w:r>
    </w:p>
    <w:p w14:paraId="47315B77">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Start w:id="308" w:name="_Toc22050"/>
      <w:r>
        <w:rPr>
          <w:rFonts w:hint="eastAsia" w:ascii="仿宋" w:hAnsi="仿宋" w:eastAsia="仿宋" w:cs="仿宋"/>
          <w:color w:val="auto"/>
          <w:sz w:val="24"/>
          <w:szCs w:val="24"/>
          <w:highlight w:val="none"/>
        </w:rPr>
        <w:t>项目组至少配备工程师及以上人员10名。其中：新业态市场状况风险研判和动态监测不少于3名，应熟悉道路运输新业态管理相关法律法规和政策要求；“三车”司机群体诉求分析人员不少于3名，负责诉求信息搜集、调查和分析等工作；道路执法领域行政检查计划全生命周期人工智能应用开发需求分析配备工程师不少于4名。</w:t>
      </w:r>
    </w:p>
    <w:p w14:paraId="791281A6">
      <w:pPr>
        <w:pStyle w:val="192"/>
        <w:spacing w:before="2" w:after="2" w:line="48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w:t>
      </w:r>
      <w:bookmarkEnd w:id="307"/>
      <w:r>
        <w:rPr>
          <w:rFonts w:hint="eastAsia" w:ascii="仿宋" w:hAnsi="仿宋" w:eastAsia="仿宋" w:cs="仿宋"/>
          <w:color w:val="auto"/>
          <w:sz w:val="28"/>
          <w:szCs w:val="28"/>
          <w:highlight w:val="none"/>
        </w:rPr>
        <w:t>验收标准</w:t>
      </w:r>
      <w:bookmarkEnd w:id="308"/>
    </w:p>
    <w:p w14:paraId="052E2548">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采购人参照《江苏省政府采购履约验收管理办法》要求，合同签订后满1年后组织专家对投标人提供的相关服务或交付的工作进行验收。</w:t>
      </w:r>
    </w:p>
    <w:p w14:paraId="02630F66">
      <w:pPr>
        <w:pStyle w:val="192"/>
        <w:spacing w:before="2" w:after="2" w:line="480" w:lineRule="exact"/>
        <w:jc w:val="left"/>
        <w:rPr>
          <w:rFonts w:ascii="仿宋" w:hAnsi="仿宋" w:eastAsia="仿宋" w:cs="仿宋"/>
          <w:color w:val="auto"/>
          <w:sz w:val="28"/>
          <w:szCs w:val="28"/>
          <w:highlight w:val="none"/>
        </w:rPr>
      </w:pPr>
      <w:bookmarkStart w:id="309" w:name="_Toc13969"/>
      <w:bookmarkStart w:id="310" w:name="_Toc23761"/>
      <w:r>
        <w:rPr>
          <w:rFonts w:hint="eastAsia" w:ascii="仿宋" w:hAnsi="仿宋" w:eastAsia="仿宋" w:cs="仿宋"/>
          <w:color w:val="auto"/>
          <w:sz w:val="28"/>
          <w:szCs w:val="28"/>
          <w:highlight w:val="none"/>
        </w:rPr>
        <w:t>四、付款方式</w:t>
      </w:r>
      <w:bookmarkEnd w:id="309"/>
      <w:bookmarkEnd w:id="310"/>
    </w:p>
    <w:p w14:paraId="1ED92F78">
      <w:pPr>
        <w:spacing w:line="480" w:lineRule="exact"/>
        <w:ind w:firstLine="480" w:firstLineChars="200"/>
        <w:rPr>
          <w:rFonts w:ascii="仿宋" w:hAnsi="仿宋" w:eastAsia="仿宋" w:cs="仿宋"/>
          <w:color w:val="auto"/>
          <w:sz w:val="24"/>
          <w:szCs w:val="24"/>
          <w:highlight w:val="none"/>
        </w:rPr>
      </w:pPr>
      <w:bookmarkStart w:id="311" w:name="_Toc12639"/>
      <w:bookmarkStart w:id="312" w:name="_Toc18386"/>
      <w:r>
        <w:rPr>
          <w:rFonts w:hint="eastAsia" w:ascii="仿宋" w:hAnsi="仿宋" w:eastAsia="仿宋" w:cs="仿宋"/>
          <w:color w:val="auto"/>
          <w:sz w:val="24"/>
          <w:szCs w:val="24"/>
          <w:highlight w:val="none"/>
        </w:rPr>
        <w:t>1.合同签订后30个工作日内支付合同总金额的50%；</w:t>
      </w:r>
    </w:p>
    <w:p w14:paraId="2CA61024">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2.乙方完成2026年12月10日之前的支撑服务，在通过审查后30个工作日内支付合同总金额的16%；</w:t>
      </w:r>
    </w:p>
    <w:p w14:paraId="0240BDD9">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3.服务期结束并提交成果，经采购人验收合格后30个工作日内支付剩余金额。</w:t>
      </w:r>
    </w:p>
    <w:p w14:paraId="054F3371">
      <w:pPr>
        <w:pStyle w:val="192"/>
        <w:spacing w:before="2" w:after="2" w:line="48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五、其他要求</w:t>
      </w:r>
      <w:bookmarkEnd w:id="311"/>
      <w:bookmarkEnd w:id="312"/>
    </w:p>
    <w:p w14:paraId="708A9B13">
      <w:pPr>
        <w:spacing w:line="480" w:lineRule="exact"/>
        <w:ind w:firstLine="480"/>
        <w:rPr>
          <w:rFonts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★根据江苏省交通运输综合行政执法监督局党风廉政相关要求，投标人须签署</w:t>
      </w:r>
      <w:r>
        <w:rPr>
          <w:rFonts w:hint="eastAsia" w:ascii="仿宋" w:hAnsi="仿宋" w:eastAsia="仿宋" w:cs="仿宋"/>
          <w:b/>
          <w:bCs/>
          <w:color w:val="auto"/>
          <w:sz w:val="24"/>
          <w:szCs w:val="24"/>
          <w:highlight w:val="none"/>
          <w:lang w:bidi="en-US"/>
        </w:rPr>
        <w:t>《规范招标及履约行为提醒单》</w:t>
      </w:r>
      <w:r>
        <w:rPr>
          <w:rFonts w:hint="eastAsia" w:ascii="仿宋" w:hAnsi="仿宋" w:eastAsia="仿宋" w:cs="仿宋"/>
          <w:color w:val="auto"/>
          <w:sz w:val="24"/>
          <w:szCs w:val="24"/>
          <w:highlight w:val="none"/>
          <w:lang w:bidi="en-US"/>
        </w:rPr>
        <w:t>并与投标文件一并提交（详见附件1）。</w:t>
      </w:r>
    </w:p>
    <w:p w14:paraId="40B1CC49">
      <w:pPr>
        <w:tabs>
          <w:tab w:val="left" w:pos="6200"/>
        </w:tabs>
        <w:spacing w:line="480" w:lineRule="exact"/>
        <w:rPr>
          <w:rFonts w:ascii="仿宋" w:hAnsi="仿宋" w:eastAsia="仿宋" w:cs="仿宋"/>
          <w:color w:val="auto"/>
          <w:sz w:val="24"/>
          <w:szCs w:val="24"/>
          <w:highlight w:val="none"/>
          <w:lang w:bidi="en-US"/>
        </w:rPr>
      </w:pPr>
    </w:p>
    <w:p w14:paraId="76412278">
      <w:pPr>
        <w:tabs>
          <w:tab w:val="left" w:pos="6200"/>
        </w:tabs>
        <w:spacing w:line="480" w:lineRule="exact"/>
        <w:ind w:firstLine="482"/>
        <w:rPr>
          <w:rFonts w:ascii="仿宋" w:hAnsi="仿宋" w:eastAsia="仿宋" w:cs="仿宋"/>
          <w:color w:val="auto"/>
          <w:sz w:val="24"/>
          <w:szCs w:val="24"/>
          <w:highlight w:val="none"/>
          <w:lang w:bidi="en-US"/>
        </w:rPr>
      </w:pPr>
      <w:r>
        <w:rPr>
          <w:rFonts w:hint="eastAsia" w:ascii="仿宋" w:hAnsi="仿宋" w:eastAsia="仿宋" w:cs="仿宋"/>
          <w:b/>
          <w:bCs/>
          <w:color w:val="auto"/>
          <w:sz w:val="24"/>
          <w:szCs w:val="24"/>
          <w:highlight w:val="none"/>
          <w:u w:val="single"/>
          <w:lang w:bidi="en-US"/>
        </w:rPr>
        <w:t>注：以上内容标“★”号为必须满足，投标人须作出响应承诺</w:t>
      </w:r>
      <w:r>
        <w:rPr>
          <w:rFonts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bidi="en-US"/>
        </w:rPr>
        <w:t>否则投标文件作无效投标处理</w:t>
      </w:r>
      <w:r>
        <w:rPr>
          <w:rFonts w:hint="eastAsia" w:ascii="仿宋" w:hAnsi="仿宋" w:eastAsia="仿宋" w:cs="仿宋"/>
          <w:color w:val="auto"/>
          <w:sz w:val="24"/>
          <w:szCs w:val="24"/>
          <w:highlight w:val="none"/>
          <w:lang w:bidi="en-US"/>
        </w:rPr>
        <w:t>。</w:t>
      </w:r>
    </w:p>
    <w:p w14:paraId="4915821E">
      <w:pPr>
        <w:tabs>
          <w:tab w:val="left" w:pos="6200"/>
        </w:tabs>
        <w:spacing w:line="480" w:lineRule="exact"/>
        <w:ind w:firstLine="482"/>
        <w:rPr>
          <w:rFonts w:ascii="仿宋" w:hAnsi="仿宋" w:eastAsia="仿宋" w:cs="仿宋"/>
          <w:color w:val="auto"/>
          <w:sz w:val="24"/>
          <w:szCs w:val="24"/>
          <w:highlight w:val="none"/>
          <w:lang w:bidi="en-US"/>
        </w:rPr>
      </w:pPr>
    </w:p>
    <w:p w14:paraId="7051EED0">
      <w:pPr>
        <w:tabs>
          <w:tab w:val="left" w:pos="6200"/>
        </w:tabs>
        <w:spacing w:line="480" w:lineRule="exact"/>
        <w:ind w:firstLine="482"/>
        <w:rPr>
          <w:rFonts w:ascii="仿宋" w:hAnsi="仿宋" w:eastAsia="仿宋" w:cs="仿宋"/>
          <w:color w:val="auto"/>
          <w:sz w:val="24"/>
          <w:szCs w:val="24"/>
          <w:highlight w:val="none"/>
          <w:lang w:bidi="en-US"/>
        </w:rPr>
        <w:sectPr>
          <w:pgSz w:w="11906" w:h="16838"/>
          <w:pgMar w:top="1440" w:right="1080" w:bottom="1440" w:left="1080" w:header="851" w:footer="907" w:gutter="0"/>
          <w:cols w:space="720" w:num="1"/>
          <w:docGrid w:linePitch="360" w:charSpace="0"/>
        </w:sectPr>
      </w:pPr>
    </w:p>
    <w:p w14:paraId="0CD1286F">
      <w:pPr>
        <w:pStyle w:val="192"/>
        <w:spacing w:before="2" w:after="2" w:line="480" w:lineRule="exact"/>
        <w:jc w:val="left"/>
        <w:rPr>
          <w:rFonts w:ascii="仿宋" w:hAnsi="仿宋" w:eastAsia="仿宋" w:cs="仿宋"/>
          <w:color w:val="auto"/>
          <w:sz w:val="28"/>
          <w:szCs w:val="28"/>
          <w:highlight w:val="none"/>
        </w:rPr>
      </w:pPr>
      <w:bookmarkStart w:id="313" w:name="_Toc83"/>
      <w:r>
        <w:rPr>
          <w:rFonts w:hint="eastAsia" w:ascii="仿宋" w:hAnsi="仿宋" w:eastAsia="仿宋" w:cs="仿宋"/>
          <w:color w:val="auto"/>
          <w:sz w:val="28"/>
          <w:szCs w:val="28"/>
          <w:highlight w:val="none"/>
        </w:rPr>
        <w:t>分包二：</w:t>
      </w:r>
      <w:bookmarkEnd w:id="313"/>
    </w:p>
    <w:p w14:paraId="309E28AD">
      <w:pPr>
        <w:pStyle w:val="192"/>
        <w:spacing w:before="2" w:after="2" w:line="480" w:lineRule="exact"/>
        <w:jc w:val="left"/>
        <w:rPr>
          <w:rFonts w:ascii="仿宋" w:hAnsi="仿宋" w:eastAsia="仿宋" w:cs="仿宋"/>
          <w:color w:val="auto"/>
          <w:sz w:val="28"/>
          <w:szCs w:val="28"/>
          <w:highlight w:val="none"/>
        </w:rPr>
      </w:pPr>
      <w:bookmarkStart w:id="314" w:name="_Toc17966"/>
      <w:r>
        <w:rPr>
          <w:rFonts w:hint="eastAsia" w:ascii="仿宋" w:hAnsi="仿宋" w:eastAsia="仿宋" w:cs="仿宋"/>
          <w:color w:val="auto"/>
          <w:sz w:val="28"/>
          <w:szCs w:val="28"/>
          <w:highlight w:val="none"/>
        </w:rPr>
        <w:t>一、项目背景</w:t>
      </w:r>
      <w:bookmarkEnd w:id="314"/>
    </w:p>
    <w:p w14:paraId="055055BF">
      <w:pPr>
        <w:spacing w:line="480" w:lineRule="exact"/>
        <w:ind w:firstLine="480" w:firstLineChars="200"/>
        <w:rPr>
          <w:rFonts w:ascii="仿宋" w:hAnsi="仿宋" w:eastAsia="仿宋" w:cs="仿宋"/>
          <w:color w:val="auto"/>
          <w:sz w:val="24"/>
          <w:szCs w:val="24"/>
          <w:highlight w:val="none"/>
        </w:rPr>
      </w:pPr>
      <w:bookmarkStart w:id="315" w:name="_Toc21173"/>
      <w:r>
        <w:rPr>
          <w:rFonts w:hint="eastAsia" w:ascii="仿宋" w:hAnsi="仿宋" w:eastAsia="仿宋" w:cs="仿宋"/>
          <w:color w:val="auto"/>
          <w:sz w:val="24"/>
          <w:szCs w:val="24"/>
          <w:highlight w:val="none"/>
        </w:rPr>
        <w:t>本项目贯彻落实国务院、交通运输部关于完善人工智能治理机制，以及省交通运输厅关于执法新模式建设和深入推进线上线下一体化的工作要求，强化人工智能在道路运输行政执法中的应用。定期研判道路执法领域行政检查计划执行情况；并聚焦守护系统道路运输领域行权数字化痛点，开展道路运输执法行权数字化守护2.0升级改造需求分析，提出升级完善建议。</w:t>
      </w:r>
    </w:p>
    <w:p w14:paraId="32640CCD">
      <w:pPr>
        <w:pStyle w:val="192"/>
        <w:spacing w:before="2" w:after="2"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二、工作内容及成果</w:t>
      </w:r>
      <w:bookmarkEnd w:id="315"/>
    </w:p>
    <w:p w14:paraId="7483FAC2">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（1）工作内容</w:t>
      </w:r>
    </w:p>
    <w:p w14:paraId="4680DE81">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贯彻落实国家及省规范涉企行政检查要求，结合《江苏省交通运输执法领域涉企行政检查工作指引》《江苏省交通运输行政执法检查标准及参考检查要点》等规范，围绕道路执法检查计划全生命周期（计划制定、派单跟踪、执行评估、闭环整改等环节），聚焦道路运输路检路查等具体场景及现有研判模型，开展人工智能应用需求分析，形成检查计划及任务的智能编制、动态调整等功能清单。依托系统归集全流程数据，结合相关研判模块数据，重点监测计划编制、执行与结果处置情况，从规范、时效、效率、效果等维度进行成效和问题分析，按季度形成道路执法领域行政检查计划执行情况分析报告。</w:t>
      </w:r>
    </w:p>
    <w:p w14:paraId="06832FD2">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聚焦守护系统现有道路运输领域行权数字化现状，评估通过数字化手段记录、分析和管理行政执法权力行使行为的实施情况。重点梳理基层业务需求与操作痛点，结合提升计划科学性、细化检查标准、强化质效评价、防控廉政风险、加强关键环节提醒等要求，设计执法全流程功能升级方案，形成分阶段的技术改造需求清单。</w:t>
      </w:r>
    </w:p>
    <w:p w14:paraId="69A48AB7">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（2）工作成果</w:t>
      </w:r>
    </w:p>
    <w:p w14:paraId="2119C5CE">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形成道路执法领域行政检查计划执行情况分析报告（季度）； </w:t>
      </w:r>
    </w:p>
    <w:p w14:paraId="4EC7FB5C">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形成道路执法领域行政检查计划全生命周期人工智能应用开发需求建议清单；</w:t>
      </w:r>
    </w:p>
    <w:p w14:paraId="3A03C35A">
      <w:pPr>
        <w:spacing w:line="480" w:lineRule="exact"/>
        <w:ind w:firstLine="480" w:firstLineChars="200"/>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.形成道路运输执法行权数字化守护2.0升级改造需求建议清单。</w:t>
      </w:r>
    </w:p>
    <w:p w14:paraId="3E8D1FA5">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（3）人员配备要求</w:t>
      </w:r>
    </w:p>
    <w:p w14:paraId="43C28A01">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1）项目负责人1名，具有相关职称，同时具有类似项目经验；</w:t>
      </w:r>
    </w:p>
    <w:p w14:paraId="273C2CB6">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2）项目组至少配备工作人员不少于6人（不含项目负责人），其中具有中级及以上职称人数不少于3人。</w:t>
      </w:r>
    </w:p>
    <w:p w14:paraId="6092D8B6">
      <w:pPr>
        <w:pStyle w:val="192"/>
        <w:spacing w:before="2" w:after="2" w:line="48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三、验收标准</w:t>
      </w:r>
    </w:p>
    <w:p w14:paraId="1B22612F">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采购人参照《江苏省政府采购履约验收管理办法》要求，合同签订后满1年后组织专家对投标人提供的相关服务或交付的工作进行验收。</w:t>
      </w:r>
    </w:p>
    <w:p w14:paraId="7BEA18CE">
      <w:pPr>
        <w:pStyle w:val="192"/>
        <w:spacing w:before="2" w:after="2" w:line="48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四、付款方式</w:t>
      </w:r>
    </w:p>
    <w:p w14:paraId="46F84BF7">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1.合同签订后30个工作日内支付合同总金额的50%；</w:t>
      </w:r>
    </w:p>
    <w:p w14:paraId="754D9B21">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2.乙方完成2026年12月10日之前的支撑服务，在通过审查后30个工作日内支付合同总金额的16%；</w:t>
      </w:r>
    </w:p>
    <w:p w14:paraId="3375ACF1">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3.服务期结束并提交成果，经采购人验收合格后30个工作日内支付剩余金额。</w:t>
      </w:r>
    </w:p>
    <w:p w14:paraId="61B5CFAD">
      <w:pPr>
        <w:pStyle w:val="192"/>
        <w:spacing w:before="2" w:after="2" w:line="480" w:lineRule="exact"/>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五、其他要求</w:t>
      </w:r>
    </w:p>
    <w:p w14:paraId="04CCCE4E">
      <w:pPr>
        <w:spacing w:line="480" w:lineRule="exact"/>
        <w:ind w:firstLine="480"/>
        <w:rPr>
          <w:rFonts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★根据江苏省交通运输综合行政执法监督局党风廉政相关要求，投标人须签署</w:t>
      </w:r>
      <w:r>
        <w:rPr>
          <w:rFonts w:hint="eastAsia" w:ascii="仿宋" w:hAnsi="仿宋" w:eastAsia="仿宋" w:cs="仿宋"/>
          <w:b/>
          <w:bCs/>
          <w:color w:val="auto"/>
          <w:sz w:val="24"/>
          <w:szCs w:val="24"/>
          <w:highlight w:val="none"/>
          <w:lang w:bidi="en-US"/>
        </w:rPr>
        <w:t>《规范招标及履约行为提醒单》</w:t>
      </w:r>
      <w:r>
        <w:rPr>
          <w:rFonts w:hint="eastAsia" w:ascii="仿宋" w:hAnsi="仿宋" w:eastAsia="仿宋" w:cs="仿宋"/>
          <w:color w:val="auto"/>
          <w:sz w:val="24"/>
          <w:szCs w:val="24"/>
          <w:highlight w:val="none"/>
          <w:lang w:bidi="en-US"/>
        </w:rPr>
        <w:t>并与投标文件一并提交（详见附件1）。</w:t>
      </w:r>
    </w:p>
    <w:p w14:paraId="18141A31">
      <w:pPr>
        <w:tabs>
          <w:tab w:val="left" w:pos="6200"/>
        </w:tabs>
        <w:spacing w:line="480" w:lineRule="exact"/>
        <w:rPr>
          <w:rFonts w:ascii="仿宋" w:hAnsi="仿宋" w:eastAsia="仿宋" w:cs="仿宋"/>
          <w:color w:val="auto"/>
          <w:sz w:val="24"/>
          <w:szCs w:val="24"/>
          <w:highlight w:val="none"/>
          <w:lang w:bidi="en-US"/>
        </w:rPr>
      </w:pPr>
    </w:p>
    <w:p w14:paraId="746FB418">
      <w:pPr>
        <w:tabs>
          <w:tab w:val="left" w:pos="6200"/>
        </w:tabs>
        <w:spacing w:line="480" w:lineRule="exact"/>
        <w:ind w:firstLine="482"/>
        <w:rPr>
          <w:rFonts w:ascii="仿宋" w:hAnsi="仿宋" w:eastAsia="仿宋" w:cs="仿宋"/>
          <w:b/>
          <w:bCs/>
          <w:color w:val="auto"/>
          <w:sz w:val="24"/>
          <w:szCs w:val="24"/>
          <w:highlight w:val="none"/>
          <w:u w:val="single"/>
          <w:lang w:bidi="en-US"/>
        </w:rPr>
      </w:pPr>
      <w:r>
        <w:rPr>
          <w:rFonts w:hint="eastAsia" w:ascii="仿宋" w:hAnsi="仿宋" w:eastAsia="仿宋" w:cs="仿宋"/>
          <w:b/>
          <w:bCs/>
          <w:color w:val="auto"/>
          <w:sz w:val="24"/>
          <w:szCs w:val="24"/>
          <w:highlight w:val="none"/>
          <w:u w:val="single"/>
          <w:lang w:bidi="en-US"/>
        </w:rPr>
        <w:t>注：以上内容标“★”号为必须满足，投标人须作出响应承诺</w:t>
      </w:r>
      <w:r>
        <w:rPr>
          <w:rFonts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bidi="en-US"/>
        </w:rPr>
        <w:t>否则投标文件作无效投标处理</w:t>
      </w:r>
      <w:r>
        <w:rPr>
          <w:rFonts w:hint="eastAsia" w:ascii="仿宋" w:hAnsi="仿宋" w:eastAsia="仿宋" w:cs="仿宋"/>
          <w:color w:val="auto"/>
          <w:sz w:val="24"/>
          <w:szCs w:val="24"/>
          <w:highlight w:val="none"/>
          <w:lang w:bidi="en-US"/>
        </w:rPr>
        <w:t>。</w:t>
      </w:r>
    </w:p>
    <w:p w14:paraId="33D58E3A">
      <w:pPr>
        <w:tabs>
          <w:tab w:val="left" w:pos="6200"/>
        </w:tabs>
        <w:spacing w:line="480" w:lineRule="exact"/>
        <w:ind w:firstLine="482"/>
        <w:rPr>
          <w:rFonts w:ascii="仿宋" w:hAnsi="仿宋" w:eastAsia="仿宋" w:cs="仿宋"/>
          <w:color w:val="auto"/>
          <w:sz w:val="24"/>
          <w:szCs w:val="24"/>
          <w:highlight w:val="none"/>
          <w:lang w:bidi="en-US"/>
        </w:rPr>
        <w:sectPr>
          <w:pgSz w:w="11906" w:h="16838"/>
          <w:pgMar w:top="1440" w:right="1080" w:bottom="1440" w:left="1080" w:header="851" w:footer="907" w:gutter="0"/>
          <w:cols w:space="720" w:num="1"/>
          <w:docGrid w:linePitch="360" w:charSpace="0"/>
        </w:sectPr>
      </w:pPr>
    </w:p>
    <w:p w14:paraId="2425A34C">
      <w:pPr>
        <w:pStyle w:val="191"/>
        <w:rPr>
          <w:rFonts w:ascii="仿宋" w:hAnsi="仿宋" w:eastAsia="仿宋" w:cs="仿宋"/>
          <w:color w:val="auto"/>
          <w:highlight w:val="none"/>
        </w:rPr>
      </w:pPr>
      <w:bookmarkStart w:id="316" w:name="_Toc21665"/>
      <w:r>
        <w:rPr>
          <w:rFonts w:hint="eastAsia" w:ascii="仿宋" w:hAnsi="仿宋" w:eastAsia="仿宋" w:cs="仿宋"/>
          <w:b/>
          <w:bCs/>
          <w:color w:val="auto"/>
          <w:sz w:val="40"/>
          <w:szCs w:val="40"/>
          <w:highlight w:val="none"/>
        </w:rPr>
        <w:t>第五章  评标方法与评标标准</w:t>
      </w:r>
      <w:bookmarkEnd w:id="299"/>
      <w:bookmarkEnd w:id="316"/>
    </w:p>
    <w:p w14:paraId="76FF9D29">
      <w:pPr>
        <w:pStyle w:val="254"/>
        <w:spacing w:before="0" w:after="0" w:line="480" w:lineRule="exact"/>
        <w:ind w:firstLine="441"/>
        <w:outlineLvl w:val="1"/>
        <w:rPr>
          <w:rFonts w:ascii="仿宋" w:hAnsi="仿宋" w:eastAsia="仿宋" w:cs="仿宋"/>
          <w:b/>
          <w:color w:val="auto"/>
          <w:highlight w:val="none"/>
        </w:rPr>
      </w:pPr>
      <w:bookmarkStart w:id="317" w:name="_Toc29872"/>
      <w:bookmarkStart w:id="318" w:name="_Toc26099"/>
      <w:r>
        <w:rPr>
          <w:rFonts w:hint="eastAsia" w:ascii="仿宋" w:hAnsi="仿宋" w:eastAsia="仿宋" w:cs="仿宋"/>
          <w:b/>
          <w:color w:val="auto"/>
          <w:highlight w:val="none"/>
        </w:rPr>
        <w:t>一、定标办法</w:t>
      </w:r>
      <w:bookmarkEnd w:id="317"/>
      <w:bookmarkEnd w:id="318"/>
    </w:p>
    <w:p w14:paraId="5ABEF0D8">
      <w:pPr>
        <w:spacing w:line="480" w:lineRule="exact"/>
        <w:ind w:left="437" w:firstLine="480" w:firstLineChars="200"/>
        <w:rPr>
          <w:rFonts w:ascii="仿宋" w:hAnsi="仿宋" w:eastAsia="仿宋" w:cs="仿宋"/>
          <w:color w:val="auto"/>
          <w:sz w:val="24"/>
          <w:szCs w:val="24"/>
          <w:highlight w:val="none"/>
        </w:rPr>
      </w:pPr>
      <w:bookmarkStart w:id="319" w:name="_Toc20283"/>
      <w:r>
        <w:rPr>
          <w:rFonts w:hint="eastAsia" w:ascii="仿宋" w:hAnsi="仿宋" w:eastAsia="仿宋" w:cs="仿宋"/>
          <w:color w:val="auto"/>
          <w:sz w:val="24"/>
          <w:szCs w:val="24"/>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进行排序，评标委员会将推荐排名前三的中标候选人。</w:t>
      </w:r>
    </w:p>
    <w:p w14:paraId="1460CFD3">
      <w:pPr>
        <w:spacing w:line="480" w:lineRule="exact"/>
        <w:ind w:left="437"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分为2个分包，采用兼投不兼中原则，评标顺序为分包一和分包二。分包一的第一成交候选人不得成为分包二的第一成交候选人。若分包一的第一成交候选人在分包二中排名第一，则分包二的第一成交候选人顺延至排名第二且符合兼投不兼中原则的候选人，将按照评标规则依次顺延，直至确定符合兼投不兼中原则的第一成交候选人。</w:t>
      </w:r>
    </w:p>
    <w:p w14:paraId="5C12DDA1">
      <w:pPr>
        <w:pStyle w:val="254"/>
        <w:spacing w:before="0" w:after="0" w:line="480" w:lineRule="exact"/>
        <w:ind w:firstLine="441"/>
        <w:outlineLvl w:val="1"/>
        <w:rPr>
          <w:rFonts w:ascii="仿宋" w:hAnsi="仿宋" w:eastAsia="仿宋" w:cs="仿宋"/>
          <w:b/>
          <w:color w:val="auto"/>
          <w:highlight w:val="none"/>
        </w:rPr>
      </w:pPr>
      <w:bookmarkStart w:id="320" w:name="_Toc17226"/>
      <w:bookmarkStart w:id="321" w:name="_Toc15742"/>
      <w:r>
        <w:rPr>
          <w:rFonts w:hint="eastAsia" w:ascii="仿宋" w:hAnsi="仿宋" w:eastAsia="仿宋" w:cs="仿宋"/>
          <w:b/>
          <w:color w:val="auto"/>
          <w:highlight w:val="none"/>
        </w:rPr>
        <w:t>二、政府采购政策功能落实</w:t>
      </w:r>
      <w:bookmarkEnd w:id="319"/>
      <w:bookmarkEnd w:id="320"/>
      <w:bookmarkEnd w:id="321"/>
    </w:p>
    <w:p w14:paraId="7A5DBB19">
      <w:pPr>
        <w:spacing w:line="480" w:lineRule="exact"/>
        <w:ind w:firstLine="480"/>
        <w:rPr>
          <w:rFonts w:ascii="仿宋" w:hAnsi="仿宋" w:eastAsia="仿宋" w:cs="仿宋"/>
          <w:color w:val="auto"/>
          <w:sz w:val="24"/>
          <w:szCs w:val="24"/>
          <w:highlight w:val="none"/>
        </w:rPr>
      </w:pPr>
      <w:bookmarkStart w:id="322" w:name="_Toc8920"/>
      <w:r>
        <w:rPr>
          <w:rFonts w:hint="eastAsia" w:ascii="仿宋" w:hAnsi="仿宋" w:eastAsia="仿宋" w:cs="仿宋"/>
          <w:color w:val="auto"/>
          <w:sz w:val="24"/>
          <w:szCs w:val="24"/>
          <w:highlight w:val="none"/>
        </w:rPr>
        <w:t>1.小微型企业价格扣除</w:t>
      </w:r>
      <w:bookmarkEnd w:id="322"/>
    </w:p>
    <w:p w14:paraId="23908850">
      <w:pPr>
        <w:spacing w:line="480" w:lineRule="exact"/>
        <w:ind w:left="437"/>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（1）本项目对小型和微型企业提供的服务给予10%的扣除价格，用扣除后的价格参与评审。</w:t>
      </w:r>
    </w:p>
    <w:p w14:paraId="6875FC55">
      <w:pPr>
        <w:spacing w:line="480" w:lineRule="exact"/>
        <w:ind w:left="437"/>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（2）投标人需按照招标文件的要求提供相应的《小微企业声明函》。</w:t>
      </w:r>
    </w:p>
    <w:p w14:paraId="1447FB4E">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（3）企业标准请参照《关于印发中小企业划型标准规定的通知》（工信部联企业〔2011〕300号）文件规定自行填写。</w:t>
      </w:r>
    </w:p>
    <w:p w14:paraId="31B8C733">
      <w:pPr>
        <w:spacing w:line="480" w:lineRule="exact"/>
        <w:ind w:firstLine="480"/>
        <w:rPr>
          <w:rFonts w:ascii="仿宋" w:hAnsi="仿宋" w:eastAsia="仿宋" w:cs="仿宋"/>
          <w:color w:val="auto"/>
          <w:sz w:val="24"/>
          <w:szCs w:val="24"/>
          <w:highlight w:val="none"/>
        </w:rPr>
      </w:pPr>
      <w:bookmarkStart w:id="323" w:name="_Toc17382"/>
      <w:r>
        <w:rPr>
          <w:rFonts w:hint="eastAsia" w:ascii="仿宋" w:hAnsi="仿宋" w:eastAsia="仿宋" w:cs="仿宋"/>
          <w:color w:val="auto"/>
          <w:sz w:val="24"/>
          <w:szCs w:val="24"/>
          <w:highlight w:val="none"/>
        </w:rPr>
        <w:t>2.残疾人福利单位价格扣除</w:t>
      </w:r>
      <w:bookmarkEnd w:id="323"/>
    </w:p>
    <w:p w14:paraId="75C6DAC5">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（1）本项目对残疾人福利性单位视同小型、微型企业，给予10%的价格扣除，用扣除后的价格参与评审。</w:t>
      </w:r>
    </w:p>
    <w:p w14:paraId="087F2F32">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（2）残疾人福利单位需按照招标文件的要求提供《残疾人福利性单位声明函》。</w:t>
      </w:r>
    </w:p>
    <w:p w14:paraId="1340774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（3）残疾人福利单位标准请参照《关于促进残疾人就业政府采购政策的通知》（财库〔2017〕141号）。</w:t>
      </w:r>
    </w:p>
    <w:p w14:paraId="09B4D28D">
      <w:pPr>
        <w:spacing w:line="480" w:lineRule="exact"/>
        <w:ind w:firstLine="480"/>
        <w:rPr>
          <w:rFonts w:ascii="仿宋" w:hAnsi="仿宋" w:eastAsia="仿宋" w:cs="仿宋"/>
          <w:color w:val="auto"/>
          <w:sz w:val="24"/>
          <w:szCs w:val="24"/>
          <w:highlight w:val="none"/>
        </w:rPr>
      </w:pPr>
      <w:bookmarkStart w:id="324" w:name="_Toc31547"/>
      <w:r>
        <w:rPr>
          <w:rFonts w:hint="eastAsia" w:ascii="仿宋" w:hAnsi="仿宋" w:eastAsia="仿宋" w:cs="仿宋"/>
          <w:color w:val="auto"/>
          <w:sz w:val="24"/>
          <w:szCs w:val="24"/>
          <w:highlight w:val="none"/>
        </w:rPr>
        <w:t>3.监狱和戒毒企业价格扣除</w:t>
      </w:r>
      <w:bookmarkEnd w:id="324"/>
      <w:r>
        <w:rPr>
          <w:rFonts w:hint="eastAsia" w:ascii="仿宋" w:hAnsi="仿宋" w:eastAsia="仿宋" w:cs="仿宋"/>
          <w:color w:val="auto"/>
          <w:sz w:val="24"/>
          <w:szCs w:val="24"/>
          <w:highlight w:val="none"/>
        </w:rPr>
        <w:t>方案</w:t>
      </w:r>
    </w:p>
    <w:p w14:paraId="489DEA8B">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（1）本项目对监狱和戒毒企业（简称监狱企业）视同小型、微型企业，给予10%的价格扣除，用扣除后的价格参与评审。</w:t>
      </w:r>
    </w:p>
    <w:p w14:paraId="79518B70">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B52AB91">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（3）监狱企业标准请参照《关于政府采购支持监狱企业发展有关问题的通知》（财库〔2014〕68号）。</w:t>
      </w:r>
    </w:p>
    <w:p w14:paraId="6E99D166">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4.残疾人福利单位、监狱企业属于小型、微型企业的，不重复享受政策。</w:t>
      </w:r>
    </w:p>
    <w:p w14:paraId="64203452">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4B528B5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6.联合体各方均为小型、微型企业（残疾人福利单位、监狱企业）的，联合体享受10%价格扣除，用扣除后的价格参与评审。</w:t>
      </w:r>
    </w:p>
    <w:p w14:paraId="54461064">
      <w:pPr>
        <w:pStyle w:val="254"/>
        <w:spacing w:before="0" w:after="0" w:line="480" w:lineRule="exact"/>
        <w:ind w:firstLine="441"/>
        <w:outlineLvl w:val="1"/>
        <w:rPr>
          <w:rFonts w:ascii="仿宋" w:hAnsi="仿宋" w:eastAsia="仿宋" w:cs="仿宋"/>
          <w:b/>
          <w:color w:val="auto"/>
          <w:highlight w:val="none"/>
        </w:rPr>
      </w:pPr>
      <w:bookmarkStart w:id="325" w:name="_Toc2331"/>
      <w:bookmarkStart w:id="326" w:name="_Toc31537"/>
      <w:r>
        <w:rPr>
          <w:rFonts w:hint="eastAsia" w:ascii="仿宋" w:hAnsi="仿宋" w:eastAsia="仿宋" w:cs="仿宋"/>
          <w:b/>
          <w:color w:val="auto"/>
          <w:highlight w:val="none"/>
        </w:rPr>
        <w:t>三、政府采购异常递交问题处理方式</w:t>
      </w:r>
    </w:p>
    <w:p w14:paraId="68F4C6C0">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1.根据《关于推动解决政府采购异常低价问题相关工作的通知》（苏财购〔2025〕62号）要求，评标过程中出现下列情形之一的，评标委员会应当启动异常低价响应审查程序：</w:t>
      </w:r>
    </w:p>
    <w:p w14:paraId="6347D797">
      <w:pPr>
        <w:pStyle w:val="254"/>
        <w:spacing w:line="480" w:lineRule="exact"/>
        <w:ind w:firstLine="441"/>
        <w:outlineLvl w:val="1"/>
        <w:rPr>
          <w:rFonts w:ascii="仿宋" w:hAnsi="仿宋" w:eastAsia="仿宋" w:cs="仿宋"/>
          <w:color w:val="auto"/>
          <w:highlight w:val="none"/>
        </w:rPr>
      </w:pPr>
      <w:bookmarkStart w:id="327" w:name="_Toc2013"/>
      <w:r>
        <w:rPr>
          <w:rFonts w:hint="eastAsia" w:ascii="仿宋" w:hAnsi="仿宋" w:eastAsia="仿宋" w:cs="仿宋"/>
          <w:color w:val="auto"/>
          <w:highlight w:val="none"/>
        </w:rPr>
        <w:t>（1）投标报价低于全部通过符合性审查供应商投标报价平均值50%的，即投标报价&lt;全部通过符合性审查供应商投标报价平均值×50%；</w:t>
      </w:r>
    </w:p>
    <w:p w14:paraId="0570703E">
      <w:pPr>
        <w:pStyle w:val="254"/>
        <w:spacing w:line="480" w:lineRule="exact"/>
        <w:ind w:firstLine="441"/>
        <w:outlineLvl w:val="1"/>
        <w:rPr>
          <w:rFonts w:ascii="仿宋" w:hAnsi="仿宋" w:eastAsia="仿宋" w:cs="仿宋"/>
          <w:color w:val="auto"/>
          <w:highlight w:val="none"/>
        </w:rPr>
      </w:pPr>
      <w:r>
        <w:rPr>
          <w:rFonts w:hint="eastAsia" w:ascii="仿宋" w:hAnsi="仿宋" w:eastAsia="仿宋" w:cs="仿宋"/>
          <w:color w:val="auto"/>
          <w:highlight w:val="none"/>
        </w:rPr>
        <w:t>（2）投标报价低于通过符合性审查的次低报价供应商投标报价50%的，即投标报价&lt;通过符合性审查的次低报价供应商投标报价×50%；</w:t>
      </w:r>
    </w:p>
    <w:p w14:paraId="15D95951">
      <w:pPr>
        <w:pStyle w:val="254"/>
        <w:spacing w:line="480" w:lineRule="exact"/>
        <w:ind w:firstLine="441"/>
        <w:outlineLvl w:val="1"/>
        <w:rPr>
          <w:rFonts w:ascii="仿宋" w:hAnsi="仿宋" w:eastAsia="仿宋" w:cs="仿宋"/>
          <w:color w:val="auto"/>
          <w:highlight w:val="none"/>
        </w:rPr>
      </w:pPr>
      <w:r>
        <w:rPr>
          <w:rFonts w:hint="eastAsia" w:ascii="仿宋" w:hAnsi="仿宋" w:eastAsia="仿宋" w:cs="仿宋"/>
          <w:color w:val="auto"/>
          <w:highlight w:val="none"/>
        </w:rPr>
        <w:t>（3）投标报价低于采购项目最高限价45%的，即投标报价&lt;采购项目最高限价×45%；</w:t>
      </w:r>
    </w:p>
    <w:p w14:paraId="594D3FF4">
      <w:pPr>
        <w:pStyle w:val="254"/>
        <w:spacing w:line="480" w:lineRule="exact"/>
        <w:ind w:firstLine="441"/>
        <w:outlineLvl w:val="1"/>
        <w:rPr>
          <w:rFonts w:ascii="仿宋" w:hAnsi="仿宋" w:eastAsia="仿宋" w:cs="仿宋"/>
          <w:color w:val="auto"/>
          <w:highlight w:val="none"/>
        </w:rPr>
      </w:pPr>
      <w:r>
        <w:rPr>
          <w:rFonts w:hint="eastAsia" w:ascii="仿宋" w:hAnsi="仿宋" w:eastAsia="仿宋" w:cs="仿宋"/>
          <w:color w:val="auto"/>
          <w:highlight w:val="none"/>
        </w:rPr>
        <w:t>（4）评标委员会基于专业判断，认为供应商报价过低，有可能影响产品质量或者不能诚信履约的其他情形。</w:t>
      </w:r>
    </w:p>
    <w:p w14:paraId="57F824BB">
      <w:pPr>
        <w:pStyle w:val="254"/>
        <w:spacing w:line="480" w:lineRule="exact"/>
        <w:ind w:firstLine="741" w:firstLineChars="309"/>
        <w:outlineLvl w:val="1"/>
        <w:rPr>
          <w:rFonts w:ascii="仿宋" w:hAnsi="仿宋" w:eastAsia="仿宋" w:cs="仿宋"/>
          <w:color w:val="auto"/>
          <w:highlight w:val="none"/>
        </w:rPr>
      </w:pPr>
      <w:r>
        <w:rPr>
          <w:rFonts w:hint="eastAsia" w:ascii="仿宋" w:hAnsi="仿宋" w:eastAsia="仿宋" w:cs="仿宋"/>
          <w:color w:val="auto"/>
          <w:highlight w:val="none"/>
        </w:rPr>
        <w:t>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highlight w:val="none"/>
          <w:u w:val="single"/>
        </w:rPr>
        <w:t>其中投标报价低于采购项目最高限价（预算）45%的，投标人应在投标文件中提供合理性相关书面说明及必要的证明材料。</w:t>
      </w:r>
    </w:p>
    <w:p w14:paraId="3FAA3FE6">
      <w:pPr>
        <w:pStyle w:val="254"/>
        <w:spacing w:line="480" w:lineRule="exact"/>
        <w:ind w:firstLine="441"/>
        <w:outlineLvl w:val="1"/>
        <w:rPr>
          <w:rFonts w:ascii="仿宋" w:hAnsi="仿宋" w:eastAsia="仿宋" w:cs="仿宋"/>
          <w:color w:val="auto"/>
          <w:highlight w:val="none"/>
        </w:rPr>
      </w:pPr>
      <w:r>
        <w:rPr>
          <w:rFonts w:hint="eastAsia" w:ascii="仿宋" w:hAnsi="仿宋" w:eastAsia="仿宋" w:cs="仿宋"/>
          <w:color w:val="auto"/>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1A44D6B6">
      <w:pPr>
        <w:pStyle w:val="254"/>
        <w:spacing w:line="480" w:lineRule="exact"/>
        <w:ind w:firstLine="441"/>
        <w:outlineLvl w:val="1"/>
        <w:rPr>
          <w:rFonts w:ascii="仿宋" w:hAnsi="仿宋" w:eastAsia="仿宋" w:cs="仿宋"/>
          <w:b/>
          <w:color w:val="auto"/>
          <w:highlight w:val="none"/>
        </w:rPr>
      </w:pPr>
      <w:r>
        <w:rPr>
          <w:rFonts w:hint="eastAsia" w:ascii="仿宋" w:hAnsi="仿宋" w:eastAsia="仿宋" w:cs="仿宋"/>
          <w:b/>
          <w:color w:val="auto"/>
          <w:highlight w:val="none"/>
        </w:rPr>
        <w:t>四、评标办法和评标标准</w:t>
      </w:r>
      <w:bookmarkEnd w:id="327"/>
    </w:p>
    <w:p w14:paraId="63980C89">
      <w:pPr>
        <w:pStyle w:val="254"/>
        <w:spacing w:line="480" w:lineRule="exact"/>
        <w:ind w:firstLine="441"/>
        <w:outlineLvl w:val="1"/>
        <w:rPr>
          <w:rFonts w:ascii="仿宋" w:hAnsi="仿宋" w:eastAsia="仿宋" w:cs="仿宋"/>
          <w:b/>
          <w:color w:val="auto"/>
          <w:highlight w:val="none"/>
        </w:rPr>
      </w:pPr>
      <w:r>
        <w:rPr>
          <w:rFonts w:hint="eastAsia" w:ascii="仿宋" w:hAnsi="仿宋" w:eastAsia="仿宋" w:cs="仿宋"/>
          <w:b/>
          <w:color w:val="auto"/>
          <w:highlight w:val="none"/>
        </w:rPr>
        <w:t>分包一：</w:t>
      </w:r>
      <w:bookmarkEnd w:id="325"/>
      <w:r>
        <w:rPr>
          <w:rFonts w:hint="eastAsia" w:ascii="仿宋" w:hAnsi="仿宋" w:eastAsia="仿宋" w:cs="仿宋"/>
          <w:b/>
          <w:color w:val="auto"/>
          <w:highlight w:val="none"/>
        </w:rPr>
        <w:t>道路运输新业态市场运营风险监测分析辅助技术服务</w:t>
      </w:r>
    </w:p>
    <w:tbl>
      <w:tblPr>
        <w:tblStyle w:val="34"/>
        <w:tblW w:w="9514" w:type="dxa"/>
        <w:tblInd w:w="163" w:type="dxa"/>
        <w:tblLayout w:type="autofit"/>
        <w:tblCellMar>
          <w:top w:w="0" w:type="dxa"/>
          <w:left w:w="108" w:type="dxa"/>
          <w:bottom w:w="0" w:type="dxa"/>
          <w:right w:w="108" w:type="dxa"/>
        </w:tblCellMar>
      </w:tblPr>
      <w:tblGrid>
        <w:gridCol w:w="775"/>
        <w:gridCol w:w="1287"/>
        <w:gridCol w:w="1263"/>
        <w:gridCol w:w="5312"/>
        <w:gridCol w:w="877"/>
      </w:tblGrid>
      <w:tr w14:paraId="33391023">
        <w:tblPrEx>
          <w:tblCellMar>
            <w:top w:w="0" w:type="dxa"/>
            <w:left w:w="108" w:type="dxa"/>
            <w:bottom w:w="0" w:type="dxa"/>
            <w:right w:w="108" w:type="dxa"/>
          </w:tblCellMar>
        </w:tblPrEx>
        <w:trPr>
          <w:trHeight w:val="512" w:hRule="atLeast"/>
        </w:trPr>
        <w:tc>
          <w:tcPr>
            <w:tcW w:w="775" w:type="dxa"/>
            <w:tcBorders>
              <w:top w:val="single" w:color="000000" w:sz="4" w:space="0"/>
              <w:left w:val="single" w:color="000000" w:sz="4" w:space="0"/>
              <w:bottom w:val="single" w:color="000000" w:sz="4" w:space="0"/>
              <w:right w:val="single" w:color="000000" w:sz="4" w:space="0"/>
            </w:tcBorders>
            <w:vAlign w:val="center"/>
          </w:tcPr>
          <w:p w14:paraId="7011DFBB">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序号</w:t>
            </w:r>
          </w:p>
        </w:tc>
        <w:tc>
          <w:tcPr>
            <w:tcW w:w="2550" w:type="dxa"/>
            <w:gridSpan w:val="2"/>
            <w:tcBorders>
              <w:top w:val="single" w:color="000000" w:sz="4" w:space="0"/>
              <w:left w:val="nil"/>
              <w:bottom w:val="single" w:color="000000" w:sz="4" w:space="0"/>
              <w:right w:val="single" w:color="000000" w:sz="4" w:space="0"/>
            </w:tcBorders>
            <w:vAlign w:val="center"/>
          </w:tcPr>
          <w:p w14:paraId="6A18DDF7">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评分因素</w:t>
            </w:r>
          </w:p>
        </w:tc>
        <w:tc>
          <w:tcPr>
            <w:tcW w:w="5312" w:type="dxa"/>
            <w:tcBorders>
              <w:top w:val="single" w:color="000000" w:sz="4" w:space="0"/>
              <w:left w:val="nil"/>
              <w:bottom w:val="single" w:color="000000" w:sz="4" w:space="0"/>
              <w:right w:val="single" w:color="000000" w:sz="4" w:space="0"/>
            </w:tcBorders>
            <w:vAlign w:val="center"/>
          </w:tcPr>
          <w:p w14:paraId="27F31190">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评审标准</w:t>
            </w:r>
          </w:p>
        </w:tc>
        <w:tc>
          <w:tcPr>
            <w:tcW w:w="877" w:type="dxa"/>
            <w:tcBorders>
              <w:top w:val="single" w:color="000000" w:sz="4" w:space="0"/>
              <w:left w:val="nil"/>
              <w:bottom w:val="single" w:color="000000" w:sz="4" w:space="0"/>
              <w:right w:val="single" w:color="000000" w:sz="4" w:space="0"/>
            </w:tcBorders>
            <w:vAlign w:val="center"/>
          </w:tcPr>
          <w:p w14:paraId="73F1A317">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分值</w:t>
            </w:r>
          </w:p>
        </w:tc>
      </w:tr>
      <w:tr w14:paraId="235E5C96">
        <w:tblPrEx>
          <w:tblCellMar>
            <w:top w:w="0" w:type="dxa"/>
            <w:left w:w="108" w:type="dxa"/>
            <w:bottom w:w="0" w:type="dxa"/>
            <w:right w:w="108" w:type="dxa"/>
          </w:tblCellMar>
        </w:tblPrEx>
        <w:trPr>
          <w:trHeight w:val="460" w:hRule="atLeast"/>
        </w:trPr>
        <w:tc>
          <w:tcPr>
            <w:tcW w:w="775" w:type="dxa"/>
            <w:tcBorders>
              <w:top w:val="single" w:color="000000" w:sz="4" w:space="0"/>
              <w:left w:val="single" w:color="000000" w:sz="4" w:space="0"/>
              <w:bottom w:val="single" w:color="000000" w:sz="4" w:space="0"/>
              <w:right w:val="single" w:color="000000" w:sz="4" w:space="0"/>
            </w:tcBorders>
            <w:vAlign w:val="center"/>
          </w:tcPr>
          <w:p w14:paraId="263BB7D4">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1</w:t>
            </w:r>
          </w:p>
        </w:tc>
        <w:tc>
          <w:tcPr>
            <w:tcW w:w="1287" w:type="dxa"/>
            <w:tcBorders>
              <w:top w:val="single" w:color="000000" w:sz="4" w:space="0"/>
              <w:left w:val="nil"/>
              <w:bottom w:val="single" w:color="000000" w:sz="4" w:space="0"/>
              <w:right w:val="single" w:color="auto" w:sz="4" w:space="0"/>
            </w:tcBorders>
            <w:vAlign w:val="center"/>
          </w:tcPr>
          <w:p w14:paraId="14E9AD82">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报价部分    （10分）</w:t>
            </w:r>
          </w:p>
        </w:tc>
        <w:tc>
          <w:tcPr>
            <w:tcW w:w="1263" w:type="dxa"/>
            <w:tcBorders>
              <w:top w:val="single" w:color="000000" w:sz="4" w:space="0"/>
              <w:left w:val="single" w:color="auto" w:sz="4" w:space="0"/>
              <w:bottom w:val="single" w:color="000000" w:sz="4" w:space="0"/>
              <w:right w:val="single" w:color="000000" w:sz="4" w:space="0"/>
            </w:tcBorders>
            <w:vAlign w:val="center"/>
          </w:tcPr>
          <w:p w14:paraId="54276E2B">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价格分</w:t>
            </w:r>
          </w:p>
        </w:tc>
        <w:tc>
          <w:tcPr>
            <w:tcW w:w="5312" w:type="dxa"/>
            <w:tcBorders>
              <w:top w:val="single" w:color="000000" w:sz="4" w:space="0"/>
              <w:left w:val="nil"/>
              <w:bottom w:val="single" w:color="000000" w:sz="4" w:space="0"/>
              <w:right w:val="single" w:color="000000" w:sz="4" w:space="0"/>
            </w:tcBorders>
            <w:vAlign w:val="center"/>
          </w:tcPr>
          <w:p w14:paraId="2F3414F8">
            <w:pPr>
              <w:widowControl/>
              <w:spacing w:line="480" w:lineRule="exact"/>
              <w:ind w:firstLine="480"/>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价格分采用低价优先法计算，即满足招标文件要求且投标价格最低的投标报价为评标基准价，其价格分为满分。其他供应商的价格分统一按照下列公式计算（小数点保留两位）：投标报价得分=（评标基准价／投标报价）×10。</w:t>
            </w:r>
            <w:r>
              <w:rPr>
                <w:rFonts w:hint="eastAsia" w:ascii="仿宋" w:hAnsi="仿宋" w:eastAsia="仿宋" w:cs="仿宋"/>
                <w:color w:val="auto"/>
                <w:sz w:val="24"/>
                <w:szCs w:val="24"/>
                <w:highlight w:val="none"/>
              </w:rPr>
              <w:t>因落实政府采购政策进行价格调整的，以调整后的价格计算评标（审）基准价和投标（响应）报价</w:t>
            </w:r>
          </w:p>
        </w:tc>
        <w:tc>
          <w:tcPr>
            <w:tcW w:w="877" w:type="dxa"/>
            <w:tcBorders>
              <w:top w:val="single" w:color="000000" w:sz="4" w:space="0"/>
              <w:left w:val="nil"/>
              <w:bottom w:val="single" w:color="000000" w:sz="4" w:space="0"/>
              <w:right w:val="single" w:color="000000" w:sz="4" w:space="0"/>
            </w:tcBorders>
            <w:vAlign w:val="center"/>
          </w:tcPr>
          <w:p w14:paraId="6C45C15D">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10分</w:t>
            </w:r>
          </w:p>
        </w:tc>
      </w:tr>
      <w:tr w14:paraId="5F639C10">
        <w:tblPrEx>
          <w:tblCellMar>
            <w:top w:w="0" w:type="dxa"/>
            <w:left w:w="108" w:type="dxa"/>
            <w:bottom w:w="0" w:type="dxa"/>
            <w:right w:w="108" w:type="dxa"/>
          </w:tblCellMar>
        </w:tblPrEx>
        <w:trPr>
          <w:trHeight w:val="2057"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52F2960C">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2.1</w:t>
            </w:r>
          </w:p>
        </w:tc>
        <w:tc>
          <w:tcPr>
            <w:tcW w:w="1287" w:type="dxa"/>
            <w:vMerge w:val="restart"/>
            <w:tcBorders>
              <w:top w:val="single" w:color="auto" w:sz="4" w:space="0"/>
              <w:left w:val="single" w:color="000000" w:sz="4" w:space="0"/>
              <w:right w:val="single" w:color="auto" w:sz="4" w:space="0"/>
            </w:tcBorders>
            <w:vAlign w:val="center"/>
          </w:tcPr>
          <w:p w14:paraId="62EDE9C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技术部分  （60分）</w:t>
            </w:r>
          </w:p>
        </w:tc>
        <w:tc>
          <w:tcPr>
            <w:tcW w:w="1263" w:type="dxa"/>
            <w:tcBorders>
              <w:top w:val="single" w:color="auto" w:sz="4" w:space="0"/>
              <w:left w:val="single" w:color="auto" w:sz="4" w:space="0"/>
              <w:bottom w:val="single" w:color="auto" w:sz="4" w:space="0"/>
              <w:right w:val="single" w:color="000000" w:sz="4" w:space="0"/>
            </w:tcBorders>
            <w:vAlign w:val="center"/>
          </w:tcPr>
          <w:p w14:paraId="32102E74">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项目认识与理解</w:t>
            </w:r>
          </w:p>
        </w:tc>
        <w:tc>
          <w:tcPr>
            <w:tcW w:w="5312" w:type="dxa"/>
            <w:tcBorders>
              <w:top w:val="single" w:color="auto" w:sz="4" w:space="0"/>
              <w:left w:val="nil"/>
              <w:bottom w:val="single" w:color="auto" w:sz="4" w:space="0"/>
              <w:right w:val="single" w:color="000000" w:sz="4" w:space="0"/>
            </w:tcBorders>
            <w:vAlign w:val="center"/>
          </w:tcPr>
          <w:p w14:paraId="68CCA69D">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根据投标人对本项目背景目的、工作基础和道路运输新业态市场现状等内容的认识和理解情况进行评分：</w:t>
            </w:r>
            <w:r>
              <w:rPr>
                <w:rFonts w:hint="eastAsia" w:ascii="仿宋" w:hAnsi="仿宋" w:eastAsia="仿宋" w:cs="宋体"/>
                <w:color w:val="auto"/>
                <w:sz w:val="24"/>
                <w:szCs w:val="24"/>
                <w:highlight w:val="none"/>
              </w:rPr>
              <w:br w:type="textWrapping" w:clear="all"/>
            </w:r>
            <w:r>
              <w:rPr>
                <w:rFonts w:hint="eastAsia" w:ascii="仿宋" w:hAnsi="仿宋" w:eastAsia="仿宋" w:cs="宋体"/>
                <w:color w:val="auto"/>
                <w:sz w:val="24"/>
                <w:szCs w:val="24"/>
                <w:highlight w:val="none"/>
              </w:rPr>
              <w:t xml:space="preserve">  认识和理解非常准确、到位，符合项目实际的，得15分</w:t>
            </w:r>
          </w:p>
          <w:p w14:paraId="5F632B99">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认识和理解准确、到位，符合项目实际的，得13分；</w:t>
            </w:r>
          </w:p>
          <w:p w14:paraId="2D5E5557">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认识和理解较准确，能够满足项目实际的，得11分；</w:t>
            </w:r>
          </w:p>
          <w:p w14:paraId="14BD505B">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认识和理解基本准确，基本符合项目实际的，得9分；</w:t>
            </w:r>
          </w:p>
          <w:p w14:paraId="5A8AFBEB">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认识和理解偏差较大，不能满足项目实际的，得6分；</w:t>
            </w:r>
          </w:p>
          <w:p w14:paraId="00E515A4">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877" w:type="dxa"/>
            <w:tcBorders>
              <w:top w:val="single" w:color="auto" w:sz="4" w:space="0"/>
              <w:left w:val="nil"/>
              <w:bottom w:val="single" w:color="auto" w:sz="4" w:space="0"/>
              <w:right w:val="single" w:color="000000" w:sz="4" w:space="0"/>
            </w:tcBorders>
            <w:vAlign w:val="center"/>
          </w:tcPr>
          <w:p w14:paraId="1D024CC4">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15分</w:t>
            </w:r>
          </w:p>
        </w:tc>
      </w:tr>
      <w:tr w14:paraId="214EA016">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308C8EA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2.2</w:t>
            </w:r>
          </w:p>
        </w:tc>
        <w:tc>
          <w:tcPr>
            <w:tcW w:w="1287" w:type="dxa"/>
            <w:vMerge w:val="continue"/>
            <w:tcBorders>
              <w:left w:val="single" w:color="000000" w:sz="4" w:space="0"/>
              <w:right w:val="single" w:color="auto" w:sz="4" w:space="0"/>
            </w:tcBorders>
            <w:vAlign w:val="center"/>
          </w:tcPr>
          <w:p w14:paraId="33B35E14">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3C973672">
            <w:pPr>
              <w:widowControl/>
              <w:spacing w:line="300" w:lineRule="exact"/>
              <w:jc w:val="center"/>
              <w:rPr>
                <w:rFonts w:eastAsia="方正仿宋_GBK"/>
                <w:color w:val="auto"/>
                <w:sz w:val="24"/>
                <w:szCs w:val="24"/>
                <w:highlight w:val="none"/>
              </w:rPr>
            </w:pPr>
            <w:r>
              <w:rPr>
                <w:rFonts w:hint="eastAsia" w:eastAsia="方正仿宋_GBK"/>
                <w:color w:val="auto"/>
                <w:sz w:val="24"/>
                <w:szCs w:val="24"/>
                <w:highlight w:val="none"/>
              </w:rPr>
              <w:t>实施路径和方法</w:t>
            </w:r>
          </w:p>
          <w:p w14:paraId="1CE43A08">
            <w:pPr>
              <w:widowControl/>
              <w:spacing w:line="480" w:lineRule="exact"/>
              <w:jc w:val="center"/>
              <w:rPr>
                <w:rFonts w:ascii="仿宋" w:hAnsi="仿宋" w:eastAsia="仿宋" w:cs="宋体"/>
                <w:color w:val="auto"/>
                <w:sz w:val="24"/>
                <w:szCs w:val="24"/>
                <w:highlight w:val="none"/>
              </w:rPr>
            </w:pPr>
          </w:p>
        </w:tc>
        <w:tc>
          <w:tcPr>
            <w:tcW w:w="5312" w:type="dxa"/>
            <w:tcBorders>
              <w:top w:val="single" w:color="000000" w:sz="4" w:space="0"/>
              <w:left w:val="nil"/>
              <w:bottom w:val="single" w:color="auto" w:sz="4" w:space="0"/>
              <w:right w:val="single" w:color="000000" w:sz="4" w:space="0"/>
            </w:tcBorders>
            <w:vAlign w:val="center"/>
          </w:tcPr>
          <w:p w14:paraId="683199CC">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根据投标人对具体工作实施路径和方法科学性、合理性及可行性进行评分：：</w:t>
            </w:r>
            <w:r>
              <w:rPr>
                <w:rFonts w:hint="eastAsia" w:ascii="仿宋" w:hAnsi="仿宋" w:eastAsia="仿宋" w:cs="宋体"/>
                <w:color w:val="auto"/>
                <w:sz w:val="24"/>
                <w:szCs w:val="24"/>
                <w:highlight w:val="none"/>
              </w:rPr>
              <w:br w:type="textWrapping" w:clear="all"/>
            </w:r>
            <w:r>
              <w:rPr>
                <w:rFonts w:hint="eastAsia" w:ascii="仿宋" w:hAnsi="仿宋" w:eastAsia="仿宋" w:cs="宋体"/>
                <w:color w:val="auto"/>
                <w:sz w:val="24"/>
                <w:szCs w:val="24"/>
                <w:highlight w:val="none"/>
              </w:rPr>
              <w:t xml:space="preserve">    工作实施路径和方法非常合理、科学，具有非常强的操作性和可行性，得15分；</w:t>
            </w:r>
          </w:p>
          <w:p w14:paraId="221349C0">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工作实施路径和方法合理、科学，具有可操作性和可行性，得13分；</w:t>
            </w:r>
          </w:p>
          <w:p w14:paraId="62023976">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工作实施路径和方法较合理、科学，具有较强可操作性和可行性，得11分；</w:t>
            </w:r>
          </w:p>
          <w:p w14:paraId="6BE8AEC4">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工作实施路径和方法基本合理、科学，得9分；</w:t>
            </w:r>
          </w:p>
          <w:p w14:paraId="3BA89B9D">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路径不合理或方法单一，得6分；</w:t>
            </w:r>
          </w:p>
          <w:p w14:paraId="1AA454C7">
            <w:pPr>
              <w:widowControl/>
              <w:spacing w:line="480" w:lineRule="exact"/>
              <w:ind w:left="42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未提供不得分。</w:t>
            </w:r>
          </w:p>
        </w:tc>
        <w:tc>
          <w:tcPr>
            <w:tcW w:w="877" w:type="dxa"/>
            <w:tcBorders>
              <w:top w:val="single" w:color="000000" w:sz="4" w:space="0"/>
              <w:left w:val="nil"/>
              <w:bottom w:val="single" w:color="auto" w:sz="4" w:space="0"/>
              <w:right w:val="single" w:color="000000" w:sz="4" w:space="0"/>
            </w:tcBorders>
            <w:vAlign w:val="center"/>
          </w:tcPr>
          <w:p w14:paraId="3D651E3D">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15分</w:t>
            </w:r>
          </w:p>
        </w:tc>
      </w:tr>
      <w:tr w14:paraId="3E7AC216">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570026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2.3</w:t>
            </w:r>
          </w:p>
        </w:tc>
        <w:tc>
          <w:tcPr>
            <w:tcW w:w="1287" w:type="dxa"/>
            <w:vMerge w:val="continue"/>
            <w:tcBorders>
              <w:left w:val="single" w:color="000000" w:sz="4" w:space="0"/>
              <w:right w:val="single" w:color="auto" w:sz="4" w:space="0"/>
            </w:tcBorders>
            <w:vAlign w:val="center"/>
          </w:tcPr>
          <w:p w14:paraId="296EAFF1">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4879B9DA">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研究成果形式</w:t>
            </w:r>
          </w:p>
        </w:tc>
        <w:tc>
          <w:tcPr>
            <w:tcW w:w="5312" w:type="dxa"/>
            <w:tcBorders>
              <w:top w:val="single" w:color="000000" w:sz="4" w:space="0"/>
              <w:left w:val="nil"/>
              <w:bottom w:val="single" w:color="auto" w:sz="4" w:space="0"/>
              <w:right w:val="single" w:color="000000" w:sz="4" w:space="0"/>
            </w:tcBorders>
            <w:vAlign w:val="center"/>
          </w:tcPr>
          <w:p w14:paraId="3F42AF07">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根据投标人对研究成果形式把握的全面性、准确性进行评分：</w:t>
            </w:r>
          </w:p>
          <w:p w14:paraId="549558FA">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研究成果形式把握非常准确到位、内容完善，得1</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分；</w:t>
            </w:r>
          </w:p>
          <w:p w14:paraId="5D19A6F5">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研究成果形式把握准确到位、内容完善，得</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2分；</w:t>
            </w:r>
          </w:p>
          <w:p w14:paraId="67B5DB17">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研究成果形式把握比较准确到位、内容比较完善，得10分；</w:t>
            </w:r>
          </w:p>
          <w:p w14:paraId="1E477979">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研究成果形式把握基本准确、内容基本完善，得8分；</w:t>
            </w:r>
          </w:p>
          <w:p w14:paraId="54A734A7">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研究成果形式把握偏差较大、内容基本不能满足项目实际的，得5分</w:t>
            </w:r>
          </w:p>
          <w:p w14:paraId="27CA079E">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877" w:type="dxa"/>
            <w:tcBorders>
              <w:top w:val="single" w:color="000000" w:sz="4" w:space="0"/>
              <w:left w:val="nil"/>
              <w:bottom w:val="single" w:color="auto" w:sz="4" w:space="0"/>
              <w:right w:val="single" w:color="000000" w:sz="4" w:space="0"/>
            </w:tcBorders>
            <w:vAlign w:val="center"/>
          </w:tcPr>
          <w:p w14:paraId="5C7396FE">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13分</w:t>
            </w:r>
          </w:p>
        </w:tc>
      </w:tr>
      <w:tr w14:paraId="1D2B8731">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6DAE8494">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2.4</w:t>
            </w:r>
          </w:p>
        </w:tc>
        <w:tc>
          <w:tcPr>
            <w:tcW w:w="1287" w:type="dxa"/>
            <w:vMerge w:val="continue"/>
            <w:tcBorders>
              <w:left w:val="single" w:color="000000" w:sz="4" w:space="0"/>
              <w:right w:val="single" w:color="auto" w:sz="4" w:space="0"/>
            </w:tcBorders>
            <w:vAlign w:val="center"/>
          </w:tcPr>
          <w:p w14:paraId="2D958EE7">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5D74F6C3">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质量保障措施</w:t>
            </w:r>
          </w:p>
        </w:tc>
        <w:tc>
          <w:tcPr>
            <w:tcW w:w="5312" w:type="dxa"/>
            <w:tcBorders>
              <w:top w:val="single" w:color="000000" w:sz="4" w:space="0"/>
              <w:left w:val="nil"/>
              <w:bottom w:val="single" w:color="auto" w:sz="4" w:space="0"/>
              <w:right w:val="single" w:color="000000" w:sz="4" w:space="0"/>
            </w:tcBorders>
            <w:vAlign w:val="center"/>
          </w:tcPr>
          <w:p w14:paraId="141B873F">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根据投标人对项目管理、质量要求、进度要求等方面制定的具体质量及进度保障措施进行评分：</w:t>
            </w:r>
          </w:p>
          <w:p w14:paraId="7FEE7011">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质量及进度保障措施非常全面、针对性强且有效，得</w:t>
            </w:r>
            <w:r>
              <w:rPr>
                <w:rFonts w:ascii="仿宋" w:hAnsi="仿宋" w:eastAsia="仿宋" w:cs="宋体"/>
                <w:color w:val="auto"/>
                <w:sz w:val="24"/>
                <w:szCs w:val="24"/>
                <w:highlight w:val="none"/>
              </w:rPr>
              <w:t>12</w:t>
            </w:r>
            <w:r>
              <w:rPr>
                <w:rFonts w:hint="eastAsia" w:ascii="仿宋" w:hAnsi="仿宋" w:eastAsia="仿宋" w:cs="宋体"/>
                <w:color w:val="auto"/>
                <w:sz w:val="24"/>
                <w:szCs w:val="24"/>
                <w:highlight w:val="none"/>
              </w:rPr>
              <w:t>分；</w:t>
            </w:r>
          </w:p>
          <w:p w14:paraId="576966ED">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质量及进度保障措施全面、针对性较强且有效，得</w:t>
            </w:r>
            <w:r>
              <w:rPr>
                <w:rFonts w:ascii="仿宋" w:hAnsi="仿宋" w:eastAsia="仿宋" w:cs="宋体"/>
                <w:color w:val="auto"/>
                <w:sz w:val="24"/>
                <w:szCs w:val="24"/>
                <w:highlight w:val="none"/>
              </w:rPr>
              <w:t>10</w:t>
            </w:r>
            <w:r>
              <w:rPr>
                <w:rFonts w:hint="eastAsia" w:ascii="仿宋" w:hAnsi="仿宋" w:eastAsia="仿宋" w:cs="宋体"/>
                <w:color w:val="auto"/>
                <w:sz w:val="24"/>
                <w:szCs w:val="24"/>
                <w:highlight w:val="none"/>
              </w:rPr>
              <w:t>分；</w:t>
            </w:r>
          </w:p>
          <w:p w14:paraId="49BEF992">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质量及进度保障措施较全面、针对性有效，得</w:t>
            </w:r>
            <w:r>
              <w:rPr>
                <w:rFonts w:ascii="仿宋" w:hAnsi="仿宋" w:eastAsia="仿宋" w:cs="宋体"/>
                <w:color w:val="auto"/>
                <w:sz w:val="24"/>
                <w:szCs w:val="24"/>
                <w:highlight w:val="none"/>
              </w:rPr>
              <w:t>8</w:t>
            </w:r>
            <w:r>
              <w:rPr>
                <w:rFonts w:hint="eastAsia" w:ascii="仿宋" w:hAnsi="仿宋" w:eastAsia="仿宋" w:cs="宋体"/>
                <w:color w:val="auto"/>
                <w:sz w:val="24"/>
                <w:szCs w:val="24"/>
                <w:highlight w:val="none"/>
              </w:rPr>
              <w:t>分；</w:t>
            </w:r>
          </w:p>
          <w:p w14:paraId="2052B541">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质量及进度保障措施基本全面，得</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分；</w:t>
            </w:r>
          </w:p>
          <w:p w14:paraId="4AE22734">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质量及进度保障措施不全面，不具备针对性，得</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分；</w:t>
            </w:r>
          </w:p>
          <w:p w14:paraId="04E87148">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877" w:type="dxa"/>
            <w:tcBorders>
              <w:top w:val="single" w:color="000000" w:sz="4" w:space="0"/>
              <w:left w:val="nil"/>
              <w:bottom w:val="single" w:color="auto" w:sz="4" w:space="0"/>
              <w:right w:val="single" w:color="000000" w:sz="4" w:space="0"/>
            </w:tcBorders>
            <w:vAlign w:val="center"/>
          </w:tcPr>
          <w:p w14:paraId="7EB8930A">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12分</w:t>
            </w:r>
          </w:p>
        </w:tc>
      </w:tr>
      <w:tr w14:paraId="46ED281F">
        <w:tblPrEx>
          <w:tblCellMar>
            <w:top w:w="0" w:type="dxa"/>
            <w:left w:w="108" w:type="dxa"/>
            <w:bottom w:w="0" w:type="dxa"/>
            <w:right w:w="108" w:type="dxa"/>
          </w:tblCellMar>
        </w:tblPrEx>
        <w:trPr>
          <w:trHeight w:val="538"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2AB233A">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p>
        </w:tc>
        <w:tc>
          <w:tcPr>
            <w:tcW w:w="1287" w:type="dxa"/>
            <w:vMerge w:val="continue"/>
            <w:tcBorders>
              <w:left w:val="single" w:color="000000" w:sz="4" w:space="0"/>
              <w:bottom w:val="single" w:color="auto" w:sz="4" w:space="0"/>
              <w:right w:val="single" w:color="auto" w:sz="4" w:space="0"/>
            </w:tcBorders>
            <w:vAlign w:val="center"/>
          </w:tcPr>
          <w:p w14:paraId="395AD07D">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38996247">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w:t>
            </w:r>
          </w:p>
        </w:tc>
        <w:tc>
          <w:tcPr>
            <w:tcW w:w="5312" w:type="dxa"/>
            <w:tcBorders>
              <w:top w:val="single" w:color="auto" w:sz="4" w:space="0"/>
              <w:left w:val="nil"/>
              <w:bottom w:val="single" w:color="000000" w:sz="4" w:space="0"/>
              <w:right w:val="single" w:color="000000" w:sz="4" w:space="0"/>
            </w:tcBorders>
            <w:vAlign w:val="center"/>
          </w:tcPr>
          <w:p w14:paraId="3C35B27B">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据投标人对服务承诺的合理、切实可行，措施得当等进行评价：</w:t>
            </w:r>
          </w:p>
          <w:p w14:paraId="72DCFB87">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服务承诺合理有效，切实可行，得5分；</w:t>
            </w:r>
          </w:p>
          <w:p w14:paraId="47CC551F">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服务承诺比较合理有效，具有可行性，得4分；</w:t>
            </w:r>
          </w:p>
          <w:p w14:paraId="5886BA9F">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服务承诺基本有效，得3分；</w:t>
            </w:r>
          </w:p>
          <w:p w14:paraId="672FF715">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服务承诺不合理有效，得2分；</w:t>
            </w:r>
          </w:p>
          <w:p w14:paraId="68BC745D">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877" w:type="dxa"/>
            <w:tcBorders>
              <w:top w:val="single" w:color="auto" w:sz="4" w:space="0"/>
              <w:left w:val="nil"/>
              <w:bottom w:val="single" w:color="000000" w:sz="4" w:space="0"/>
              <w:right w:val="single" w:color="000000" w:sz="4" w:space="0"/>
            </w:tcBorders>
            <w:vAlign w:val="center"/>
          </w:tcPr>
          <w:p w14:paraId="52BB7065">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5分</w:t>
            </w:r>
          </w:p>
        </w:tc>
      </w:tr>
      <w:tr w14:paraId="335616D3">
        <w:tblPrEx>
          <w:tblCellMar>
            <w:top w:w="0" w:type="dxa"/>
            <w:left w:w="108" w:type="dxa"/>
            <w:bottom w:w="0" w:type="dxa"/>
            <w:right w:w="108" w:type="dxa"/>
          </w:tblCellMar>
        </w:tblPrEx>
        <w:trPr>
          <w:trHeight w:val="10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F4D739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3.1</w:t>
            </w:r>
          </w:p>
        </w:tc>
        <w:tc>
          <w:tcPr>
            <w:tcW w:w="1287" w:type="dxa"/>
            <w:vMerge w:val="restart"/>
            <w:tcBorders>
              <w:top w:val="single" w:color="auto" w:sz="4" w:space="0"/>
              <w:left w:val="nil"/>
              <w:bottom w:val="single" w:color="auto" w:sz="4" w:space="0"/>
              <w:right w:val="single" w:color="auto" w:sz="4" w:space="0"/>
            </w:tcBorders>
            <w:vAlign w:val="center"/>
          </w:tcPr>
          <w:p w14:paraId="47D4EC17">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商务部分（30分）</w:t>
            </w:r>
          </w:p>
          <w:p w14:paraId="19209DD1">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w:t>
            </w:r>
          </w:p>
        </w:tc>
        <w:tc>
          <w:tcPr>
            <w:tcW w:w="1263" w:type="dxa"/>
            <w:tcBorders>
              <w:top w:val="single" w:color="auto" w:sz="4" w:space="0"/>
              <w:left w:val="single" w:color="auto" w:sz="4" w:space="0"/>
              <w:bottom w:val="single" w:color="auto" w:sz="4" w:space="0"/>
              <w:right w:val="single" w:color="000000" w:sz="4" w:space="0"/>
            </w:tcBorders>
            <w:vAlign w:val="center"/>
          </w:tcPr>
          <w:p w14:paraId="2BB92D3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项目负责人</w:t>
            </w:r>
          </w:p>
        </w:tc>
        <w:tc>
          <w:tcPr>
            <w:tcW w:w="5312" w:type="dxa"/>
            <w:tcBorders>
              <w:top w:val="single" w:color="auto" w:sz="4" w:space="0"/>
              <w:left w:val="nil"/>
              <w:bottom w:val="single" w:color="auto" w:sz="4" w:space="0"/>
              <w:right w:val="single" w:color="000000" w:sz="4" w:space="0"/>
            </w:tcBorders>
            <w:vAlign w:val="center"/>
          </w:tcPr>
          <w:p w14:paraId="5E01D433">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（1）项目负责人具有正高职称得2分，具有注册咨询工程师的得2分，本项最高得4分。（需提供其职称、证书复印件）</w:t>
            </w:r>
          </w:p>
          <w:p w14:paraId="4AC8DEEA">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项目负责人具有道路运输领域监测评估、统计分析类项目经验的，每提供1份业绩证明得2分，满分6分。（需提供项目合同、委托人出具的履约证明或其他证明材料，证明材料中须明确反映出项目负责人的相关信息，未按要求提供不得分）</w:t>
            </w:r>
          </w:p>
        </w:tc>
        <w:tc>
          <w:tcPr>
            <w:tcW w:w="877" w:type="dxa"/>
            <w:tcBorders>
              <w:top w:val="single" w:color="auto" w:sz="4" w:space="0"/>
              <w:left w:val="nil"/>
              <w:bottom w:val="single" w:color="auto" w:sz="4" w:space="0"/>
              <w:right w:val="single" w:color="000000" w:sz="4" w:space="0"/>
            </w:tcBorders>
            <w:vAlign w:val="center"/>
          </w:tcPr>
          <w:p w14:paraId="1ECEF0D8">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10分</w:t>
            </w:r>
          </w:p>
        </w:tc>
      </w:tr>
      <w:tr w14:paraId="6AADBC0F">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047D6E1D">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3.2</w:t>
            </w:r>
          </w:p>
        </w:tc>
        <w:tc>
          <w:tcPr>
            <w:tcW w:w="1287" w:type="dxa"/>
            <w:vMerge w:val="continue"/>
            <w:tcBorders>
              <w:top w:val="single" w:color="auto" w:sz="4" w:space="0"/>
              <w:left w:val="nil"/>
              <w:bottom w:val="single" w:color="auto" w:sz="4" w:space="0"/>
              <w:right w:val="single" w:color="auto" w:sz="4" w:space="0"/>
            </w:tcBorders>
            <w:vAlign w:val="center"/>
          </w:tcPr>
          <w:p w14:paraId="1AAA708C">
            <w:pPr>
              <w:widowControl/>
              <w:spacing w:line="480" w:lineRule="exact"/>
              <w:jc w:val="center"/>
              <w:rPr>
                <w:rFonts w:ascii="仿宋" w:hAnsi="仿宋" w:eastAsia="仿宋" w:cs="宋体"/>
                <w:color w:val="auto"/>
                <w:sz w:val="24"/>
                <w:szCs w:val="24"/>
                <w:highlight w:val="none"/>
              </w:rPr>
            </w:pPr>
          </w:p>
        </w:tc>
        <w:tc>
          <w:tcPr>
            <w:tcW w:w="1263" w:type="dxa"/>
            <w:tcBorders>
              <w:top w:val="single" w:color="000000" w:sz="4" w:space="0"/>
              <w:left w:val="single" w:color="auto" w:sz="4" w:space="0"/>
              <w:bottom w:val="single" w:color="auto" w:sz="4" w:space="0"/>
              <w:right w:val="single" w:color="000000" w:sz="4" w:space="0"/>
            </w:tcBorders>
            <w:vAlign w:val="center"/>
          </w:tcPr>
          <w:p w14:paraId="3F66C7D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项目组成员</w:t>
            </w:r>
          </w:p>
        </w:tc>
        <w:tc>
          <w:tcPr>
            <w:tcW w:w="5312" w:type="dxa"/>
            <w:tcBorders>
              <w:top w:val="single" w:color="000000" w:sz="4" w:space="0"/>
              <w:left w:val="nil"/>
              <w:bottom w:val="single" w:color="auto" w:sz="4" w:space="0"/>
              <w:right w:val="single" w:color="000000" w:sz="4" w:space="0"/>
            </w:tcBorders>
            <w:vAlign w:val="center"/>
          </w:tcPr>
          <w:p w14:paraId="449BE714">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根据投标人拟投入的研究人员专业特长、资历、相关工作经验进行评分。</w:t>
            </w:r>
          </w:p>
          <w:p w14:paraId="09AABB5B">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1.项目组成员（项目负责人除外）具有正高级及以上职称的，每一人得2分，最多得</w:t>
            </w: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分；</w:t>
            </w:r>
          </w:p>
          <w:p w14:paraId="49A9A6DC">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2.项目组成员专业配备齐全，学历专业包括交通工程、交通运输规划与管理、物流工程、工商管理、信息管理、法律、统计等，每个专业得1分，最多得</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分。</w:t>
            </w:r>
          </w:p>
          <w:p w14:paraId="2CA3D02F">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需附相应证书或其他能证明以上事项的材料的复印件，投标人最近六个月任意一个月为其缴纳社保的证明材料并加盖公章，若相关人员为退休返聘人员，需提供该名退休人员与投标人签订的有效期内的劳务合同及退休证复印件并加盖公章，若相关人员属事业单位、现役军人等客观原因无法提供社保缴费证明，需出具相关证明材料）</w:t>
            </w:r>
            <w:r>
              <w:rPr>
                <w:rFonts w:ascii="仿宋" w:hAnsi="仿宋" w:eastAsia="仿宋" w:cs="宋体"/>
                <w:color w:val="auto"/>
                <w:sz w:val="24"/>
                <w:szCs w:val="24"/>
                <w:highlight w:val="none"/>
              </w:rPr>
              <w:t>。</w:t>
            </w:r>
          </w:p>
        </w:tc>
        <w:tc>
          <w:tcPr>
            <w:tcW w:w="877" w:type="dxa"/>
            <w:tcBorders>
              <w:top w:val="single" w:color="000000" w:sz="4" w:space="0"/>
              <w:left w:val="nil"/>
              <w:bottom w:val="single" w:color="auto" w:sz="4" w:space="0"/>
              <w:right w:val="single" w:color="000000" w:sz="4" w:space="0"/>
            </w:tcBorders>
            <w:vAlign w:val="center"/>
          </w:tcPr>
          <w:p w14:paraId="3C88B0BC">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10分</w:t>
            </w:r>
          </w:p>
        </w:tc>
      </w:tr>
      <w:tr w14:paraId="53B9D300">
        <w:tblPrEx>
          <w:tblCellMar>
            <w:top w:w="0" w:type="dxa"/>
            <w:left w:w="108" w:type="dxa"/>
            <w:bottom w:w="0" w:type="dxa"/>
            <w:right w:w="108" w:type="dxa"/>
          </w:tblCellMar>
        </w:tblPrEx>
        <w:trPr>
          <w:trHeight w:val="589" w:hRule="atLeast"/>
        </w:trPr>
        <w:tc>
          <w:tcPr>
            <w:tcW w:w="775" w:type="dxa"/>
            <w:tcBorders>
              <w:top w:val="single" w:color="auto" w:sz="4" w:space="0"/>
              <w:left w:val="single" w:color="000000" w:sz="4" w:space="0"/>
              <w:bottom w:val="single" w:color="000000" w:sz="4" w:space="0"/>
              <w:right w:val="single" w:color="000000" w:sz="4" w:space="0"/>
            </w:tcBorders>
            <w:vAlign w:val="center"/>
          </w:tcPr>
          <w:p w14:paraId="3F0F6012">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3.3</w:t>
            </w:r>
          </w:p>
        </w:tc>
        <w:tc>
          <w:tcPr>
            <w:tcW w:w="1287" w:type="dxa"/>
            <w:vMerge w:val="continue"/>
            <w:tcBorders>
              <w:top w:val="single" w:color="auto" w:sz="4" w:space="0"/>
              <w:left w:val="nil"/>
              <w:bottom w:val="single" w:color="auto" w:sz="4" w:space="0"/>
              <w:right w:val="single" w:color="auto" w:sz="4" w:space="0"/>
            </w:tcBorders>
            <w:vAlign w:val="center"/>
          </w:tcPr>
          <w:p w14:paraId="718288CC">
            <w:pPr>
              <w:widowControl/>
              <w:spacing w:line="480" w:lineRule="exact"/>
              <w:jc w:val="center"/>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000000" w:sz="4" w:space="0"/>
              <w:right w:val="single" w:color="000000" w:sz="4" w:space="0"/>
            </w:tcBorders>
            <w:vAlign w:val="center"/>
          </w:tcPr>
          <w:p w14:paraId="2FAAF983">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供应商业绩</w:t>
            </w:r>
          </w:p>
        </w:tc>
        <w:tc>
          <w:tcPr>
            <w:tcW w:w="5312" w:type="dxa"/>
            <w:tcBorders>
              <w:top w:val="single" w:color="auto" w:sz="4" w:space="0"/>
              <w:left w:val="nil"/>
              <w:bottom w:val="single" w:color="000000" w:sz="4" w:space="0"/>
              <w:right w:val="single" w:color="000000" w:sz="4" w:space="0"/>
            </w:tcBorders>
            <w:vAlign w:val="center"/>
          </w:tcPr>
          <w:p w14:paraId="3BAC5D1B">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2021年1月1日以来，投标人具有道路运输监测技术服务业绩的每提供1份得2分，最多得10分；</w:t>
            </w:r>
          </w:p>
          <w:p w14:paraId="676EDCFC">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（需提供项目合同复印件或中标通知书或由用户单位出具的业绩证明复印件，并加盖投标人公章，未按要求提供不得分）</w:t>
            </w:r>
          </w:p>
        </w:tc>
        <w:tc>
          <w:tcPr>
            <w:tcW w:w="877" w:type="dxa"/>
            <w:tcBorders>
              <w:top w:val="single" w:color="auto" w:sz="4" w:space="0"/>
              <w:left w:val="nil"/>
              <w:bottom w:val="single" w:color="000000" w:sz="4" w:space="0"/>
              <w:right w:val="single" w:color="000000" w:sz="4" w:space="0"/>
            </w:tcBorders>
            <w:vAlign w:val="center"/>
          </w:tcPr>
          <w:p w14:paraId="51026AB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10分</w:t>
            </w:r>
          </w:p>
        </w:tc>
      </w:tr>
    </w:tbl>
    <w:p w14:paraId="16668073">
      <w:pPr>
        <w:pStyle w:val="254"/>
        <w:spacing w:line="480" w:lineRule="exact"/>
        <w:ind w:firstLine="441"/>
        <w:outlineLvl w:val="1"/>
        <w:rPr>
          <w:rFonts w:ascii="仿宋" w:hAnsi="仿宋" w:eastAsia="仿宋" w:cs="仿宋"/>
          <w:b/>
          <w:color w:val="auto"/>
          <w:highlight w:val="none"/>
        </w:rPr>
      </w:pPr>
      <w:r>
        <w:rPr>
          <w:rFonts w:hint="eastAsia"/>
          <w:color w:val="auto"/>
          <w:highlight w:val="none"/>
        </w:rPr>
        <w:br w:type="page"/>
      </w:r>
      <w:bookmarkStart w:id="328" w:name="_Toc23112"/>
      <w:r>
        <w:rPr>
          <w:rFonts w:hint="eastAsia" w:ascii="仿宋" w:hAnsi="仿宋" w:eastAsia="仿宋" w:cs="仿宋"/>
          <w:b/>
          <w:color w:val="auto"/>
          <w:highlight w:val="none"/>
        </w:rPr>
        <w:t>分包二：</w:t>
      </w:r>
      <w:bookmarkEnd w:id="328"/>
      <w:r>
        <w:rPr>
          <w:rFonts w:hint="eastAsia" w:ascii="仿宋" w:hAnsi="仿宋" w:eastAsia="仿宋" w:cs="仿宋"/>
          <w:b/>
          <w:color w:val="auto"/>
          <w:highlight w:val="none"/>
        </w:rPr>
        <w:t>道路执法检查计划执行分析辅助技术服务</w:t>
      </w:r>
    </w:p>
    <w:tbl>
      <w:tblPr>
        <w:tblStyle w:val="34"/>
        <w:tblW w:w="9514" w:type="dxa"/>
        <w:tblInd w:w="163" w:type="dxa"/>
        <w:tblLayout w:type="autofit"/>
        <w:tblCellMar>
          <w:top w:w="0" w:type="dxa"/>
          <w:left w:w="108" w:type="dxa"/>
          <w:bottom w:w="0" w:type="dxa"/>
          <w:right w:w="108" w:type="dxa"/>
        </w:tblCellMar>
      </w:tblPr>
      <w:tblGrid>
        <w:gridCol w:w="775"/>
        <w:gridCol w:w="1287"/>
        <w:gridCol w:w="1263"/>
        <w:gridCol w:w="5391"/>
        <w:gridCol w:w="798"/>
      </w:tblGrid>
      <w:tr w14:paraId="2B7D65B6">
        <w:tblPrEx>
          <w:tblCellMar>
            <w:top w:w="0" w:type="dxa"/>
            <w:left w:w="108" w:type="dxa"/>
            <w:bottom w:w="0" w:type="dxa"/>
            <w:right w:w="108" w:type="dxa"/>
          </w:tblCellMar>
        </w:tblPrEx>
        <w:trPr>
          <w:trHeight w:val="512" w:hRule="atLeast"/>
        </w:trPr>
        <w:tc>
          <w:tcPr>
            <w:tcW w:w="775" w:type="dxa"/>
            <w:tcBorders>
              <w:top w:val="single" w:color="000000" w:sz="4" w:space="0"/>
              <w:left w:val="single" w:color="000000" w:sz="4" w:space="0"/>
              <w:bottom w:val="single" w:color="000000" w:sz="4" w:space="0"/>
              <w:right w:val="single" w:color="000000" w:sz="4" w:space="0"/>
            </w:tcBorders>
            <w:vAlign w:val="center"/>
          </w:tcPr>
          <w:p w14:paraId="41335C9F">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序号</w:t>
            </w:r>
          </w:p>
        </w:tc>
        <w:tc>
          <w:tcPr>
            <w:tcW w:w="2550" w:type="dxa"/>
            <w:gridSpan w:val="2"/>
            <w:tcBorders>
              <w:top w:val="single" w:color="000000" w:sz="4" w:space="0"/>
              <w:left w:val="nil"/>
              <w:bottom w:val="single" w:color="000000" w:sz="4" w:space="0"/>
              <w:right w:val="single" w:color="000000" w:sz="4" w:space="0"/>
            </w:tcBorders>
            <w:vAlign w:val="center"/>
          </w:tcPr>
          <w:p w14:paraId="0E42E560">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评分因素</w:t>
            </w:r>
          </w:p>
        </w:tc>
        <w:tc>
          <w:tcPr>
            <w:tcW w:w="5391" w:type="dxa"/>
            <w:tcBorders>
              <w:top w:val="single" w:color="000000" w:sz="4" w:space="0"/>
              <w:left w:val="nil"/>
              <w:bottom w:val="single" w:color="000000" w:sz="4" w:space="0"/>
              <w:right w:val="single" w:color="000000" w:sz="4" w:space="0"/>
            </w:tcBorders>
            <w:vAlign w:val="center"/>
          </w:tcPr>
          <w:p w14:paraId="19F48DF8">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评审标准</w:t>
            </w:r>
          </w:p>
        </w:tc>
        <w:tc>
          <w:tcPr>
            <w:tcW w:w="798" w:type="dxa"/>
            <w:tcBorders>
              <w:top w:val="single" w:color="000000" w:sz="4" w:space="0"/>
              <w:left w:val="nil"/>
              <w:bottom w:val="single" w:color="000000" w:sz="4" w:space="0"/>
              <w:right w:val="single" w:color="000000" w:sz="4" w:space="0"/>
            </w:tcBorders>
            <w:vAlign w:val="center"/>
          </w:tcPr>
          <w:p w14:paraId="5CD38FF4">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分值</w:t>
            </w:r>
          </w:p>
        </w:tc>
      </w:tr>
      <w:tr w14:paraId="6545787D">
        <w:tblPrEx>
          <w:tblCellMar>
            <w:top w:w="0" w:type="dxa"/>
            <w:left w:w="108" w:type="dxa"/>
            <w:bottom w:w="0" w:type="dxa"/>
            <w:right w:w="108" w:type="dxa"/>
          </w:tblCellMar>
        </w:tblPrEx>
        <w:trPr>
          <w:trHeight w:val="460" w:hRule="atLeast"/>
        </w:trPr>
        <w:tc>
          <w:tcPr>
            <w:tcW w:w="775" w:type="dxa"/>
            <w:tcBorders>
              <w:top w:val="single" w:color="000000" w:sz="4" w:space="0"/>
              <w:left w:val="single" w:color="000000" w:sz="4" w:space="0"/>
              <w:bottom w:val="single" w:color="000000" w:sz="4" w:space="0"/>
              <w:right w:val="single" w:color="000000" w:sz="4" w:space="0"/>
            </w:tcBorders>
            <w:vAlign w:val="center"/>
          </w:tcPr>
          <w:p w14:paraId="3A4ECBA4">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1</w:t>
            </w:r>
          </w:p>
        </w:tc>
        <w:tc>
          <w:tcPr>
            <w:tcW w:w="1287" w:type="dxa"/>
            <w:tcBorders>
              <w:top w:val="single" w:color="000000" w:sz="4" w:space="0"/>
              <w:left w:val="nil"/>
              <w:bottom w:val="single" w:color="000000" w:sz="4" w:space="0"/>
              <w:right w:val="single" w:color="auto" w:sz="4" w:space="0"/>
            </w:tcBorders>
            <w:vAlign w:val="center"/>
          </w:tcPr>
          <w:p w14:paraId="5AD6D4B4">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报价部分    （10分）</w:t>
            </w:r>
          </w:p>
        </w:tc>
        <w:tc>
          <w:tcPr>
            <w:tcW w:w="1263" w:type="dxa"/>
            <w:tcBorders>
              <w:top w:val="single" w:color="000000" w:sz="4" w:space="0"/>
              <w:left w:val="single" w:color="auto" w:sz="4" w:space="0"/>
              <w:bottom w:val="single" w:color="000000" w:sz="4" w:space="0"/>
              <w:right w:val="single" w:color="000000" w:sz="4" w:space="0"/>
            </w:tcBorders>
            <w:vAlign w:val="center"/>
          </w:tcPr>
          <w:p w14:paraId="2933B2C8">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价格分</w:t>
            </w:r>
          </w:p>
        </w:tc>
        <w:tc>
          <w:tcPr>
            <w:tcW w:w="5391" w:type="dxa"/>
            <w:tcBorders>
              <w:top w:val="single" w:color="000000" w:sz="4" w:space="0"/>
              <w:left w:val="nil"/>
              <w:bottom w:val="single" w:color="000000" w:sz="4" w:space="0"/>
              <w:right w:val="single" w:color="000000" w:sz="4" w:space="0"/>
            </w:tcBorders>
            <w:vAlign w:val="center"/>
          </w:tcPr>
          <w:p w14:paraId="7942BA13">
            <w:pPr>
              <w:widowControl/>
              <w:spacing w:line="480" w:lineRule="exact"/>
              <w:ind w:firstLine="480"/>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价格分采用低价优先法计算，即满足招标文件要求且投标价格最低的投标报价为评标基准价，其价格分为满分。其他供应商的价格分统一按照下列公式计算（小数点保留两位）：投标报价得分=（评标基准价／投标报价）×10。</w:t>
            </w:r>
            <w:r>
              <w:rPr>
                <w:rFonts w:hint="eastAsia" w:ascii="仿宋" w:hAnsi="仿宋" w:eastAsia="仿宋" w:cs="仿宋"/>
                <w:color w:val="auto"/>
                <w:sz w:val="24"/>
                <w:szCs w:val="24"/>
                <w:highlight w:val="none"/>
              </w:rPr>
              <w:t>因落实政府采购政策进行价格调整的，以调整后的价格计算评标（审）基准价和投标（响应）报价</w:t>
            </w:r>
          </w:p>
        </w:tc>
        <w:tc>
          <w:tcPr>
            <w:tcW w:w="798" w:type="dxa"/>
            <w:tcBorders>
              <w:top w:val="single" w:color="000000" w:sz="4" w:space="0"/>
              <w:left w:val="nil"/>
              <w:bottom w:val="single" w:color="000000" w:sz="4" w:space="0"/>
              <w:right w:val="single" w:color="000000" w:sz="4" w:space="0"/>
            </w:tcBorders>
            <w:vAlign w:val="center"/>
          </w:tcPr>
          <w:p w14:paraId="3C5FDC18">
            <w:pPr>
              <w:widowControl/>
              <w:spacing w:line="480" w:lineRule="exact"/>
              <w:jc w:val="center"/>
              <w:rPr>
                <w:rFonts w:ascii="仿宋" w:hAnsi="仿宋" w:eastAsia="仿宋" w:cs="宋体"/>
                <w:b/>
                <w:bCs/>
                <w:color w:val="auto"/>
                <w:sz w:val="24"/>
                <w:szCs w:val="24"/>
                <w:highlight w:val="none"/>
              </w:rPr>
            </w:pPr>
            <w:r>
              <w:rPr>
                <w:rFonts w:hint="eastAsia" w:ascii="仿宋" w:hAnsi="仿宋" w:eastAsia="仿宋" w:cs="宋体"/>
                <w:color w:val="auto"/>
                <w:sz w:val="24"/>
                <w:szCs w:val="24"/>
                <w:highlight w:val="none"/>
              </w:rPr>
              <w:t>10分</w:t>
            </w:r>
          </w:p>
        </w:tc>
      </w:tr>
      <w:tr w14:paraId="5A3245C3">
        <w:tblPrEx>
          <w:tblCellMar>
            <w:top w:w="0" w:type="dxa"/>
            <w:left w:w="108" w:type="dxa"/>
            <w:bottom w:w="0" w:type="dxa"/>
            <w:right w:w="108" w:type="dxa"/>
          </w:tblCellMar>
        </w:tblPrEx>
        <w:trPr>
          <w:trHeight w:val="2057"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09CAE052">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2.1</w:t>
            </w:r>
          </w:p>
        </w:tc>
        <w:tc>
          <w:tcPr>
            <w:tcW w:w="1287" w:type="dxa"/>
            <w:vMerge w:val="restart"/>
            <w:tcBorders>
              <w:top w:val="single" w:color="auto" w:sz="4" w:space="0"/>
              <w:left w:val="single" w:color="000000" w:sz="4" w:space="0"/>
              <w:right w:val="single" w:color="auto" w:sz="4" w:space="0"/>
            </w:tcBorders>
            <w:vAlign w:val="center"/>
          </w:tcPr>
          <w:p w14:paraId="1BFAAE26">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技术部分  （60分）</w:t>
            </w:r>
          </w:p>
        </w:tc>
        <w:tc>
          <w:tcPr>
            <w:tcW w:w="1263" w:type="dxa"/>
            <w:tcBorders>
              <w:top w:val="single" w:color="auto" w:sz="4" w:space="0"/>
              <w:left w:val="single" w:color="auto" w:sz="4" w:space="0"/>
              <w:bottom w:val="single" w:color="auto" w:sz="4" w:space="0"/>
              <w:right w:val="single" w:color="000000" w:sz="4" w:space="0"/>
            </w:tcBorders>
            <w:vAlign w:val="center"/>
          </w:tcPr>
          <w:p w14:paraId="3269251E">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项目认识与理解</w:t>
            </w:r>
          </w:p>
        </w:tc>
        <w:tc>
          <w:tcPr>
            <w:tcW w:w="5391" w:type="dxa"/>
            <w:tcBorders>
              <w:top w:val="single" w:color="auto" w:sz="4" w:space="0"/>
              <w:left w:val="nil"/>
              <w:bottom w:val="single" w:color="auto" w:sz="4" w:space="0"/>
              <w:right w:val="single" w:color="000000" w:sz="4" w:space="0"/>
            </w:tcBorders>
            <w:vAlign w:val="center"/>
          </w:tcPr>
          <w:p w14:paraId="75F5E94F">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根据投标人对本项目背景目的、工作基础和道路执法检查计划管理现状等内容的认识和理解情况进行评分：</w:t>
            </w:r>
            <w:r>
              <w:rPr>
                <w:rFonts w:hint="eastAsia" w:ascii="仿宋" w:hAnsi="仿宋" w:eastAsia="仿宋" w:cs="宋体"/>
                <w:color w:val="auto"/>
                <w:sz w:val="24"/>
                <w:szCs w:val="24"/>
                <w:highlight w:val="none"/>
              </w:rPr>
              <w:br w:type="textWrapping" w:clear="all"/>
            </w:r>
            <w:r>
              <w:rPr>
                <w:rFonts w:hint="eastAsia" w:ascii="仿宋" w:hAnsi="仿宋" w:eastAsia="仿宋" w:cs="宋体"/>
                <w:color w:val="auto"/>
                <w:sz w:val="24"/>
                <w:szCs w:val="24"/>
                <w:highlight w:val="none"/>
              </w:rPr>
              <w:t xml:space="preserve">  认识和理解非常准确、到位，符合项目实际的，得15分</w:t>
            </w:r>
          </w:p>
          <w:p w14:paraId="6B520C93">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认识和理解准确、到位，符合项目实际的，得13分；</w:t>
            </w:r>
          </w:p>
          <w:p w14:paraId="409A7067">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认识和理解较准确，能够满足项目实际的，得11分；</w:t>
            </w:r>
          </w:p>
          <w:p w14:paraId="0A133490">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认识和理解基本准确，基本符合项目实际的，得9分；</w:t>
            </w:r>
          </w:p>
          <w:p w14:paraId="7C49A078">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认识和理解偏差较大，不能满足项目实际的，得6分；</w:t>
            </w:r>
          </w:p>
          <w:p w14:paraId="14B42D7F">
            <w:pPr>
              <w:widowControl/>
              <w:spacing w:line="480" w:lineRule="exact"/>
              <w:ind w:firstLine="240" w:firstLineChars="1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798" w:type="dxa"/>
            <w:tcBorders>
              <w:top w:val="single" w:color="auto" w:sz="4" w:space="0"/>
              <w:left w:val="nil"/>
              <w:bottom w:val="single" w:color="auto" w:sz="4" w:space="0"/>
              <w:right w:val="single" w:color="000000" w:sz="4" w:space="0"/>
            </w:tcBorders>
            <w:vAlign w:val="center"/>
          </w:tcPr>
          <w:p w14:paraId="53E5677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15分</w:t>
            </w:r>
          </w:p>
        </w:tc>
      </w:tr>
      <w:tr w14:paraId="6EF1848C">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6184A928">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2.2</w:t>
            </w:r>
          </w:p>
        </w:tc>
        <w:tc>
          <w:tcPr>
            <w:tcW w:w="1287" w:type="dxa"/>
            <w:vMerge w:val="continue"/>
            <w:tcBorders>
              <w:left w:val="single" w:color="000000" w:sz="4" w:space="0"/>
              <w:right w:val="single" w:color="auto" w:sz="4" w:space="0"/>
            </w:tcBorders>
            <w:vAlign w:val="center"/>
          </w:tcPr>
          <w:p w14:paraId="30D63135">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63FE3C5E">
            <w:pPr>
              <w:widowControl/>
              <w:spacing w:line="300" w:lineRule="exact"/>
              <w:jc w:val="center"/>
              <w:rPr>
                <w:rFonts w:eastAsia="方正仿宋_GBK"/>
                <w:color w:val="auto"/>
                <w:sz w:val="24"/>
                <w:szCs w:val="24"/>
                <w:highlight w:val="none"/>
              </w:rPr>
            </w:pPr>
            <w:r>
              <w:rPr>
                <w:rFonts w:hint="eastAsia" w:eastAsia="方正仿宋_GBK"/>
                <w:color w:val="auto"/>
                <w:sz w:val="24"/>
                <w:szCs w:val="24"/>
                <w:highlight w:val="none"/>
              </w:rPr>
              <w:t>实施路径和方法</w:t>
            </w:r>
          </w:p>
          <w:p w14:paraId="13E3365D">
            <w:pPr>
              <w:widowControl/>
              <w:spacing w:line="480" w:lineRule="exact"/>
              <w:jc w:val="center"/>
              <w:rPr>
                <w:rFonts w:ascii="仿宋" w:hAnsi="仿宋" w:eastAsia="仿宋" w:cs="宋体"/>
                <w:color w:val="auto"/>
                <w:sz w:val="24"/>
                <w:szCs w:val="24"/>
                <w:highlight w:val="none"/>
              </w:rPr>
            </w:pPr>
          </w:p>
        </w:tc>
        <w:tc>
          <w:tcPr>
            <w:tcW w:w="5391" w:type="dxa"/>
            <w:tcBorders>
              <w:top w:val="single" w:color="000000" w:sz="4" w:space="0"/>
              <w:left w:val="nil"/>
              <w:bottom w:val="single" w:color="auto" w:sz="4" w:space="0"/>
              <w:right w:val="single" w:color="000000" w:sz="4" w:space="0"/>
            </w:tcBorders>
            <w:vAlign w:val="center"/>
          </w:tcPr>
          <w:p w14:paraId="5F104FD6">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根据投标人对具体工作实施路径和方法科学性、合理性及可行性进行评分：：</w:t>
            </w:r>
            <w:r>
              <w:rPr>
                <w:rFonts w:hint="eastAsia" w:ascii="仿宋" w:hAnsi="仿宋" w:eastAsia="仿宋" w:cs="宋体"/>
                <w:color w:val="auto"/>
                <w:sz w:val="24"/>
                <w:szCs w:val="24"/>
                <w:highlight w:val="none"/>
              </w:rPr>
              <w:br w:type="textWrapping" w:clear="all"/>
            </w:r>
            <w:r>
              <w:rPr>
                <w:rFonts w:hint="eastAsia" w:ascii="仿宋" w:hAnsi="仿宋" w:eastAsia="仿宋" w:cs="宋体"/>
                <w:color w:val="auto"/>
                <w:sz w:val="24"/>
                <w:szCs w:val="24"/>
                <w:highlight w:val="none"/>
              </w:rPr>
              <w:t xml:space="preserve">    工作实施路径和方法非常合理、科学，具有非常强的操作性和可行性，得15分；</w:t>
            </w:r>
          </w:p>
          <w:p w14:paraId="5D3417BD">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工作实施路径和方法合理、科学，具有可操作性和可行性，得13分；</w:t>
            </w:r>
          </w:p>
          <w:p w14:paraId="16F9DF41">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工作实施路径和方法较合理、科学，具有较强可操作性和可行性，得11分；</w:t>
            </w:r>
          </w:p>
          <w:p w14:paraId="6D3B7F81">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工作实施路径和方法基本合理、科学，得9分；</w:t>
            </w:r>
          </w:p>
          <w:p w14:paraId="6CC180DB">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路径不合理或方法单一，得6分；</w:t>
            </w:r>
          </w:p>
          <w:p w14:paraId="7F37D13A">
            <w:pPr>
              <w:widowControl/>
              <w:spacing w:line="480" w:lineRule="exact"/>
              <w:ind w:left="42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未提供不得分。</w:t>
            </w:r>
          </w:p>
        </w:tc>
        <w:tc>
          <w:tcPr>
            <w:tcW w:w="798" w:type="dxa"/>
            <w:tcBorders>
              <w:top w:val="single" w:color="000000" w:sz="4" w:space="0"/>
              <w:left w:val="nil"/>
              <w:bottom w:val="single" w:color="auto" w:sz="4" w:space="0"/>
              <w:right w:val="single" w:color="000000" w:sz="4" w:space="0"/>
            </w:tcBorders>
            <w:vAlign w:val="center"/>
          </w:tcPr>
          <w:p w14:paraId="005F785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15分</w:t>
            </w:r>
          </w:p>
        </w:tc>
      </w:tr>
      <w:tr w14:paraId="11B44B52">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C71D48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2.3</w:t>
            </w:r>
          </w:p>
        </w:tc>
        <w:tc>
          <w:tcPr>
            <w:tcW w:w="1287" w:type="dxa"/>
            <w:vMerge w:val="continue"/>
            <w:tcBorders>
              <w:left w:val="single" w:color="000000" w:sz="4" w:space="0"/>
              <w:right w:val="single" w:color="auto" w:sz="4" w:space="0"/>
            </w:tcBorders>
            <w:vAlign w:val="center"/>
          </w:tcPr>
          <w:p w14:paraId="309F5F78">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7560CD6C">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研究成果形式</w:t>
            </w:r>
          </w:p>
        </w:tc>
        <w:tc>
          <w:tcPr>
            <w:tcW w:w="5391" w:type="dxa"/>
            <w:tcBorders>
              <w:top w:val="single" w:color="000000" w:sz="4" w:space="0"/>
              <w:left w:val="nil"/>
              <w:bottom w:val="single" w:color="auto" w:sz="4" w:space="0"/>
              <w:right w:val="single" w:color="000000" w:sz="4" w:space="0"/>
            </w:tcBorders>
            <w:vAlign w:val="center"/>
          </w:tcPr>
          <w:p w14:paraId="2C356EEE">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根据投标人对研究成果形式把握的全面性、准确性进行评分：</w:t>
            </w:r>
          </w:p>
          <w:p w14:paraId="23493B23">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研究成果形式把握非常准确到位、内容完善，得1</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分；</w:t>
            </w:r>
          </w:p>
          <w:p w14:paraId="46CB5F79">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研究成果形式把握准确到位、内容完善，得</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2分；</w:t>
            </w:r>
          </w:p>
          <w:p w14:paraId="54A13782">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研究成果形式把握比较准确到位、内容比较完善，得10分；</w:t>
            </w:r>
          </w:p>
          <w:p w14:paraId="3DF79983">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研究成果形式把握基本准确、内容基本完善，得8分；</w:t>
            </w:r>
          </w:p>
          <w:p w14:paraId="35881F3F">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研究成果形式把握偏差较大、内容基本不能满足项目实际的，得5分</w:t>
            </w:r>
          </w:p>
          <w:p w14:paraId="40ECF393">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798" w:type="dxa"/>
            <w:tcBorders>
              <w:top w:val="single" w:color="000000" w:sz="4" w:space="0"/>
              <w:left w:val="nil"/>
              <w:bottom w:val="single" w:color="auto" w:sz="4" w:space="0"/>
              <w:right w:val="single" w:color="000000" w:sz="4" w:space="0"/>
            </w:tcBorders>
            <w:vAlign w:val="center"/>
          </w:tcPr>
          <w:p w14:paraId="41B15176">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13分</w:t>
            </w:r>
          </w:p>
        </w:tc>
      </w:tr>
      <w:tr w14:paraId="0A15A7A2">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F496E9E">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2.4</w:t>
            </w:r>
          </w:p>
        </w:tc>
        <w:tc>
          <w:tcPr>
            <w:tcW w:w="1287" w:type="dxa"/>
            <w:vMerge w:val="continue"/>
            <w:tcBorders>
              <w:left w:val="single" w:color="000000" w:sz="4" w:space="0"/>
              <w:right w:val="single" w:color="auto" w:sz="4" w:space="0"/>
            </w:tcBorders>
            <w:vAlign w:val="center"/>
          </w:tcPr>
          <w:p w14:paraId="2360CD3D">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2FB94AFD">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质量保障措施</w:t>
            </w:r>
          </w:p>
        </w:tc>
        <w:tc>
          <w:tcPr>
            <w:tcW w:w="5391" w:type="dxa"/>
            <w:tcBorders>
              <w:top w:val="single" w:color="000000" w:sz="4" w:space="0"/>
              <w:left w:val="nil"/>
              <w:bottom w:val="single" w:color="auto" w:sz="4" w:space="0"/>
              <w:right w:val="single" w:color="000000" w:sz="4" w:space="0"/>
            </w:tcBorders>
            <w:vAlign w:val="center"/>
          </w:tcPr>
          <w:p w14:paraId="2CCEBB4D">
            <w:pPr>
              <w:widowControl/>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根据投标人对项目管理、质量要求、进度要求等方面制定的具体质量及进度保障措施进行评分：</w:t>
            </w:r>
          </w:p>
          <w:p w14:paraId="2E5389ED">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质量及进度保障措施非常全面、针对性强且有效，得</w:t>
            </w:r>
            <w:r>
              <w:rPr>
                <w:rFonts w:ascii="仿宋" w:hAnsi="仿宋" w:eastAsia="仿宋" w:cs="宋体"/>
                <w:color w:val="auto"/>
                <w:sz w:val="24"/>
                <w:szCs w:val="24"/>
                <w:highlight w:val="none"/>
              </w:rPr>
              <w:t>12</w:t>
            </w:r>
            <w:r>
              <w:rPr>
                <w:rFonts w:hint="eastAsia" w:ascii="仿宋" w:hAnsi="仿宋" w:eastAsia="仿宋" w:cs="宋体"/>
                <w:color w:val="auto"/>
                <w:sz w:val="24"/>
                <w:szCs w:val="24"/>
                <w:highlight w:val="none"/>
              </w:rPr>
              <w:t>分；</w:t>
            </w:r>
          </w:p>
          <w:p w14:paraId="477CC9AC">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质量及进度保障措施全面、针对性较强且有效，得</w:t>
            </w:r>
            <w:r>
              <w:rPr>
                <w:rFonts w:ascii="仿宋" w:hAnsi="仿宋" w:eastAsia="仿宋" w:cs="宋体"/>
                <w:color w:val="auto"/>
                <w:sz w:val="24"/>
                <w:szCs w:val="24"/>
                <w:highlight w:val="none"/>
              </w:rPr>
              <w:t>10</w:t>
            </w:r>
            <w:r>
              <w:rPr>
                <w:rFonts w:hint="eastAsia" w:ascii="仿宋" w:hAnsi="仿宋" w:eastAsia="仿宋" w:cs="宋体"/>
                <w:color w:val="auto"/>
                <w:sz w:val="24"/>
                <w:szCs w:val="24"/>
                <w:highlight w:val="none"/>
              </w:rPr>
              <w:t>分；</w:t>
            </w:r>
          </w:p>
          <w:p w14:paraId="460DDF96">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质量及进度保障措施较全面、针对性有效，得</w:t>
            </w:r>
            <w:r>
              <w:rPr>
                <w:rFonts w:ascii="仿宋" w:hAnsi="仿宋" w:eastAsia="仿宋" w:cs="宋体"/>
                <w:color w:val="auto"/>
                <w:sz w:val="24"/>
                <w:szCs w:val="24"/>
                <w:highlight w:val="none"/>
              </w:rPr>
              <w:t>8</w:t>
            </w:r>
            <w:r>
              <w:rPr>
                <w:rFonts w:hint="eastAsia" w:ascii="仿宋" w:hAnsi="仿宋" w:eastAsia="仿宋" w:cs="宋体"/>
                <w:color w:val="auto"/>
                <w:sz w:val="24"/>
                <w:szCs w:val="24"/>
                <w:highlight w:val="none"/>
              </w:rPr>
              <w:t>分；</w:t>
            </w:r>
          </w:p>
          <w:p w14:paraId="420CB7E8">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质量及进度保障措施基本全面，得</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分；</w:t>
            </w:r>
          </w:p>
          <w:p w14:paraId="64D83DB6">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质量及进度保障措施不全面，不具备针对性，得</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分；</w:t>
            </w:r>
          </w:p>
          <w:p w14:paraId="3A03F3AA">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798" w:type="dxa"/>
            <w:tcBorders>
              <w:top w:val="single" w:color="000000" w:sz="4" w:space="0"/>
              <w:left w:val="nil"/>
              <w:bottom w:val="single" w:color="auto" w:sz="4" w:space="0"/>
              <w:right w:val="single" w:color="000000" w:sz="4" w:space="0"/>
            </w:tcBorders>
            <w:vAlign w:val="center"/>
          </w:tcPr>
          <w:p w14:paraId="36EC1AA7">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12分</w:t>
            </w:r>
          </w:p>
        </w:tc>
      </w:tr>
      <w:tr w14:paraId="418D4007">
        <w:tblPrEx>
          <w:tblCellMar>
            <w:top w:w="0" w:type="dxa"/>
            <w:left w:w="108" w:type="dxa"/>
            <w:bottom w:w="0" w:type="dxa"/>
            <w:right w:w="108" w:type="dxa"/>
          </w:tblCellMar>
        </w:tblPrEx>
        <w:trPr>
          <w:trHeight w:val="538"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4C008156">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p>
        </w:tc>
        <w:tc>
          <w:tcPr>
            <w:tcW w:w="1287" w:type="dxa"/>
            <w:vMerge w:val="continue"/>
            <w:tcBorders>
              <w:left w:val="single" w:color="000000" w:sz="4" w:space="0"/>
              <w:bottom w:val="single" w:color="auto" w:sz="4" w:space="0"/>
              <w:right w:val="single" w:color="auto" w:sz="4" w:space="0"/>
            </w:tcBorders>
            <w:vAlign w:val="center"/>
          </w:tcPr>
          <w:p w14:paraId="10396270">
            <w:pPr>
              <w:widowControl/>
              <w:spacing w:line="480" w:lineRule="exact"/>
              <w:jc w:val="left"/>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auto" w:sz="4" w:space="0"/>
              <w:right w:val="single" w:color="000000" w:sz="4" w:space="0"/>
            </w:tcBorders>
            <w:vAlign w:val="center"/>
          </w:tcPr>
          <w:p w14:paraId="72EAFEF2">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w:t>
            </w:r>
          </w:p>
        </w:tc>
        <w:tc>
          <w:tcPr>
            <w:tcW w:w="5391" w:type="dxa"/>
            <w:tcBorders>
              <w:top w:val="single" w:color="auto" w:sz="4" w:space="0"/>
              <w:left w:val="nil"/>
              <w:bottom w:val="single" w:color="000000" w:sz="4" w:space="0"/>
              <w:right w:val="single" w:color="000000" w:sz="4" w:space="0"/>
            </w:tcBorders>
            <w:vAlign w:val="center"/>
          </w:tcPr>
          <w:p w14:paraId="6011C550">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据投标人对服务承诺的合理、切实可行，措施得当等进行评价：</w:t>
            </w:r>
          </w:p>
          <w:p w14:paraId="0774992F">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服务承诺合理有效，切实可行，得5分；</w:t>
            </w:r>
          </w:p>
          <w:p w14:paraId="7998A9EF">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服务承诺比较合理有效，具有可行性，得4分；</w:t>
            </w:r>
          </w:p>
          <w:p w14:paraId="0C325421">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服务承诺基本有效，得3分；</w:t>
            </w:r>
          </w:p>
          <w:p w14:paraId="10D3294E">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服务承诺不合理有效，得2分；</w:t>
            </w:r>
          </w:p>
          <w:p w14:paraId="76783749">
            <w:pPr>
              <w:pStyle w:val="42"/>
              <w:spacing w:line="480" w:lineRule="exact"/>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无此项内容的，得0分。</w:t>
            </w:r>
          </w:p>
        </w:tc>
        <w:tc>
          <w:tcPr>
            <w:tcW w:w="798" w:type="dxa"/>
            <w:tcBorders>
              <w:top w:val="single" w:color="auto" w:sz="4" w:space="0"/>
              <w:left w:val="nil"/>
              <w:bottom w:val="single" w:color="000000" w:sz="4" w:space="0"/>
              <w:right w:val="single" w:color="000000" w:sz="4" w:space="0"/>
            </w:tcBorders>
            <w:vAlign w:val="center"/>
          </w:tcPr>
          <w:p w14:paraId="7DE1E99E">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5分</w:t>
            </w:r>
          </w:p>
        </w:tc>
      </w:tr>
      <w:tr w14:paraId="46ADA2D4">
        <w:tblPrEx>
          <w:tblCellMar>
            <w:top w:w="0" w:type="dxa"/>
            <w:left w:w="108" w:type="dxa"/>
            <w:bottom w:w="0" w:type="dxa"/>
            <w:right w:w="108" w:type="dxa"/>
          </w:tblCellMar>
        </w:tblPrEx>
        <w:trPr>
          <w:trHeight w:val="10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215C5A41">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3.1</w:t>
            </w:r>
          </w:p>
        </w:tc>
        <w:tc>
          <w:tcPr>
            <w:tcW w:w="1287" w:type="dxa"/>
            <w:vMerge w:val="restart"/>
            <w:tcBorders>
              <w:top w:val="single" w:color="auto" w:sz="4" w:space="0"/>
              <w:left w:val="nil"/>
              <w:bottom w:val="single" w:color="auto" w:sz="4" w:space="0"/>
              <w:right w:val="single" w:color="auto" w:sz="4" w:space="0"/>
            </w:tcBorders>
            <w:vAlign w:val="center"/>
          </w:tcPr>
          <w:p w14:paraId="713E8208">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商务部分（30分）</w:t>
            </w:r>
          </w:p>
          <w:p w14:paraId="52D24362">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   </w:t>
            </w:r>
          </w:p>
        </w:tc>
        <w:tc>
          <w:tcPr>
            <w:tcW w:w="1263" w:type="dxa"/>
            <w:tcBorders>
              <w:top w:val="single" w:color="auto" w:sz="4" w:space="0"/>
              <w:left w:val="single" w:color="auto" w:sz="4" w:space="0"/>
              <w:bottom w:val="single" w:color="auto" w:sz="4" w:space="0"/>
              <w:right w:val="single" w:color="000000" w:sz="4" w:space="0"/>
            </w:tcBorders>
            <w:vAlign w:val="center"/>
          </w:tcPr>
          <w:p w14:paraId="57DF275F">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项目负责人</w:t>
            </w:r>
          </w:p>
        </w:tc>
        <w:tc>
          <w:tcPr>
            <w:tcW w:w="5391" w:type="dxa"/>
            <w:tcBorders>
              <w:top w:val="single" w:color="auto" w:sz="4" w:space="0"/>
              <w:left w:val="nil"/>
              <w:bottom w:val="single" w:color="auto" w:sz="4" w:space="0"/>
              <w:right w:val="single" w:color="000000" w:sz="4" w:space="0"/>
            </w:tcBorders>
            <w:vAlign w:val="center"/>
          </w:tcPr>
          <w:p w14:paraId="7FC97909">
            <w:pPr>
              <w:widowControl/>
              <w:spacing w:line="480" w:lineRule="exact"/>
              <w:ind w:firstLine="420" w:firstLineChars="200"/>
              <w:rPr>
                <w:rFonts w:ascii="仿宋" w:hAnsi="仿宋" w:eastAsia="仿宋" w:cs="宋体"/>
                <w:color w:val="auto"/>
                <w:sz w:val="24"/>
                <w:szCs w:val="24"/>
                <w:highlight w:val="none"/>
              </w:rPr>
            </w:pPr>
            <w:r>
              <w:rPr>
                <w:rFonts w:hint="eastAsia"/>
                <w:color w:val="auto"/>
                <w:highlight w:val="none"/>
              </w:rPr>
              <w:t>（</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）项目负责人具有高级职称得2分，具有注册咨询工程师的得</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分，本项最高得4分。（需提供其职称、证书复印件）</w:t>
            </w:r>
          </w:p>
          <w:p w14:paraId="286DD82C">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）项目负责人具有道路执法领域数据统计分析业绩，每提供</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份业绩证明得</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分，满分</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分。（需提供项目合同、委托人出具的履约证明或其他证明材料，证明材料中须明确反映出项目负责人的相关信息，未按要求提供不得分）</w:t>
            </w:r>
          </w:p>
        </w:tc>
        <w:tc>
          <w:tcPr>
            <w:tcW w:w="798" w:type="dxa"/>
            <w:tcBorders>
              <w:top w:val="single" w:color="auto" w:sz="4" w:space="0"/>
              <w:left w:val="nil"/>
              <w:bottom w:val="single" w:color="auto" w:sz="4" w:space="0"/>
              <w:right w:val="single" w:color="000000" w:sz="4" w:space="0"/>
            </w:tcBorders>
            <w:vAlign w:val="center"/>
          </w:tcPr>
          <w:p w14:paraId="1915AA75">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分</w:t>
            </w:r>
          </w:p>
        </w:tc>
      </w:tr>
      <w:tr w14:paraId="2F4C5066">
        <w:tblPrEx>
          <w:tblCellMar>
            <w:top w:w="0" w:type="dxa"/>
            <w:left w:w="108" w:type="dxa"/>
            <w:bottom w:w="0" w:type="dxa"/>
            <w:right w:w="108" w:type="dxa"/>
          </w:tblCellMar>
        </w:tblPrEx>
        <w:trPr>
          <w:trHeight w:val="90" w:hRule="atLeast"/>
        </w:trPr>
        <w:tc>
          <w:tcPr>
            <w:tcW w:w="775" w:type="dxa"/>
            <w:tcBorders>
              <w:top w:val="single" w:color="auto" w:sz="4" w:space="0"/>
              <w:left w:val="single" w:color="000000" w:sz="4" w:space="0"/>
              <w:bottom w:val="single" w:color="auto" w:sz="4" w:space="0"/>
              <w:right w:val="single" w:color="000000" w:sz="4" w:space="0"/>
            </w:tcBorders>
            <w:vAlign w:val="center"/>
          </w:tcPr>
          <w:p w14:paraId="708C3E99">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3.2</w:t>
            </w:r>
          </w:p>
        </w:tc>
        <w:tc>
          <w:tcPr>
            <w:tcW w:w="1287" w:type="dxa"/>
            <w:vMerge w:val="continue"/>
            <w:tcBorders>
              <w:top w:val="single" w:color="auto" w:sz="4" w:space="0"/>
              <w:left w:val="nil"/>
              <w:bottom w:val="single" w:color="auto" w:sz="4" w:space="0"/>
              <w:right w:val="single" w:color="auto" w:sz="4" w:space="0"/>
            </w:tcBorders>
            <w:vAlign w:val="center"/>
          </w:tcPr>
          <w:p w14:paraId="69CA7CEF">
            <w:pPr>
              <w:widowControl/>
              <w:spacing w:line="480" w:lineRule="exact"/>
              <w:jc w:val="center"/>
              <w:rPr>
                <w:rFonts w:ascii="仿宋" w:hAnsi="仿宋" w:eastAsia="仿宋" w:cs="宋体"/>
                <w:color w:val="auto"/>
                <w:sz w:val="24"/>
                <w:szCs w:val="24"/>
                <w:highlight w:val="none"/>
              </w:rPr>
            </w:pPr>
          </w:p>
        </w:tc>
        <w:tc>
          <w:tcPr>
            <w:tcW w:w="1263" w:type="dxa"/>
            <w:tcBorders>
              <w:top w:val="single" w:color="000000" w:sz="4" w:space="0"/>
              <w:left w:val="single" w:color="auto" w:sz="4" w:space="0"/>
              <w:bottom w:val="single" w:color="auto" w:sz="4" w:space="0"/>
              <w:right w:val="single" w:color="000000" w:sz="4" w:space="0"/>
            </w:tcBorders>
            <w:vAlign w:val="center"/>
          </w:tcPr>
          <w:p w14:paraId="4CE7E9C1">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项目组成员</w:t>
            </w:r>
          </w:p>
        </w:tc>
        <w:tc>
          <w:tcPr>
            <w:tcW w:w="5391" w:type="dxa"/>
            <w:tcBorders>
              <w:top w:val="single" w:color="000000" w:sz="4" w:space="0"/>
              <w:left w:val="nil"/>
              <w:bottom w:val="single" w:color="auto" w:sz="4" w:space="0"/>
              <w:right w:val="single" w:color="000000" w:sz="4" w:space="0"/>
            </w:tcBorders>
            <w:vAlign w:val="center"/>
          </w:tcPr>
          <w:p w14:paraId="76031860">
            <w:pPr>
              <w:widowControl/>
              <w:spacing w:line="480" w:lineRule="exact"/>
              <w:ind w:firstLine="480" w:firstLineChars="200"/>
              <w:rPr>
                <w:rFonts w:ascii="仿宋" w:hAnsi="仿宋" w:eastAsia="仿宋" w:cs="宋体"/>
                <w:color w:val="auto"/>
                <w:sz w:val="24"/>
                <w:szCs w:val="24"/>
                <w:highlight w:val="none"/>
              </w:rPr>
            </w:pPr>
            <w:r>
              <w:rPr>
                <w:rFonts w:ascii="仿宋" w:hAnsi="仿宋" w:eastAsia="仿宋" w:cs="宋体"/>
                <w:color w:val="auto"/>
                <w:sz w:val="24"/>
                <w:szCs w:val="24"/>
                <w:highlight w:val="none"/>
              </w:rPr>
              <w:t>根据投标人拟投入的研究人员专业特长、资历、相关工作经验进行评分。</w:t>
            </w:r>
          </w:p>
          <w:p w14:paraId="6EE5CBA5">
            <w:pPr>
              <w:widowControl/>
              <w:spacing w:line="480" w:lineRule="exact"/>
              <w:ind w:firstLine="480" w:firstLineChars="200"/>
              <w:rPr>
                <w:rFonts w:ascii="仿宋" w:hAnsi="仿宋" w:eastAsia="仿宋" w:cs="宋体"/>
                <w:color w:val="auto"/>
                <w:sz w:val="24"/>
                <w:szCs w:val="24"/>
                <w:highlight w:val="none"/>
              </w:rPr>
            </w:pPr>
            <w:r>
              <w:rPr>
                <w:rFonts w:ascii="仿宋" w:hAnsi="仿宋" w:eastAsia="仿宋" w:cs="宋体"/>
                <w:color w:val="auto"/>
                <w:sz w:val="24"/>
                <w:szCs w:val="24"/>
                <w:highlight w:val="none"/>
              </w:rPr>
              <w:t>1.项目组成员（项目负责人除外）具有</w:t>
            </w:r>
            <w:r>
              <w:rPr>
                <w:rFonts w:hint="eastAsia" w:ascii="仿宋" w:hAnsi="仿宋" w:eastAsia="仿宋" w:cs="宋体"/>
                <w:color w:val="auto"/>
                <w:sz w:val="24"/>
                <w:szCs w:val="24"/>
                <w:highlight w:val="none"/>
              </w:rPr>
              <w:t>中级职称得1分，具有</w:t>
            </w:r>
            <w:r>
              <w:rPr>
                <w:rFonts w:ascii="仿宋" w:hAnsi="仿宋" w:eastAsia="仿宋" w:cs="宋体"/>
                <w:color w:val="auto"/>
                <w:sz w:val="24"/>
                <w:szCs w:val="24"/>
                <w:highlight w:val="none"/>
              </w:rPr>
              <w:t>高级及以上职称的，每</w:t>
            </w:r>
            <w:r>
              <w:rPr>
                <w:rFonts w:hint="eastAsia" w:ascii="仿宋" w:hAnsi="仿宋" w:eastAsia="仿宋" w:cs="宋体"/>
                <w:color w:val="auto"/>
                <w:sz w:val="24"/>
                <w:szCs w:val="24"/>
                <w:highlight w:val="none"/>
              </w:rPr>
              <w:t>1</w:t>
            </w:r>
            <w:r>
              <w:rPr>
                <w:rFonts w:ascii="仿宋" w:hAnsi="仿宋" w:eastAsia="仿宋" w:cs="宋体"/>
                <w:color w:val="auto"/>
                <w:sz w:val="24"/>
                <w:szCs w:val="24"/>
                <w:highlight w:val="none"/>
              </w:rPr>
              <w:t>人得2分，最多得5分；</w:t>
            </w:r>
          </w:p>
          <w:p w14:paraId="2CB948A9">
            <w:pPr>
              <w:widowControl/>
              <w:spacing w:line="480" w:lineRule="exact"/>
              <w:ind w:firstLine="480" w:firstLineChars="200"/>
              <w:rPr>
                <w:rFonts w:ascii="仿宋" w:hAnsi="仿宋" w:eastAsia="仿宋" w:cs="宋体"/>
                <w:color w:val="auto"/>
                <w:sz w:val="24"/>
                <w:szCs w:val="24"/>
                <w:highlight w:val="none"/>
              </w:rPr>
            </w:pPr>
            <w:r>
              <w:rPr>
                <w:rFonts w:ascii="仿宋" w:hAnsi="仿宋" w:eastAsia="仿宋" w:cs="宋体"/>
                <w:color w:val="auto"/>
                <w:sz w:val="24"/>
                <w:szCs w:val="24"/>
                <w:highlight w:val="none"/>
              </w:rPr>
              <w:t>2.项目组成员专业配备齐全，学历专业包括交通运输</w:t>
            </w:r>
            <w:r>
              <w:rPr>
                <w:rFonts w:hint="eastAsia" w:ascii="仿宋" w:hAnsi="仿宋" w:eastAsia="仿宋" w:cs="宋体"/>
                <w:color w:val="auto"/>
                <w:sz w:val="24"/>
                <w:szCs w:val="24"/>
                <w:highlight w:val="none"/>
              </w:rPr>
              <w:t>、物流工程、工商管理、大数据、法律等，每个专业得1分，最多得5分。</w:t>
            </w:r>
          </w:p>
          <w:p w14:paraId="2FECE232">
            <w:pPr>
              <w:widowControl/>
              <w:spacing w:line="480" w:lineRule="exact"/>
              <w:ind w:firstLine="480" w:firstLineChars="200"/>
              <w:rPr>
                <w:rFonts w:ascii="仿宋" w:hAnsi="仿宋" w:eastAsia="仿宋" w:cs="宋体"/>
                <w:color w:val="auto"/>
                <w:sz w:val="24"/>
                <w:szCs w:val="24"/>
                <w:highlight w:val="none"/>
              </w:rPr>
            </w:pPr>
            <w:bookmarkStart w:id="329" w:name="OLE_LINK48"/>
            <w:r>
              <w:rPr>
                <w:rFonts w:ascii="仿宋" w:hAnsi="仿宋" w:eastAsia="仿宋" w:cs="宋体"/>
                <w:color w:val="auto"/>
                <w:sz w:val="24"/>
                <w:szCs w:val="24"/>
                <w:highlight w:val="none"/>
              </w:rPr>
              <w:t>（需附相应证书或其他能证明以上事项的材料的复印件，投标人最近六个月任意一个月为其缴纳社保的证明材料并加盖公章，若相关人员为退休返聘人员，需提供该名退休人员与投标人签订的有效期内的劳务合同及退休证复印件并加盖公章，若相关人员属事业单位、现役军人等客观原因无法提供社保缴费证明，需出具相关证明材料）</w:t>
            </w:r>
            <w:bookmarkEnd w:id="329"/>
          </w:p>
        </w:tc>
        <w:tc>
          <w:tcPr>
            <w:tcW w:w="798" w:type="dxa"/>
            <w:tcBorders>
              <w:top w:val="single" w:color="000000" w:sz="4" w:space="0"/>
              <w:left w:val="nil"/>
              <w:bottom w:val="single" w:color="auto" w:sz="4" w:space="0"/>
              <w:right w:val="single" w:color="000000" w:sz="4" w:space="0"/>
            </w:tcBorders>
            <w:vAlign w:val="center"/>
          </w:tcPr>
          <w:p w14:paraId="409825D2">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10分</w:t>
            </w:r>
          </w:p>
        </w:tc>
      </w:tr>
      <w:tr w14:paraId="7275DDE0">
        <w:tblPrEx>
          <w:tblCellMar>
            <w:top w:w="0" w:type="dxa"/>
            <w:left w:w="108" w:type="dxa"/>
            <w:bottom w:w="0" w:type="dxa"/>
            <w:right w:w="108" w:type="dxa"/>
          </w:tblCellMar>
        </w:tblPrEx>
        <w:trPr>
          <w:trHeight w:val="589" w:hRule="atLeast"/>
        </w:trPr>
        <w:tc>
          <w:tcPr>
            <w:tcW w:w="775" w:type="dxa"/>
            <w:tcBorders>
              <w:top w:val="single" w:color="auto" w:sz="4" w:space="0"/>
              <w:left w:val="single" w:color="000000" w:sz="4" w:space="0"/>
              <w:bottom w:val="single" w:color="000000" w:sz="4" w:space="0"/>
              <w:right w:val="single" w:color="000000" w:sz="4" w:space="0"/>
            </w:tcBorders>
            <w:vAlign w:val="center"/>
          </w:tcPr>
          <w:p w14:paraId="6F4762C4">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3.3</w:t>
            </w:r>
          </w:p>
        </w:tc>
        <w:tc>
          <w:tcPr>
            <w:tcW w:w="1287" w:type="dxa"/>
            <w:vMerge w:val="continue"/>
            <w:tcBorders>
              <w:top w:val="single" w:color="auto" w:sz="4" w:space="0"/>
              <w:left w:val="nil"/>
              <w:bottom w:val="single" w:color="auto" w:sz="4" w:space="0"/>
              <w:right w:val="single" w:color="auto" w:sz="4" w:space="0"/>
            </w:tcBorders>
            <w:vAlign w:val="center"/>
          </w:tcPr>
          <w:p w14:paraId="5A36C15C">
            <w:pPr>
              <w:widowControl/>
              <w:spacing w:line="480" w:lineRule="exact"/>
              <w:jc w:val="center"/>
              <w:rPr>
                <w:rFonts w:ascii="仿宋" w:hAnsi="仿宋" w:eastAsia="仿宋" w:cs="宋体"/>
                <w:color w:val="auto"/>
                <w:sz w:val="24"/>
                <w:szCs w:val="24"/>
                <w:highlight w:val="none"/>
              </w:rPr>
            </w:pPr>
          </w:p>
        </w:tc>
        <w:tc>
          <w:tcPr>
            <w:tcW w:w="1263" w:type="dxa"/>
            <w:tcBorders>
              <w:top w:val="single" w:color="auto" w:sz="4" w:space="0"/>
              <w:left w:val="single" w:color="auto" w:sz="4" w:space="0"/>
              <w:bottom w:val="single" w:color="000000" w:sz="4" w:space="0"/>
              <w:right w:val="single" w:color="000000" w:sz="4" w:space="0"/>
            </w:tcBorders>
            <w:vAlign w:val="center"/>
          </w:tcPr>
          <w:p w14:paraId="39D60CD9">
            <w:pPr>
              <w:widowControl/>
              <w:spacing w:line="480" w:lineRule="exact"/>
              <w:jc w:val="center"/>
              <w:rPr>
                <w:rFonts w:ascii="仿宋" w:hAnsi="仿宋" w:eastAsia="仿宋" w:cs="宋体"/>
                <w:color w:val="auto"/>
                <w:sz w:val="24"/>
                <w:szCs w:val="24"/>
                <w:highlight w:val="none"/>
              </w:rPr>
            </w:pPr>
            <w:r>
              <w:rPr>
                <w:rFonts w:ascii="仿宋" w:hAnsi="仿宋" w:eastAsia="仿宋" w:cs="宋体"/>
                <w:color w:val="auto"/>
                <w:sz w:val="24"/>
                <w:szCs w:val="24"/>
                <w:highlight w:val="none"/>
              </w:rPr>
              <w:t>供应商业绩</w:t>
            </w:r>
          </w:p>
        </w:tc>
        <w:tc>
          <w:tcPr>
            <w:tcW w:w="5391" w:type="dxa"/>
            <w:tcBorders>
              <w:top w:val="single" w:color="auto" w:sz="4" w:space="0"/>
              <w:left w:val="nil"/>
              <w:bottom w:val="single" w:color="000000" w:sz="4" w:space="0"/>
              <w:right w:val="single" w:color="000000" w:sz="4" w:space="0"/>
            </w:tcBorders>
            <w:vAlign w:val="center"/>
          </w:tcPr>
          <w:p w14:paraId="4547C25E">
            <w:pPr>
              <w:widowControl/>
              <w:spacing w:line="480" w:lineRule="exact"/>
              <w:ind w:firstLine="480" w:firstLineChars="200"/>
              <w:rPr>
                <w:rFonts w:ascii="仿宋" w:hAnsi="仿宋" w:eastAsia="仿宋" w:cs="宋体"/>
                <w:color w:val="auto"/>
                <w:sz w:val="24"/>
                <w:szCs w:val="24"/>
                <w:highlight w:val="none"/>
              </w:rPr>
            </w:pPr>
            <w:bookmarkStart w:id="330" w:name="OLE_LINK3"/>
            <w:r>
              <w:rPr>
                <w:rFonts w:ascii="仿宋" w:hAnsi="仿宋" w:eastAsia="仿宋" w:cs="宋体"/>
                <w:color w:val="auto"/>
                <w:sz w:val="24"/>
                <w:szCs w:val="24"/>
                <w:highlight w:val="none"/>
              </w:rPr>
              <w:t>1.2021年1月1日以来，投标人具有</w:t>
            </w:r>
            <w:r>
              <w:rPr>
                <w:rFonts w:hint="eastAsia" w:ascii="仿宋" w:hAnsi="仿宋" w:eastAsia="仿宋" w:cs="宋体"/>
                <w:color w:val="auto"/>
                <w:sz w:val="24"/>
                <w:szCs w:val="24"/>
                <w:highlight w:val="none"/>
              </w:rPr>
              <w:t>道路执法领域数据统计分析业绩</w:t>
            </w:r>
            <w:r>
              <w:rPr>
                <w:rFonts w:ascii="仿宋" w:hAnsi="仿宋" w:eastAsia="仿宋" w:cs="宋体"/>
                <w:color w:val="auto"/>
                <w:sz w:val="24"/>
                <w:szCs w:val="24"/>
                <w:highlight w:val="none"/>
              </w:rPr>
              <w:t>的每提供1份得1.5分，最多得6分；</w:t>
            </w:r>
          </w:p>
          <w:bookmarkEnd w:id="330"/>
          <w:p w14:paraId="17A630FF">
            <w:pPr>
              <w:widowControl/>
              <w:spacing w:line="480" w:lineRule="exact"/>
              <w:ind w:firstLine="480" w:firstLineChars="200"/>
              <w:rPr>
                <w:rFonts w:ascii="仿宋" w:hAnsi="仿宋" w:eastAsia="仿宋" w:cs="宋体"/>
                <w:color w:val="auto"/>
                <w:sz w:val="24"/>
                <w:szCs w:val="24"/>
                <w:highlight w:val="none"/>
              </w:rPr>
            </w:pPr>
            <w:r>
              <w:rPr>
                <w:rFonts w:ascii="仿宋" w:hAnsi="仿宋" w:eastAsia="仿宋" w:cs="宋体"/>
                <w:color w:val="auto"/>
                <w:sz w:val="24"/>
                <w:szCs w:val="24"/>
                <w:highlight w:val="none"/>
              </w:rPr>
              <w:t>2.2021</w:t>
            </w:r>
            <w:r>
              <w:rPr>
                <w:rFonts w:hint="eastAsia" w:ascii="仿宋" w:hAnsi="仿宋" w:eastAsia="仿宋" w:cs="宋体"/>
                <w:color w:val="auto"/>
                <w:sz w:val="24"/>
                <w:szCs w:val="24"/>
                <w:highlight w:val="none"/>
              </w:rPr>
              <w:t>年</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月</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日以来，投标人具有交通运输领域数据统计分析业绩的每提供</w:t>
            </w:r>
            <w:r>
              <w:rPr>
                <w:rFonts w:ascii="仿宋" w:hAnsi="仿宋" w:eastAsia="仿宋" w:cs="宋体"/>
                <w:color w:val="auto"/>
                <w:sz w:val="24"/>
                <w:szCs w:val="24"/>
                <w:highlight w:val="none"/>
              </w:rPr>
              <w:t>1</w:t>
            </w:r>
            <w:r>
              <w:rPr>
                <w:rFonts w:hint="eastAsia" w:ascii="仿宋" w:hAnsi="仿宋" w:eastAsia="仿宋" w:cs="宋体"/>
                <w:color w:val="auto"/>
                <w:sz w:val="24"/>
                <w:szCs w:val="24"/>
                <w:highlight w:val="none"/>
              </w:rPr>
              <w:t>份得</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szCs w:val="24"/>
                <w:highlight w:val="none"/>
              </w:rPr>
              <w:t>分，最多得</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分；</w:t>
            </w:r>
          </w:p>
          <w:p w14:paraId="49DE5CEB">
            <w:pPr>
              <w:widowControl/>
              <w:spacing w:line="480" w:lineRule="exact"/>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（同一项业绩不重复计分，需提供项目合同复印件或中标通知书或由用户单位出具的业绩证明复印件，并加盖投标人公章，未按要求提供不得分）</w:t>
            </w:r>
          </w:p>
        </w:tc>
        <w:tc>
          <w:tcPr>
            <w:tcW w:w="798" w:type="dxa"/>
            <w:tcBorders>
              <w:top w:val="single" w:color="auto" w:sz="4" w:space="0"/>
              <w:left w:val="nil"/>
              <w:bottom w:val="single" w:color="000000" w:sz="4" w:space="0"/>
              <w:right w:val="single" w:color="000000" w:sz="4" w:space="0"/>
            </w:tcBorders>
            <w:vAlign w:val="center"/>
          </w:tcPr>
          <w:p w14:paraId="327EC00A">
            <w:pPr>
              <w:widowControl/>
              <w:spacing w:line="480" w:lineRule="exact"/>
              <w:jc w:val="cente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分</w:t>
            </w:r>
          </w:p>
        </w:tc>
      </w:tr>
    </w:tbl>
    <w:p w14:paraId="659E9C16">
      <w:pPr>
        <w:spacing w:line="480" w:lineRule="exact"/>
        <w:rPr>
          <w:color w:val="auto"/>
          <w:highlight w:val="none"/>
        </w:rPr>
      </w:pPr>
    </w:p>
    <w:p w14:paraId="4150FFE1">
      <w:pPr>
        <w:rPr>
          <w:color w:val="auto"/>
          <w:highlight w:val="none"/>
        </w:rPr>
      </w:pPr>
    </w:p>
    <w:p w14:paraId="2BE7AAD7">
      <w:pPr>
        <w:rPr>
          <w:color w:val="auto"/>
          <w:highlight w:val="none"/>
        </w:rPr>
      </w:pPr>
    </w:p>
    <w:p w14:paraId="1084A37C">
      <w:pPr>
        <w:rPr>
          <w:color w:val="auto"/>
          <w:highlight w:val="none"/>
        </w:rPr>
      </w:pPr>
    </w:p>
    <w:p w14:paraId="0ABE2E60">
      <w:pPr>
        <w:rPr>
          <w:color w:val="auto"/>
          <w:highlight w:val="none"/>
        </w:rPr>
      </w:pPr>
    </w:p>
    <w:p w14:paraId="5F58A462">
      <w:pPr>
        <w:rPr>
          <w:color w:val="auto"/>
          <w:highlight w:val="none"/>
        </w:rPr>
      </w:pPr>
    </w:p>
    <w:p w14:paraId="0633B629">
      <w:pPr>
        <w:rPr>
          <w:color w:val="auto"/>
          <w:highlight w:val="none"/>
        </w:rPr>
      </w:pPr>
    </w:p>
    <w:p w14:paraId="215069AC">
      <w:pPr>
        <w:rPr>
          <w:color w:val="auto"/>
          <w:highlight w:val="none"/>
        </w:rPr>
      </w:pPr>
    </w:p>
    <w:p w14:paraId="1247422E">
      <w:pPr>
        <w:rPr>
          <w:color w:val="auto"/>
          <w:highlight w:val="none"/>
        </w:rPr>
      </w:pPr>
    </w:p>
    <w:p w14:paraId="022C56B8">
      <w:pPr>
        <w:rPr>
          <w:color w:val="auto"/>
          <w:highlight w:val="none"/>
        </w:rPr>
      </w:pPr>
    </w:p>
    <w:p w14:paraId="348DD7A5">
      <w:pPr>
        <w:rPr>
          <w:color w:val="auto"/>
          <w:highlight w:val="none"/>
        </w:rPr>
      </w:pPr>
    </w:p>
    <w:p w14:paraId="0A86CA33">
      <w:pPr>
        <w:rPr>
          <w:color w:val="auto"/>
          <w:highlight w:val="none"/>
        </w:rPr>
      </w:pPr>
    </w:p>
    <w:p w14:paraId="07F58CA7">
      <w:pPr>
        <w:rPr>
          <w:color w:val="auto"/>
          <w:highlight w:val="none"/>
        </w:rPr>
      </w:pPr>
    </w:p>
    <w:p w14:paraId="3E05DE59">
      <w:pPr>
        <w:rPr>
          <w:color w:val="auto"/>
          <w:highlight w:val="none"/>
        </w:rPr>
      </w:pPr>
    </w:p>
    <w:p w14:paraId="5DCA967D">
      <w:pPr>
        <w:rPr>
          <w:color w:val="auto"/>
          <w:highlight w:val="none"/>
        </w:rPr>
      </w:pPr>
    </w:p>
    <w:p w14:paraId="371A0345">
      <w:pPr>
        <w:rPr>
          <w:color w:val="auto"/>
          <w:highlight w:val="none"/>
        </w:rPr>
      </w:pPr>
    </w:p>
    <w:p w14:paraId="7222B1EF">
      <w:pPr>
        <w:rPr>
          <w:color w:val="auto"/>
          <w:highlight w:val="none"/>
        </w:rPr>
      </w:pPr>
    </w:p>
    <w:p w14:paraId="58010AB1">
      <w:pPr>
        <w:rPr>
          <w:color w:val="auto"/>
          <w:highlight w:val="none"/>
        </w:rPr>
      </w:pPr>
    </w:p>
    <w:p w14:paraId="5D3F8848">
      <w:pPr>
        <w:rPr>
          <w:color w:val="auto"/>
          <w:highlight w:val="none"/>
        </w:rPr>
      </w:pPr>
    </w:p>
    <w:p w14:paraId="19DE71F0">
      <w:pPr>
        <w:rPr>
          <w:color w:val="auto"/>
          <w:highlight w:val="none"/>
        </w:rPr>
      </w:pPr>
    </w:p>
    <w:p w14:paraId="427875F3">
      <w:pPr>
        <w:rPr>
          <w:color w:val="auto"/>
          <w:highlight w:val="none"/>
        </w:rPr>
      </w:pPr>
    </w:p>
    <w:p w14:paraId="59405F9D">
      <w:pPr>
        <w:pStyle w:val="191"/>
        <w:rPr>
          <w:rFonts w:ascii="仿宋" w:hAnsi="仿宋" w:eastAsia="仿宋" w:cs="仿宋"/>
          <w:b/>
          <w:bCs/>
          <w:color w:val="auto"/>
          <w:sz w:val="40"/>
          <w:szCs w:val="40"/>
          <w:highlight w:val="none"/>
        </w:rPr>
      </w:pPr>
      <w:bookmarkStart w:id="331" w:name="_Toc25268"/>
      <w:r>
        <w:rPr>
          <w:rFonts w:hint="eastAsia" w:ascii="仿宋" w:hAnsi="仿宋" w:eastAsia="仿宋" w:cs="仿宋"/>
          <w:b/>
          <w:bCs/>
          <w:color w:val="auto"/>
          <w:sz w:val="40"/>
          <w:szCs w:val="40"/>
          <w:highlight w:val="none"/>
        </w:rPr>
        <w:t>第六章  投标</w:t>
      </w:r>
      <w:bookmarkEnd w:id="300"/>
      <w:bookmarkEnd w:id="301"/>
      <w:bookmarkEnd w:id="302"/>
      <w:r>
        <w:rPr>
          <w:rFonts w:hint="eastAsia" w:ascii="仿宋" w:hAnsi="仿宋" w:eastAsia="仿宋" w:cs="仿宋"/>
          <w:b/>
          <w:bCs/>
          <w:color w:val="auto"/>
          <w:sz w:val="40"/>
          <w:szCs w:val="40"/>
          <w:highlight w:val="none"/>
        </w:rPr>
        <w:t>文件格式</w:t>
      </w:r>
      <w:bookmarkEnd w:id="326"/>
      <w:bookmarkEnd w:id="331"/>
    </w:p>
    <w:p w14:paraId="3D37A933">
      <w:pPr>
        <w:jc w:val="center"/>
        <w:rPr>
          <w:rFonts w:ascii="仿宋" w:hAnsi="仿宋" w:eastAsia="仿宋" w:cs="仿宋"/>
          <w:b/>
          <w:color w:val="auto"/>
          <w:sz w:val="72"/>
          <w:highlight w:val="none"/>
        </w:rPr>
      </w:pPr>
      <w:bookmarkStart w:id="332" w:name="_Hlt26955039"/>
      <w:bookmarkEnd w:id="332"/>
      <w:bookmarkStart w:id="333" w:name="_Hlt26671244"/>
      <w:bookmarkEnd w:id="333"/>
      <w:bookmarkStart w:id="334" w:name="_Toc49090576"/>
      <w:bookmarkStart w:id="335" w:name="_Toc120614282"/>
      <w:bookmarkStart w:id="336" w:name="_Toc26554094"/>
    </w:p>
    <w:p w14:paraId="55ED55F1">
      <w:pPr>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投  标  文  件</w:t>
      </w:r>
    </w:p>
    <w:p w14:paraId="1AB4A667">
      <w:pPr>
        <w:jc w:val="center"/>
        <w:rPr>
          <w:rFonts w:ascii="仿宋" w:hAnsi="仿宋" w:eastAsia="仿宋" w:cs="仿宋"/>
          <w:b/>
          <w:color w:val="auto"/>
          <w:sz w:val="72"/>
          <w:highlight w:val="none"/>
        </w:rPr>
      </w:pPr>
    </w:p>
    <w:p w14:paraId="53807DA5">
      <w:pPr>
        <w:jc w:val="center"/>
        <w:rPr>
          <w:rFonts w:ascii="仿宋" w:hAnsi="仿宋" w:eastAsia="仿宋" w:cs="仿宋"/>
          <w:b/>
          <w:color w:val="auto"/>
          <w:sz w:val="56"/>
          <w:szCs w:val="20"/>
          <w:highlight w:val="none"/>
        </w:rPr>
      </w:pPr>
      <w:r>
        <w:rPr>
          <w:rFonts w:hint="eastAsia" w:ascii="仿宋" w:hAnsi="仿宋" w:eastAsia="仿宋" w:cs="仿宋"/>
          <w:b/>
          <w:color w:val="auto"/>
          <w:sz w:val="56"/>
          <w:szCs w:val="20"/>
          <w:highlight w:val="none"/>
        </w:rPr>
        <w:t>【正/副本】</w:t>
      </w:r>
    </w:p>
    <w:p w14:paraId="2790A79E">
      <w:pPr>
        <w:jc w:val="center"/>
        <w:rPr>
          <w:rFonts w:ascii="仿宋" w:hAnsi="仿宋" w:eastAsia="仿宋" w:cs="仿宋"/>
          <w:b/>
          <w:color w:val="auto"/>
          <w:sz w:val="36"/>
          <w:highlight w:val="none"/>
        </w:rPr>
      </w:pPr>
    </w:p>
    <w:p w14:paraId="55EBB00E">
      <w:pPr>
        <w:jc w:val="center"/>
        <w:rPr>
          <w:rFonts w:ascii="仿宋" w:hAnsi="仿宋" w:eastAsia="仿宋" w:cs="仿宋"/>
          <w:b/>
          <w:color w:val="auto"/>
          <w:sz w:val="36"/>
          <w:highlight w:val="none"/>
        </w:rPr>
      </w:pPr>
    </w:p>
    <w:p w14:paraId="6597CB87">
      <w:pPr>
        <w:jc w:val="center"/>
        <w:rPr>
          <w:rFonts w:ascii="仿宋" w:hAnsi="仿宋" w:eastAsia="仿宋" w:cs="仿宋"/>
          <w:b/>
          <w:color w:val="auto"/>
          <w:sz w:val="36"/>
          <w:highlight w:val="none"/>
        </w:rPr>
      </w:pPr>
    </w:p>
    <w:p w14:paraId="75C4238A">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项 目 名 称：</w:t>
      </w:r>
      <w:r>
        <w:rPr>
          <w:rFonts w:hint="eastAsia" w:ascii="仿宋" w:hAnsi="仿宋" w:eastAsia="仿宋" w:cs="仿宋"/>
          <w:b/>
          <w:color w:val="auto"/>
          <w:sz w:val="36"/>
          <w:highlight w:val="none"/>
          <w:u w:val="single"/>
        </w:rPr>
        <w:t xml:space="preserve">               </w:t>
      </w:r>
    </w:p>
    <w:p w14:paraId="66B5B58B">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招 标 编 号：</w:t>
      </w:r>
      <w:r>
        <w:rPr>
          <w:rFonts w:hint="eastAsia" w:ascii="仿宋" w:hAnsi="仿宋" w:eastAsia="仿宋" w:cs="仿宋"/>
          <w:b/>
          <w:color w:val="auto"/>
          <w:sz w:val="36"/>
          <w:highlight w:val="none"/>
          <w:u w:val="single"/>
        </w:rPr>
        <w:t xml:space="preserve">               </w:t>
      </w:r>
    </w:p>
    <w:p w14:paraId="6CEDEA23">
      <w:pPr>
        <w:spacing w:line="530" w:lineRule="exact"/>
        <w:ind w:firstLine="1083"/>
        <w:rPr>
          <w:rFonts w:ascii="仿宋" w:hAnsi="仿宋" w:eastAsia="仿宋" w:cs="仿宋"/>
          <w:b/>
          <w:color w:val="auto"/>
          <w:sz w:val="36"/>
          <w:highlight w:val="none"/>
          <w:u w:val="single"/>
        </w:rPr>
      </w:pPr>
      <w:bookmarkStart w:id="337" w:name="_Toc26914"/>
      <w:r>
        <w:rPr>
          <w:rFonts w:hint="eastAsia" w:ascii="仿宋" w:hAnsi="仿宋" w:eastAsia="仿宋" w:cs="仿宋"/>
          <w:b/>
          <w:color w:val="auto"/>
          <w:sz w:val="36"/>
          <w:highlight w:val="none"/>
        </w:rPr>
        <w:t>投标人名称 ：</w:t>
      </w:r>
      <w:bookmarkEnd w:id="337"/>
      <w:r>
        <w:rPr>
          <w:rFonts w:hint="eastAsia" w:ascii="仿宋" w:hAnsi="仿宋" w:eastAsia="仿宋" w:cs="仿宋"/>
          <w:b/>
          <w:color w:val="auto"/>
          <w:sz w:val="36"/>
          <w:highlight w:val="none"/>
          <w:u w:val="single"/>
        </w:rPr>
        <w:t xml:space="preserve">               </w:t>
      </w:r>
    </w:p>
    <w:p w14:paraId="1185B850">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授权代表签字：</w:t>
      </w:r>
      <w:r>
        <w:rPr>
          <w:rFonts w:hint="eastAsia" w:ascii="仿宋" w:hAnsi="仿宋" w:eastAsia="仿宋" w:cs="仿宋"/>
          <w:b/>
          <w:color w:val="auto"/>
          <w:sz w:val="36"/>
          <w:highlight w:val="none"/>
          <w:u w:val="single"/>
        </w:rPr>
        <w:t xml:space="preserve">              </w:t>
      </w:r>
    </w:p>
    <w:p w14:paraId="3E77A6F9">
      <w:pPr>
        <w:spacing w:line="530" w:lineRule="exact"/>
        <w:ind w:firstLine="1083"/>
        <w:rPr>
          <w:rFonts w:ascii="仿宋" w:hAnsi="仿宋" w:eastAsia="仿宋" w:cs="仿宋"/>
          <w:color w:val="auto"/>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6CE91D1C">
      <w:pPr>
        <w:spacing w:line="440" w:lineRule="exact"/>
        <w:jc w:val="center"/>
        <w:rPr>
          <w:rFonts w:ascii="仿宋" w:hAnsi="仿宋" w:eastAsia="仿宋" w:cs="仿宋"/>
          <w:color w:val="auto"/>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color w:val="auto"/>
          <w:highlight w:val="none"/>
        </w:rPr>
        <w:t>（注：投标人应根据附件顺序编制投标文件并制作目录（须生成页码））</w:t>
      </w:r>
    </w:p>
    <w:p w14:paraId="61B68FDC">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资格审查索引表</w:t>
      </w:r>
    </w:p>
    <w:tbl>
      <w:tblPr>
        <w:tblStyle w:val="34"/>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5523"/>
        <w:gridCol w:w="3169"/>
      </w:tblGrid>
      <w:tr w14:paraId="4D07D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53" w:type="dxa"/>
            <w:vAlign w:val="center"/>
          </w:tcPr>
          <w:p w14:paraId="2C4D12F8">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524" w:type="dxa"/>
            <w:vAlign w:val="center"/>
          </w:tcPr>
          <w:p w14:paraId="05ADEFEF">
            <w:pPr>
              <w:jc w:val="center"/>
              <w:rPr>
                <w:rFonts w:ascii="仿宋" w:hAnsi="仿宋" w:eastAsia="仿宋" w:cs="仿宋"/>
                <w:color w:val="auto"/>
                <w:highlight w:val="none"/>
              </w:rPr>
            </w:pPr>
            <w:r>
              <w:rPr>
                <w:rFonts w:hint="eastAsia" w:ascii="仿宋" w:hAnsi="仿宋" w:eastAsia="仿宋" w:cs="仿宋"/>
                <w:color w:val="auto"/>
                <w:highlight w:val="none"/>
              </w:rPr>
              <w:t>资格要求</w:t>
            </w:r>
          </w:p>
        </w:tc>
        <w:tc>
          <w:tcPr>
            <w:tcW w:w="3169" w:type="dxa"/>
            <w:vAlign w:val="center"/>
          </w:tcPr>
          <w:p w14:paraId="5AC667C6">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179C1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AE9745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524" w:type="dxa"/>
            <w:vAlign w:val="center"/>
          </w:tcPr>
          <w:p w14:paraId="45EE4B19">
            <w:pPr>
              <w:spacing w:line="276" w:lineRule="auto"/>
              <w:rPr>
                <w:rFonts w:ascii="仿宋" w:hAnsi="仿宋" w:eastAsia="仿宋" w:cs="仿宋"/>
                <w:color w:val="auto"/>
                <w:highlight w:val="none"/>
              </w:rPr>
            </w:pPr>
          </w:p>
        </w:tc>
        <w:tc>
          <w:tcPr>
            <w:tcW w:w="3169" w:type="dxa"/>
          </w:tcPr>
          <w:p w14:paraId="25C00FA0">
            <w:pPr>
              <w:rPr>
                <w:rFonts w:ascii="仿宋" w:hAnsi="仿宋" w:eastAsia="仿宋" w:cs="仿宋"/>
                <w:color w:val="auto"/>
                <w:highlight w:val="none"/>
              </w:rPr>
            </w:pPr>
          </w:p>
        </w:tc>
      </w:tr>
      <w:tr w14:paraId="2828F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05A5C0C">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524" w:type="dxa"/>
            <w:vAlign w:val="center"/>
          </w:tcPr>
          <w:p w14:paraId="583FF10E">
            <w:pPr>
              <w:spacing w:line="276" w:lineRule="auto"/>
              <w:rPr>
                <w:rFonts w:ascii="仿宋" w:hAnsi="仿宋" w:eastAsia="仿宋" w:cs="仿宋"/>
                <w:color w:val="auto"/>
                <w:highlight w:val="none"/>
              </w:rPr>
            </w:pPr>
          </w:p>
        </w:tc>
        <w:tc>
          <w:tcPr>
            <w:tcW w:w="3169" w:type="dxa"/>
          </w:tcPr>
          <w:p w14:paraId="3CD0886E">
            <w:pPr>
              <w:rPr>
                <w:rFonts w:ascii="仿宋" w:hAnsi="仿宋" w:eastAsia="仿宋" w:cs="仿宋"/>
                <w:color w:val="auto"/>
                <w:highlight w:val="none"/>
              </w:rPr>
            </w:pPr>
          </w:p>
        </w:tc>
      </w:tr>
      <w:tr w14:paraId="5958A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3C7E97CB">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524" w:type="dxa"/>
            <w:vAlign w:val="center"/>
          </w:tcPr>
          <w:p w14:paraId="278DF076">
            <w:pPr>
              <w:spacing w:line="276" w:lineRule="auto"/>
              <w:rPr>
                <w:rFonts w:ascii="仿宋" w:hAnsi="仿宋" w:eastAsia="仿宋" w:cs="仿宋"/>
                <w:color w:val="auto"/>
                <w:highlight w:val="none"/>
              </w:rPr>
            </w:pPr>
          </w:p>
        </w:tc>
        <w:tc>
          <w:tcPr>
            <w:tcW w:w="3169" w:type="dxa"/>
          </w:tcPr>
          <w:p w14:paraId="32EB9FA2">
            <w:pPr>
              <w:rPr>
                <w:rFonts w:ascii="仿宋" w:hAnsi="仿宋" w:eastAsia="仿宋" w:cs="仿宋"/>
                <w:color w:val="auto"/>
                <w:highlight w:val="none"/>
              </w:rPr>
            </w:pPr>
          </w:p>
        </w:tc>
      </w:tr>
      <w:tr w14:paraId="5B545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0716CE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524" w:type="dxa"/>
            <w:vAlign w:val="center"/>
          </w:tcPr>
          <w:p w14:paraId="55F1ED78">
            <w:pPr>
              <w:spacing w:line="276" w:lineRule="auto"/>
              <w:rPr>
                <w:rFonts w:ascii="仿宋" w:hAnsi="仿宋" w:eastAsia="仿宋" w:cs="仿宋"/>
                <w:color w:val="auto"/>
                <w:highlight w:val="none"/>
              </w:rPr>
            </w:pPr>
          </w:p>
        </w:tc>
        <w:tc>
          <w:tcPr>
            <w:tcW w:w="3169" w:type="dxa"/>
          </w:tcPr>
          <w:p w14:paraId="4927B176">
            <w:pPr>
              <w:rPr>
                <w:rFonts w:ascii="仿宋" w:hAnsi="仿宋" w:eastAsia="仿宋" w:cs="仿宋"/>
                <w:color w:val="auto"/>
                <w:highlight w:val="none"/>
              </w:rPr>
            </w:pPr>
          </w:p>
        </w:tc>
      </w:tr>
      <w:tr w14:paraId="55A1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4F4B7747">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524" w:type="dxa"/>
            <w:vAlign w:val="center"/>
          </w:tcPr>
          <w:p w14:paraId="0C0A7ABD">
            <w:pPr>
              <w:spacing w:line="276" w:lineRule="auto"/>
              <w:rPr>
                <w:rFonts w:ascii="仿宋" w:hAnsi="仿宋" w:eastAsia="仿宋" w:cs="仿宋"/>
                <w:color w:val="auto"/>
                <w:highlight w:val="none"/>
              </w:rPr>
            </w:pPr>
          </w:p>
        </w:tc>
        <w:tc>
          <w:tcPr>
            <w:tcW w:w="3169" w:type="dxa"/>
          </w:tcPr>
          <w:p w14:paraId="3A8C97E5">
            <w:pPr>
              <w:rPr>
                <w:rFonts w:ascii="仿宋" w:hAnsi="仿宋" w:eastAsia="仿宋" w:cs="仿宋"/>
                <w:color w:val="auto"/>
                <w:highlight w:val="none"/>
              </w:rPr>
            </w:pPr>
          </w:p>
        </w:tc>
      </w:tr>
      <w:tr w14:paraId="1134A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29C83D9">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524" w:type="dxa"/>
            <w:vAlign w:val="center"/>
          </w:tcPr>
          <w:p w14:paraId="79BEF281">
            <w:pPr>
              <w:spacing w:line="276" w:lineRule="auto"/>
              <w:rPr>
                <w:rFonts w:ascii="仿宋" w:hAnsi="仿宋" w:eastAsia="仿宋" w:cs="仿宋"/>
                <w:color w:val="auto"/>
                <w:highlight w:val="none"/>
              </w:rPr>
            </w:pPr>
          </w:p>
        </w:tc>
        <w:tc>
          <w:tcPr>
            <w:tcW w:w="3169" w:type="dxa"/>
          </w:tcPr>
          <w:p w14:paraId="60376F2C">
            <w:pPr>
              <w:rPr>
                <w:rFonts w:ascii="仿宋" w:hAnsi="仿宋" w:eastAsia="仿宋" w:cs="仿宋"/>
                <w:color w:val="auto"/>
                <w:highlight w:val="none"/>
              </w:rPr>
            </w:pPr>
          </w:p>
        </w:tc>
      </w:tr>
      <w:tr w14:paraId="6309C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EB7DD13">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524" w:type="dxa"/>
            <w:vAlign w:val="center"/>
          </w:tcPr>
          <w:p w14:paraId="0311B9CC">
            <w:pPr>
              <w:spacing w:line="276" w:lineRule="auto"/>
              <w:rPr>
                <w:rFonts w:ascii="仿宋" w:hAnsi="仿宋" w:eastAsia="仿宋" w:cs="仿宋"/>
                <w:color w:val="auto"/>
                <w:highlight w:val="none"/>
              </w:rPr>
            </w:pPr>
          </w:p>
        </w:tc>
        <w:tc>
          <w:tcPr>
            <w:tcW w:w="3169" w:type="dxa"/>
          </w:tcPr>
          <w:p w14:paraId="6DF7F8DD">
            <w:pPr>
              <w:rPr>
                <w:rFonts w:ascii="仿宋" w:hAnsi="仿宋" w:eastAsia="仿宋" w:cs="仿宋"/>
                <w:color w:val="auto"/>
                <w:highlight w:val="none"/>
              </w:rPr>
            </w:pPr>
          </w:p>
        </w:tc>
      </w:tr>
      <w:tr w14:paraId="2C30F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66FCE4A2">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524" w:type="dxa"/>
            <w:vAlign w:val="center"/>
          </w:tcPr>
          <w:p w14:paraId="44FCE8FD">
            <w:pPr>
              <w:spacing w:line="276" w:lineRule="auto"/>
              <w:rPr>
                <w:rFonts w:ascii="仿宋" w:hAnsi="仿宋" w:eastAsia="仿宋" w:cs="仿宋"/>
                <w:color w:val="auto"/>
                <w:highlight w:val="none"/>
              </w:rPr>
            </w:pPr>
          </w:p>
        </w:tc>
        <w:tc>
          <w:tcPr>
            <w:tcW w:w="3169" w:type="dxa"/>
          </w:tcPr>
          <w:p w14:paraId="10818D16">
            <w:pPr>
              <w:rPr>
                <w:rFonts w:ascii="仿宋" w:hAnsi="仿宋" w:eastAsia="仿宋" w:cs="仿宋"/>
                <w:color w:val="auto"/>
                <w:highlight w:val="none"/>
              </w:rPr>
            </w:pPr>
          </w:p>
        </w:tc>
      </w:tr>
      <w:tr w14:paraId="5C3B7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74527BC">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9</w:t>
            </w:r>
          </w:p>
        </w:tc>
        <w:tc>
          <w:tcPr>
            <w:tcW w:w="5524" w:type="dxa"/>
            <w:vAlign w:val="center"/>
          </w:tcPr>
          <w:p w14:paraId="1449EB62">
            <w:pPr>
              <w:spacing w:line="276" w:lineRule="auto"/>
              <w:rPr>
                <w:rFonts w:ascii="仿宋" w:hAnsi="仿宋" w:eastAsia="仿宋" w:cs="仿宋"/>
                <w:color w:val="auto"/>
                <w:highlight w:val="none"/>
              </w:rPr>
            </w:pPr>
          </w:p>
        </w:tc>
        <w:tc>
          <w:tcPr>
            <w:tcW w:w="3169" w:type="dxa"/>
          </w:tcPr>
          <w:p w14:paraId="6D6E75DD">
            <w:pPr>
              <w:rPr>
                <w:rFonts w:ascii="仿宋" w:hAnsi="仿宋" w:eastAsia="仿宋" w:cs="仿宋"/>
                <w:color w:val="auto"/>
                <w:highlight w:val="none"/>
              </w:rPr>
            </w:pPr>
          </w:p>
        </w:tc>
      </w:tr>
      <w:tr w14:paraId="2994C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2E68637F">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10</w:t>
            </w:r>
          </w:p>
        </w:tc>
        <w:tc>
          <w:tcPr>
            <w:tcW w:w="5524" w:type="dxa"/>
            <w:vAlign w:val="center"/>
          </w:tcPr>
          <w:p w14:paraId="07496A3E">
            <w:pPr>
              <w:spacing w:line="276" w:lineRule="auto"/>
              <w:rPr>
                <w:rFonts w:ascii="仿宋" w:hAnsi="仿宋" w:eastAsia="仿宋" w:cs="仿宋"/>
                <w:color w:val="auto"/>
                <w:highlight w:val="none"/>
              </w:rPr>
            </w:pPr>
          </w:p>
        </w:tc>
        <w:tc>
          <w:tcPr>
            <w:tcW w:w="3169" w:type="dxa"/>
          </w:tcPr>
          <w:p w14:paraId="6BC2EA8A">
            <w:pPr>
              <w:rPr>
                <w:rFonts w:ascii="仿宋" w:hAnsi="仿宋" w:eastAsia="仿宋" w:cs="仿宋"/>
                <w:color w:val="auto"/>
                <w:highlight w:val="none"/>
              </w:rPr>
            </w:pPr>
          </w:p>
        </w:tc>
      </w:tr>
      <w:tr w14:paraId="3CD9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43ECE56">
            <w:pPr>
              <w:spacing w:line="276" w:lineRule="auto"/>
              <w:jc w:val="center"/>
              <w:rPr>
                <w:rFonts w:ascii="仿宋" w:hAnsi="仿宋" w:eastAsia="仿宋" w:cs="仿宋"/>
                <w:color w:val="auto"/>
                <w:highlight w:val="none"/>
              </w:rPr>
            </w:pPr>
          </w:p>
        </w:tc>
        <w:tc>
          <w:tcPr>
            <w:tcW w:w="5524" w:type="dxa"/>
            <w:vAlign w:val="center"/>
          </w:tcPr>
          <w:p w14:paraId="6E1773C0">
            <w:pPr>
              <w:spacing w:line="276" w:lineRule="auto"/>
              <w:rPr>
                <w:rFonts w:ascii="仿宋" w:hAnsi="仿宋" w:eastAsia="仿宋" w:cs="仿宋"/>
                <w:color w:val="auto"/>
                <w:highlight w:val="none"/>
              </w:rPr>
            </w:pPr>
          </w:p>
        </w:tc>
        <w:tc>
          <w:tcPr>
            <w:tcW w:w="3169" w:type="dxa"/>
          </w:tcPr>
          <w:p w14:paraId="02D6D42E">
            <w:pPr>
              <w:rPr>
                <w:rFonts w:ascii="仿宋" w:hAnsi="仿宋" w:eastAsia="仿宋" w:cs="仿宋"/>
                <w:color w:val="auto"/>
                <w:highlight w:val="none"/>
              </w:rPr>
            </w:pPr>
          </w:p>
        </w:tc>
      </w:tr>
    </w:tbl>
    <w:p w14:paraId="5058C920">
      <w:pPr>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090D808D">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评分索引表</w:t>
      </w:r>
    </w:p>
    <w:tbl>
      <w:tblPr>
        <w:tblStyle w:val="34"/>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5820"/>
        <w:gridCol w:w="3384"/>
      </w:tblGrid>
      <w:tr w14:paraId="434ED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759" w:type="dxa"/>
            <w:vAlign w:val="center"/>
          </w:tcPr>
          <w:p w14:paraId="6C97FC84">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307" w:type="dxa"/>
            <w:vAlign w:val="center"/>
          </w:tcPr>
          <w:p w14:paraId="30F2C38F">
            <w:pPr>
              <w:jc w:val="center"/>
              <w:rPr>
                <w:rFonts w:ascii="仿宋" w:hAnsi="仿宋" w:eastAsia="仿宋" w:cs="仿宋"/>
                <w:color w:val="auto"/>
                <w:highlight w:val="none"/>
              </w:rPr>
            </w:pPr>
            <w:r>
              <w:rPr>
                <w:rFonts w:hint="eastAsia" w:ascii="仿宋" w:hAnsi="仿宋" w:eastAsia="仿宋" w:cs="仿宋"/>
                <w:color w:val="auto"/>
                <w:highlight w:val="none"/>
              </w:rPr>
              <w:t>评审标准</w:t>
            </w:r>
          </w:p>
        </w:tc>
        <w:tc>
          <w:tcPr>
            <w:tcW w:w="3085" w:type="dxa"/>
            <w:vAlign w:val="center"/>
          </w:tcPr>
          <w:p w14:paraId="1548DB0F">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7D564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7FE48C1">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307" w:type="dxa"/>
            <w:vAlign w:val="center"/>
          </w:tcPr>
          <w:p w14:paraId="642BA57C">
            <w:pPr>
              <w:spacing w:line="276" w:lineRule="auto"/>
              <w:rPr>
                <w:rFonts w:ascii="仿宋" w:hAnsi="仿宋" w:eastAsia="仿宋" w:cs="仿宋"/>
                <w:color w:val="auto"/>
                <w:highlight w:val="none"/>
              </w:rPr>
            </w:pPr>
          </w:p>
        </w:tc>
        <w:tc>
          <w:tcPr>
            <w:tcW w:w="3085" w:type="dxa"/>
          </w:tcPr>
          <w:p w14:paraId="186FDE3E">
            <w:pPr>
              <w:rPr>
                <w:rFonts w:ascii="仿宋" w:hAnsi="仿宋" w:eastAsia="仿宋" w:cs="仿宋"/>
                <w:color w:val="auto"/>
                <w:highlight w:val="none"/>
              </w:rPr>
            </w:pPr>
          </w:p>
        </w:tc>
      </w:tr>
      <w:tr w14:paraId="6B41B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086CD94">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307" w:type="dxa"/>
            <w:vAlign w:val="center"/>
          </w:tcPr>
          <w:p w14:paraId="7251785A">
            <w:pPr>
              <w:spacing w:line="276" w:lineRule="auto"/>
              <w:rPr>
                <w:rFonts w:ascii="仿宋" w:hAnsi="仿宋" w:eastAsia="仿宋" w:cs="仿宋"/>
                <w:color w:val="auto"/>
                <w:highlight w:val="none"/>
              </w:rPr>
            </w:pPr>
          </w:p>
        </w:tc>
        <w:tc>
          <w:tcPr>
            <w:tcW w:w="3085" w:type="dxa"/>
          </w:tcPr>
          <w:p w14:paraId="53661DC7">
            <w:pPr>
              <w:rPr>
                <w:rFonts w:ascii="仿宋" w:hAnsi="仿宋" w:eastAsia="仿宋" w:cs="仿宋"/>
                <w:color w:val="auto"/>
                <w:highlight w:val="none"/>
              </w:rPr>
            </w:pPr>
          </w:p>
        </w:tc>
      </w:tr>
      <w:tr w14:paraId="7DE56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65BD230B">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307" w:type="dxa"/>
            <w:vAlign w:val="center"/>
          </w:tcPr>
          <w:p w14:paraId="733AB991">
            <w:pPr>
              <w:spacing w:line="276" w:lineRule="auto"/>
              <w:rPr>
                <w:rFonts w:ascii="仿宋" w:hAnsi="仿宋" w:eastAsia="仿宋" w:cs="仿宋"/>
                <w:color w:val="auto"/>
                <w:highlight w:val="none"/>
              </w:rPr>
            </w:pPr>
          </w:p>
        </w:tc>
        <w:tc>
          <w:tcPr>
            <w:tcW w:w="3085" w:type="dxa"/>
          </w:tcPr>
          <w:p w14:paraId="68691AB9">
            <w:pPr>
              <w:rPr>
                <w:rFonts w:ascii="仿宋" w:hAnsi="仿宋" w:eastAsia="仿宋" w:cs="仿宋"/>
                <w:color w:val="auto"/>
                <w:highlight w:val="none"/>
              </w:rPr>
            </w:pPr>
          </w:p>
        </w:tc>
      </w:tr>
      <w:tr w14:paraId="790F5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747E267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307" w:type="dxa"/>
            <w:vAlign w:val="center"/>
          </w:tcPr>
          <w:p w14:paraId="4B90203A">
            <w:pPr>
              <w:spacing w:line="276" w:lineRule="auto"/>
              <w:rPr>
                <w:rFonts w:ascii="仿宋" w:hAnsi="仿宋" w:eastAsia="仿宋" w:cs="仿宋"/>
                <w:color w:val="auto"/>
                <w:highlight w:val="none"/>
              </w:rPr>
            </w:pPr>
          </w:p>
        </w:tc>
        <w:tc>
          <w:tcPr>
            <w:tcW w:w="3085" w:type="dxa"/>
          </w:tcPr>
          <w:p w14:paraId="5F47A35E">
            <w:pPr>
              <w:rPr>
                <w:rFonts w:ascii="仿宋" w:hAnsi="仿宋" w:eastAsia="仿宋" w:cs="仿宋"/>
                <w:color w:val="auto"/>
                <w:highlight w:val="none"/>
              </w:rPr>
            </w:pPr>
          </w:p>
        </w:tc>
      </w:tr>
      <w:tr w14:paraId="4ECE9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E361044">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307" w:type="dxa"/>
            <w:vAlign w:val="center"/>
          </w:tcPr>
          <w:p w14:paraId="4610093C">
            <w:pPr>
              <w:spacing w:line="276" w:lineRule="auto"/>
              <w:rPr>
                <w:rFonts w:ascii="仿宋" w:hAnsi="仿宋" w:eastAsia="仿宋" w:cs="仿宋"/>
                <w:color w:val="auto"/>
                <w:highlight w:val="none"/>
              </w:rPr>
            </w:pPr>
          </w:p>
        </w:tc>
        <w:tc>
          <w:tcPr>
            <w:tcW w:w="3085" w:type="dxa"/>
          </w:tcPr>
          <w:p w14:paraId="3F6E8A25">
            <w:pPr>
              <w:rPr>
                <w:rFonts w:ascii="仿宋" w:hAnsi="仿宋" w:eastAsia="仿宋" w:cs="仿宋"/>
                <w:color w:val="auto"/>
                <w:highlight w:val="none"/>
              </w:rPr>
            </w:pPr>
          </w:p>
        </w:tc>
      </w:tr>
      <w:tr w14:paraId="73412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7F8BD1C">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307" w:type="dxa"/>
            <w:vAlign w:val="center"/>
          </w:tcPr>
          <w:p w14:paraId="3D9D3EB7">
            <w:pPr>
              <w:spacing w:line="276" w:lineRule="auto"/>
              <w:rPr>
                <w:rFonts w:ascii="仿宋" w:hAnsi="仿宋" w:eastAsia="仿宋" w:cs="仿宋"/>
                <w:color w:val="auto"/>
                <w:highlight w:val="none"/>
              </w:rPr>
            </w:pPr>
          </w:p>
        </w:tc>
        <w:tc>
          <w:tcPr>
            <w:tcW w:w="3085" w:type="dxa"/>
          </w:tcPr>
          <w:p w14:paraId="1FD296C6">
            <w:pPr>
              <w:rPr>
                <w:rFonts w:ascii="仿宋" w:hAnsi="仿宋" w:eastAsia="仿宋" w:cs="仿宋"/>
                <w:color w:val="auto"/>
                <w:highlight w:val="none"/>
              </w:rPr>
            </w:pPr>
          </w:p>
        </w:tc>
      </w:tr>
      <w:tr w14:paraId="754A5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20AEEB05">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307" w:type="dxa"/>
            <w:vAlign w:val="center"/>
          </w:tcPr>
          <w:p w14:paraId="1680C147">
            <w:pPr>
              <w:spacing w:line="276" w:lineRule="auto"/>
              <w:rPr>
                <w:rFonts w:ascii="仿宋" w:hAnsi="仿宋" w:eastAsia="仿宋" w:cs="仿宋"/>
                <w:color w:val="auto"/>
                <w:highlight w:val="none"/>
              </w:rPr>
            </w:pPr>
          </w:p>
        </w:tc>
        <w:tc>
          <w:tcPr>
            <w:tcW w:w="3085" w:type="dxa"/>
          </w:tcPr>
          <w:p w14:paraId="45D7EABE">
            <w:pPr>
              <w:rPr>
                <w:rFonts w:ascii="仿宋" w:hAnsi="仿宋" w:eastAsia="仿宋" w:cs="仿宋"/>
                <w:color w:val="auto"/>
                <w:highlight w:val="none"/>
              </w:rPr>
            </w:pPr>
          </w:p>
        </w:tc>
      </w:tr>
      <w:tr w14:paraId="6D25E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625ED960">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307" w:type="dxa"/>
            <w:vAlign w:val="center"/>
          </w:tcPr>
          <w:p w14:paraId="0FBDA46B">
            <w:pPr>
              <w:spacing w:line="276" w:lineRule="auto"/>
              <w:rPr>
                <w:rFonts w:ascii="仿宋" w:hAnsi="仿宋" w:eastAsia="仿宋" w:cs="仿宋"/>
                <w:color w:val="auto"/>
                <w:highlight w:val="none"/>
              </w:rPr>
            </w:pPr>
          </w:p>
        </w:tc>
        <w:tc>
          <w:tcPr>
            <w:tcW w:w="3085" w:type="dxa"/>
          </w:tcPr>
          <w:p w14:paraId="33D5F5EB">
            <w:pPr>
              <w:rPr>
                <w:rFonts w:ascii="仿宋" w:hAnsi="仿宋" w:eastAsia="仿宋" w:cs="仿宋"/>
                <w:color w:val="auto"/>
                <w:highlight w:val="none"/>
              </w:rPr>
            </w:pPr>
          </w:p>
        </w:tc>
      </w:tr>
    </w:tbl>
    <w:p w14:paraId="59D0449B">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b/>
          <w:bCs/>
          <w:color w:val="auto"/>
          <w:sz w:val="32"/>
          <w:szCs w:val="32"/>
          <w:highlight w:val="none"/>
        </w:rPr>
        <w:t>投标主要文件目录</w:t>
      </w:r>
    </w:p>
    <w:p w14:paraId="002A40A7">
      <w:pPr>
        <w:spacing w:line="360" w:lineRule="auto"/>
        <w:ind w:firstLine="1084"/>
        <w:jc w:val="center"/>
        <w:rPr>
          <w:rFonts w:ascii="仿宋" w:hAnsi="仿宋" w:eastAsia="仿宋" w:cs="仿宋"/>
          <w:b/>
          <w:bCs/>
          <w:color w:val="auto"/>
          <w:sz w:val="32"/>
          <w:szCs w:val="32"/>
          <w:highlight w:val="none"/>
        </w:rPr>
      </w:pPr>
    </w:p>
    <w:p w14:paraId="28F48B41">
      <w:pPr>
        <w:spacing w:line="360" w:lineRule="auto"/>
        <w:jc w:val="left"/>
        <w:rPr>
          <w:rFonts w:ascii="仿宋" w:hAnsi="仿宋" w:eastAsia="仿宋" w:cs="仿宋"/>
          <w:iCs/>
          <w:color w:val="auto"/>
          <w:sz w:val="24"/>
          <w:highlight w:val="none"/>
          <w:u w:val="single"/>
        </w:rPr>
      </w:pPr>
      <w:bookmarkStart w:id="338" w:name="_Toc30403"/>
      <w:bookmarkStart w:id="339" w:name="_Toc30097"/>
      <w:r>
        <w:rPr>
          <w:rFonts w:hint="eastAsia" w:ascii="仿宋" w:hAnsi="仿宋" w:eastAsia="仿宋" w:cs="仿宋"/>
          <w:iCs/>
          <w:color w:val="auto"/>
          <w:sz w:val="24"/>
          <w:highlight w:val="none"/>
          <w:u w:val="single"/>
        </w:rPr>
        <w:t>一、</w:t>
      </w:r>
      <w:bookmarkEnd w:id="338"/>
      <w:bookmarkEnd w:id="339"/>
      <w:r>
        <w:rPr>
          <w:rFonts w:hint="eastAsia" w:ascii="仿宋" w:hAnsi="仿宋" w:eastAsia="仿宋" w:cs="仿宋"/>
          <w:iCs/>
          <w:color w:val="auto"/>
          <w:sz w:val="24"/>
          <w:highlight w:val="none"/>
          <w:u w:val="single"/>
        </w:rPr>
        <w:t>具有独立承担民事责任的能力（提供营业执照，自然人的身份证并加盖公章）</w:t>
      </w:r>
    </w:p>
    <w:p w14:paraId="48636E09">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二、具有良好的商业信誉和健全的财务会计制度（提供上一年度的财务状况报告（成立不满1年不需提供。若2025年财务状况报告未完成，可提交2024年的财务状况或近1年任意1个月的财务报表））</w:t>
      </w:r>
    </w:p>
    <w:p w14:paraId="05098064">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三、有依法缴纳税收和社会保障资金的良好记录（提供提交投标文件截止时间前1年内至少一个月依法缴纳税收及缴纳社会保障资金的证明材料。供应商依法享受缓缴、免缴税收、社会保障资金的提供证明材料。）</w:t>
      </w:r>
    </w:p>
    <w:p w14:paraId="100C4314">
      <w:pPr>
        <w:spacing w:line="360" w:lineRule="auto"/>
        <w:jc w:val="left"/>
        <w:rPr>
          <w:rFonts w:ascii="仿宋" w:hAnsi="仿宋" w:eastAsia="仿宋" w:cs="仿宋"/>
          <w:iCs/>
          <w:color w:val="auto"/>
          <w:sz w:val="24"/>
          <w:highlight w:val="none"/>
          <w:u w:val="single"/>
        </w:rPr>
      </w:pPr>
      <w:bookmarkStart w:id="340" w:name="_Toc9391"/>
      <w:r>
        <w:rPr>
          <w:rFonts w:hint="eastAsia" w:ascii="仿宋" w:hAnsi="仿宋" w:eastAsia="仿宋" w:cs="仿宋"/>
          <w:iCs/>
          <w:color w:val="auto"/>
          <w:sz w:val="24"/>
          <w:highlight w:val="none"/>
          <w:u w:val="single"/>
        </w:rPr>
        <w:t>四、具备履行合同所必需的设备和专业技术能力的书面声明（根据项目需求提供履行合同所必需的设备和专业技术能力的证明材料）</w:t>
      </w:r>
      <w:bookmarkEnd w:id="340"/>
    </w:p>
    <w:p w14:paraId="275D3161">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五、参加政府采购活动前3年内在经营活动中没有重大违法记录的书面声明（提供参加本次采购活动前3年内在经营活动中没有重大违法记录的书面声明）</w:t>
      </w:r>
    </w:p>
    <w:p w14:paraId="29EB62A8">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六、特定资格要求的证明文件（如果本项目设置特定资格要求，则需要提供）</w:t>
      </w:r>
    </w:p>
    <w:p w14:paraId="344EAE97">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七、承诺函</w:t>
      </w:r>
    </w:p>
    <w:p w14:paraId="3F2B6A6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八、法人授权书</w:t>
      </w:r>
    </w:p>
    <w:p w14:paraId="66624742">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九、投标函</w:t>
      </w:r>
    </w:p>
    <w:p w14:paraId="7976B0AE">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十、中小企业声明函</w:t>
      </w:r>
    </w:p>
    <w:p w14:paraId="1770D0DF">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十一、残疾人福利性单位声明函</w:t>
      </w:r>
    </w:p>
    <w:p w14:paraId="234D0D8B">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十二、监狱企业声明函</w:t>
      </w:r>
    </w:p>
    <w:p w14:paraId="7AD6E87A">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十三、开标一览表</w:t>
      </w:r>
    </w:p>
    <w:p w14:paraId="4F590719">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十四、投标分项报价表</w:t>
      </w:r>
    </w:p>
    <w:p w14:paraId="0A5E1D4B">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十五、技术要求响应及偏离表</w:t>
      </w:r>
    </w:p>
    <w:p w14:paraId="7AF127D3">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十六、商务要求响应及偏离表</w:t>
      </w:r>
    </w:p>
    <w:p w14:paraId="471995E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十七、其他证明文件</w:t>
      </w:r>
    </w:p>
    <w:p w14:paraId="7EB7653C">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附件1、规范招投标及履约行为提醒单（请将本提醒单填写并盖章后放在投标文件最后一页）</w:t>
      </w:r>
    </w:p>
    <w:p w14:paraId="009B73B2">
      <w:pPr>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br w:type="page"/>
      </w:r>
    </w:p>
    <w:p w14:paraId="1E9801AB">
      <w:pPr>
        <w:pStyle w:val="192"/>
        <w:spacing w:before="0" w:after="100" w:line="360" w:lineRule="auto"/>
        <w:rPr>
          <w:rFonts w:ascii="仿宋" w:hAnsi="仿宋" w:eastAsia="仿宋" w:cs="仿宋"/>
          <w:i/>
          <w:color w:val="auto"/>
          <w:sz w:val="36"/>
          <w:szCs w:val="36"/>
          <w:highlight w:val="none"/>
          <w:u w:val="single"/>
        </w:rPr>
      </w:pPr>
      <w:bookmarkStart w:id="341" w:name="_Toc12938"/>
      <w:bookmarkStart w:id="342" w:name="_Toc16649"/>
      <w:r>
        <w:rPr>
          <w:rFonts w:hint="eastAsia" w:ascii="仿宋" w:hAnsi="仿宋" w:eastAsia="仿宋" w:cs="仿宋"/>
          <w:i/>
          <w:color w:val="auto"/>
          <w:sz w:val="36"/>
          <w:szCs w:val="36"/>
          <w:highlight w:val="none"/>
          <w:u w:val="single"/>
        </w:rPr>
        <w:t>资格证明文件（第一项-第七项）</w:t>
      </w:r>
      <w:bookmarkEnd w:id="341"/>
      <w:bookmarkEnd w:id="342"/>
    </w:p>
    <w:p w14:paraId="559269B1">
      <w:pPr>
        <w:spacing w:line="360" w:lineRule="auto"/>
        <w:rPr>
          <w:color w:val="auto"/>
          <w:highlight w:val="none"/>
        </w:rPr>
      </w:pPr>
    </w:p>
    <w:p w14:paraId="2899AEA5">
      <w:pPr>
        <w:pStyle w:val="192"/>
        <w:spacing w:before="0" w:after="100" w:line="360" w:lineRule="auto"/>
        <w:jc w:val="both"/>
        <w:rPr>
          <w:rFonts w:ascii="仿宋" w:hAnsi="仿宋" w:eastAsia="仿宋" w:cs="仿宋"/>
          <w:iCs/>
          <w:color w:val="auto"/>
          <w:sz w:val="32"/>
          <w:szCs w:val="32"/>
          <w:highlight w:val="none"/>
        </w:rPr>
      </w:pPr>
      <w:bookmarkStart w:id="343" w:name="_Toc12526"/>
      <w:bookmarkStart w:id="344" w:name="_Toc22288"/>
      <w:r>
        <w:rPr>
          <w:rFonts w:hint="eastAsia" w:ascii="仿宋" w:hAnsi="仿宋" w:eastAsia="仿宋" w:cs="仿宋"/>
          <w:iCs/>
          <w:color w:val="auto"/>
          <w:sz w:val="32"/>
          <w:szCs w:val="32"/>
          <w:highlight w:val="none"/>
        </w:rPr>
        <w:t>一、具有独立承担民事责任的能力（提供营业执照，自然人的身份证并加盖公章）</w:t>
      </w:r>
      <w:bookmarkEnd w:id="343"/>
      <w:bookmarkEnd w:id="344"/>
    </w:p>
    <w:p w14:paraId="20593716">
      <w:pPr>
        <w:spacing w:line="360" w:lineRule="auto"/>
        <w:rPr>
          <w:color w:val="auto"/>
          <w:highlight w:val="none"/>
        </w:rPr>
      </w:pPr>
    </w:p>
    <w:p w14:paraId="0F576959">
      <w:pPr>
        <w:pStyle w:val="192"/>
        <w:spacing w:before="0" w:after="100" w:line="360" w:lineRule="auto"/>
        <w:jc w:val="both"/>
        <w:rPr>
          <w:rFonts w:ascii="仿宋" w:hAnsi="仿宋" w:eastAsia="仿宋" w:cs="仿宋"/>
          <w:iCs/>
          <w:color w:val="auto"/>
          <w:sz w:val="32"/>
          <w:szCs w:val="32"/>
          <w:highlight w:val="none"/>
        </w:rPr>
      </w:pPr>
      <w:bookmarkStart w:id="345" w:name="_Toc18731"/>
      <w:bookmarkStart w:id="346" w:name="_Toc12415"/>
      <w:r>
        <w:rPr>
          <w:rFonts w:hint="eastAsia" w:ascii="仿宋" w:hAnsi="仿宋" w:eastAsia="仿宋" w:cs="仿宋"/>
          <w:iCs/>
          <w:color w:val="auto"/>
          <w:sz w:val="32"/>
          <w:szCs w:val="32"/>
          <w:highlight w:val="none"/>
        </w:rPr>
        <w:t>二、具有良好的商业信誉和健全的财务会计制度（提供上一年度的财务状况报告（成立不满1年不需提供。若2025年财务状况报告未完成，可提交2024年的财务状况或近1年任意1个月的财务报表））</w:t>
      </w:r>
      <w:bookmarkEnd w:id="345"/>
      <w:bookmarkEnd w:id="346"/>
    </w:p>
    <w:p w14:paraId="0788CA79">
      <w:pPr>
        <w:spacing w:line="360" w:lineRule="auto"/>
        <w:rPr>
          <w:color w:val="auto"/>
          <w:highlight w:val="none"/>
        </w:rPr>
      </w:pPr>
      <w:bookmarkStart w:id="347" w:name="_Toc16111"/>
      <w:bookmarkStart w:id="348" w:name="_Toc2361"/>
    </w:p>
    <w:p w14:paraId="7B928FEA">
      <w:pPr>
        <w:pStyle w:val="192"/>
        <w:spacing w:before="0" w:after="100" w:line="360" w:lineRule="auto"/>
        <w:jc w:val="both"/>
        <w:rPr>
          <w:rFonts w:ascii="仿宋" w:hAnsi="仿宋" w:eastAsia="仿宋" w:cs="仿宋"/>
          <w:iCs/>
          <w:color w:val="auto"/>
          <w:sz w:val="32"/>
          <w:szCs w:val="32"/>
          <w:highlight w:val="none"/>
        </w:rPr>
      </w:pPr>
      <w:bookmarkStart w:id="349" w:name="_Toc13380"/>
      <w:r>
        <w:rPr>
          <w:rFonts w:hint="eastAsia" w:ascii="仿宋" w:hAnsi="仿宋" w:eastAsia="仿宋" w:cs="仿宋"/>
          <w:iCs/>
          <w:color w:val="auto"/>
          <w:sz w:val="32"/>
          <w:szCs w:val="32"/>
          <w:highlight w:val="none"/>
        </w:rPr>
        <w:t>三、</w:t>
      </w:r>
      <w:bookmarkEnd w:id="334"/>
      <w:bookmarkEnd w:id="335"/>
      <w:bookmarkEnd w:id="336"/>
      <w:bookmarkEnd w:id="347"/>
      <w:bookmarkStart w:id="350" w:name="_Toc120614284"/>
      <w:r>
        <w:rPr>
          <w:rFonts w:hint="eastAsia" w:ascii="仿宋" w:hAnsi="仿宋" w:eastAsia="仿宋" w:cs="仿宋"/>
          <w:iCs/>
          <w:color w:val="auto"/>
          <w:sz w:val="32"/>
          <w:szCs w:val="32"/>
          <w:highlight w:val="none"/>
        </w:rPr>
        <w:t>具有依法缴纳税收和社会保障资金的良好记录（提供提交投标文件截止时间前1年内至少一个月依法缴纳税收及缴纳社会保障资金的证明材料。投标人依法享受缓缴、免缴税收、社会保障资金的提供证明材料）</w:t>
      </w:r>
      <w:bookmarkEnd w:id="348"/>
      <w:bookmarkEnd w:id="349"/>
      <w:bookmarkStart w:id="351" w:name="_Toc19161"/>
    </w:p>
    <w:p w14:paraId="1CCE3DFD">
      <w:pPr>
        <w:spacing w:line="360" w:lineRule="auto"/>
        <w:rPr>
          <w:color w:val="auto"/>
          <w:highlight w:val="none"/>
        </w:rPr>
      </w:pPr>
    </w:p>
    <w:p w14:paraId="4C826ACE">
      <w:pPr>
        <w:pStyle w:val="192"/>
        <w:spacing w:before="0" w:after="100" w:line="360" w:lineRule="auto"/>
        <w:jc w:val="both"/>
        <w:rPr>
          <w:rFonts w:ascii="仿宋" w:hAnsi="仿宋" w:eastAsia="仿宋" w:cs="仿宋"/>
          <w:iCs/>
          <w:color w:val="auto"/>
          <w:sz w:val="32"/>
          <w:szCs w:val="32"/>
          <w:highlight w:val="none"/>
        </w:rPr>
      </w:pPr>
      <w:bookmarkStart w:id="352" w:name="_Toc11549"/>
      <w:bookmarkStart w:id="353" w:name="_Toc2426"/>
      <w:r>
        <w:rPr>
          <w:rFonts w:hint="eastAsia" w:ascii="仿宋" w:hAnsi="仿宋" w:eastAsia="仿宋" w:cs="仿宋"/>
          <w:iCs/>
          <w:color w:val="auto"/>
          <w:sz w:val="32"/>
          <w:szCs w:val="32"/>
          <w:highlight w:val="none"/>
        </w:rPr>
        <w:t>四、具备履行合同所必需的设备和专业技术能力的书面声明</w:t>
      </w:r>
      <w:bookmarkEnd w:id="351"/>
      <w:bookmarkEnd w:id="352"/>
      <w:bookmarkEnd w:id="353"/>
    </w:p>
    <w:p w14:paraId="376EE807">
      <w:pPr>
        <w:spacing w:line="360" w:lineRule="auto"/>
        <w:rPr>
          <w:rFonts w:ascii="仿宋" w:hAnsi="仿宋" w:eastAsia="仿宋" w:cs="仿宋"/>
          <w:bCs/>
          <w:color w:val="auto"/>
          <w:sz w:val="24"/>
          <w:highlight w:val="none"/>
        </w:rPr>
      </w:pPr>
    </w:p>
    <w:p w14:paraId="25DDF5C9">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5508DAA5">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我单位郑重声明：我单位具备履行本项采购合同所必需的设备和专业技术能力，为履行本项采购合同我公司具备如下主要设备和主要专业技术能力：</w:t>
      </w:r>
    </w:p>
    <w:p w14:paraId="74C2EAF1">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主要设备有：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5AEA7261">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主要专业技术能力有：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2C030F3B">
      <w:pPr>
        <w:spacing w:line="360" w:lineRule="auto"/>
        <w:rPr>
          <w:color w:val="auto"/>
          <w:highlight w:val="none"/>
        </w:rPr>
      </w:pPr>
    </w:p>
    <w:p w14:paraId="44550DE4">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1E645E05">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71D70681">
      <w:pPr>
        <w:spacing w:line="360" w:lineRule="auto"/>
        <w:ind w:right="480"/>
        <w:jc w:val="center"/>
        <w:rPr>
          <w:color w:val="auto"/>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bCs/>
          <w:color w:val="auto"/>
          <w:sz w:val="24"/>
          <w:highlight w:val="none"/>
        </w:rPr>
        <w:t xml:space="preserve">   </w:t>
      </w:r>
      <w:r>
        <w:rPr>
          <w:rFonts w:hint="eastAsia"/>
          <w:color w:val="auto"/>
          <w:highlight w:val="none"/>
        </w:rPr>
        <w:t xml:space="preserve">                               </w:t>
      </w:r>
    </w:p>
    <w:p w14:paraId="4C473B75">
      <w:pPr>
        <w:pStyle w:val="192"/>
        <w:spacing w:before="0" w:after="100" w:line="360" w:lineRule="auto"/>
        <w:jc w:val="both"/>
        <w:rPr>
          <w:rFonts w:ascii="仿宋" w:hAnsi="仿宋" w:eastAsia="仿宋" w:cs="仿宋"/>
          <w:b w:val="0"/>
          <w:bCs w:val="0"/>
          <w:color w:val="auto"/>
          <w:sz w:val="36"/>
          <w:szCs w:val="36"/>
          <w:highlight w:val="none"/>
        </w:rPr>
      </w:pPr>
      <w:bookmarkStart w:id="354" w:name="_Toc778"/>
      <w:bookmarkStart w:id="355" w:name="_Toc24498"/>
      <w:bookmarkStart w:id="356" w:name="_Toc28796"/>
      <w:r>
        <w:rPr>
          <w:rFonts w:hint="eastAsia" w:ascii="仿宋" w:hAnsi="仿宋" w:eastAsia="仿宋" w:cs="仿宋"/>
          <w:iCs/>
          <w:color w:val="auto"/>
          <w:sz w:val="32"/>
          <w:szCs w:val="32"/>
          <w:highlight w:val="none"/>
        </w:rPr>
        <w:t>五、参加政府采购活动前3年内在经营活动中没有重大违法记录的书面声明</w:t>
      </w:r>
      <w:bookmarkEnd w:id="354"/>
      <w:bookmarkEnd w:id="355"/>
      <w:bookmarkEnd w:id="356"/>
      <w:r>
        <w:rPr>
          <w:rFonts w:hint="eastAsia" w:ascii="仿宋" w:hAnsi="仿宋" w:eastAsia="仿宋" w:cs="仿宋"/>
          <w:b w:val="0"/>
          <w:bCs w:val="0"/>
          <w:color w:val="auto"/>
          <w:highlight w:val="none"/>
        </w:rPr>
        <w:t xml:space="preserve">       </w:t>
      </w:r>
      <w:r>
        <w:rPr>
          <w:rFonts w:hint="eastAsia" w:ascii="仿宋" w:hAnsi="仿宋" w:eastAsia="仿宋" w:cs="仿宋"/>
          <w:b w:val="0"/>
          <w:bCs w:val="0"/>
          <w:color w:val="auto"/>
          <w:sz w:val="36"/>
          <w:szCs w:val="36"/>
          <w:highlight w:val="none"/>
        </w:rPr>
        <w:t xml:space="preserve">    </w:t>
      </w:r>
    </w:p>
    <w:p w14:paraId="1C2A97B5">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46BCF952">
      <w:pPr>
        <w:spacing w:line="36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   </w:t>
      </w:r>
      <w:r>
        <w:rPr>
          <w:rFonts w:hint="eastAsia" w:ascii="仿宋" w:hAnsi="仿宋" w:eastAsia="仿宋" w:cs="仿宋"/>
          <w:b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012ED24E">
      <w:pPr>
        <w:spacing w:line="360" w:lineRule="auto"/>
        <w:rPr>
          <w:color w:val="auto"/>
          <w:highlight w:val="none"/>
        </w:rPr>
      </w:pPr>
    </w:p>
    <w:p w14:paraId="13BAA996">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48B7549D">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6E7AEC7C">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26D4695B">
      <w:pPr>
        <w:spacing w:line="360" w:lineRule="auto"/>
        <w:rPr>
          <w:color w:val="auto"/>
          <w:highlight w:val="none"/>
        </w:rPr>
      </w:pPr>
      <w:bookmarkStart w:id="357" w:name="_Toc17108"/>
    </w:p>
    <w:p w14:paraId="0CEBE69A">
      <w:pPr>
        <w:spacing w:line="360" w:lineRule="auto"/>
        <w:rPr>
          <w:color w:val="auto"/>
          <w:highlight w:val="none"/>
        </w:rPr>
      </w:pPr>
      <w:bookmarkStart w:id="358" w:name="_Toc19938"/>
    </w:p>
    <w:p w14:paraId="23602DB1">
      <w:pPr>
        <w:pStyle w:val="192"/>
        <w:spacing w:before="0" w:after="100" w:line="360" w:lineRule="auto"/>
        <w:jc w:val="both"/>
        <w:rPr>
          <w:rFonts w:ascii="仿宋" w:hAnsi="仿宋" w:eastAsia="仿宋" w:cs="仿宋"/>
          <w:iCs/>
          <w:color w:val="auto"/>
          <w:sz w:val="32"/>
          <w:szCs w:val="32"/>
          <w:highlight w:val="none"/>
        </w:rPr>
      </w:pPr>
      <w:bookmarkStart w:id="359" w:name="_Toc12028"/>
      <w:r>
        <w:rPr>
          <w:rFonts w:hint="eastAsia" w:ascii="仿宋" w:hAnsi="仿宋" w:eastAsia="仿宋" w:cs="仿宋"/>
          <w:iCs/>
          <w:color w:val="auto"/>
          <w:sz w:val="32"/>
          <w:szCs w:val="32"/>
          <w:highlight w:val="none"/>
        </w:rPr>
        <w:t>六、特定资格要求的证明文件</w:t>
      </w:r>
      <w:bookmarkEnd w:id="357"/>
      <w:bookmarkEnd w:id="358"/>
      <w:bookmarkEnd w:id="359"/>
    </w:p>
    <w:p w14:paraId="4B1DCC5B">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如果本项目申请人的特定资格要求中要求提供的，必须提供。</w:t>
      </w:r>
    </w:p>
    <w:p w14:paraId="39D34EDC">
      <w:pPr>
        <w:spacing w:line="360" w:lineRule="auto"/>
        <w:rPr>
          <w:color w:val="auto"/>
          <w:highlight w:val="none"/>
        </w:rPr>
      </w:pPr>
      <w:bookmarkStart w:id="360" w:name="_Toc5587"/>
    </w:p>
    <w:p w14:paraId="5B174F66">
      <w:pPr>
        <w:spacing w:line="360" w:lineRule="auto"/>
        <w:rPr>
          <w:color w:val="auto"/>
          <w:highlight w:val="none"/>
        </w:rPr>
      </w:pPr>
    </w:p>
    <w:p w14:paraId="690C4673">
      <w:pPr>
        <w:pStyle w:val="192"/>
        <w:spacing w:before="0" w:after="100" w:line="360" w:lineRule="auto"/>
        <w:jc w:val="both"/>
        <w:rPr>
          <w:rFonts w:ascii="仿宋" w:hAnsi="仿宋" w:eastAsia="仿宋" w:cs="仿宋"/>
          <w:iCs/>
          <w:color w:val="auto"/>
          <w:sz w:val="32"/>
          <w:szCs w:val="32"/>
          <w:highlight w:val="none"/>
        </w:rPr>
      </w:pPr>
      <w:bookmarkStart w:id="361" w:name="_Toc25238"/>
      <w:bookmarkStart w:id="362" w:name="_Toc3957"/>
      <w:r>
        <w:rPr>
          <w:rFonts w:hint="eastAsia" w:ascii="仿宋" w:hAnsi="仿宋" w:eastAsia="仿宋" w:cs="仿宋"/>
          <w:iCs/>
          <w:color w:val="auto"/>
          <w:sz w:val="32"/>
          <w:szCs w:val="32"/>
          <w:highlight w:val="none"/>
        </w:rPr>
        <w:t>七、承诺函</w:t>
      </w:r>
      <w:bookmarkEnd w:id="361"/>
      <w:bookmarkEnd w:id="362"/>
    </w:p>
    <w:p w14:paraId="1F30E38B">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致：江苏柒采招标代理有限公司</w:t>
      </w:r>
    </w:p>
    <w:p w14:paraId="7CD6E2B6">
      <w:pPr>
        <w:widowControl/>
        <w:spacing w:line="360"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w:t>
      </w:r>
      <w:r>
        <w:rPr>
          <w:rFonts w:hint="eastAsia" w:ascii="仿宋" w:hAnsi="仿宋" w:eastAsia="仿宋" w:cs="仿宋"/>
          <w:color w:val="auto"/>
          <w:sz w:val="24"/>
          <w:szCs w:val="24"/>
          <w:highlight w:val="none"/>
          <w:u w:val="single"/>
        </w:rPr>
        <w:t>道路运输新业态市场风险动态监测技术辅助服务（项目编号：</w:t>
      </w:r>
      <w:r>
        <w:rPr>
          <w:rFonts w:hint="eastAsia" w:ascii="仿宋" w:hAnsi="仿宋" w:eastAsia="仿宋" w:cs="仿宋"/>
          <w:color w:val="auto"/>
          <w:sz w:val="24"/>
          <w:szCs w:val="24"/>
          <w:highlight w:val="none"/>
          <w:u w:val="single"/>
          <w:lang w:eastAsia="zh-CN"/>
        </w:rPr>
        <w:t>JSZC-320000-JSQC-G2026-0029</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招标公告，我公司郑重承诺：在参加本次政府采购活动中不存在（1）负责人为同一人或者存在直接控股、管理关系的不同投标人，参加同一合同项下的政府采购活动。（2）投标人被“信用中国”（www.creditchina.gov.cn）、“中国政府采购网"（www.ccgp.gov.cn）等网站列入失信被执行人、重大税收违法失信主体名单、政府采购严重违法失信行为记录名单。（3）为采购项目提供整体设计、规范编制或者项目管理、监理、检测等服务的投标人参加本项目的采购活动。</w:t>
      </w:r>
    </w:p>
    <w:p w14:paraId="09720139">
      <w:pPr>
        <w:widowControl/>
        <w:spacing w:line="360" w:lineRule="auto"/>
        <w:ind w:firstLine="6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07B9FD2">
      <w:pPr>
        <w:widowControl/>
        <w:spacing w:line="360" w:lineRule="auto"/>
        <w:ind w:firstLine="660"/>
        <w:rPr>
          <w:rFonts w:ascii="仿宋" w:hAnsi="仿宋" w:eastAsia="仿宋" w:cs="仿宋"/>
          <w:color w:val="auto"/>
          <w:sz w:val="24"/>
          <w:szCs w:val="24"/>
          <w:highlight w:val="none"/>
        </w:rPr>
      </w:pPr>
    </w:p>
    <w:p w14:paraId="18A09570">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342A3AE7">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080D1EC6">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4027B322">
      <w:pPr>
        <w:pStyle w:val="192"/>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363" w:name="_Toc3201"/>
      <w:bookmarkStart w:id="364" w:name="_Toc23909"/>
      <w:r>
        <w:rPr>
          <w:rFonts w:hint="eastAsia" w:ascii="仿宋" w:hAnsi="仿宋" w:eastAsia="仿宋" w:cs="仿宋"/>
          <w:iCs/>
          <w:color w:val="auto"/>
          <w:sz w:val="32"/>
          <w:szCs w:val="32"/>
          <w:highlight w:val="none"/>
        </w:rPr>
        <w:t>八、法人授权书</w:t>
      </w:r>
      <w:bookmarkEnd w:id="360"/>
      <w:bookmarkEnd w:id="363"/>
      <w:bookmarkEnd w:id="364"/>
    </w:p>
    <w:p w14:paraId="72930787">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致____________（采购人或采购代理机构）：</w:t>
      </w:r>
    </w:p>
    <w:p w14:paraId="5B2A7E88">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本授权书声明：注册于___________（投标人住址）的___________（投标人名称）法定代表人_______（姓名、职务）代表本公司授权_______（被授权投标代表姓名、职务）为本公司的合法投标代表，就贵方组织的</w:t>
      </w:r>
      <w:r>
        <w:rPr>
          <w:rFonts w:hint="eastAsia" w:ascii="仿宋" w:hAnsi="仿宋" w:eastAsia="仿宋" w:cs="仿宋"/>
          <w:color w:val="auto"/>
          <w:sz w:val="24"/>
          <w:szCs w:val="24"/>
          <w:highlight w:val="none"/>
          <w:u w:val="single"/>
        </w:rPr>
        <w:t>道路运输新业态市场风险动态监测技术辅助服务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eastAsia="zh-CN"/>
        </w:rPr>
        <w:t>JSZC-320000-JSQC-G2026-0029</w:t>
      </w:r>
      <w:r>
        <w:rPr>
          <w:rFonts w:hint="eastAsia" w:ascii="仿宋" w:hAnsi="仿宋" w:eastAsia="仿宋" w:cs="仿宋"/>
          <w:color w:val="auto"/>
          <w:sz w:val="24"/>
          <w:szCs w:val="24"/>
          <w:highlight w:val="none"/>
        </w:rPr>
        <w:t>）投标、合同的执行，以本公司名义处理一切与之有关的事务。</w:t>
      </w:r>
    </w:p>
    <w:p w14:paraId="36AE3E83">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本授权书于______年______月_____日生效，特此声明。</w:t>
      </w:r>
    </w:p>
    <w:p w14:paraId="0BFC1F6B">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被授权投标代表无转委托权。</w:t>
      </w:r>
    </w:p>
    <w:p w14:paraId="29669E9B">
      <w:pPr>
        <w:pStyle w:val="252"/>
        <w:spacing w:line="360" w:lineRule="auto"/>
        <w:ind w:firstLine="480"/>
        <w:rPr>
          <w:rFonts w:ascii="仿宋" w:hAnsi="仿宋" w:eastAsia="仿宋" w:cs="仿宋"/>
          <w:color w:val="auto"/>
          <w:sz w:val="24"/>
          <w:szCs w:val="24"/>
          <w:highlight w:val="none"/>
        </w:rPr>
      </w:pPr>
    </w:p>
    <w:tbl>
      <w:tblPr>
        <w:tblStyle w:val="34"/>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00"/>
      </w:tblGrid>
      <w:tr w14:paraId="49C6D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3" w:hRule="atLeast"/>
          <w:jc w:val="center"/>
        </w:trPr>
        <w:tc>
          <w:tcPr>
            <w:tcW w:w="7400" w:type="dxa"/>
            <w:noWrap/>
            <w:vAlign w:val="center"/>
          </w:tcPr>
          <w:p w14:paraId="5371FD53">
            <w:pPr>
              <w:pStyle w:val="216"/>
              <w:spacing w:line="360" w:lineRule="auto"/>
              <w:rPr>
                <w:color w:val="auto"/>
                <w:highlight w:val="none"/>
              </w:rPr>
            </w:pPr>
          </w:p>
          <w:p w14:paraId="260D3999">
            <w:pPr>
              <w:pStyle w:val="216"/>
              <w:spacing w:line="360" w:lineRule="auto"/>
              <w:rPr>
                <w:color w:val="auto"/>
                <w:highlight w:val="none"/>
              </w:rPr>
            </w:pPr>
          </w:p>
          <w:p w14:paraId="335919EC">
            <w:pPr>
              <w:pStyle w:val="216"/>
              <w:spacing w:line="360" w:lineRule="auto"/>
              <w:rPr>
                <w:color w:val="auto"/>
                <w:highlight w:val="none"/>
              </w:rPr>
            </w:pPr>
          </w:p>
          <w:p w14:paraId="4BEAF508">
            <w:pPr>
              <w:pStyle w:val="216"/>
              <w:spacing w:line="360" w:lineRule="auto"/>
              <w:jc w:val="center"/>
              <w:rPr>
                <w:color w:val="auto"/>
                <w:highlight w:val="none"/>
              </w:rPr>
            </w:pPr>
            <w:r>
              <w:rPr>
                <w:rFonts w:hint="eastAsia"/>
                <w:color w:val="auto"/>
                <w:highlight w:val="none"/>
              </w:rPr>
              <w:t>法定代表人和被授权投标代表身份证复印件。</w:t>
            </w:r>
          </w:p>
          <w:p w14:paraId="6940F4CE">
            <w:pPr>
              <w:pStyle w:val="216"/>
              <w:spacing w:line="360" w:lineRule="auto"/>
              <w:rPr>
                <w:color w:val="auto"/>
                <w:highlight w:val="none"/>
              </w:rPr>
            </w:pPr>
          </w:p>
          <w:p w14:paraId="7A94A9A1">
            <w:pPr>
              <w:pStyle w:val="216"/>
              <w:spacing w:line="360" w:lineRule="auto"/>
              <w:rPr>
                <w:color w:val="auto"/>
                <w:highlight w:val="none"/>
              </w:rPr>
            </w:pPr>
          </w:p>
          <w:p w14:paraId="676A9AF3">
            <w:pPr>
              <w:pStyle w:val="216"/>
              <w:spacing w:line="360" w:lineRule="auto"/>
              <w:rPr>
                <w:color w:val="auto"/>
                <w:highlight w:val="none"/>
              </w:rPr>
            </w:pPr>
          </w:p>
        </w:tc>
      </w:tr>
    </w:tbl>
    <w:p w14:paraId="5A8B360A">
      <w:pPr>
        <w:pStyle w:val="252"/>
        <w:spacing w:line="360" w:lineRule="auto"/>
        <w:ind w:firstLine="480"/>
        <w:rPr>
          <w:rFonts w:ascii="仿宋" w:hAnsi="仿宋" w:eastAsia="仿宋" w:cs="仿宋"/>
          <w:color w:val="auto"/>
          <w:sz w:val="24"/>
          <w:szCs w:val="24"/>
          <w:highlight w:val="none"/>
        </w:rPr>
      </w:pPr>
    </w:p>
    <w:p w14:paraId="5A7156D7">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投标人名称（公章）：________________</w:t>
      </w:r>
    </w:p>
    <w:p w14:paraId="7A54484F">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法定代表人（签字或签章）：________________</w:t>
      </w:r>
    </w:p>
    <w:p w14:paraId="2FBB6F93">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被授权投标代表（签字）：________________</w:t>
      </w:r>
    </w:p>
    <w:p w14:paraId="213D50C5">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被授权投标代表联系电话：____________</w:t>
      </w:r>
    </w:p>
    <w:p w14:paraId="11C1C59E">
      <w:pPr>
        <w:pStyle w:val="252"/>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日期：____________</w:t>
      </w:r>
    </w:p>
    <w:p w14:paraId="706234D8">
      <w:pPr>
        <w:pStyle w:val="252"/>
        <w:spacing w:line="360" w:lineRule="auto"/>
        <w:ind w:firstLine="480"/>
        <w:rPr>
          <w:rFonts w:ascii="仿宋" w:hAnsi="仿宋" w:eastAsia="仿宋" w:cs="仿宋"/>
          <w:color w:val="auto"/>
          <w:sz w:val="24"/>
          <w:szCs w:val="24"/>
          <w:highlight w:val="none"/>
        </w:rPr>
      </w:pPr>
    </w:p>
    <w:p w14:paraId="18599AEC">
      <w:pPr>
        <w:pStyle w:val="252"/>
        <w:spacing w:line="360" w:lineRule="auto"/>
        <w:ind w:firstLine="482"/>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特别说明：投标人如由被授权投标代表参加投标活动的，须同时提供《法定代表人授权委托书》、法定代表人和被授权投标代表身份证复印件。《法定代表人授权委托书》应当按本格式要求加盖与投标人名称全称一致的标准公章，并签署法定代表人和被授权投标代表的全名或加盖名章。</w:t>
      </w:r>
    </w:p>
    <w:p w14:paraId="066ED36E">
      <w:pPr>
        <w:pStyle w:val="252"/>
        <w:spacing w:line="360" w:lineRule="auto"/>
        <w:ind w:firstLine="482"/>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如由法定代表人参加投标活动的，只需提供法定代表人身份证复印件。</w:t>
      </w:r>
    </w:p>
    <w:p w14:paraId="3C73A40B">
      <w:pPr>
        <w:pStyle w:val="192"/>
        <w:spacing w:before="0" w:after="100" w:line="360" w:lineRule="auto"/>
        <w:jc w:val="both"/>
        <w:rPr>
          <w:rFonts w:ascii="仿宋" w:hAnsi="仿宋" w:eastAsia="仿宋" w:cs="仿宋"/>
          <w:iCs/>
          <w:color w:val="auto"/>
          <w:sz w:val="32"/>
          <w:szCs w:val="32"/>
          <w:highlight w:val="none"/>
        </w:rPr>
      </w:pPr>
      <w:bookmarkStart w:id="365" w:name="_Toc17236"/>
      <w:bookmarkStart w:id="366" w:name="_Toc23937"/>
      <w:bookmarkStart w:id="367" w:name="_Toc17268"/>
      <w:r>
        <w:rPr>
          <w:rFonts w:hint="eastAsia" w:ascii="仿宋" w:hAnsi="仿宋" w:eastAsia="仿宋" w:cs="仿宋"/>
          <w:iCs/>
          <w:color w:val="auto"/>
          <w:sz w:val="32"/>
          <w:szCs w:val="32"/>
          <w:highlight w:val="none"/>
        </w:rPr>
        <w:t>九、投标函</w:t>
      </w:r>
      <w:bookmarkEnd w:id="365"/>
      <w:bookmarkEnd w:id="366"/>
      <w:bookmarkEnd w:id="367"/>
    </w:p>
    <w:p w14:paraId="05004AA0">
      <w:pPr>
        <w:pStyle w:val="254"/>
        <w:spacing w:before="0" w:after="0"/>
        <w:ind w:firstLine="0"/>
        <w:rPr>
          <w:rFonts w:ascii="仿宋" w:hAnsi="仿宋" w:eastAsia="仿宋" w:cs="仿宋"/>
          <w:color w:val="auto"/>
          <w:szCs w:val="21"/>
          <w:highlight w:val="none"/>
        </w:rPr>
      </w:pPr>
      <w:r>
        <w:rPr>
          <w:rFonts w:hint="eastAsia" w:ascii="仿宋" w:hAnsi="仿宋" w:eastAsia="仿宋" w:cs="仿宋"/>
          <w:color w:val="auto"/>
          <w:szCs w:val="21"/>
          <w:highlight w:val="none"/>
        </w:rPr>
        <w:t>致：江苏柒采招标代理有限公司</w:t>
      </w:r>
    </w:p>
    <w:p w14:paraId="6F16445A">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根据贵方的</w:t>
      </w:r>
      <w:r>
        <w:rPr>
          <w:rFonts w:hint="eastAsia" w:ascii="仿宋" w:hAnsi="仿宋" w:eastAsia="仿宋" w:cs="仿宋"/>
          <w:color w:val="auto"/>
          <w:highlight w:val="none"/>
        </w:rPr>
        <w:t>项目编号为</w:t>
      </w:r>
      <w:r>
        <w:rPr>
          <w:rFonts w:hint="eastAsia" w:ascii="仿宋" w:hAnsi="仿宋" w:eastAsia="仿宋" w:cs="仿宋"/>
          <w:color w:val="auto"/>
          <w:highlight w:val="none"/>
          <w:u w:val="single"/>
          <w:lang w:eastAsia="zh-CN"/>
        </w:rPr>
        <w:t>JSZC-320000-JSQC-G2026-0029</w:t>
      </w:r>
      <w:r>
        <w:rPr>
          <w:rFonts w:hint="eastAsia" w:ascii="仿宋" w:hAnsi="仿宋" w:eastAsia="仿宋" w:cs="仿宋"/>
          <w:color w:val="auto"/>
          <w:highlight w:val="none"/>
        </w:rPr>
        <w:t>的</w:t>
      </w:r>
      <w:r>
        <w:rPr>
          <w:rFonts w:hint="eastAsia" w:ascii="仿宋" w:hAnsi="仿宋" w:eastAsia="仿宋" w:cs="仿宋"/>
          <w:color w:val="auto"/>
          <w:highlight w:val="none"/>
          <w:u w:val="single"/>
        </w:rPr>
        <w:t xml:space="preserve">道路运输新业态市场风险动态监测技术辅助服务            </w:t>
      </w:r>
      <w:r>
        <w:rPr>
          <w:rFonts w:hint="eastAsia" w:ascii="仿宋" w:hAnsi="仿宋" w:eastAsia="仿宋" w:cs="仿宋"/>
          <w:color w:val="auto"/>
          <w:highlight w:val="none"/>
        </w:rPr>
        <w:t>（项目名称和分包名称）</w:t>
      </w:r>
      <w:r>
        <w:rPr>
          <w:rFonts w:hint="eastAsia" w:ascii="仿宋" w:hAnsi="仿宋" w:eastAsia="仿宋" w:cs="仿宋"/>
          <w:color w:val="auto"/>
          <w:szCs w:val="21"/>
          <w:highlight w:val="none"/>
        </w:rPr>
        <w:t>招标文件，正式授权下述签字人_________________（姓名）代表我方______________（投标人的名称），全权处理本次项目投标的有关事宜。</w:t>
      </w:r>
    </w:p>
    <w:p w14:paraId="0038AC6F">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据此函，__________签字人兹宣布同意如下：</w:t>
      </w:r>
    </w:p>
    <w:p w14:paraId="064DD915">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1.按招标文件规定的各项要求，向买方提供所需服务（包含于服务相关的产品）。</w:t>
      </w:r>
    </w:p>
    <w:p w14:paraId="2678D6E8">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2.我们完全理解贵方不一定将合同授予最低报价的投标人。</w:t>
      </w:r>
    </w:p>
    <w:p w14:paraId="7E2E8317">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3.我们已详细审核全部招标文件及其有效补充文件，我们知道必须放弃提出含糊不清或误解问题的权利。</w:t>
      </w:r>
    </w:p>
    <w:p w14:paraId="3877D689">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4.我们同意从规定的开标日期起遵循本投标文件，并在规定的投标有效期期满之前均具有约束力。</w:t>
      </w:r>
    </w:p>
    <w:p w14:paraId="2C47406E">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5.同意向贵方提供贵方可能另外要求的与投标有关的任何证据或资料，并保证我方已提供和将要提供的文件是真实的、准确的。</w:t>
      </w:r>
    </w:p>
    <w:p w14:paraId="3D6C692B">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6.一旦我方中标，我方将根据招标文件的规定，严格履行合同的责任和义务，并保证在招标文件规定的时间完成项目，交付买方验收、使用。</w:t>
      </w:r>
    </w:p>
    <w:p w14:paraId="10E85461">
      <w:pPr>
        <w:pStyle w:val="254"/>
        <w:spacing w:before="0" w:after="0"/>
        <w:rPr>
          <w:rFonts w:ascii="仿宋" w:hAnsi="仿宋" w:eastAsia="仿宋" w:cs="仿宋"/>
          <w:color w:val="auto"/>
          <w:szCs w:val="21"/>
          <w:highlight w:val="none"/>
        </w:rPr>
      </w:pPr>
      <w:r>
        <w:rPr>
          <w:rFonts w:hint="eastAsia" w:ascii="仿宋" w:hAnsi="仿宋" w:eastAsia="仿宋" w:cs="仿宋"/>
          <w:color w:val="auto"/>
          <w:szCs w:val="21"/>
          <w:highlight w:val="none"/>
        </w:rPr>
        <w:t>7.与本投标有关的正式通讯地址为：</w:t>
      </w:r>
    </w:p>
    <w:p w14:paraId="1157145C">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地          址：</w:t>
      </w:r>
    </w:p>
    <w:p w14:paraId="73FEF1CB">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邮          编：</w:t>
      </w:r>
    </w:p>
    <w:p w14:paraId="152E7193">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电          话：</w:t>
      </w:r>
    </w:p>
    <w:p w14:paraId="518FF818">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传          真：</w:t>
      </w:r>
    </w:p>
    <w:p w14:paraId="02B5DA28">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投标人开户行：</w:t>
      </w:r>
    </w:p>
    <w:p w14:paraId="0E0067D5">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账          户： </w:t>
      </w:r>
    </w:p>
    <w:p w14:paraId="5E9368AA">
      <w:pPr>
        <w:pStyle w:val="254"/>
        <w:spacing w:before="0" w:after="0"/>
        <w:ind w:left="420"/>
        <w:rPr>
          <w:rFonts w:ascii="仿宋" w:hAnsi="仿宋" w:eastAsia="仿宋" w:cs="仿宋"/>
          <w:color w:val="auto"/>
          <w:szCs w:val="21"/>
          <w:highlight w:val="none"/>
        </w:rPr>
      </w:pPr>
      <w:r>
        <w:rPr>
          <w:rFonts w:hint="eastAsia" w:ascii="仿宋" w:hAnsi="仿宋" w:eastAsia="仿宋" w:cs="仿宋"/>
          <w:color w:val="auto"/>
          <w:szCs w:val="21"/>
          <w:highlight w:val="none"/>
        </w:rPr>
        <w:t>日           期：________年____月____日</w:t>
      </w:r>
    </w:p>
    <w:p w14:paraId="6BD28EED">
      <w:pPr>
        <w:spacing w:line="360" w:lineRule="auto"/>
        <w:ind w:firstLine="240"/>
        <w:jc w:val="center"/>
        <w:rPr>
          <w:rFonts w:ascii="仿宋" w:hAnsi="仿宋" w:eastAsia="仿宋" w:cs="仿宋"/>
          <w:bCs/>
          <w:color w:val="auto"/>
          <w:sz w:val="24"/>
          <w:highlight w:val="none"/>
        </w:rPr>
      </w:pPr>
    </w:p>
    <w:p w14:paraId="5F1A3663">
      <w:pPr>
        <w:rPr>
          <w:rFonts w:ascii="仿宋" w:hAnsi="仿宋" w:eastAsia="仿宋" w:cs="仿宋"/>
          <w:iCs/>
          <w:color w:val="auto"/>
          <w:sz w:val="32"/>
          <w:szCs w:val="32"/>
          <w:highlight w:val="none"/>
        </w:rPr>
      </w:pPr>
      <w:bookmarkStart w:id="368" w:name="_Toc28074"/>
      <w:bookmarkStart w:id="369" w:name="_Toc10699"/>
      <w:r>
        <w:rPr>
          <w:rFonts w:hint="eastAsia" w:ascii="仿宋" w:hAnsi="仿宋" w:eastAsia="仿宋" w:cs="仿宋"/>
          <w:iCs/>
          <w:color w:val="auto"/>
          <w:sz w:val="32"/>
          <w:szCs w:val="32"/>
          <w:highlight w:val="none"/>
        </w:rPr>
        <w:br w:type="page"/>
      </w:r>
    </w:p>
    <w:p w14:paraId="01A075FC">
      <w:pPr>
        <w:pStyle w:val="192"/>
        <w:spacing w:before="0" w:after="100" w:line="360" w:lineRule="auto"/>
        <w:jc w:val="both"/>
        <w:rPr>
          <w:rFonts w:ascii="仿宋" w:hAnsi="仿宋" w:eastAsia="仿宋" w:cs="仿宋"/>
          <w:iCs/>
          <w:color w:val="auto"/>
          <w:sz w:val="32"/>
          <w:szCs w:val="32"/>
          <w:highlight w:val="none"/>
        </w:rPr>
      </w:pPr>
      <w:bookmarkStart w:id="370" w:name="_Toc2274"/>
      <w:r>
        <w:rPr>
          <w:rFonts w:hint="eastAsia" w:ascii="仿宋" w:hAnsi="仿宋" w:eastAsia="仿宋" w:cs="仿宋"/>
          <w:iCs/>
          <w:color w:val="auto"/>
          <w:sz w:val="32"/>
          <w:szCs w:val="32"/>
          <w:highlight w:val="none"/>
        </w:rPr>
        <w:t>十、中小企业声明函（服务）</w:t>
      </w:r>
      <w:bookmarkEnd w:id="368"/>
      <w:bookmarkEnd w:id="369"/>
      <w:bookmarkEnd w:id="370"/>
    </w:p>
    <w:p w14:paraId="0B161D09">
      <w:pPr>
        <w:spacing w:line="560" w:lineRule="exact"/>
        <w:ind w:firstLine="360"/>
        <w:rPr>
          <w:rFonts w:ascii="仿宋" w:hAnsi="仿宋" w:eastAsia="仿宋" w:cs="仿宋"/>
          <w:color w:val="auto"/>
          <w:sz w:val="24"/>
          <w:szCs w:val="24"/>
          <w:highlight w:val="none"/>
        </w:rPr>
      </w:pPr>
      <w:bookmarkStart w:id="371" w:name="_Toc23468"/>
      <w:bookmarkStart w:id="372" w:name="_Toc1"/>
      <w:bookmarkStart w:id="373" w:name="_Toc8428"/>
      <w:r>
        <w:rPr>
          <w:rFonts w:hint="eastAsia" w:ascii="仿宋" w:hAnsi="仿宋" w:eastAsia="仿宋" w:cs="仿宋"/>
          <w:color w:val="auto"/>
          <w:sz w:val="24"/>
          <w:szCs w:val="24"/>
          <w:highlight w:val="none"/>
        </w:rPr>
        <w:t>本公司郑重声明，根据《政府采购促进中小企业发展管理办法》（财库〔2020〕46号）的规定，本公司参加江苏柒采招标代理有限公司组织的项目编号为</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（项目名称、分包名称）</w:t>
      </w:r>
      <w:r>
        <w:rPr>
          <w:rFonts w:hint="eastAsia" w:ascii="仿宋" w:hAnsi="仿宋" w:eastAsia="仿宋" w:cs="仿宋"/>
          <w:color w:val="auto"/>
          <w:sz w:val="24"/>
          <w:szCs w:val="24"/>
          <w:highlight w:val="none"/>
        </w:rPr>
        <w:t>的招标活动，服务全部由符合政策的小微企业承接。根据《工业和信息化部、国家统计局、国家发展和改革委员会、财政部关于印发中小企业划型标准规定的通知》（工信部联企业〔2011〕300号）的规定，相关企业的具体情况如下：</w:t>
      </w:r>
    </w:p>
    <w:p w14:paraId="17831DAC">
      <w:pPr>
        <w:spacing w:line="56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（小型企业、微型企业）；</w:t>
      </w:r>
    </w:p>
    <w:p w14:paraId="5CC11791">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321D60B7">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2BA561AB">
      <w:pPr>
        <w:spacing w:line="560" w:lineRule="exact"/>
        <w:ind w:right="720"/>
        <w:rPr>
          <w:rFonts w:ascii="仿宋" w:hAnsi="仿宋" w:eastAsia="仿宋" w:cs="仿宋"/>
          <w:color w:val="auto"/>
          <w:sz w:val="24"/>
          <w:szCs w:val="24"/>
          <w:highlight w:val="none"/>
        </w:rPr>
      </w:pPr>
    </w:p>
    <w:p w14:paraId="4AD7EA49">
      <w:pPr>
        <w:spacing w:line="560" w:lineRule="exact"/>
        <w:ind w:right="180" w:firstLine="360"/>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企业名称（加盖公章）：</w:t>
      </w:r>
    </w:p>
    <w:p w14:paraId="245282FA">
      <w:pPr>
        <w:spacing w:line="560" w:lineRule="exact"/>
        <w:ind w:right="480" w:firstLine="7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0B5A0979">
      <w:pPr>
        <w:spacing w:line="360" w:lineRule="auto"/>
        <w:ind w:firstLine="480"/>
        <w:rPr>
          <w:rFonts w:ascii="仿宋" w:hAnsi="仿宋" w:eastAsia="仿宋" w:cs="仿宋"/>
          <w:color w:val="auto"/>
          <w:sz w:val="24"/>
          <w:szCs w:val="24"/>
          <w:highlight w:val="none"/>
        </w:rPr>
      </w:pPr>
    </w:p>
    <w:p w14:paraId="102A0D2C">
      <w:pPr>
        <w:spacing w:line="5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本项目属于</w:t>
      </w:r>
      <w:r>
        <w:rPr>
          <w:rFonts w:hint="eastAsia" w:ascii="仿宋" w:hAnsi="仿宋" w:eastAsia="仿宋" w:cs="仿宋"/>
          <w:b/>
          <w:bCs/>
          <w:color w:val="auto"/>
          <w:sz w:val="24"/>
          <w:szCs w:val="24"/>
          <w:highlight w:val="none"/>
          <w:u w:val="single"/>
        </w:rPr>
        <w:t>其他未列明行业</w:t>
      </w:r>
      <w:r>
        <w:rPr>
          <w:rFonts w:hint="eastAsia"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p w14:paraId="04B9722F">
      <w:pPr>
        <w:spacing w:line="560" w:lineRule="exact"/>
        <w:ind w:firstLine="480"/>
        <w:rPr>
          <w:rFonts w:ascii="仿宋" w:hAnsi="仿宋" w:eastAsia="仿宋" w:cs="仿宋"/>
          <w:color w:val="auto"/>
          <w:sz w:val="24"/>
          <w:szCs w:val="24"/>
          <w:highlight w:val="none"/>
        </w:rPr>
      </w:pPr>
    </w:p>
    <w:p w14:paraId="2A65E20D">
      <w:pPr>
        <w:spacing w:line="5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备注1：从业人员、营业收入、资产总额填报上一年度数据，无上一年度数据的新成立企业可不填报。</w:t>
      </w:r>
    </w:p>
    <w:p w14:paraId="3EAB813F">
      <w:pPr>
        <w:spacing w:line="560" w:lineRule="exact"/>
        <w:ind w:firstLine="480"/>
        <w:rPr>
          <w:rFonts w:ascii="仿宋" w:hAnsi="仿宋" w:eastAsia="仿宋" w:cs="仿宋"/>
          <w:color w:val="auto"/>
          <w:sz w:val="24"/>
          <w:szCs w:val="24"/>
          <w:highlight w:val="none"/>
        </w:rPr>
      </w:pPr>
    </w:p>
    <w:p w14:paraId="660B71FA">
      <w:pPr>
        <w:spacing w:line="560" w:lineRule="exact"/>
        <w:ind w:firstLine="480"/>
        <w:rPr>
          <w:rFonts w:ascii="仿宋" w:hAnsi="仿宋" w:eastAsia="仿宋" w:cs="仿宋"/>
          <w:color w:val="auto"/>
          <w:sz w:val="24"/>
          <w:szCs w:val="24"/>
          <w:highlight w:val="none"/>
        </w:rPr>
      </w:pPr>
    </w:p>
    <w:p w14:paraId="6453616D">
      <w:pPr>
        <w:pStyle w:val="192"/>
        <w:spacing w:before="0" w:after="100" w:line="360" w:lineRule="auto"/>
        <w:jc w:val="both"/>
        <w:rPr>
          <w:rFonts w:ascii="仿宋" w:hAnsi="仿宋" w:eastAsia="仿宋" w:cs="仿宋"/>
          <w:b w:val="0"/>
          <w:color w:val="auto"/>
          <w:sz w:val="32"/>
          <w:szCs w:val="32"/>
          <w:highlight w:val="none"/>
        </w:rPr>
      </w:pPr>
      <w:bookmarkStart w:id="374" w:name="_Toc8915"/>
      <w:r>
        <w:rPr>
          <w:rFonts w:hint="eastAsia" w:ascii="仿宋" w:hAnsi="仿宋" w:eastAsia="仿宋" w:cs="仿宋"/>
          <w:iCs/>
          <w:color w:val="auto"/>
          <w:sz w:val="32"/>
          <w:szCs w:val="32"/>
          <w:highlight w:val="none"/>
        </w:rPr>
        <w:t>十一、残疾人福利性单位声明函</w:t>
      </w:r>
      <w:bookmarkEnd w:id="371"/>
      <w:bookmarkEnd w:id="372"/>
      <w:bookmarkEnd w:id="373"/>
      <w:bookmarkEnd w:id="374"/>
    </w:p>
    <w:p w14:paraId="25A4BA1C">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项目采购活动由本单位提供服务。</w:t>
      </w:r>
    </w:p>
    <w:p w14:paraId="5ABC8AE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53FC2910">
      <w:pPr>
        <w:spacing w:line="360" w:lineRule="auto"/>
        <w:ind w:firstLine="480"/>
        <w:rPr>
          <w:rFonts w:ascii="仿宋" w:hAnsi="仿宋" w:eastAsia="仿宋" w:cs="仿宋"/>
          <w:color w:val="auto"/>
          <w:sz w:val="24"/>
          <w:highlight w:val="none"/>
        </w:rPr>
      </w:pPr>
    </w:p>
    <w:p w14:paraId="3DA928E9">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（备注：1、供应商如不提供此声明函，价格将不做相应扣除。2、中标人为残疾人福利单位的，此声明函将随成交结果同时公告，接受社会监督）</w:t>
      </w:r>
    </w:p>
    <w:p w14:paraId="72FD9139">
      <w:pPr>
        <w:spacing w:line="360" w:lineRule="auto"/>
        <w:ind w:firstLine="624"/>
        <w:rPr>
          <w:rFonts w:ascii="仿宋" w:hAnsi="仿宋" w:eastAsia="仿宋" w:cs="仿宋"/>
          <w:color w:val="auto"/>
          <w:spacing w:val="6"/>
          <w:sz w:val="30"/>
          <w:szCs w:val="30"/>
          <w:highlight w:val="none"/>
        </w:rPr>
      </w:pPr>
    </w:p>
    <w:p w14:paraId="25D73C16">
      <w:pPr>
        <w:tabs>
          <w:tab w:val="left" w:pos="4860"/>
        </w:tabs>
        <w:spacing w:line="360" w:lineRule="auto"/>
        <w:ind w:right="1560" w:firstLine="624"/>
        <w:jc w:val="center"/>
        <w:rPr>
          <w:rFonts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企业名称</w:t>
      </w:r>
      <w:r>
        <w:rPr>
          <w:rFonts w:hint="eastAsia" w:ascii="仿宋" w:hAnsi="仿宋" w:eastAsia="仿宋" w:cs="仿宋"/>
          <w:color w:val="auto"/>
          <w:sz w:val="24"/>
          <w:highlight w:val="none"/>
        </w:rPr>
        <w:t>（加盖公章）：</w:t>
      </w:r>
    </w:p>
    <w:p w14:paraId="5C3DB82B">
      <w:pPr>
        <w:tabs>
          <w:tab w:val="left" w:pos="4860"/>
        </w:tabs>
        <w:spacing w:line="360" w:lineRule="auto"/>
        <w:ind w:right="1560"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55F6A16E">
      <w:pPr>
        <w:spacing w:line="360" w:lineRule="auto"/>
        <w:ind w:firstLine="480"/>
        <w:rPr>
          <w:rFonts w:ascii="仿宋" w:hAnsi="仿宋" w:eastAsia="仿宋" w:cs="仿宋"/>
          <w:color w:val="auto"/>
          <w:sz w:val="24"/>
          <w:highlight w:val="none"/>
        </w:rPr>
      </w:pPr>
    </w:p>
    <w:p w14:paraId="6C2E84A0">
      <w:pPr>
        <w:pStyle w:val="192"/>
        <w:spacing w:after="100" w:line="360" w:lineRule="auto"/>
        <w:jc w:val="left"/>
        <w:rPr>
          <w:rFonts w:ascii="仿宋" w:hAnsi="仿宋" w:eastAsia="仿宋" w:cs="仿宋"/>
          <w:iCs/>
          <w:color w:val="auto"/>
          <w:sz w:val="32"/>
          <w:szCs w:val="32"/>
          <w:highlight w:val="none"/>
        </w:rPr>
      </w:pPr>
      <w:r>
        <w:rPr>
          <w:rFonts w:hint="eastAsia" w:ascii="仿宋" w:hAnsi="仿宋" w:eastAsia="仿宋" w:cs="仿宋"/>
          <w:color w:val="auto"/>
          <w:sz w:val="24"/>
          <w:highlight w:val="none"/>
        </w:rPr>
        <w:br w:type="page" w:clear="all"/>
      </w:r>
      <w:bookmarkStart w:id="375" w:name="_Toc25377"/>
      <w:bookmarkStart w:id="376" w:name="_Toc19298"/>
      <w:bookmarkStart w:id="377" w:name="_Toc3428"/>
      <w:r>
        <w:rPr>
          <w:rFonts w:hint="eastAsia" w:ascii="仿宋" w:hAnsi="仿宋" w:eastAsia="仿宋" w:cs="仿宋"/>
          <w:iCs/>
          <w:color w:val="auto"/>
          <w:sz w:val="32"/>
          <w:szCs w:val="32"/>
          <w:highlight w:val="none"/>
        </w:rPr>
        <w:t>十二 、开标一览表</w:t>
      </w:r>
      <w:bookmarkEnd w:id="375"/>
      <w:bookmarkEnd w:id="376"/>
    </w:p>
    <w:p w14:paraId="427EC9A5">
      <w:pPr>
        <w:pStyle w:val="216"/>
        <w:spacing w:line="360" w:lineRule="auto"/>
        <w:jc w:val="center"/>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（格式可根据项目情况自行调整）</w:t>
      </w:r>
    </w:p>
    <w:tbl>
      <w:tblPr>
        <w:tblStyle w:val="3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45"/>
        <w:gridCol w:w="5635"/>
      </w:tblGrid>
      <w:tr w14:paraId="5C747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1FBAA505">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5635" w:type="dxa"/>
            <w:tcBorders>
              <w:top w:val="single" w:color="000000" w:sz="4" w:space="0"/>
              <w:left w:val="single" w:color="000000" w:sz="4" w:space="0"/>
              <w:bottom w:val="single" w:color="000000" w:sz="4" w:space="0"/>
              <w:right w:val="single" w:color="000000" w:sz="4" w:space="0"/>
            </w:tcBorders>
            <w:vAlign w:val="center"/>
          </w:tcPr>
          <w:p w14:paraId="27B2B5B9">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道路运输新业态市场风险动态监测技术辅助服务</w:t>
            </w:r>
          </w:p>
        </w:tc>
      </w:tr>
      <w:tr w14:paraId="5DA93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13FEF00A">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5635" w:type="dxa"/>
            <w:tcBorders>
              <w:top w:val="single" w:color="000000" w:sz="4" w:space="0"/>
              <w:left w:val="single" w:color="000000" w:sz="4" w:space="0"/>
              <w:bottom w:val="single" w:color="000000" w:sz="4" w:space="0"/>
              <w:right w:val="single" w:color="000000" w:sz="4" w:space="0"/>
            </w:tcBorders>
            <w:vAlign w:val="center"/>
          </w:tcPr>
          <w:p w14:paraId="77184471">
            <w:pPr>
              <w:pStyle w:val="216"/>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JSZC-320000-JSQC-G2026-0029</w:t>
            </w:r>
          </w:p>
        </w:tc>
      </w:tr>
      <w:tr w14:paraId="1B02D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4E51603E">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分包号</w:t>
            </w:r>
          </w:p>
        </w:tc>
        <w:tc>
          <w:tcPr>
            <w:tcW w:w="5635" w:type="dxa"/>
            <w:tcBorders>
              <w:top w:val="single" w:color="000000" w:sz="4" w:space="0"/>
              <w:left w:val="single" w:color="000000" w:sz="4" w:space="0"/>
              <w:bottom w:val="single" w:color="000000" w:sz="4" w:space="0"/>
              <w:right w:val="single" w:color="000000" w:sz="4" w:space="0"/>
            </w:tcBorders>
            <w:vAlign w:val="center"/>
          </w:tcPr>
          <w:p w14:paraId="63CD59C8">
            <w:pPr>
              <w:pStyle w:val="216"/>
              <w:spacing w:line="360" w:lineRule="auto"/>
              <w:jc w:val="center"/>
              <w:rPr>
                <w:rFonts w:ascii="仿宋" w:hAnsi="仿宋" w:eastAsia="仿宋" w:cs="仿宋"/>
                <w:color w:val="auto"/>
                <w:sz w:val="24"/>
                <w:szCs w:val="24"/>
                <w:highlight w:val="none"/>
                <w:u w:val="single"/>
              </w:rPr>
            </w:pPr>
          </w:p>
        </w:tc>
      </w:tr>
      <w:tr w14:paraId="0C545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3045" w:type="dxa"/>
            <w:tcBorders>
              <w:top w:val="nil"/>
              <w:left w:val="single" w:color="000000" w:sz="4" w:space="0"/>
              <w:bottom w:val="single" w:color="000000" w:sz="4" w:space="0"/>
              <w:right w:val="single" w:color="000000" w:sz="4" w:space="0"/>
            </w:tcBorders>
            <w:vAlign w:val="center"/>
          </w:tcPr>
          <w:p w14:paraId="2669DB0C">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5635" w:type="dxa"/>
            <w:tcBorders>
              <w:top w:val="nil"/>
              <w:left w:val="single" w:color="000000" w:sz="4" w:space="0"/>
              <w:bottom w:val="single" w:color="000000" w:sz="4" w:space="0"/>
              <w:right w:val="single" w:color="000000" w:sz="4" w:space="0"/>
            </w:tcBorders>
            <w:vAlign w:val="center"/>
          </w:tcPr>
          <w:p w14:paraId="299E6961">
            <w:pPr>
              <w:pStyle w:val="216"/>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元（大写）</w:t>
            </w:r>
          </w:p>
          <w:p w14:paraId="2F5F32FD">
            <w:pPr>
              <w:pStyle w:val="216"/>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元（小写）</w:t>
            </w:r>
          </w:p>
        </w:tc>
      </w:tr>
      <w:tr w14:paraId="7F1A8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604F9877">
            <w:pPr>
              <w:pStyle w:val="216"/>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服务时间</w:t>
            </w:r>
          </w:p>
        </w:tc>
        <w:tc>
          <w:tcPr>
            <w:tcW w:w="5635" w:type="dxa"/>
            <w:tcBorders>
              <w:top w:val="single" w:color="000000" w:sz="4" w:space="0"/>
              <w:left w:val="single" w:color="000000" w:sz="4" w:space="0"/>
              <w:bottom w:val="single" w:color="000000" w:sz="4" w:space="0"/>
              <w:right w:val="single" w:color="000000" w:sz="4" w:space="0"/>
            </w:tcBorders>
            <w:vAlign w:val="center"/>
          </w:tcPr>
          <w:p w14:paraId="37060A15">
            <w:pPr>
              <w:pStyle w:val="216"/>
              <w:spacing w:line="360" w:lineRule="auto"/>
              <w:jc w:val="center"/>
              <w:rPr>
                <w:rFonts w:ascii="仿宋" w:hAnsi="仿宋" w:eastAsia="仿宋" w:cs="仿宋"/>
                <w:color w:val="auto"/>
                <w:sz w:val="24"/>
                <w:szCs w:val="24"/>
                <w:highlight w:val="none"/>
              </w:rPr>
            </w:pPr>
          </w:p>
        </w:tc>
      </w:tr>
      <w:tr w14:paraId="52688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176DA930">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投标人是否为中小企业</w:t>
            </w:r>
          </w:p>
        </w:tc>
        <w:tc>
          <w:tcPr>
            <w:tcW w:w="5635" w:type="dxa"/>
            <w:tcBorders>
              <w:top w:val="single" w:color="000000" w:sz="4" w:space="0"/>
              <w:left w:val="single" w:color="000000" w:sz="4" w:space="0"/>
              <w:bottom w:val="single" w:color="000000" w:sz="4" w:space="0"/>
              <w:right w:val="single" w:color="000000" w:sz="4" w:space="0"/>
            </w:tcBorders>
            <w:vAlign w:val="center"/>
          </w:tcPr>
          <w:p w14:paraId="36A5545D">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        □否</w:t>
            </w:r>
          </w:p>
        </w:tc>
      </w:tr>
    </w:tbl>
    <w:p w14:paraId="4A965A3D">
      <w:pPr>
        <w:widowControl/>
        <w:spacing w:line="360" w:lineRule="auto"/>
        <w:jc w:val="left"/>
        <w:rPr>
          <w:rFonts w:ascii="宋体" w:hAnsi="宋体"/>
          <w:color w:val="auto"/>
          <w:highlight w:val="none"/>
        </w:rPr>
      </w:pPr>
      <w:r>
        <w:rPr>
          <w:rFonts w:hint="eastAsia" w:ascii="宋体" w:hAnsi="宋体"/>
          <w:color w:val="auto"/>
          <w:highlight w:val="none"/>
        </w:rPr>
        <w:t xml:space="preserve"> </w:t>
      </w:r>
    </w:p>
    <w:p w14:paraId="0C5E160F">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说明：</w:t>
      </w:r>
    </w:p>
    <w:p w14:paraId="386EDC33">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1、本项目仅接受一个价格，不得填报有选择性报价方案。</w:t>
      </w:r>
    </w:p>
    <w:p w14:paraId="3DBE82C5">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2、投标文件所报的投标价格不得超过招标文件规定的预算价、限价，超过招标文件规定的，按无效投标处理。</w:t>
      </w:r>
    </w:p>
    <w:p w14:paraId="1EB51F58">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3、《开标一览表》除需要装订在投标文件中外，还应另外单独用信封封装，并标明“开标一览表”字样，随投标文件一并递交，以便评标时使用。</w:t>
      </w:r>
    </w:p>
    <w:p w14:paraId="119BE539">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4、投标人须根据企业自身实际情况，在“投标人是否为中小企业”栏后“是”或“否”上打“√”。</w:t>
      </w:r>
    </w:p>
    <w:p w14:paraId="19DA7416">
      <w:pPr>
        <w:spacing w:line="360" w:lineRule="auto"/>
        <w:ind w:firstLine="480"/>
        <w:jc w:val="right"/>
        <w:rPr>
          <w:rFonts w:ascii="仿宋" w:hAnsi="仿宋" w:eastAsia="仿宋" w:cs="仿宋"/>
          <w:color w:val="auto"/>
          <w:sz w:val="24"/>
          <w:szCs w:val="24"/>
          <w:highlight w:val="none"/>
        </w:rPr>
      </w:pPr>
    </w:p>
    <w:p w14:paraId="2C037C3F">
      <w:pPr>
        <w:spacing w:line="360" w:lineRule="auto"/>
        <w:ind w:firstLine="480"/>
        <w:jc w:val="right"/>
        <w:rPr>
          <w:rFonts w:ascii="仿宋" w:hAnsi="仿宋" w:eastAsia="仿宋" w:cs="仿宋"/>
          <w:color w:val="auto"/>
          <w:sz w:val="24"/>
          <w:szCs w:val="24"/>
          <w:highlight w:val="none"/>
        </w:rPr>
      </w:pPr>
    </w:p>
    <w:p w14:paraId="035D9CE5">
      <w:pPr>
        <w:spacing w:line="360" w:lineRule="auto"/>
        <w:ind w:firstLine="480"/>
        <w:jc w:val="right"/>
        <w:rPr>
          <w:rFonts w:ascii="仿宋" w:hAnsi="仿宋" w:eastAsia="仿宋" w:cs="仿宋"/>
          <w:color w:val="auto"/>
          <w:sz w:val="24"/>
          <w:szCs w:val="24"/>
          <w:highlight w:val="none"/>
        </w:rPr>
      </w:pPr>
    </w:p>
    <w:p w14:paraId="2A9C3920">
      <w:pPr>
        <w:spacing w:line="360" w:lineRule="auto"/>
        <w:ind w:firstLine="480"/>
        <w:jc w:val="center"/>
        <w:rPr>
          <w:rFonts w:ascii="仿宋" w:hAnsi="仿宋" w:eastAsia="仿宋" w:cs="仿宋"/>
          <w:color w:val="auto"/>
          <w:highlight w:val="none"/>
        </w:rPr>
      </w:pPr>
      <w:r>
        <w:rPr>
          <w:rFonts w:hint="eastAsia" w:ascii="仿宋" w:hAnsi="仿宋" w:eastAsia="仿宋" w:cs="仿宋"/>
          <w:color w:val="auto"/>
          <w:highlight w:val="none"/>
        </w:rPr>
        <w:t>投标人全称（加盖公章）：</w:t>
      </w:r>
    </w:p>
    <w:p w14:paraId="7EB85A30">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 xml:space="preserve">    法人或授权代表（签字）：</w:t>
      </w:r>
    </w:p>
    <w:p w14:paraId="1E683E5F">
      <w:pPr>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 xml:space="preserve">                                                             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177EB6DE">
      <w:pPr>
        <w:pStyle w:val="192"/>
        <w:spacing w:after="100" w:line="360" w:lineRule="auto"/>
        <w:jc w:val="left"/>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r>
      <w:bookmarkStart w:id="378" w:name="_Toc19975"/>
      <w:r>
        <w:rPr>
          <w:rFonts w:hint="eastAsia" w:ascii="仿宋" w:hAnsi="仿宋" w:eastAsia="仿宋" w:cs="仿宋"/>
          <w:iCs/>
          <w:color w:val="auto"/>
          <w:sz w:val="32"/>
          <w:szCs w:val="32"/>
          <w:highlight w:val="none"/>
        </w:rPr>
        <w:t>十三、投标分项报价表</w:t>
      </w:r>
      <w:bookmarkEnd w:id="377"/>
      <w:bookmarkEnd w:id="378"/>
    </w:p>
    <w:p w14:paraId="1E4C13E7">
      <w:pPr>
        <w:widowControl/>
        <w:spacing w:line="360" w:lineRule="auto"/>
        <w:jc w:val="center"/>
        <w:rPr>
          <w:rFonts w:ascii="仿宋" w:hAnsi="仿宋" w:eastAsia="仿宋" w:cs="仿宋"/>
          <w:color w:val="auto"/>
          <w:sz w:val="24"/>
          <w:szCs w:val="24"/>
          <w:highlight w:val="none"/>
        </w:rPr>
      </w:pPr>
    </w:p>
    <w:p w14:paraId="32381F3B">
      <w:pPr>
        <w:widowControl/>
        <w:spacing w:line="360" w:lineRule="auto"/>
        <w:jc w:val="center"/>
        <w:rPr>
          <w:rFonts w:ascii="仿宋" w:hAnsi="仿宋" w:eastAsia="仿宋" w:cs="仿宋"/>
          <w:color w:val="auto"/>
          <w:highlight w:val="none"/>
        </w:rPr>
      </w:pPr>
      <w:r>
        <w:rPr>
          <w:rFonts w:hint="eastAsia" w:ascii="仿宋" w:hAnsi="仿宋" w:eastAsia="仿宋" w:cs="仿宋"/>
          <w:color w:val="auto"/>
          <w:sz w:val="24"/>
          <w:szCs w:val="24"/>
          <w:highlight w:val="none"/>
        </w:rPr>
        <w:t>本表可根据项目实际情况，自行调整</w:t>
      </w:r>
    </w:p>
    <w:tbl>
      <w:tblPr>
        <w:tblStyle w:val="34"/>
        <w:tblW w:w="9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729"/>
        <w:gridCol w:w="1431"/>
        <w:gridCol w:w="1061"/>
        <w:gridCol w:w="1274"/>
        <w:gridCol w:w="1652"/>
        <w:gridCol w:w="1699"/>
      </w:tblGrid>
      <w:tr w14:paraId="7F1C9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Align w:val="center"/>
          </w:tcPr>
          <w:p w14:paraId="09529CE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729" w:type="dxa"/>
            <w:vAlign w:val="center"/>
          </w:tcPr>
          <w:p w14:paraId="3AEFF0F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分项服务名称</w:t>
            </w:r>
          </w:p>
        </w:tc>
        <w:tc>
          <w:tcPr>
            <w:tcW w:w="1431" w:type="dxa"/>
            <w:vAlign w:val="center"/>
          </w:tcPr>
          <w:p w14:paraId="3D653912">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分项单位</w:t>
            </w:r>
          </w:p>
        </w:tc>
        <w:tc>
          <w:tcPr>
            <w:tcW w:w="1061" w:type="dxa"/>
            <w:vAlign w:val="center"/>
          </w:tcPr>
          <w:p w14:paraId="54134D6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274" w:type="dxa"/>
            <w:vAlign w:val="center"/>
          </w:tcPr>
          <w:p w14:paraId="738EEFC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分项单价</w:t>
            </w:r>
          </w:p>
        </w:tc>
        <w:tc>
          <w:tcPr>
            <w:tcW w:w="1652" w:type="dxa"/>
            <w:vAlign w:val="center"/>
          </w:tcPr>
          <w:p w14:paraId="0560B49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分项总价</w:t>
            </w:r>
          </w:p>
        </w:tc>
        <w:tc>
          <w:tcPr>
            <w:tcW w:w="1699" w:type="dxa"/>
            <w:vAlign w:val="center"/>
          </w:tcPr>
          <w:p w14:paraId="1CD9A32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r>
      <w:tr w14:paraId="6F8FC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28FF500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729" w:type="dxa"/>
            <w:vAlign w:val="center"/>
          </w:tcPr>
          <w:p w14:paraId="2E05250B">
            <w:pPr>
              <w:jc w:val="center"/>
              <w:rPr>
                <w:rFonts w:ascii="仿宋" w:hAnsi="仿宋" w:eastAsia="仿宋" w:cs="仿宋"/>
                <w:color w:val="auto"/>
                <w:sz w:val="24"/>
                <w:szCs w:val="24"/>
                <w:highlight w:val="none"/>
              </w:rPr>
            </w:pPr>
          </w:p>
        </w:tc>
        <w:tc>
          <w:tcPr>
            <w:tcW w:w="1431" w:type="dxa"/>
            <w:vAlign w:val="center"/>
          </w:tcPr>
          <w:p w14:paraId="4B4BB7AF">
            <w:pPr>
              <w:jc w:val="center"/>
              <w:rPr>
                <w:rFonts w:ascii="仿宋" w:hAnsi="仿宋" w:eastAsia="仿宋" w:cs="仿宋"/>
                <w:color w:val="auto"/>
                <w:sz w:val="24"/>
                <w:szCs w:val="24"/>
                <w:highlight w:val="none"/>
              </w:rPr>
            </w:pPr>
          </w:p>
        </w:tc>
        <w:tc>
          <w:tcPr>
            <w:tcW w:w="1061" w:type="dxa"/>
            <w:vAlign w:val="center"/>
          </w:tcPr>
          <w:p w14:paraId="7071D728">
            <w:pPr>
              <w:jc w:val="center"/>
              <w:rPr>
                <w:rFonts w:ascii="仿宋" w:hAnsi="仿宋" w:eastAsia="仿宋" w:cs="仿宋"/>
                <w:color w:val="auto"/>
                <w:sz w:val="24"/>
                <w:szCs w:val="24"/>
                <w:highlight w:val="none"/>
              </w:rPr>
            </w:pPr>
          </w:p>
        </w:tc>
        <w:tc>
          <w:tcPr>
            <w:tcW w:w="1274" w:type="dxa"/>
            <w:vAlign w:val="center"/>
          </w:tcPr>
          <w:p w14:paraId="52C36FFB">
            <w:pPr>
              <w:jc w:val="center"/>
              <w:rPr>
                <w:rFonts w:ascii="仿宋" w:hAnsi="仿宋" w:eastAsia="仿宋" w:cs="仿宋"/>
                <w:color w:val="auto"/>
                <w:sz w:val="24"/>
                <w:szCs w:val="24"/>
                <w:highlight w:val="none"/>
              </w:rPr>
            </w:pPr>
          </w:p>
        </w:tc>
        <w:tc>
          <w:tcPr>
            <w:tcW w:w="1652" w:type="dxa"/>
            <w:vAlign w:val="center"/>
          </w:tcPr>
          <w:p w14:paraId="4F4A73E2">
            <w:pPr>
              <w:jc w:val="center"/>
              <w:rPr>
                <w:rFonts w:ascii="仿宋" w:hAnsi="仿宋" w:eastAsia="仿宋" w:cs="仿宋"/>
                <w:color w:val="auto"/>
                <w:sz w:val="24"/>
                <w:szCs w:val="24"/>
                <w:highlight w:val="none"/>
              </w:rPr>
            </w:pPr>
          </w:p>
        </w:tc>
        <w:tc>
          <w:tcPr>
            <w:tcW w:w="1699" w:type="dxa"/>
            <w:vAlign w:val="center"/>
          </w:tcPr>
          <w:p w14:paraId="2C6C3562">
            <w:pPr>
              <w:jc w:val="center"/>
              <w:rPr>
                <w:rFonts w:ascii="仿宋" w:hAnsi="仿宋" w:eastAsia="仿宋" w:cs="仿宋"/>
                <w:color w:val="auto"/>
                <w:sz w:val="24"/>
                <w:szCs w:val="24"/>
                <w:highlight w:val="none"/>
              </w:rPr>
            </w:pPr>
          </w:p>
        </w:tc>
      </w:tr>
      <w:tr w14:paraId="0A87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56211A00">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729" w:type="dxa"/>
            <w:vAlign w:val="center"/>
          </w:tcPr>
          <w:p w14:paraId="68FE7207">
            <w:pPr>
              <w:jc w:val="center"/>
              <w:rPr>
                <w:rFonts w:ascii="仿宋" w:hAnsi="仿宋" w:eastAsia="仿宋" w:cs="仿宋"/>
                <w:color w:val="auto"/>
                <w:sz w:val="24"/>
                <w:szCs w:val="24"/>
                <w:highlight w:val="none"/>
              </w:rPr>
            </w:pPr>
          </w:p>
        </w:tc>
        <w:tc>
          <w:tcPr>
            <w:tcW w:w="1431" w:type="dxa"/>
            <w:vAlign w:val="center"/>
          </w:tcPr>
          <w:p w14:paraId="1AF1491D">
            <w:pPr>
              <w:jc w:val="center"/>
              <w:rPr>
                <w:rFonts w:ascii="仿宋" w:hAnsi="仿宋" w:eastAsia="仿宋" w:cs="仿宋"/>
                <w:color w:val="auto"/>
                <w:sz w:val="24"/>
                <w:szCs w:val="24"/>
                <w:highlight w:val="none"/>
              </w:rPr>
            </w:pPr>
          </w:p>
        </w:tc>
        <w:tc>
          <w:tcPr>
            <w:tcW w:w="1061" w:type="dxa"/>
            <w:vAlign w:val="center"/>
          </w:tcPr>
          <w:p w14:paraId="501937B0">
            <w:pPr>
              <w:jc w:val="center"/>
              <w:rPr>
                <w:rFonts w:ascii="仿宋" w:hAnsi="仿宋" w:eastAsia="仿宋" w:cs="仿宋"/>
                <w:color w:val="auto"/>
                <w:sz w:val="24"/>
                <w:szCs w:val="24"/>
                <w:highlight w:val="none"/>
              </w:rPr>
            </w:pPr>
          </w:p>
        </w:tc>
        <w:tc>
          <w:tcPr>
            <w:tcW w:w="1274" w:type="dxa"/>
            <w:vAlign w:val="center"/>
          </w:tcPr>
          <w:p w14:paraId="6B4C0DC9">
            <w:pPr>
              <w:jc w:val="center"/>
              <w:rPr>
                <w:rFonts w:ascii="仿宋" w:hAnsi="仿宋" w:eastAsia="仿宋" w:cs="仿宋"/>
                <w:color w:val="auto"/>
                <w:sz w:val="24"/>
                <w:szCs w:val="24"/>
                <w:highlight w:val="none"/>
              </w:rPr>
            </w:pPr>
          </w:p>
        </w:tc>
        <w:tc>
          <w:tcPr>
            <w:tcW w:w="1652" w:type="dxa"/>
            <w:vAlign w:val="center"/>
          </w:tcPr>
          <w:p w14:paraId="45C398CC">
            <w:pPr>
              <w:jc w:val="center"/>
              <w:rPr>
                <w:rFonts w:ascii="仿宋" w:hAnsi="仿宋" w:eastAsia="仿宋" w:cs="仿宋"/>
                <w:color w:val="auto"/>
                <w:sz w:val="24"/>
                <w:szCs w:val="24"/>
                <w:highlight w:val="none"/>
              </w:rPr>
            </w:pPr>
          </w:p>
        </w:tc>
        <w:tc>
          <w:tcPr>
            <w:tcW w:w="1699" w:type="dxa"/>
            <w:vAlign w:val="center"/>
          </w:tcPr>
          <w:p w14:paraId="484234EF">
            <w:pPr>
              <w:jc w:val="center"/>
              <w:rPr>
                <w:rFonts w:ascii="仿宋" w:hAnsi="仿宋" w:eastAsia="仿宋" w:cs="仿宋"/>
                <w:color w:val="auto"/>
                <w:sz w:val="24"/>
                <w:szCs w:val="24"/>
                <w:highlight w:val="none"/>
              </w:rPr>
            </w:pPr>
          </w:p>
        </w:tc>
      </w:tr>
      <w:tr w14:paraId="76F6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338954E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729" w:type="dxa"/>
            <w:vAlign w:val="center"/>
          </w:tcPr>
          <w:p w14:paraId="1FA628C2">
            <w:pPr>
              <w:jc w:val="center"/>
              <w:rPr>
                <w:rFonts w:ascii="仿宋" w:hAnsi="仿宋" w:eastAsia="仿宋" w:cs="仿宋"/>
                <w:color w:val="auto"/>
                <w:sz w:val="24"/>
                <w:szCs w:val="24"/>
                <w:highlight w:val="none"/>
              </w:rPr>
            </w:pPr>
          </w:p>
        </w:tc>
        <w:tc>
          <w:tcPr>
            <w:tcW w:w="1431" w:type="dxa"/>
            <w:vAlign w:val="center"/>
          </w:tcPr>
          <w:p w14:paraId="0D14D6A0">
            <w:pPr>
              <w:jc w:val="center"/>
              <w:rPr>
                <w:rFonts w:ascii="仿宋" w:hAnsi="仿宋" w:eastAsia="仿宋" w:cs="仿宋"/>
                <w:color w:val="auto"/>
                <w:sz w:val="24"/>
                <w:szCs w:val="24"/>
                <w:highlight w:val="none"/>
              </w:rPr>
            </w:pPr>
          </w:p>
        </w:tc>
        <w:tc>
          <w:tcPr>
            <w:tcW w:w="1061" w:type="dxa"/>
            <w:vAlign w:val="center"/>
          </w:tcPr>
          <w:p w14:paraId="74578AE9">
            <w:pPr>
              <w:jc w:val="center"/>
              <w:rPr>
                <w:rFonts w:ascii="仿宋" w:hAnsi="仿宋" w:eastAsia="仿宋" w:cs="仿宋"/>
                <w:color w:val="auto"/>
                <w:sz w:val="24"/>
                <w:szCs w:val="24"/>
                <w:highlight w:val="none"/>
              </w:rPr>
            </w:pPr>
          </w:p>
        </w:tc>
        <w:tc>
          <w:tcPr>
            <w:tcW w:w="1274" w:type="dxa"/>
            <w:vAlign w:val="center"/>
          </w:tcPr>
          <w:p w14:paraId="503E6870">
            <w:pPr>
              <w:jc w:val="center"/>
              <w:rPr>
                <w:rFonts w:ascii="仿宋" w:hAnsi="仿宋" w:eastAsia="仿宋" w:cs="仿宋"/>
                <w:color w:val="auto"/>
                <w:sz w:val="24"/>
                <w:szCs w:val="24"/>
                <w:highlight w:val="none"/>
              </w:rPr>
            </w:pPr>
          </w:p>
        </w:tc>
        <w:tc>
          <w:tcPr>
            <w:tcW w:w="1652" w:type="dxa"/>
            <w:vAlign w:val="center"/>
          </w:tcPr>
          <w:p w14:paraId="7F698605">
            <w:pPr>
              <w:jc w:val="center"/>
              <w:rPr>
                <w:rFonts w:ascii="仿宋" w:hAnsi="仿宋" w:eastAsia="仿宋" w:cs="仿宋"/>
                <w:color w:val="auto"/>
                <w:sz w:val="24"/>
                <w:szCs w:val="24"/>
                <w:highlight w:val="none"/>
              </w:rPr>
            </w:pPr>
          </w:p>
        </w:tc>
        <w:tc>
          <w:tcPr>
            <w:tcW w:w="1699" w:type="dxa"/>
            <w:vAlign w:val="center"/>
          </w:tcPr>
          <w:p w14:paraId="77465BD7">
            <w:pPr>
              <w:jc w:val="center"/>
              <w:rPr>
                <w:rFonts w:ascii="仿宋" w:hAnsi="仿宋" w:eastAsia="仿宋" w:cs="仿宋"/>
                <w:color w:val="auto"/>
                <w:sz w:val="24"/>
                <w:szCs w:val="24"/>
                <w:highlight w:val="none"/>
              </w:rPr>
            </w:pPr>
          </w:p>
        </w:tc>
      </w:tr>
      <w:tr w14:paraId="4F986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0BBE4A9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729" w:type="dxa"/>
            <w:vAlign w:val="center"/>
          </w:tcPr>
          <w:p w14:paraId="44797AA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1" w:type="dxa"/>
            <w:vAlign w:val="center"/>
          </w:tcPr>
          <w:p w14:paraId="371AD28F">
            <w:pPr>
              <w:jc w:val="center"/>
              <w:rPr>
                <w:rFonts w:ascii="仿宋" w:hAnsi="仿宋" w:eastAsia="仿宋" w:cs="仿宋"/>
                <w:color w:val="auto"/>
                <w:sz w:val="24"/>
                <w:szCs w:val="24"/>
                <w:highlight w:val="none"/>
              </w:rPr>
            </w:pPr>
          </w:p>
        </w:tc>
        <w:tc>
          <w:tcPr>
            <w:tcW w:w="1061" w:type="dxa"/>
            <w:vAlign w:val="center"/>
          </w:tcPr>
          <w:p w14:paraId="013DC2EC">
            <w:pPr>
              <w:jc w:val="center"/>
              <w:rPr>
                <w:rFonts w:ascii="仿宋" w:hAnsi="仿宋" w:eastAsia="仿宋" w:cs="仿宋"/>
                <w:color w:val="auto"/>
                <w:sz w:val="24"/>
                <w:szCs w:val="24"/>
                <w:highlight w:val="none"/>
              </w:rPr>
            </w:pPr>
          </w:p>
        </w:tc>
        <w:tc>
          <w:tcPr>
            <w:tcW w:w="1274" w:type="dxa"/>
            <w:vAlign w:val="center"/>
          </w:tcPr>
          <w:p w14:paraId="1A9B0E0E">
            <w:pPr>
              <w:jc w:val="center"/>
              <w:rPr>
                <w:rFonts w:ascii="仿宋" w:hAnsi="仿宋" w:eastAsia="仿宋" w:cs="仿宋"/>
                <w:color w:val="auto"/>
                <w:sz w:val="24"/>
                <w:szCs w:val="24"/>
                <w:highlight w:val="none"/>
              </w:rPr>
            </w:pPr>
          </w:p>
        </w:tc>
        <w:tc>
          <w:tcPr>
            <w:tcW w:w="1652" w:type="dxa"/>
            <w:vAlign w:val="center"/>
          </w:tcPr>
          <w:p w14:paraId="3080C991">
            <w:pPr>
              <w:jc w:val="center"/>
              <w:rPr>
                <w:rFonts w:ascii="仿宋" w:hAnsi="仿宋" w:eastAsia="仿宋" w:cs="仿宋"/>
                <w:color w:val="auto"/>
                <w:sz w:val="24"/>
                <w:szCs w:val="24"/>
                <w:highlight w:val="none"/>
              </w:rPr>
            </w:pPr>
          </w:p>
        </w:tc>
        <w:tc>
          <w:tcPr>
            <w:tcW w:w="1699" w:type="dxa"/>
            <w:vAlign w:val="center"/>
          </w:tcPr>
          <w:p w14:paraId="69B4751A">
            <w:pPr>
              <w:jc w:val="center"/>
              <w:rPr>
                <w:rFonts w:ascii="仿宋" w:hAnsi="仿宋" w:eastAsia="仿宋" w:cs="仿宋"/>
                <w:color w:val="auto"/>
                <w:sz w:val="24"/>
                <w:szCs w:val="24"/>
                <w:highlight w:val="none"/>
              </w:rPr>
            </w:pPr>
          </w:p>
        </w:tc>
      </w:tr>
      <w:tr w14:paraId="3C822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095" w:type="dxa"/>
            <w:gridSpan w:val="6"/>
            <w:vAlign w:val="center"/>
          </w:tcPr>
          <w:p w14:paraId="77F81D5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投标总报价（人民币：元）</w:t>
            </w:r>
          </w:p>
        </w:tc>
        <w:tc>
          <w:tcPr>
            <w:tcW w:w="1699" w:type="dxa"/>
            <w:vAlign w:val="center"/>
          </w:tcPr>
          <w:p w14:paraId="1C78064D">
            <w:pPr>
              <w:jc w:val="center"/>
              <w:rPr>
                <w:rFonts w:ascii="仿宋" w:hAnsi="仿宋" w:eastAsia="仿宋" w:cs="仿宋"/>
                <w:color w:val="auto"/>
                <w:sz w:val="24"/>
                <w:szCs w:val="24"/>
                <w:highlight w:val="none"/>
              </w:rPr>
            </w:pPr>
          </w:p>
        </w:tc>
      </w:tr>
    </w:tbl>
    <w:p w14:paraId="21E2D521">
      <w:pPr>
        <w:widowControl/>
        <w:spacing w:line="360" w:lineRule="auto"/>
        <w:jc w:val="left"/>
        <w:rPr>
          <w:rFonts w:ascii="仿宋" w:hAnsi="仿宋" w:eastAsia="仿宋" w:cs="仿宋"/>
          <w:color w:val="auto"/>
          <w:highlight w:val="none"/>
        </w:rPr>
      </w:pPr>
    </w:p>
    <w:p w14:paraId="7A159BCA">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7B3A468B">
      <w:pPr>
        <w:spacing w:line="360" w:lineRule="auto"/>
        <w:jc w:val="center"/>
        <w:rPr>
          <w:rFonts w:ascii="仿宋" w:hAnsi="仿宋" w:eastAsia="仿宋" w:cs="仿宋"/>
          <w:b/>
          <w:color w:val="auto"/>
          <w:sz w:val="32"/>
          <w:szCs w:val="32"/>
          <w:highlight w:val="none"/>
        </w:rPr>
      </w:pPr>
    </w:p>
    <w:p w14:paraId="045F0C96">
      <w:pPr>
        <w:pStyle w:val="192"/>
        <w:spacing w:before="0" w:after="100" w:line="360" w:lineRule="auto"/>
        <w:jc w:val="both"/>
        <w:rPr>
          <w:rFonts w:ascii="仿宋" w:hAnsi="仿宋" w:eastAsia="仿宋" w:cs="仿宋"/>
          <w:iCs/>
          <w:color w:val="auto"/>
          <w:sz w:val="32"/>
          <w:szCs w:val="32"/>
          <w:highlight w:val="none"/>
        </w:rPr>
      </w:pPr>
      <w:bookmarkStart w:id="379" w:name="_Toc18326"/>
      <w:r>
        <w:rPr>
          <w:rFonts w:hint="eastAsia" w:ascii="仿宋" w:hAnsi="仿宋" w:eastAsia="仿宋" w:cs="仿宋"/>
          <w:iCs/>
          <w:color w:val="auto"/>
          <w:sz w:val="32"/>
          <w:szCs w:val="32"/>
          <w:highlight w:val="none"/>
        </w:rPr>
        <w:br w:type="page" w:clear="all"/>
      </w:r>
      <w:bookmarkStart w:id="380" w:name="_Toc18259"/>
      <w:bookmarkStart w:id="381" w:name="_Toc4589"/>
      <w:r>
        <w:rPr>
          <w:rFonts w:hint="eastAsia" w:ascii="仿宋" w:hAnsi="仿宋" w:eastAsia="仿宋" w:cs="仿宋"/>
          <w:iCs/>
          <w:color w:val="auto"/>
          <w:sz w:val="32"/>
          <w:szCs w:val="32"/>
          <w:highlight w:val="none"/>
        </w:rPr>
        <w:t>十四、项目需求响应及偏离表</w:t>
      </w:r>
      <w:bookmarkEnd w:id="379"/>
      <w:bookmarkEnd w:id="380"/>
      <w:bookmarkEnd w:id="381"/>
    </w:p>
    <w:tbl>
      <w:tblPr>
        <w:tblStyle w:val="34"/>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3119"/>
        <w:gridCol w:w="2115"/>
        <w:gridCol w:w="2216"/>
        <w:gridCol w:w="1642"/>
      </w:tblGrid>
      <w:tr w14:paraId="1B253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rPr>
        <w:tc>
          <w:tcPr>
            <w:tcW w:w="729" w:type="dxa"/>
            <w:vAlign w:val="center"/>
          </w:tcPr>
          <w:p w14:paraId="65EA0B8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119" w:type="dxa"/>
            <w:vAlign w:val="center"/>
          </w:tcPr>
          <w:p w14:paraId="6EAF0632">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115" w:type="dxa"/>
            <w:vAlign w:val="center"/>
          </w:tcPr>
          <w:p w14:paraId="6FA1078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216" w:type="dxa"/>
            <w:vAlign w:val="center"/>
          </w:tcPr>
          <w:p w14:paraId="5777E75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642" w:type="dxa"/>
            <w:vAlign w:val="center"/>
          </w:tcPr>
          <w:p w14:paraId="08395E33">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6AFDE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023F1677">
            <w:pPr>
              <w:jc w:val="center"/>
              <w:rPr>
                <w:rFonts w:ascii="仿宋" w:hAnsi="仿宋" w:eastAsia="仿宋" w:cs="仿宋"/>
                <w:color w:val="auto"/>
                <w:sz w:val="24"/>
                <w:szCs w:val="24"/>
                <w:highlight w:val="none"/>
              </w:rPr>
            </w:pPr>
          </w:p>
        </w:tc>
        <w:tc>
          <w:tcPr>
            <w:tcW w:w="3119" w:type="dxa"/>
          </w:tcPr>
          <w:p w14:paraId="69B61EBB">
            <w:pPr>
              <w:jc w:val="center"/>
              <w:rPr>
                <w:rFonts w:ascii="仿宋" w:hAnsi="仿宋" w:eastAsia="仿宋" w:cs="仿宋"/>
                <w:color w:val="auto"/>
                <w:sz w:val="24"/>
                <w:szCs w:val="24"/>
                <w:highlight w:val="none"/>
              </w:rPr>
            </w:pPr>
          </w:p>
        </w:tc>
        <w:tc>
          <w:tcPr>
            <w:tcW w:w="2115" w:type="dxa"/>
          </w:tcPr>
          <w:p w14:paraId="34F90F94">
            <w:pPr>
              <w:jc w:val="center"/>
              <w:rPr>
                <w:rFonts w:ascii="仿宋" w:hAnsi="仿宋" w:eastAsia="仿宋" w:cs="仿宋"/>
                <w:color w:val="auto"/>
                <w:sz w:val="24"/>
                <w:szCs w:val="24"/>
                <w:highlight w:val="none"/>
              </w:rPr>
            </w:pPr>
          </w:p>
        </w:tc>
        <w:tc>
          <w:tcPr>
            <w:tcW w:w="2216" w:type="dxa"/>
          </w:tcPr>
          <w:p w14:paraId="3A15693A">
            <w:pPr>
              <w:jc w:val="center"/>
              <w:rPr>
                <w:rFonts w:ascii="仿宋" w:hAnsi="仿宋" w:eastAsia="仿宋" w:cs="仿宋"/>
                <w:color w:val="auto"/>
                <w:sz w:val="24"/>
                <w:szCs w:val="24"/>
                <w:highlight w:val="none"/>
              </w:rPr>
            </w:pPr>
          </w:p>
        </w:tc>
        <w:tc>
          <w:tcPr>
            <w:tcW w:w="1642" w:type="dxa"/>
          </w:tcPr>
          <w:p w14:paraId="63332DFD">
            <w:pPr>
              <w:jc w:val="center"/>
              <w:rPr>
                <w:rFonts w:ascii="仿宋" w:hAnsi="仿宋" w:eastAsia="仿宋" w:cs="仿宋"/>
                <w:color w:val="auto"/>
                <w:sz w:val="24"/>
                <w:szCs w:val="24"/>
                <w:highlight w:val="none"/>
              </w:rPr>
            </w:pPr>
          </w:p>
        </w:tc>
      </w:tr>
      <w:tr w14:paraId="225C1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3FF744F8">
            <w:pPr>
              <w:jc w:val="center"/>
              <w:rPr>
                <w:rFonts w:ascii="仿宋" w:hAnsi="仿宋" w:eastAsia="仿宋" w:cs="仿宋"/>
                <w:color w:val="auto"/>
                <w:sz w:val="24"/>
                <w:szCs w:val="24"/>
                <w:highlight w:val="none"/>
              </w:rPr>
            </w:pPr>
          </w:p>
        </w:tc>
        <w:tc>
          <w:tcPr>
            <w:tcW w:w="3119" w:type="dxa"/>
          </w:tcPr>
          <w:p w14:paraId="4484BD53">
            <w:pPr>
              <w:jc w:val="center"/>
              <w:rPr>
                <w:rFonts w:ascii="仿宋" w:hAnsi="仿宋" w:eastAsia="仿宋" w:cs="仿宋"/>
                <w:color w:val="auto"/>
                <w:sz w:val="24"/>
                <w:szCs w:val="24"/>
                <w:highlight w:val="none"/>
              </w:rPr>
            </w:pPr>
          </w:p>
        </w:tc>
        <w:tc>
          <w:tcPr>
            <w:tcW w:w="2115" w:type="dxa"/>
          </w:tcPr>
          <w:p w14:paraId="02BFE6A5">
            <w:pPr>
              <w:jc w:val="center"/>
              <w:rPr>
                <w:rFonts w:ascii="仿宋" w:hAnsi="仿宋" w:eastAsia="仿宋" w:cs="仿宋"/>
                <w:color w:val="auto"/>
                <w:sz w:val="24"/>
                <w:szCs w:val="24"/>
                <w:highlight w:val="none"/>
              </w:rPr>
            </w:pPr>
          </w:p>
        </w:tc>
        <w:tc>
          <w:tcPr>
            <w:tcW w:w="2216" w:type="dxa"/>
          </w:tcPr>
          <w:p w14:paraId="395F07F0">
            <w:pPr>
              <w:jc w:val="center"/>
              <w:rPr>
                <w:rFonts w:ascii="仿宋" w:hAnsi="仿宋" w:eastAsia="仿宋" w:cs="仿宋"/>
                <w:color w:val="auto"/>
                <w:sz w:val="24"/>
                <w:szCs w:val="24"/>
                <w:highlight w:val="none"/>
              </w:rPr>
            </w:pPr>
          </w:p>
        </w:tc>
        <w:tc>
          <w:tcPr>
            <w:tcW w:w="1642" w:type="dxa"/>
          </w:tcPr>
          <w:p w14:paraId="3FD69FE3">
            <w:pPr>
              <w:jc w:val="center"/>
              <w:rPr>
                <w:rFonts w:ascii="仿宋" w:hAnsi="仿宋" w:eastAsia="仿宋" w:cs="仿宋"/>
                <w:color w:val="auto"/>
                <w:sz w:val="24"/>
                <w:szCs w:val="24"/>
                <w:highlight w:val="none"/>
              </w:rPr>
            </w:pPr>
          </w:p>
        </w:tc>
      </w:tr>
      <w:tr w14:paraId="49EE5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4D857909">
            <w:pPr>
              <w:jc w:val="center"/>
              <w:rPr>
                <w:rFonts w:ascii="仿宋" w:hAnsi="仿宋" w:eastAsia="仿宋" w:cs="仿宋"/>
                <w:color w:val="auto"/>
                <w:sz w:val="24"/>
                <w:szCs w:val="24"/>
                <w:highlight w:val="none"/>
              </w:rPr>
            </w:pPr>
          </w:p>
        </w:tc>
        <w:tc>
          <w:tcPr>
            <w:tcW w:w="3119" w:type="dxa"/>
          </w:tcPr>
          <w:p w14:paraId="618CEBB1">
            <w:pPr>
              <w:jc w:val="center"/>
              <w:rPr>
                <w:rFonts w:ascii="仿宋" w:hAnsi="仿宋" w:eastAsia="仿宋" w:cs="仿宋"/>
                <w:color w:val="auto"/>
                <w:sz w:val="24"/>
                <w:szCs w:val="24"/>
                <w:highlight w:val="none"/>
              </w:rPr>
            </w:pPr>
          </w:p>
        </w:tc>
        <w:tc>
          <w:tcPr>
            <w:tcW w:w="2115" w:type="dxa"/>
          </w:tcPr>
          <w:p w14:paraId="30FB88D5">
            <w:pPr>
              <w:jc w:val="center"/>
              <w:rPr>
                <w:rFonts w:ascii="仿宋" w:hAnsi="仿宋" w:eastAsia="仿宋" w:cs="仿宋"/>
                <w:color w:val="auto"/>
                <w:sz w:val="24"/>
                <w:szCs w:val="24"/>
                <w:highlight w:val="none"/>
              </w:rPr>
            </w:pPr>
          </w:p>
        </w:tc>
        <w:tc>
          <w:tcPr>
            <w:tcW w:w="2216" w:type="dxa"/>
          </w:tcPr>
          <w:p w14:paraId="70A22812">
            <w:pPr>
              <w:jc w:val="center"/>
              <w:rPr>
                <w:rFonts w:ascii="仿宋" w:hAnsi="仿宋" w:eastAsia="仿宋" w:cs="仿宋"/>
                <w:color w:val="auto"/>
                <w:sz w:val="24"/>
                <w:szCs w:val="24"/>
                <w:highlight w:val="none"/>
              </w:rPr>
            </w:pPr>
          </w:p>
        </w:tc>
        <w:tc>
          <w:tcPr>
            <w:tcW w:w="1642" w:type="dxa"/>
          </w:tcPr>
          <w:p w14:paraId="3C98B74D">
            <w:pPr>
              <w:jc w:val="center"/>
              <w:rPr>
                <w:rFonts w:ascii="仿宋" w:hAnsi="仿宋" w:eastAsia="仿宋" w:cs="仿宋"/>
                <w:color w:val="auto"/>
                <w:sz w:val="24"/>
                <w:szCs w:val="24"/>
                <w:highlight w:val="none"/>
              </w:rPr>
            </w:pPr>
          </w:p>
        </w:tc>
      </w:tr>
      <w:tr w14:paraId="279A1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0DCFD9D4">
            <w:pPr>
              <w:jc w:val="center"/>
              <w:rPr>
                <w:rFonts w:ascii="仿宋" w:hAnsi="仿宋" w:eastAsia="仿宋" w:cs="仿宋"/>
                <w:color w:val="auto"/>
                <w:sz w:val="24"/>
                <w:szCs w:val="24"/>
                <w:highlight w:val="none"/>
              </w:rPr>
            </w:pPr>
          </w:p>
        </w:tc>
        <w:tc>
          <w:tcPr>
            <w:tcW w:w="3119" w:type="dxa"/>
          </w:tcPr>
          <w:p w14:paraId="1C826806">
            <w:pPr>
              <w:jc w:val="center"/>
              <w:rPr>
                <w:rFonts w:ascii="仿宋" w:hAnsi="仿宋" w:eastAsia="仿宋" w:cs="仿宋"/>
                <w:color w:val="auto"/>
                <w:sz w:val="24"/>
                <w:szCs w:val="24"/>
                <w:highlight w:val="none"/>
              </w:rPr>
            </w:pPr>
          </w:p>
        </w:tc>
        <w:tc>
          <w:tcPr>
            <w:tcW w:w="2115" w:type="dxa"/>
          </w:tcPr>
          <w:p w14:paraId="3680465C">
            <w:pPr>
              <w:jc w:val="center"/>
              <w:rPr>
                <w:rFonts w:ascii="仿宋" w:hAnsi="仿宋" w:eastAsia="仿宋" w:cs="仿宋"/>
                <w:color w:val="auto"/>
                <w:sz w:val="24"/>
                <w:szCs w:val="24"/>
                <w:highlight w:val="none"/>
              </w:rPr>
            </w:pPr>
          </w:p>
        </w:tc>
        <w:tc>
          <w:tcPr>
            <w:tcW w:w="2216" w:type="dxa"/>
          </w:tcPr>
          <w:p w14:paraId="5F31ECC1">
            <w:pPr>
              <w:jc w:val="center"/>
              <w:rPr>
                <w:rFonts w:ascii="仿宋" w:hAnsi="仿宋" w:eastAsia="仿宋" w:cs="仿宋"/>
                <w:color w:val="auto"/>
                <w:sz w:val="24"/>
                <w:szCs w:val="24"/>
                <w:highlight w:val="none"/>
              </w:rPr>
            </w:pPr>
          </w:p>
        </w:tc>
        <w:tc>
          <w:tcPr>
            <w:tcW w:w="1642" w:type="dxa"/>
          </w:tcPr>
          <w:p w14:paraId="567AF767">
            <w:pPr>
              <w:jc w:val="center"/>
              <w:rPr>
                <w:rFonts w:ascii="仿宋" w:hAnsi="仿宋" w:eastAsia="仿宋" w:cs="仿宋"/>
                <w:color w:val="auto"/>
                <w:sz w:val="24"/>
                <w:szCs w:val="24"/>
                <w:highlight w:val="none"/>
              </w:rPr>
            </w:pPr>
          </w:p>
        </w:tc>
      </w:tr>
      <w:tr w14:paraId="1662A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6F30DDAE">
            <w:pPr>
              <w:jc w:val="center"/>
              <w:rPr>
                <w:rFonts w:ascii="仿宋" w:hAnsi="仿宋" w:eastAsia="仿宋" w:cs="仿宋"/>
                <w:color w:val="auto"/>
                <w:sz w:val="24"/>
                <w:szCs w:val="24"/>
                <w:highlight w:val="none"/>
              </w:rPr>
            </w:pPr>
          </w:p>
        </w:tc>
        <w:tc>
          <w:tcPr>
            <w:tcW w:w="3119" w:type="dxa"/>
          </w:tcPr>
          <w:p w14:paraId="14F53056">
            <w:pPr>
              <w:jc w:val="center"/>
              <w:rPr>
                <w:rFonts w:ascii="仿宋" w:hAnsi="仿宋" w:eastAsia="仿宋" w:cs="仿宋"/>
                <w:color w:val="auto"/>
                <w:sz w:val="24"/>
                <w:szCs w:val="24"/>
                <w:highlight w:val="none"/>
              </w:rPr>
            </w:pPr>
          </w:p>
        </w:tc>
        <w:tc>
          <w:tcPr>
            <w:tcW w:w="2115" w:type="dxa"/>
          </w:tcPr>
          <w:p w14:paraId="648241D8">
            <w:pPr>
              <w:jc w:val="center"/>
              <w:rPr>
                <w:rFonts w:ascii="仿宋" w:hAnsi="仿宋" w:eastAsia="仿宋" w:cs="仿宋"/>
                <w:color w:val="auto"/>
                <w:sz w:val="24"/>
                <w:szCs w:val="24"/>
                <w:highlight w:val="none"/>
              </w:rPr>
            </w:pPr>
          </w:p>
        </w:tc>
        <w:tc>
          <w:tcPr>
            <w:tcW w:w="2216" w:type="dxa"/>
          </w:tcPr>
          <w:p w14:paraId="55FCB8EC">
            <w:pPr>
              <w:jc w:val="center"/>
              <w:rPr>
                <w:rFonts w:ascii="仿宋" w:hAnsi="仿宋" w:eastAsia="仿宋" w:cs="仿宋"/>
                <w:color w:val="auto"/>
                <w:sz w:val="24"/>
                <w:szCs w:val="24"/>
                <w:highlight w:val="none"/>
              </w:rPr>
            </w:pPr>
          </w:p>
        </w:tc>
        <w:tc>
          <w:tcPr>
            <w:tcW w:w="1642" w:type="dxa"/>
          </w:tcPr>
          <w:p w14:paraId="403FA66A">
            <w:pPr>
              <w:jc w:val="center"/>
              <w:rPr>
                <w:rFonts w:ascii="仿宋" w:hAnsi="仿宋" w:eastAsia="仿宋" w:cs="仿宋"/>
                <w:color w:val="auto"/>
                <w:sz w:val="24"/>
                <w:szCs w:val="24"/>
                <w:highlight w:val="none"/>
              </w:rPr>
            </w:pPr>
          </w:p>
        </w:tc>
      </w:tr>
      <w:tr w14:paraId="20317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9" w:type="dxa"/>
          </w:tcPr>
          <w:p w14:paraId="73BCE0A0">
            <w:pPr>
              <w:jc w:val="center"/>
              <w:rPr>
                <w:rFonts w:ascii="仿宋" w:hAnsi="仿宋" w:eastAsia="仿宋" w:cs="仿宋"/>
                <w:color w:val="auto"/>
                <w:sz w:val="24"/>
                <w:szCs w:val="24"/>
                <w:highlight w:val="none"/>
              </w:rPr>
            </w:pPr>
          </w:p>
        </w:tc>
        <w:tc>
          <w:tcPr>
            <w:tcW w:w="3119" w:type="dxa"/>
          </w:tcPr>
          <w:p w14:paraId="3613FFB0">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115" w:type="dxa"/>
          </w:tcPr>
          <w:p w14:paraId="068FE7CC">
            <w:pPr>
              <w:jc w:val="center"/>
              <w:rPr>
                <w:rFonts w:ascii="仿宋" w:hAnsi="仿宋" w:eastAsia="仿宋" w:cs="仿宋"/>
                <w:color w:val="auto"/>
                <w:sz w:val="24"/>
                <w:szCs w:val="24"/>
                <w:highlight w:val="none"/>
              </w:rPr>
            </w:pPr>
          </w:p>
        </w:tc>
        <w:tc>
          <w:tcPr>
            <w:tcW w:w="2216" w:type="dxa"/>
          </w:tcPr>
          <w:p w14:paraId="100D8363">
            <w:pPr>
              <w:jc w:val="center"/>
              <w:rPr>
                <w:rFonts w:ascii="仿宋" w:hAnsi="仿宋" w:eastAsia="仿宋" w:cs="仿宋"/>
                <w:color w:val="auto"/>
                <w:sz w:val="24"/>
                <w:szCs w:val="24"/>
                <w:highlight w:val="none"/>
              </w:rPr>
            </w:pPr>
          </w:p>
        </w:tc>
        <w:tc>
          <w:tcPr>
            <w:tcW w:w="1642" w:type="dxa"/>
          </w:tcPr>
          <w:p w14:paraId="5D6721E4">
            <w:pPr>
              <w:jc w:val="center"/>
              <w:rPr>
                <w:rFonts w:ascii="仿宋" w:hAnsi="仿宋" w:eastAsia="仿宋" w:cs="仿宋"/>
                <w:color w:val="auto"/>
                <w:sz w:val="24"/>
                <w:szCs w:val="24"/>
                <w:highlight w:val="none"/>
              </w:rPr>
            </w:pPr>
          </w:p>
        </w:tc>
      </w:tr>
    </w:tbl>
    <w:p w14:paraId="08DF0410">
      <w:pPr>
        <w:spacing w:line="360" w:lineRule="auto"/>
        <w:jc w:val="left"/>
        <w:rPr>
          <w:rFonts w:ascii="仿宋" w:hAnsi="仿宋" w:eastAsia="仿宋" w:cs="仿宋"/>
          <w:b/>
          <w:bCs/>
          <w:color w:val="auto"/>
          <w:sz w:val="22"/>
          <w:szCs w:val="22"/>
          <w:highlight w:val="none"/>
        </w:rPr>
      </w:pPr>
    </w:p>
    <w:p w14:paraId="22EDD1AE">
      <w:pPr>
        <w:spacing w:line="360" w:lineRule="auto"/>
        <w:jc w:val="lef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行数不够，可自行添加。请供应商针对招标文件第四章项目需求内容，逐条进行响应。</w:t>
      </w:r>
    </w:p>
    <w:p w14:paraId="5E5C106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0F2F4389">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8F4B8FE">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350"/>
    </w:p>
    <w:p w14:paraId="35D87A69">
      <w:pPr>
        <w:spacing w:line="360" w:lineRule="auto"/>
        <w:rPr>
          <w:color w:val="auto"/>
          <w:highlight w:val="none"/>
        </w:rPr>
      </w:pPr>
      <w:bookmarkStart w:id="382" w:name="_Hlt26955054"/>
      <w:bookmarkEnd w:id="382"/>
      <w:bookmarkStart w:id="383" w:name="_Toc2858"/>
    </w:p>
    <w:p w14:paraId="1286BF8D">
      <w:pPr>
        <w:spacing w:line="360" w:lineRule="auto"/>
        <w:rPr>
          <w:color w:val="auto"/>
          <w:highlight w:val="none"/>
        </w:rPr>
      </w:pPr>
    </w:p>
    <w:p w14:paraId="2A73494D">
      <w:pPr>
        <w:pStyle w:val="192"/>
        <w:spacing w:before="0" w:after="100" w:line="360" w:lineRule="auto"/>
        <w:jc w:val="both"/>
        <w:rPr>
          <w:rFonts w:ascii="仿宋" w:hAnsi="仿宋" w:eastAsia="仿宋" w:cs="仿宋"/>
          <w:iCs/>
          <w:color w:val="auto"/>
          <w:sz w:val="32"/>
          <w:szCs w:val="32"/>
          <w:highlight w:val="none"/>
        </w:rPr>
      </w:pPr>
      <w:bookmarkStart w:id="384" w:name="_Toc13606"/>
      <w:bookmarkStart w:id="385" w:name="_Toc16672"/>
      <w:r>
        <w:rPr>
          <w:rFonts w:hint="eastAsia" w:ascii="仿宋" w:hAnsi="仿宋" w:eastAsia="仿宋" w:cs="仿宋"/>
          <w:iCs/>
          <w:color w:val="auto"/>
          <w:sz w:val="32"/>
          <w:szCs w:val="32"/>
          <w:highlight w:val="none"/>
        </w:rPr>
        <w:t>十五、商务要求响应及偏离表</w:t>
      </w:r>
      <w:bookmarkEnd w:id="383"/>
      <w:bookmarkEnd w:id="384"/>
      <w:bookmarkEnd w:id="385"/>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16"/>
        <w:gridCol w:w="2533"/>
        <w:gridCol w:w="2142"/>
        <w:gridCol w:w="1772"/>
      </w:tblGrid>
      <w:tr w14:paraId="12DA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850" w:type="dxa"/>
            <w:vAlign w:val="center"/>
          </w:tcPr>
          <w:p w14:paraId="2EAEC87E">
            <w:pPr>
              <w:jc w:val="center"/>
              <w:rPr>
                <w:rFonts w:ascii="仿宋" w:hAnsi="仿宋" w:eastAsia="仿宋" w:cs="仿宋"/>
                <w:color w:val="auto"/>
                <w:sz w:val="24"/>
                <w:szCs w:val="24"/>
                <w:highlight w:val="none"/>
              </w:rPr>
            </w:pPr>
            <w:bookmarkStart w:id="386" w:name="_Hlt26955064"/>
            <w:bookmarkEnd w:id="386"/>
            <w:bookmarkStart w:id="387" w:name="_Hlt26580838"/>
            <w:bookmarkEnd w:id="387"/>
            <w:bookmarkStart w:id="388" w:name="_Hlt26671343"/>
            <w:bookmarkEnd w:id="388"/>
            <w:bookmarkStart w:id="389" w:name="_Hlt26671372"/>
            <w:bookmarkEnd w:id="389"/>
            <w:bookmarkStart w:id="390" w:name="_Hlt24879081"/>
            <w:bookmarkEnd w:id="390"/>
            <w:bookmarkStart w:id="391" w:name="_Hlt26782999"/>
            <w:bookmarkEnd w:id="391"/>
            <w:bookmarkStart w:id="392" w:name="_Hlt26955056"/>
            <w:bookmarkEnd w:id="392"/>
            <w:bookmarkStart w:id="393" w:name="_Hlt26609391"/>
            <w:bookmarkEnd w:id="393"/>
            <w:r>
              <w:rPr>
                <w:rFonts w:hint="eastAsia" w:ascii="仿宋" w:hAnsi="仿宋" w:eastAsia="仿宋" w:cs="仿宋"/>
                <w:color w:val="auto"/>
                <w:sz w:val="24"/>
                <w:szCs w:val="24"/>
                <w:highlight w:val="none"/>
              </w:rPr>
              <w:t>序号</w:t>
            </w:r>
          </w:p>
        </w:tc>
        <w:tc>
          <w:tcPr>
            <w:tcW w:w="2516" w:type="dxa"/>
            <w:vAlign w:val="center"/>
          </w:tcPr>
          <w:p w14:paraId="43EC56D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533" w:type="dxa"/>
            <w:vAlign w:val="center"/>
          </w:tcPr>
          <w:p w14:paraId="68A848E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142" w:type="dxa"/>
            <w:vAlign w:val="center"/>
          </w:tcPr>
          <w:p w14:paraId="76DE7B7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772" w:type="dxa"/>
            <w:vAlign w:val="center"/>
          </w:tcPr>
          <w:p w14:paraId="1A93ACF8">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2CCDF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15E3564C">
            <w:pPr>
              <w:jc w:val="center"/>
              <w:rPr>
                <w:rFonts w:ascii="仿宋" w:hAnsi="仿宋" w:eastAsia="仿宋" w:cs="仿宋"/>
                <w:color w:val="auto"/>
                <w:sz w:val="24"/>
                <w:szCs w:val="24"/>
                <w:highlight w:val="none"/>
              </w:rPr>
            </w:pPr>
          </w:p>
        </w:tc>
        <w:tc>
          <w:tcPr>
            <w:tcW w:w="2516" w:type="dxa"/>
          </w:tcPr>
          <w:p w14:paraId="61C9A5C4">
            <w:pPr>
              <w:jc w:val="center"/>
              <w:rPr>
                <w:rFonts w:ascii="仿宋" w:hAnsi="仿宋" w:eastAsia="仿宋" w:cs="仿宋"/>
                <w:color w:val="auto"/>
                <w:sz w:val="24"/>
                <w:szCs w:val="24"/>
                <w:highlight w:val="none"/>
              </w:rPr>
            </w:pPr>
          </w:p>
        </w:tc>
        <w:tc>
          <w:tcPr>
            <w:tcW w:w="2533" w:type="dxa"/>
          </w:tcPr>
          <w:p w14:paraId="3ED9DD70">
            <w:pPr>
              <w:jc w:val="center"/>
              <w:rPr>
                <w:rFonts w:ascii="仿宋" w:hAnsi="仿宋" w:eastAsia="仿宋" w:cs="仿宋"/>
                <w:color w:val="auto"/>
                <w:sz w:val="24"/>
                <w:szCs w:val="24"/>
                <w:highlight w:val="none"/>
              </w:rPr>
            </w:pPr>
          </w:p>
        </w:tc>
        <w:tc>
          <w:tcPr>
            <w:tcW w:w="2142" w:type="dxa"/>
          </w:tcPr>
          <w:p w14:paraId="06A4C611">
            <w:pPr>
              <w:jc w:val="center"/>
              <w:rPr>
                <w:rFonts w:ascii="仿宋" w:hAnsi="仿宋" w:eastAsia="仿宋" w:cs="仿宋"/>
                <w:color w:val="auto"/>
                <w:sz w:val="24"/>
                <w:szCs w:val="24"/>
                <w:highlight w:val="none"/>
              </w:rPr>
            </w:pPr>
          </w:p>
        </w:tc>
        <w:tc>
          <w:tcPr>
            <w:tcW w:w="1772" w:type="dxa"/>
          </w:tcPr>
          <w:p w14:paraId="3F616DD2">
            <w:pPr>
              <w:jc w:val="center"/>
              <w:rPr>
                <w:rFonts w:ascii="仿宋" w:hAnsi="仿宋" w:eastAsia="仿宋" w:cs="仿宋"/>
                <w:color w:val="auto"/>
                <w:sz w:val="24"/>
                <w:szCs w:val="24"/>
                <w:highlight w:val="none"/>
              </w:rPr>
            </w:pPr>
          </w:p>
        </w:tc>
      </w:tr>
      <w:tr w14:paraId="70849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30F149D1">
            <w:pPr>
              <w:jc w:val="center"/>
              <w:rPr>
                <w:rFonts w:ascii="仿宋" w:hAnsi="仿宋" w:eastAsia="仿宋" w:cs="仿宋"/>
                <w:color w:val="auto"/>
                <w:sz w:val="24"/>
                <w:szCs w:val="24"/>
                <w:highlight w:val="none"/>
              </w:rPr>
            </w:pPr>
          </w:p>
        </w:tc>
        <w:tc>
          <w:tcPr>
            <w:tcW w:w="2516" w:type="dxa"/>
          </w:tcPr>
          <w:p w14:paraId="35EF6D46">
            <w:pPr>
              <w:jc w:val="center"/>
              <w:rPr>
                <w:rFonts w:ascii="仿宋" w:hAnsi="仿宋" w:eastAsia="仿宋" w:cs="仿宋"/>
                <w:color w:val="auto"/>
                <w:sz w:val="24"/>
                <w:szCs w:val="24"/>
                <w:highlight w:val="none"/>
              </w:rPr>
            </w:pPr>
          </w:p>
        </w:tc>
        <w:tc>
          <w:tcPr>
            <w:tcW w:w="2533" w:type="dxa"/>
          </w:tcPr>
          <w:p w14:paraId="47B9774D">
            <w:pPr>
              <w:jc w:val="center"/>
              <w:rPr>
                <w:rFonts w:ascii="仿宋" w:hAnsi="仿宋" w:eastAsia="仿宋" w:cs="仿宋"/>
                <w:color w:val="auto"/>
                <w:sz w:val="24"/>
                <w:szCs w:val="24"/>
                <w:highlight w:val="none"/>
              </w:rPr>
            </w:pPr>
          </w:p>
        </w:tc>
        <w:tc>
          <w:tcPr>
            <w:tcW w:w="2142" w:type="dxa"/>
          </w:tcPr>
          <w:p w14:paraId="7CB16DA4">
            <w:pPr>
              <w:jc w:val="center"/>
              <w:rPr>
                <w:rFonts w:ascii="仿宋" w:hAnsi="仿宋" w:eastAsia="仿宋" w:cs="仿宋"/>
                <w:color w:val="auto"/>
                <w:sz w:val="24"/>
                <w:szCs w:val="24"/>
                <w:highlight w:val="none"/>
              </w:rPr>
            </w:pPr>
          </w:p>
        </w:tc>
        <w:tc>
          <w:tcPr>
            <w:tcW w:w="1772" w:type="dxa"/>
          </w:tcPr>
          <w:p w14:paraId="38F0C5B9">
            <w:pPr>
              <w:jc w:val="center"/>
              <w:rPr>
                <w:rFonts w:ascii="仿宋" w:hAnsi="仿宋" w:eastAsia="仿宋" w:cs="仿宋"/>
                <w:color w:val="auto"/>
                <w:sz w:val="24"/>
                <w:szCs w:val="24"/>
                <w:highlight w:val="none"/>
              </w:rPr>
            </w:pPr>
          </w:p>
        </w:tc>
      </w:tr>
      <w:tr w14:paraId="2BA0F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506FBB18">
            <w:pPr>
              <w:jc w:val="center"/>
              <w:rPr>
                <w:rFonts w:ascii="仿宋" w:hAnsi="仿宋" w:eastAsia="仿宋" w:cs="仿宋"/>
                <w:color w:val="auto"/>
                <w:sz w:val="24"/>
                <w:szCs w:val="24"/>
                <w:highlight w:val="none"/>
              </w:rPr>
            </w:pPr>
          </w:p>
        </w:tc>
        <w:tc>
          <w:tcPr>
            <w:tcW w:w="2516" w:type="dxa"/>
          </w:tcPr>
          <w:p w14:paraId="2EE94E4B">
            <w:pPr>
              <w:jc w:val="center"/>
              <w:rPr>
                <w:rFonts w:ascii="仿宋" w:hAnsi="仿宋" w:eastAsia="仿宋" w:cs="仿宋"/>
                <w:color w:val="auto"/>
                <w:sz w:val="24"/>
                <w:szCs w:val="24"/>
                <w:highlight w:val="none"/>
              </w:rPr>
            </w:pPr>
          </w:p>
        </w:tc>
        <w:tc>
          <w:tcPr>
            <w:tcW w:w="2533" w:type="dxa"/>
          </w:tcPr>
          <w:p w14:paraId="159F4A22">
            <w:pPr>
              <w:jc w:val="center"/>
              <w:rPr>
                <w:rFonts w:ascii="仿宋" w:hAnsi="仿宋" w:eastAsia="仿宋" w:cs="仿宋"/>
                <w:color w:val="auto"/>
                <w:sz w:val="24"/>
                <w:szCs w:val="24"/>
                <w:highlight w:val="none"/>
              </w:rPr>
            </w:pPr>
          </w:p>
        </w:tc>
        <w:tc>
          <w:tcPr>
            <w:tcW w:w="2142" w:type="dxa"/>
          </w:tcPr>
          <w:p w14:paraId="5D8BCCF2">
            <w:pPr>
              <w:jc w:val="center"/>
              <w:rPr>
                <w:rFonts w:ascii="仿宋" w:hAnsi="仿宋" w:eastAsia="仿宋" w:cs="仿宋"/>
                <w:color w:val="auto"/>
                <w:sz w:val="24"/>
                <w:szCs w:val="24"/>
                <w:highlight w:val="none"/>
              </w:rPr>
            </w:pPr>
          </w:p>
        </w:tc>
        <w:tc>
          <w:tcPr>
            <w:tcW w:w="1772" w:type="dxa"/>
          </w:tcPr>
          <w:p w14:paraId="70421572">
            <w:pPr>
              <w:jc w:val="center"/>
              <w:rPr>
                <w:rFonts w:ascii="仿宋" w:hAnsi="仿宋" w:eastAsia="仿宋" w:cs="仿宋"/>
                <w:color w:val="auto"/>
                <w:sz w:val="24"/>
                <w:szCs w:val="24"/>
                <w:highlight w:val="none"/>
              </w:rPr>
            </w:pPr>
          </w:p>
        </w:tc>
      </w:tr>
      <w:tr w14:paraId="66F35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07F93847">
            <w:pPr>
              <w:jc w:val="center"/>
              <w:rPr>
                <w:rFonts w:ascii="仿宋" w:hAnsi="仿宋" w:eastAsia="仿宋" w:cs="仿宋"/>
                <w:color w:val="auto"/>
                <w:sz w:val="24"/>
                <w:szCs w:val="24"/>
                <w:highlight w:val="none"/>
              </w:rPr>
            </w:pPr>
          </w:p>
        </w:tc>
        <w:tc>
          <w:tcPr>
            <w:tcW w:w="2516" w:type="dxa"/>
          </w:tcPr>
          <w:p w14:paraId="599F92D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533" w:type="dxa"/>
          </w:tcPr>
          <w:p w14:paraId="0D77D391">
            <w:pPr>
              <w:jc w:val="center"/>
              <w:rPr>
                <w:rFonts w:ascii="仿宋" w:hAnsi="仿宋" w:eastAsia="仿宋" w:cs="仿宋"/>
                <w:color w:val="auto"/>
                <w:sz w:val="24"/>
                <w:szCs w:val="24"/>
                <w:highlight w:val="none"/>
              </w:rPr>
            </w:pPr>
          </w:p>
        </w:tc>
        <w:tc>
          <w:tcPr>
            <w:tcW w:w="2142" w:type="dxa"/>
          </w:tcPr>
          <w:p w14:paraId="4D954DC3">
            <w:pPr>
              <w:jc w:val="center"/>
              <w:rPr>
                <w:rFonts w:ascii="仿宋" w:hAnsi="仿宋" w:eastAsia="仿宋" w:cs="仿宋"/>
                <w:color w:val="auto"/>
                <w:sz w:val="24"/>
                <w:szCs w:val="24"/>
                <w:highlight w:val="none"/>
              </w:rPr>
            </w:pPr>
          </w:p>
        </w:tc>
        <w:tc>
          <w:tcPr>
            <w:tcW w:w="1772" w:type="dxa"/>
          </w:tcPr>
          <w:p w14:paraId="7E9203E3">
            <w:pPr>
              <w:jc w:val="center"/>
              <w:rPr>
                <w:rFonts w:ascii="仿宋" w:hAnsi="仿宋" w:eastAsia="仿宋" w:cs="仿宋"/>
                <w:color w:val="auto"/>
                <w:sz w:val="24"/>
                <w:szCs w:val="24"/>
                <w:highlight w:val="none"/>
              </w:rPr>
            </w:pPr>
          </w:p>
        </w:tc>
      </w:tr>
    </w:tbl>
    <w:p w14:paraId="6DE65A98">
      <w:pPr>
        <w:spacing w:line="360" w:lineRule="auto"/>
        <w:rPr>
          <w:rFonts w:ascii="仿宋" w:hAnsi="仿宋" w:eastAsia="仿宋" w:cs="仿宋"/>
          <w:b/>
          <w:bCs/>
          <w:color w:val="auto"/>
          <w:sz w:val="22"/>
          <w:szCs w:val="22"/>
          <w:highlight w:val="none"/>
        </w:rPr>
      </w:pPr>
    </w:p>
    <w:p w14:paraId="205D85B6">
      <w:pPr>
        <w:spacing w:line="360" w:lineRule="auto"/>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行数不够，可自行添加。请供应商针对招标文件中的商务条款进行响应。</w:t>
      </w:r>
      <w:bookmarkEnd w:id="291"/>
      <w:bookmarkEnd w:id="292"/>
    </w:p>
    <w:p w14:paraId="0039AA61">
      <w:pPr>
        <w:spacing w:line="360" w:lineRule="auto"/>
        <w:jc w:val="left"/>
        <w:rPr>
          <w:rFonts w:ascii="仿宋" w:hAnsi="仿宋" w:eastAsia="仿宋" w:cs="仿宋"/>
          <w:color w:val="auto"/>
          <w:sz w:val="24"/>
          <w:szCs w:val="24"/>
          <w:highlight w:val="none"/>
        </w:rPr>
      </w:pPr>
      <w:bookmarkStart w:id="394" w:name="_Hlt26671374"/>
      <w:bookmarkEnd w:id="394"/>
      <w:bookmarkStart w:id="395" w:name="_Hlt26609389"/>
      <w:bookmarkEnd w:id="395"/>
      <w:bookmarkStart w:id="396" w:name="_Hlt26955066"/>
      <w:bookmarkEnd w:id="396"/>
      <w:bookmarkStart w:id="397" w:name="_格式2__法定代表人授权书"/>
      <w:bookmarkEnd w:id="397"/>
      <w:r>
        <w:rPr>
          <w:rFonts w:hint="eastAsia" w:ascii="仿宋" w:hAnsi="仿宋" w:eastAsia="仿宋" w:cs="仿宋"/>
          <w:color w:val="auto"/>
          <w:sz w:val="24"/>
          <w:szCs w:val="24"/>
          <w:highlight w:val="none"/>
        </w:rPr>
        <w:t>投标人全称（加盖公章）：</w:t>
      </w:r>
    </w:p>
    <w:p w14:paraId="48665510">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25EB4D6F">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DB3C6DE">
      <w:pPr>
        <w:pStyle w:val="192"/>
        <w:numPr>
          <w:ilvl w:val="255"/>
          <w:numId w:val="0"/>
        </w:numPr>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398" w:name="_Toc29812"/>
      <w:bookmarkStart w:id="399" w:name="_Toc1917"/>
      <w:r>
        <w:rPr>
          <w:rFonts w:hint="eastAsia" w:ascii="仿宋" w:hAnsi="仿宋" w:eastAsia="仿宋" w:cs="仿宋"/>
          <w:iCs/>
          <w:color w:val="auto"/>
          <w:sz w:val="32"/>
          <w:szCs w:val="32"/>
          <w:highlight w:val="none"/>
        </w:rPr>
        <w:t>十六、技术部分</w:t>
      </w:r>
      <w:bookmarkEnd w:id="398"/>
      <w:bookmarkEnd w:id="399"/>
    </w:p>
    <w:p w14:paraId="337072BA">
      <w:pPr>
        <w:pStyle w:val="243"/>
        <w:spacing w:line="360" w:lineRule="auto"/>
        <w:ind w:left="0"/>
        <w:jc w:val="center"/>
        <w:rPr>
          <w:rFonts w:ascii="仿宋" w:hAnsi="仿宋" w:eastAsia="仿宋" w:cs="仿宋"/>
          <w:color w:val="auto"/>
          <w:highlight w:val="none"/>
          <w:lang w:eastAsia="zh-CN"/>
        </w:rPr>
      </w:pPr>
      <w:r>
        <w:rPr>
          <w:rFonts w:hint="eastAsia" w:ascii="仿宋" w:hAnsi="仿宋" w:eastAsia="仿宋" w:cs="仿宋"/>
          <w:color w:val="auto"/>
          <w:highlight w:val="none"/>
          <w:lang w:eastAsia="zh-CN"/>
        </w:rPr>
        <w:t>详见评分办法技术部分（示例略）</w:t>
      </w:r>
    </w:p>
    <w:p w14:paraId="4C2CAA92">
      <w:pPr>
        <w:spacing w:line="360" w:lineRule="auto"/>
        <w:rPr>
          <w:color w:val="auto"/>
          <w:highlight w:val="none"/>
        </w:rPr>
      </w:pPr>
    </w:p>
    <w:p w14:paraId="02C204A1">
      <w:pPr>
        <w:spacing w:line="360" w:lineRule="auto"/>
        <w:rPr>
          <w:rFonts w:ascii="仿宋" w:hAnsi="仿宋" w:eastAsia="仿宋" w:cs="仿宋"/>
          <w:iCs/>
          <w:color w:val="auto"/>
          <w:sz w:val="32"/>
          <w:szCs w:val="32"/>
          <w:highlight w:val="none"/>
        </w:rPr>
      </w:pPr>
    </w:p>
    <w:p w14:paraId="04C8B200">
      <w:pPr>
        <w:spacing w:line="360" w:lineRule="auto"/>
        <w:rPr>
          <w:rFonts w:ascii="仿宋" w:hAnsi="仿宋" w:eastAsia="仿宋" w:cs="仿宋"/>
          <w:iCs/>
          <w:color w:val="auto"/>
          <w:sz w:val="32"/>
          <w:szCs w:val="32"/>
          <w:highlight w:val="none"/>
        </w:rPr>
      </w:pPr>
    </w:p>
    <w:p w14:paraId="701B0C76">
      <w:pPr>
        <w:spacing w:line="360" w:lineRule="auto"/>
        <w:rPr>
          <w:rFonts w:ascii="仿宋" w:hAnsi="仿宋" w:eastAsia="仿宋" w:cs="仿宋"/>
          <w:iCs/>
          <w:color w:val="auto"/>
          <w:sz w:val="32"/>
          <w:szCs w:val="32"/>
          <w:highlight w:val="none"/>
        </w:rPr>
      </w:pPr>
    </w:p>
    <w:p w14:paraId="05F1B410">
      <w:pPr>
        <w:spacing w:line="360" w:lineRule="auto"/>
        <w:rPr>
          <w:rFonts w:ascii="仿宋" w:hAnsi="仿宋" w:eastAsia="仿宋" w:cs="仿宋"/>
          <w:iCs/>
          <w:color w:val="auto"/>
          <w:sz w:val="32"/>
          <w:szCs w:val="32"/>
          <w:highlight w:val="none"/>
        </w:rPr>
      </w:pPr>
    </w:p>
    <w:p w14:paraId="27A664EE">
      <w:pPr>
        <w:pStyle w:val="192"/>
        <w:spacing w:before="0" w:after="100" w:line="360" w:lineRule="auto"/>
        <w:jc w:val="both"/>
        <w:rPr>
          <w:rFonts w:ascii="仿宋" w:hAnsi="仿宋" w:eastAsia="仿宋" w:cs="仿宋"/>
          <w:iCs/>
          <w:color w:val="auto"/>
          <w:sz w:val="32"/>
          <w:szCs w:val="32"/>
          <w:highlight w:val="none"/>
        </w:rPr>
      </w:pPr>
      <w:bookmarkStart w:id="400" w:name="_Toc3036"/>
      <w:bookmarkStart w:id="401" w:name="_Toc568"/>
      <w:r>
        <w:rPr>
          <w:rFonts w:hint="eastAsia" w:ascii="仿宋" w:hAnsi="仿宋" w:eastAsia="仿宋" w:cs="仿宋"/>
          <w:iCs/>
          <w:color w:val="auto"/>
          <w:sz w:val="32"/>
          <w:szCs w:val="32"/>
          <w:highlight w:val="none"/>
        </w:rPr>
        <w:t>十七、其他证明文件</w:t>
      </w:r>
      <w:bookmarkEnd w:id="400"/>
      <w:bookmarkEnd w:id="401"/>
    </w:p>
    <w:p w14:paraId="08504272">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1、请按照招标文件要求进行响应，如业绩、人员配置等</w:t>
      </w:r>
    </w:p>
    <w:p w14:paraId="5BBFC6B5">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人员配备一览表（参考格式）</w:t>
      </w:r>
    </w:p>
    <w:tbl>
      <w:tblPr>
        <w:tblStyle w:val="34"/>
        <w:tblpPr w:leftFromText="180" w:rightFromText="180" w:vertAnchor="text" w:horzAnchor="margin" w:tblpY="21"/>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989"/>
        <w:gridCol w:w="2908"/>
        <w:gridCol w:w="1438"/>
        <w:gridCol w:w="934"/>
        <w:gridCol w:w="2405"/>
      </w:tblGrid>
      <w:tr w14:paraId="0C4E3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903" w:type="dxa"/>
            <w:vAlign w:val="center"/>
          </w:tcPr>
          <w:p w14:paraId="3932E1F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89" w:type="dxa"/>
            <w:vAlign w:val="center"/>
          </w:tcPr>
          <w:p w14:paraId="7EA0CE3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908" w:type="dxa"/>
            <w:vAlign w:val="center"/>
          </w:tcPr>
          <w:p w14:paraId="3095EAE1">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在本项目中担任的职务</w:t>
            </w:r>
          </w:p>
        </w:tc>
        <w:tc>
          <w:tcPr>
            <w:tcW w:w="1438" w:type="dxa"/>
            <w:vAlign w:val="center"/>
          </w:tcPr>
          <w:p w14:paraId="7AB9D2B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岗位职称</w:t>
            </w:r>
          </w:p>
        </w:tc>
        <w:tc>
          <w:tcPr>
            <w:tcW w:w="934" w:type="dxa"/>
            <w:vAlign w:val="center"/>
          </w:tcPr>
          <w:p w14:paraId="6C4B19C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2405" w:type="dxa"/>
            <w:vAlign w:val="center"/>
          </w:tcPr>
          <w:p w14:paraId="40F8469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w:t>
            </w:r>
          </w:p>
        </w:tc>
      </w:tr>
      <w:tr w14:paraId="6945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41B467E6">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89" w:type="dxa"/>
            <w:vAlign w:val="center"/>
          </w:tcPr>
          <w:p w14:paraId="799F2994">
            <w:pPr>
              <w:spacing w:line="360" w:lineRule="auto"/>
              <w:rPr>
                <w:rFonts w:ascii="仿宋" w:hAnsi="仿宋" w:eastAsia="仿宋" w:cs="仿宋"/>
                <w:color w:val="auto"/>
                <w:sz w:val="24"/>
                <w:szCs w:val="24"/>
                <w:highlight w:val="none"/>
              </w:rPr>
            </w:pPr>
          </w:p>
        </w:tc>
        <w:tc>
          <w:tcPr>
            <w:tcW w:w="2908" w:type="dxa"/>
            <w:vAlign w:val="center"/>
          </w:tcPr>
          <w:p w14:paraId="2FA15A3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1438" w:type="dxa"/>
            <w:vAlign w:val="center"/>
          </w:tcPr>
          <w:p w14:paraId="1267FB98">
            <w:pPr>
              <w:spacing w:line="360" w:lineRule="auto"/>
              <w:rPr>
                <w:rFonts w:ascii="仿宋" w:hAnsi="仿宋" w:eastAsia="仿宋" w:cs="仿宋"/>
                <w:color w:val="auto"/>
                <w:sz w:val="24"/>
                <w:szCs w:val="24"/>
                <w:highlight w:val="none"/>
              </w:rPr>
            </w:pPr>
          </w:p>
        </w:tc>
        <w:tc>
          <w:tcPr>
            <w:tcW w:w="934" w:type="dxa"/>
          </w:tcPr>
          <w:p w14:paraId="16CA3302">
            <w:pPr>
              <w:spacing w:line="360" w:lineRule="auto"/>
              <w:rPr>
                <w:rFonts w:ascii="仿宋" w:hAnsi="仿宋" w:eastAsia="仿宋" w:cs="仿宋"/>
                <w:color w:val="auto"/>
                <w:sz w:val="24"/>
                <w:szCs w:val="24"/>
                <w:highlight w:val="none"/>
              </w:rPr>
            </w:pPr>
          </w:p>
        </w:tc>
        <w:tc>
          <w:tcPr>
            <w:tcW w:w="2405" w:type="dxa"/>
            <w:vAlign w:val="center"/>
          </w:tcPr>
          <w:p w14:paraId="0588410E">
            <w:pPr>
              <w:spacing w:line="360" w:lineRule="auto"/>
              <w:rPr>
                <w:rFonts w:ascii="仿宋" w:hAnsi="仿宋" w:eastAsia="仿宋" w:cs="仿宋"/>
                <w:color w:val="auto"/>
                <w:sz w:val="24"/>
                <w:szCs w:val="24"/>
                <w:highlight w:val="none"/>
              </w:rPr>
            </w:pPr>
          </w:p>
        </w:tc>
      </w:tr>
      <w:tr w14:paraId="09A18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6490897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89" w:type="dxa"/>
            <w:vAlign w:val="center"/>
          </w:tcPr>
          <w:p w14:paraId="026DF664">
            <w:pPr>
              <w:spacing w:line="360" w:lineRule="auto"/>
              <w:rPr>
                <w:rFonts w:ascii="仿宋" w:hAnsi="仿宋" w:eastAsia="仿宋" w:cs="仿宋"/>
                <w:color w:val="auto"/>
                <w:sz w:val="24"/>
                <w:szCs w:val="24"/>
                <w:highlight w:val="none"/>
              </w:rPr>
            </w:pPr>
          </w:p>
        </w:tc>
        <w:tc>
          <w:tcPr>
            <w:tcW w:w="2908" w:type="dxa"/>
            <w:vAlign w:val="center"/>
          </w:tcPr>
          <w:p w14:paraId="66B48538">
            <w:pPr>
              <w:spacing w:line="360" w:lineRule="auto"/>
              <w:rPr>
                <w:rFonts w:ascii="仿宋" w:hAnsi="仿宋" w:eastAsia="仿宋" w:cs="仿宋"/>
                <w:color w:val="auto"/>
                <w:sz w:val="24"/>
                <w:szCs w:val="24"/>
                <w:highlight w:val="none"/>
              </w:rPr>
            </w:pPr>
          </w:p>
        </w:tc>
        <w:tc>
          <w:tcPr>
            <w:tcW w:w="1438" w:type="dxa"/>
            <w:vAlign w:val="center"/>
          </w:tcPr>
          <w:p w14:paraId="771CC268">
            <w:pPr>
              <w:spacing w:line="360" w:lineRule="auto"/>
              <w:rPr>
                <w:rFonts w:ascii="仿宋" w:hAnsi="仿宋" w:eastAsia="仿宋" w:cs="仿宋"/>
                <w:color w:val="auto"/>
                <w:sz w:val="24"/>
                <w:szCs w:val="24"/>
                <w:highlight w:val="none"/>
              </w:rPr>
            </w:pPr>
          </w:p>
        </w:tc>
        <w:tc>
          <w:tcPr>
            <w:tcW w:w="934" w:type="dxa"/>
          </w:tcPr>
          <w:p w14:paraId="320322AE">
            <w:pPr>
              <w:spacing w:line="360" w:lineRule="auto"/>
              <w:rPr>
                <w:rFonts w:ascii="仿宋" w:hAnsi="仿宋" w:eastAsia="仿宋" w:cs="仿宋"/>
                <w:color w:val="auto"/>
                <w:sz w:val="24"/>
                <w:szCs w:val="24"/>
                <w:highlight w:val="none"/>
              </w:rPr>
            </w:pPr>
          </w:p>
        </w:tc>
        <w:tc>
          <w:tcPr>
            <w:tcW w:w="2405" w:type="dxa"/>
            <w:vAlign w:val="center"/>
          </w:tcPr>
          <w:p w14:paraId="2B518B7E">
            <w:pPr>
              <w:spacing w:line="360" w:lineRule="auto"/>
              <w:rPr>
                <w:rFonts w:ascii="仿宋" w:hAnsi="仿宋" w:eastAsia="仿宋" w:cs="仿宋"/>
                <w:color w:val="auto"/>
                <w:sz w:val="24"/>
                <w:szCs w:val="24"/>
                <w:highlight w:val="none"/>
              </w:rPr>
            </w:pPr>
          </w:p>
        </w:tc>
      </w:tr>
      <w:tr w14:paraId="50CB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2D10037E">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89" w:type="dxa"/>
            <w:vAlign w:val="center"/>
          </w:tcPr>
          <w:p w14:paraId="6AFB6B82">
            <w:pPr>
              <w:spacing w:line="360" w:lineRule="auto"/>
              <w:rPr>
                <w:rFonts w:ascii="仿宋" w:hAnsi="仿宋" w:eastAsia="仿宋" w:cs="仿宋"/>
                <w:color w:val="auto"/>
                <w:sz w:val="24"/>
                <w:szCs w:val="24"/>
                <w:highlight w:val="none"/>
              </w:rPr>
            </w:pPr>
          </w:p>
        </w:tc>
        <w:tc>
          <w:tcPr>
            <w:tcW w:w="2908" w:type="dxa"/>
            <w:vAlign w:val="center"/>
          </w:tcPr>
          <w:p w14:paraId="1A8991F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8" w:type="dxa"/>
            <w:vAlign w:val="center"/>
          </w:tcPr>
          <w:p w14:paraId="02BC5FAB">
            <w:pPr>
              <w:spacing w:line="360" w:lineRule="auto"/>
              <w:rPr>
                <w:rFonts w:ascii="仿宋" w:hAnsi="仿宋" w:eastAsia="仿宋" w:cs="仿宋"/>
                <w:color w:val="auto"/>
                <w:sz w:val="24"/>
                <w:szCs w:val="24"/>
                <w:highlight w:val="none"/>
              </w:rPr>
            </w:pPr>
          </w:p>
        </w:tc>
        <w:tc>
          <w:tcPr>
            <w:tcW w:w="934" w:type="dxa"/>
          </w:tcPr>
          <w:p w14:paraId="3F23106E">
            <w:pPr>
              <w:spacing w:line="360" w:lineRule="auto"/>
              <w:rPr>
                <w:rFonts w:ascii="仿宋" w:hAnsi="仿宋" w:eastAsia="仿宋" w:cs="仿宋"/>
                <w:color w:val="auto"/>
                <w:sz w:val="24"/>
                <w:szCs w:val="24"/>
                <w:highlight w:val="none"/>
              </w:rPr>
            </w:pPr>
          </w:p>
        </w:tc>
        <w:tc>
          <w:tcPr>
            <w:tcW w:w="2405" w:type="dxa"/>
            <w:vAlign w:val="center"/>
          </w:tcPr>
          <w:p w14:paraId="6C54EEE3">
            <w:pPr>
              <w:spacing w:line="360" w:lineRule="auto"/>
              <w:rPr>
                <w:rFonts w:ascii="仿宋" w:hAnsi="仿宋" w:eastAsia="仿宋" w:cs="仿宋"/>
                <w:color w:val="auto"/>
                <w:sz w:val="24"/>
                <w:szCs w:val="24"/>
                <w:highlight w:val="none"/>
              </w:rPr>
            </w:pPr>
          </w:p>
        </w:tc>
      </w:tr>
    </w:tbl>
    <w:p w14:paraId="4C48408B">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3222A0B9">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7FBC101D">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AFE0E78">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0F6F5A2">
      <w:pPr>
        <w:tabs>
          <w:tab w:val="left" w:pos="312"/>
        </w:tabs>
        <w:spacing w:line="360" w:lineRule="auto"/>
        <w:rPr>
          <w:rFonts w:ascii="宋体" w:hAnsi="宋体"/>
          <w:color w:val="auto"/>
          <w:highlight w:val="none"/>
        </w:rPr>
      </w:pPr>
    </w:p>
    <w:p w14:paraId="4E6BD771">
      <w:pPr>
        <w:spacing w:line="360" w:lineRule="auto"/>
        <w:rPr>
          <w:rFonts w:ascii="宋体" w:hAnsi="宋体"/>
          <w:color w:val="auto"/>
          <w:highlight w:val="none"/>
        </w:rPr>
      </w:pPr>
    </w:p>
    <w:p w14:paraId="193D2EAF">
      <w:pPr>
        <w:spacing w:line="360" w:lineRule="auto"/>
        <w:rPr>
          <w:rFonts w:ascii="宋体" w:hAnsi="宋体"/>
          <w:color w:val="auto"/>
          <w:highlight w:val="none"/>
        </w:rPr>
      </w:pPr>
    </w:p>
    <w:p w14:paraId="09060764">
      <w:pPr>
        <w:spacing w:line="360" w:lineRule="auto"/>
        <w:rPr>
          <w:rFonts w:ascii="宋体" w:hAnsi="宋体"/>
          <w:color w:val="auto"/>
          <w:highlight w:val="none"/>
        </w:rPr>
      </w:pPr>
    </w:p>
    <w:p w14:paraId="4781934F">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经营业绩（参考格式）</w:t>
      </w:r>
    </w:p>
    <w:tbl>
      <w:tblPr>
        <w:tblStyle w:val="34"/>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1876"/>
        <w:gridCol w:w="1695"/>
        <w:gridCol w:w="1275"/>
        <w:gridCol w:w="1418"/>
        <w:gridCol w:w="2551"/>
      </w:tblGrid>
      <w:tr w14:paraId="7783E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804" w:type="dxa"/>
            <w:vAlign w:val="center"/>
          </w:tcPr>
          <w:p w14:paraId="15F516C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76" w:type="dxa"/>
            <w:vAlign w:val="center"/>
          </w:tcPr>
          <w:p w14:paraId="72E3282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695" w:type="dxa"/>
            <w:vAlign w:val="center"/>
          </w:tcPr>
          <w:p w14:paraId="767A362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采购单位</w:t>
            </w:r>
          </w:p>
        </w:tc>
        <w:tc>
          <w:tcPr>
            <w:tcW w:w="1275" w:type="dxa"/>
            <w:vAlign w:val="center"/>
          </w:tcPr>
          <w:p w14:paraId="6F00C7EF">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tc>
        <w:tc>
          <w:tcPr>
            <w:tcW w:w="1418" w:type="dxa"/>
            <w:vAlign w:val="center"/>
          </w:tcPr>
          <w:p w14:paraId="2E1840D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p w14:paraId="3B96294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2551" w:type="dxa"/>
            <w:vAlign w:val="center"/>
          </w:tcPr>
          <w:p w14:paraId="76CC045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p w14:paraId="2DA7475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（第几页—第几页）</w:t>
            </w:r>
          </w:p>
        </w:tc>
      </w:tr>
      <w:tr w14:paraId="2DB9A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804" w:type="dxa"/>
            <w:vAlign w:val="center"/>
          </w:tcPr>
          <w:p w14:paraId="2874C5D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76" w:type="dxa"/>
            <w:vAlign w:val="center"/>
          </w:tcPr>
          <w:p w14:paraId="4E91F7B2">
            <w:pPr>
              <w:spacing w:line="360" w:lineRule="auto"/>
              <w:rPr>
                <w:rFonts w:ascii="仿宋" w:hAnsi="仿宋" w:eastAsia="仿宋" w:cs="仿宋"/>
                <w:color w:val="auto"/>
                <w:sz w:val="24"/>
                <w:szCs w:val="24"/>
                <w:highlight w:val="none"/>
              </w:rPr>
            </w:pPr>
          </w:p>
        </w:tc>
        <w:tc>
          <w:tcPr>
            <w:tcW w:w="1695" w:type="dxa"/>
            <w:vAlign w:val="center"/>
          </w:tcPr>
          <w:p w14:paraId="0DADE8AA">
            <w:pPr>
              <w:spacing w:line="360" w:lineRule="auto"/>
              <w:rPr>
                <w:rFonts w:ascii="仿宋" w:hAnsi="仿宋" w:eastAsia="仿宋" w:cs="仿宋"/>
                <w:color w:val="auto"/>
                <w:sz w:val="24"/>
                <w:szCs w:val="24"/>
                <w:highlight w:val="none"/>
              </w:rPr>
            </w:pPr>
          </w:p>
        </w:tc>
        <w:tc>
          <w:tcPr>
            <w:tcW w:w="1275" w:type="dxa"/>
          </w:tcPr>
          <w:p w14:paraId="70800D21">
            <w:pPr>
              <w:spacing w:line="360" w:lineRule="auto"/>
              <w:rPr>
                <w:rFonts w:ascii="仿宋" w:hAnsi="仿宋" w:eastAsia="仿宋" w:cs="仿宋"/>
                <w:color w:val="auto"/>
                <w:sz w:val="24"/>
                <w:szCs w:val="24"/>
                <w:highlight w:val="none"/>
              </w:rPr>
            </w:pPr>
          </w:p>
        </w:tc>
        <w:tc>
          <w:tcPr>
            <w:tcW w:w="1418" w:type="dxa"/>
            <w:vAlign w:val="center"/>
          </w:tcPr>
          <w:p w14:paraId="41D58B28">
            <w:pPr>
              <w:spacing w:line="360" w:lineRule="auto"/>
              <w:rPr>
                <w:rFonts w:ascii="仿宋" w:hAnsi="仿宋" w:eastAsia="仿宋" w:cs="仿宋"/>
                <w:color w:val="auto"/>
                <w:sz w:val="24"/>
                <w:szCs w:val="24"/>
                <w:highlight w:val="none"/>
              </w:rPr>
            </w:pPr>
          </w:p>
        </w:tc>
        <w:tc>
          <w:tcPr>
            <w:tcW w:w="2551" w:type="dxa"/>
            <w:vAlign w:val="center"/>
          </w:tcPr>
          <w:p w14:paraId="168C3FC7">
            <w:pPr>
              <w:spacing w:line="360" w:lineRule="auto"/>
              <w:rPr>
                <w:rFonts w:ascii="仿宋" w:hAnsi="仿宋" w:eastAsia="仿宋" w:cs="仿宋"/>
                <w:color w:val="auto"/>
                <w:sz w:val="24"/>
                <w:szCs w:val="24"/>
                <w:highlight w:val="none"/>
              </w:rPr>
            </w:pPr>
          </w:p>
        </w:tc>
      </w:tr>
      <w:tr w14:paraId="429A6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804" w:type="dxa"/>
            <w:vAlign w:val="center"/>
          </w:tcPr>
          <w:p w14:paraId="0ECEA31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76" w:type="dxa"/>
            <w:vAlign w:val="center"/>
          </w:tcPr>
          <w:p w14:paraId="1D1CED8C">
            <w:pPr>
              <w:spacing w:line="360" w:lineRule="auto"/>
              <w:rPr>
                <w:rFonts w:ascii="仿宋" w:hAnsi="仿宋" w:eastAsia="仿宋" w:cs="仿宋"/>
                <w:color w:val="auto"/>
                <w:sz w:val="24"/>
                <w:szCs w:val="24"/>
                <w:highlight w:val="none"/>
              </w:rPr>
            </w:pPr>
          </w:p>
        </w:tc>
        <w:tc>
          <w:tcPr>
            <w:tcW w:w="1695" w:type="dxa"/>
            <w:vAlign w:val="center"/>
          </w:tcPr>
          <w:p w14:paraId="41BE66B1">
            <w:pPr>
              <w:spacing w:line="360" w:lineRule="auto"/>
              <w:rPr>
                <w:rFonts w:ascii="仿宋" w:hAnsi="仿宋" w:eastAsia="仿宋" w:cs="仿宋"/>
                <w:color w:val="auto"/>
                <w:sz w:val="24"/>
                <w:szCs w:val="24"/>
                <w:highlight w:val="none"/>
              </w:rPr>
            </w:pPr>
          </w:p>
        </w:tc>
        <w:tc>
          <w:tcPr>
            <w:tcW w:w="1275" w:type="dxa"/>
          </w:tcPr>
          <w:p w14:paraId="6570A48E">
            <w:pPr>
              <w:spacing w:line="360" w:lineRule="auto"/>
              <w:rPr>
                <w:rFonts w:ascii="仿宋" w:hAnsi="仿宋" w:eastAsia="仿宋" w:cs="仿宋"/>
                <w:color w:val="auto"/>
                <w:sz w:val="24"/>
                <w:szCs w:val="24"/>
                <w:highlight w:val="none"/>
              </w:rPr>
            </w:pPr>
          </w:p>
        </w:tc>
        <w:tc>
          <w:tcPr>
            <w:tcW w:w="1418" w:type="dxa"/>
            <w:vAlign w:val="center"/>
          </w:tcPr>
          <w:p w14:paraId="0432FBFF">
            <w:pPr>
              <w:spacing w:line="360" w:lineRule="auto"/>
              <w:rPr>
                <w:rFonts w:ascii="仿宋" w:hAnsi="仿宋" w:eastAsia="仿宋" w:cs="仿宋"/>
                <w:color w:val="auto"/>
                <w:sz w:val="24"/>
                <w:szCs w:val="24"/>
                <w:highlight w:val="none"/>
              </w:rPr>
            </w:pPr>
          </w:p>
        </w:tc>
        <w:tc>
          <w:tcPr>
            <w:tcW w:w="2551" w:type="dxa"/>
            <w:vAlign w:val="center"/>
          </w:tcPr>
          <w:p w14:paraId="4D02C133">
            <w:pPr>
              <w:spacing w:line="360" w:lineRule="auto"/>
              <w:rPr>
                <w:rFonts w:ascii="仿宋" w:hAnsi="仿宋" w:eastAsia="仿宋" w:cs="仿宋"/>
                <w:color w:val="auto"/>
                <w:sz w:val="24"/>
                <w:szCs w:val="24"/>
                <w:highlight w:val="none"/>
              </w:rPr>
            </w:pPr>
          </w:p>
        </w:tc>
      </w:tr>
      <w:tr w14:paraId="11B60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804" w:type="dxa"/>
            <w:vAlign w:val="center"/>
          </w:tcPr>
          <w:p w14:paraId="380294D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76" w:type="dxa"/>
            <w:vAlign w:val="center"/>
          </w:tcPr>
          <w:p w14:paraId="54D1524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695" w:type="dxa"/>
            <w:vAlign w:val="center"/>
          </w:tcPr>
          <w:p w14:paraId="3B3A8CCB">
            <w:pPr>
              <w:spacing w:line="360" w:lineRule="auto"/>
              <w:rPr>
                <w:rFonts w:ascii="仿宋" w:hAnsi="仿宋" w:eastAsia="仿宋" w:cs="仿宋"/>
                <w:color w:val="auto"/>
                <w:sz w:val="24"/>
                <w:szCs w:val="24"/>
                <w:highlight w:val="none"/>
              </w:rPr>
            </w:pPr>
          </w:p>
        </w:tc>
        <w:tc>
          <w:tcPr>
            <w:tcW w:w="1275" w:type="dxa"/>
          </w:tcPr>
          <w:p w14:paraId="111524AD">
            <w:pPr>
              <w:spacing w:line="360" w:lineRule="auto"/>
              <w:rPr>
                <w:rFonts w:ascii="仿宋" w:hAnsi="仿宋" w:eastAsia="仿宋" w:cs="仿宋"/>
                <w:color w:val="auto"/>
                <w:sz w:val="24"/>
                <w:szCs w:val="24"/>
                <w:highlight w:val="none"/>
              </w:rPr>
            </w:pPr>
          </w:p>
        </w:tc>
        <w:tc>
          <w:tcPr>
            <w:tcW w:w="1418" w:type="dxa"/>
            <w:vAlign w:val="center"/>
          </w:tcPr>
          <w:p w14:paraId="6DC2FB09">
            <w:pPr>
              <w:spacing w:line="360" w:lineRule="auto"/>
              <w:rPr>
                <w:rFonts w:ascii="仿宋" w:hAnsi="仿宋" w:eastAsia="仿宋" w:cs="仿宋"/>
                <w:color w:val="auto"/>
                <w:sz w:val="24"/>
                <w:szCs w:val="24"/>
                <w:highlight w:val="none"/>
              </w:rPr>
            </w:pPr>
          </w:p>
        </w:tc>
        <w:tc>
          <w:tcPr>
            <w:tcW w:w="2551" w:type="dxa"/>
            <w:vAlign w:val="center"/>
          </w:tcPr>
          <w:p w14:paraId="28CF905E">
            <w:pPr>
              <w:spacing w:line="360" w:lineRule="auto"/>
              <w:rPr>
                <w:rFonts w:ascii="仿宋" w:hAnsi="仿宋" w:eastAsia="仿宋" w:cs="仿宋"/>
                <w:color w:val="auto"/>
                <w:sz w:val="24"/>
                <w:szCs w:val="24"/>
                <w:highlight w:val="none"/>
              </w:rPr>
            </w:pPr>
          </w:p>
        </w:tc>
      </w:tr>
    </w:tbl>
    <w:p w14:paraId="7041AF63">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注：此表为表样，行数可自行添加，但表式不变。根据评分标准要求，附上业绩证明材料。</w:t>
      </w:r>
    </w:p>
    <w:p w14:paraId="45F7A5B0">
      <w:pPr>
        <w:spacing w:line="360" w:lineRule="auto"/>
        <w:jc w:val="left"/>
        <w:rPr>
          <w:rFonts w:ascii="仿宋" w:hAnsi="仿宋" w:eastAsia="仿宋" w:cs="仿宋"/>
          <w:color w:val="auto"/>
          <w:sz w:val="24"/>
          <w:szCs w:val="24"/>
          <w:highlight w:val="none"/>
        </w:rPr>
      </w:pPr>
    </w:p>
    <w:p w14:paraId="5B7D9E63">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66567B4F">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087DFFE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94503FF">
      <w:pPr>
        <w:spacing w:line="360" w:lineRule="auto"/>
        <w:rPr>
          <w:color w:val="auto"/>
          <w:highlight w:val="none"/>
        </w:rPr>
      </w:pPr>
    </w:p>
    <w:p w14:paraId="5D57F22E">
      <w:pPr>
        <w:spacing w:line="360" w:lineRule="auto"/>
        <w:rPr>
          <w:color w:val="auto"/>
          <w:highlight w:val="none"/>
        </w:rPr>
      </w:pPr>
    </w:p>
    <w:p w14:paraId="0D0218E5">
      <w:pPr>
        <w:spacing w:line="360" w:lineRule="auto"/>
        <w:rPr>
          <w:color w:val="auto"/>
          <w:highlight w:val="none"/>
        </w:rPr>
      </w:pPr>
    </w:p>
    <w:p w14:paraId="23A1B19C">
      <w:pPr>
        <w:spacing w:line="360" w:lineRule="auto"/>
        <w:rPr>
          <w:color w:val="auto"/>
          <w:highlight w:val="none"/>
        </w:rPr>
      </w:pPr>
    </w:p>
    <w:p w14:paraId="33C381F5">
      <w:pPr>
        <w:widowControl/>
        <w:spacing w:line="360" w:lineRule="auto"/>
        <w:rPr>
          <w:color w:val="auto"/>
          <w:highlight w:val="none"/>
        </w:rPr>
      </w:pPr>
      <w:r>
        <w:rPr>
          <w:rFonts w:hint="eastAsia" w:ascii="仿宋" w:hAnsi="仿宋" w:eastAsia="仿宋" w:cs="仿宋"/>
          <w:b/>
          <w:bCs/>
          <w:color w:val="auto"/>
          <w:sz w:val="24"/>
          <w:szCs w:val="24"/>
          <w:highlight w:val="none"/>
          <w:lang w:bidi="ar"/>
        </w:rPr>
        <w:t>2、投标人</w:t>
      </w:r>
      <w:r>
        <w:rPr>
          <w:rFonts w:ascii="仿宋" w:hAnsi="仿宋" w:eastAsia="仿宋" w:cs="仿宋"/>
          <w:b/>
          <w:bCs/>
          <w:color w:val="auto"/>
          <w:sz w:val="24"/>
          <w:szCs w:val="24"/>
          <w:highlight w:val="none"/>
          <w:lang w:bidi="ar"/>
        </w:rPr>
        <w:t>认为有必要提供的其他文件（格式内容自拟）</w:t>
      </w:r>
    </w:p>
    <w:p w14:paraId="46E25546">
      <w:pPr>
        <w:spacing w:line="360" w:lineRule="auto"/>
        <w:rPr>
          <w:color w:val="auto"/>
          <w:highlight w:val="none"/>
        </w:rPr>
        <w:sectPr>
          <w:pgSz w:w="11906" w:h="16838"/>
          <w:pgMar w:top="1440" w:right="1080" w:bottom="1440" w:left="1080" w:header="851" w:footer="907" w:gutter="0"/>
          <w:cols w:space="720" w:num="1"/>
          <w:docGrid w:linePitch="360" w:charSpace="0"/>
        </w:sectPr>
      </w:pPr>
    </w:p>
    <w:p w14:paraId="6DF5F327">
      <w:pPr>
        <w:spacing w:line="360" w:lineRule="auto"/>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附件1：规范招投标及履约行为提醒单</w:t>
      </w:r>
    </w:p>
    <w:p w14:paraId="2512E5F1">
      <w:pPr>
        <w:spacing w:line="600" w:lineRule="exact"/>
        <w:jc w:val="center"/>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规范招投标及履约行为提醒单</w:t>
      </w:r>
    </w:p>
    <w:p w14:paraId="2682B637">
      <w:pPr>
        <w:spacing w:line="500" w:lineRule="exact"/>
        <w:rPr>
          <w:color w:val="auto"/>
          <w:szCs w:val="32"/>
          <w:highlight w:val="none"/>
          <w:u w:val="single"/>
        </w:rPr>
      </w:pPr>
    </w:p>
    <w:p w14:paraId="47CD794C">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为推进我局招投标及合同履行工作公开、透明、规范运行，现将相关党风廉政要求提醒如下：</w:t>
      </w:r>
    </w:p>
    <w:p w14:paraId="0CB9CA40">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1．严格遵守党和国家有关法律法规等相关规定开展招投标和履行合同工作，坚持公开、公正、诚信、透明的原则（除法律认定的商业秘密和合同文件另有规定之外），不得损害国家和集体利益。</w:t>
      </w:r>
    </w:p>
    <w:p w14:paraId="4E6953F1">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6BFB909A">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358F1BEA">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341E027A">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2A3AFE48">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 若中标，严格按招标文件和投标文件的约定签订合同并履行，严禁无正当理由放弃中标或拒绝签订合同；严格按照合同约定条款履行义务，防止因不及时履约对我局带来的廉政风险。</w:t>
      </w:r>
    </w:p>
    <w:p w14:paraId="04FA2B3B">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请贵单位认真遵守相关法律法规开展工作，如发现我局在业务活动中有违反廉政规定的行为，应及时提醒纠正，向局机关纪委反映。</w:t>
      </w:r>
    </w:p>
    <w:p w14:paraId="04A679D1">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我局对贵单位开展情况将进行全过程监督，一旦发现贵单位有违反党和国家有关法律法规的，将视情取消资格并移送相关部门处理。局机关纪委联系人：杭平，电话：025-84329738。</w:t>
      </w:r>
    </w:p>
    <w:p w14:paraId="374C4533">
      <w:pPr>
        <w:spacing w:line="500" w:lineRule="exact"/>
        <w:ind w:firstLine="632"/>
        <w:rPr>
          <w:rFonts w:ascii="仿宋" w:hAnsi="仿宋" w:eastAsia="仿宋" w:cs="仿宋"/>
          <w:color w:val="auto"/>
          <w:sz w:val="24"/>
          <w:szCs w:val="24"/>
          <w:highlight w:val="none"/>
        </w:rPr>
      </w:pPr>
    </w:p>
    <w:p w14:paraId="78773EDA">
      <w:pPr>
        <w:spacing w:line="500" w:lineRule="exact"/>
        <w:ind w:firstLine="632"/>
        <w:rPr>
          <w:rFonts w:ascii="仿宋" w:hAnsi="仿宋" w:eastAsia="仿宋" w:cs="仿宋"/>
          <w:color w:val="auto"/>
          <w:sz w:val="24"/>
          <w:szCs w:val="24"/>
          <w:highlight w:val="none"/>
        </w:rPr>
      </w:pPr>
    </w:p>
    <w:p w14:paraId="0F22988A">
      <w:pPr>
        <w:spacing w:line="500" w:lineRule="exact"/>
        <w:ind w:firstLine="1920" w:firstLineChars="8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江苏省交通运输综合行政执法监督局</w:t>
      </w:r>
    </w:p>
    <w:p w14:paraId="130696C5">
      <w:pPr>
        <w:pBdr>
          <w:bottom w:val="single" w:color="auto" w:sz="6" w:space="8"/>
        </w:pBd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2026年7月</w:t>
      </w: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日</w:t>
      </w:r>
    </w:p>
    <w:p w14:paraId="7BAAA383">
      <w:pPr>
        <w:spacing w:line="500" w:lineRule="exact"/>
        <w:ind w:firstLine="632"/>
        <w:rPr>
          <w:rFonts w:ascii="仿宋" w:hAnsi="仿宋" w:eastAsia="仿宋" w:cs="仿宋"/>
          <w:color w:val="auto"/>
          <w:sz w:val="24"/>
          <w:szCs w:val="24"/>
          <w:highlight w:val="none"/>
        </w:rPr>
      </w:pPr>
    </w:p>
    <w:p w14:paraId="5BA1543D">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参与单位承诺：</w:t>
      </w:r>
    </w:p>
    <w:p w14:paraId="403C913B">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我单位已阅知并接受上述提醒，并保证在本项目投标和履约过程中认真遵守相关法律法规和你单位廉政规定。</w:t>
      </w:r>
    </w:p>
    <w:p w14:paraId="376B1B9A">
      <w:pPr>
        <w:spacing w:line="500" w:lineRule="exact"/>
        <w:ind w:firstLine="632"/>
        <w:rPr>
          <w:rFonts w:ascii="仿宋" w:hAnsi="仿宋" w:eastAsia="仿宋" w:cs="仿宋"/>
          <w:color w:val="auto"/>
          <w:sz w:val="24"/>
          <w:szCs w:val="24"/>
          <w:highlight w:val="none"/>
        </w:rPr>
      </w:pPr>
    </w:p>
    <w:p w14:paraId="39914559">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单位（签章）： </w:t>
      </w:r>
    </w:p>
    <w:p w14:paraId="2E5D2ED2">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24702FCE">
      <w:pPr>
        <w:jc w:val="center"/>
        <w:rPr>
          <w:color w:val="auto"/>
          <w:highlight w:val="none"/>
        </w:rPr>
      </w:pPr>
    </w:p>
    <w:sectPr>
      <w:footerReference r:id="rId11" w:type="default"/>
      <w:pgSz w:w="11906" w:h="16838"/>
      <w:pgMar w:top="1440" w:right="1080" w:bottom="1440" w:left="1080"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9658F508-726C-45F9-B31E-826DDA3DB826}"/>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5A0BF000-390A-45EB-84B1-4CF340020E41}"/>
  </w:font>
  <w:font w:name="全真楷書">
    <w:altName w:val="宋体"/>
    <w:panose1 w:val="00000000000000000000"/>
    <w:charset w:val="88"/>
    <w:family w:val="modern"/>
    <w:pitch w:val="default"/>
    <w:sig w:usb0="00000000" w:usb1="00000000" w:usb2="00000010" w:usb3="00000000" w:csb0="0010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3" w:fontKey="{95170CF5-BBB6-4B9C-89DA-B9E1E376A005}"/>
  </w:font>
  <w:font w:name="Wingdings 2">
    <w:panose1 w:val="05020102010507070707"/>
    <w:charset w:val="02"/>
    <w:family w:val="roman"/>
    <w:pitch w:val="default"/>
    <w:sig w:usb0="00000000" w:usb1="00000000" w:usb2="00000000" w:usb3="00000000" w:csb0="80000000" w:csb1="00000000"/>
    <w:embedRegular r:id="rId4" w:fontKey="{1B7F9399-46C8-40AE-9160-B1F7188C90CF}"/>
  </w:font>
  <w:font w:name="方正魏碑_GBK">
    <w:altName w:val="宋体"/>
    <w:panose1 w:val="00000000000000000000"/>
    <w:charset w:val="86"/>
    <w:family w:val="auto"/>
    <w:pitch w:val="default"/>
    <w:sig w:usb0="00000000" w:usb1="00000000" w:usb2="00000000" w:usb3="00000000" w:csb0="00040000" w:csb1="00000000"/>
    <w:embedRegular r:id="rId5" w:fontKey="{F48725C5-57F1-4080-A054-344F452A5E36}"/>
  </w:font>
  <w:font w:name="方正仿宋_GBK">
    <w:panose1 w:val="03000509000000000000"/>
    <w:charset w:val="86"/>
    <w:family w:val="script"/>
    <w:pitch w:val="default"/>
    <w:sig w:usb0="00000001" w:usb1="080E0000" w:usb2="00000000" w:usb3="00000000" w:csb0="00040000" w:csb1="00000000"/>
    <w:embedRegular r:id="rId6" w:fontKey="{583B64AA-D690-4A28-83CF-47F39370DFDB}"/>
  </w:font>
  <w:font w:name="方正小标宋简体">
    <w:altName w:val="方正小标宋_GBK"/>
    <w:panose1 w:val="03000509000000000000"/>
    <w:charset w:val="86"/>
    <w:family w:val="script"/>
    <w:pitch w:val="default"/>
    <w:sig w:usb0="00000001" w:usb1="080E0000" w:usb2="00000000" w:usb3="00000000" w:csb0="00040000" w:csb1="00000000"/>
    <w:embedRegular r:id="rId7" w:fontKey="{1FDD34F2-54E7-4E98-B4BA-467AF16D70EC}"/>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2E2F7">
    <w:pPr>
      <w:pStyle w:val="221"/>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42B5E">
    <w:pPr>
      <w:pStyle w:val="221"/>
      <w:tabs>
        <w:tab w:val="center" w:pos="4476"/>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D6E1E">
    <w:pPr>
      <w:pStyle w:val="221"/>
      <w:jc w:val="center"/>
      <w:rPr>
        <w:b/>
        <w: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3CBA1">
                          <w:pPr>
                            <w:pStyle w:val="2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5B3CBA1">
                    <w:pPr>
                      <w:pStyle w:val="2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F40B3">
    <w:pPr>
      <w:pStyle w:val="221"/>
      <w:jc w:val="center"/>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6B849">
                          <w:pPr>
                            <w:pStyle w:val="2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986B849">
                    <w:pPr>
                      <w:pStyle w:val="23"/>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6E192">
    <w:pPr>
      <w:pStyle w:val="221"/>
      <w:jc w:val="center"/>
      <w:rPr>
        <w:b/>
        <w:i/>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48C33">
                          <w:pPr>
                            <w:pStyle w:val="23"/>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0248C33">
                    <w:pPr>
                      <w:pStyle w:val="23"/>
                    </w:pPr>
                    <w:r>
                      <w:fldChar w:fldCharType="begin"/>
                    </w:r>
                    <w:r>
                      <w:instrText xml:space="preserve"> PAGE  \* MERGEFORMAT </w:instrText>
                    </w:r>
                    <w:r>
                      <w:fldChar w:fldCharType="separate"/>
                    </w:r>
                    <w:r>
                      <w:t>62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51E9172">
                          <w:pPr>
                            <w:pStyle w:val="221"/>
                          </w:pPr>
                        </w:p>
                        <w:p w14:paraId="6E23AD6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451E9172">
                    <w:pPr>
                      <w:pStyle w:val="221"/>
                    </w:pPr>
                  </w:p>
                  <w:p w14:paraId="6E23AD6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D4B87">
    <w:pPr>
      <w:pStyle w:val="22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7B398">
    <w:pPr>
      <w:pStyle w:val="222"/>
      <w:pBdr>
        <w:bottom w:val="none" w:color="auto" w:sz="0" w:space="1"/>
      </w:pBdr>
      <w:tabs>
        <w:tab w:val="center" w:pos="4873"/>
      </w:tabs>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0D8A8">
    <w:pPr>
      <w:pStyle w:val="222"/>
      <w:pBdr>
        <w:bottom w:val="none" w:color="000000"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95BD5">
    <w:pPr>
      <w:pStyle w:val="222"/>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55B58BD"/>
    <w:multiLevelType w:val="singleLevel"/>
    <w:tmpl w:val="E55B58BD"/>
    <w:lvl w:ilvl="0" w:tentative="0">
      <w:start w:val="3"/>
      <w:numFmt w:val="decimal"/>
      <w:lvlText w:val="(%1)"/>
      <w:lvlJc w:val="left"/>
      <w:pPr>
        <w:tabs>
          <w:tab w:val="left" w:pos="312"/>
        </w:tabs>
      </w:p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7"/>
      <w:suff w:val="nothing"/>
      <w:lvlText w:val=""/>
      <w:lvlJc w:val="left"/>
      <w:pPr>
        <w:ind w:left="0" w:firstLine="0"/>
      </w:pPr>
      <w:rPr>
        <w:rFonts w:hint="eastAsia"/>
      </w:rPr>
    </w:lvl>
    <w:lvl w:ilvl="6" w:tentative="0">
      <w:start w:val="1"/>
      <w:numFmt w:val="decimal"/>
      <w:pStyle w:val="198"/>
      <w:suff w:val="nothing"/>
      <w:lvlText w:val=""/>
      <w:lvlJc w:val="left"/>
      <w:pPr>
        <w:ind w:left="0" w:firstLine="0"/>
      </w:pPr>
      <w:rPr>
        <w:rFonts w:hint="eastAsia"/>
      </w:rPr>
    </w:lvl>
    <w:lvl w:ilvl="7" w:tentative="0">
      <w:start w:val="1"/>
      <w:numFmt w:val="decimal"/>
      <w:pStyle w:val="199"/>
      <w:suff w:val="nothing"/>
      <w:lvlText w:val=""/>
      <w:lvlJc w:val="left"/>
      <w:pPr>
        <w:ind w:left="0" w:firstLine="0"/>
      </w:pPr>
      <w:rPr>
        <w:rFonts w:hint="eastAsia"/>
      </w:rPr>
    </w:lvl>
    <w:lvl w:ilvl="8" w:tentative="0">
      <w:start w:val="1"/>
      <w:numFmt w:val="decimal"/>
      <w:pStyle w:val="200"/>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A86"/>
    <w:rsid w:val="00172A27"/>
    <w:rsid w:val="00193BE0"/>
    <w:rsid w:val="001D0D92"/>
    <w:rsid w:val="00233777"/>
    <w:rsid w:val="00247865"/>
    <w:rsid w:val="00295B5A"/>
    <w:rsid w:val="002C31BB"/>
    <w:rsid w:val="002F403F"/>
    <w:rsid w:val="003523B0"/>
    <w:rsid w:val="003A4788"/>
    <w:rsid w:val="003B44F7"/>
    <w:rsid w:val="003B6AEF"/>
    <w:rsid w:val="003D5067"/>
    <w:rsid w:val="003D6745"/>
    <w:rsid w:val="003F1DE0"/>
    <w:rsid w:val="00413DA0"/>
    <w:rsid w:val="00422877"/>
    <w:rsid w:val="00443DC7"/>
    <w:rsid w:val="004D2544"/>
    <w:rsid w:val="00505403"/>
    <w:rsid w:val="00527B3D"/>
    <w:rsid w:val="00534FEF"/>
    <w:rsid w:val="00557137"/>
    <w:rsid w:val="00593AE8"/>
    <w:rsid w:val="0059517E"/>
    <w:rsid w:val="005E24B7"/>
    <w:rsid w:val="00622B87"/>
    <w:rsid w:val="006550F3"/>
    <w:rsid w:val="006703BB"/>
    <w:rsid w:val="007570DB"/>
    <w:rsid w:val="007C1602"/>
    <w:rsid w:val="00837761"/>
    <w:rsid w:val="00856AB6"/>
    <w:rsid w:val="00867C46"/>
    <w:rsid w:val="0090606B"/>
    <w:rsid w:val="009D0E4D"/>
    <w:rsid w:val="00A06FA7"/>
    <w:rsid w:val="00A42D92"/>
    <w:rsid w:val="00AA710C"/>
    <w:rsid w:val="00B11443"/>
    <w:rsid w:val="00B12A1A"/>
    <w:rsid w:val="00BB765E"/>
    <w:rsid w:val="00BC3811"/>
    <w:rsid w:val="00D204A1"/>
    <w:rsid w:val="00D75DFD"/>
    <w:rsid w:val="00DF5772"/>
    <w:rsid w:val="00E1214A"/>
    <w:rsid w:val="00EA3950"/>
    <w:rsid w:val="00ED5986"/>
    <w:rsid w:val="00F42512"/>
    <w:rsid w:val="00F44646"/>
    <w:rsid w:val="00F46D15"/>
    <w:rsid w:val="00F73BF1"/>
    <w:rsid w:val="00F91A8F"/>
    <w:rsid w:val="00FC3060"/>
    <w:rsid w:val="011B6824"/>
    <w:rsid w:val="025C3DE0"/>
    <w:rsid w:val="025F28B4"/>
    <w:rsid w:val="03594A16"/>
    <w:rsid w:val="035A2E3C"/>
    <w:rsid w:val="040177F9"/>
    <w:rsid w:val="049C2668"/>
    <w:rsid w:val="04CB4231"/>
    <w:rsid w:val="04E43D48"/>
    <w:rsid w:val="05545FD4"/>
    <w:rsid w:val="05573D16"/>
    <w:rsid w:val="05EB09CA"/>
    <w:rsid w:val="05F875F9"/>
    <w:rsid w:val="0667442D"/>
    <w:rsid w:val="06771D1A"/>
    <w:rsid w:val="06DF3FC3"/>
    <w:rsid w:val="06E83583"/>
    <w:rsid w:val="074667DB"/>
    <w:rsid w:val="078825AB"/>
    <w:rsid w:val="08577C79"/>
    <w:rsid w:val="08EE04EE"/>
    <w:rsid w:val="08F724F0"/>
    <w:rsid w:val="09A426F2"/>
    <w:rsid w:val="09E55D95"/>
    <w:rsid w:val="0B100BEF"/>
    <w:rsid w:val="0B640F3B"/>
    <w:rsid w:val="0B6D37DA"/>
    <w:rsid w:val="0BD7795F"/>
    <w:rsid w:val="0C0D1227"/>
    <w:rsid w:val="0C105683"/>
    <w:rsid w:val="0CB67574"/>
    <w:rsid w:val="0D1F5436"/>
    <w:rsid w:val="0D3F2E3B"/>
    <w:rsid w:val="0D674D12"/>
    <w:rsid w:val="0E282812"/>
    <w:rsid w:val="0E980A98"/>
    <w:rsid w:val="0EC86D78"/>
    <w:rsid w:val="0ECF2B6F"/>
    <w:rsid w:val="0F9022FF"/>
    <w:rsid w:val="0FAC2408"/>
    <w:rsid w:val="0FBD0C1A"/>
    <w:rsid w:val="0FCD3553"/>
    <w:rsid w:val="10246EEB"/>
    <w:rsid w:val="109F0F54"/>
    <w:rsid w:val="10A714F5"/>
    <w:rsid w:val="11141A37"/>
    <w:rsid w:val="11A0203A"/>
    <w:rsid w:val="12250338"/>
    <w:rsid w:val="123D6008"/>
    <w:rsid w:val="12591658"/>
    <w:rsid w:val="12767ED2"/>
    <w:rsid w:val="12AA1929"/>
    <w:rsid w:val="14010CEA"/>
    <w:rsid w:val="14E54E9B"/>
    <w:rsid w:val="15051099"/>
    <w:rsid w:val="150F64E0"/>
    <w:rsid w:val="1556482D"/>
    <w:rsid w:val="1755065F"/>
    <w:rsid w:val="181B5077"/>
    <w:rsid w:val="181F6915"/>
    <w:rsid w:val="1857752E"/>
    <w:rsid w:val="18AF6EB7"/>
    <w:rsid w:val="19392D03"/>
    <w:rsid w:val="19D00743"/>
    <w:rsid w:val="19EE2A43"/>
    <w:rsid w:val="1A195710"/>
    <w:rsid w:val="1A202A12"/>
    <w:rsid w:val="1A42165B"/>
    <w:rsid w:val="1B0C6778"/>
    <w:rsid w:val="1B2A17D2"/>
    <w:rsid w:val="1B6C118E"/>
    <w:rsid w:val="1BCC1635"/>
    <w:rsid w:val="1C640D9B"/>
    <w:rsid w:val="1DD73F28"/>
    <w:rsid w:val="1DDD2D91"/>
    <w:rsid w:val="1DE76C80"/>
    <w:rsid w:val="1EDE10C5"/>
    <w:rsid w:val="1F1620F4"/>
    <w:rsid w:val="1F340938"/>
    <w:rsid w:val="1F9C5978"/>
    <w:rsid w:val="1FA3607E"/>
    <w:rsid w:val="1FE20037"/>
    <w:rsid w:val="1FE907B3"/>
    <w:rsid w:val="20165AAF"/>
    <w:rsid w:val="204213F3"/>
    <w:rsid w:val="21035862"/>
    <w:rsid w:val="21425423"/>
    <w:rsid w:val="21463165"/>
    <w:rsid w:val="219E183D"/>
    <w:rsid w:val="21C5052E"/>
    <w:rsid w:val="22034D4B"/>
    <w:rsid w:val="234C07DB"/>
    <w:rsid w:val="237613B4"/>
    <w:rsid w:val="24165312"/>
    <w:rsid w:val="25F767DC"/>
    <w:rsid w:val="263A337B"/>
    <w:rsid w:val="26492CDC"/>
    <w:rsid w:val="266C096E"/>
    <w:rsid w:val="26AB6B97"/>
    <w:rsid w:val="26F471BF"/>
    <w:rsid w:val="27383323"/>
    <w:rsid w:val="2778394C"/>
    <w:rsid w:val="285171A4"/>
    <w:rsid w:val="286E4D4F"/>
    <w:rsid w:val="289B3C47"/>
    <w:rsid w:val="28BD7A48"/>
    <w:rsid w:val="293D522B"/>
    <w:rsid w:val="297665B1"/>
    <w:rsid w:val="2A721D4C"/>
    <w:rsid w:val="2B0F60DF"/>
    <w:rsid w:val="2B5249DF"/>
    <w:rsid w:val="2C1A3224"/>
    <w:rsid w:val="2C432C8D"/>
    <w:rsid w:val="2D15670F"/>
    <w:rsid w:val="2D5A6413"/>
    <w:rsid w:val="2D78789D"/>
    <w:rsid w:val="2DE57862"/>
    <w:rsid w:val="2E045F3A"/>
    <w:rsid w:val="2E6405A0"/>
    <w:rsid w:val="2E8E614B"/>
    <w:rsid w:val="2F4230EC"/>
    <w:rsid w:val="2F7C029E"/>
    <w:rsid w:val="2FCC3367"/>
    <w:rsid w:val="302F3016"/>
    <w:rsid w:val="307B44AD"/>
    <w:rsid w:val="30C711DB"/>
    <w:rsid w:val="30FE5C9F"/>
    <w:rsid w:val="319E48F7"/>
    <w:rsid w:val="32742875"/>
    <w:rsid w:val="32F56384"/>
    <w:rsid w:val="333527C5"/>
    <w:rsid w:val="3353635E"/>
    <w:rsid w:val="336851BD"/>
    <w:rsid w:val="33AB3863"/>
    <w:rsid w:val="34120085"/>
    <w:rsid w:val="3422222F"/>
    <w:rsid w:val="34A42225"/>
    <w:rsid w:val="350A469D"/>
    <w:rsid w:val="351D324F"/>
    <w:rsid w:val="35C61CFD"/>
    <w:rsid w:val="36225497"/>
    <w:rsid w:val="36277950"/>
    <w:rsid w:val="36820B8A"/>
    <w:rsid w:val="3797864C"/>
    <w:rsid w:val="37B248FD"/>
    <w:rsid w:val="37B51C05"/>
    <w:rsid w:val="37C9667B"/>
    <w:rsid w:val="384669F0"/>
    <w:rsid w:val="39260480"/>
    <w:rsid w:val="398A5BF8"/>
    <w:rsid w:val="39D478B8"/>
    <w:rsid w:val="3AC2368D"/>
    <w:rsid w:val="3B636B22"/>
    <w:rsid w:val="3B7874E6"/>
    <w:rsid w:val="3B944458"/>
    <w:rsid w:val="3B9C3C56"/>
    <w:rsid w:val="3BB17661"/>
    <w:rsid w:val="3BBC60A6"/>
    <w:rsid w:val="3C620033"/>
    <w:rsid w:val="3D001AC2"/>
    <w:rsid w:val="3D385C00"/>
    <w:rsid w:val="3D637A63"/>
    <w:rsid w:val="3DC7686A"/>
    <w:rsid w:val="3DCE0312"/>
    <w:rsid w:val="3DD30DE2"/>
    <w:rsid w:val="3DED9FEB"/>
    <w:rsid w:val="3E9577F8"/>
    <w:rsid w:val="3EA330BF"/>
    <w:rsid w:val="3EBF1A09"/>
    <w:rsid w:val="3FF577F4"/>
    <w:rsid w:val="40154958"/>
    <w:rsid w:val="40481D0D"/>
    <w:rsid w:val="405D5B83"/>
    <w:rsid w:val="406D3E12"/>
    <w:rsid w:val="41894A0C"/>
    <w:rsid w:val="421C0B46"/>
    <w:rsid w:val="42CD6DEA"/>
    <w:rsid w:val="42D34FAF"/>
    <w:rsid w:val="43643AB0"/>
    <w:rsid w:val="43923B90"/>
    <w:rsid w:val="43D332E7"/>
    <w:rsid w:val="4410479D"/>
    <w:rsid w:val="44811C48"/>
    <w:rsid w:val="44C94939"/>
    <w:rsid w:val="44DE6E93"/>
    <w:rsid w:val="451C3223"/>
    <w:rsid w:val="457F2762"/>
    <w:rsid w:val="45B147A1"/>
    <w:rsid w:val="45CC50A2"/>
    <w:rsid w:val="46793FD1"/>
    <w:rsid w:val="46853538"/>
    <w:rsid w:val="46F64465"/>
    <w:rsid w:val="475F1FDB"/>
    <w:rsid w:val="47764260"/>
    <w:rsid w:val="487B47DE"/>
    <w:rsid w:val="497F0830"/>
    <w:rsid w:val="49AA39E1"/>
    <w:rsid w:val="49D97E23"/>
    <w:rsid w:val="49DE1FF1"/>
    <w:rsid w:val="4A743FEF"/>
    <w:rsid w:val="4AA2290B"/>
    <w:rsid w:val="4AA601C2"/>
    <w:rsid w:val="4ADE2588"/>
    <w:rsid w:val="4BAC7EBB"/>
    <w:rsid w:val="4BF058F8"/>
    <w:rsid w:val="4C8B76AC"/>
    <w:rsid w:val="4CE948F5"/>
    <w:rsid w:val="4D0168EF"/>
    <w:rsid w:val="4D2942E6"/>
    <w:rsid w:val="4DC077B7"/>
    <w:rsid w:val="4E1522C2"/>
    <w:rsid w:val="4E306692"/>
    <w:rsid w:val="4E465CA3"/>
    <w:rsid w:val="4EC41BA7"/>
    <w:rsid w:val="4EC53B34"/>
    <w:rsid w:val="50203244"/>
    <w:rsid w:val="51F223CA"/>
    <w:rsid w:val="528A0854"/>
    <w:rsid w:val="52A05A32"/>
    <w:rsid w:val="52E956CD"/>
    <w:rsid w:val="53D63625"/>
    <w:rsid w:val="543F00D8"/>
    <w:rsid w:val="549E2395"/>
    <w:rsid w:val="552C4101"/>
    <w:rsid w:val="55E95892"/>
    <w:rsid w:val="566E388E"/>
    <w:rsid w:val="56C63E25"/>
    <w:rsid w:val="56FA587C"/>
    <w:rsid w:val="57030BD5"/>
    <w:rsid w:val="574865E8"/>
    <w:rsid w:val="57883B27"/>
    <w:rsid w:val="57DA5C9F"/>
    <w:rsid w:val="57ED3DCA"/>
    <w:rsid w:val="5853793A"/>
    <w:rsid w:val="58AE459A"/>
    <w:rsid w:val="58B62204"/>
    <w:rsid w:val="590649AC"/>
    <w:rsid w:val="594433C0"/>
    <w:rsid w:val="59645264"/>
    <w:rsid w:val="5A2279A0"/>
    <w:rsid w:val="5AAD470B"/>
    <w:rsid w:val="5AC32B55"/>
    <w:rsid w:val="5B5B2B5B"/>
    <w:rsid w:val="5B897884"/>
    <w:rsid w:val="5BD05A60"/>
    <w:rsid w:val="5C4A2B15"/>
    <w:rsid w:val="5C5044CE"/>
    <w:rsid w:val="5C6B200B"/>
    <w:rsid w:val="5D4B2344"/>
    <w:rsid w:val="5D5969CE"/>
    <w:rsid w:val="5E604C26"/>
    <w:rsid w:val="5F7C32D2"/>
    <w:rsid w:val="5FCE100E"/>
    <w:rsid w:val="6106379C"/>
    <w:rsid w:val="614C2579"/>
    <w:rsid w:val="61A644C1"/>
    <w:rsid w:val="62A83F60"/>
    <w:rsid w:val="62DF26A5"/>
    <w:rsid w:val="62EF1E79"/>
    <w:rsid w:val="638C50BD"/>
    <w:rsid w:val="639224E3"/>
    <w:rsid w:val="63975993"/>
    <w:rsid w:val="63F51428"/>
    <w:rsid w:val="63F773CC"/>
    <w:rsid w:val="641F7AB2"/>
    <w:rsid w:val="642F503A"/>
    <w:rsid w:val="66157FDD"/>
    <w:rsid w:val="661728E0"/>
    <w:rsid w:val="66311A46"/>
    <w:rsid w:val="66A345C3"/>
    <w:rsid w:val="670818F0"/>
    <w:rsid w:val="67311DA8"/>
    <w:rsid w:val="679C2918"/>
    <w:rsid w:val="67C41795"/>
    <w:rsid w:val="681B52CA"/>
    <w:rsid w:val="682253DD"/>
    <w:rsid w:val="68266ED7"/>
    <w:rsid w:val="686F6E01"/>
    <w:rsid w:val="68EF4B15"/>
    <w:rsid w:val="6A194F43"/>
    <w:rsid w:val="6A6B2B86"/>
    <w:rsid w:val="6B29156C"/>
    <w:rsid w:val="6B50385C"/>
    <w:rsid w:val="6CF0404C"/>
    <w:rsid w:val="6D8455BA"/>
    <w:rsid w:val="6DF175A1"/>
    <w:rsid w:val="6E2613BE"/>
    <w:rsid w:val="6E843F52"/>
    <w:rsid w:val="6EE07CD7"/>
    <w:rsid w:val="6F001B5B"/>
    <w:rsid w:val="6F154B2D"/>
    <w:rsid w:val="6F221F2F"/>
    <w:rsid w:val="6F2968A7"/>
    <w:rsid w:val="6F3F4504"/>
    <w:rsid w:val="6FF53A6E"/>
    <w:rsid w:val="6FFF67E4"/>
    <w:rsid w:val="71D21EFE"/>
    <w:rsid w:val="71D62D16"/>
    <w:rsid w:val="721C3014"/>
    <w:rsid w:val="721E46BD"/>
    <w:rsid w:val="723914F7"/>
    <w:rsid w:val="72AB7677"/>
    <w:rsid w:val="73057E05"/>
    <w:rsid w:val="731E6F21"/>
    <w:rsid w:val="73306456"/>
    <w:rsid w:val="73467A28"/>
    <w:rsid w:val="73B057E9"/>
    <w:rsid w:val="73BC418E"/>
    <w:rsid w:val="73DF4511"/>
    <w:rsid w:val="73F81E0F"/>
    <w:rsid w:val="752D5343"/>
    <w:rsid w:val="75A86FF9"/>
    <w:rsid w:val="75B50E95"/>
    <w:rsid w:val="76166481"/>
    <w:rsid w:val="76769891"/>
    <w:rsid w:val="776E5FF7"/>
    <w:rsid w:val="777D291D"/>
    <w:rsid w:val="77A86B72"/>
    <w:rsid w:val="77EB7DB5"/>
    <w:rsid w:val="78BE5FE3"/>
    <w:rsid w:val="78FF74DF"/>
    <w:rsid w:val="793B1F88"/>
    <w:rsid w:val="79570BE0"/>
    <w:rsid w:val="795F117B"/>
    <w:rsid w:val="79A33AD2"/>
    <w:rsid w:val="7A4C205D"/>
    <w:rsid w:val="7AA32C1A"/>
    <w:rsid w:val="7ACF0C4A"/>
    <w:rsid w:val="7B1F73F5"/>
    <w:rsid w:val="7B5178B1"/>
    <w:rsid w:val="7B6B2277"/>
    <w:rsid w:val="7B93678C"/>
    <w:rsid w:val="7BB53769"/>
    <w:rsid w:val="7BE1474D"/>
    <w:rsid w:val="7BFF78C6"/>
    <w:rsid w:val="7C056D62"/>
    <w:rsid w:val="7C24747B"/>
    <w:rsid w:val="7CBF44CE"/>
    <w:rsid w:val="7CE7227B"/>
    <w:rsid w:val="7CEC286B"/>
    <w:rsid w:val="7D502D5B"/>
    <w:rsid w:val="7E1F3C97"/>
    <w:rsid w:val="7EA168DC"/>
    <w:rsid w:val="7EF7617C"/>
    <w:rsid w:val="7F5114BE"/>
    <w:rsid w:val="7FEA36DB"/>
    <w:rsid w:val="D7F7761D"/>
    <w:rsid w:val="D9EB67B0"/>
    <w:rsid w:val="DFFB68FC"/>
    <w:rsid w:val="E3FFF4CD"/>
    <w:rsid w:val="F17BB52A"/>
    <w:rsid w:val="F52FC84B"/>
    <w:rsid w:val="F6F78500"/>
    <w:rsid w:val="FFBAB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link w:val="203"/>
    <w:unhideWhenUsed/>
    <w:qFormat/>
    <w:uiPriority w:val="0"/>
    <w:rPr>
      <w:rFonts w:hint="eastAsia" w:ascii="仿宋_GB2312" w:hAnsi="Arial" w:eastAsia="仿宋_GB2312"/>
      <w:kern w:val="72"/>
      <w:sz w:val="32"/>
      <w:szCs w:val="84"/>
    </w:rPr>
  </w:style>
  <w:style w:type="paragraph" w:styleId="16">
    <w:name w:val="Block Text"/>
    <w:basedOn w:val="1"/>
    <w:qFormat/>
    <w:uiPriority w:val="0"/>
    <w:pPr>
      <w:snapToGrid w:val="0"/>
      <w:ind w:left="1440" w:right="27"/>
    </w:pPr>
    <w:rPr>
      <w:rFonts w:eastAsia="全真楷書"/>
      <w:sz w:val="24"/>
      <w:szCs w:val="20"/>
      <w:lang w:eastAsia="zh-TW"/>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87"/>
    <w:unhideWhenUsed/>
    <w:qFormat/>
    <w:uiPriority w:val="0"/>
    <w:rPr>
      <w:rFonts w:hint="eastAsia" w:ascii="宋体" w:hAnsi="Courier New"/>
      <w:szCs w:val="22"/>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Balloon Text"/>
    <w:basedOn w:val="1"/>
    <w:link w:val="288"/>
    <w:semiHidden/>
    <w:unhideWhenUsed/>
    <w:qFormat/>
    <w:uiPriority w:val="99"/>
    <w:rPr>
      <w:sz w:val="18"/>
      <w:szCs w:val="18"/>
    </w:rPr>
  </w:style>
  <w:style w:type="paragraph" w:styleId="23">
    <w:name w:val="footer"/>
    <w:basedOn w:val="1"/>
    <w:link w:val="62"/>
    <w:unhideWhenUsed/>
    <w:qFormat/>
    <w:uiPriority w:val="99"/>
    <w:pPr>
      <w:tabs>
        <w:tab w:val="center" w:pos="7143"/>
        <w:tab w:val="right" w:pos="14287"/>
      </w:tabs>
    </w:p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54"/>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unhideWhenUsed/>
    <w:qFormat/>
    <w:uiPriority w:val="99"/>
    <w:rPr>
      <w:sz w:val="21"/>
      <w:szCs w:val="21"/>
    </w:rPr>
  </w:style>
  <w:style w:type="character" w:styleId="41">
    <w:name w:val="footnote reference"/>
    <w:unhideWhenUsed/>
    <w:qFormat/>
    <w:uiPriority w:val="99"/>
    <w:rPr>
      <w:vertAlign w:val="superscript"/>
    </w:rPr>
  </w:style>
  <w:style w:type="paragraph" w:customStyle="1" w:styleId="42">
    <w:name w:val="正文文本1"/>
    <w:basedOn w:val="1"/>
    <w:qFormat/>
    <w:uiPriority w:val="0"/>
    <w:rPr>
      <w:rFonts w:ascii="楷体_GB2312" w:hAnsi="Arial" w:eastAsia="楷体_GB2312"/>
      <w:sz w:val="28"/>
      <w:szCs w:val="28"/>
    </w:rPr>
  </w:style>
  <w:style w:type="character" w:customStyle="1" w:styleId="43">
    <w:name w:val="标题 1 Char"/>
    <w:link w:val="3"/>
    <w:qFormat/>
    <w:uiPriority w:val="9"/>
    <w:rPr>
      <w:rFonts w:ascii="Arial" w:hAnsi="Arial" w:eastAsia="Arial" w:cs="Arial"/>
      <w:sz w:val="40"/>
      <w:szCs w:val="40"/>
    </w:rPr>
  </w:style>
  <w:style w:type="character" w:customStyle="1" w:styleId="44">
    <w:name w:val="标题 2 Char"/>
    <w:link w:val="4"/>
    <w:qFormat/>
    <w:uiPriority w:val="9"/>
    <w:rPr>
      <w:rFonts w:ascii="Arial" w:hAnsi="Arial" w:eastAsia="Arial" w:cs="Arial"/>
      <w:sz w:val="34"/>
    </w:rPr>
  </w:style>
  <w:style w:type="character" w:customStyle="1" w:styleId="45">
    <w:name w:val="标题 3 Char"/>
    <w:link w:val="5"/>
    <w:qFormat/>
    <w:uiPriority w:val="9"/>
    <w:rPr>
      <w:rFonts w:ascii="Arial" w:hAnsi="Arial" w:eastAsia="Arial" w:cs="Arial"/>
      <w:sz w:val="30"/>
      <w:szCs w:val="30"/>
    </w:rPr>
  </w:style>
  <w:style w:type="character" w:customStyle="1" w:styleId="46">
    <w:name w:val="标题 4 Char"/>
    <w:link w:val="6"/>
    <w:qFormat/>
    <w:uiPriority w:val="9"/>
    <w:rPr>
      <w:rFonts w:ascii="Arial" w:hAnsi="Arial" w:eastAsia="Arial" w:cs="Arial"/>
      <w:b/>
      <w:bCs/>
      <w:sz w:val="26"/>
      <w:szCs w:val="26"/>
    </w:rPr>
  </w:style>
  <w:style w:type="character" w:customStyle="1" w:styleId="47">
    <w:name w:val="标题 5 Char"/>
    <w:link w:val="7"/>
    <w:qFormat/>
    <w:uiPriority w:val="9"/>
    <w:rPr>
      <w:rFonts w:ascii="Arial" w:hAnsi="Arial" w:eastAsia="Arial" w:cs="Arial"/>
      <w:b/>
      <w:bCs/>
      <w:sz w:val="24"/>
      <w:szCs w:val="24"/>
    </w:rPr>
  </w:style>
  <w:style w:type="character" w:customStyle="1" w:styleId="48">
    <w:name w:val="标题 6 Char"/>
    <w:link w:val="8"/>
    <w:qFormat/>
    <w:uiPriority w:val="9"/>
    <w:rPr>
      <w:rFonts w:ascii="Arial" w:hAnsi="Arial" w:eastAsia="Arial" w:cs="Arial"/>
      <w:b/>
      <w:bCs/>
      <w:sz w:val="22"/>
      <w:szCs w:val="22"/>
    </w:rPr>
  </w:style>
  <w:style w:type="character" w:customStyle="1" w:styleId="49">
    <w:name w:val="标题 7 Char"/>
    <w:link w:val="9"/>
    <w:qFormat/>
    <w:uiPriority w:val="9"/>
    <w:rPr>
      <w:rFonts w:ascii="Arial" w:hAnsi="Arial" w:eastAsia="Arial" w:cs="Arial"/>
      <w:b/>
      <w:bCs/>
      <w:i/>
      <w:iCs/>
      <w:sz w:val="22"/>
      <w:szCs w:val="22"/>
    </w:rPr>
  </w:style>
  <w:style w:type="character" w:customStyle="1" w:styleId="50">
    <w:name w:val="标题 8 Char"/>
    <w:link w:val="10"/>
    <w:qFormat/>
    <w:uiPriority w:val="9"/>
    <w:rPr>
      <w:rFonts w:ascii="Arial" w:hAnsi="Arial" w:eastAsia="Arial" w:cs="Arial"/>
      <w:i/>
      <w:iCs/>
      <w:sz w:val="22"/>
      <w:szCs w:val="22"/>
    </w:rPr>
  </w:style>
  <w:style w:type="character" w:customStyle="1" w:styleId="51">
    <w:name w:val="标题 9 Char"/>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Char"/>
    <w:link w:val="33"/>
    <w:qFormat/>
    <w:uiPriority w:val="10"/>
    <w:rPr>
      <w:sz w:val="48"/>
      <w:szCs w:val="48"/>
    </w:rPr>
  </w:style>
  <w:style w:type="character" w:customStyle="1" w:styleId="55">
    <w:name w:val="副标题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Char"/>
    <w:link w:val="58"/>
    <w:qFormat/>
    <w:uiPriority w:val="30"/>
    <w:rPr>
      <w:i/>
    </w:rPr>
  </w:style>
  <w:style w:type="character" w:customStyle="1" w:styleId="60">
    <w:name w:val="页眉 Char"/>
    <w:link w:val="24"/>
    <w:qFormat/>
    <w:uiPriority w:val="99"/>
  </w:style>
  <w:style w:type="character" w:customStyle="1" w:styleId="61">
    <w:name w:val="Footer Char"/>
    <w:qFormat/>
    <w:uiPriority w:val="99"/>
  </w:style>
  <w:style w:type="character" w:customStyle="1" w:styleId="62">
    <w:name w:val="页脚 Char"/>
    <w:link w:val="23"/>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Char"/>
    <w:link w:val="28"/>
    <w:qFormat/>
    <w:uiPriority w:val="99"/>
    <w:rPr>
      <w:sz w:val="18"/>
    </w:rPr>
  </w:style>
  <w:style w:type="character" w:customStyle="1" w:styleId="189">
    <w:name w:val="尾注文本 Char"/>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qFormat/>
    <w:uiPriority w:val="0"/>
    <w:pPr>
      <w:keepNext/>
      <w:jc w:val="center"/>
      <w:outlineLvl w:val="0"/>
    </w:pPr>
    <w:rPr>
      <w:rFonts w:ascii="楷体_GB2312" w:eastAsia="楷体_GB2312"/>
      <w:sz w:val="28"/>
      <w:szCs w:val="28"/>
    </w:rPr>
  </w:style>
  <w:style w:type="paragraph" w:customStyle="1" w:styleId="192">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3">
    <w:name w:val="标题 31"/>
    <w:basedOn w:val="1"/>
    <w:next w:val="194"/>
    <w:qFormat/>
    <w:uiPriority w:val="0"/>
    <w:pPr>
      <w:keepNext/>
      <w:keepLines/>
      <w:spacing w:before="260" w:after="260" w:line="416" w:lineRule="auto"/>
      <w:outlineLvl w:val="2"/>
    </w:pPr>
    <w:rPr>
      <w:b/>
      <w:bCs/>
      <w:sz w:val="32"/>
      <w:szCs w:val="32"/>
    </w:rPr>
  </w:style>
  <w:style w:type="paragraph" w:customStyle="1" w:styleId="194">
    <w:name w:val="正文缩进1"/>
    <w:basedOn w:val="1"/>
    <w:link w:val="204"/>
    <w:qFormat/>
    <w:uiPriority w:val="0"/>
    <w:pPr>
      <w:ind w:firstLine="420"/>
    </w:pPr>
  </w:style>
  <w:style w:type="paragraph" w:customStyle="1" w:styleId="195">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6">
    <w:name w:val="标题 51"/>
    <w:basedOn w:val="1"/>
    <w:next w:val="194"/>
    <w:qFormat/>
    <w:uiPriority w:val="0"/>
    <w:pPr>
      <w:keepNext/>
      <w:outlineLvl w:val="4"/>
    </w:pPr>
    <w:rPr>
      <w:rFonts w:ascii="宋体"/>
      <w:color w:val="000000"/>
      <w:sz w:val="28"/>
      <w:szCs w:val="28"/>
    </w:rPr>
  </w:style>
  <w:style w:type="paragraph" w:customStyle="1" w:styleId="197">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8">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9">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0">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1">
    <w:name w:val="默认段落字体1"/>
    <w:unhideWhenUsed/>
    <w:qFormat/>
    <w:uiPriority w:val="1"/>
  </w:style>
  <w:style w:type="table" w:customStyle="1" w:styleId="202">
    <w:name w:val="普通表格1"/>
    <w:unhideWhenUsed/>
    <w:qFormat/>
    <w:uiPriority w:val="99"/>
    <w:tblPr>
      <w:tblCellMar>
        <w:top w:w="0" w:type="dxa"/>
        <w:left w:w="0" w:type="dxa"/>
        <w:bottom w:w="0" w:type="dxa"/>
        <w:right w:w="0" w:type="dxa"/>
      </w:tblCellMar>
    </w:tblPr>
  </w:style>
  <w:style w:type="character" w:customStyle="1" w:styleId="203">
    <w:name w:val="正文文本 Char"/>
    <w:basedOn w:val="36"/>
    <w:link w:val="15"/>
    <w:unhideWhenUsed/>
    <w:qFormat/>
    <w:uiPriority w:val="99"/>
    <w:rPr>
      <w:rFonts w:cs="Times New Roman"/>
      <w:sz w:val="21"/>
      <w:szCs w:val="21"/>
    </w:rPr>
  </w:style>
  <w:style w:type="character" w:customStyle="1" w:styleId="204">
    <w:name w:val="正文缩进 Char"/>
    <w:link w:val="194"/>
    <w:qFormat/>
    <w:uiPriority w:val="0"/>
    <w:rPr>
      <w:sz w:val="21"/>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文档结构图1"/>
    <w:basedOn w:val="1"/>
    <w:semiHidden/>
    <w:qFormat/>
    <w:uiPriority w:val="0"/>
    <w:pPr>
      <w:shd w:val="clear" w:color="auto" w:fill="000080"/>
    </w:pPr>
  </w:style>
  <w:style w:type="paragraph" w:customStyle="1" w:styleId="208">
    <w:name w:val="批注文字1"/>
    <w:basedOn w:val="1"/>
    <w:link w:val="209"/>
    <w:semiHidden/>
    <w:qFormat/>
    <w:uiPriority w:val="0"/>
    <w:pPr>
      <w:jc w:val="left"/>
    </w:pPr>
  </w:style>
  <w:style w:type="character" w:customStyle="1" w:styleId="209">
    <w:name w:val="批注文字 Char"/>
    <w:link w:val="208"/>
    <w:unhideWhenUsed/>
    <w:qFormat/>
    <w:uiPriority w:val="0"/>
    <w:rPr>
      <w:rFonts w:cs="Times New Roman"/>
      <w:sz w:val="21"/>
      <w:szCs w:val="21"/>
    </w:rPr>
  </w:style>
  <w:style w:type="paragraph" w:customStyle="1" w:styleId="210">
    <w:name w:val="正文文本 31"/>
    <w:basedOn w:val="1"/>
    <w:qFormat/>
    <w:uiPriority w:val="0"/>
    <w:rPr>
      <w:rFonts w:ascii="仿宋_GB2312" w:hAnsi="Arial" w:eastAsia="仿宋_GB2312"/>
      <w:sz w:val="32"/>
      <w:szCs w:val="32"/>
    </w:rPr>
  </w:style>
  <w:style w:type="paragraph" w:customStyle="1" w:styleId="211">
    <w:name w:val="正文文本缩进1"/>
    <w:basedOn w:val="1"/>
    <w:qFormat/>
    <w:uiPriority w:val="0"/>
    <w:pPr>
      <w:ind w:firstLine="645"/>
    </w:pPr>
    <w:rPr>
      <w:rFonts w:ascii="楷体_GB2312" w:eastAsia="楷体_GB2312"/>
      <w:sz w:val="32"/>
      <w:szCs w:val="32"/>
    </w:rPr>
  </w:style>
  <w:style w:type="paragraph" w:customStyle="1" w:styleId="212">
    <w:name w:val="列表 21"/>
    <w:basedOn w:val="1"/>
    <w:qFormat/>
    <w:uiPriority w:val="0"/>
    <w:pPr>
      <w:ind w:left="100" w:hanging="200"/>
    </w:pPr>
  </w:style>
  <w:style w:type="paragraph" w:customStyle="1" w:styleId="213">
    <w:name w:val="索引 41"/>
    <w:basedOn w:val="1"/>
    <w:next w:val="1"/>
    <w:unhideWhenUsed/>
    <w:qFormat/>
    <w:uiPriority w:val="99"/>
    <w:pPr>
      <w:ind w:left="600"/>
    </w:pPr>
  </w:style>
  <w:style w:type="paragraph" w:customStyle="1" w:styleId="214">
    <w:name w:val="目录 51"/>
    <w:basedOn w:val="1"/>
    <w:next w:val="1"/>
    <w:semiHidden/>
    <w:qFormat/>
    <w:uiPriority w:val="0"/>
    <w:pPr>
      <w:ind w:left="840"/>
      <w:jc w:val="left"/>
    </w:pPr>
  </w:style>
  <w:style w:type="paragraph" w:customStyle="1" w:styleId="215">
    <w:name w:val="目录 31"/>
    <w:basedOn w:val="1"/>
    <w:next w:val="1"/>
    <w:semiHidden/>
    <w:qFormat/>
    <w:uiPriority w:val="0"/>
    <w:pPr>
      <w:ind w:left="420"/>
      <w:jc w:val="left"/>
    </w:pPr>
    <w:rPr>
      <w:i/>
      <w:iCs/>
      <w:szCs w:val="24"/>
    </w:rPr>
  </w:style>
  <w:style w:type="paragraph" w:customStyle="1" w:styleId="216">
    <w:name w:val="纯文本1"/>
    <w:basedOn w:val="1"/>
    <w:qFormat/>
    <w:uiPriority w:val="0"/>
    <w:rPr>
      <w:rFonts w:ascii="宋体" w:hAnsi="Courier New" w:cs="Courier New"/>
    </w:rPr>
  </w:style>
  <w:style w:type="paragraph" w:customStyle="1" w:styleId="217">
    <w:name w:val="目录 81"/>
    <w:basedOn w:val="1"/>
    <w:next w:val="1"/>
    <w:semiHidden/>
    <w:qFormat/>
    <w:uiPriority w:val="0"/>
    <w:pPr>
      <w:ind w:left="1470"/>
      <w:jc w:val="left"/>
    </w:pPr>
  </w:style>
  <w:style w:type="paragraph" w:customStyle="1" w:styleId="218">
    <w:name w:val="日期1"/>
    <w:basedOn w:val="1"/>
    <w:next w:val="1"/>
    <w:qFormat/>
    <w:uiPriority w:val="0"/>
    <w:rPr>
      <w:sz w:val="24"/>
      <w:szCs w:val="24"/>
    </w:rPr>
  </w:style>
  <w:style w:type="paragraph" w:customStyle="1" w:styleId="219">
    <w:name w:val="正文文本缩进 21"/>
    <w:basedOn w:val="1"/>
    <w:qFormat/>
    <w:uiPriority w:val="0"/>
    <w:pPr>
      <w:ind w:left="630" w:firstLine="645"/>
    </w:pPr>
    <w:rPr>
      <w:rFonts w:ascii="Arial" w:hAnsi="Arial" w:eastAsia="仿宋_GB2312" w:cs="Arial"/>
      <w:sz w:val="32"/>
      <w:szCs w:val="32"/>
    </w:rPr>
  </w:style>
  <w:style w:type="paragraph" w:customStyle="1" w:styleId="220">
    <w:name w:val="批注框文本1"/>
    <w:basedOn w:val="1"/>
    <w:semiHidden/>
    <w:qFormat/>
    <w:uiPriority w:val="0"/>
    <w:rPr>
      <w:sz w:val="18"/>
      <w:szCs w:val="18"/>
    </w:rPr>
  </w:style>
  <w:style w:type="paragraph" w:customStyle="1" w:styleId="221">
    <w:name w:val="页脚1"/>
    <w:basedOn w:val="1"/>
    <w:qFormat/>
    <w:uiPriority w:val="0"/>
    <w:pPr>
      <w:tabs>
        <w:tab w:val="center" w:pos="4153"/>
        <w:tab w:val="right" w:pos="8306"/>
      </w:tabs>
      <w:jc w:val="left"/>
    </w:pPr>
    <w:rPr>
      <w:sz w:val="18"/>
      <w:szCs w:val="18"/>
    </w:rPr>
  </w:style>
  <w:style w:type="paragraph" w:customStyle="1" w:styleId="22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4">
    <w:name w:val="目录 41"/>
    <w:basedOn w:val="1"/>
    <w:next w:val="1"/>
    <w:semiHidden/>
    <w:qFormat/>
    <w:uiPriority w:val="0"/>
    <w:pPr>
      <w:ind w:left="630"/>
      <w:jc w:val="left"/>
    </w:pPr>
  </w:style>
  <w:style w:type="paragraph" w:customStyle="1" w:styleId="225">
    <w:name w:val="列表1"/>
    <w:basedOn w:val="1"/>
    <w:qFormat/>
    <w:uiPriority w:val="0"/>
    <w:pPr>
      <w:ind w:left="200" w:hanging="200"/>
    </w:pPr>
  </w:style>
  <w:style w:type="paragraph" w:customStyle="1" w:styleId="226">
    <w:name w:val="目录 61"/>
    <w:basedOn w:val="1"/>
    <w:next w:val="1"/>
    <w:semiHidden/>
    <w:qFormat/>
    <w:uiPriority w:val="0"/>
    <w:pPr>
      <w:ind w:left="1050"/>
      <w:jc w:val="left"/>
    </w:pPr>
  </w:style>
  <w:style w:type="paragraph" w:customStyle="1" w:styleId="227">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28">
    <w:name w:val="图表目录1"/>
    <w:basedOn w:val="1"/>
    <w:next w:val="1"/>
    <w:semiHidden/>
    <w:qFormat/>
    <w:uiPriority w:val="0"/>
    <w:pPr>
      <w:ind w:left="840" w:hanging="420"/>
    </w:pPr>
  </w:style>
  <w:style w:type="paragraph" w:customStyle="1" w:styleId="229">
    <w:name w:val="目录 21"/>
    <w:basedOn w:val="1"/>
    <w:next w:val="1"/>
    <w:semiHidden/>
    <w:qFormat/>
    <w:uiPriority w:val="0"/>
    <w:pPr>
      <w:ind w:left="210"/>
      <w:jc w:val="left"/>
    </w:pPr>
    <w:rPr>
      <w:smallCaps/>
      <w:szCs w:val="24"/>
    </w:rPr>
  </w:style>
  <w:style w:type="paragraph" w:customStyle="1" w:styleId="230">
    <w:name w:val="目录 91"/>
    <w:basedOn w:val="1"/>
    <w:next w:val="1"/>
    <w:semiHidden/>
    <w:qFormat/>
    <w:uiPriority w:val="0"/>
    <w:pPr>
      <w:ind w:left="1680"/>
      <w:jc w:val="left"/>
    </w:pPr>
  </w:style>
  <w:style w:type="paragraph" w:customStyle="1" w:styleId="231">
    <w:name w:val="正文文本 21"/>
    <w:basedOn w:val="1"/>
    <w:qFormat/>
    <w:uiPriority w:val="0"/>
    <w:pPr>
      <w:widowControl/>
      <w:jc w:val="center"/>
    </w:pPr>
    <w:rPr>
      <w:rFonts w:ascii="楷体_GB2312" w:eastAsia="楷体_GB2312"/>
      <w:sz w:val="28"/>
      <w:szCs w:val="28"/>
    </w:rPr>
  </w:style>
  <w:style w:type="paragraph" w:customStyle="1" w:styleId="23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3">
    <w:name w:val="索引 11"/>
    <w:basedOn w:val="1"/>
    <w:next w:val="1"/>
    <w:semiHidden/>
    <w:qFormat/>
    <w:uiPriority w:val="0"/>
    <w:pPr>
      <w:spacing w:line="240" w:lineRule="atLeast"/>
    </w:pPr>
    <w:rPr>
      <w:b/>
      <w:bCs/>
    </w:rPr>
  </w:style>
  <w:style w:type="paragraph" w:customStyle="1" w:styleId="234">
    <w:name w:val="批注主题1"/>
    <w:basedOn w:val="208"/>
    <w:next w:val="208"/>
    <w:semiHidden/>
    <w:qFormat/>
    <w:uiPriority w:val="0"/>
    <w:rPr>
      <w:b/>
      <w:bCs/>
    </w:rPr>
  </w:style>
  <w:style w:type="paragraph" w:customStyle="1" w:styleId="235">
    <w:name w:val="正文首行缩进1"/>
    <w:basedOn w:val="42"/>
    <w:qFormat/>
    <w:uiPriority w:val="0"/>
    <w:pPr>
      <w:spacing w:line="360" w:lineRule="auto"/>
      <w:ind w:firstLine="200"/>
    </w:pPr>
    <w:rPr>
      <w:rFonts w:ascii="仿宋_GB2312" w:eastAsia="仿宋_GB2312"/>
      <w:sz w:val="30"/>
      <w:szCs w:val="30"/>
    </w:rPr>
  </w:style>
  <w:style w:type="paragraph" w:customStyle="1" w:styleId="236">
    <w:name w:val="正文首行缩进 21"/>
    <w:basedOn w:val="211"/>
    <w:qFormat/>
    <w:uiPriority w:val="0"/>
    <w:pPr>
      <w:spacing w:line="360" w:lineRule="auto"/>
      <w:ind w:firstLine="420"/>
    </w:pPr>
    <w:rPr>
      <w:rFonts w:ascii="宋体" w:hAnsi="宋体" w:eastAsia="宋体"/>
      <w:sz w:val="21"/>
      <w:szCs w:val="20"/>
    </w:rPr>
  </w:style>
  <w:style w:type="table" w:customStyle="1" w:styleId="237">
    <w:name w:val="网格型1"/>
    <w:basedOn w:val="202"/>
    <w:qFormat/>
    <w:uiPriority w:val="0"/>
    <w:pPr>
      <w:widowControl w:val="0"/>
      <w:jc w:val="both"/>
    </w:pPr>
  </w:style>
  <w:style w:type="character" w:customStyle="1" w:styleId="238">
    <w:name w:val="要点1"/>
    <w:qFormat/>
    <w:uiPriority w:val="0"/>
    <w:rPr>
      <w:b/>
      <w:bCs/>
    </w:rPr>
  </w:style>
  <w:style w:type="character" w:customStyle="1" w:styleId="239">
    <w:name w:val="页码1"/>
    <w:qFormat/>
    <w:uiPriority w:val="0"/>
  </w:style>
  <w:style w:type="character" w:customStyle="1" w:styleId="240">
    <w:name w:val="访问过的超链接1"/>
    <w:qFormat/>
    <w:uiPriority w:val="0"/>
    <w:rPr>
      <w:color w:val="800080"/>
      <w:u w:val="single"/>
    </w:rPr>
  </w:style>
  <w:style w:type="character" w:customStyle="1" w:styleId="241">
    <w:name w:val="超链接1"/>
    <w:qFormat/>
    <w:uiPriority w:val="0"/>
    <w:rPr>
      <w:color w:val="0000FF"/>
      <w:u w:val="single"/>
    </w:rPr>
  </w:style>
  <w:style w:type="character" w:customStyle="1" w:styleId="242">
    <w:name w:val="批注引用1"/>
    <w:semiHidden/>
    <w:qFormat/>
    <w:uiPriority w:val="0"/>
    <w:rPr>
      <w:sz w:val="21"/>
      <w:szCs w:val="21"/>
    </w:rPr>
  </w:style>
  <w:style w:type="paragraph" w:customStyle="1" w:styleId="243">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44">
    <w:name w:val="font5 Char"/>
    <w:qFormat/>
    <w:uiPriority w:val="0"/>
    <w:rPr>
      <w:rFonts w:ascii="宋体" w:hAnsi="宋体" w:eastAsia="宋体"/>
      <w:sz w:val="28"/>
      <w:szCs w:val="28"/>
      <w:lang w:val="en-US" w:eastAsia="zh-CN" w:bidi="ar-SA"/>
    </w:rPr>
  </w:style>
  <w:style w:type="character" w:customStyle="1" w:styleId="245">
    <w:name w:val="二级目录 Char"/>
    <w:link w:val="246"/>
    <w:qFormat/>
    <w:uiPriority w:val="0"/>
    <w:rPr>
      <w:b/>
      <w:sz w:val="30"/>
      <w:szCs w:val="28"/>
      <w:lang w:val="en-US" w:eastAsia="zh-CN" w:bidi="ar-SA"/>
    </w:rPr>
  </w:style>
  <w:style w:type="paragraph" w:customStyle="1" w:styleId="246">
    <w:name w:val="二级目录"/>
    <w:next w:val="1"/>
    <w:link w:val="24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7">
    <w:name w:val="列出段落 Char"/>
    <w:link w:val="248"/>
    <w:qFormat/>
    <w:uiPriority w:val="0"/>
    <w:rPr>
      <w:rFonts w:ascii="Calibri" w:hAnsi="Calibri"/>
      <w:sz w:val="24"/>
      <w:szCs w:val="24"/>
      <w:lang w:eastAsia="en-US" w:bidi="en-US"/>
    </w:rPr>
  </w:style>
  <w:style w:type="paragraph" w:customStyle="1" w:styleId="248">
    <w:name w:val="列出段落11"/>
    <w:basedOn w:val="1"/>
    <w:link w:val="247"/>
    <w:qFormat/>
    <w:uiPriority w:val="0"/>
    <w:pPr>
      <w:widowControl/>
      <w:ind w:left="720"/>
      <w:contextualSpacing/>
      <w:jc w:val="left"/>
    </w:pPr>
    <w:rPr>
      <w:rFonts w:ascii="Calibri" w:hAnsi="Calibri"/>
      <w:sz w:val="24"/>
      <w:szCs w:val="24"/>
      <w:lang w:eastAsia="en-US" w:bidi="en-US"/>
    </w:rPr>
  </w:style>
  <w:style w:type="paragraph" w:customStyle="1" w:styleId="249">
    <w:name w:val="Body Text(ch)"/>
    <w:basedOn w:val="1"/>
    <w:next w:val="42"/>
    <w:qFormat/>
    <w:uiPriority w:val="0"/>
    <w:pPr>
      <w:spacing w:after="120"/>
    </w:pPr>
    <w:rPr>
      <w:rFonts w:ascii="宋体" w:hAnsi="Arial"/>
      <w:bCs/>
      <w:iCs/>
      <w:szCs w:val="24"/>
    </w:rPr>
  </w:style>
  <w:style w:type="paragraph" w:customStyle="1" w:styleId="25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2">
    <w:name w:val="Char"/>
    <w:basedOn w:val="1"/>
    <w:qFormat/>
    <w:uiPriority w:val="0"/>
    <w:pPr>
      <w:tabs>
        <w:tab w:val="left" w:pos="360"/>
      </w:tabs>
      <w:ind w:firstLine="200"/>
    </w:pPr>
    <w:rPr>
      <w:sz w:val="28"/>
      <w:szCs w:val="30"/>
    </w:rPr>
  </w:style>
  <w:style w:type="paragraph" w:customStyle="1" w:styleId="253">
    <w:name w:val="Char1"/>
    <w:basedOn w:val="207"/>
    <w:qFormat/>
    <w:uiPriority w:val="0"/>
    <w:rPr>
      <w:rFonts w:ascii="Tahoma" w:hAnsi="Tahoma"/>
      <w:sz w:val="24"/>
      <w:szCs w:val="24"/>
    </w:rPr>
  </w:style>
  <w:style w:type="paragraph" w:customStyle="1" w:styleId="254">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5">
    <w:name w:val="table_lines"/>
    <w:basedOn w:val="1"/>
    <w:qFormat/>
    <w:uiPriority w:val="0"/>
    <w:pPr>
      <w:widowControl/>
      <w:jc w:val="left"/>
    </w:pPr>
    <w:rPr>
      <w:sz w:val="20"/>
      <w:szCs w:val="20"/>
      <w:lang w:val="de-DE" w:eastAsia="de-DE"/>
    </w:rPr>
  </w:style>
  <w:style w:type="paragraph" w:customStyle="1" w:styleId="25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8">
    <w:name w:val="Char Char Char Char"/>
    <w:basedOn w:val="207"/>
    <w:qFormat/>
    <w:uiPriority w:val="0"/>
    <w:pPr>
      <w:spacing w:line="360" w:lineRule="auto"/>
    </w:pPr>
    <w:rPr>
      <w:rFonts w:ascii="Tahoma" w:hAnsi="Tahoma"/>
      <w:sz w:val="24"/>
      <w:szCs w:val="24"/>
    </w:rPr>
  </w:style>
  <w:style w:type="paragraph" w:customStyle="1" w:styleId="259">
    <w:name w:val="4"/>
    <w:basedOn w:val="1"/>
    <w:next w:val="227"/>
    <w:qFormat/>
    <w:uiPriority w:val="0"/>
    <w:pPr>
      <w:spacing w:line="360" w:lineRule="auto"/>
      <w:ind w:firstLine="420"/>
    </w:pPr>
    <w:rPr>
      <w:color w:val="FF0000"/>
      <w:sz w:val="24"/>
      <w:szCs w:val="24"/>
    </w:rPr>
  </w:style>
  <w:style w:type="paragraph" w:customStyle="1" w:styleId="26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1">
    <w:name w:val="Char Char Char Char Char Char Char Char Char Char"/>
    <w:basedOn w:val="1"/>
    <w:qFormat/>
    <w:uiPriority w:val="0"/>
    <w:pPr>
      <w:spacing w:line="360" w:lineRule="auto"/>
    </w:pPr>
    <w:rPr>
      <w:sz w:val="24"/>
      <w:szCs w:val="20"/>
    </w:rPr>
  </w:style>
  <w:style w:type="paragraph" w:customStyle="1" w:styleId="262">
    <w:name w:val="样式1"/>
    <w:basedOn w:val="1"/>
    <w:qFormat/>
    <w:uiPriority w:val="0"/>
    <w:pPr>
      <w:numPr>
        <w:ilvl w:val="0"/>
        <w:numId w:val="3"/>
      </w:numPr>
    </w:pPr>
    <w:rPr>
      <w:rFonts w:ascii="宋体" w:hAnsi="宋体"/>
    </w:rPr>
  </w:style>
  <w:style w:type="paragraph" w:customStyle="1" w:styleId="26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3">
    <w:name w:val="Char Char Char Char1"/>
    <w:basedOn w:val="207"/>
    <w:qFormat/>
    <w:uiPriority w:val="0"/>
    <w:pPr>
      <w:spacing w:line="360" w:lineRule="auto"/>
    </w:pPr>
    <w:rPr>
      <w:rFonts w:ascii="Tahoma" w:hAnsi="Tahoma"/>
      <w:sz w:val="24"/>
      <w:szCs w:val="24"/>
    </w:rPr>
  </w:style>
  <w:style w:type="paragraph" w:customStyle="1" w:styleId="274">
    <w:name w:val="table_1stline"/>
    <w:basedOn w:val="1"/>
    <w:qFormat/>
    <w:uiPriority w:val="0"/>
    <w:pPr>
      <w:widowControl/>
      <w:spacing w:before="120"/>
      <w:jc w:val="left"/>
    </w:pPr>
    <w:rPr>
      <w:bCs/>
      <w:sz w:val="20"/>
      <w:szCs w:val="20"/>
      <w:lang w:val="de-DE" w:eastAsia="de-DE"/>
    </w:rPr>
  </w:style>
  <w:style w:type="paragraph" w:customStyle="1" w:styleId="27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7">
    <w:name w:val="修订1"/>
    <w:semiHidden/>
    <w:qFormat/>
    <w:uiPriority w:val="99"/>
    <w:rPr>
      <w:rFonts w:ascii="Times New Roman" w:hAnsi="Times New Roman" w:eastAsia="宋体" w:cs="Times New Roman"/>
      <w:sz w:val="21"/>
      <w:szCs w:val="21"/>
      <w:lang w:val="en-US" w:eastAsia="zh-CN" w:bidi="ar-SA"/>
    </w:rPr>
  </w:style>
  <w:style w:type="paragraph" w:customStyle="1" w:styleId="278">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79">
    <w:name w:val="项目需求正文文本"/>
    <w:basedOn w:val="1"/>
    <w:qFormat/>
    <w:uiPriority w:val="0"/>
    <w:pPr>
      <w:spacing w:line="360" w:lineRule="auto"/>
      <w:ind w:firstLine="1682"/>
    </w:pPr>
    <w:rPr>
      <w:sz w:val="24"/>
      <w:szCs w:val="20"/>
    </w:rPr>
  </w:style>
  <w:style w:type="paragraph" w:customStyle="1" w:styleId="280">
    <w:name w:val="表格字体"/>
    <w:basedOn w:val="1"/>
    <w:qFormat/>
    <w:uiPriority w:val="0"/>
    <w:pPr>
      <w:spacing w:line="360" w:lineRule="auto"/>
    </w:pPr>
  </w:style>
  <w:style w:type="paragraph" w:customStyle="1" w:styleId="281">
    <w:name w:val="H正文"/>
    <w:basedOn w:val="1"/>
    <w:qFormat/>
    <w:uiPriority w:val="0"/>
    <w:pPr>
      <w:ind w:firstLine="200"/>
    </w:pPr>
    <w:rPr>
      <w:rFonts w:ascii="宋体"/>
      <w:sz w:val="24"/>
      <w:szCs w:val="20"/>
    </w:rPr>
  </w:style>
  <w:style w:type="paragraph" w:customStyle="1" w:styleId="282">
    <w:name w:val="WPSOffice手动目录 1"/>
    <w:qFormat/>
    <w:uiPriority w:val="0"/>
    <w:rPr>
      <w:rFonts w:ascii="Times New Roman" w:hAnsi="Times New Roman" w:eastAsia="宋体" w:cs="Times New Roman"/>
      <w:lang w:val="en-US" w:eastAsia="zh-CN" w:bidi="ar-SA"/>
    </w:rPr>
  </w:style>
  <w:style w:type="paragraph" w:customStyle="1" w:styleId="283">
    <w:name w:val="WPSOffice手动目录 2"/>
    <w:qFormat/>
    <w:uiPriority w:val="0"/>
    <w:pPr>
      <w:ind w:left="200"/>
    </w:pPr>
    <w:rPr>
      <w:rFonts w:ascii="Times New Roman" w:hAnsi="Times New Roman" w:eastAsia="宋体" w:cs="Times New Roman"/>
      <w:lang w:val="en-US" w:eastAsia="zh-CN" w:bidi="ar-SA"/>
    </w:rPr>
  </w:style>
  <w:style w:type="paragraph" w:customStyle="1" w:styleId="284">
    <w:name w:val="首行缩进"/>
    <w:basedOn w:val="1"/>
    <w:next w:val="1"/>
    <w:qFormat/>
    <w:uiPriority w:val="0"/>
    <w:pPr>
      <w:spacing w:line="360" w:lineRule="auto"/>
      <w:ind w:firstLine="420"/>
    </w:pPr>
    <w:rPr>
      <w:sz w:val="20"/>
    </w:rPr>
  </w:style>
  <w:style w:type="paragraph" w:customStyle="1" w:styleId="285">
    <w:name w:val="@正文"/>
    <w:basedOn w:val="243"/>
    <w:link w:val="286"/>
    <w:unhideWhenUsed/>
    <w:qFormat/>
    <w:uiPriority w:val="0"/>
    <w:pPr>
      <w:widowControl w:val="0"/>
      <w:spacing w:line="360" w:lineRule="auto"/>
      <w:ind w:firstLine="200"/>
    </w:pPr>
    <w:rPr>
      <w:rFonts w:hint="eastAsia" w:ascii="黑体" w:hAnsi="黑体" w:eastAsia="仿宋"/>
      <w:sz w:val="32"/>
      <w:szCs w:val="32"/>
      <w:lang w:val="en-AU"/>
    </w:rPr>
  </w:style>
  <w:style w:type="character" w:customStyle="1" w:styleId="286">
    <w:name w:val="@正文 字符"/>
    <w:link w:val="285"/>
    <w:unhideWhenUsed/>
    <w:qFormat/>
    <w:uiPriority w:val="0"/>
    <w:rPr>
      <w:rFonts w:hint="eastAsia" w:ascii="黑体" w:hAnsi="黑体" w:eastAsia="仿宋" w:cs="Times New Roman"/>
      <w:sz w:val="32"/>
      <w:szCs w:val="32"/>
      <w:lang w:val="en-AU" w:eastAsia="en-US" w:bidi="en-US"/>
    </w:rPr>
  </w:style>
  <w:style w:type="character" w:customStyle="1" w:styleId="287">
    <w:name w:val="纯文本 Char"/>
    <w:basedOn w:val="36"/>
    <w:link w:val="19"/>
    <w:unhideWhenUsed/>
    <w:qFormat/>
    <w:uiPriority w:val="0"/>
    <w:rPr>
      <w:rFonts w:hint="eastAsia" w:ascii="宋体" w:hAnsi="Courier New" w:eastAsia="宋体" w:cs="Times New Roman"/>
      <w:kern w:val="2"/>
      <w:sz w:val="22"/>
      <w:szCs w:val="22"/>
    </w:rPr>
  </w:style>
  <w:style w:type="character" w:customStyle="1" w:styleId="288">
    <w:name w:val="批注框文本 Char"/>
    <w:basedOn w:val="36"/>
    <w:link w:val="22"/>
    <w:semiHidden/>
    <w:qFormat/>
    <w:uiPriority w:val="99"/>
    <w:rPr>
      <w:sz w:val="18"/>
      <w:szCs w:val="18"/>
    </w:rPr>
  </w:style>
  <w:style w:type="paragraph" w:customStyle="1" w:styleId="289">
    <w:name w:val="修订2"/>
    <w:hidden/>
    <w:semiHidden/>
    <w:qFormat/>
    <w:uiPriority w:val="99"/>
    <w:rPr>
      <w:rFonts w:ascii="Times New Roman" w:hAnsi="Times New Roman" w:eastAsia="宋体" w:cs="Times New Roman"/>
      <w:sz w:val="21"/>
      <w:szCs w:val="21"/>
      <w:lang w:val="en-US" w:eastAsia="zh-CN" w:bidi="ar-SA"/>
    </w:rPr>
  </w:style>
  <w:style w:type="paragraph" w:customStyle="1" w:styleId="290">
    <w:name w:val="修订3"/>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b5808e21-f525-4441-a25e-85bccc292eff</errorID>
      <errorWord>2026年05月</errorWord>
      <group>L1_Knowledge</group>
      <groupName>知识性问题</groupName>
      <ability>L2_Time</ability>
      <abilityName>日期时间</abilityName>
      <candidateList>
        <item>2026年5月</item>
      </candidateList>
      <explain>根据日常书写习惯，月份一般会省略前导零。</explain>
      <paraID>3BB850CA</paraID>
      <start>0</start>
      <end>8</end>
      <status>unmodified</status>
      <modifiedWord/>
      <trackRevisions>false</trackRevisions>
    </reviewItem>
    <reviewItem>
      <errorID>1bbbb404-5c11-4a54-8763-7047e8f48cd3</errorID>
      <errorWord>2026年06月</errorWord>
      <group>L1_Knowledge</group>
      <groupName>知识性问题</groupName>
      <ability>L2_Time</ability>
      <abilityName>日期时间</abilityName>
      <candidateList>
        <item>2026年6月</item>
      </candidateList>
      <explain>根据日常书写习惯，月份一般会省略前导零。</explain>
      <paraID>4F56075D</paraID>
      <start>69</start>
      <end>77</end>
      <status>unmodified</status>
      <modifiedWord/>
      <trackRevisions>false</trackRevisions>
    </reviewItem>
    <reviewItem>
      <errorID>ca0f50e5-7250-4aac-9353-f739bb4b6831</errorID>
      <errorWord>万圆</errorWord>
      <group>L1_Word</group>
      <groupName>字词问题</groupName>
      <ability>L2_Typo</ability>
      <abilityName>字词错误</abilityName>
      <candidateList>
        <item>万元</item>
      </candidateList>
      <explain>存在发音相同字词的误用。</explain>
      <paraID>66E48F75</paraID>
      <start>17</start>
      <end>19</end>
      <status>unmodified</status>
      <modifiedWord/>
      <trackRevisions>false</trackRevisions>
    </reviewItem>
    <reviewItem>
      <errorID>89305ae3-af04-4e7b-8f79-cea61f57e67b</errorID>
      <errorWord>万圆</errorWord>
      <group>L1_Word</group>
      <groupName>字词问题</groupName>
      <ability>L2_Typo</ability>
      <abilityName>字词错误</abilityName>
      <candidateList>
        <item>万元</item>
      </candidateList>
      <explain>存在发音相同字词的误用。</explain>
      <paraID>27EEBBC2</paraID>
      <start>17</start>
      <end>19</end>
      <status>unmodified</status>
      <modifiedWord/>
      <trackRevisions>false</trackRevisions>
    </reviewItem>
    <reviewItem>
      <errorID>38089c7f-e474-4d4a-a465-ef05cd2ef28c</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4AD36D41</paraID>
      <start>90</start>
      <end>91</end>
      <status>unmodified</status>
      <modifiedWord/>
      <trackRevisions>false</trackRevisions>
    </reviewItem>
    <reviewItem>
      <errorID>1b442e49-7102-4304-8900-11e4c0f6409f</errorID>
      <errorWord>2026年05月</errorWord>
      <group>L1_Knowledge</group>
      <groupName>知识性问题</groupName>
      <ability>L2_Time</ability>
      <abilityName>日期时间</abilityName>
      <candidateList>
        <item>2026年5月</item>
      </candidateList>
      <explain>根据日常书写习惯，月份一般会省略前导零。</explain>
      <paraID>41C7975B</paraID>
      <start>3</start>
      <end>11</end>
      <status>unmodified</status>
      <modifiedWord/>
      <trackRevisions>false</trackRevisions>
    </reviewItem>
    <reviewItem>
      <errorID>1b1be380-adc2-46f2-8435-54cf4f690c5b</errorID>
      <errorWord>2026年05月</errorWord>
      <group>L1_Knowledge</group>
      <groupName>知识性问题</groupName>
      <ability>L2_Time</ability>
      <abilityName>日期时间</abilityName>
      <candidateList>
        <item>2026年5月</item>
      </candidateList>
      <explain>根据日常书写习惯，月份一般会省略前导零。</explain>
      <paraID>41C7975B</paraID>
      <start>15</start>
      <end>23</end>
      <status>unmodified</status>
      <modifiedWord/>
      <trackRevisions>false</trackRevisions>
    </reviewItem>
    <reviewItem>
      <errorID>b8256b28-6698-4a0b-8eda-54d0ddff1b78</errorID>
      <errorWord>下午14:00</errorWord>
      <group>L1_Knowledge</group>
      <groupName>知识性问题</groupName>
      <ability>L2_Time</ability>
      <abilityName>日期时间</abilityName>
      <candidateList>
        <item>14:00</item>
      </candidateList>
      <explain>24小时制的时间，不需要强调“下午”。</explain>
      <paraID>41C7975B</paraID>
      <start>43</start>
      <end>50</end>
      <status>unmodified</status>
      <modifiedWord/>
      <trackRevisions>false</trackRevisions>
    </reviewItem>
    <reviewItem>
      <errorID>53bfc716-b257-40bb-99f2-582a5b5c5e51</errorID>
      <errorWord>2026年06月</errorWord>
      <group>L1_Knowledge</group>
      <groupName>知识性问题</groupName>
      <ability>L2_Time</ability>
      <abilityName>日期时间</abilityName>
      <candidateList>
        <item>2026年6月</item>
      </candidateList>
      <explain>根据日常书写习惯，月份一般会省略前导零。</explain>
      <paraID>327A938C</paraID>
      <start>3</start>
      <end>11</end>
      <status>unmodified</status>
      <modifiedWord/>
      <trackRevisions>false</trackRevisions>
    </reviewItem>
    <reviewItem>
      <errorID>141a1d72-f869-4822-85f3-7ca907fd81f9</errorID>
      <errorWord>2026年06月</errorWord>
      <group>L1_Knowledge</group>
      <groupName>知识性问题</groupName>
      <ability>L2_Time</ability>
      <abilityName>日期时间</abilityName>
      <candidateList>
        <item>2026年6月</item>
      </candidateList>
      <explain>根据日常书写习惯，月份一般会省略前导零。</explain>
      <paraID> B311A33</paraID>
      <start>3</start>
      <end>11</end>
      <status>unmodified</status>
      <modifiedWord/>
      <trackRevisions>false</trackRevisions>
    </reviewItem>
    <reviewItem>
      <errorID>41830c12-56b9-4500-84b1-199114b387c8</errorID>
      <errorWord>2026年06月</errorWord>
      <group>L1_Knowledge</group>
      <groupName>知识性问题</groupName>
      <ability>L2_Time</ability>
      <abilityName>日期时间</abilityName>
      <candidateList>
        <item>2026年6月</item>
      </candidateList>
      <explain>根据日常书写习惯，月份一般会省略前导零。</explain>
      <paraID>3B0F867E</paraID>
      <start>3</start>
      <end>11</end>
      <status>unmodified</status>
      <modifiedWord/>
      <trackRevisions>false</trackRevisions>
    </reviewItem>
    <reviewItem>
      <errorID>dca91e96-f86f-42e6-93e4-ed560b9c0bb4</errorID>
      <errorWord>做</errorWord>
      <group>L1_Word</group>
      <groupName>字词问题</groupName>
      <ability>L2_Typo</ability>
      <abilityName>字词错误</abilityName>
      <candidateList>
        <item>作</item>
      </candidateList>
      <explain>存在发音相同字词的误用。</explain>
      <paraID>156ABC98</paraID>
      <start>149</start>
      <end>150</end>
      <status>unmodified</status>
      <modifiedWord/>
      <trackRevisions>false</trackRevisions>
    </reviewItem>
    <reviewItem>
      <errorID>fa3fb9d2-0403-4e9e-a066-f8d7114e5845</errorID>
      <errorWord>（</errorWord>
      <group>L1_Punc</group>
      <groupName>标点问题</groupName>
      <ability>L2_Punc</ability>
      <abilityName>标点符号检查</abilityName>
      <candidateList/>
      <explain>同一形式括号套用。</explain>
      <paraID> 3DEF75F</paraID>
      <start>105</start>
      <end>106</end>
      <status>unmodified</status>
      <modifiedWord/>
      <trackRevisions>false</trackRevisions>
    </reviewItem>
    <reviewItem>
      <errorID>3910eaca-24a6-4c10-b097-36b56af71eed</errorID>
      <errorWord>）</errorWord>
      <group>L1_Punc</group>
      <groupName>标点问题</groupName>
      <ability>L2_Punc</ability>
      <abilityName>标点符号检查</abilityName>
      <candidateList/>
      <explain>同一形式括号套用。</explain>
      <paraID> 3DEF75F</paraID>
      <start>110</start>
      <end>111</end>
      <status>unmodified</status>
      <modifiedWord/>
      <trackRevisions>false</trackRevisions>
    </reviewItem>
    <reviewItem>
      <errorID>d80f9e97-cc11-45a4-a764-e957fcba0cbd</errorID>
      <errorWord>间</errorWord>
      <group>L1_Word</group>
      <groupName>字词问题</groupName>
      <ability>L2_Typo</ability>
      <abilityName>字词错误</abilityName>
      <candidateList>
        <item>间之</item>
      </candidateList>
      <explain/>
      <paraID>4D3A0901</paraID>
      <start>10</start>
      <end>12</end>
      <status>modified</status>
      <modifiedWord>间之</modifiedWord>
      <trackRevisions>false</trackRevisions>
    </reviewItem>
    <reviewItem>
      <errorID>daa1f715-84b0-43f5-bb17-e8e208d4102a</errorID>
      <errorWord>侯选人</errorWord>
      <group>L1_Word</group>
      <groupName>字词问题</groupName>
      <ability>L2_Typo</ability>
      <abilityName>字词错误</abilityName>
      <candidateList>
        <item>候选人</item>
      </candidateList>
      <explain>〈名〉在选举前预先提名作为选举对象的人。</explain>
      <paraID>4139FDDD</paraID>
      <start>28</start>
      <end>31</end>
      <status>unmodified</status>
      <modifiedWord/>
      <trackRevisions>false</trackRevisions>
    </reviewItem>
    <reviewItem>
      <errorID>266d946e-fbb9-46d9-ba0b-e85ffda114b6</errorID>
      <errorWord>做出</errorWord>
      <group>L1_Word</group>
      <groupName>字词问题</groupName>
      <ability>L2_Typo</ability>
      <abilityName>字词错误</abilityName>
      <candidateList>
        <item>作出</item>
      </candidateList>
      <explain/>
      <paraID>2D93D7C8</paraID>
      <start>23</start>
      <end>25</end>
      <status>unmodified</status>
      <modifiedWord/>
      <trackRevisions>false</trackRevisions>
    </reviewItem>
    <reviewItem>
      <errorID>19fab8be-480f-4b4a-be94-7ad4f749f76b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32444BB2</paraID>
      <start>50</start>
      <end>51</end>
      <status>unmodified</status>
      <modifiedWord/>
      <trackRevisions>false</trackRevisions>
    </reviewItem>
    <reviewItem>
      <errorID>4ad8e2c6-e150-4e29-9896-7c4d737d7b66</errorID>
      <errorWord>"</errorWord>
      <group>L1_Format</group>
      <groupName>格式问题</groupName>
      <ability>L2_HalfPunc</ability>
      <abilityName>全半角检查</abilityName>
      <candidateList>
        <item>”</item>
      </candidateList>
      <explain>文本全半角错误。</explain>
      <paraID>32444BB2</paraID>
      <start>58</start>
      <end>59</end>
      <status>unmodified</status>
      <modifiedWord/>
      <trackRevisions>false</trackRevisions>
    </reviewItem>
    <reviewItem>
      <errorID>cf5e4f73-09a6-4e3d-8920-868b2a0c6c68</errorID>
      <errorWord>属</errorWord>
      <group>L1_Word</group>
      <groupName>字词问题</groupName>
      <ability>L2_Typo</ability>
      <abilityName>字词错误</abilityName>
      <candidateList>
        <item>属于</item>
      </candidateList>
      <explain/>
      <paraID>6EFD9C32</paraID>
      <start>19</start>
      <end>21</end>
      <status>modified</status>
      <modifiedWord>属于</modifiedWord>
      <trackRevisions>false</trackRevisions>
    </reviewItem>
    <reviewItem>
      <errorID>8e2a3bc4-19ca-46f7-a954-8e8c58c9bf49</errorID>
      <errorWord>提供用</errorWord>
      <group>L1_Word</group>
      <groupName>字词问题</groupName>
      <ability>L2_Typo</ability>
      <abilityName>字词错误</abilityName>
      <candidateList>
        <item>提供</item>
      </candidateList>
      <explain/>
      <paraID>2B0F5105</paraID>
      <start>18</start>
      <end>21</end>
      <status>unmodified</status>
      <modifiedWord/>
      <trackRevisions>false</trackRevisions>
    </reviewItem>
    <reviewItem>
      <errorID>7a0e28c6-8338-4997-ab96-a2fbf2e6e02c</errorID>
      <errorWord>归属于</errorWord>
      <group>L1_Word</group>
      <groupName>字词问题</groupName>
      <ability>L2_Typo</ability>
      <abilityName>字词错误</abilityName>
      <candidateList>
        <item>归属</item>
      </candidateList>
      <explain/>
      <paraID>7F7344D4</paraID>
      <start>27</start>
      <end>30</end>
      <status>unmodified</status>
      <modifiedWord/>
      <trackRevisions>false</trackRevisions>
    </reviewItem>
    <reviewItem>
      <errorID>a239dc98-011a-4044-8ac1-632f1a96c19e</errorID>
      <errorWord>负保密义务</errorWord>
      <group>L1_Word</group>
      <groupName>字词问题</groupName>
      <ability>L2_Typo</ability>
      <abilityName>字词错误</abilityName>
      <candidateList>
        <item>负有保密义务</item>
      </candidateList>
      <explain/>
      <paraID> 8A3AAA7</paraID>
      <start>69</start>
      <end>74</end>
      <status>unmodified</status>
      <modifiedWord/>
      <trackRevisions>false</trackRevisions>
    </reviewItem>
    <reviewItem>
      <errorID>56a5e14d-2249-4137-9576-1f6d5239c55d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254BA989</paraID>
      <start>0</start>
      <end>3</end>
      <status>unmodified</status>
      <modifiedWord/>
      <trackRevisions>false</trackRevisions>
    </reviewItem>
    <reviewItem>
      <errorID>e3280674-d0d7-418d-921c-d7abaf6bad60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4B380FD7</paraID>
      <start>0</start>
      <end>3</end>
      <status>unmodified</status>
      <modifiedWord/>
      <trackRevisions>false</trackRevisions>
    </reviewItem>
    <reviewItem>
      <errorID>7affa418-1d94-4791-90aa-336f61995b52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2E6B886A</paraID>
      <start>0</start>
      <end>3</end>
      <status>unmodified</status>
      <modifiedWord/>
      <trackRevisions>false</trackRevisions>
    </reviewItem>
    <reviewItem>
      <errorID>b736eec5-1643-49a5-bfb4-a3be5551f4e1</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78BFBFC2</paraID>
      <start>7</start>
      <end>11</end>
      <status>unmodified</status>
      <modifiedWord/>
      <trackRevisions>false</trackRevisions>
    </reviewItem>
    <reviewItem>
      <errorID>933c73f9-20b4-4942-842f-aad2aa2d7efd</errorID>
      <errorWord>项目的</errorWord>
      <group>L1_Word</group>
      <groupName>字词问题</groupName>
      <ability>L2_Typo</ability>
      <abilityName>字词错误</abilityName>
      <candidateList>
        <item>项目</item>
      </candidateList>
      <explain>〈名〉事物分成的门类：服务～｜体育～｜建设～。</explain>
      <paraID>61D8587B</paraID>
      <start>5</start>
      <end>8</end>
      <status>unmodified</status>
      <modifiedWord/>
      <trackRevisions>false</trackRevisions>
    </reviewItem>
    <reviewItem>
      <errorID>ee99377b-402e-4244-97a9-b59889caa58f</errorID>
      <errorWord>归属于</errorWord>
      <group>L1_Word</group>
      <groupName>字词问题</groupName>
      <ability>L2_Typo</ability>
      <abilityName>字词错误</abilityName>
      <candidateList>
        <item>归属</item>
      </candidateList>
      <explain/>
      <paraID>61D8587B</paraID>
      <start>27</start>
      <end>30</end>
      <status>unmodified</status>
      <modifiedWord/>
      <trackRevisions>false</trackRevisions>
    </reviewItem>
    <reviewItem>
      <errorID>b8c444f9-6324-4c1d-953a-de3a0e00ffe9</errorID>
      <errorWord>负保密义务</errorWord>
      <group>L1_Word</group>
      <groupName>字词问题</groupName>
      <ability>L2_Typo</ability>
      <abilityName>字词错误</abilityName>
      <candidateList>
        <item>负有保密义务</item>
      </candidateList>
      <explain/>
      <paraID>11CCB20A</paraID>
      <start>69</start>
      <end>75</end>
      <status>modified</status>
      <modifiedWord>负有保密义务</modifiedWord>
      <trackRevisions>false</trackRevisions>
    </reviewItem>
    <reviewItem>
      <errorID>3fc87675-bdda-46e4-940c-fb02499c5fbf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57F66694</paraID>
      <start>0</start>
      <end>3</end>
      <status>unmodified</status>
      <modifiedWord/>
      <trackRevisions>false</trackRevisions>
    </reviewItem>
    <reviewItem>
      <errorID>630863a3-e1d1-4298-a378-d41f29dd377a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6828E88F</paraID>
      <start>0</start>
      <end>3</end>
      <status>unmodified</status>
      <modifiedWord/>
      <trackRevisions>false</trackRevisions>
    </reviewItem>
    <reviewItem>
      <errorID>3c8802d8-8ab2-4e49-b76c-6992baa36db5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6BEB084F</paraID>
      <start>0</start>
      <end>3</end>
      <status>unmodified</status>
      <modifiedWord/>
      <trackRevisions>false</trackRevisions>
    </reviewItem>
    <reviewItem>
      <errorID>80700c31-fe4b-463b-ae83-14e364696358</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49E7DCA5</paraID>
      <start>7</start>
      <end>11</end>
      <status>unmodified</status>
      <modifiedWord/>
      <trackRevisions>false</trackRevisions>
    </reviewItem>
    <reviewItem>
      <errorID>e315bfd5-c495-4c77-a651-62142268f293</errorID>
      <errorWord>提供用</errorWord>
      <group>L1_Word</group>
      <groupName>字词问题</groupName>
      <ability>L2_Typo</ability>
      <abilityName>字词错误</abilityName>
      <candidateList>
        <item>提供</item>
      </candidateList>
      <explain/>
      <paraID>5AC18391</paraID>
      <start>6</start>
      <end>9</end>
      <status>unmodified</status>
      <modifiedWord/>
      <trackRevisions>false</trackRevisions>
    </reviewItem>
    <reviewItem>
      <errorID>095ccd53-1e02-4178-97a1-d24755e5f2b5</errorID>
      <errorWord>详实</errorWord>
      <group>L1_Word</group>
      <groupName>字词问题</groupName>
      <ability>L2_Typo</ability>
      <abilityName>字词错误</abilityName>
      <candidateList>
        <item>翔实</item>
      </candidateList>
      <explain/>
      <paraID>437C62C7</paraID>
      <start>87</start>
      <end>89</end>
      <status>unmodified</status>
      <modifiedWord/>
      <trackRevisions>false</trackRevisions>
    </reviewItem>
    <reviewItem>
      <errorID>c5019031-ea75-46f2-a220-b00a8c1909e6</errorID>
      <errorWord>与</errorWord>
      <group>L1_Word</group>
      <groupName>字词问题</groupName>
      <ability>L2_Typo</ability>
      <abilityName>字词错误</abilityName>
      <candidateList>
        <item>向</item>
      </candidateList>
      <explain>存在字形相近字词的误用。</explain>
      <paraID>360C0DD9</paraID>
      <start>60</start>
      <end>61</end>
      <status>unmodified</status>
      <modifiedWord/>
      <trackRevisions>false</trackRevisions>
    </reviewItem>
    <reviewItem>
      <errorID>21533429-6053-477e-ae89-438d3e7d024c</errorID>
      <errorWord>,</errorWord>
      <group>L1_Format</group>
      <groupName>格式问题</groupName>
      <ability>L2_HalfPunc</ability>
      <abilityName>全半角检查</abilityName>
      <candidateList>
        <item>，</item>
      </candidateList>
      <explain>文本全半角错误。</explain>
      <paraID>60B7ADC3</paraID>
      <start>98</start>
      <end>99</end>
      <status>unmodified</status>
      <modifiedWord/>
      <trackRevisions>false</trackRevisions>
    </reviewItem>
    <reviewItem>
      <errorID>b0190107-aabb-4c64-a240-e161f215177f</errorID>
      <errorWord>,</errorWord>
      <group>L1_Format</group>
      <groupName>格式问题</groupName>
      <ability>L2_HalfPunc</ability>
      <abilityName>全半角检查</abilityName>
      <candidateList>
        <item>，</item>
      </candidateList>
      <explain>文本全半角错误。</explain>
      <paraID> 6DB9E13</paraID>
      <start>27</start>
      <end>28</end>
      <status>unmodified</status>
      <modifiedWord/>
      <trackRevisions>false</trackRevisions>
    </reviewItem>
    <reviewItem>
      <errorID>b766d107-8ddb-4b5e-a50f-2bda8c90a16e</errorID>
      <errorWord>“双碳”战略</errorWord>
      <group>L1_Word</group>
      <groupName>字词问题</groupName>
      <ability>L2_Typo</ability>
      <abilityName>字词错误</abilityName>
      <candidateList>
        <item>“双碳”目标</item>
      </candidateList>
      <explain/>
      <paraID>16A96DD7</paraID>
      <start>6</start>
      <end>12</end>
      <status>unmodified</status>
      <modifiedWord/>
      <trackRevisions>false</trackRevisions>
    </reviewItem>
    <reviewItem>
      <errorID>0ba52434-8138-475c-950c-224e90b8a613</errorID>
      <errorWord>详实</errorWord>
      <group>L1_Word</group>
      <groupName>字词问题</groupName>
      <ability>L2_Typo</ability>
      <abilityName>字词错误</abilityName>
      <candidateList>
        <item>翔实</item>
      </candidateList>
      <explain/>
      <paraID>36518F5A</paraID>
      <start>87</start>
      <end>89</end>
      <status>unmodified</status>
      <modifiedWord/>
      <trackRevisions>false</trackRevisions>
    </reviewItem>
    <reviewItem>
      <errorID>7b8d04ba-9d44-4107-9b77-3e9a9a61c853</errorID>
      <errorWord>与</errorWord>
      <group>L1_Word</group>
      <groupName>字词问题</groupName>
      <ability>L2_Typo</ability>
      <abilityName>字词错误</abilityName>
      <candidateList>
        <item>向</item>
      </candidateList>
      <explain>存在字形相近字词的误用。</explain>
      <paraID>41DD3DA8</paraID>
      <start>60</start>
      <end>61</end>
      <status>unmodified</status>
      <modifiedWord/>
      <trackRevisions>false</trackRevisions>
    </reviewItem>
    <reviewItem>
      <errorID>6b30c898-c52f-45a3-812c-5d37851b6101</errorID>
      <errorWord>,</errorWord>
      <group>L1_Format</group>
      <groupName>格式问题</groupName>
      <ability>L2_HalfPunc</ability>
      <abilityName>全半角检查</abilityName>
      <candidateList>
        <item>，</item>
      </candidateList>
      <explain>文本全半角错误。</explain>
      <paraID> 4245C24</paraID>
      <start>98</start>
      <end>99</end>
      <status>unmodified</status>
      <modifiedWord/>
      <trackRevisions>false</trackRevisions>
    </reviewItem>
    <reviewItem>
      <errorID>f01d19ab-b783-40f3-963b-2a53e613cd0e</errorID>
      <errorWord>,</errorWord>
      <group>L1_Format</group>
      <groupName>格式问题</groupName>
      <ability>L2_HalfPunc</ability>
      <abilityName>全半角检查</abilityName>
      <candidateList>
        <item>，</item>
      </candidateList>
      <explain>文本全半角错误。</explain>
      <paraID>40988841</paraID>
      <start>27</start>
      <end>28</end>
      <status>unmodified</status>
      <modifiedWord/>
      <trackRevisions>false</trackRevisions>
    </reviewItem>
    <reviewItem>
      <errorID>c3deef41-402f-4267-8476-959724f72a04</errorID>
      <errorWord>&lt;</errorWord>
      <group>L1_Format</group>
      <groupName>格式问题</groupName>
      <ability>L2_HalfPunc</ability>
      <abilityName>全半角检查</abilityName>
      <candidateList>
        <item>〈</item>
      </candidateList>
      <explain>文本全半角错误。</explain>
      <paraID> 5F2EABD</paraID>
      <start>25</start>
      <end>26</end>
      <status>unmodified</status>
      <modifiedWord/>
      <trackRevisions>false</trackRevisions>
    </reviewItem>
    <reviewItem>
      <errorID>0c59f929-1e15-41be-ba91-c146f8dccc4e</errorID>
      <errorWord>&lt;</errorWord>
      <group>L1_Format</group>
      <groupName>格式问题</groupName>
      <ability>L2_HalfPunc</ability>
      <abilityName>全半角检查</abilityName>
      <candidateList>
        <item>〈</item>
      </candidateList>
      <explain>文本全半角错误。</explain>
      <paraID>2F51216E</paraID>
      <start>27</start>
      <end>28</end>
      <status>unmodified</status>
      <modifiedWord/>
      <trackRevisions>false</trackRevisions>
    </reviewItem>
    <reviewItem>
      <errorID>bac06e2c-d884-4d1a-a0e1-6adc3f04b540</errorID>
      <errorWord>，</errorWord>
      <group>L1_Word</group>
      <groupName>字词问题</groupName>
      <ability>L2_Typo</ability>
      <abilityName>字词错误</abilityName>
      <candidateList>
        <item>，并</item>
      </candidateList>
      <explain/>
      <paraID> A7BD0D1</paraID>
      <start>71</start>
      <end>72</end>
      <status>unmodified</status>
      <modifiedWord/>
      <trackRevisions>false</trackRevisions>
    </reviewItem>
    <reviewItem>
      <errorID>93d08ae5-1691-42ad-a5b8-5541cc996ea5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77867447</paraID>
      <start>0</start>
      <end>2</end>
      <status>unmodified</status>
      <modifiedWord/>
      <trackRevisions>false</trackRevisions>
    </reviewItem>
    <reviewItem>
      <errorID>4240f4ec-8d28-4452-b68f-d92fde2caf99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206F9A62</paraID>
      <start>0</start>
      <end>2</end>
      <status>unmodified</status>
      <modifiedWord/>
      <trackRevisions>false</trackRevisions>
    </reviewItem>
    <reviewItem>
      <errorID>f1ff032a-f5c9-45fd-9bbd-c53bab454c32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E11A69B</paraID>
      <start>0</start>
      <end>2</end>
      <status>unmodified</status>
      <modifiedWord/>
      <trackRevisions>false</trackRevisions>
    </reviewItem>
    <reviewItem>
      <errorID>e5564325-9b49-4d2e-aaaa-584c9687c475</errorID>
      <errorWord>;</errorWord>
      <group>L1_Format</group>
      <groupName>格式问题</groupName>
      <ability>L2_HalfPunc</ability>
      <abilityName>全半角检查</abilityName>
      <candidateList>
        <item>；</item>
      </candidateList>
      <explain>文本全半角错误。</explain>
      <paraID>5BF752F3</paraID>
      <start>70</start>
      <end>71</end>
      <status>unmodified</status>
      <modifiedWord/>
      <trackRevisions>false</trackRevisions>
    </reviewItem>
    <reviewItem>
      <errorID>d2079b40-4a3c-45e2-841a-816763a80642</errorID>
      <errorWord>2023年06月01日</errorWord>
      <group>L1_Knowledge</group>
      <groupName>知识性问题</groupName>
      <ability>L2_Time</ability>
      <abilityName>日期时间</abilityName>
      <candidateList>
        <item>2023年6月1日</item>
      </candidateList>
      <explain>根据日常书写习惯，月份和日期一般会省略前导零。</explain>
      <paraID>3E5B3B51</paraID>
      <start>5</start>
      <end>16</end>
      <status>unmodified</status>
      <modifiedWord/>
      <trackRevisions>false</trackRevisions>
    </reviewItem>
    <reviewItem>
      <errorID>e126d81a-daeb-4774-ac9f-ac897ca5dfe5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4B52EC41</paraID>
      <start>0</start>
      <end>2</end>
      <status>unmodified</status>
      <modifiedWord/>
      <trackRevisions>false</trackRevisions>
    </reviewItem>
    <reviewItem>
      <errorID>8b3e0efe-0bbc-447a-9bf1-8327d358dc35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7947FF8A</paraID>
      <start>0</start>
      <end>2</end>
      <status>unmodified</status>
      <modifiedWord/>
      <trackRevisions>false</trackRevisions>
    </reviewItem>
    <reviewItem>
      <errorID>c5baa53c-083f-4055-8274-e3eb2762e99b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2F06BC96</paraID>
      <start>0</start>
      <end>2</end>
      <status>unmodified</status>
      <modifiedWord/>
      <trackRevisions>false</trackRevisions>
    </reviewItem>
    <reviewItem>
      <errorID>a0cee2ba-6d9d-42bf-bddb-e4e87d87fb65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18DB9E9E</paraID>
      <start>0</start>
      <end>2</end>
      <status>unmodified</status>
      <modifiedWord/>
      <trackRevisions>false</trackRevisions>
    </reviewItem>
    <reviewItem>
      <errorID>7acf4552-db1c-4d5b-ab91-13507322b231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5DA68A92</paraID>
      <start>0</start>
      <end>2</end>
      <status>unmodified</status>
      <modifiedWord/>
      <trackRevisions>false</trackRevisions>
    </reviewItem>
    <reviewItem>
      <errorID>9a88a74e-965a-4c92-855f-74985723ec14</errorID>
      <errorWord>;</errorWord>
      <group>L1_Format</group>
      <groupName>格式问题</groupName>
      <ability>L2_HalfPunc</ability>
      <abilityName>全半角检查</abilityName>
      <candidateList>
        <item>；</item>
      </candidateList>
      <explain>文本全半角错误。</explain>
      <paraID>6AB959BA</paraID>
      <start>64</start>
      <end>65</end>
      <status>modified</status>
      <modifiedWord>；</modifiedWord>
      <trackRevisions>false</trackRevisions>
    </reviewItem>
    <reviewItem>
      <errorID>d1f194f4-dabc-4d90-af26-e2e576aa55b3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45A21B6A</paraID>
      <start>0</start>
      <end>2</end>
      <status>unmodified</status>
      <modifiedWord/>
      <trackRevisions>false</trackRevisions>
    </reviewItem>
    <reviewItem>
      <errorID>07ffeacf-61a4-41b6-a99c-d293b131e584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3E32C87</paraID>
      <start>0</start>
      <end>2</end>
      <status>unmodified</status>
      <modifiedWord/>
      <trackRevisions>false</trackRevisions>
    </reviewItem>
    <reviewItem>
      <errorID>2b8c898f-4fe2-47e3-8276-162a92a1eb36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7F559E16</paraID>
      <start>0</start>
      <end>2</end>
      <status>unmodified</status>
      <modifiedWord/>
      <trackRevisions>false</trackRevisions>
    </reviewItem>
    <reviewItem>
      <errorID>146369cf-9556-47e4-b7cc-7c2603f31d1a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C758949</paraID>
      <start>0</start>
      <end>2</end>
      <status>unmodified</status>
      <modifiedWord/>
      <trackRevisions>false</trackRevisions>
    </reviewItem>
    <reviewItem>
      <errorID>41e5ae10-7efc-4771-8b85-d2e2ad2451e6</errorID>
      <errorWord>（</errorWord>
      <group>L1_Punc</group>
      <groupName>标点问题</groupName>
      <ability>L2_Punc</ability>
      <abilityName>标点符号检查</abilityName>
      <candidateList/>
      <explain>同一形式括号套用。</explain>
      <paraID>4DF94B81</paraID>
      <start>25</start>
      <end>26</end>
      <status>unmodified</status>
      <modifiedWord/>
      <trackRevisions>false</trackRevisions>
    </reviewItem>
    <reviewItem>
      <errorID>39805e8e-a5b5-4c75-aa22-2d7676ba6b9f</errorID>
      <errorWord>）</errorWord>
      <group>L1_Punc</group>
      <groupName>标点问题</groupName>
      <ability>L2_Punc</ability>
      <abilityName>标点符号检查</abilityName>
      <candidateList/>
      <explain>同一形式括号套用。</explain>
      <paraID>4DF94B81</paraID>
      <start>31</start>
      <end>32</end>
      <status>unmodified</status>
      <modifiedWord/>
      <trackRevisions>false</trackRevisions>
    </reviewItem>
    <reviewItem>
      <errorID>5fa55f64-fe2b-4423-b897-7c21d18849b4</errorID>
      <errorWord>-</errorWord>
      <group>L1_Format</group>
      <groupName>格式问题</groupName>
      <ability>L2_HalfPunc</ability>
      <abilityName>全半角检查</abilityName>
      <candidateList>
        <item>－</item>
      </candidateList>
      <explain>文本全半角错误。</explain>
      <paraID>5789C931</paraID>
      <start>10</start>
      <end>11</end>
      <status>unmodified</status>
      <modifiedWord/>
      <trackRevisions>false</trackRevisions>
    </reviewItem>
    <reviewItem>
      <errorID>c680d6a2-6e53-4c8f-a85c-70b45c87facb</errorID>
      <errorWord>动</errorWord>
      <group>L1_Word</group>
      <groupName>字词问题</groupName>
      <ability>L2_Typo</ability>
      <abilityName>字词错误</abilityName>
      <candidateList>
        <item>动中</item>
      </candidateList>
      <explain/>
      <paraID>110A8B8B</paraID>
      <start>39</start>
      <end>41</end>
      <status>modified</status>
      <modifiedWord>动中</modifiedWord>
      <trackRevisions>false</trackRevisions>
    </reviewItem>
    <reviewItem>
      <errorID>17cbec3f-bdb6-4ef1-8b63-6b6c0472552a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110A8B8B</paraID>
      <start>130</start>
      <end>131</end>
      <status>unmodified</status>
      <modifiedWord/>
      <trackRevisions>false</trackRevisions>
    </reviewItem>
    <reviewItem>
      <errorID>d49e0b94-52ef-47a9-a1cc-0e8369d17d35</errorID>
      <errorWord>"</errorWord>
      <group>L1_Format</group>
      <groupName>格式问题</groupName>
      <ability>L2_HalfPunc</ability>
      <abilityName>全半角检查</abilityName>
      <candidateList>
        <item>”</item>
      </candidateList>
      <explain>文本全半角错误。</explain>
      <paraID>110A8B8B</paraID>
      <start>138</start>
      <end>139</end>
      <status>unmodified</status>
      <modifiedWord/>
      <trackRevisions>false</trackRevisions>
    </reviewItem>
    <reviewItem>
      <errorID>d02fd56c-5e78-459b-94a0-7a3fb26159b5</errorID>
      <errorWord>间</errorWord>
      <group>L1_Word</group>
      <groupName>字词问题</groupName>
      <ability>L2_Typo</ability>
      <abilityName>字词错误</abilityName>
      <candidateList>
        <item>间内</item>
      </candidateList>
      <explain/>
      <paraID>4CE41E3D</paraID>
      <start>47</start>
      <end>48</end>
      <status>unmodified</status>
      <modifiedWord/>
      <trackRevisions>false</trackRevisions>
    </reviewItem>
    <reviewItem>
      <errorID>512aea6d-bd9c-434d-ad5d-ee6da1b76f2a</errorID>
      <errorWord>:</errorWord>
      <group>L1_Format</group>
      <groupName>格式问题</groupName>
      <ability>L2_HalfPunc</ability>
      <abilityName>全半角检查</abilityName>
      <candidateList>
        <item>：</item>
      </candidateList>
      <explain>文本全半角错误。</explain>
      <paraID>706A551A</paraID>
      <start>8</start>
      <end>9</end>
      <status>unmodified</status>
      <modifiedWord/>
      <trackRevisions>false</trackRevisions>
    </reviewItem>
    <reviewItem>
      <errorID>c99ae265-35df-41a2-a997-e750caa4ad92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54FD5508</paraID>
      <start>0</start>
      <end>2</end>
      <status>unmodified</status>
      <modifiedWord/>
      <trackRevisions>false</trackRevisions>
    </reviewItem>
    <reviewItem>
      <errorID>f83baf30-1714-4fb0-86b8-f988902b22e3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2955F24A</paraID>
      <start>0</start>
      <end>2</end>
      <status>unmodified</status>
      <modifiedWord/>
      <trackRevisions>false</trackRevisions>
    </reviewItem>
    <reviewItem>
      <errorID>aea7fb86-d3cd-4321-b336-4e7b25e94c4b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1CC73397</paraID>
      <start>0</start>
      <end>2</end>
      <status>unmodified</status>
      <modifiedWord/>
      <trackRevisions>false</trackRevisions>
    </reviewItem>
    <reviewItem>
      <errorID>284e735e-6b78-4555-9cf7-659d6e7bce1b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4AF1B911</paraID>
      <start>0</start>
      <end>2</end>
      <status>unmodified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8609C7-2705-43A0-991B-4F4BDA833B5D}">
  <ds:schemaRefs/>
</ds:datastoreItem>
</file>

<file path=customXml/itemProps3.xml><?xml version="1.0" encoding="utf-8"?>
<ds:datastoreItem xmlns:ds="http://schemas.openxmlformats.org/officeDocument/2006/customXml" ds:itemID="{F0C0E45F-C632-4B60-9BA7-7A34A00457A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65</Pages>
  <Words>22832</Words>
  <Characters>24588</Characters>
  <Lines>315</Lines>
  <Paragraphs>88</Paragraphs>
  <TotalTime>7</TotalTime>
  <ScaleCrop>false</ScaleCrop>
  <LinksUpToDate>false</LinksUpToDate>
  <CharactersWithSpaces>27216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2026-07-17T07:43:00Z</dcterms:created>
  <dc:creator>倪斌</dc:creator>
  <cp:lastModifiedBy>倪斌</cp:lastModifiedBy>
  <cp:lastPrinted>2026-07-20T08:46:00Z</cp:lastPrinted>
  <dcterms:modified xsi:type="dcterms:W3CDTF">2026-07-21T09:21:34Z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eyJoZGlkIjoiMWFmMTljN2VjMDQxNDYyMjJlZjlkYzhmNTIwYTU0ZjMiLCJ1c2VySWQiOiIzMDcxNjQ1OTAifQ==</vt:lpwstr>
  </property>
  <property fmtid="{D5CDD505-2E9C-101B-9397-08002B2CF9AE}" pid="3" name="KSOProductBuildVer">
    <vt:lpwstr>2052-12.1.0.26895</vt:lpwstr>
  </property>
  <property fmtid="{D5CDD505-2E9C-101B-9397-08002B2CF9AE}" pid="4" name="ICV">
    <vt:lpwstr>F323971CFB2C4E2BAE90DAD69C4BFDC2_13</vt:lpwstr>
  </property>
</Properties>
</file>