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823"/>
        <w:rPr>
          <w:rFonts w:hint="eastAsia"/>
          <w:color w:val="auto"/>
          <w:highlight w:val="none"/>
        </w:rPr>
      </w:pPr>
      <w:r>
        <w:rPr>
          <w:rFonts w:hint="eastAsia"/>
          <w:color w:val="auto"/>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line="360" w:lineRule="auto"/>
        <w:widowControl w:val="off"/>
        <w:tabs>
          <w:tab w:val="left" w:pos="168" w:leader="none"/>
          <w:tab w:val="center" w:pos="4422" w:leader="none"/>
        </w:tabs>
        <w:rPr>
          <w:rFonts w:hint="eastAsia" w:ascii="宋体" w:hAnsi="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江宁区卫健委下属单位视力筛查</w:t>
      </w:r>
      <w:r/>
    </w:p>
    <w:p>
      <w:pPr>
        <w:ind w:firstLine="0"/>
        <w:jc w:val="center"/>
        <w:keepLines w:val="0"/>
        <w:keepNext w:val="0"/>
        <w:pageBreakBefore w:val="0"/>
        <w:spacing w:line="360" w:lineRule="auto"/>
        <w:widowControl w:val="off"/>
        <w:tabs>
          <w:tab w:val="left" w:pos="168" w:leader="none"/>
          <w:tab w:val="center" w:pos="4422" w:leader="none"/>
        </w:tabs>
        <w:rPr>
          <w:rFonts w:hint="default" w:ascii="宋体" w:hAnsi="宋体" w:eastAsia="宋体" w:cs="宋体"/>
          <w:b/>
          <w:color w:val="auto"/>
          <w:sz w:val="56"/>
          <w:szCs w:val="56"/>
          <w:highlight w:val="none"/>
          <w:lang w:val="en-US" w:eastAsia="zh-CN"/>
        </w:rPr>
      </w:pPr>
      <w:r>
        <w:rPr>
          <w:rFonts w:hint="eastAsia" w:ascii="宋体" w:hAnsi="宋体" w:cs="宋体"/>
          <w:b/>
          <w:color w:val="auto"/>
          <w:sz w:val="56"/>
          <w:szCs w:val="56"/>
          <w:highlight w:val="none"/>
          <w:lang w:eastAsia="zh-CN"/>
        </w:rPr>
        <w:t xml:space="preserve">服务</w:t>
      </w:r>
      <w:r>
        <w:rPr>
          <w:rFonts w:hint="eastAsia" w:ascii="宋体" w:hAnsi="宋体" w:cs="宋体"/>
          <w:b/>
          <w:color w:val="auto"/>
          <w:sz w:val="56"/>
          <w:szCs w:val="56"/>
          <w:highlight w:val="none"/>
          <w:lang w:val="en-US" w:eastAsia="zh-CN"/>
        </w:rPr>
        <w:t xml:space="preserve">项目</w:t>
      </w:r>
      <w:r/>
    </w:p>
    <w:p>
      <w:pPr>
        <w:pStyle w:val="862"/>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62"/>
        <w:ind w:firstLine="1493"/>
        <w:jc w:val="center"/>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w:t>
      </w:r>
      <w:r>
        <w:rPr>
          <w:rFonts w:hint="eastAsia" w:ascii="宋体" w:hAnsi="宋体" w:eastAsia="宋体" w:cs="宋体"/>
          <w:b/>
          <w:color w:val="auto"/>
          <w:sz w:val="32"/>
          <w:szCs w:val="32"/>
          <w:highlight w:val="none"/>
        </w:rPr>
        <w:t xml:space="preserve">编号：</w:t>
      </w:r>
      <w:r>
        <w:rPr>
          <w:rFonts w:hint="eastAsia" w:ascii="宋体" w:hAnsi="宋体" w:cs="宋体"/>
          <w:b/>
          <w:i w:val="0"/>
          <w:iCs w:val="0"/>
          <w:caps w:val="0"/>
          <w:color w:val="auto"/>
          <w:spacing w:val="0"/>
          <w:sz w:val="32"/>
          <w:szCs w:val="32"/>
          <w:highlight w:val="none"/>
          <w:shd w:val="clear" w:color="auto" w:fill="auto"/>
          <w:lang w:eastAsia="zh-CN"/>
        </w:rPr>
        <w:t xml:space="preserve">JSZC-320115-JITC-G2026-0249</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569"/>
        <w:jc w:val="center"/>
        <w:spacing w:line="360" w:lineRule="auto"/>
        <w:tabs>
          <w:tab w:val="left" w:pos="360"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采购人：</w:t>
      </w:r>
      <w:r>
        <w:rPr>
          <w:rFonts w:hint="eastAsia" w:ascii="宋体" w:hAnsi="宋体" w:cs="宋体"/>
          <w:b/>
          <w:color w:val="auto"/>
          <w:sz w:val="32"/>
          <w:highlight w:val="none"/>
          <w:lang w:eastAsia="zh-CN"/>
        </w:rPr>
        <w:t xml:space="preserve">南京市江宁区卫生健康委员会</w:t>
      </w:r>
      <w:r/>
    </w:p>
    <w:p>
      <w:pPr>
        <w:ind w:firstLine="569"/>
        <w:jc w:val="center"/>
        <w:spacing w:line="360" w:lineRule="auto"/>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七</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9"/>
          <w:footerReference w:type="default" r:id="rId10"/>
          <w:footnotePr/>
          <w:endnotePr/>
          <w:type w:val="nextPage"/>
          <w:pgSz w:w="11906" w:h="16838" w:orient="portrait"/>
          <w:pgMar w:top="1474" w:right="193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目   录</w:t>
      </w:r>
      <w:r/>
    </w:p>
    <w:p>
      <w:pPr>
        <w:pStyle w:val="1089"/>
        <w:ind w:firstLine="426"/>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p>
    <w:p>
      <w:pPr>
        <w:pStyle w:val="1089"/>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896"/>
          <w:rFonts w:hint="eastAsia" w:ascii="宋体" w:hAnsi="宋体" w:eastAsia="宋体" w:cs="宋体"/>
          <w:b/>
          <w:color w:val="auto"/>
          <w:highlight w:val="none"/>
        </w:rPr>
        <w:t xml:space="preserve">第一章</w:t>
      </w:r>
      <w:r>
        <w:rPr>
          <w:rFonts w:hint="eastAsia" w:ascii="宋体" w:hAnsi="宋体" w:eastAsia="宋体" w:cs="宋体"/>
          <w:b/>
          <w:color w:val="auto"/>
          <w:highlight w:val="none"/>
        </w:rPr>
        <w:tab/>
      </w:r>
      <w:r>
        <w:rPr>
          <w:rStyle w:val="896"/>
          <w:rFonts w:hint="eastAsia" w:ascii="宋体" w:hAnsi="宋体" w:eastAsia="宋体" w:cs="宋体"/>
          <w:b/>
          <w:color w:val="auto"/>
          <w:highlight w:val="none"/>
        </w:rPr>
        <w:t xml:space="preserve">招标公告</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left" w:pos="780" w:leader="none"/>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896"/>
          <w:rFonts w:hint="eastAsia" w:ascii="宋体" w:hAnsi="宋体" w:eastAsia="宋体" w:cs="宋体"/>
          <w:b/>
          <w:color w:val="auto"/>
          <w:highlight w:val="none"/>
        </w:rPr>
        <w:t xml:space="preserve">第二章</w:t>
      </w:r>
      <w:r>
        <w:rPr>
          <w:rFonts w:hint="eastAsia" w:ascii="宋体" w:hAnsi="宋体" w:eastAsia="宋体" w:cs="宋体"/>
          <w:b/>
          <w:color w:val="auto"/>
          <w:highlight w:val="none"/>
        </w:rPr>
        <w:tab/>
      </w:r>
      <w:r>
        <w:rPr>
          <w:rStyle w:val="896"/>
          <w:rFonts w:hint="eastAsia" w:ascii="宋体" w:hAnsi="宋体" w:eastAsia="宋体" w:cs="宋体"/>
          <w:b/>
          <w:color w:val="auto"/>
          <w:highlight w:val="none"/>
        </w:rPr>
        <w:t xml:space="preserve">投标人须知</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896"/>
          <w:rFonts w:hint="eastAsia" w:ascii="宋体" w:hAnsi="宋体" w:eastAsia="宋体" w:cs="宋体"/>
          <w:b/>
          <w:color w:val="auto"/>
          <w:highlight w:val="none"/>
        </w:rPr>
        <w:t xml:space="preserve">一．总则</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_Toc107246214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10</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896"/>
          <w:rFonts w:hint="eastAsia" w:ascii="宋体" w:hAnsi="宋体" w:eastAsia="宋体" w:cs="宋体"/>
          <w:b/>
          <w:color w:val="auto"/>
          <w:highlight w:val="none"/>
        </w:rPr>
        <w:t xml:space="preserve">二．招标文件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14</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896"/>
          <w:rFonts w:hint="eastAsia" w:ascii="宋体" w:hAnsi="宋体" w:eastAsia="宋体" w:cs="宋体"/>
          <w:b/>
          <w:color w:val="auto"/>
          <w:highlight w:val="none"/>
        </w:rPr>
        <w:t xml:space="preserve">三．投标文件</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_Toc107246233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896"/>
          <w:rFonts w:hint="eastAsia" w:ascii="宋体" w:hAnsi="宋体" w:eastAsia="宋体" w:cs="宋体"/>
          <w:b/>
          <w:color w:val="auto"/>
          <w:highlight w:val="none"/>
        </w:rPr>
        <w:t xml:space="preserve">四．投标文件的递交</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18</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896"/>
          <w:rFonts w:hint="eastAsia" w:ascii="宋体" w:hAnsi="宋体" w:eastAsia="宋体" w:cs="宋体"/>
          <w:b/>
          <w:color w:val="auto"/>
          <w:highlight w:val="none"/>
        </w:rPr>
        <w:t xml:space="preserve">五．开标和评标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_Toc107246245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19</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896"/>
          <w:rFonts w:hint="eastAsia" w:ascii="宋体" w:hAnsi="宋体" w:eastAsia="宋体" w:cs="宋体"/>
          <w:b/>
          <w:color w:val="auto"/>
          <w:highlight w:val="none"/>
        </w:rPr>
        <w:t xml:space="preserve">六．确定中标</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_Toc107246257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22</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896"/>
          <w:rFonts w:hint="eastAsia" w:ascii="宋体" w:hAnsi="宋体" w:eastAsia="宋体" w:cs="宋体"/>
          <w:b/>
          <w:color w:val="auto"/>
          <w:highlight w:val="none"/>
        </w:rPr>
        <w:t xml:space="preserve">七．询问与质疑</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23</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896"/>
          <w:rFonts w:hint="eastAsia" w:ascii="宋体" w:hAnsi="宋体" w:eastAsia="宋体" w:cs="宋体"/>
          <w:b/>
          <w:color w:val="auto"/>
          <w:highlight w:val="none"/>
        </w:rPr>
        <w:t xml:space="preserve">八．其他</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_Toc107246266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24</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896"/>
          <w:rFonts w:hint="eastAsia" w:ascii="宋体" w:hAnsi="宋体" w:eastAsia="宋体" w:cs="宋体"/>
          <w:b/>
          <w:color w:val="auto"/>
          <w:highlight w:val="none"/>
        </w:rPr>
        <w:t xml:space="preserve">第三章 政府采购合同条款及格式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_Toc107246270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25</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896"/>
          <w:rFonts w:hint="eastAsia" w:ascii="宋体" w:hAnsi="宋体" w:eastAsia="宋体" w:cs="宋体"/>
          <w:b/>
          <w:color w:val="auto"/>
          <w:highlight w:val="none"/>
        </w:rPr>
        <w:t xml:space="preserve">第四章 采购需求</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_Toc107246271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41</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896"/>
          <w:rFonts w:hint="eastAsia" w:ascii="宋体" w:hAnsi="宋体" w:eastAsia="宋体" w:cs="宋体"/>
          <w:b/>
          <w:color w:val="auto"/>
          <w:highlight w:val="none"/>
        </w:rPr>
        <w:t xml:space="preserve">第五章 评标方法与评标标准</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_Toc107246272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54</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pStyle w:val="1089"/>
        <w:spacing w:line="360" w:lineRule="auto"/>
        <w:tabs>
          <w:tab w:val="right" w:pos="8834" w:leader="dot"/>
        </w:tabs>
        <w:rPr>
          <w:rFonts w:hint="eastAsia" w:ascii="宋体" w:hAnsi="宋体" w:eastAsia="宋体" w:cs="宋体"/>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896"/>
          <w:rFonts w:hint="eastAsia" w:ascii="宋体" w:hAnsi="宋体" w:eastAsia="宋体" w:cs="宋体"/>
          <w:b/>
          <w:color w:val="auto"/>
          <w:highlight w:val="none"/>
        </w:rPr>
        <w:t xml:space="preserve">第六章 投标文件格式</w:t>
      </w:r>
      <w:r>
        <w:rPr>
          <w:rFonts w:hint="eastAsia" w:ascii="宋体" w:hAnsi="宋体" w:eastAsia="宋体" w:cs="宋体"/>
          <w:b/>
          <w:color w:val="auto"/>
          <w:highlight w:val="none"/>
        </w:rPr>
        <w:tab/>
      </w: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PAGEREF _Toc107246273 \h </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60</w:t>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885"/>
        <w:ind w:firstLine="3213"/>
        <w:jc w:val="both"/>
        <w:rPr>
          <w:rFonts w:hint="eastAsia" w:ascii="宋体" w:hAnsi="宋体" w:cs="宋体"/>
          <w:color w:val="auto"/>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江宁区卫健委下属单位视力筛查服务</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08</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13</w:t>
      </w:r>
      <w:r>
        <w:rPr>
          <w:rFonts w:hint="eastAsia" w:ascii="宋体" w:hAnsi="宋体" w:cs="宋体"/>
          <w:bCs/>
          <w:color w:val="auto"/>
          <w:szCs w:val="21"/>
          <w:highlight w:val="none"/>
          <w:u w:val="single"/>
        </w:rPr>
        <w:t xml:space="preserve">:30（北京时间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6347851"/>
      <w:r/>
      <w:bookmarkStart w:id="8" w:name="_Toc93909065"/>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JSZC-320115-JITC-G2026-0249</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江宁区卫健委下属单位视力筛查服务</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.3预算金额：293.48万元。</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r>
        <w:rPr>
          <w:rFonts w:hint="eastAsia" w:ascii="宋体" w:hAnsi="宋体" w:eastAsia="宋体" w:cs="宋体"/>
          <w:b/>
          <w:color w:val="auto"/>
          <w:szCs w:val="21"/>
          <w:highlight w:val="none"/>
        </w:rPr>
        <w:t xml:space="preserve">：</w:t>
      </w:r>
      <w:r>
        <w:rPr>
          <w:rFonts w:hint="eastAsia" w:ascii="宋体" w:hAnsi="宋体" w:cs="宋体"/>
          <w:b/>
          <w:color w:val="auto"/>
          <w:szCs w:val="21"/>
          <w:highlight w:val="none"/>
          <w:lang w:val="en-US" w:eastAsia="zh-CN"/>
        </w:rPr>
        <w:t xml:space="preserve">该项目最高限价为7.4元/人，</w:t>
      </w:r>
      <w:r>
        <w:rPr>
          <w:rFonts w:hint="eastAsia" w:ascii="宋体" w:hAnsi="宋体" w:eastAsia="宋体" w:cs="宋体"/>
          <w:b/>
          <w:color w:val="auto"/>
          <w:szCs w:val="21"/>
          <w:highlight w:val="none"/>
        </w:rPr>
        <w:t xml:space="preserve">（投标人</w:t>
      </w:r>
      <w:r>
        <w:rPr>
          <w:rFonts w:hint="eastAsia" w:ascii="宋体" w:hAnsi="宋体" w:cs="宋体"/>
          <w:b/>
          <w:color w:val="auto"/>
          <w:szCs w:val="21"/>
          <w:highlight w:val="none"/>
        </w:rPr>
        <w:t xml:space="preserve">投标报价不得超过上述限价金额，否则将作无效标处理）。</w:t>
      </w:r>
      <w:r/>
    </w:p>
    <w:p>
      <w:pPr>
        <w:ind w:firstLine="370"/>
        <w:spacing w:line="360" w:lineRule="auto"/>
        <w:shd w:val="clear" w:color="auto" w:fill="ffffff"/>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1.5采购需求：江宁区卫健委下属单位视力筛查服务</w:t>
      </w:r>
      <w:r>
        <w:rPr>
          <w:rFonts w:hint="eastAsia" w:ascii="宋体" w:hAnsi="宋体" w:cs="宋体"/>
          <w:bCs/>
          <w:color w:val="auto"/>
          <w:szCs w:val="21"/>
          <w:highlight w:val="none"/>
          <w:lang w:eastAsia="zh-CN"/>
        </w:rPr>
        <w:t xml:space="preserve">，</w:t>
      </w:r>
      <w:r>
        <w:rPr>
          <w:rFonts w:hint="eastAsia" w:ascii="Arial" w:hAnsi="Arial" w:cs="Arial"/>
          <w:color w:val="auto"/>
          <w:spacing w:val="8"/>
          <w:highlight w:val="none"/>
        </w:rPr>
        <w:t xml:space="preserve">详见采购文件第四章采购需求。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1.6标段划分：本项目共划分1个标段。</w:t>
      </w:r>
      <w:r/>
    </w:p>
    <w:p>
      <w:pPr>
        <w:ind w:firstLine="420"/>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1.7合同履行期限：</w:t>
      </w:r>
      <w:r>
        <w:rPr>
          <w:rFonts w:hint="eastAsia" w:ascii="宋体" w:hAnsi="宋体" w:cs="宋体"/>
          <w:bCs/>
          <w:color w:val="auto"/>
          <w:szCs w:val="21"/>
          <w:highlight w:val="none"/>
          <w:lang w:val="en-US" w:eastAsia="zh-CN"/>
        </w:rPr>
        <w:t xml:space="preserve">自合同签订之日起两</w:t>
      </w:r>
      <w:r>
        <w:rPr>
          <w:rFonts w:hint="eastAsia" w:ascii="宋体" w:hAnsi="宋体" w:cs="宋体"/>
          <w:bCs/>
          <w:color w:val="auto"/>
          <w:szCs w:val="21"/>
          <w:highlight w:val="none"/>
        </w:rPr>
        <w:t xml:space="preserve">年</w:t>
      </w:r>
      <w:r>
        <w:rPr>
          <w:rFonts w:hint="eastAsia"/>
          <w:color w:val="auto"/>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1.8本项目是否接受联合体投标：不接受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bookmarkStart w:id="13" w:name="_Toc93909067"/>
      <w:r/>
      <w:bookmarkStart w:id="14" w:name="_Toc80792690"/>
      <w:r/>
      <w:bookmarkStart w:id="15" w:name="_Toc80264699"/>
      <w:r/>
      <w:bookmarkStart w:id="16" w:name="_Toc96347853"/>
      <w:r>
        <w:rPr>
          <w:rFonts w:hint="eastAsia" w:ascii="宋体" w:hAnsi="宋体" w:eastAsia="宋体" w:cs="宋体"/>
          <w:bCs/>
          <w:color w:val="auto"/>
          <w:szCs w:val="21"/>
          <w:highlight w:val="none"/>
        </w:rPr>
        <w:t xml:space="preserve">2.1满足《中华人民共和国政府采购法》第二十二条规定；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2.1.1</w:t>
      </w:r>
      <w:r>
        <w:rPr>
          <w:rFonts w:hint="eastAsia" w:ascii="宋体" w:hAnsi="宋体" w:eastAsia="宋体" w:cs="宋体"/>
          <w:bCs/>
          <w:color w:val="auto"/>
          <w:szCs w:val="21"/>
          <w:highlight w:val="none"/>
        </w:rPr>
        <w:t xml:space="preserve">具有独立承担民事责任的能力（提供法人或者其他组织的营业执照；供应商为自然人的，提供其身份证）；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2.1.2</w:t>
      </w:r>
      <w:r>
        <w:rPr>
          <w:rFonts w:hint="eastAsia" w:ascii="宋体" w:hAnsi="宋体" w:eastAsia="宋体" w:cs="宋体"/>
          <w:bCs/>
          <w:color w:val="auto"/>
          <w:szCs w:val="21"/>
          <w:highlight w:val="none"/>
        </w:rPr>
        <w:t xml:space="preserve">具有良好的商业信誉和健全的财务会计制度（提供</w:t>
      </w:r>
      <w:r>
        <w:rPr>
          <w:rFonts w:hint="eastAsia" w:ascii="宋体" w:hAnsi="宋体" w:eastAsia="宋体" w:cs="宋体"/>
          <w:bCs/>
          <w:color w:val="auto"/>
          <w:szCs w:val="21"/>
          <w:highlight w:val="none"/>
          <w:lang w:val="en-US" w:eastAsia="zh-CN"/>
        </w:rPr>
        <w:t xml:space="preserve">202</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年度财务报告，</w:t>
      </w:r>
      <w:r>
        <w:rPr>
          <w:rFonts w:hint="eastAsia" w:ascii="宋体" w:hAnsi="宋体" w:cs="宋体"/>
          <w:bCs/>
          <w:color w:val="auto"/>
          <w:szCs w:val="21"/>
          <w:highlight w:val="none"/>
        </w:rPr>
        <w:t xml:space="preserve">如为新成立的公司，应提供公司成立之后的财务报表</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或投标截止时间前3个月内，由其基本开户银行出具的资信证明</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2.1.3</w:t>
      </w:r>
      <w:r>
        <w:rPr>
          <w:rFonts w:hint="eastAsia" w:ascii="宋体" w:hAnsi="宋体" w:eastAsia="宋体" w:cs="宋体"/>
          <w:bCs/>
          <w:color w:val="auto"/>
          <w:szCs w:val="21"/>
          <w:highlight w:val="none"/>
        </w:rPr>
        <w:t xml:space="preserve">具有履行合同所必需的设备和专业技术能力（供应商根据履行采购项目合同需要，提供履行合同所必需的设备和专业技术能力的证明材料</w:t>
      </w:r>
      <w:r>
        <w:rPr>
          <w:rFonts w:hint="eastAsia" w:ascii="宋体" w:hAnsi="宋体" w:cs="宋体"/>
          <w:bCs/>
          <w:color w:val="auto"/>
          <w:szCs w:val="21"/>
          <w:highlight w:val="none"/>
        </w:rPr>
        <w:t xml:space="preserve">或承诺函</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2.1.4</w:t>
      </w:r>
      <w:r>
        <w:rPr>
          <w:rFonts w:hint="eastAsia" w:ascii="宋体" w:hAnsi="宋体" w:eastAsia="宋体" w:cs="宋体"/>
          <w:bCs/>
          <w:color w:val="auto"/>
          <w:szCs w:val="21"/>
          <w:highlight w:val="none"/>
        </w:rPr>
        <w:t xml:space="preserve">有依法缴纳税收和社会保障资金的良好记录（提供参加本次政府采购活动前半年内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即202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年</w:t>
      </w:r>
      <w:r>
        <w:rPr>
          <w:rFonts w:hint="eastAsia" w:ascii="宋体" w:hAnsi="宋体" w:cs="宋体"/>
          <w:bCs/>
          <w:color w:val="auto"/>
          <w:szCs w:val="21"/>
          <w:highlight w:val="none"/>
          <w:lang w:val="en-US" w:eastAsia="zh-CN"/>
        </w:rPr>
        <w:t xml:space="preserve">01</w:t>
      </w:r>
      <w:r>
        <w:rPr>
          <w:rFonts w:hint="eastAsia" w:ascii="宋体" w:hAnsi="宋体" w:eastAsia="宋体" w:cs="宋体"/>
          <w:bCs/>
          <w:color w:val="auto"/>
          <w:szCs w:val="21"/>
          <w:highlight w:val="none"/>
          <w:lang w:val="en-US" w:eastAsia="zh-CN"/>
        </w:rPr>
        <w:t xml:space="preserve">月</w:t>
      </w:r>
      <w:r>
        <w:rPr>
          <w:rFonts w:hint="eastAsia" w:ascii="宋体" w:hAnsi="宋体" w:cs="宋体"/>
          <w:bCs/>
          <w:color w:val="auto"/>
          <w:szCs w:val="21"/>
          <w:highlight w:val="none"/>
          <w:lang w:val="en-US" w:eastAsia="zh-CN"/>
        </w:rPr>
        <w:t xml:space="preserve">（含）</w:t>
      </w:r>
      <w:r>
        <w:rPr>
          <w:rFonts w:hint="eastAsia" w:ascii="宋体" w:hAnsi="宋体" w:eastAsia="宋体" w:cs="宋体"/>
          <w:bCs/>
          <w:color w:val="auto"/>
          <w:szCs w:val="21"/>
          <w:highlight w:val="none"/>
          <w:lang w:val="en-US" w:eastAsia="zh-CN"/>
        </w:rPr>
        <w:t xml:space="preserve">以来</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至少一个月：①提供缴纳税收的凭证；②提供缴纳社会保险的凭据，依法享受免缴、缓缴的，提供证明材料）；</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2.1.5</w:t>
      </w:r>
      <w:r>
        <w:rPr>
          <w:rFonts w:hint="eastAsia" w:ascii="宋体" w:hAnsi="宋体" w:eastAsia="宋体" w:cs="宋体"/>
          <w:bCs/>
          <w:color w:val="auto"/>
          <w:szCs w:val="21"/>
          <w:highlight w:val="none"/>
        </w:rPr>
        <w:t xml:space="preserve">参加政府采购活动前三年内，在经营活动中没有重大违法记录</w:t>
      </w:r>
      <w:r>
        <w:rPr>
          <w:rFonts w:hint="eastAsia" w:ascii="宋体" w:hAnsi="宋体" w:cs="宋体"/>
          <w:bCs/>
          <w:color w:val="auto"/>
          <w:szCs w:val="21"/>
          <w:highlight w:val="none"/>
        </w:rPr>
        <w:t xml:space="preserve">，提供声明函原件（重大违法记录是指供应商因违法经营受到刑事处罚或责令停产停业、吊销许可证或者执照、较大数额罚款等行政处罚）</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2.1.6</w:t>
      </w:r>
      <w:r>
        <w:rPr>
          <w:rFonts w:hint="eastAsia" w:ascii="宋体" w:hAnsi="宋体" w:eastAsia="宋体" w:cs="宋体"/>
          <w:bCs/>
          <w:color w:val="auto"/>
          <w:szCs w:val="21"/>
          <w:highlight w:val="none"/>
        </w:rPr>
        <w:t xml:space="preserve">法律、行政法规规定的其他条件。</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2.2落实政府采购政策需满足的资格要求：</w:t>
      </w:r>
      <w:r>
        <w:rPr>
          <w:rFonts w:hint="eastAsia" w:ascii="宋体" w:hAnsi="宋体" w:cs="宋体"/>
          <w:bCs/>
          <w:color w:val="auto"/>
          <w:szCs w:val="21"/>
          <w:highlight w:val="none"/>
        </w:rPr>
        <w:t xml:space="preserve">■本项目不面向中小企业预留采购份额</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w:t>
      </w:r>
      <w:r>
        <w:rPr>
          <w:rFonts w:hint="eastAsia" w:ascii="宋体" w:hAnsi="宋体" w:cs="宋体"/>
          <w:bCs/>
          <w:color w:val="auto"/>
          <w:szCs w:val="21"/>
          <w:highlight w:val="none"/>
        </w:rPr>
        <w:t xml:space="preserve">本项目的特定资格要求</w:t>
      </w:r>
      <w:r>
        <w:rPr>
          <w:rFonts w:hint="eastAsia" w:ascii="宋体" w:hAnsi="宋体" w:eastAsia="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2.3.1</w:t>
      </w:r>
      <w:r>
        <w:rPr>
          <w:rFonts w:hint="eastAsia" w:ascii="宋体" w:hAnsi="宋体" w:eastAsia="宋体" w:cs="宋体"/>
          <w:b/>
          <w:bCs w:val="0"/>
          <w:color w:val="auto"/>
          <w:szCs w:val="21"/>
          <w:highlight w:val="none"/>
        </w:rPr>
        <w:t xml:space="preserve">具有法人资格、持有有效《医疗机构执业许可证》且诊疗科目含眼科的医疗机构。（提供相关证明材料复印件并加盖公章）</w:t>
      </w:r>
      <w:r/>
    </w:p>
    <w:p>
      <w:pPr>
        <w:ind w:firstLine="420"/>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2.3.2</w:t>
      </w:r>
      <w:r>
        <w:rPr>
          <w:rFonts w:hint="eastAsia" w:ascii="宋体" w:hAnsi="宋体" w:eastAsia="宋体" w:cs="宋体"/>
          <w:b/>
          <w:bCs w:val="0"/>
          <w:color w:val="auto"/>
          <w:szCs w:val="21"/>
          <w:highlight w:val="none"/>
        </w:rPr>
        <w:t xml:space="preserve">中标后不允许转包、分包。（提供承诺书</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格式自拟</w:t>
      </w:r>
      <w:r>
        <w:rPr>
          <w:rFonts w:hint="eastAsia" w:ascii="宋体" w:hAnsi="宋体" w:eastAsia="宋体" w:cs="宋体"/>
          <w:b/>
          <w:bCs w:val="0"/>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3.3</w:t>
      </w:r>
      <w:r>
        <w:rPr>
          <w:rFonts w:hint="eastAsia" w:ascii="宋体" w:hAnsi="宋体" w:eastAsia="宋体" w:cs="宋体"/>
          <w:bCs/>
          <w:color w:val="auto"/>
          <w:szCs w:val="21"/>
          <w:highlight w:val="none"/>
        </w:rPr>
        <w:t xml:space="preserve">供应商在参加政府采购活动前3年内因违法经营被禁止在一定期限内参加政府采购活动，期限届满的，可以参加政府采购活动。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3.4</w:t>
      </w:r>
      <w:r>
        <w:rPr>
          <w:rFonts w:hint="eastAsia" w:ascii="宋体" w:hAnsi="宋体" w:eastAsia="宋体" w:cs="宋体"/>
          <w:bCs/>
          <w:color w:val="auto"/>
          <w:szCs w:val="21"/>
          <w:highlight w:val="none"/>
        </w:rPr>
        <w:t xml:space="preserve">单位负责人为同一人或者存在直接控股、管理关系的不同供应商，不得参加同一合同项下的政府采购活动。</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为采购项目提供整体设计、规范编制或者项目管理、监理、检测等服务的供应商，不得再参加该采购项目的其他采购活动。</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3.5</w:t>
      </w:r>
      <w:r>
        <w:rPr>
          <w:rFonts w:hint="eastAsia" w:ascii="宋体" w:hAnsi="宋体" w:eastAsia="宋体" w:cs="宋体"/>
          <w:bCs/>
          <w:color w:val="auto"/>
          <w:szCs w:val="21"/>
          <w:highlight w:val="none"/>
        </w:rPr>
        <w:t xml:space="preserve">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6347855"/>
      <w:r/>
      <w:bookmarkStart w:id="23" w:name="_Toc93909069"/>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08</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cs="Microsoft New Tai Lue"/>
          <w:bCs/>
          <w:color w:val="auto"/>
          <w:szCs w:val="21"/>
          <w:highlight w:val="none"/>
        </w:rPr>
        <w:t xml:space="preserve">：30（北京时间）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6347856"/>
      <w:r/>
      <w:bookmarkStart w:id="25" w:name="_Toc93909070"/>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264702"/>
      <w:r/>
      <w:bookmarkStart w:id="27" w:name="_Toc80792694"/>
      <w:r/>
      <w:bookmarkStart w:id="28" w:name="_Toc93909071"/>
      <w:r/>
      <w:bookmarkStart w:id="29" w:name="_Toc96347857"/>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bookmarkStart w:id="30" w:name="_Toc28359085"/>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南京市江宁区卫生健康委员会</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地 址：</w:t>
      </w:r>
      <w:r>
        <w:rPr>
          <w:rFonts w:hint="eastAsia" w:ascii="宋体" w:hAnsi="宋体" w:cs="宋体"/>
          <w:color w:val="auto"/>
          <w:szCs w:val="21"/>
          <w:highlight w:val="none"/>
          <w:lang w:val="en-US" w:eastAsia="zh-CN"/>
        </w:rPr>
        <w:t xml:space="preserve">南京市江宁区上元大街397号</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钱惠</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025-51191172</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址：南京市雨花台区宁双路19号C栋3楼305室</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张璐</w:t>
      </w:r>
      <w:r>
        <w:rPr>
          <w:rFonts w:hint="eastAsia" w:ascii="宋体" w:hAnsi="宋体" w:eastAsia="宋体" w:cs="宋体"/>
          <w:color w:val="auto"/>
          <w:szCs w:val="21"/>
          <w:highlight w:val="none"/>
          <w:lang w:val="en-US" w:eastAsia="zh-CN"/>
        </w:rPr>
        <w:t xml:space="preserve">、史平华、</w:t>
      </w:r>
      <w:r>
        <w:rPr>
          <w:rFonts w:hint="eastAsia" w:ascii="宋体" w:hAnsi="宋体" w:eastAsia="宋体" w:cs="宋体"/>
          <w:color w:val="auto"/>
          <w:szCs w:val="21"/>
          <w:highlight w:val="none"/>
          <w:lang w:val="en-US" w:eastAsia="zh-CN"/>
        </w:rPr>
        <w:t xml:space="preserve">马继烨</w:t>
      </w:r>
      <w:r>
        <w:rPr>
          <w:rFonts w:hint="eastAsia" w:ascii="宋体" w:hAnsi="宋体" w:eastAsia="宋体" w:cs="宋体"/>
          <w:color w:val="auto"/>
          <w:szCs w:val="21"/>
          <w:highlight w:val="none"/>
          <w:lang w:val="en-US" w:eastAsia="zh-CN"/>
        </w:rPr>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w:t>
      </w:r>
      <w:r>
        <w:rPr>
          <w:rFonts w:hint="eastAsia" w:ascii="宋体" w:hAnsi="宋体" w:cs="宋体"/>
          <w:color w:val="auto"/>
          <w:szCs w:val="21"/>
          <w:highlight w:val="none"/>
          <w:lang w:val="en-US" w:eastAsia="zh-CN"/>
        </w:rPr>
        <w:t xml:space="preserve">15605215397</w:t>
      </w:r>
      <w:r>
        <w:rPr>
          <w:rFonts w:hint="eastAsia" w:ascii="宋体" w:hAnsi="宋体" w:eastAsia="宋体" w:cs="宋体"/>
          <w:color w:val="auto"/>
          <w:szCs w:val="21"/>
          <w:highlight w:val="none"/>
        </w:rPr>
        <w:t xml:space="preserve">、15951799162</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3．项目联系方式</w:t>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张璐</w:t>
      </w:r>
      <w:r>
        <w:rPr>
          <w:rFonts w:hint="eastAsia" w:ascii="宋体" w:hAnsi="宋体" w:eastAsia="宋体" w:cs="宋体"/>
          <w:color w:val="auto"/>
          <w:szCs w:val="21"/>
          <w:highlight w:val="none"/>
          <w:lang w:val="en-US" w:eastAsia="zh-CN"/>
        </w:rPr>
        <w:t xml:space="preserve">、史平华</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15605215397</w:t>
      </w:r>
      <w:r>
        <w:rPr>
          <w:rFonts w:hint="eastAsia" w:ascii="宋体" w:hAnsi="宋体" w:eastAsia="宋体" w:cs="宋体"/>
          <w:color w:val="auto"/>
          <w:szCs w:val="21"/>
          <w:highlight w:val="none"/>
        </w:rPr>
        <w:t xml:space="preserve">、15951799162</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85"/>
        <w:rPr>
          <w:rFonts w:hint="eastAsia" w:ascii="宋体" w:hAnsi="宋体" w:cs="宋体"/>
          <w:color w:val="auto"/>
          <w:highlight w:val="none"/>
        </w:rPr>
      </w:pPr>
      <w:r/>
      <w:bookmarkStart w:id="31" w:name="_Toc107246212"/>
      <w:r>
        <w:rPr>
          <w:rFonts w:hint="eastAsia" w:ascii="宋体" w:hAnsi="宋体" w:cs="宋体"/>
          <w:color w:val="auto"/>
          <w:highlight w:val="none"/>
        </w:rPr>
        <w:t xml:space="preserve">第二章  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822"/>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08"/>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108"/>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108"/>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pStyle w:val="1105"/>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w:t>
            </w:r>
            <w:r>
              <w:rPr>
                <w:rFonts w:hint="eastAsia" w:eastAsia="宋体" w:cs="宋体"/>
                <w:color w:val="auto"/>
                <w:sz w:val="21"/>
                <w:szCs w:val="21"/>
                <w:highlight w:val="none"/>
                <w:lang w:val="en-US" w:eastAsia="zh-CN" w:bidi="ar-SA"/>
              </w:rPr>
              <w:t xml:space="preserve">南京市江宁区卫生健康委员会</w:t>
            </w:r>
            <w:r/>
          </w:p>
          <w:p>
            <w:pPr>
              <w:pStyle w:val="1105"/>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w:t>
            </w:r>
            <w:r>
              <w:rPr>
                <w:rFonts w:hint="eastAsia" w:eastAsia="宋体" w:cs="宋体"/>
                <w:color w:val="auto"/>
                <w:sz w:val="21"/>
                <w:szCs w:val="21"/>
                <w:highlight w:val="none"/>
                <w:lang w:val="en-US" w:eastAsia="zh-CN" w:bidi="ar-SA"/>
              </w:rPr>
              <w:t xml:space="preserve">南京市江宁区上元大街397号</w:t>
            </w:r>
            <w:r/>
          </w:p>
          <w:p>
            <w:pPr>
              <w:pStyle w:val="1105"/>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eastAsia="宋体" w:cs="宋体"/>
                <w:color w:val="auto"/>
                <w:sz w:val="21"/>
                <w:szCs w:val="21"/>
                <w:highlight w:val="none"/>
                <w:lang w:val="en-US" w:eastAsia="zh-CN" w:bidi="ar-SA"/>
              </w:rPr>
              <w:t xml:space="preserve">钱惠</w:t>
            </w:r>
            <w:r/>
          </w:p>
          <w:p>
            <w:pPr>
              <w:pStyle w:val="1105"/>
              <w:jc w:val="left"/>
              <w:spacing w:before="160" w:line="276"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  话：025-51191172</w:t>
            </w:r>
            <w:r/>
          </w:p>
        </w:tc>
      </w:tr>
      <w:tr>
        <w:trPr>
          <w:jc w:val="center"/>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105"/>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称：江苏省招标中心有限公司</w:t>
            </w:r>
            <w:r/>
          </w:p>
          <w:p>
            <w:pPr>
              <w:pStyle w:val="1105"/>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 址：南京市雨花台区宁双路19号C栋3楼305室</w:t>
            </w:r>
            <w:r/>
          </w:p>
          <w:p>
            <w:pPr>
              <w:pStyle w:val="1105"/>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cs="宋体"/>
                <w:color w:val="auto"/>
                <w:sz w:val="21"/>
                <w:szCs w:val="21"/>
                <w:highlight w:val="none"/>
                <w:lang w:val="en-US" w:eastAsia="zh-CN" w:bidi="ar-SA"/>
              </w:rPr>
              <w:t xml:space="preserve">张璐</w:t>
            </w:r>
            <w:r>
              <w:rPr>
                <w:rFonts w:hint="eastAsia" w:ascii="宋体" w:hAnsi="宋体" w:eastAsia="宋体" w:cs="宋体"/>
                <w:color w:val="auto"/>
                <w:sz w:val="21"/>
                <w:szCs w:val="21"/>
                <w:highlight w:val="none"/>
                <w:lang w:val="en-US" w:eastAsia="zh-CN" w:bidi="ar-SA"/>
              </w:rPr>
              <w:t xml:space="preserve">、史平华、</w:t>
            </w:r>
            <w:r>
              <w:rPr>
                <w:rFonts w:hint="eastAsia" w:ascii="宋体" w:hAnsi="宋体" w:eastAsia="宋体" w:cs="宋体"/>
                <w:color w:val="auto"/>
                <w:sz w:val="21"/>
                <w:szCs w:val="21"/>
                <w:highlight w:val="none"/>
                <w:lang w:val="en-US" w:eastAsia="zh-CN" w:bidi="ar-SA"/>
              </w:rPr>
              <w:t xml:space="preserve">马继烨</w:t>
            </w:r>
            <w:r/>
          </w:p>
          <w:p>
            <w:pPr>
              <w:pStyle w:val="1105"/>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w:t>
            </w:r>
            <w:r>
              <w:rPr>
                <w:rFonts w:hint="eastAsia" w:cs="宋体"/>
                <w:color w:val="auto"/>
                <w:sz w:val="21"/>
                <w:szCs w:val="21"/>
                <w:highlight w:val="none"/>
                <w:lang w:val="en-US" w:eastAsia="zh-CN" w:bidi="ar-SA"/>
              </w:rPr>
              <w:t xml:space="preserve">15605215397</w:t>
            </w:r>
            <w:r>
              <w:rPr>
                <w:rFonts w:hint="eastAsia" w:ascii="宋体" w:hAnsi="宋体" w:eastAsia="宋体" w:cs="宋体"/>
                <w:color w:val="auto"/>
                <w:sz w:val="21"/>
                <w:szCs w:val="21"/>
                <w:highlight w:val="none"/>
                <w:lang w:val="en-US" w:eastAsia="zh-CN" w:bidi="ar-SA"/>
              </w:rPr>
              <w:t xml:space="preserve">、15951799162</w:t>
            </w:r>
            <w:r/>
          </w:p>
        </w:tc>
      </w:tr>
      <w:tr>
        <w:trPr>
          <w:jc w:val="center"/>
          <w:trHeight w:val="510"/>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108"/>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■不组织。</w:t>
            </w:r>
            <w:r/>
          </w:p>
        </w:tc>
      </w:tr>
      <w:tr>
        <w:trPr>
          <w:jc w:val="center"/>
          <w:trHeight w:val="510"/>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56"/>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108"/>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108"/>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108"/>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投标报价</w:t>
            </w:r>
            <w:r/>
          </w:p>
        </w:tc>
        <w:tc>
          <w:tcPr>
            <w:tcW w:w="4982" w:type="dxa"/>
            <w:vAlign w:val="center"/>
            <w:textDirection w:val="lrTb"/>
            <w:noWrap w:val="false"/>
          </w:tcPr>
          <w:p>
            <w:pPr>
              <w:pStyle w:val="1119"/>
              <w:contextualSpacing/>
              <w:ind w:firstLine="0"/>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投标报价的其他要求：无。</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108"/>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108"/>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922"/>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108"/>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108"/>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108"/>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w:t>
            </w:r>
            <w:r/>
          </w:p>
          <w:p>
            <w:pPr>
              <w:pStyle w:val="1108"/>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（http://www.ccgp-jiangsu.gov.cn/）</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6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6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lang w:val="en-US" w:eastAsia="zh-CN" w:bidi="ar-SA"/>
              </w:rPr>
              <w:t xml:space="preserve">1471877175@qq.com</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980"/>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62"/>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形式：以书面形式通知采购代理机构。如采用邮件形式（盖章扫描件及WPS兼容格式文件发至1471877175@qq.com邮箱）通知，采购代理机构将以邮件形式进行答复。</w:t>
            </w:r>
            <w:r/>
          </w:p>
        </w:tc>
      </w:tr>
      <w:tr>
        <w:trPr>
          <w:jc w:val="center"/>
          <w:trHeight w:val="1203"/>
        </w:trPr>
        <w:tc>
          <w:tcPr>
            <w:tcW w:w="675"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1.支付主体</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本项目预算已包含代理服务费。</w:t>
            </w:r>
            <w:r>
              <w:rPr>
                <w:rFonts w:hint="eastAsia" w:ascii="Times New Roman" w:hAnsi="Times New Roman" w:eastAsia="宋体" w:cs="Microsoft New Tai Lue"/>
                <w:bCs/>
                <w:highlight w:val="none"/>
              </w:rPr>
              <w:t xml:space="preserve">根据采购人与采购代理机构的委托代理协议，代理服务费由</w:t>
            </w:r>
            <w:r>
              <w:rPr>
                <w:rFonts w:hint="eastAsia" w:ascii="Times New Roman" w:hAnsi="Times New Roman" w:cs="Microsoft New Tai Lue"/>
                <w:bCs/>
                <w:highlight w:val="none"/>
                <w:lang w:val="en-US" w:eastAsia="zh-CN"/>
              </w:rPr>
              <w:t xml:space="preserve">成交供应商</w:t>
            </w:r>
            <w:r>
              <w:rPr>
                <w:rFonts w:hint="eastAsia" w:ascii="Times New Roman" w:hAnsi="Times New Roman" w:eastAsia="宋体" w:cs="Microsoft New Tai Lue"/>
                <w:bCs/>
                <w:highlight w:val="none"/>
              </w:rPr>
              <w:t xml:space="preserve">支付。供应商报价应当包含代理服务费，该费用不单独计列，由供应商综合考虑并计入</w:t>
            </w:r>
            <w:r>
              <w:rPr>
                <w:rFonts w:hint="eastAsia" w:ascii="Times New Roman" w:hAnsi="Times New Roman" w:eastAsia="宋体" w:cs="Microsoft New Tai Lue"/>
                <w:bCs/>
                <w:highlight w:val="none"/>
                <w:lang w:val="en-US" w:eastAsia="zh-CN"/>
              </w:rPr>
              <w:t xml:space="preserve">响应</w:t>
            </w:r>
            <w:r>
              <w:rPr>
                <w:rFonts w:hint="eastAsia" w:ascii="Times New Roman" w:hAnsi="Times New Roman" w:eastAsia="宋体" w:cs="Microsoft New Tai Lue"/>
                <w:bCs/>
                <w:highlight w:val="none"/>
              </w:rPr>
              <w:t xml:space="preserve">总价。</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2.收费标准和依据</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hAnsi="宋体" w:cs="Microsoft New Tai Lue"/>
                <w:bCs/>
                <w:sz w:val="21"/>
                <w:szCs w:val="21"/>
                <w:highlight w:val="none"/>
                <w:lang w:val="en-US" w:eastAsia="zh-CN"/>
              </w:rPr>
              <w:t xml:space="preserve">本项目代理服务费按计价格【2002】1980号文服务类的55%计取。</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3</w:t>
            </w:r>
            <w:r>
              <w:rPr>
                <w:rFonts w:hint="eastAsia" w:ascii="Times New Roman" w:hAnsi="Times New Roman" w:cs="Microsoft New Tai Lue"/>
                <w:bCs/>
                <w:highlight w:val="none"/>
                <w:lang w:val="en-US" w:eastAsia="zh-CN"/>
              </w:rPr>
              <w:t xml:space="preserve">.</w:t>
            </w:r>
            <w:r>
              <w:rPr>
                <w:rFonts w:hint="eastAsia" w:ascii="Times New Roman" w:hAnsi="Times New Roman" w:eastAsia="宋体" w:cs="Microsoft New Tai Lue"/>
                <w:bCs/>
                <w:highlight w:val="none"/>
              </w:rPr>
              <w:t xml:space="preserve">收取方式</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lang w:val="en-US" w:eastAsia="zh-CN"/>
              </w:rPr>
              <w:t xml:space="preserve">中标</w:t>
            </w:r>
            <w:r>
              <w:rPr>
                <w:rFonts w:hint="eastAsia" w:ascii="Times New Roman" w:hAnsi="Times New Roman" w:eastAsia="宋体" w:cs="Microsoft New Tai Lue"/>
                <w:bCs/>
                <w:highlight w:val="none"/>
              </w:rPr>
              <w:t xml:space="preserve">供应商在领取</w:t>
            </w:r>
            <w:r>
              <w:rPr>
                <w:rFonts w:hint="eastAsia" w:ascii="Times New Roman" w:hAnsi="Times New Roman" w:eastAsia="宋体" w:cs="Microsoft New Tai Lue"/>
                <w:bCs/>
                <w:highlight w:val="none"/>
                <w:lang w:val="en-US" w:eastAsia="zh-CN"/>
              </w:rPr>
              <w:t xml:space="preserve">成交</w:t>
            </w:r>
            <w:r>
              <w:rPr>
                <w:rFonts w:hint="eastAsia" w:ascii="Times New Roman" w:hAnsi="Times New Roman" w:eastAsia="宋体" w:cs="Microsoft New Tai Lue"/>
                <w:bCs/>
                <w:highlight w:val="none"/>
              </w:rPr>
              <w:t xml:space="preserve">通知书前，一次性向采购代理机构支付。</w:t>
            </w:r>
            <w:r>
              <w:rPr>
                <w:rFonts w:hint="eastAsia" w:hAnsi="宋体" w:cs="Microsoft New Tai Lue"/>
                <w:bCs/>
                <w:sz w:val="21"/>
                <w:szCs w:val="21"/>
                <w:highlight w:val="none"/>
              </w:rPr>
              <w:t xml:space="preserve">采购代理机构在收到</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服务费后向</w:t>
            </w:r>
            <w:r>
              <w:rPr>
                <w:rFonts w:hint="eastAsia" w:hAnsi="宋体" w:cs="Microsoft New Tai Lue"/>
                <w:bCs/>
                <w:sz w:val="21"/>
                <w:szCs w:val="21"/>
                <w:highlight w:val="none"/>
                <w:lang w:val="en-US" w:eastAsia="zh-CN"/>
              </w:rPr>
              <w:t xml:space="preserve">成交供应商</w:t>
            </w:r>
            <w:r>
              <w:rPr>
                <w:rFonts w:hint="eastAsia" w:hAnsi="宋体" w:cs="Microsoft New Tai Lue"/>
                <w:bCs/>
                <w:sz w:val="21"/>
                <w:szCs w:val="21"/>
                <w:highlight w:val="none"/>
              </w:rPr>
              <w:t xml:space="preserve">开具等额的</w:t>
            </w:r>
            <w:r>
              <w:rPr>
                <w:rFonts w:hint="eastAsia" w:hAnsi="宋体" w:cs="Microsoft New Tai Lue"/>
                <w:bCs/>
                <w:sz w:val="21"/>
                <w:szCs w:val="21"/>
                <w:highlight w:val="none"/>
                <w:lang w:val="en-US" w:eastAsia="zh-CN"/>
              </w:rPr>
              <w:t xml:space="preserve">代理</w:t>
            </w:r>
            <w:r>
              <w:rPr>
                <w:rFonts w:hint="eastAsia" w:hAnsi="宋体" w:cs="Microsoft New Tai Lue"/>
                <w:bCs/>
                <w:sz w:val="21"/>
                <w:szCs w:val="21"/>
                <w:highlight w:val="none"/>
              </w:rPr>
              <w:t xml:space="preserve">服务费发票</w:t>
            </w:r>
            <w:r>
              <w:rPr>
                <w:rFonts w:hint="eastAsia" w:hAnsi="宋体" w:cs="Microsoft New Tai Lue"/>
                <w:bCs/>
                <w:sz w:val="21"/>
                <w:szCs w:val="21"/>
                <w:highlight w:val="none"/>
                <w:lang w:eastAsia="zh-CN"/>
              </w:rPr>
              <w:t xml:space="preserve">。</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请汇款至以下账户：</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户名：江苏省招标中心有限公司；</w:t>
            </w:r>
            <w:r/>
          </w:p>
          <w:p>
            <w:pPr>
              <w:pStyle w:val="829"/>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highlight w:val="none"/>
              </w:rPr>
            </w:pPr>
            <w:r>
              <w:rPr>
                <w:rFonts w:hint="eastAsia" w:ascii="Times New Roman" w:hAnsi="Times New Roman" w:eastAsia="宋体" w:cs="Microsoft New Tai Lue"/>
                <w:bCs/>
                <w:highlight w:val="none"/>
              </w:rPr>
              <w:t xml:space="preserve">开户银行：中信银行南京江苏路支行；</w:t>
            </w:r>
            <w:r/>
          </w:p>
          <w:p>
            <w:pPr>
              <w:pStyle w:val="86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Times New Roman" w:hAnsi="Times New Roman" w:eastAsia="宋体" w:cs="Microsoft New Tai Lue"/>
                <w:bCs/>
                <w:highlight w:val="none"/>
              </w:rPr>
              <w:t xml:space="preserve">账号：7321810182600023404</w:t>
            </w:r>
            <w:r/>
          </w:p>
        </w:tc>
      </w:tr>
      <w:tr>
        <w:trPr>
          <w:jc w:val="center"/>
          <w:trHeight w:val="600"/>
        </w:trPr>
        <w:tc>
          <w:tcPr>
            <w:tcW w:w="675" w:type="dxa"/>
            <w:vAlign w:val="center"/>
            <w:vMerge w:val="restart"/>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108"/>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108"/>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6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108"/>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08"/>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08"/>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62"/>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标的对应的中小企业划分标准所属行业：其他未列明行业</w:t>
            </w:r>
            <w:r/>
          </w:p>
        </w:tc>
      </w:tr>
      <w:tr>
        <w:trPr>
          <w:jc w:val="center"/>
          <w:trHeight w:val="656"/>
        </w:trPr>
        <w:tc>
          <w:tcPr>
            <w:tcW w:w="675" w:type="dxa"/>
            <w:vAlign w:val="center"/>
            <w:vMerge w:val="continue"/>
            <w:textDirection w:val="lrTb"/>
            <w:noWrap w:val="false"/>
          </w:tcPr>
          <w:p>
            <w:pPr>
              <w:pStyle w:val="1108"/>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08"/>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08"/>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val="false"/>
          </w:tcPr>
          <w:p>
            <w:pPr>
              <w:pStyle w:val="1108"/>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108"/>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108"/>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108"/>
              <w:jc w:val="both"/>
              <w:spacing w:line="360" w:lineRule="auto"/>
              <w:widowControl w:val="off"/>
              <w:rPr>
                <w:rFonts w:hint="default"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信用承诺相关规定</w:t>
            </w:r>
            <w:r>
              <w:rPr>
                <w:rFonts w:hint="eastAsia" w:hAnsi="宋体" w:cs="宋体"/>
                <w:b/>
                <w:bCs w:val="0"/>
                <w:color w:val="auto"/>
                <w:sz w:val="21"/>
                <w:szCs w:val="21"/>
                <w:highlight w:val="none"/>
                <w:lang w:val="en-US" w:eastAsia="zh-CN" w:bidi="ar-SA"/>
              </w:rPr>
              <w:t xml:space="preserve">:</w:t>
            </w:r>
            <w:r/>
          </w:p>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w:t>
            </w:r>
            <w:bookmarkStart w:id="32" w:name="_Hlk156831468"/>
            <w:r>
              <w:rPr>
                <w:rFonts w:hint="eastAsia" w:ascii="宋体" w:hAnsi="宋体" w:eastAsia="宋体" w:cs="宋体"/>
                <w:bCs/>
                <w:color w:val="auto"/>
                <w:sz w:val="21"/>
                <w:szCs w:val="21"/>
                <w:highlight w:val="none"/>
                <w:lang w:val="en-US" w:eastAsia="zh-CN" w:bidi="ar-SA"/>
              </w:rPr>
              <w:t xml:space="preserve">根据《关于在政府采购活动中推行信用承诺制的通知》（宁财购通〔2021〕5 号）的规定</w:t>
            </w:r>
            <w:bookmarkEnd w:id="32"/>
            <w:r>
              <w:rPr>
                <w:rFonts w:hint="eastAsia" w:ascii="宋体" w:hAnsi="宋体" w:eastAsia="宋体" w:cs="宋体"/>
                <w:bCs/>
                <w:color w:val="auto"/>
                <w:sz w:val="21"/>
                <w:szCs w:val="21"/>
                <w:highlight w:val="none"/>
                <w:lang w:val="en-US" w:eastAsia="zh-CN" w:bidi="ar-SA"/>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（3）供应商涉及以下情形的，不适用信用承诺，仍须提供上述证明材料：</w:t>
            </w:r>
            <w:r/>
          </w:p>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①供应商被列入严重失信主体名单； </w:t>
            </w:r>
            <w:r/>
          </w:p>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②被相关监管部门作出行政处罚且尚在处罚有效期内；</w:t>
            </w:r>
            <w:r/>
          </w:p>
          <w:p>
            <w:pPr>
              <w:pStyle w:val="1108"/>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③其他法律、行政法规规定的不适用信用承诺的情形。</w:t>
            </w:r>
            <w:r/>
          </w:p>
          <w:p>
            <w:pPr>
              <w:pStyle w:val="1108"/>
              <w:numPr>
                <w:ilvl w:val="0"/>
                <w:numId w:val="2"/>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供应商对信用承诺内容的真实性、合法性、有效性负责。如作出虚假信用承诺，视同为“提供虚假材料谋取中标、成交”的违法行为。</w:t>
            </w:r>
            <w:r/>
          </w:p>
          <w:p>
            <w:pPr>
              <w:pStyle w:val="1108"/>
              <w:numPr>
                <w:ilvl w:val="0"/>
                <w:numId w:val="0"/>
              </w:numPr>
              <w:jc w:val="both"/>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异常低价处理：</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（一）采购评审中出现下列情形之一的，评审委员会应当启动异常低价投标（响应）审查程序：</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3.投标（响应）报价低于采购项目最高限价45%的，即投标（响应）报价&lt;采购项目最高限价×45%（未设定最高限价的采购项目，以采购项目预算金额作为最高限价）；</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4.评审委员会基于专业判断，认为供应商报价过低，有可能影响产品质量或者不能诚信履约的其他情形。</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08"/>
              <w:numPr>
                <w:ilvl w:val="0"/>
                <w:numId w:val="0"/>
              </w:num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62"/>
        <w:ind w:firstLine="1633"/>
        <w:spacing w:line="360" w:lineRule="auto"/>
        <w:rPr>
          <w:rFonts w:hint="eastAsia" w:hAnsi="宋体" w:cs="宋体"/>
          <w:b/>
          <w:bCs/>
          <w:color w:val="auto"/>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885"/>
        <w:ind w:firstLine="569"/>
        <w:rPr>
          <w:rFonts w:hint="eastAsia" w:ascii="宋体" w:hAnsi="宋体" w:cs="宋体"/>
          <w:color w:val="auto"/>
          <w:highlight w:val="none"/>
        </w:rPr>
      </w:pPr>
      <w:r/>
      <w:bookmarkStart w:id="33" w:name="_Toc103848526"/>
      <w:r/>
      <w:bookmarkStart w:id="34" w:name="_Toc100905199"/>
      <w:r/>
      <w:bookmarkStart w:id="35" w:name="_Toc104560837"/>
      <w:r/>
      <w:bookmarkStart w:id="36" w:name="_Toc107246213"/>
      <w:r>
        <w:rPr>
          <w:rFonts w:hint="eastAsia" w:ascii="宋体" w:hAnsi="宋体" w:cs="宋体"/>
          <w:color w:val="auto"/>
          <w:highlight w:val="none"/>
        </w:rPr>
        <w:t xml:space="preserve">投标人须知</w:t>
      </w:r>
      <w:bookmarkEnd w:id="33"/>
      <w:r/>
      <w:bookmarkEnd w:id="34"/>
      <w:r/>
      <w:bookmarkEnd w:id="35"/>
      <w:r/>
      <w:bookmarkEnd w:id="36"/>
      <w:r/>
      <w:r/>
    </w:p>
    <w:p>
      <w:pPr>
        <w:pStyle w:val="812"/>
        <w:ind w:left="0" w:right="210" w:firstLine="373"/>
        <w:spacing w:line="360" w:lineRule="auto"/>
        <w:rPr>
          <w:rFonts w:hint="eastAsia" w:ascii="宋体" w:hAnsi="宋体" w:cs="宋体"/>
          <w:color w:val="auto"/>
          <w:highlight w:val="none"/>
        </w:rPr>
      </w:pPr>
      <w:r/>
      <w:bookmarkStart w:id="37" w:name="_Toc80264706"/>
      <w:r/>
      <w:bookmarkStart w:id="38" w:name="_Toc107246214"/>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812"/>
        <w:ind w:left="0" w:right="210" w:firstLine="373"/>
        <w:spacing w:line="360" w:lineRule="auto"/>
        <w:rPr>
          <w:rFonts w:hint="eastAsia" w:ascii="宋体" w:hAnsi="宋体" w:cs="宋体"/>
          <w:color w:val="auto"/>
          <w:highlight w:val="none"/>
        </w:rPr>
      </w:pPr>
      <w:r/>
      <w:bookmarkStart w:id="39" w:name="_Toc103848528"/>
      <w:r/>
      <w:bookmarkStart w:id="40" w:name="_Toc104560839"/>
      <w:r/>
      <w:bookmarkStart w:id="41" w:name="_Toc96347862"/>
      <w:r/>
      <w:bookmarkStart w:id="42" w:name="_Toc107246215"/>
      <w:r/>
      <w:bookmarkStart w:id="43" w:name="_Toc100905201"/>
      <w:r>
        <w:rPr>
          <w:rFonts w:hint="eastAsia" w:ascii="宋体" w:hAnsi="宋体" w:cs="宋体"/>
          <w:color w:val="auto"/>
          <w:highlight w:val="none"/>
        </w:rPr>
        <w:t xml:space="preserve">1.采购方式</w:t>
      </w:r>
      <w:bookmarkEnd w:id="39"/>
      <w:r/>
      <w:bookmarkEnd w:id="40"/>
      <w:r/>
      <w:bookmarkEnd w:id="41"/>
      <w:r/>
      <w:bookmarkEnd w:id="42"/>
      <w:r/>
      <w:bookmarkEnd w:id="4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812"/>
        <w:ind w:left="0" w:right="210" w:firstLine="373"/>
        <w:spacing w:line="360" w:lineRule="auto"/>
        <w:rPr>
          <w:rFonts w:hint="eastAsia" w:ascii="宋体" w:hAnsi="宋体" w:cs="宋体"/>
          <w:color w:val="auto"/>
          <w:highlight w:val="none"/>
        </w:rPr>
      </w:pPr>
      <w:r/>
      <w:bookmarkStart w:id="44" w:name="_Toc96347863"/>
      <w:r/>
      <w:bookmarkStart w:id="45" w:name="_Toc107246216"/>
      <w:r/>
      <w:bookmarkStart w:id="46" w:name="_Toc100905202"/>
      <w:r/>
      <w:bookmarkStart w:id="47" w:name="_Toc104560840"/>
      <w:r/>
      <w:bookmarkStart w:id="48" w:name="_Toc103848529"/>
      <w:r>
        <w:rPr>
          <w:rFonts w:hint="eastAsia" w:ascii="宋体" w:hAnsi="宋体" w:cs="宋体"/>
          <w:color w:val="auto"/>
          <w:highlight w:val="none"/>
        </w:rPr>
        <w:t xml:space="preserve">2.定义</w:t>
      </w:r>
      <w:bookmarkEnd w:id="44"/>
      <w:r/>
      <w:bookmarkEnd w:id="45"/>
      <w:r/>
      <w:bookmarkEnd w:id="46"/>
      <w:r/>
      <w:bookmarkEnd w:id="47"/>
      <w:r/>
      <w:bookmarkEnd w:id="4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812"/>
        <w:ind w:left="0" w:right="210" w:firstLine="373"/>
        <w:spacing w:line="360" w:lineRule="auto"/>
        <w:rPr>
          <w:rFonts w:hint="eastAsia" w:ascii="宋体" w:hAnsi="宋体" w:cs="宋体"/>
          <w:color w:val="auto"/>
          <w:highlight w:val="none"/>
        </w:rPr>
      </w:pPr>
      <w:r/>
      <w:bookmarkStart w:id="49" w:name="_Toc103848530"/>
      <w:r/>
      <w:bookmarkStart w:id="50" w:name="_Toc96347864"/>
      <w:r/>
      <w:bookmarkStart w:id="51" w:name="_Toc107246217"/>
      <w:r/>
      <w:bookmarkStart w:id="52" w:name="_Toc104560841"/>
      <w:r/>
      <w:bookmarkStart w:id="53" w:name="_Toc100905203"/>
      <w:r>
        <w:rPr>
          <w:rFonts w:hint="eastAsia" w:ascii="宋体" w:hAnsi="宋体" w:cs="宋体"/>
          <w:color w:val="auto"/>
          <w:highlight w:val="none"/>
        </w:rPr>
        <w:t xml:space="preserve">3.适用法律</w:t>
      </w:r>
      <w:bookmarkEnd w:id="49"/>
      <w:r/>
      <w:bookmarkEnd w:id="50"/>
      <w:r/>
      <w:bookmarkEnd w:id="51"/>
      <w:r/>
      <w:bookmarkEnd w:id="52"/>
      <w:r/>
      <w:bookmarkEnd w:id="53"/>
      <w:r/>
      <w:r/>
    </w:p>
    <w:p>
      <w:pPr>
        <w:ind w:firstLine="420"/>
        <w:spacing w:line="360" w:lineRule="auto"/>
        <w:rPr>
          <w:rFonts w:hint="eastAsia" w:ascii="宋体" w:hAnsi="宋体" w:cs="宋体"/>
          <w:color w:val="auto"/>
          <w:szCs w:val="21"/>
          <w:highlight w:val="none"/>
        </w:rPr>
      </w:pPr>
      <w:r/>
      <w:bookmarkStart w:id="54"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12"/>
        <w:ind w:left="0" w:right="210" w:firstLine="373"/>
        <w:spacing w:line="360" w:lineRule="auto"/>
        <w:rPr>
          <w:rFonts w:hint="eastAsia" w:ascii="宋体" w:hAnsi="宋体" w:cs="宋体"/>
          <w:color w:val="auto"/>
          <w:highlight w:val="none"/>
        </w:rPr>
      </w:pPr>
      <w:r/>
      <w:bookmarkStart w:id="55" w:name="_Toc103848531"/>
      <w:r/>
      <w:bookmarkStart w:id="56" w:name="_Toc104560842"/>
      <w:r/>
      <w:bookmarkStart w:id="57" w:name="_Toc107246218"/>
      <w:r>
        <w:rPr>
          <w:rFonts w:hint="eastAsia" w:ascii="宋体" w:hAnsi="宋体" w:cs="宋体"/>
          <w:color w:val="auto"/>
          <w:highlight w:val="none"/>
        </w:rPr>
        <w:t xml:space="preserve">4.</w:t>
      </w:r>
      <w:bookmarkEnd w:id="55"/>
      <w:r>
        <w:rPr>
          <w:rFonts w:hint="eastAsia" w:ascii="宋体" w:hAnsi="宋体" w:cs="宋体"/>
          <w:color w:val="auto"/>
          <w:highlight w:val="none"/>
        </w:rPr>
        <w:t xml:space="preserve">政府采购政策（包括但不限于下列具体政策要求）</w:t>
      </w:r>
      <w:bookmarkEnd w:id="56"/>
      <w:r/>
      <w:bookmarkEnd w:id="57"/>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4"/>
      <w:r/>
      <w:r/>
    </w:p>
    <w:p>
      <w:pPr>
        <w:pStyle w:val="812"/>
        <w:ind w:left="0" w:right="210" w:firstLine="373"/>
        <w:spacing w:line="360" w:lineRule="auto"/>
        <w:rPr>
          <w:rFonts w:hint="eastAsia" w:ascii="宋体" w:hAnsi="宋体" w:cs="宋体"/>
          <w:color w:val="auto"/>
          <w:highlight w:val="none"/>
        </w:rPr>
      </w:pPr>
      <w:r/>
      <w:bookmarkStart w:id="58" w:name="_Toc104560843"/>
      <w:r/>
      <w:bookmarkStart w:id="59" w:name="_Toc96347865"/>
      <w:r/>
      <w:bookmarkStart w:id="60" w:name="_Toc103848532"/>
      <w:r/>
      <w:bookmarkStart w:id="61" w:name="_Toc107246219"/>
      <w:r/>
      <w:bookmarkStart w:id="62" w:name="_Toc100905205"/>
      <w:r>
        <w:rPr>
          <w:rFonts w:hint="eastAsia" w:ascii="宋体" w:hAnsi="宋体" w:cs="宋体"/>
          <w:color w:val="auto"/>
          <w:highlight w:val="none"/>
        </w:rPr>
        <w:t xml:space="preserve">5.相关费用</w:t>
      </w:r>
      <w:bookmarkEnd w:id="58"/>
      <w:r/>
      <w:bookmarkEnd w:id="59"/>
      <w:r/>
      <w:bookmarkEnd w:id="60"/>
      <w:r/>
      <w:bookmarkEnd w:id="61"/>
      <w:r/>
      <w:bookmarkEnd w:id="6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3"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12"/>
        <w:ind w:left="0" w:right="210" w:firstLine="373"/>
        <w:spacing w:line="360" w:lineRule="auto"/>
        <w:rPr>
          <w:rFonts w:hint="eastAsia" w:ascii="宋体" w:hAnsi="宋体" w:cs="宋体"/>
          <w:color w:val="auto"/>
          <w:highlight w:val="none"/>
        </w:rPr>
      </w:pPr>
      <w:r/>
      <w:bookmarkStart w:id="64" w:name="_Toc107246220"/>
      <w:r/>
      <w:bookmarkStart w:id="65" w:name="_Toc100905206"/>
      <w:r/>
      <w:bookmarkStart w:id="66" w:name="_Toc103848533"/>
      <w:r/>
      <w:bookmarkStart w:id="67" w:name="_Toc96347866"/>
      <w:r/>
      <w:bookmarkStart w:id="68" w:name="_Toc104560844"/>
      <w:r>
        <w:rPr>
          <w:rFonts w:hint="eastAsia" w:ascii="宋体" w:hAnsi="宋体" w:cs="宋体"/>
          <w:color w:val="auto"/>
          <w:highlight w:val="none"/>
        </w:rPr>
        <w:t xml:space="preserve">6.保密</w:t>
      </w:r>
      <w:bookmarkEnd w:id="64"/>
      <w:r/>
      <w:bookmarkEnd w:id="65"/>
      <w:r/>
      <w:bookmarkEnd w:id="66"/>
      <w:r/>
      <w:bookmarkEnd w:id="67"/>
      <w:r/>
      <w:bookmarkEnd w:id="68"/>
      <w:r/>
      <w:r/>
    </w:p>
    <w:p>
      <w:pPr>
        <w:ind w:firstLine="420"/>
        <w:spacing w:line="360" w:lineRule="auto"/>
        <w:rPr>
          <w:rFonts w:hint="eastAsia" w:ascii="宋体" w:hAnsi="宋体" w:cs="宋体"/>
          <w:color w:val="auto"/>
          <w:szCs w:val="21"/>
          <w:highlight w:val="none"/>
        </w:rPr>
      </w:pPr>
      <w:r/>
      <w:bookmarkStart w:id="69" w:name="_Toc96347867"/>
      <w:r/>
      <w:bookmarkStart w:id="70"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12"/>
        <w:ind w:left="0" w:right="210" w:firstLine="373"/>
        <w:spacing w:line="360" w:lineRule="auto"/>
        <w:rPr>
          <w:rFonts w:hint="eastAsia" w:ascii="宋体" w:hAnsi="宋体" w:cs="宋体"/>
          <w:color w:val="auto"/>
          <w:highlight w:val="none"/>
        </w:rPr>
      </w:pPr>
      <w:r/>
      <w:bookmarkStart w:id="71" w:name="_Toc103848534"/>
      <w:r/>
      <w:bookmarkStart w:id="72" w:name="_Toc104560845"/>
      <w:r/>
      <w:bookmarkStart w:id="73" w:name="_Toc107246221"/>
      <w:r>
        <w:rPr>
          <w:rFonts w:hint="eastAsia" w:ascii="宋体" w:hAnsi="宋体" w:cs="宋体"/>
          <w:color w:val="auto"/>
          <w:highlight w:val="none"/>
        </w:rPr>
        <w:t xml:space="preserve">7.语言文字、计量单位</w:t>
      </w:r>
      <w:bookmarkEnd w:id="69"/>
      <w:r/>
      <w:bookmarkEnd w:id="70"/>
      <w:r/>
      <w:bookmarkEnd w:id="71"/>
      <w:r/>
      <w:bookmarkEnd w:id="72"/>
      <w:r/>
      <w:bookmarkEnd w:id="7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812"/>
        <w:ind w:left="0" w:right="210" w:firstLine="373"/>
        <w:spacing w:line="360" w:lineRule="auto"/>
        <w:rPr>
          <w:rFonts w:hint="eastAsia" w:ascii="宋体" w:hAnsi="宋体" w:cs="宋体"/>
          <w:color w:val="auto"/>
          <w:highlight w:val="none"/>
        </w:rPr>
      </w:pPr>
      <w:r/>
      <w:bookmarkStart w:id="74" w:name="_Toc103848535"/>
      <w:r/>
      <w:bookmarkStart w:id="75" w:name="_Toc107246222"/>
      <w:r/>
      <w:bookmarkStart w:id="76" w:name="_Toc104560846"/>
      <w:r/>
      <w:bookmarkStart w:id="77" w:name="_Toc96347868"/>
      <w:r/>
      <w:bookmarkStart w:id="78" w:name="_Toc100905208"/>
      <w:r>
        <w:rPr>
          <w:rFonts w:hint="eastAsia" w:ascii="宋体" w:hAnsi="宋体" w:cs="宋体"/>
          <w:color w:val="auto"/>
          <w:highlight w:val="none"/>
        </w:rPr>
        <w:t xml:space="preserve">8.现场考察</w:t>
      </w:r>
      <w:bookmarkEnd w:id="74"/>
      <w:r/>
      <w:bookmarkEnd w:id="75"/>
      <w:r/>
      <w:bookmarkEnd w:id="76"/>
      <w:r/>
      <w:bookmarkEnd w:id="77"/>
      <w:r/>
      <w:bookmarkEnd w:id="7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12"/>
        <w:ind w:left="0" w:right="210" w:firstLine="373"/>
        <w:spacing w:line="360" w:lineRule="auto"/>
        <w:rPr>
          <w:rFonts w:hint="eastAsia" w:ascii="宋体" w:hAnsi="宋体" w:cs="宋体"/>
          <w:color w:val="auto"/>
          <w:highlight w:val="none"/>
        </w:rPr>
      </w:pPr>
      <w:r/>
      <w:bookmarkStart w:id="79" w:name="_Toc107246223"/>
      <w:r/>
      <w:bookmarkStart w:id="80" w:name="_Toc102117275"/>
      <w:r>
        <w:rPr>
          <w:rFonts w:hint="eastAsia" w:ascii="宋体" w:hAnsi="宋体" w:cs="宋体"/>
          <w:color w:val="auto"/>
          <w:highlight w:val="none"/>
        </w:rPr>
        <w:t xml:space="preserve">9.开标前答疑会</w:t>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812"/>
        <w:ind w:left="0" w:right="210" w:firstLine="373"/>
        <w:spacing w:line="360" w:lineRule="auto"/>
        <w:rPr>
          <w:rFonts w:hint="eastAsia" w:ascii="宋体" w:hAnsi="宋体" w:cs="宋体"/>
          <w:color w:val="auto"/>
          <w:highlight w:val="none"/>
        </w:rPr>
      </w:pPr>
      <w:r/>
      <w:bookmarkStart w:id="81" w:name="_Toc103848536"/>
      <w:r/>
      <w:bookmarkStart w:id="82" w:name="_Toc104560847"/>
      <w:r/>
      <w:bookmarkStart w:id="83" w:name="_Toc100905210"/>
      <w:r/>
      <w:bookmarkStart w:id="84" w:name="_Toc107246224"/>
      <w:r/>
      <w:bookmarkStart w:id="85" w:name="_Toc96347869"/>
      <w:r>
        <w:rPr>
          <w:rFonts w:hint="eastAsia" w:ascii="宋体" w:hAnsi="宋体" w:cs="宋体"/>
          <w:color w:val="auto"/>
          <w:szCs w:val="21"/>
          <w:highlight w:val="none"/>
        </w:rPr>
        <w:t xml:space="preserve">10.联合体投标</w:t>
      </w:r>
      <w:bookmarkEnd w:id="81"/>
      <w:r/>
      <w:bookmarkEnd w:id="82"/>
      <w:r/>
      <w:bookmarkEnd w:id="83"/>
      <w:r/>
      <w:bookmarkEnd w:id="8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812"/>
        <w:ind w:left="0" w:right="210" w:firstLine="373"/>
        <w:spacing w:line="360" w:lineRule="auto"/>
        <w:rPr>
          <w:rFonts w:hint="eastAsia" w:ascii="宋体" w:hAnsi="宋体" w:cs="宋体"/>
          <w:color w:val="auto"/>
          <w:highlight w:val="none"/>
        </w:rPr>
      </w:pPr>
      <w:r/>
      <w:bookmarkStart w:id="86" w:name="_Toc104560848"/>
      <w:r/>
      <w:bookmarkStart w:id="87" w:name="_Toc107246225"/>
      <w:r/>
      <w:bookmarkStart w:id="88" w:name="_Toc103848537"/>
      <w:r/>
      <w:bookmarkStart w:id="89" w:name="_Toc100905213"/>
      <w:r/>
      <w:bookmarkStart w:id="90" w:name="_Toc100905211"/>
      <w:r>
        <w:rPr>
          <w:rFonts w:hint="eastAsia" w:ascii="宋体" w:hAnsi="宋体" w:cs="宋体"/>
          <w:color w:val="auto"/>
          <w:highlight w:val="none"/>
        </w:rPr>
        <w:t xml:space="preserve">11.分包</w:t>
      </w:r>
      <w:bookmarkEnd w:id="86"/>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12"/>
        <w:ind w:left="0" w:right="210" w:firstLine="373"/>
        <w:spacing w:line="360" w:lineRule="auto"/>
        <w:rPr>
          <w:rFonts w:hint="eastAsia" w:ascii="宋体" w:hAnsi="宋体" w:cs="宋体"/>
          <w:color w:val="auto"/>
          <w:highlight w:val="none"/>
        </w:rPr>
      </w:pPr>
      <w:r/>
      <w:bookmarkStart w:id="91" w:name="_Toc104560849"/>
      <w:r/>
      <w:bookmarkStart w:id="92" w:name="_Toc107246226"/>
      <w:r>
        <w:rPr>
          <w:rFonts w:hint="eastAsia" w:ascii="宋体" w:hAnsi="宋体" w:cs="宋体"/>
          <w:color w:val="auto"/>
          <w:highlight w:val="none"/>
        </w:rPr>
        <w:t xml:space="preserve">12.样品</w:t>
      </w:r>
      <w:bookmarkEnd w:id="91"/>
      <w:r/>
      <w:bookmarkEnd w:id="9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5"/>
      <w:r/>
      <w:bookmarkEnd w:id="90"/>
      <w:r/>
      <w:r/>
    </w:p>
    <w:p>
      <w:pPr>
        <w:pStyle w:val="812"/>
        <w:ind w:left="0" w:right="210" w:firstLine="373"/>
        <w:spacing w:line="360" w:lineRule="auto"/>
        <w:rPr>
          <w:rFonts w:hint="eastAsia" w:ascii="宋体" w:hAnsi="宋体" w:cs="宋体"/>
          <w:color w:val="auto"/>
          <w:highlight w:val="none"/>
        </w:rPr>
      </w:pPr>
      <w:r/>
      <w:bookmarkStart w:id="93" w:name="_Toc104560850"/>
      <w:r/>
      <w:bookmarkStart w:id="94" w:name="_Toc103848538"/>
      <w:r/>
      <w:bookmarkStart w:id="95" w:name="_Toc107246227"/>
      <w:r/>
      <w:bookmarkStart w:id="96" w:name="_Toc100905214"/>
      <w:r>
        <w:rPr>
          <w:rFonts w:hint="eastAsia" w:ascii="宋体" w:hAnsi="宋体" w:cs="宋体"/>
          <w:color w:val="auto"/>
          <w:highlight w:val="none"/>
        </w:rPr>
        <w:t xml:space="preserve">13.采购进口产品</w:t>
      </w:r>
      <w:bookmarkEnd w:id="93"/>
      <w:r/>
      <w:bookmarkEnd w:id="94"/>
      <w:r/>
      <w:bookmarkEnd w:id="95"/>
      <w:r/>
      <w:bookmarkEnd w:id="9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12"/>
        <w:ind w:left="0" w:right="210" w:firstLine="373"/>
        <w:spacing w:line="360" w:lineRule="auto"/>
        <w:rPr>
          <w:rFonts w:hint="eastAsia" w:ascii="宋体" w:hAnsi="宋体" w:cs="宋体"/>
          <w:color w:val="auto"/>
          <w:highlight w:val="none"/>
        </w:rPr>
      </w:pPr>
      <w:r/>
      <w:bookmarkStart w:id="97" w:name="_Toc104560851"/>
      <w:r/>
      <w:bookmarkStart w:id="98" w:name="_Toc107246228"/>
      <w:r>
        <w:rPr>
          <w:rFonts w:hint="eastAsia" w:ascii="宋体" w:hAnsi="宋体" w:cs="宋体"/>
          <w:color w:val="auto"/>
          <w:highlight w:val="none"/>
        </w:rPr>
        <w:t xml:space="preserve">14.采购项目预算及最高限价</w:t>
      </w:r>
      <w:bookmarkEnd w:id="97"/>
      <w:r/>
      <w:bookmarkEnd w:id="9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12"/>
        <w:ind w:left="0" w:right="210" w:firstLine="373"/>
        <w:spacing w:line="360" w:lineRule="auto"/>
        <w:rPr>
          <w:rFonts w:hint="eastAsia" w:ascii="宋体" w:hAnsi="宋体" w:cs="宋体"/>
          <w:color w:val="auto"/>
          <w:highlight w:val="none"/>
        </w:rPr>
      </w:pPr>
      <w:r/>
      <w:bookmarkStart w:id="99" w:name="_Toc107246229"/>
      <w:r/>
      <w:bookmarkStart w:id="100" w:name="_Toc104560852"/>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12"/>
        <w:ind w:left="0" w:right="210" w:firstLine="373"/>
        <w:spacing w:line="360" w:lineRule="auto"/>
        <w:rPr>
          <w:rFonts w:hint="eastAsia" w:ascii="宋体" w:hAnsi="宋体" w:cs="宋体"/>
          <w:color w:val="auto"/>
          <w:highlight w:val="none"/>
        </w:rPr>
      </w:pPr>
      <w:r/>
      <w:bookmarkStart w:id="101" w:name="_Toc107246230"/>
      <w:r>
        <w:rPr>
          <w:rFonts w:hint="eastAsia" w:ascii="宋体" w:hAnsi="宋体" w:cs="宋体"/>
          <w:color w:val="auto"/>
          <w:highlight w:val="none"/>
        </w:rPr>
        <w:t xml:space="preserve">二．招标文件</w:t>
      </w:r>
      <w:bookmarkEnd w:id="63"/>
      <w:r/>
      <w:bookmarkEnd w:id="101"/>
      <w:r/>
      <w:r/>
    </w:p>
    <w:p>
      <w:pPr>
        <w:pStyle w:val="812"/>
        <w:ind w:left="0" w:right="210" w:firstLine="373"/>
        <w:spacing w:line="360" w:lineRule="auto"/>
        <w:rPr>
          <w:rFonts w:hint="eastAsia" w:ascii="宋体" w:hAnsi="宋体" w:cs="宋体"/>
          <w:color w:val="auto"/>
          <w:highlight w:val="none"/>
        </w:rPr>
      </w:pPr>
      <w:r/>
      <w:bookmarkStart w:id="102" w:name="_Toc96347871"/>
      <w:r/>
      <w:bookmarkStart w:id="103" w:name="_Toc104560854"/>
      <w:r/>
      <w:bookmarkStart w:id="104" w:name="_Toc107246231"/>
      <w:r/>
      <w:bookmarkStart w:id="105" w:name="_Toc100905217"/>
      <w:r/>
      <w:bookmarkStart w:id="106" w:name="_Toc103848540"/>
      <w:r>
        <w:rPr>
          <w:rFonts w:hint="eastAsia" w:ascii="宋体" w:hAnsi="宋体" w:cs="宋体"/>
          <w:color w:val="auto"/>
          <w:highlight w:val="none"/>
        </w:rPr>
        <w:t xml:space="preserve">16.招标文件的构成</w:t>
      </w:r>
      <w:bookmarkEnd w:id="102"/>
      <w:r/>
      <w:bookmarkEnd w:id="103"/>
      <w:r/>
      <w:bookmarkEnd w:id="104"/>
      <w:r/>
      <w:bookmarkEnd w:id="105"/>
      <w:r/>
      <w:bookmarkEnd w:id="10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7"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7"/>
      <w:r/>
      <w:r/>
    </w:p>
    <w:p>
      <w:pPr>
        <w:pStyle w:val="812"/>
        <w:ind w:left="0" w:right="210" w:firstLine="373"/>
        <w:spacing w:line="360" w:lineRule="auto"/>
        <w:rPr>
          <w:rFonts w:hint="eastAsia" w:ascii="宋体" w:hAnsi="宋体" w:cs="宋体"/>
          <w:color w:val="auto"/>
          <w:highlight w:val="none"/>
        </w:rPr>
      </w:pPr>
      <w:r/>
      <w:bookmarkStart w:id="108" w:name="_Toc107246232"/>
      <w:r/>
      <w:bookmarkStart w:id="109" w:name="_Toc100905218"/>
      <w:r/>
      <w:bookmarkStart w:id="110" w:name="_Toc96347873"/>
      <w:r/>
      <w:bookmarkStart w:id="111" w:name="_Toc103848541"/>
      <w:r/>
      <w:bookmarkStart w:id="112" w:name="_Toc104560855"/>
      <w:r>
        <w:rPr>
          <w:rFonts w:hint="eastAsia" w:ascii="宋体" w:hAnsi="宋体" w:cs="宋体"/>
          <w:color w:val="auto"/>
          <w:highlight w:val="none"/>
        </w:rPr>
        <w:t xml:space="preserve">17.招标文件的澄清或者修改</w:t>
      </w:r>
      <w:bookmarkEnd w:id="108"/>
      <w:r/>
      <w:bookmarkEnd w:id="109"/>
      <w:r/>
      <w:bookmarkEnd w:id="110"/>
      <w:r/>
      <w:bookmarkEnd w:id="111"/>
      <w:r/>
      <w:bookmarkEnd w:id="112"/>
      <w:r/>
      <w:r/>
    </w:p>
    <w:p>
      <w:pPr>
        <w:ind w:firstLine="420"/>
        <w:spacing w:line="360" w:lineRule="auto"/>
        <w:rPr>
          <w:rFonts w:hint="eastAsia" w:ascii="宋体" w:hAnsi="宋体" w:cs="宋体"/>
          <w:color w:val="auto"/>
          <w:szCs w:val="21"/>
          <w:highlight w:val="none"/>
        </w:rPr>
      </w:pPr>
      <w:r/>
      <w:bookmarkStart w:id="113"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13"/>
      <w:r/>
      <w:r/>
    </w:p>
    <w:p>
      <w:pPr>
        <w:pStyle w:val="812"/>
        <w:ind w:left="0" w:right="210" w:firstLine="373"/>
        <w:spacing w:line="360" w:lineRule="auto"/>
        <w:rPr>
          <w:rFonts w:hint="eastAsia" w:ascii="宋体" w:hAnsi="宋体" w:cs="宋体"/>
          <w:color w:val="auto"/>
          <w:highlight w:val="none"/>
        </w:rPr>
      </w:pPr>
      <w:r/>
      <w:bookmarkStart w:id="114" w:name="_Toc104560856"/>
      <w:r/>
      <w:bookmarkStart w:id="115" w:name="_Toc107246233"/>
      <w:r/>
      <w:bookmarkStart w:id="116" w:name="_Toc91836558"/>
      <w:r/>
      <w:bookmarkStart w:id="117" w:name="_Toc80264708"/>
      <w:r>
        <w:rPr>
          <w:rFonts w:hint="eastAsia" w:ascii="宋体" w:hAnsi="宋体" w:cs="宋体"/>
          <w:color w:val="auto"/>
          <w:highlight w:val="none"/>
        </w:rPr>
        <w:t xml:space="preserve">三．投标文件</w:t>
      </w:r>
      <w:bookmarkEnd w:id="114"/>
      <w:r/>
      <w:bookmarkEnd w:id="115"/>
      <w:r/>
      <w:bookmarkEnd w:id="116"/>
      <w:r/>
      <w:r/>
    </w:p>
    <w:p>
      <w:pPr>
        <w:pStyle w:val="812"/>
        <w:ind w:left="0" w:right="210" w:firstLine="373"/>
        <w:spacing w:line="360" w:lineRule="auto"/>
        <w:rPr>
          <w:rFonts w:hint="eastAsia" w:ascii="宋体" w:hAnsi="宋体" w:cs="宋体"/>
          <w:color w:val="auto"/>
          <w:highlight w:val="none"/>
        </w:rPr>
      </w:pPr>
      <w:r/>
      <w:bookmarkStart w:id="118" w:name="_Toc103848543"/>
      <w:r/>
      <w:bookmarkStart w:id="119" w:name="_Toc107246234"/>
      <w:r/>
      <w:bookmarkStart w:id="120" w:name="_Toc104560857"/>
      <w:r/>
      <w:bookmarkStart w:id="121" w:name="_Toc100905221"/>
      <w:r/>
      <w:bookmarkStart w:id="122" w:name="_Toc96347875"/>
      <w:r>
        <w:rPr>
          <w:rFonts w:hint="eastAsia" w:ascii="宋体" w:hAnsi="宋体" w:cs="宋体"/>
          <w:color w:val="auto"/>
          <w:highlight w:val="none"/>
        </w:rPr>
        <w:t xml:space="preserve">18.投标文件的组成</w:t>
      </w:r>
      <w:bookmarkEnd w:id="118"/>
      <w:r/>
      <w:bookmarkEnd w:id="119"/>
      <w:r/>
      <w:bookmarkEnd w:id="12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（13）投标人参加远程异地开标仪式须知（如需），格式见附件。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（3）投标人售后服务承诺（如需）。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812"/>
        <w:ind w:left="0" w:right="210" w:firstLine="373"/>
        <w:spacing w:line="360" w:lineRule="auto"/>
        <w:rPr>
          <w:rFonts w:hint="eastAsia" w:ascii="宋体" w:hAnsi="宋体" w:cs="宋体"/>
          <w:color w:val="auto"/>
          <w:szCs w:val="21"/>
          <w:highlight w:val="none"/>
        </w:rPr>
      </w:pPr>
      <w:r/>
      <w:bookmarkStart w:id="123" w:name="_Toc107246235"/>
      <w:r/>
      <w:bookmarkStart w:id="124" w:name="_Toc104560858"/>
      <w:r>
        <w:rPr>
          <w:rFonts w:hint="eastAsia" w:ascii="宋体" w:hAnsi="宋体" w:cs="宋体"/>
          <w:color w:val="auto"/>
          <w:highlight w:val="none"/>
        </w:rPr>
        <w:t xml:space="preserve">19.投标文件编制的原则</w:t>
      </w:r>
      <w:bookmarkEnd w:id="123"/>
      <w:r/>
      <w:bookmarkEnd w:id="124"/>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812"/>
        <w:ind w:left="0" w:right="210" w:firstLine="373"/>
        <w:spacing w:line="360" w:lineRule="auto"/>
        <w:rPr>
          <w:rFonts w:hint="eastAsia" w:ascii="宋体" w:hAnsi="宋体" w:cs="宋体"/>
          <w:color w:val="auto"/>
          <w:szCs w:val="21"/>
          <w:highlight w:val="none"/>
        </w:rPr>
      </w:pPr>
      <w:r/>
      <w:bookmarkStart w:id="125" w:name="_Toc107246236"/>
      <w:r>
        <w:rPr>
          <w:rFonts w:hint="eastAsia" w:ascii="宋体" w:hAnsi="宋体" w:cs="宋体"/>
          <w:color w:val="auto"/>
          <w:highlight w:val="none"/>
        </w:rPr>
        <w:t xml:space="preserve">20.投标报价</w:t>
      </w:r>
      <w:bookmarkEnd w:id="12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21"/>
      <w:r/>
      <w:bookmarkEnd w:id="122"/>
      <w:r/>
      <w:r/>
    </w:p>
    <w:p>
      <w:pPr>
        <w:pStyle w:val="812"/>
        <w:ind w:left="0" w:right="210" w:firstLine="373"/>
        <w:spacing w:line="360" w:lineRule="auto"/>
        <w:rPr>
          <w:rFonts w:hint="eastAsia" w:ascii="宋体" w:hAnsi="宋体" w:cs="宋体"/>
          <w:color w:val="auto"/>
          <w:highlight w:val="none"/>
        </w:rPr>
      </w:pPr>
      <w:r/>
      <w:bookmarkStart w:id="126" w:name="_Toc100905224"/>
      <w:r/>
      <w:bookmarkStart w:id="127" w:name="_Toc104560859"/>
      <w:r/>
      <w:bookmarkStart w:id="128" w:name="_Toc103848545"/>
      <w:r/>
      <w:bookmarkStart w:id="129" w:name="_Toc107246237"/>
      <w:r/>
      <w:bookmarkStart w:id="130" w:name="_Toc103848544"/>
      <w:r/>
      <w:bookmarkStart w:id="131" w:name="_Toc96347878"/>
      <w:r/>
      <w:bookmarkStart w:id="132" w:name="_Toc100905223"/>
      <w:r>
        <w:rPr>
          <w:rFonts w:hint="eastAsia" w:ascii="宋体" w:hAnsi="宋体" w:cs="宋体"/>
          <w:color w:val="auto"/>
          <w:highlight w:val="none"/>
        </w:rPr>
        <w:t xml:space="preserve">21.投标有效期</w:t>
      </w:r>
      <w:bookmarkEnd w:id="126"/>
      <w:r/>
      <w:bookmarkEnd w:id="127"/>
      <w:r/>
      <w:bookmarkEnd w:id="128"/>
      <w:r/>
      <w:bookmarkEnd w:id="129"/>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12"/>
        <w:ind w:left="0" w:right="210" w:firstLine="373"/>
        <w:spacing w:line="360" w:lineRule="auto"/>
        <w:rPr>
          <w:rFonts w:hint="eastAsia" w:ascii="宋体" w:hAnsi="宋体" w:cs="宋体"/>
          <w:color w:val="auto"/>
          <w:highlight w:val="none"/>
        </w:rPr>
      </w:pPr>
      <w:r/>
      <w:bookmarkStart w:id="133" w:name="_Toc107246238"/>
      <w:r/>
      <w:bookmarkStart w:id="134" w:name="_Toc104560860"/>
      <w:r>
        <w:rPr>
          <w:rFonts w:hint="eastAsia" w:ascii="宋体" w:hAnsi="宋体" w:cs="宋体"/>
          <w:color w:val="auto"/>
          <w:highlight w:val="none"/>
        </w:rPr>
        <w:t xml:space="preserve">22.投标保证金</w:t>
      </w:r>
      <w:bookmarkEnd w:id="130"/>
      <w:r/>
      <w:bookmarkEnd w:id="131"/>
      <w:r/>
      <w:bookmarkEnd w:id="132"/>
      <w:r/>
      <w:bookmarkEnd w:id="133"/>
      <w:r/>
      <w:bookmarkEnd w:id="134"/>
      <w:r/>
      <w:r/>
    </w:p>
    <w:p>
      <w:pPr>
        <w:ind w:firstLine="420"/>
        <w:spacing w:line="360" w:lineRule="auto"/>
        <w:rPr>
          <w:rFonts w:hint="eastAsia" w:ascii="宋体" w:hAnsi="宋体" w:cs="宋体"/>
          <w:bCs/>
          <w:color w:val="auto"/>
          <w:szCs w:val="21"/>
          <w:highlight w:val="none"/>
        </w:rPr>
      </w:pPr>
      <w:r/>
      <w:bookmarkStart w:id="135" w:name="_Toc68159552"/>
      <w:r/>
      <w:bookmarkStart w:id="136" w:name="_Toc519241651"/>
      <w:r/>
      <w:bookmarkStart w:id="137" w:name="_Toc420657357"/>
      <w:r/>
      <w:bookmarkStart w:id="138" w:name="_Toc420487862"/>
      <w:r/>
      <w:bookmarkStart w:id="139" w:name="_Toc96347879"/>
      <w:r/>
      <w:bookmarkStart w:id="140"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eastAsia" w:ascii="宋体" w:hAnsi="宋体" w:cs="宋体"/>
          <w:color w:val="auto"/>
          <w:szCs w:val="21"/>
          <w:highlight w:val="none"/>
        </w:rPr>
      </w:pPr>
      <w:r/>
      <w:bookmarkStart w:id="141" w:name="_Toc103848546"/>
      <w:r/>
      <w:bookmarkStart w:id="142" w:name="_Toc100905225"/>
      <w:r/>
      <w:bookmarkStart w:id="143" w:name="_Toc104560861"/>
      <w:r/>
      <w:bookmarkStart w:id="144" w:name="_Toc96347880"/>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812"/>
        <w:ind w:left="0" w:right="210" w:firstLine="373"/>
        <w:spacing w:line="360" w:lineRule="auto"/>
        <w:rPr>
          <w:rFonts w:hint="eastAsia" w:ascii="宋体" w:hAnsi="宋体" w:cs="宋体"/>
          <w:color w:val="auto"/>
          <w:highlight w:val="none"/>
        </w:rPr>
      </w:pPr>
      <w:r/>
      <w:bookmarkStart w:id="145" w:name="_Toc107246239"/>
      <w:r>
        <w:rPr>
          <w:rFonts w:hint="eastAsia" w:ascii="宋体" w:hAnsi="宋体" w:cs="宋体"/>
          <w:color w:val="auto"/>
          <w:highlight w:val="none"/>
        </w:rPr>
        <w:t xml:space="preserve">23.投标文件的制作和签署</w:t>
      </w:r>
      <w:bookmarkEnd w:id="141"/>
      <w:r/>
      <w:bookmarkEnd w:id="142"/>
      <w:r/>
      <w:bookmarkEnd w:id="143"/>
      <w:r/>
      <w:bookmarkEnd w:id="144"/>
      <w:r/>
      <w:bookmarkEnd w:id="145"/>
      <w:r/>
      <w:r/>
    </w:p>
    <w:p>
      <w:pPr>
        <w:ind w:firstLine="420"/>
        <w:spacing w:before="156" w:after="40" w:line="360" w:lineRule="auto"/>
        <w:rPr>
          <w:rFonts w:ascii="Microsoft New Tai Lue" w:hAnsi="Microsoft New Tai Lue" w:cs="Microsoft New Tai Lue"/>
          <w:bCs/>
          <w:color w:val="auto"/>
          <w:szCs w:val="21"/>
          <w:highlight w:val="none"/>
        </w:rPr>
      </w:pPr>
      <w:r/>
      <w:bookmarkStart w:id="146" w:name="_Toc107246240"/>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812"/>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四．投标文件的递交</w:t>
      </w:r>
      <w:bookmarkEnd w:id="146"/>
      <w:r/>
      <w:r/>
    </w:p>
    <w:p>
      <w:pPr>
        <w:pStyle w:val="812"/>
        <w:ind w:left="0" w:right="210" w:firstLine="373"/>
        <w:spacing w:line="360" w:lineRule="auto"/>
        <w:rPr>
          <w:rFonts w:ascii="Microsoft New Tai Lue" w:hAnsi="Microsoft New Tai Lue" w:cs="Microsoft New Tai Lue"/>
          <w:color w:val="auto"/>
          <w:szCs w:val="21"/>
          <w:highlight w:val="none"/>
        </w:rPr>
      </w:pPr>
      <w:r/>
      <w:bookmarkStart w:id="147" w:name="_Toc100905226"/>
      <w:r/>
      <w:bookmarkStart w:id="148" w:name="_Toc103848548"/>
      <w:r/>
      <w:bookmarkStart w:id="149" w:name="_Toc96347881"/>
      <w:r/>
      <w:bookmarkStart w:id="150" w:name="_Toc107246241"/>
      <w:r/>
      <w:bookmarkStart w:id="151" w:name="_Toc104560863"/>
      <w:r>
        <w:rPr>
          <w:rFonts w:hint="eastAsia" w:ascii="宋体" w:hAnsi="宋体" w:cs="宋体"/>
          <w:color w:val="auto"/>
          <w:highlight w:val="none"/>
        </w:rPr>
        <w:t xml:space="preserve">24.</w:t>
      </w:r>
      <w:bookmarkEnd w:id="147"/>
      <w:r/>
      <w:bookmarkEnd w:id="148"/>
      <w:r/>
      <w:bookmarkEnd w:id="149"/>
      <w:r/>
      <w:bookmarkEnd w:id="150"/>
      <w:r/>
      <w:bookmarkEnd w:id="151"/>
      <w:r>
        <w:rPr>
          <w:rFonts w:hint="eastAsia" w:ascii="Microsoft New Tai Lue" w:hAnsi="Microsoft New Tai Lue" w:cs="Microsoft New Tai Lue"/>
          <w:bCs w:val="0"/>
          <w:color w:val="auto"/>
          <w:szCs w:val="21"/>
          <w:highlight w:val="none"/>
        </w:rPr>
        <w:t xml:space="preserve">投标文件的递交</w:t>
      </w:r>
      <w:bookmarkStart w:id="152" w:name="_Toc91399404"/>
      <w:r/>
      <w:bookmarkStart w:id="153" w:name="_Toc89586904"/>
      <w:r/>
      <w:bookmarkStart w:id="154" w:name="_Toc19963"/>
      <w:r/>
      <w:bookmarkStart w:id="155" w:name="_Toc4536"/>
      <w:r/>
      <w:bookmarkStart w:id="156" w:name="_Toc97561941"/>
      <w:r/>
      <w:bookmarkStart w:id="157" w:name="_Toc469850063"/>
      <w:r/>
      <w:bookmarkStart w:id="158" w:name="_Toc96347882"/>
      <w:r/>
      <w:bookmarkStart w:id="159" w:name="_Toc46939510"/>
      <w:r/>
      <w:bookmarkStart w:id="160" w:name="_Toc11952"/>
      <w:r/>
      <w:bookmarkStart w:id="161" w:name="_Toc50528805"/>
      <w:r/>
      <w:bookmarkStart w:id="162" w:name="_Toc48151397"/>
      <w:r/>
      <w:bookmarkStart w:id="163" w:name="_Toc51928343"/>
      <w:r/>
      <w:bookmarkStart w:id="164" w:name="_Toc38931614"/>
      <w:r/>
      <w:bookmarkStart w:id="165" w:name="_Toc38933357"/>
      <w:r/>
      <w:bookmarkStart w:id="166" w:name="_Toc5042"/>
      <w:r/>
      <w:bookmarkStart w:id="167" w:name="_Toc103848549"/>
      <w:r/>
      <w:bookmarkStart w:id="168" w:name="_Toc46960670"/>
      <w:r/>
      <w:bookmarkStart w:id="169" w:name="_Toc40202948"/>
      <w:r/>
      <w:bookmarkStart w:id="170" w:name="_Toc11464"/>
      <w:r/>
      <w:bookmarkStart w:id="171" w:name="_Toc46219699"/>
      <w:r/>
      <w:bookmarkStart w:id="172" w:name="_Toc100905227"/>
      <w:r/>
      <w:bookmarkStart w:id="173" w:name="_Toc38931800"/>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812"/>
        <w:ind w:left="0" w:right="210" w:firstLine="373"/>
        <w:spacing w:line="360" w:lineRule="auto"/>
        <w:rPr>
          <w:rFonts w:hint="eastAsia" w:ascii="宋体" w:hAnsi="宋体" w:cs="宋体"/>
          <w:color w:val="auto"/>
          <w:highlight w:val="none"/>
        </w:rPr>
      </w:pPr>
      <w:r/>
      <w:bookmarkStart w:id="174" w:name="_Toc107246242"/>
      <w:r/>
      <w:bookmarkStart w:id="175" w:name="_Toc104560864"/>
      <w:r>
        <w:rPr>
          <w:rFonts w:hint="eastAsia" w:ascii="宋体" w:hAnsi="宋体" w:cs="宋体"/>
          <w:color w:val="auto"/>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auto"/>
          <w:highlight w:val="none"/>
        </w:rPr>
        <w:t xml:space="preserve">投标文件解密</w:t>
      </w:r>
      <w:r/>
    </w:p>
    <w:p>
      <w:pPr>
        <w:ind w:firstLine="420"/>
        <w:spacing w:line="360" w:lineRule="auto"/>
        <w:rPr>
          <w:rFonts w:ascii="Microsoft New Tai Lue" w:hAnsi="Microsoft New Tai Lue" w:cs="Microsoft New Tai Lue"/>
          <w:bCs/>
          <w:color w:val="auto"/>
          <w:szCs w:val="21"/>
          <w:highlight w:val="none"/>
          <w:lang w:val="zh-CN"/>
        </w:rPr>
      </w:pPr>
      <w:r/>
      <w:bookmarkStart w:id="176"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812"/>
        <w:ind w:left="0" w:right="210" w:firstLine="373"/>
        <w:spacing w:line="360" w:lineRule="auto"/>
        <w:rPr>
          <w:rFonts w:hint="eastAsia" w:ascii="宋体" w:hAnsi="宋体" w:cs="宋体"/>
          <w:color w:val="auto"/>
          <w:highlight w:val="none"/>
        </w:rPr>
      </w:pPr>
      <w:r/>
      <w:bookmarkStart w:id="177" w:name="_Toc104560865"/>
      <w:r/>
      <w:bookmarkStart w:id="178" w:name="_Toc103848550"/>
      <w:r/>
      <w:bookmarkStart w:id="179" w:name="_Toc107246243"/>
      <w:r/>
      <w:bookmarkStart w:id="180" w:name="_Toc100905228"/>
      <w:r>
        <w:rPr>
          <w:rFonts w:hint="eastAsia" w:ascii="宋体" w:hAnsi="宋体" w:cs="宋体"/>
          <w:color w:val="auto"/>
          <w:highlight w:val="none"/>
        </w:rPr>
        <w:t xml:space="preserve">26.投标文件的修改和撤回</w:t>
      </w:r>
      <w:bookmarkEnd w:id="117"/>
      <w:r/>
      <w:bookmarkEnd w:id="176"/>
      <w:r/>
      <w:bookmarkEnd w:id="177"/>
      <w:r/>
      <w:bookmarkEnd w:id="178"/>
      <w:r/>
      <w:bookmarkEnd w:id="179"/>
      <w:r/>
      <w:bookmarkEnd w:id="180"/>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181"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812"/>
        <w:ind w:left="0" w:right="210" w:firstLine="373"/>
        <w:spacing w:line="360" w:lineRule="auto"/>
        <w:rPr>
          <w:rFonts w:hint="eastAsia" w:ascii="宋体" w:hAnsi="宋体" w:cs="宋体"/>
          <w:color w:val="auto"/>
          <w:highlight w:val="none"/>
        </w:rPr>
      </w:pPr>
      <w:r/>
      <w:bookmarkStart w:id="182" w:name="_Toc103848551"/>
      <w:r/>
      <w:bookmarkStart w:id="183" w:name="_Toc104560866"/>
      <w:r/>
      <w:bookmarkStart w:id="184" w:name="_Toc107246244"/>
      <w:r>
        <w:rPr>
          <w:rFonts w:hint="eastAsia" w:ascii="宋体" w:hAnsi="宋体" w:cs="宋体"/>
          <w:color w:val="auto"/>
          <w:highlight w:val="none"/>
        </w:rPr>
        <w:t xml:space="preserve">27.诚实信用</w:t>
      </w:r>
      <w:bookmarkEnd w:id="182"/>
      <w:r/>
      <w:bookmarkEnd w:id="183"/>
      <w:r/>
      <w:bookmarkEnd w:id="1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812"/>
        <w:ind w:left="0" w:right="210" w:firstLine="373"/>
        <w:spacing w:line="360" w:lineRule="auto"/>
        <w:rPr>
          <w:rFonts w:hint="eastAsia" w:ascii="宋体" w:hAnsi="宋体" w:cs="宋体"/>
          <w:color w:val="auto"/>
          <w:highlight w:val="none"/>
        </w:rPr>
      </w:pPr>
      <w:r/>
      <w:bookmarkStart w:id="185" w:name="_Toc107246245"/>
      <w:r>
        <w:rPr>
          <w:rFonts w:hint="eastAsia" w:ascii="宋体" w:hAnsi="宋体" w:cs="宋体"/>
          <w:color w:val="auto"/>
          <w:highlight w:val="none"/>
        </w:rPr>
        <w:t xml:space="preserve">五．开标和评标</w:t>
      </w:r>
      <w:bookmarkEnd w:id="185"/>
      <w:r/>
      <w:bookmarkStart w:id="186" w:name="_Toc96347885"/>
      <w:r/>
      <w:r/>
    </w:p>
    <w:p>
      <w:pPr>
        <w:pStyle w:val="812"/>
        <w:ind w:left="0" w:right="210" w:firstLine="373"/>
        <w:spacing w:line="360" w:lineRule="auto"/>
        <w:rPr>
          <w:rFonts w:hint="eastAsia" w:ascii="宋体" w:hAnsi="宋体" w:cs="宋体"/>
          <w:color w:val="auto"/>
          <w:highlight w:val="none"/>
        </w:rPr>
      </w:pPr>
      <w:r/>
      <w:bookmarkStart w:id="187" w:name="_Toc100905230"/>
      <w:r/>
      <w:bookmarkStart w:id="188" w:name="_Toc103848553"/>
      <w:r/>
      <w:bookmarkStart w:id="189" w:name="_Toc107246246"/>
      <w:r/>
      <w:bookmarkStart w:id="190" w:name="_Toc104560868"/>
      <w:r>
        <w:rPr>
          <w:rFonts w:hint="eastAsia" w:ascii="宋体" w:hAnsi="宋体" w:cs="宋体"/>
          <w:color w:val="auto"/>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highlight w:val="none"/>
        </w:rPr>
      </w:pPr>
      <w:r/>
      <w:bookmarkStart w:id="191" w:name="_Toc107246247"/>
      <w:r/>
      <w:bookmarkStart w:id="192"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812"/>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29.资格性审查</w:t>
      </w:r>
      <w:bookmarkEnd w:id="191"/>
      <w:r/>
      <w:r/>
    </w:p>
    <w:p>
      <w:pPr>
        <w:ind w:firstLine="420"/>
        <w:spacing w:line="360" w:lineRule="auto"/>
        <w:rPr>
          <w:rFonts w:hint="eastAsia" w:ascii="宋体" w:hAnsi="宋体" w:cs="宋体"/>
          <w:bCs/>
          <w:color w:val="auto"/>
          <w:szCs w:val="21"/>
          <w:highlight w:val="none"/>
        </w:rPr>
      </w:pPr>
      <w:r/>
      <w:bookmarkStart w:id="193" w:name="_Toc104560869"/>
      <w:r/>
      <w:bookmarkStart w:id="194" w:name="_Toc103848554"/>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812"/>
        <w:ind w:left="0" w:right="210" w:firstLine="373"/>
        <w:spacing w:line="360" w:lineRule="auto"/>
        <w:rPr>
          <w:rFonts w:hint="eastAsia" w:ascii="宋体" w:hAnsi="宋体" w:cs="宋体"/>
          <w:color w:val="auto"/>
          <w:highlight w:val="none"/>
        </w:rPr>
      </w:pPr>
      <w:r/>
      <w:bookmarkStart w:id="195" w:name="_Toc107246248"/>
      <w:r>
        <w:rPr>
          <w:rFonts w:hint="eastAsia" w:ascii="宋体" w:hAnsi="宋体" w:cs="宋体"/>
          <w:color w:val="auto"/>
          <w:highlight w:val="none"/>
        </w:rPr>
        <w:t xml:space="preserve">30.评标</w:t>
      </w:r>
      <w:bookmarkEnd w:id="193"/>
      <w:r/>
      <w:bookmarkEnd w:id="194"/>
      <w:r/>
      <w:bookmarkEnd w:id="195"/>
      <w:r/>
      <w:r/>
    </w:p>
    <w:p>
      <w:pPr>
        <w:pStyle w:val="812"/>
        <w:ind w:left="0" w:right="210" w:firstLine="373"/>
        <w:spacing w:line="360" w:lineRule="auto"/>
        <w:rPr>
          <w:rFonts w:hint="eastAsia" w:ascii="宋体" w:hAnsi="宋体" w:cs="宋体"/>
          <w:color w:val="auto"/>
          <w:highlight w:val="none"/>
        </w:rPr>
      </w:pPr>
      <w:r/>
      <w:bookmarkStart w:id="196" w:name="_Toc107246249"/>
      <w:r/>
      <w:bookmarkStart w:id="197" w:name="_Toc104560870"/>
      <w:r/>
      <w:bookmarkStart w:id="198" w:name="_Toc103848555"/>
      <w:r>
        <w:rPr>
          <w:rFonts w:hint="eastAsia" w:ascii="宋体" w:hAnsi="宋体" w:cs="宋体"/>
          <w:color w:val="auto"/>
          <w:highlight w:val="none"/>
        </w:rPr>
        <w:t xml:space="preserve">30.1评标委员会</w:t>
      </w:r>
      <w:bookmarkEnd w:id="196"/>
      <w:r/>
      <w:bookmarkEnd w:id="197"/>
      <w:r/>
      <w:bookmarkEnd w:id="19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812"/>
        <w:ind w:left="0" w:right="210" w:firstLine="373"/>
        <w:spacing w:line="360" w:lineRule="auto"/>
        <w:rPr>
          <w:rFonts w:hint="eastAsia" w:ascii="宋体" w:hAnsi="宋体" w:cs="宋体"/>
          <w:color w:val="auto"/>
          <w:highlight w:val="none"/>
        </w:rPr>
      </w:pPr>
      <w:r/>
      <w:bookmarkStart w:id="199" w:name="_Toc104560871"/>
      <w:r/>
      <w:bookmarkStart w:id="200" w:name="_Toc103848556"/>
      <w:r/>
      <w:bookmarkStart w:id="201" w:name="_Toc107246250"/>
      <w:r>
        <w:rPr>
          <w:rFonts w:hint="eastAsia" w:ascii="宋体" w:hAnsi="宋体" w:cs="宋体"/>
          <w:color w:val="auto"/>
          <w:highlight w:val="none"/>
        </w:rPr>
        <w:t xml:space="preserve">30.2</w:t>
      </w:r>
      <w:bookmarkEnd w:id="199"/>
      <w:r/>
      <w:bookmarkEnd w:id="200"/>
      <w:r>
        <w:rPr>
          <w:rFonts w:hint="eastAsia" w:ascii="宋体" w:hAnsi="宋体" w:cs="宋体"/>
          <w:color w:val="auto"/>
          <w:highlight w:val="none"/>
        </w:rPr>
        <w:t xml:space="preserve">符合性审查</w:t>
      </w:r>
      <w:bookmarkEnd w:id="20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highlight w:val="none"/>
        </w:rPr>
      </w:pPr>
      <w:r/>
      <w:bookmarkStart w:id="202" w:name="_Toc103848557"/>
      <w:r/>
      <w:bookmarkStart w:id="203" w:name="_Toc104560872"/>
      <w:r/>
      <w:bookmarkStart w:id="204" w:name="_Toc107246251"/>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812"/>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30.3投标文件澄清</w:t>
      </w:r>
      <w:bookmarkEnd w:id="202"/>
      <w:r/>
      <w:bookmarkEnd w:id="203"/>
      <w:r/>
      <w:bookmarkEnd w:id="20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812"/>
        <w:ind w:left="0" w:right="210" w:firstLine="373"/>
        <w:spacing w:line="360" w:lineRule="auto"/>
        <w:rPr>
          <w:rFonts w:hint="eastAsia" w:ascii="宋体" w:hAnsi="宋体" w:cs="宋体"/>
          <w:color w:val="auto"/>
          <w:highlight w:val="none"/>
        </w:rPr>
      </w:pPr>
      <w:r/>
      <w:bookmarkStart w:id="205" w:name="_Toc107246252"/>
      <w:r>
        <w:rPr>
          <w:rFonts w:hint="eastAsia" w:ascii="宋体" w:hAnsi="宋体" w:cs="宋体"/>
          <w:color w:val="auto"/>
          <w:highlight w:val="none"/>
        </w:rPr>
        <w:t xml:space="preserve">30.4</w:t>
      </w:r>
      <w:bookmarkEnd w:id="205"/>
      <w:r>
        <w:rPr>
          <w:rFonts w:hint="eastAsia" w:ascii="宋体" w:hAnsi="宋体" w:cs="宋体"/>
          <w:color w:val="auto"/>
          <w:highlight w:val="none"/>
        </w:rPr>
        <w:t xml:space="preserve">报价修正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812"/>
        <w:ind w:left="0" w:right="210" w:firstLine="373"/>
        <w:spacing w:line="360" w:lineRule="auto"/>
        <w:rPr>
          <w:rFonts w:hint="eastAsia" w:ascii="宋体" w:hAnsi="宋体" w:cs="宋体"/>
          <w:color w:val="auto"/>
          <w:highlight w:val="none"/>
        </w:rPr>
      </w:pPr>
      <w:r/>
      <w:bookmarkStart w:id="206" w:name="_Toc103848558"/>
      <w:r/>
      <w:bookmarkStart w:id="207" w:name="_Toc104560873"/>
      <w:r/>
      <w:bookmarkStart w:id="208" w:name="_Toc107246253"/>
      <w:r>
        <w:rPr>
          <w:rFonts w:hint="eastAsia" w:ascii="宋体" w:hAnsi="宋体" w:cs="宋体"/>
          <w:color w:val="auto"/>
          <w:highlight w:val="none"/>
        </w:rPr>
        <w:t xml:space="preserve">30.5同品牌多家投标人处理原则</w:t>
      </w:r>
      <w:bookmarkEnd w:id="206"/>
      <w:r/>
      <w:bookmarkEnd w:id="207"/>
      <w:r/>
      <w:bookmarkEnd w:id="20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812"/>
        <w:ind w:left="0" w:right="210" w:firstLine="373"/>
        <w:spacing w:line="360" w:lineRule="auto"/>
        <w:rPr>
          <w:rFonts w:hint="eastAsia" w:ascii="宋体" w:hAnsi="宋体" w:cs="宋体"/>
          <w:color w:val="auto"/>
          <w:highlight w:val="none"/>
        </w:rPr>
      </w:pPr>
      <w:r/>
      <w:bookmarkStart w:id="209" w:name="_Toc103848559"/>
      <w:r/>
      <w:bookmarkStart w:id="210" w:name="_Toc107246254"/>
      <w:r/>
      <w:bookmarkStart w:id="211" w:name="_Toc104560874"/>
      <w:r>
        <w:rPr>
          <w:rFonts w:hint="eastAsia" w:ascii="宋体" w:hAnsi="宋体" w:cs="宋体"/>
          <w:color w:val="auto"/>
          <w:highlight w:val="none"/>
        </w:rPr>
        <w:t xml:space="preserve">30.6比较与评价</w:t>
      </w:r>
      <w:bookmarkEnd w:id="209"/>
      <w:r/>
      <w:bookmarkEnd w:id="210"/>
      <w:r/>
      <w:bookmarkEnd w:id="21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812"/>
        <w:ind w:left="0" w:right="210" w:firstLine="373"/>
        <w:spacing w:line="360" w:lineRule="auto"/>
        <w:rPr>
          <w:rFonts w:hint="eastAsia" w:ascii="宋体" w:hAnsi="宋体" w:cs="宋体"/>
          <w:color w:val="auto"/>
          <w:highlight w:val="none"/>
        </w:rPr>
      </w:pPr>
      <w:r/>
      <w:bookmarkStart w:id="212" w:name="_Toc107246255"/>
      <w:r>
        <w:rPr>
          <w:rFonts w:hint="eastAsia" w:ascii="宋体" w:hAnsi="宋体" w:cs="宋体"/>
          <w:color w:val="auto"/>
          <w:highlight w:val="none"/>
        </w:rPr>
        <w:t xml:space="preserve">30.7编写评标报告</w:t>
      </w:r>
      <w:bookmarkEnd w:id="21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812"/>
        <w:ind w:left="0" w:right="210" w:firstLine="373"/>
        <w:spacing w:line="360" w:lineRule="auto"/>
        <w:tabs>
          <w:tab w:val="left" w:pos="5882" w:leader="none"/>
        </w:tabs>
        <w:rPr>
          <w:rFonts w:hint="eastAsia" w:ascii="宋体" w:hAnsi="宋体" w:cs="宋体"/>
          <w:color w:val="auto"/>
          <w:highlight w:val="none"/>
        </w:rPr>
      </w:pPr>
      <w:r/>
      <w:bookmarkStart w:id="213" w:name="_Toc107246256"/>
      <w:r/>
      <w:bookmarkStart w:id="214" w:name="_Toc103848561"/>
      <w:r/>
      <w:bookmarkStart w:id="215" w:name="_Toc104560876"/>
      <w:r>
        <w:rPr>
          <w:rFonts w:hint="eastAsia" w:ascii="宋体" w:hAnsi="宋体" w:cs="宋体"/>
          <w:color w:val="auto"/>
          <w:highlight w:val="none"/>
        </w:rPr>
        <w:t xml:space="preserve">30.8评标过程的保密</w:t>
      </w:r>
      <w:bookmarkEnd w:id="213"/>
      <w:r/>
      <w:bookmarkEnd w:id="214"/>
      <w:r/>
      <w:bookmarkEnd w:id="215"/>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812"/>
        <w:ind w:left="0" w:right="210" w:firstLine="373"/>
        <w:spacing w:line="360" w:lineRule="auto"/>
        <w:rPr>
          <w:rFonts w:hint="eastAsia" w:ascii="宋体" w:hAnsi="宋体" w:cs="宋体"/>
          <w:color w:val="auto"/>
          <w:highlight w:val="none"/>
        </w:rPr>
      </w:pPr>
      <w:r/>
      <w:bookmarkStart w:id="216" w:name="_Toc107246257"/>
      <w:r>
        <w:rPr>
          <w:rFonts w:hint="eastAsia" w:ascii="宋体" w:hAnsi="宋体" w:cs="宋体"/>
          <w:color w:val="auto"/>
          <w:highlight w:val="none"/>
        </w:rPr>
        <w:t xml:space="preserve">六．确定中标</w:t>
      </w:r>
      <w:bookmarkEnd w:id="216"/>
      <w:r/>
      <w:r/>
    </w:p>
    <w:p>
      <w:pPr>
        <w:pStyle w:val="812"/>
        <w:ind w:left="0" w:right="210" w:firstLine="373"/>
        <w:spacing w:line="360" w:lineRule="auto"/>
        <w:rPr>
          <w:rFonts w:hint="eastAsia" w:ascii="宋体" w:hAnsi="宋体" w:cs="宋体"/>
          <w:color w:val="auto"/>
          <w:highlight w:val="none"/>
        </w:rPr>
      </w:pPr>
      <w:r/>
      <w:bookmarkStart w:id="217" w:name="_Toc104560878"/>
      <w:r/>
      <w:bookmarkStart w:id="218" w:name="_Toc103848563"/>
      <w:r/>
      <w:bookmarkStart w:id="219" w:name="_Toc107246258"/>
      <w:r>
        <w:rPr>
          <w:rFonts w:hint="eastAsia" w:ascii="宋体" w:hAnsi="宋体" w:cs="宋体"/>
          <w:color w:val="auto"/>
          <w:highlight w:val="none"/>
        </w:rPr>
        <w:t xml:space="preserve">31.确定中标</w:t>
      </w:r>
      <w:bookmarkEnd w:id="217"/>
      <w:r/>
      <w:bookmarkEnd w:id="218"/>
      <w:r>
        <w:rPr>
          <w:rFonts w:hint="eastAsia" w:ascii="宋体" w:hAnsi="宋体" w:cs="宋体"/>
          <w:color w:val="auto"/>
          <w:highlight w:val="none"/>
        </w:rPr>
        <w:t xml:space="preserve">人</w:t>
      </w:r>
      <w:bookmarkEnd w:id="21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20" w:name="_Toc103848564"/>
      <w:r/>
      <w:bookmarkStart w:id="221" w:name="_Toc104560879"/>
      <w:r/>
      <w:bookmarkStart w:id="222" w:name="_Toc10724625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12"/>
        <w:ind w:left="0" w:right="210" w:firstLine="373"/>
        <w:spacing w:line="360" w:lineRule="auto"/>
        <w:rPr>
          <w:rFonts w:hint="eastAsia" w:ascii="宋体" w:hAnsi="宋体" w:cs="宋体"/>
          <w:color w:val="auto"/>
          <w:highlight w:val="none"/>
        </w:rPr>
      </w:pPr>
      <w:r>
        <w:rPr>
          <w:rFonts w:hint="eastAsia" w:ascii="宋体" w:hAnsi="宋体" w:cs="宋体"/>
          <w:color w:val="auto"/>
          <w:highlight w:val="none"/>
        </w:rPr>
        <w:t xml:space="preserve">32.中标通知书</w:t>
      </w:r>
      <w:bookmarkEnd w:id="220"/>
      <w:r/>
      <w:bookmarkEnd w:id="221"/>
      <w:r/>
      <w:bookmarkEnd w:id="22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3" w:name="_Toc104560875"/>
      <w:r/>
      <w:bookmarkStart w:id="224"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812"/>
        <w:ind w:left="0" w:right="210" w:firstLine="373"/>
        <w:spacing w:line="360" w:lineRule="auto"/>
        <w:rPr>
          <w:rFonts w:hint="eastAsia" w:ascii="宋体" w:hAnsi="宋体" w:cs="宋体"/>
          <w:color w:val="auto"/>
          <w:highlight w:val="none"/>
        </w:rPr>
      </w:pPr>
      <w:r/>
      <w:bookmarkStart w:id="225" w:name="_Toc107246260"/>
      <w:r>
        <w:rPr>
          <w:rFonts w:hint="eastAsia" w:ascii="宋体" w:hAnsi="宋体" w:cs="宋体"/>
          <w:color w:val="auto"/>
          <w:highlight w:val="none"/>
        </w:rPr>
        <w:t xml:space="preserve">33.废标</w:t>
      </w:r>
      <w:bookmarkEnd w:id="223"/>
      <w:r/>
      <w:bookmarkEnd w:id="224"/>
      <w:r/>
      <w:bookmarkEnd w:id="225"/>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812"/>
        <w:ind w:left="0" w:right="210" w:firstLine="373"/>
        <w:spacing w:line="360" w:lineRule="auto"/>
        <w:rPr>
          <w:rFonts w:hint="eastAsia" w:ascii="宋体" w:hAnsi="宋体" w:cs="宋体"/>
          <w:color w:val="auto"/>
          <w:highlight w:val="none"/>
        </w:rPr>
      </w:pPr>
      <w:r/>
      <w:bookmarkStart w:id="226" w:name="_Toc104560880"/>
      <w:r/>
      <w:bookmarkStart w:id="227" w:name="_Toc103848565"/>
      <w:r/>
      <w:bookmarkStart w:id="228" w:name="_Toc107246261"/>
      <w:r/>
      <w:bookmarkStart w:id="229" w:name="_Toc513029237"/>
      <w:r/>
      <w:bookmarkStart w:id="230" w:name="_Toc20823309"/>
      <w:r/>
      <w:bookmarkStart w:id="231" w:name="_Toc16938553"/>
      <w:r>
        <w:rPr>
          <w:rFonts w:hint="eastAsia" w:ascii="宋体" w:hAnsi="宋体" w:cs="宋体"/>
          <w:color w:val="auto"/>
          <w:highlight w:val="none"/>
        </w:rPr>
        <w:t xml:space="preserve">34.签订合同</w:t>
      </w:r>
      <w:bookmarkEnd w:id="226"/>
      <w:r/>
      <w:bookmarkEnd w:id="227"/>
      <w:r/>
      <w:bookmarkEnd w:id="22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12"/>
        <w:ind w:left="0" w:right="210" w:firstLine="373"/>
        <w:spacing w:line="360" w:lineRule="auto"/>
        <w:rPr>
          <w:rFonts w:hint="eastAsia" w:ascii="宋体" w:hAnsi="宋体" w:cs="宋体"/>
          <w:color w:val="auto"/>
          <w:szCs w:val="21"/>
          <w:highlight w:val="none"/>
        </w:rPr>
      </w:pPr>
      <w:r/>
      <w:bookmarkStart w:id="232" w:name="_Toc104560881"/>
      <w:r/>
      <w:bookmarkStart w:id="233" w:name="_Toc107246262"/>
      <w:r/>
      <w:bookmarkStart w:id="234" w:name="_Toc103848567"/>
      <w:r>
        <w:rPr>
          <w:rFonts w:hint="eastAsia" w:ascii="宋体" w:hAnsi="宋体" w:cs="宋体"/>
          <w:color w:val="auto"/>
          <w:szCs w:val="21"/>
          <w:highlight w:val="none"/>
        </w:rPr>
        <w:t xml:space="preserve">35.履约保证金</w:t>
      </w:r>
      <w:bookmarkEnd w:id="232"/>
      <w:r/>
      <w:bookmarkEnd w:id="233"/>
      <w:r/>
      <w:bookmarkEnd w:id="23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29"/>
      <w:r/>
      <w:bookmarkEnd w:id="230"/>
      <w:r/>
      <w:bookmarkEnd w:id="231"/>
      <w:r/>
      <w:r/>
    </w:p>
    <w:p>
      <w:pPr>
        <w:pStyle w:val="812"/>
        <w:ind w:left="0" w:right="210" w:firstLine="373"/>
        <w:spacing w:line="360" w:lineRule="auto"/>
        <w:rPr>
          <w:rFonts w:hint="eastAsia" w:ascii="宋体" w:hAnsi="宋体" w:cs="宋体"/>
          <w:color w:val="auto"/>
          <w:highlight w:val="none"/>
        </w:rPr>
      </w:pPr>
      <w:r/>
      <w:bookmarkStart w:id="235" w:name="_Toc107246263"/>
      <w:r>
        <w:rPr>
          <w:rFonts w:hint="eastAsia" w:ascii="宋体" w:hAnsi="宋体" w:cs="宋体"/>
          <w:color w:val="auto"/>
          <w:highlight w:val="none"/>
        </w:rPr>
        <w:t xml:space="preserve">七．</w:t>
      </w:r>
      <w:bookmarkStart w:id="236" w:name="_Toc103848569"/>
      <w:r>
        <w:rPr>
          <w:rFonts w:hint="eastAsia" w:ascii="宋体" w:hAnsi="宋体" w:cs="宋体"/>
          <w:color w:val="auto"/>
          <w:highlight w:val="none"/>
        </w:rPr>
        <w:t xml:space="preserve">询问与质疑</w:t>
      </w:r>
      <w:bookmarkEnd w:id="235"/>
      <w:r/>
      <w:bookmarkEnd w:id="236"/>
      <w:r/>
      <w:r/>
    </w:p>
    <w:p>
      <w:pPr>
        <w:pStyle w:val="812"/>
        <w:ind w:left="0" w:right="210" w:firstLine="373"/>
        <w:spacing w:line="360" w:lineRule="auto"/>
        <w:rPr>
          <w:rFonts w:hint="eastAsia" w:ascii="宋体" w:hAnsi="宋体" w:cs="宋体"/>
          <w:color w:val="auto"/>
          <w:szCs w:val="21"/>
          <w:highlight w:val="none"/>
        </w:rPr>
      </w:pPr>
      <w:r/>
      <w:bookmarkStart w:id="237" w:name="_Toc104560883"/>
      <w:r/>
      <w:bookmarkStart w:id="238" w:name="_Toc107246264"/>
      <w:r/>
      <w:bookmarkStart w:id="239" w:name="_Toc102117305"/>
      <w:r>
        <w:rPr>
          <w:rFonts w:hint="eastAsia" w:ascii="宋体" w:hAnsi="宋体" w:cs="宋体"/>
          <w:color w:val="auto"/>
          <w:szCs w:val="21"/>
          <w:highlight w:val="none"/>
        </w:rPr>
        <w:t xml:space="preserve">36.询问</w:t>
      </w:r>
      <w:bookmarkEnd w:id="237"/>
      <w:r/>
      <w:bookmarkEnd w:id="238"/>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812"/>
        <w:ind w:left="0" w:right="210" w:firstLine="373"/>
        <w:spacing w:line="360" w:lineRule="auto"/>
        <w:rPr>
          <w:rFonts w:hint="eastAsia" w:ascii="宋体" w:hAnsi="宋体" w:cs="宋体"/>
          <w:color w:val="auto"/>
          <w:szCs w:val="21"/>
          <w:highlight w:val="none"/>
        </w:rPr>
      </w:pPr>
      <w:r/>
      <w:bookmarkStart w:id="240" w:name="_Toc102117306"/>
      <w:r/>
      <w:bookmarkStart w:id="241" w:name="_Toc107246265"/>
      <w:r/>
      <w:bookmarkStart w:id="242" w:name="_Toc104560884"/>
      <w:r>
        <w:rPr>
          <w:rFonts w:hint="eastAsia" w:ascii="宋体" w:hAnsi="宋体" w:cs="宋体"/>
          <w:color w:val="auto"/>
          <w:szCs w:val="21"/>
          <w:highlight w:val="none"/>
        </w:rPr>
        <w:t xml:space="preserve">37.质疑</w:t>
      </w:r>
      <w:bookmarkEnd w:id="240"/>
      <w:r/>
      <w:bookmarkEnd w:id="241"/>
      <w:r/>
      <w:bookmarkEnd w:id="24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812"/>
        <w:ind w:left="0" w:right="210" w:firstLine="373"/>
        <w:spacing w:line="360" w:lineRule="auto"/>
        <w:rPr>
          <w:rFonts w:hint="eastAsia" w:ascii="宋体" w:hAnsi="宋体" w:cs="宋体"/>
          <w:color w:val="auto"/>
          <w:highlight w:val="none"/>
        </w:rPr>
      </w:pPr>
      <w:r/>
      <w:bookmarkStart w:id="243" w:name="_Toc107246266"/>
      <w:r>
        <w:rPr>
          <w:rFonts w:hint="eastAsia" w:ascii="宋体" w:hAnsi="宋体" w:cs="宋体"/>
          <w:color w:val="auto"/>
          <w:highlight w:val="none"/>
        </w:rPr>
        <w:t xml:space="preserve">八．其他</w:t>
      </w:r>
      <w:bookmarkEnd w:id="243"/>
      <w:r/>
      <w:r/>
    </w:p>
    <w:p>
      <w:pPr>
        <w:pStyle w:val="812"/>
        <w:ind w:left="0" w:right="210" w:firstLine="373"/>
        <w:spacing w:line="360" w:lineRule="auto"/>
        <w:rPr>
          <w:rFonts w:hint="eastAsia" w:ascii="宋体" w:hAnsi="宋体" w:cs="宋体"/>
          <w:color w:val="auto"/>
          <w:szCs w:val="21"/>
          <w:highlight w:val="none"/>
        </w:rPr>
      </w:pPr>
      <w:r/>
      <w:bookmarkStart w:id="244" w:name="_Toc107246267"/>
      <w:r/>
      <w:bookmarkStart w:id="245" w:name="_Toc104560886"/>
      <w:r/>
      <w:bookmarkStart w:id="246" w:name="_Toc103848572"/>
      <w:r>
        <w:rPr>
          <w:rFonts w:hint="eastAsia" w:ascii="宋体" w:hAnsi="宋体" w:cs="宋体"/>
          <w:color w:val="auto"/>
          <w:szCs w:val="21"/>
          <w:highlight w:val="none"/>
        </w:rPr>
        <w:t xml:space="preserve">38.招标代理服务费</w:t>
      </w:r>
      <w:bookmarkEnd w:id="244"/>
      <w:r/>
      <w:bookmarkEnd w:id="245"/>
      <w:r/>
      <w:bookmarkEnd w:id="24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812"/>
        <w:ind w:left="0" w:right="210" w:firstLine="373"/>
        <w:spacing w:line="360" w:lineRule="auto"/>
        <w:rPr>
          <w:rFonts w:hint="eastAsia" w:ascii="宋体" w:hAnsi="宋体" w:cs="宋体"/>
          <w:color w:val="auto"/>
          <w:szCs w:val="21"/>
          <w:highlight w:val="none"/>
        </w:rPr>
      </w:pPr>
      <w:r/>
      <w:bookmarkStart w:id="247" w:name="_Toc104560887"/>
      <w:r/>
      <w:bookmarkStart w:id="248" w:name="_Toc103848573"/>
      <w:r/>
      <w:bookmarkStart w:id="249" w:name="_Toc107246268"/>
      <w:r>
        <w:rPr>
          <w:rFonts w:hint="eastAsia" w:ascii="宋体" w:hAnsi="宋体" w:cs="宋体"/>
          <w:color w:val="auto"/>
          <w:szCs w:val="21"/>
          <w:highlight w:val="none"/>
        </w:rPr>
        <w:t xml:space="preserve">39.其他规定</w:t>
      </w:r>
      <w:bookmarkEnd w:id="247"/>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812"/>
        <w:ind w:left="0" w:right="210" w:firstLine="373"/>
        <w:spacing w:line="360" w:lineRule="auto"/>
        <w:rPr>
          <w:rFonts w:hint="eastAsia" w:ascii="宋体" w:hAnsi="宋体" w:cs="宋体"/>
          <w:color w:val="auto"/>
          <w:szCs w:val="21"/>
          <w:highlight w:val="none"/>
        </w:rPr>
      </w:pPr>
      <w:r/>
      <w:bookmarkStart w:id="250" w:name="_Toc107246269"/>
      <w:r/>
      <w:bookmarkStart w:id="251" w:name="_Toc104560888"/>
      <w:r/>
      <w:bookmarkStart w:id="252" w:name="_Toc103848574"/>
      <w:r>
        <w:rPr>
          <w:rFonts w:hint="eastAsia" w:ascii="宋体" w:hAnsi="宋体" w:cs="宋体"/>
          <w:color w:val="auto"/>
          <w:szCs w:val="21"/>
          <w:highlight w:val="none"/>
        </w:rPr>
        <w:t xml:space="preserve">40.文件解释权</w:t>
      </w:r>
      <w:bookmarkEnd w:id="250"/>
      <w:r/>
      <w:bookmarkEnd w:id="251"/>
      <w:r/>
      <w:bookmarkEnd w:id="25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181"/>
      <w:r/>
      <w:r/>
    </w:p>
    <w:p>
      <w:pPr>
        <w:pStyle w:val="885"/>
        <w:numPr>
          <w:ilvl w:val="0"/>
          <w:numId w:val="3"/>
        </w:numPr>
        <w:ind w:firstLine="567"/>
        <w:rPr>
          <w:rFonts w:hint="eastAsia" w:ascii="宋体" w:hAnsi="宋体" w:cs="宋体"/>
          <w:color w:val="auto"/>
          <w:highlight w:val="none"/>
        </w:rPr>
      </w:pPr>
      <w:r/>
      <w:bookmarkStart w:id="253" w:name="_Toc91836563"/>
      <w:r>
        <w:rPr>
          <w:rFonts w:hint="eastAsia" w:ascii="宋体" w:hAnsi="宋体" w:cs="宋体"/>
          <w:color w:val="auto"/>
          <w:highlight w:val="none"/>
        </w:rPr>
        <w:br w:type="page" w:clear="all"/>
      </w:r>
      <w:bookmarkStart w:id="254" w:name="_Toc107246270"/>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政府采购合同条款</w:t>
      </w:r>
      <w:bookmarkEnd w:id="253"/>
      <w:r>
        <w:rPr>
          <w:rFonts w:hint="eastAsia" w:ascii="宋体" w:hAnsi="宋体" w:cs="宋体"/>
          <w:color w:val="auto"/>
          <w:highlight w:val="none"/>
        </w:rPr>
        <w:t xml:space="preserve">及格式</w:t>
      </w:r>
      <w:bookmarkEnd w:id="254"/>
      <w:r/>
      <w:r/>
    </w:p>
    <w:p>
      <w:pPr>
        <w:jc w:val="center"/>
        <w:rPr>
          <w:rFonts w:hint="default" w:eastAsia="宋体"/>
          <w:color w:val="auto"/>
          <w:highlight w:val="none"/>
          <w:lang w:val="en-US"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仅供参考，以实际签订为准）</w:t>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ind w:firstLine="1560"/>
        <w:tabs>
          <w:tab w:val="left" w:pos="1770" w:leader="none"/>
        </w:tabs>
        <w:rPr>
          <w:rFonts w:eastAsia="黑体"/>
          <w:color w:val="auto"/>
          <w:sz w:val="48"/>
          <w:szCs w:val="48"/>
          <w:highlight w:val="none"/>
        </w:rPr>
      </w:pPr>
      <w:r>
        <w:rPr>
          <w:rFonts w:eastAsia="黑体"/>
          <w:color w:val="auto"/>
          <w:sz w:val="48"/>
          <w:szCs w:val="48"/>
          <w:highlight w:val="none"/>
        </w:rPr>
      </w:r>
      <w:r/>
    </w:p>
    <w:p>
      <w:pPr>
        <w:ind w:firstLine="1560"/>
        <w:tabs>
          <w:tab w:val="left" w:pos="1770" w:leader="none"/>
        </w:tabs>
        <w:rPr>
          <w:rFonts w:eastAsia="黑体"/>
          <w:color w:val="auto"/>
          <w:sz w:val="48"/>
          <w:szCs w:val="48"/>
          <w:highlight w:val="none"/>
        </w:rPr>
      </w:pPr>
      <w:r>
        <w:rPr>
          <w:rFonts w:eastAsia="黑体"/>
          <w:color w:val="auto"/>
          <w:sz w:val="48"/>
          <w:szCs w:val="48"/>
          <w:highlight w:val="none"/>
        </w:rPr>
      </w:r>
      <w:r/>
    </w:p>
    <w:p>
      <w:pPr>
        <w:jc w:val="center"/>
        <w:tabs>
          <w:tab w:val="left" w:pos="1770" w:leader="none"/>
        </w:tabs>
        <w:rPr>
          <w:rFonts w:hint="eastAsia" w:eastAsia="黑体"/>
          <w:color w:val="auto"/>
          <w:sz w:val="48"/>
          <w:szCs w:val="48"/>
          <w:highlight w:val="none"/>
          <w:lang w:eastAsia="zh-CN"/>
        </w:rPr>
      </w:pPr>
      <w:r>
        <w:rPr>
          <w:rFonts w:hint="eastAsia" w:eastAsia="黑体"/>
          <w:color w:val="auto"/>
          <w:sz w:val="48"/>
          <w:szCs w:val="48"/>
          <w:highlight w:val="none"/>
          <w:lang w:eastAsia="zh-CN"/>
        </w:rPr>
      </w:r>
      <w:r/>
    </w:p>
    <w:p>
      <w:pPr>
        <w:jc w:val="center"/>
        <w:tabs>
          <w:tab w:val="left" w:pos="1770" w:leader="none"/>
        </w:tabs>
        <w:rPr>
          <w:rFonts w:hint="eastAsia" w:ascii="Times New Roman" w:hAnsi="Times New Roman" w:eastAsia="黑体" w:cs="Times New Roman"/>
          <w:color w:val="auto"/>
          <w:sz w:val="48"/>
          <w:szCs w:val="48"/>
          <w:highlight w:val="none"/>
          <w:lang w:eastAsia="zh-CN"/>
        </w:rPr>
      </w:pPr>
      <w:r>
        <w:rPr>
          <w:rFonts w:hint="eastAsia" w:eastAsia="黑体" w:cs="Times New Roman"/>
          <w:color w:val="auto"/>
          <w:sz w:val="48"/>
          <w:szCs w:val="48"/>
          <w:highlight w:val="none"/>
          <w:lang w:eastAsia="zh-CN"/>
        </w:rPr>
        <w:t xml:space="preserve">江宁区卫健委下属单位视力筛查服务</w:t>
      </w:r>
      <w:r>
        <w:rPr>
          <w:rFonts w:hint="eastAsia" w:ascii="Times New Roman" w:hAnsi="Times New Roman" w:eastAsia="黑体" w:cs="Times New Roman"/>
          <w:color w:val="auto"/>
          <w:sz w:val="48"/>
          <w:szCs w:val="48"/>
          <w:highlight w:val="none"/>
          <w:lang w:eastAsia="zh-CN"/>
        </w:rPr>
        <w:t xml:space="preserve">合同</w:t>
      </w:r>
      <w:r/>
    </w:p>
    <w:p>
      <w:pPr>
        <w:jc w:val="center"/>
        <w:tabs>
          <w:tab w:val="left" w:pos="1770" w:leader="none"/>
        </w:tabs>
        <w:rPr>
          <w:rFonts w:hint="eastAsia" w:ascii="Times New Roman" w:hAnsi="Times New Roman" w:eastAsia="黑体" w:cs="Times New Roman"/>
          <w:color w:val="auto"/>
          <w:sz w:val="48"/>
          <w:szCs w:val="48"/>
          <w:highlight w:val="none"/>
          <w:lang w:eastAsia="zh-CN"/>
        </w:rPr>
      </w:pPr>
      <w:r>
        <w:rPr>
          <w:rFonts w:hint="eastAsia" w:ascii="Times New Roman" w:hAnsi="Times New Roman" w:eastAsia="黑体" w:cs="Times New Roman"/>
          <w:color w:val="auto"/>
          <w:sz w:val="48"/>
          <w:szCs w:val="48"/>
          <w:highlight w:val="none"/>
          <w:lang w:eastAsia="zh-CN"/>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firstLine="1785"/>
        <w:tabs>
          <w:tab w:val="left" w:pos="1770" w:leader="none"/>
        </w:tabs>
        <w:rPr>
          <w:color w:val="auto"/>
          <w:highlight w:val="none"/>
        </w:rPr>
      </w:pPr>
      <w:r>
        <w:rPr>
          <w:color w:val="auto"/>
          <w:highlight w:val="none"/>
        </w:rPr>
      </w:r>
      <w:r/>
    </w:p>
    <w:p>
      <w:pPr>
        <w:ind w:right="-512" w:firstLine="600"/>
        <w:keepLines w:val="0"/>
        <w:keepNext w:val="0"/>
        <w:pageBreakBefore w:val="0"/>
        <w:widowControl w:val="off"/>
        <w:tabs>
          <w:tab w:val="left" w:pos="1770" w:leader="none"/>
        </w:tabs>
        <w:rPr>
          <w:rFonts w:hint="eastAsia" w:eastAsia="黑体"/>
          <w:color w:val="auto"/>
          <w:sz w:val="30"/>
          <w:szCs w:val="30"/>
          <w:highlight w:val="none"/>
          <w:u w:val="single"/>
          <w:lang w:eastAsia="zh-CN"/>
        </w:rPr>
      </w:pPr>
      <w:r>
        <w:rPr>
          <w:rFonts w:hint="eastAsia" w:eastAsia="黑体"/>
          <w:color w:val="auto"/>
          <w:sz w:val="30"/>
          <w:szCs w:val="30"/>
          <w:highlight w:val="none"/>
        </w:rPr>
        <w:t xml:space="preserve">项目名称：</w:t>
      </w:r>
      <w:r>
        <w:rPr>
          <w:rFonts w:hint="eastAsia" w:eastAsia="黑体"/>
          <w:color w:val="auto"/>
          <w:sz w:val="30"/>
          <w:szCs w:val="30"/>
          <w:highlight w:val="none"/>
          <w:u w:val="single"/>
          <w:lang w:eastAsia="zh-CN"/>
        </w:rPr>
        <w:t xml:space="preserve">江宁区卫健委下属单位视力筛查服务</w:t>
      </w:r>
      <w:r/>
    </w:p>
    <w:p>
      <w:pPr>
        <w:ind w:firstLine="600"/>
        <w:keepLines w:val="0"/>
        <w:keepNext w:val="0"/>
        <w:pageBreakBefore w:val="0"/>
        <w:widowControl w:val="off"/>
        <w:tabs>
          <w:tab w:val="left" w:pos="1770" w:leader="none"/>
        </w:tabs>
        <w:rPr>
          <w:color w:val="auto"/>
          <w:sz w:val="30"/>
          <w:szCs w:val="30"/>
          <w:highlight w:val="none"/>
        </w:rPr>
      </w:pPr>
      <w:r>
        <w:rPr>
          <w:rFonts w:hint="eastAsia" w:eastAsia="黑体"/>
          <w:color w:val="auto"/>
          <w:sz w:val="30"/>
          <w:szCs w:val="30"/>
          <w:highlight w:val="none"/>
        </w:rPr>
        <w:t xml:space="preserve">使用单位：</w:t>
      </w:r>
      <w:r>
        <w:rPr>
          <w:rFonts w:hint="eastAsia" w:eastAsia="黑体"/>
          <w:color w:val="auto"/>
          <w:sz w:val="30"/>
          <w:szCs w:val="30"/>
          <w:highlight w:val="none"/>
          <w:u w:val="single"/>
          <w:lang w:eastAsia="zh-CN"/>
        </w:rPr>
        <w:t xml:space="preserve">南京市江宁区卫生健康委员会     </w:t>
      </w:r>
      <w:r>
        <w:rPr>
          <w:rFonts w:hint="eastAsia"/>
          <w:color w:val="auto"/>
          <w:sz w:val="30"/>
          <w:szCs w:val="30"/>
          <w:highlight w:val="none"/>
          <w:u w:val="single"/>
        </w:rPr>
        <w:t xml:space="preserve">      </w:t>
      </w:r>
      <w:r/>
    </w:p>
    <w:p>
      <w:pPr>
        <w:ind w:firstLine="600"/>
        <w:keepLines w:val="0"/>
        <w:keepNext w:val="0"/>
        <w:pageBreakBefore w:val="0"/>
        <w:widowControl w:val="off"/>
        <w:tabs>
          <w:tab w:val="left" w:pos="1770" w:leader="none"/>
        </w:tabs>
        <w:rPr>
          <w:color w:val="auto"/>
          <w:sz w:val="30"/>
          <w:szCs w:val="30"/>
          <w:highlight w:val="none"/>
        </w:rPr>
      </w:pPr>
      <w:r>
        <w:rPr>
          <w:rFonts w:hint="eastAsia" w:eastAsia="黑体"/>
          <w:color w:val="auto"/>
          <w:sz w:val="30"/>
          <w:szCs w:val="30"/>
          <w:highlight w:val="none"/>
        </w:rPr>
        <w:t xml:space="preserve">供货单位：</w:t>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eastAsia="黑体"/>
          <w:color w:val="auto"/>
          <w:sz w:val="30"/>
          <w:szCs w:val="30"/>
          <w:highlight w:val="none"/>
          <w:u w:val="single"/>
        </w:rPr>
        <w:tab/>
      </w:r>
      <w:r>
        <w:rPr>
          <w:rFonts w:hint="eastAsia"/>
          <w:color w:val="auto"/>
          <w:sz w:val="30"/>
          <w:szCs w:val="30"/>
          <w:highlight w:val="none"/>
          <w:u w:val="single"/>
        </w:rPr>
        <w:t xml:space="preserve">    </w:t>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tabs>
          <w:tab w:val="left" w:pos="1770" w:leader="none"/>
        </w:tabs>
        <w:rPr>
          <w:color w:val="auto"/>
          <w:highlight w:val="none"/>
        </w:rPr>
      </w:pPr>
      <w:r>
        <w:rPr>
          <w:color w:val="auto"/>
          <w:highlight w:val="none"/>
        </w:rPr>
      </w:r>
      <w:r/>
    </w:p>
    <w:p>
      <w:pPr>
        <w:rPr>
          <w:color w:val="auto"/>
          <w:highlight w:val="none"/>
        </w:rPr>
      </w:pPr>
      <w:r>
        <w:rPr>
          <w:color w:val="auto"/>
          <w:highlight w:val="none"/>
        </w:rPr>
        <w:br w:type="page" w:clear="all"/>
      </w:r>
      <w:r/>
    </w:p>
    <w:p>
      <w:pPr>
        <w:tabs>
          <w:tab w:val="left" w:pos="1770" w:leader="none"/>
        </w:tabs>
        <w:rPr>
          <w:color w:val="auto"/>
          <w:highlight w:val="none"/>
        </w:rPr>
      </w:pPr>
      <w:r>
        <w:rPr>
          <w:color w:val="auto"/>
          <w:highlight w:val="none"/>
        </w:rPr>
      </w:r>
      <w:r/>
    </w:p>
    <w:p>
      <w:pPr>
        <w:jc w:val="left"/>
        <w:spacing w:line="360" w:lineRule="auto"/>
        <w:rPr>
          <w:rFonts w:ascii="Arial" w:hAnsi="Arial" w:cs="Arial"/>
          <w:color w:val="auto"/>
          <w:highlight w:val="none"/>
          <w:u w:val="single"/>
        </w:rPr>
      </w:pPr>
      <w:r/>
      <w:bookmarkStart w:id="255" w:name="_Toc107246271"/>
      <w:r/>
      <w:bookmarkStart w:id="256" w:name="_Toc91836564"/>
      <w:r>
        <w:rPr>
          <w:rFonts w:ascii="Arial" w:hAnsi="Arial" w:cs="Arial"/>
          <w:b/>
          <w:color w:val="auto"/>
          <w:highlight w:val="none"/>
        </w:rPr>
        <w:t xml:space="preserve">甲方</w:t>
      </w:r>
      <w:r>
        <w:rPr>
          <w:rFonts w:ascii="Arial" w:hAnsi="Arial" w:cs="Arial"/>
          <w:color w:val="auto"/>
          <w:highlight w:val="none"/>
        </w:rPr>
        <w:t xml:space="preserve">：</w:t>
      </w:r>
      <w:r>
        <w:rPr>
          <w:rFonts w:hint="eastAsia" w:ascii="Arial" w:hAnsi="Arial" w:cs="Arial"/>
          <w:color w:val="auto"/>
          <w:highlight w:val="none"/>
          <w:lang w:val="en-US" w:eastAsia="zh-CN"/>
        </w:rPr>
        <w:t xml:space="preserve">南京市江宁区卫生健康委员会</w:t>
      </w:r>
      <w:r>
        <w:rPr>
          <w:rFonts w:ascii="Arial" w:hAnsi="Arial" w:cs="Arial"/>
          <w:b/>
          <w:color w:val="auto"/>
          <w:highlight w:val="none"/>
          <w:u w:val="single"/>
        </w:rPr>
        <w:t xml:space="preserve">                                </w:t>
      </w:r>
      <w:r/>
    </w:p>
    <w:p>
      <w:pPr>
        <w:jc w:val="left"/>
        <w:spacing w:line="360" w:lineRule="auto"/>
        <w:rPr>
          <w:rFonts w:ascii="Arial" w:hAnsi="Arial" w:cs="Arial"/>
          <w:b/>
          <w:color w:val="auto"/>
          <w:highlight w:val="none"/>
          <w:u w:val="single"/>
        </w:rPr>
      </w:pPr>
      <w:r>
        <w:rPr>
          <w:rFonts w:ascii="Arial" w:hAnsi="Arial" w:cs="Arial"/>
          <w:b/>
          <w:color w:val="auto"/>
          <w:highlight w:val="none"/>
        </w:rPr>
        <w:t xml:space="preserve">乙方</w:t>
      </w:r>
      <w:r>
        <w:rPr>
          <w:rFonts w:ascii="Arial" w:hAnsi="Arial" w:cs="Arial"/>
          <w:color w:val="auto"/>
          <w:highlight w:val="none"/>
        </w:rPr>
        <w:t xml:space="preserve">：</w:t>
      </w:r>
      <w:r>
        <w:rPr>
          <w:rFonts w:hint="eastAsia" w:ascii="Arial" w:hAnsi="Arial" w:cs="Arial"/>
          <w:color w:val="auto"/>
          <w:highlight w:val="none"/>
        </w:rPr>
        <w:t xml:space="preserve">中标机构</w:t>
      </w:r>
      <w:r>
        <w:rPr>
          <w:rFonts w:ascii="Arial" w:hAnsi="Arial" w:cs="Arial"/>
          <w:b/>
          <w:color w:val="auto"/>
          <w:highlight w:val="none"/>
          <w:u w:val="single"/>
        </w:rPr>
        <w:t xml:space="preserve">                            </w:t>
      </w:r>
      <w:r/>
    </w:p>
    <w:p>
      <w:pPr>
        <w:jc w:val="left"/>
        <w:spacing w:line="360" w:lineRule="auto"/>
        <w:rPr>
          <w:rFonts w:ascii="Arial" w:hAnsi="Arial" w:cs="Arial"/>
          <w:color w:val="auto"/>
          <w:highlight w:val="none"/>
          <w:u w:val="single"/>
        </w:rPr>
      </w:pPr>
      <w:r>
        <w:rPr>
          <w:rFonts w:hint="eastAsia" w:ascii="Arial" w:hAnsi="Arial" w:cs="Arial"/>
          <w:b/>
          <w:color w:val="auto"/>
          <w:highlight w:val="none"/>
          <w:lang w:val="en-US" w:eastAsia="zh-CN"/>
        </w:rPr>
        <w:t xml:space="preserve">丙</w:t>
      </w:r>
      <w:r>
        <w:rPr>
          <w:rFonts w:ascii="Arial" w:hAnsi="Arial" w:cs="Arial"/>
          <w:b/>
          <w:color w:val="auto"/>
          <w:highlight w:val="none"/>
        </w:rPr>
        <w:t xml:space="preserve">方</w:t>
      </w:r>
      <w:r>
        <w:rPr>
          <w:rFonts w:ascii="Arial" w:hAnsi="Arial" w:cs="Arial"/>
          <w:color w:val="auto"/>
          <w:highlight w:val="none"/>
        </w:rPr>
        <w:t xml:space="preserve">：</w:t>
      </w:r>
      <w:r>
        <w:rPr>
          <w:rFonts w:hint="eastAsia" w:ascii="Arial" w:hAnsi="Arial" w:cs="Arial"/>
          <w:color w:val="auto"/>
          <w:highlight w:val="none"/>
        </w:rPr>
        <w:t xml:space="preserve">社区卫生服务中心 </w:t>
      </w:r>
      <w:r>
        <w:rPr>
          <w:rFonts w:ascii="Arial" w:hAnsi="Arial" w:cs="Arial"/>
          <w:b/>
          <w:color w:val="auto"/>
          <w:highlight w:val="none"/>
          <w:u w:val="single"/>
        </w:rPr>
        <w:t xml:space="preserve">                                </w:t>
      </w:r>
      <w:r/>
    </w:p>
    <w:p>
      <w:pPr>
        <w:jc w:val="left"/>
        <w:spacing w:line="360" w:lineRule="auto"/>
        <w:rPr>
          <w:rFonts w:ascii="Arial" w:hAnsi="Arial" w:cs="Arial"/>
          <w:color w:val="auto"/>
          <w:highlight w:val="none"/>
        </w:rPr>
      </w:pPr>
      <w:r>
        <w:rPr>
          <w:rFonts w:ascii="Arial" w:hAnsi="Arial" w:cs="Arial"/>
          <w:color w:val="auto"/>
          <w:highlight w:val="none"/>
        </w:rPr>
      </w:r>
      <w:r/>
    </w:p>
    <w:p>
      <w:pPr>
        <w:ind w:firstLine="480"/>
        <w:spacing w:line="360" w:lineRule="auto"/>
        <w:rPr>
          <w:rFonts w:ascii="Arial" w:hAnsi="Arial" w:cs="Arial"/>
          <w:color w:val="auto"/>
          <w:highlight w:val="none"/>
        </w:rPr>
      </w:pPr>
      <w:r>
        <w:rPr>
          <w:rFonts w:ascii="Arial" w:hAnsi="Arial" w:cs="Arial"/>
          <w:color w:val="auto"/>
          <w:highlight w:val="none"/>
        </w:rPr>
        <w:t xml:space="preserve">根据《中华人民共和国政府采购法》、《中华人民共和国</w:t>
      </w:r>
      <w:r>
        <w:rPr>
          <w:rFonts w:hint="eastAsia" w:ascii="Arial" w:hAnsi="Arial" w:cs="Arial"/>
          <w:color w:val="auto"/>
          <w:highlight w:val="none"/>
        </w:rPr>
        <w:t xml:space="preserve">民法典</w:t>
      </w:r>
      <w:r>
        <w:rPr>
          <w:rFonts w:ascii="Arial" w:hAnsi="Arial" w:cs="Arial"/>
          <w:color w:val="auto"/>
          <w:highlight w:val="none"/>
        </w:rPr>
        <w:t xml:space="preserve">》等法律、法规规定，按照</w:t>
      </w:r>
      <w:r>
        <w:rPr>
          <w:rFonts w:ascii="Arial" w:hAnsi="Arial" w:cs="Arial"/>
          <w:color w:val="auto"/>
          <w:highlight w:val="none"/>
          <w:u w:val="single"/>
        </w:rPr>
        <w:t xml:space="preserve"> 项目名称（招标编号：      ） </w:t>
      </w:r>
      <w:r>
        <w:rPr>
          <w:rFonts w:ascii="Arial" w:hAnsi="Arial" w:cs="Arial"/>
          <w:color w:val="auto"/>
          <w:highlight w:val="none"/>
        </w:rPr>
        <w:t xml:space="preserve">采购文件、投标（响应）文件规定条款和中标（成交）供应商承诺，甲方向乙方购置相关</w:t>
      </w:r>
      <w:r>
        <w:rPr>
          <w:rFonts w:hint="eastAsia" w:ascii="Arial" w:hAnsi="Arial" w:cs="Arial"/>
          <w:color w:val="auto"/>
          <w:highlight w:val="none"/>
        </w:rPr>
        <w:t xml:space="preserve">服务</w:t>
      </w:r>
      <w:r>
        <w:rPr>
          <w:rFonts w:ascii="Arial" w:hAnsi="Arial" w:cs="Arial"/>
          <w:color w:val="auto"/>
          <w:highlight w:val="none"/>
        </w:rPr>
        <w:t xml:space="preserve">，双方同意以下内容（包括合同附件A、</w:t>
      </w:r>
      <w:r>
        <w:rPr>
          <w:rFonts w:hint="eastAsia" w:ascii="Arial" w:hAnsi="Arial" w:cs="Arial"/>
          <w:color w:val="auto"/>
          <w:highlight w:val="none"/>
        </w:rPr>
        <w:t xml:space="preserve">合同</w:t>
      </w:r>
      <w:r>
        <w:rPr>
          <w:rFonts w:ascii="Arial" w:hAnsi="Arial" w:cs="Arial"/>
          <w:color w:val="auto"/>
          <w:highlight w:val="none"/>
        </w:rPr>
        <w:t xml:space="preserve">附件B）。</w:t>
      </w:r>
      <w:r/>
    </w:p>
    <w:p>
      <w:pPr>
        <w:ind w:firstLine="480"/>
        <w:spacing w:line="360" w:lineRule="auto"/>
        <w:rPr>
          <w:rFonts w:ascii="Arial" w:hAnsi="Arial" w:cs="Arial"/>
          <w:b/>
          <w:color w:val="auto"/>
          <w:highlight w:val="none"/>
        </w:rPr>
      </w:pPr>
      <w:r>
        <w:rPr>
          <w:rFonts w:ascii="Arial" w:hAnsi="Arial" w:cs="Arial"/>
          <w:b/>
          <w:color w:val="auto"/>
          <w:highlight w:val="none"/>
        </w:rPr>
        <w:t xml:space="preserve">第一条　服务内容</w:t>
      </w:r>
      <w:r/>
    </w:p>
    <w:p>
      <w:pPr>
        <w:ind w:firstLine="480"/>
        <w:spacing w:line="360" w:lineRule="auto"/>
        <w:rPr>
          <w:rFonts w:ascii="Arial" w:hAnsi="Arial" w:cs="Arial"/>
          <w:color w:val="auto"/>
          <w:highlight w:val="none"/>
        </w:rPr>
      </w:pPr>
      <w:r>
        <w:rPr>
          <w:rFonts w:ascii="Arial" w:hAnsi="Arial" w:cs="Arial"/>
          <w:color w:val="auto"/>
          <w:highlight w:val="none"/>
        </w:rPr>
        <w:t xml:space="preserve">1、乙方所提供的服务必须与采购文件和承诺相一致。服务内容、时限、完成标准、服务费见合同附件A。</w:t>
      </w:r>
      <w:r/>
    </w:p>
    <w:p>
      <w:pPr>
        <w:ind w:firstLine="480"/>
        <w:spacing w:line="360" w:lineRule="auto"/>
        <w:rPr>
          <w:rFonts w:ascii="Arial" w:hAnsi="Arial" w:cs="Arial"/>
          <w:color w:val="auto"/>
          <w:highlight w:val="none"/>
        </w:rPr>
      </w:pPr>
      <w:r>
        <w:rPr>
          <w:rFonts w:ascii="Arial" w:hAnsi="Arial" w:cs="Arial"/>
          <w:color w:val="auto"/>
          <w:highlight w:val="none"/>
        </w:rPr>
        <w:t xml:space="preserve">2、如果乙方在工作中因自身过错而发生任何错误或遗漏，乙方应无条件更正，而不得向</w:t>
      </w:r>
      <w:r>
        <w:rPr>
          <w:rFonts w:hint="eastAsia" w:ascii="Arial" w:hAnsi="Arial" w:cs="Arial"/>
          <w:color w:val="auto"/>
          <w:highlight w:val="none"/>
          <w:lang w:val="en-US" w:eastAsia="zh-CN"/>
        </w:rPr>
        <w:t xml:space="preserve">丙</w:t>
      </w:r>
      <w:r>
        <w:rPr>
          <w:rFonts w:ascii="Arial" w:hAnsi="Arial" w:cs="Arial"/>
          <w:color w:val="auto"/>
          <w:highlight w:val="none"/>
        </w:rPr>
        <w:t xml:space="preserve">方另外收取服务费，并就因此而对</w:t>
      </w:r>
      <w:r>
        <w:rPr>
          <w:rFonts w:hint="eastAsia" w:ascii="Arial" w:hAnsi="Arial" w:cs="Arial"/>
          <w:color w:val="auto"/>
          <w:highlight w:val="none"/>
          <w:lang w:val="en-US" w:eastAsia="zh-CN"/>
        </w:rPr>
        <w:t xml:space="preserve">丙</w:t>
      </w:r>
      <w:r>
        <w:rPr>
          <w:rFonts w:ascii="Arial" w:hAnsi="Arial" w:cs="Arial"/>
          <w:color w:val="auto"/>
          <w:highlight w:val="none"/>
        </w:rPr>
        <w:t xml:space="preserve">方造成的损失承担赔偿责任，若因</w:t>
      </w:r>
      <w:r>
        <w:rPr>
          <w:rFonts w:hint="eastAsia" w:ascii="Arial" w:hAnsi="Arial" w:cs="Arial"/>
          <w:color w:val="auto"/>
          <w:highlight w:val="none"/>
          <w:lang w:val="en-US" w:eastAsia="zh-CN"/>
        </w:rPr>
        <w:t xml:space="preserve">丙</w:t>
      </w:r>
      <w:r>
        <w:rPr>
          <w:rFonts w:ascii="Arial" w:hAnsi="Arial" w:cs="Arial"/>
          <w:color w:val="auto"/>
          <w:highlight w:val="none"/>
        </w:rPr>
        <w:t xml:space="preserve">方原因造成工作的延误，将由</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方承担相应的损失。赔偿以合同附件A所载明的该项服务内容对应的服务费为限。</w:t>
      </w:r>
      <w:r/>
    </w:p>
    <w:p>
      <w:pPr>
        <w:ind w:firstLine="480"/>
        <w:spacing w:line="360" w:lineRule="auto"/>
        <w:rPr>
          <w:rFonts w:ascii="Arial" w:hAnsi="Arial" w:cs="Arial"/>
          <w:color w:val="auto"/>
          <w:highlight w:val="none"/>
        </w:rPr>
      </w:pPr>
      <w:r>
        <w:rPr>
          <w:rFonts w:ascii="Arial" w:hAnsi="Arial" w:cs="Arial"/>
          <w:color w:val="auto"/>
          <w:highlight w:val="none"/>
        </w:rPr>
        <w:t xml:space="preserve">3、乙方的服务承诺：</w:t>
      </w:r>
      <w:r/>
    </w:p>
    <w:p>
      <w:pPr>
        <w:ind w:firstLine="240"/>
        <w:spacing w:line="360" w:lineRule="auto"/>
        <w:rPr>
          <w:rFonts w:ascii="Arial" w:hAnsi="Arial" w:cs="Arial"/>
          <w:color w:val="auto"/>
          <w:highlight w:val="none"/>
        </w:rPr>
      </w:pPr>
      <w:r>
        <w:rPr>
          <w:rFonts w:ascii="Arial" w:hAnsi="Arial" w:cs="Arial"/>
          <w:color w:val="auto"/>
          <w:highlight w:val="none"/>
        </w:rPr>
        <w:t xml:space="preserve">（1）乙方接到</w:t>
      </w:r>
      <w:r>
        <w:rPr>
          <w:rFonts w:hint="eastAsia" w:ascii="Arial" w:hAnsi="Arial" w:cs="Arial"/>
          <w:color w:val="auto"/>
          <w:highlight w:val="none"/>
          <w:lang w:val="en-US" w:eastAsia="zh-CN"/>
        </w:rPr>
        <w:t xml:space="preserve">丙</w:t>
      </w:r>
      <w:r>
        <w:rPr>
          <w:rFonts w:ascii="Arial" w:hAnsi="Arial" w:cs="Arial"/>
          <w:color w:val="auto"/>
          <w:highlight w:val="none"/>
        </w:rPr>
        <w:t xml:space="preserve">方通过电话、信函传真、电子邮件、网上提交等方式提出关于附件A所列服务的请求后，在两个有效工作日内给予响应并提供服务。若乙方未予以响应，视为乙方认可</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方要求，乙方必须按照请求执行。</w:t>
      </w:r>
      <w:r/>
    </w:p>
    <w:p>
      <w:pPr>
        <w:ind w:firstLine="240"/>
        <w:spacing w:line="360" w:lineRule="auto"/>
        <w:rPr>
          <w:rFonts w:ascii="Arial" w:hAnsi="Arial" w:cs="Arial"/>
          <w:color w:val="auto"/>
          <w:highlight w:val="none"/>
        </w:rPr>
      </w:pPr>
      <w:r>
        <w:rPr>
          <w:rFonts w:ascii="Arial" w:hAnsi="Arial" w:cs="Arial"/>
          <w:color w:val="auto"/>
          <w:highlight w:val="none"/>
        </w:rPr>
        <w:t xml:space="preserve">（2）乙方提供给</w:t>
      </w:r>
      <w:r>
        <w:rPr>
          <w:rFonts w:hint="eastAsia" w:ascii="Arial" w:hAnsi="Arial" w:cs="Arial"/>
          <w:color w:val="auto"/>
          <w:highlight w:val="none"/>
          <w:lang w:val="en-US" w:eastAsia="zh-CN"/>
        </w:rPr>
        <w:t xml:space="preserve">丙</w:t>
      </w:r>
      <w:r>
        <w:rPr>
          <w:rFonts w:ascii="Arial" w:hAnsi="Arial" w:cs="Arial"/>
          <w:color w:val="auto"/>
          <w:highlight w:val="none"/>
        </w:rPr>
        <w:t xml:space="preserve">方的服务，必须按照合同附件A规定的标准进行。</w:t>
      </w:r>
      <w:r/>
    </w:p>
    <w:p>
      <w:pPr>
        <w:ind w:firstLine="480"/>
        <w:spacing w:line="360" w:lineRule="auto"/>
        <w:rPr>
          <w:rFonts w:ascii="Arial" w:hAnsi="Arial" w:cs="Arial"/>
          <w:color w:val="auto"/>
          <w:highlight w:val="none"/>
        </w:rPr>
      </w:pPr>
      <w:r>
        <w:rPr>
          <w:rFonts w:ascii="Arial" w:hAnsi="Arial" w:cs="Arial"/>
          <w:b/>
          <w:color w:val="auto"/>
          <w:highlight w:val="none"/>
        </w:rPr>
        <w:t xml:space="preserve">第二条　服务费及支付方式</w:t>
      </w:r>
      <w:r/>
    </w:p>
    <w:p>
      <w:pPr>
        <w:ind w:firstLine="480"/>
        <w:spacing w:line="360" w:lineRule="auto"/>
        <w:rPr>
          <w:rFonts w:ascii="Arial" w:hAnsi="Arial" w:cs="Arial"/>
          <w:color w:val="auto"/>
          <w:highlight w:val="none"/>
        </w:rPr>
      </w:pPr>
      <w:r>
        <w:rPr>
          <w:rFonts w:ascii="Arial" w:hAnsi="Arial" w:cs="Arial"/>
          <w:color w:val="auto"/>
          <w:highlight w:val="none"/>
        </w:rPr>
        <w:t xml:space="preserve">1、</w:t>
      </w:r>
      <w:r>
        <w:rPr>
          <w:rFonts w:hint="eastAsia" w:ascii="Arial" w:hAnsi="Arial" w:cs="Arial"/>
          <w:color w:val="auto"/>
          <w:highlight w:val="none"/>
        </w:rPr>
        <w:t xml:space="preserve">预计服务学生总人数为</w:t>
      </w:r>
      <w:r>
        <w:rPr>
          <w:rFonts w:ascii="Arial" w:hAnsi="Arial" w:cs="Arial"/>
          <w:color w:val="auto"/>
          <w:highlight w:val="none"/>
          <w:u w:val="single"/>
        </w:rPr>
        <w:t xml:space="preserve">      </w:t>
      </w:r>
      <w:r>
        <w:rPr>
          <w:rFonts w:hint="eastAsia" w:ascii="Arial" w:hAnsi="Arial" w:cs="Arial"/>
          <w:color w:val="auto"/>
          <w:highlight w:val="none"/>
        </w:rPr>
        <w:t xml:space="preserve">人，单价为</w:t>
      </w:r>
      <w:r>
        <w:rPr>
          <w:rFonts w:ascii="Arial" w:hAnsi="Arial" w:cs="Arial"/>
          <w:color w:val="auto"/>
          <w:highlight w:val="none"/>
          <w:u w:val="single"/>
        </w:rPr>
        <w:t xml:space="preserve">   </w:t>
      </w:r>
      <w:r>
        <w:rPr>
          <w:rFonts w:hint="eastAsia" w:ascii="Arial" w:hAnsi="Arial" w:cs="Arial"/>
          <w:color w:val="auto"/>
          <w:highlight w:val="none"/>
        </w:rPr>
        <w:t xml:space="preserve">元/人，总价款</w:t>
      </w:r>
      <w:r>
        <w:rPr>
          <w:rFonts w:ascii="Arial" w:hAnsi="Arial" w:cs="Arial"/>
          <w:color w:val="auto"/>
          <w:highlight w:val="none"/>
        </w:rPr>
        <w:t xml:space="preserve">为</w:t>
      </w:r>
      <w:r>
        <w:rPr>
          <w:rFonts w:ascii="Arial" w:hAnsi="Arial" w:cs="Arial"/>
          <w:color w:val="auto"/>
          <w:highlight w:val="none"/>
          <w:u w:val="single"/>
        </w:rPr>
        <w:t xml:space="preserve">       </w:t>
      </w:r>
      <w:r>
        <w:rPr>
          <w:rFonts w:ascii="Arial" w:hAnsi="Arial" w:cs="Arial"/>
          <w:color w:val="auto"/>
          <w:highlight w:val="none"/>
        </w:rPr>
        <w:t xml:space="preserve">元，大写</w:t>
      </w:r>
      <w:r>
        <w:rPr>
          <w:rFonts w:ascii="Arial" w:hAnsi="Arial" w:cs="Arial"/>
          <w:color w:val="auto"/>
          <w:highlight w:val="none"/>
          <w:u w:val="single"/>
        </w:rPr>
        <w:t xml:space="preserve">     </w:t>
      </w:r>
      <w:bookmarkStart w:id="257" w:name="_Hlk90906768"/>
      <w:r>
        <w:rPr>
          <w:rFonts w:ascii="Arial" w:hAnsi="Arial" w:cs="Arial"/>
          <w:color w:val="auto"/>
          <w:highlight w:val="none"/>
          <w:u w:val="single"/>
        </w:rPr>
        <w:t xml:space="preserve">        </w:t>
      </w:r>
      <w:bookmarkEnd w:id="257"/>
      <w:r>
        <w:rPr>
          <w:rFonts w:ascii="Arial" w:hAnsi="Arial" w:cs="Arial"/>
          <w:color w:val="auto"/>
          <w:highlight w:val="none"/>
          <w:u w:val="single"/>
        </w:rPr>
        <w:t xml:space="preserve">  </w:t>
      </w:r>
      <w:r>
        <w:rPr>
          <w:rFonts w:ascii="Arial" w:hAnsi="Arial" w:cs="Arial"/>
          <w:color w:val="auto"/>
          <w:highlight w:val="none"/>
        </w:rPr>
        <w:t xml:space="preserve">（人民币）</w:t>
      </w:r>
      <w:r>
        <w:rPr>
          <w:rFonts w:hint="eastAsia" w:ascii="Arial" w:hAnsi="Arial" w:cs="Arial"/>
          <w:color w:val="auto"/>
          <w:highlight w:val="none"/>
        </w:rPr>
        <w:t xml:space="preserve">：</w:t>
      </w:r>
      <w:r>
        <w:rPr>
          <w:rFonts w:ascii="Arial" w:hAnsi="Arial" w:cs="Arial"/>
          <w:color w:val="auto"/>
          <w:highlight w:val="none"/>
          <w:u w:val="single"/>
        </w:rPr>
        <w:t xml:space="preserve">    </w:t>
      </w:r>
      <w:r>
        <w:rPr>
          <w:rFonts w:hint="eastAsia" w:ascii="Arial" w:hAnsi="Arial" w:cs="Arial"/>
          <w:color w:val="auto"/>
          <w:highlight w:val="none"/>
          <w:u w:val="single"/>
        </w:rPr>
        <w:t xml:space="preserve">  </w:t>
      </w:r>
      <w:r>
        <w:rPr>
          <w:rFonts w:ascii="Arial" w:hAnsi="Arial" w:cs="Arial"/>
          <w:color w:val="auto"/>
          <w:highlight w:val="none"/>
          <w:u w:val="single"/>
        </w:rPr>
        <w:t xml:space="preserve">   </w:t>
      </w:r>
      <w:r>
        <w:rPr>
          <w:rFonts w:hint="eastAsia" w:ascii="Arial" w:hAnsi="Arial" w:cs="Arial"/>
          <w:color w:val="auto"/>
          <w:highlight w:val="none"/>
        </w:rPr>
        <w:t xml:space="preserve">（最终结算金额以实际监测人数为准）</w:t>
      </w:r>
      <w:r>
        <w:rPr>
          <w:rFonts w:ascii="Arial" w:hAnsi="Arial" w:cs="Arial"/>
          <w:color w:val="auto"/>
          <w:highlight w:val="none"/>
        </w:rPr>
        <w:t xml:space="preserve">。</w:t>
      </w:r>
      <w:r/>
    </w:p>
    <w:p>
      <w:pPr>
        <w:ind w:firstLine="480"/>
        <w:spacing w:line="360" w:lineRule="auto"/>
        <w:rPr>
          <w:rFonts w:ascii="Arial" w:hAnsi="Arial" w:cs="Arial"/>
          <w:color w:val="auto"/>
          <w:highlight w:val="none"/>
        </w:rPr>
      </w:pPr>
      <w:r>
        <w:rPr>
          <w:rFonts w:ascii="Arial" w:hAnsi="Arial" w:cs="Arial"/>
          <w:color w:val="auto"/>
          <w:highlight w:val="none"/>
        </w:rPr>
        <w:t xml:space="preserve">2、本合同约定服务费仅包含合同附件A中列明的工作。如果</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方要求扩大项目范围，或因</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方改变已经议定的项目内容导致乙方需重复进行项目步骤，对于增加工作部分，双方应及时协商，无论服务费是否发生变更，均需签署《项目变更补充合同》作为依据。</w:t>
      </w:r>
      <w:r/>
    </w:p>
    <w:p>
      <w:pPr>
        <w:ind w:firstLine="480"/>
        <w:spacing w:line="360" w:lineRule="auto"/>
        <w:rPr>
          <w:rFonts w:ascii="Arial" w:hAnsi="Arial" w:cs="Arial"/>
          <w:color w:val="auto"/>
          <w:highlight w:val="none"/>
        </w:rPr>
      </w:pPr>
      <w:r>
        <w:rPr>
          <w:rFonts w:ascii="Arial" w:hAnsi="Arial" w:cs="Arial"/>
          <w:color w:val="auto"/>
          <w:highlight w:val="none"/>
        </w:rPr>
        <w:t xml:space="preserve">3、乙</w:t>
      </w:r>
      <w:r>
        <w:rPr>
          <w:rFonts w:hint="eastAsia" w:ascii="Arial" w:hAnsi="Arial" w:cs="Arial"/>
          <w:color w:val="auto"/>
          <w:highlight w:val="none"/>
          <w:lang w:val="en-US" w:eastAsia="zh-CN"/>
        </w:rPr>
        <w:t xml:space="preserve">丙</w:t>
      </w:r>
      <w:r>
        <w:rPr>
          <w:rFonts w:ascii="Arial" w:hAnsi="Arial" w:cs="Arial"/>
          <w:color w:val="auto"/>
          <w:highlight w:val="none"/>
        </w:rPr>
        <w:t xml:space="preserve">双方一致同意项目服务费以人民币形式支付。</w:t>
      </w:r>
      <w:r>
        <w:rPr>
          <w:rFonts w:hint="eastAsia" w:ascii="Arial" w:hAnsi="Arial" w:cs="Arial"/>
          <w:color w:val="auto"/>
          <w:highlight w:val="none"/>
        </w:rPr>
        <w:t xml:space="preserve">乙方将在检测结束后 15 个工作日内出具所有检测结果，</w:t>
      </w:r>
      <w:r>
        <w:rPr>
          <w:rFonts w:hint="eastAsia" w:ascii="Arial" w:hAnsi="Arial" w:cs="Arial"/>
          <w:color w:val="auto"/>
          <w:highlight w:val="none"/>
          <w:lang w:val="en-US" w:eastAsia="zh-CN"/>
        </w:rPr>
        <w:t xml:space="preserve">丙</w:t>
      </w:r>
      <w:r>
        <w:rPr>
          <w:rFonts w:ascii="Arial" w:hAnsi="Arial" w:cs="Arial"/>
          <w:color w:val="auto"/>
          <w:highlight w:val="none"/>
        </w:rPr>
        <w:t xml:space="preserve">方</w:t>
      </w:r>
      <w:r>
        <w:rPr>
          <w:rFonts w:hint="eastAsia" w:ascii="Arial" w:hAnsi="Arial" w:cs="Arial"/>
          <w:color w:val="auto"/>
          <w:highlight w:val="none"/>
        </w:rPr>
        <w:t xml:space="preserve">对数据</w:t>
      </w:r>
      <w:r>
        <w:rPr>
          <w:rFonts w:ascii="Arial" w:hAnsi="Arial" w:cs="Arial"/>
          <w:color w:val="auto"/>
          <w:highlight w:val="none"/>
        </w:rPr>
        <w:t xml:space="preserve">验收确认合格</w:t>
      </w:r>
      <w:r>
        <w:rPr>
          <w:rFonts w:hint="eastAsia" w:ascii="Arial" w:hAnsi="Arial" w:cs="Arial"/>
          <w:color w:val="auto"/>
          <w:highlight w:val="none"/>
        </w:rPr>
        <w:t xml:space="preserve">，</w:t>
      </w:r>
      <w:r>
        <w:rPr>
          <w:rFonts w:ascii="Arial" w:hAnsi="Arial" w:cs="Arial"/>
          <w:color w:val="auto"/>
          <w:highlight w:val="none"/>
        </w:rPr>
        <w:t xml:space="preserve">乙方发出该工作的服务费账单及正式有效的税务发票后</w:t>
      </w:r>
      <w:r>
        <w:rPr>
          <w:rFonts w:hint="eastAsia" w:ascii="Arial" w:hAnsi="Arial" w:cs="Arial"/>
          <w:color w:val="auto"/>
          <w:highlight w:val="none"/>
        </w:rPr>
        <w:t xml:space="preserve">7</w:t>
      </w:r>
      <w:r>
        <w:rPr>
          <w:rFonts w:ascii="Arial" w:hAnsi="Arial" w:cs="Arial"/>
          <w:color w:val="auto"/>
          <w:highlight w:val="none"/>
        </w:rPr>
        <w:t xml:space="preserve">个工作日内，</w:t>
      </w:r>
      <w:r>
        <w:rPr>
          <w:rFonts w:hint="eastAsia" w:ascii="Arial" w:hAnsi="Arial" w:cs="Arial"/>
          <w:color w:val="auto"/>
          <w:highlight w:val="none"/>
          <w:lang w:val="en-US" w:eastAsia="zh-CN"/>
        </w:rPr>
        <w:t xml:space="preserve">丙</w:t>
      </w:r>
      <w:r>
        <w:rPr>
          <w:rFonts w:hint="eastAsia" w:ascii="Arial" w:hAnsi="Arial" w:cs="Arial"/>
          <w:color w:val="auto"/>
          <w:highlight w:val="none"/>
        </w:rPr>
        <w:t xml:space="preserve">方</w:t>
      </w:r>
      <w:r>
        <w:rPr>
          <w:rFonts w:ascii="Arial" w:hAnsi="Arial" w:cs="Arial"/>
          <w:color w:val="auto"/>
          <w:highlight w:val="none"/>
        </w:rPr>
        <w:t xml:space="preserve">向乙方支付约定的服务费。</w:t>
      </w:r>
      <w:r/>
    </w:p>
    <w:p>
      <w:pPr>
        <w:ind w:left="-61" w:firstLine="514"/>
        <w:spacing w:line="360" w:lineRule="auto"/>
        <w:rPr>
          <w:rFonts w:ascii="Arial" w:hAnsi="Arial" w:cs="Arial"/>
          <w:color w:val="auto"/>
          <w:highlight w:val="none"/>
        </w:rPr>
      </w:pPr>
      <w:r>
        <w:rPr>
          <w:rFonts w:ascii="Arial" w:hAnsi="Arial" w:cs="Arial"/>
          <w:color w:val="auto"/>
          <w:highlight w:val="none"/>
        </w:rPr>
        <w:t xml:space="preserve">4、有关发票方面的任何问题，</w:t>
      </w:r>
      <w:r>
        <w:rPr>
          <w:rFonts w:hint="eastAsia" w:ascii="Arial" w:hAnsi="Arial" w:cs="Arial"/>
          <w:color w:val="auto"/>
          <w:highlight w:val="none"/>
          <w:lang w:val="en-US" w:eastAsia="zh-CN"/>
        </w:rPr>
        <w:t xml:space="preserve">丙</w:t>
      </w:r>
      <w:r>
        <w:rPr>
          <w:rFonts w:ascii="Arial" w:hAnsi="Arial" w:cs="Arial"/>
          <w:color w:val="auto"/>
          <w:highlight w:val="none"/>
        </w:rPr>
        <w:t xml:space="preserve">方应在收到发票后及时书面通知乙方，乙方应及时作出解释或解决问题，以使</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方能按时付款。</w:t>
      </w:r>
      <w:r/>
    </w:p>
    <w:p>
      <w:pPr>
        <w:ind w:firstLine="480"/>
        <w:spacing w:line="360" w:lineRule="auto"/>
        <w:rPr>
          <w:rFonts w:ascii="Arial" w:hAnsi="Arial" w:cs="Arial"/>
          <w:b/>
          <w:color w:val="auto"/>
          <w:highlight w:val="none"/>
        </w:rPr>
      </w:pPr>
      <w:r>
        <w:rPr>
          <w:rFonts w:ascii="Arial" w:hAnsi="Arial" w:cs="Arial"/>
          <w:b/>
          <w:color w:val="auto"/>
          <w:highlight w:val="none"/>
        </w:rPr>
        <w:t xml:space="preserve">第</w:t>
      </w:r>
      <w:r>
        <w:rPr>
          <w:rFonts w:hint="eastAsia" w:ascii="Arial" w:hAnsi="Arial" w:cs="Arial"/>
          <w:b/>
          <w:color w:val="auto"/>
          <w:highlight w:val="none"/>
        </w:rPr>
        <w:t xml:space="preserve">三</w:t>
      </w:r>
      <w:r>
        <w:rPr>
          <w:rFonts w:ascii="Arial" w:hAnsi="Arial" w:cs="Arial"/>
          <w:b/>
          <w:color w:val="auto"/>
          <w:highlight w:val="none"/>
        </w:rPr>
        <w:t xml:space="preserve">条</w:t>
      </w:r>
      <w:r>
        <w:rPr>
          <w:rFonts w:hint="eastAsia" w:ascii="Arial" w:hAnsi="Arial" w:cs="Arial"/>
          <w:b/>
          <w:color w:val="auto"/>
          <w:highlight w:val="none"/>
        </w:rPr>
        <w:t xml:space="preserve">  </w:t>
      </w:r>
      <w:r>
        <w:rPr>
          <w:rFonts w:ascii="Arial" w:hAnsi="Arial" w:cs="Arial"/>
          <w:b/>
          <w:color w:val="auto"/>
          <w:highlight w:val="none"/>
        </w:rPr>
        <w:t xml:space="preserve">合同</w:t>
      </w:r>
      <w:r>
        <w:rPr>
          <w:rFonts w:hint="eastAsia" w:ascii="Arial" w:hAnsi="Arial" w:cs="Arial"/>
          <w:b/>
          <w:color w:val="auto"/>
          <w:highlight w:val="none"/>
        </w:rPr>
        <w:t xml:space="preserve">有效期</w:t>
      </w:r>
      <w:r/>
    </w:p>
    <w:p>
      <w:pPr>
        <w:pStyle w:val="890"/>
        <w:rPr>
          <w:rFonts w:ascii="Arial" w:hAnsi="Arial" w:cs="Arial"/>
          <w:color w:val="auto"/>
          <w:highlight w:val="none"/>
        </w:rPr>
      </w:pPr>
      <w:r>
        <w:rPr>
          <w:rFonts w:hint="eastAsia" w:ascii="Arial" w:hAnsi="Arial" w:cs="Arial"/>
          <w:color w:val="auto"/>
          <w:highlight w:val="none"/>
        </w:rPr>
        <w:t xml:space="preserve">合同有限期</w:t>
      </w:r>
      <w:r>
        <w:rPr>
          <w:rFonts w:hint="eastAsia" w:ascii="Arial" w:hAnsi="Arial" w:cs="Arial"/>
          <w:color w:val="auto"/>
          <w:highlight w:val="none"/>
          <w:u w:val="single"/>
        </w:rPr>
        <w:t xml:space="preserve">       </w:t>
      </w:r>
      <w:r>
        <w:rPr>
          <w:rFonts w:hint="eastAsia" w:ascii="Arial" w:hAnsi="Arial" w:cs="Arial"/>
          <w:color w:val="auto"/>
          <w:highlight w:val="none"/>
        </w:rPr>
        <w:t xml:space="preserve">年</w:t>
      </w:r>
      <w:r>
        <w:rPr>
          <w:rFonts w:hint="eastAsia" w:ascii="Arial" w:hAnsi="Arial" w:cs="Arial"/>
          <w:color w:val="auto"/>
          <w:highlight w:val="none"/>
          <w:u w:val="single"/>
        </w:rPr>
        <w:t xml:space="preserve">    </w:t>
      </w:r>
      <w:r>
        <w:rPr>
          <w:rFonts w:hint="eastAsia" w:ascii="Arial" w:hAnsi="Arial" w:cs="Arial"/>
          <w:color w:val="auto"/>
          <w:highlight w:val="none"/>
        </w:rPr>
        <w:t xml:space="preserve">月</w:t>
      </w:r>
      <w:r>
        <w:rPr>
          <w:rFonts w:hint="eastAsia" w:ascii="Arial" w:hAnsi="Arial" w:cs="Arial"/>
          <w:color w:val="auto"/>
          <w:highlight w:val="none"/>
          <w:u w:val="single"/>
        </w:rPr>
        <w:t xml:space="preserve">    </w:t>
      </w:r>
      <w:r>
        <w:rPr>
          <w:rFonts w:hint="eastAsia" w:ascii="Arial" w:hAnsi="Arial" w:cs="Arial"/>
          <w:color w:val="auto"/>
          <w:highlight w:val="none"/>
        </w:rPr>
        <w:t xml:space="preserve">日至</w:t>
      </w:r>
      <w:r>
        <w:rPr>
          <w:rFonts w:hint="eastAsia" w:ascii="Arial" w:hAnsi="Arial" w:cs="Arial"/>
          <w:color w:val="auto"/>
          <w:highlight w:val="none"/>
          <w:u w:val="single"/>
        </w:rPr>
        <w:t xml:space="preserve">       </w:t>
      </w:r>
      <w:r>
        <w:rPr>
          <w:rFonts w:hint="eastAsia" w:ascii="Arial" w:hAnsi="Arial" w:cs="Arial"/>
          <w:color w:val="auto"/>
          <w:highlight w:val="none"/>
        </w:rPr>
        <w:t xml:space="preserve">年</w:t>
      </w:r>
      <w:r>
        <w:rPr>
          <w:rFonts w:hint="eastAsia" w:ascii="Arial" w:hAnsi="Arial" w:cs="Arial"/>
          <w:color w:val="auto"/>
          <w:highlight w:val="none"/>
          <w:u w:val="single"/>
        </w:rPr>
        <w:t xml:space="preserve">     </w:t>
      </w:r>
      <w:r>
        <w:rPr>
          <w:rFonts w:hint="eastAsia" w:ascii="Arial" w:hAnsi="Arial" w:cs="Arial"/>
          <w:color w:val="auto"/>
          <w:highlight w:val="none"/>
        </w:rPr>
        <w:t xml:space="preserve">月</w:t>
      </w:r>
      <w:r>
        <w:rPr>
          <w:rFonts w:hint="eastAsia" w:ascii="Arial" w:hAnsi="Arial" w:cs="Arial"/>
          <w:color w:val="auto"/>
          <w:highlight w:val="none"/>
          <w:u w:val="single"/>
        </w:rPr>
        <w:t xml:space="preserve">     </w:t>
      </w:r>
      <w:r>
        <w:rPr>
          <w:rFonts w:hint="eastAsia" w:ascii="Arial" w:hAnsi="Arial" w:cs="Arial"/>
          <w:color w:val="auto"/>
          <w:highlight w:val="none"/>
        </w:rPr>
        <w:t xml:space="preserve">日止。</w:t>
      </w:r>
      <w:r/>
    </w:p>
    <w:p>
      <w:pPr>
        <w:ind w:firstLine="480"/>
        <w:spacing w:line="360" w:lineRule="auto"/>
        <w:rPr>
          <w:rFonts w:ascii="Arial" w:hAnsi="Arial" w:cs="Arial"/>
          <w:b/>
          <w:color w:val="auto"/>
          <w:highlight w:val="none"/>
        </w:rPr>
      </w:pPr>
      <w:r>
        <w:rPr>
          <w:rFonts w:ascii="Arial" w:hAnsi="Arial" w:cs="Arial"/>
          <w:b/>
          <w:color w:val="auto"/>
          <w:highlight w:val="none"/>
        </w:rPr>
        <w:t xml:space="preserve">第</w:t>
      </w:r>
      <w:r>
        <w:rPr>
          <w:rFonts w:hint="eastAsia" w:ascii="Arial" w:hAnsi="Arial" w:cs="Arial"/>
          <w:b/>
          <w:color w:val="auto"/>
          <w:highlight w:val="none"/>
        </w:rPr>
        <w:t xml:space="preserve">四</w:t>
      </w:r>
      <w:r>
        <w:rPr>
          <w:rFonts w:ascii="Arial" w:hAnsi="Arial" w:cs="Arial"/>
          <w:b/>
          <w:color w:val="auto"/>
          <w:highlight w:val="none"/>
        </w:rPr>
        <w:t xml:space="preserve">条</w:t>
      </w:r>
      <w:r>
        <w:rPr>
          <w:rFonts w:hint="eastAsia" w:ascii="Arial" w:hAnsi="Arial" w:cs="Arial"/>
          <w:b/>
          <w:color w:val="auto"/>
          <w:highlight w:val="none"/>
        </w:rPr>
        <w:t xml:space="preserve">  </w:t>
      </w:r>
      <w:r>
        <w:rPr>
          <w:rFonts w:ascii="Arial" w:hAnsi="Arial" w:cs="Arial"/>
          <w:b/>
          <w:color w:val="auto"/>
          <w:highlight w:val="none"/>
        </w:rPr>
        <w:t xml:space="preserve">合同的变更、终止与转让</w:t>
      </w:r>
      <w:r/>
    </w:p>
    <w:p>
      <w:pPr>
        <w:ind w:firstLine="420"/>
        <w:spacing w:line="360" w:lineRule="auto"/>
        <w:rPr>
          <w:rFonts w:ascii="Arial" w:hAnsi="Arial" w:cs="Arial"/>
          <w:color w:val="auto"/>
          <w:highlight w:val="none"/>
        </w:rPr>
      </w:pPr>
      <w:r>
        <w:rPr>
          <w:rFonts w:ascii="Arial" w:hAnsi="Arial" w:cs="Arial"/>
          <w:color w:val="auto"/>
          <w:highlight w:val="none"/>
        </w:rPr>
        <w:t xml:space="preserve">1、按照《中华人民共和国政府采购法》第50条规定，本合同一经签订，甲乙</w:t>
      </w:r>
      <w:r>
        <w:rPr>
          <w:rFonts w:hint="eastAsia" w:ascii="Arial" w:hAnsi="Arial" w:cs="Arial"/>
          <w:color w:val="auto"/>
          <w:highlight w:val="none"/>
          <w:lang w:val="en-US" w:eastAsia="zh-CN"/>
        </w:rPr>
        <w:t xml:space="preserve">丙三</w:t>
      </w:r>
      <w:r>
        <w:rPr>
          <w:rFonts w:ascii="Arial" w:hAnsi="Arial" w:cs="Arial"/>
          <w:color w:val="auto"/>
          <w:highlight w:val="none"/>
        </w:rPr>
        <w:t xml:space="preserve">方不得擅自变更、中止或终止。</w:t>
      </w:r>
      <w:r/>
    </w:p>
    <w:p>
      <w:pPr>
        <w:ind w:firstLine="420"/>
        <w:spacing w:line="360" w:lineRule="auto"/>
        <w:rPr>
          <w:rFonts w:ascii="Arial" w:hAnsi="Arial" w:cs="Arial"/>
          <w:color w:val="auto"/>
          <w:highlight w:val="none"/>
        </w:rPr>
      </w:pPr>
      <w:r>
        <w:rPr>
          <w:rFonts w:ascii="Arial" w:hAnsi="Arial" w:cs="Arial"/>
          <w:color w:val="auto"/>
          <w:highlight w:val="none"/>
        </w:rPr>
        <w:t xml:space="preserve">2、乙方不得擅自转让其应履行的合同义务。</w:t>
      </w:r>
      <w:r/>
    </w:p>
    <w:p>
      <w:pPr>
        <w:ind w:firstLine="420"/>
        <w:spacing w:line="360" w:lineRule="auto"/>
        <w:rPr>
          <w:rFonts w:ascii="Arial" w:hAnsi="Arial" w:cs="Arial"/>
          <w:color w:val="auto"/>
          <w:highlight w:val="none"/>
        </w:rPr>
      </w:pPr>
      <w:r>
        <w:rPr>
          <w:rFonts w:ascii="Arial" w:hAnsi="Arial" w:cs="Arial"/>
          <w:color w:val="auto"/>
          <w:highlight w:val="none"/>
        </w:rPr>
        <w:t xml:space="preserve">3、</w:t>
      </w:r>
      <w:r>
        <w:rPr>
          <w:rFonts w:hint="eastAsia" w:ascii="Arial" w:hAnsi="Arial" w:cs="Arial"/>
          <w:color w:val="auto"/>
          <w:highlight w:val="none"/>
          <w:lang w:val="en-US" w:eastAsia="zh-CN"/>
        </w:rPr>
        <w:t xml:space="preserve">三</w:t>
      </w:r>
      <w:r>
        <w:rPr>
          <w:rFonts w:ascii="Arial" w:hAnsi="Arial" w:cs="Arial"/>
          <w:color w:val="auto"/>
          <w:highlight w:val="none"/>
        </w:rPr>
        <w:t xml:space="preserve">方除非事先得到对方的书面同意或本合同另有约定，任何一方不得将本合同项下的任何权利、义务、责任转让给任何方。</w:t>
      </w:r>
      <w:r/>
    </w:p>
    <w:p>
      <w:pPr>
        <w:ind w:firstLine="420"/>
        <w:spacing w:line="360" w:lineRule="auto"/>
        <w:rPr>
          <w:rFonts w:ascii="Arial" w:hAnsi="Arial" w:cs="Arial"/>
          <w:color w:val="auto"/>
          <w:highlight w:val="none"/>
        </w:rPr>
      </w:pPr>
      <w:r>
        <w:rPr>
          <w:rFonts w:ascii="Arial" w:hAnsi="Arial" w:cs="Arial"/>
          <w:color w:val="auto"/>
          <w:highlight w:val="none"/>
        </w:rPr>
        <w:t xml:space="preserve">4、乙方逾期未完成约定义务超过15个工作日，甲</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方有权单方解除本合同。</w:t>
      </w:r>
      <w:r/>
    </w:p>
    <w:p>
      <w:pPr>
        <w:ind w:firstLine="420"/>
        <w:spacing w:line="360" w:lineRule="auto"/>
        <w:rPr>
          <w:rFonts w:ascii="Arial" w:hAnsi="Arial" w:cs="Arial"/>
          <w:color w:val="auto"/>
          <w:highlight w:val="none"/>
        </w:rPr>
      </w:pPr>
      <w:r>
        <w:rPr>
          <w:rFonts w:ascii="Arial" w:hAnsi="Arial" w:cs="Arial"/>
          <w:color w:val="auto"/>
          <w:highlight w:val="none"/>
        </w:rPr>
        <w:t xml:space="preserve">5、乙方履行本合同约定义务时，未达到</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方要求，修改或整改超过</w:t>
      </w:r>
      <w:r>
        <w:rPr>
          <w:rFonts w:hint="eastAsia" w:ascii="Arial" w:hAnsi="Arial" w:cs="Arial"/>
          <w:color w:val="auto"/>
          <w:highlight w:val="none"/>
        </w:rPr>
        <w:t xml:space="preserve">3</w:t>
      </w:r>
      <w:r>
        <w:rPr>
          <w:rFonts w:ascii="Arial" w:hAnsi="Arial" w:cs="Arial"/>
          <w:color w:val="auto"/>
          <w:highlight w:val="none"/>
        </w:rPr>
        <w:t xml:space="preserve">次，仍然无法达到</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方要求，甲</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方有权单方解除本合同。</w:t>
      </w:r>
      <w:r/>
    </w:p>
    <w:p>
      <w:pPr>
        <w:ind w:firstLine="422"/>
        <w:spacing w:line="360" w:lineRule="auto"/>
        <w:rPr>
          <w:rFonts w:ascii="Arial" w:hAnsi="Arial" w:cs="Arial"/>
          <w:b/>
          <w:color w:val="auto"/>
          <w:highlight w:val="none"/>
        </w:rPr>
      </w:pPr>
      <w:r>
        <w:rPr>
          <w:rFonts w:ascii="Arial" w:hAnsi="Arial" w:cs="Arial"/>
          <w:b/>
          <w:color w:val="auto"/>
          <w:highlight w:val="none"/>
        </w:rPr>
        <w:t xml:space="preserve">第</w:t>
      </w:r>
      <w:r>
        <w:rPr>
          <w:rFonts w:hint="eastAsia" w:ascii="Arial" w:hAnsi="Arial" w:cs="Arial"/>
          <w:b/>
          <w:color w:val="auto"/>
          <w:highlight w:val="none"/>
        </w:rPr>
        <w:t xml:space="preserve">五</w:t>
      </w:r>
      <w:r>
        <w:rPr>
          <w:rFonts w:ascii="Arial" w:hAnsi="Arial" w:cs="Arial"/>
          <w:b/>
          <w:color w:val="auto"/>
          <w:highlight w:val="none"/>
        </w:rPr>
        <w:t xml:space="preserve">条</w:t>
      </w:r>
      <w:r>
        <w:rPr>
          <w:rFonts w:hint="eastAsia" w:ascii="Arial" w:hAnsi="Arial" w:cs="Arial"/>
          <w:b/>
          <w:color w:val="auto"/>
          <w:highlight w:val="none"/>
        </w:rPr>
        <w:t xml:space="preserve">  </w:t>
      </w:r>
      <w:r>
        <w:rPr>
          <w:rFonts w:ascii="Arial" w:hAnsi="Arial" w:cs="Arial"/>
          <w:b/>
          <w:color w:val="auto"/>
          <w:highlight w:val="none"/>
        </w:rPr>
        <w:t xml:space="preserve">违约责任</w:t>
      </w:r>
      <w:r/>
    </w:p>
    <w:p>
      <w:pPr>
        <w:spacing w:line="360" w:lineRule="auto"/>
        <w:rPr>
          <w:rFonts w:ascii="Arial" w:hAnsi="Arial" w:cs="Arial"/>
          <w:color w:val="auto"/>
          <w:highlight w:val="none"/>
        </w:rPr>
      </w:pPr>
      <w:r>
        <w:rPr>
          <w:rFonts w:ascii="Arial" w:hAnsi="Arial" w:cs="Arial"/>
          <w:color w:val="auto"/>
          <w:highlight w:val="none"/>
        </w:rPr>
        <w:t xml:space="preserve">    1、乙方应提供符合本合同约定和行业规范及惯例的专业化服务，如果达不到</w:t>
      </w:r>
      <w:r>
        <w:rPr>
          <w:rFonts w:hint="eastAsia" w:ascii="Arial" w:hAnsi="Arial" w:cs="Arial"/>
          <w:color w:val="auto"/>
          <w:highlight w:val="none"/>
          <w:lang w:val="en-US" w:eastAsia="zh-CN"/>
        </w:rPr>
        <w:t xml:space="preserve">丙</w:t>
      </w:r>
      <w:r>
        <w:rPr>
          <w:rFonts w:ascii="Arial" w:hAnsi="Arial" w:cs="Arial"/>
          <w:color w:val="auto"/>
          <w:highlight w:val="none"/>
        </w:rPr>
        <w:t xml:space="preserve">方的要求，乙方应立即更换人员或改进方法，以达到</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方要求。乙方如因服务错误、失误等原因导致甲</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方解除合同，乙方应承担全部责任外，还应退</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方还全部服务费。 </w:t>
      </w:r>
      <w:r/>
    </w:p>
    <w:p>
      <w:pPr>
        <w:ind w:firstLine="480"/>
        <w:spacing w:line="360" w:lineRule="auto"/>
        <w:rPr>
          <w:rFonts w:ascii="Arial" w:hAnsi="Arial" w:cs="Arial"/>
          <w:color w:val="auto"/>
          <w:highlight w:val="none"/>
        </w:rPr>
      </w:pPr>
      <w:r>
        <w:rPr>
          <w:rFonts w:ascii="Arial" w:hAnsi="Arial" w:cs="Arial"/>
          <w:color w:val="auto"/>
          <w:highlight w:val="none"/>
        </w:rPr>
        <w:t xml:space="preserve">2、乙方如果未按本合同约定的服务内容和方式履行合同项下义务，则</w:t>
      </w:r>
      <w:r>
        <w:rPr>
          <w:rFonts w:hint="eastAsia" w:ascii="Arial" w:hAnsi="Arial" w:cs="Arial"/>
          <w:color w:val="auto"/>
          <w:highlight w:val="none"/>
          <w:lang w:val="en-US" w:eastAsia="zh-CN"/>
        </w:rPr>
        <w:t xml:space="preserve">丙</w:t>
      </w:r>
      <w:r>
        <w:rPr>
          <w:rFonts w:ascii="Arial" w:hAnsi="Arial" w:cs="Arial"/>
          <w:color w:val="auto"/>
          <w:highlight w:val="none"/>
        </w:rPr>
        <w:t xml:space="preserve">方可以采取必要的补救措施，由此产生的风险和费用将由乙方承担。同时，</w:t>
      </w:r>
      <w:r>
        <w:rPr>
          <w:rFonts w:hint="eastAsia" w:ascii="Arial" w:hAnsi="Arial" w:cs="Arial"/>
          <w:color w:val="auto"/>
          <w:highlight w:val="none"/>
          <w:lang w:val="en-US" w:eastAsia="zh-CN"/>
        </w:rPr>
        <w:t xml:space="preserve">甲丙</w:t>
      </w:r>
      <w:r>
        <w:rPr>
          <w:rFonts w:ascii="Arial" w:hAnsi="Arial" w:cs="Arial"/>
          <w:color w:val="auto"/>
          <w:highlight w:val="none"/>
        </w:rPr>
        <w:t xml:space="preserve">方有权决定是否继续履行合同。如果甲</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方解除合同，则乙方应退还全部服务费并承担由此而给</w:t>
      </w:r>
      <w:r>
        <w:rPr>
          <w:rFonts w:hint="eastAsia" w:ascii="Arial" w:hAnsi="Arial" w:cs="Arial"/>
          <w:color w:val="auto"/>
          <w:highlight w:val="none"/>
          <w:lang w:val="en-US" w:eastAsia="zh-CN"/>
        </w:rPr>
        <w:t xml:space="preserve">丙</w:t>
      </w:r>
      <w:r>
        <w:rPr>
          <w:rFonts w:ascii="Arial" w:hAnsi="Arial" w:cs="Arial"/>
          <w:color w:val="auto"/>
          <w:highlight w:val="none"/>
        </w:rPr>
        <w:t xml:space="preserve">方造成的损失。</w:t>
      </w:r>
      <w:r/>
    </w:p>
    <w:p>
      <w:pPr>
        <w:ind w:firstLine="480"/>
        <w:spacing w:line="360" w:lineRule="auto"/>
        <w:rPr>
          <w:rFonts w:ascii="Arial" w:hAnsi="Arial" w:cs="Arial"/>
          <w:color w:val="auto"/>
          <w:highlight w:val="none"/>
        </w:rPr>
      </w:pPr>
      <w:r>
        <w:rPr>
          <w:rFonts w:ascii="Arial" w:hAnsi="Arial" w:cs="Arial"/>
          <w:color w:val="auto"/>
          <w:highlight w:val="none"/>
        </w:rPr>
        <w:t xml:space="preserve">3、乙方逾期完成服务的，乙方应按本合同约定服务费总金额每日1‰比例向</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方支付违约金，由</w:t>
      </w:r>
      <w:r>
        <w:rPr>
          <w:rFonts w:hint="eastAsia" w:ascii="Arial" w:hAnsi="Arial" w:cs="Arial"/>
          <w:color w:val="auto"/>
          <w:highlight w:val="none"/>
          <w:lang w:val="en-US" w:eastAsia="zh-CN"/>
        </w:rPr>
        <w:t xml:space="preserve">丙</w:t>
      </w:r>
      <w:r>
        <w:rPr>
          <w:rFonts w:ascii="Arial" w:hAnsi="Arial" w:cs="Arial"/>
          <w:color w:val="auto"/>
          <w:highlight w:val="none"/>
        </w:rPr>
        <w:t xml:space="preserve">方从待付款中扣除；逾期超过约定日期15个工作日不能完成服务的，甲</w:t>
      </w:r>
      <w:r>
        <w:rPr>
          <w:rFonts w:hint="eastAsia" w:ascii="Arial" w:hAnsi="Arial" w:cs="Arial"/>
          <w:color w:val="auto"/>
          <w:highlight w:val="none"/>
          <w:lang w:val="en-US" w:eastAsia="zh-CN"/>
        </w:rPr>
        <w:t xml:space="preserve">丙</w:t>
      </w:r>
      <w:r>
        <w:rPr>
          <w:rFonts w:ascii="Arial" w:hAnsi="Arial" w:cs="Arial"/>
          <w:color w:val="auto"/>
          <w:highlight w:val="none"/>
        </w:rPr>
        <w:t xml:space="preserve">方可解除本合同。</w:t>
      </w:r>
      <w:r/>
    </w:p>
    <w:p>
      <w:pPr>
        <w:ind w:firstLine="480"/>
        <w:spacing w:line="360" w:lineRule="auto"/>
        <w:rPr>
          <w:rFonts w:ascii="Arial" w:hAnsi="Arial" w:cs="Arial"/>
          <w:color w:val="auto"/>
          <w:highlight w:val="none"/>
        </w:rPr>
      </w:pPr>
      <w:r>
        <w:rPr>
          <w:rFonts w:ascii="Arial" w:hAnsi="Arial" w:cs="Arial"/>
          <w:color w:val="auto"/>
          <w:highlight w:val="none"/>
        </w:rPr>
        <w:t xml:space="preserve">4、乙方因逾期完成服务或因其他违约行为导致甲</w:t>
      </w:r>
      <w:r>
        <w:rPr>
          <w:rFonts w:hint="eastAsia" w:ascii="Arial" w:hAnsi="Arial" w:cs="Arial"/>
          <w:color w:val="auto"/>
          <w:highlight w:val="none"/>
          <w:lang w:val="en-US" w:eastAsia="zh-CN"/>
        </w:rPr>
        <w:t xml:space="preserve">丙</w:t>
      </w:r>
      <w:r>
        <w:rPr>
          <w:rFonts w:ascii="Arial" w:hAnsi="Arial" w:cs="Arial"/>
          <w:color w:val="auto"/>
          <w:highlight w:val="none"/>
        </w:rPr>
        <w:t xml:space="preserve">方解除合同的，乙方应向</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方支付本合同约定服务费总金额10%比例的违约金，如造成</w:t>
      </w:r>
      <w:r>
        <w:rPr>
          <w:rFonts w:hint="eastAsia" w:ascii="Arial" w:hAnsi="Arial" w:cs="Arial"/>
          <w:color w:val="auto"/>
          <w:highlight w:val="none"/>
          <w:lang w:val="en-US" w:eastAsia="zh-CN"/>
        </w:rPr>
        <w:t xml:space="preserve">丙</w:t>
      </w:r>
      <w:r>
        <w:rPr>
          <w:rFonts w:ascii="Arial" w:hAnsi="Arial" w:cs="Arial"/>
          <w:color w:val="auto"/>
          <w:highlight w:val="none"/>
        </w:rPr>
        <w:t xml:space="preserve">方损失超过违约金的，超出部分由乙方继续承担赔偿责任。</w:t>
      </w:r>
      <w:r/>
    </w:p>
    <w:p>
      <w:pPr>
        <w:ind w:firstLine="422"/>
        <w:spacing w:line="360" w:lineRule="auto"/>
        <w:rPr>
          <w:rFonts w:ascii="Arial" w:hAnsi="Arial" w:cs="Arial"/>
          <w:b/>
          <w:color w:val="auto"/>
          <w:highlight w:val="none"/>
        </w:rPr>
      </w:pPr>
      <w:r>
        <w:rPr>
          <w:rFonts w:ascii="Arial" w:hAnsi="Arial" w:cs="Arial"/>
          <w:b/>
          <w:color w:val="auto"/>
          <w:highlight w:val="none"/>
        </w:rPr>
        <w:t xml:space="preserve">第</w:t>
      </w:r>
      <w:r>
        <w:rPr>
          <w:rFonts w:hint="eastAsia" w:ascii="Arial" w:hAnsi="Arial" w:cs="Arial"/>
          <w:b/>
          <w:color w:val="auto"/>
          <w:highlight w:val="none"/>
        </w:rPr>
        <w:t xml:space="preserve">六</w:t>
      </w:r>
      <w:r>
        <w:rPr>
          <w:rFonts w:ascii="Arial" w:hAnsi="Arial" w:cs="Arial"/>
          <w:b/>
          <w:color w:val="auto"/>
          <w:highlight w:val="none"/>
        </w:rPr>
        <w:t xml:space="preserve">条　争议处理</w:t>
      </w:r>
      <w:r/>
    </w:p>
    <w:p>
      <w:pPr>
        <w:ind w:firstLine="420"/>
        <w:spacing w:line="360" w:lineRule="auto"/>
        <w:rPr>
          <w:rFonts w:ascii="Arial" w:hAnsi="Arial" w:cs="Arial"/>
          <w:color w:val="auto"/>
          <w:highlight w:val="none"/>
        </w:rPr>
      </w:pPr>
      <w:r>
        <w:rPr>
          <w:rFonts w:ascii="Arial" w:hAnsi="Arial" w:cs="Arial"/>
          <w:color w:val="auto"/>
          <w:highlight w:val="none"/>
        </w:rPr>
        <w:t xml:space="preserve">甲乙</w:t>
      </w:r>
      <w:r>
        <w:rPr>
          <w:rFonts w:hint="eastAsia" w:ascii="Arial" w:hAnsi="Arial" w:cs="Arial"/>
          <w:color w:val="auto"/>
          <w:highlight w:val="none"/>
          <w:lang w:val="en-US" w:eastAsia="zh-CN"/>
        </w:rPr>
        <w:t xml:space="preserve">丙三</w:t>
      </w:r>
      <w:r>
        <w:rPr>
          <w:rFonts w:ascii="Arial" w:hAnsi="Arial" w:cs="Arial"/>
          <w:color w:val="auto"/>
          <w:highlight w:val="none"/>
        </w:rPr>
        <w:t xml:space="preserve">方如对本合同约定条款的理解存在歧义或在本合同履行过程中发生争议，应友好协商解决，协商不能解决的，任何一方均可向甲方所在地人民法院提起诉讼。</w:t>
      </w:r>
      <w:r/>
    </w:p>
    <w:p>
      <w:pPr>
        <w:ind w:firstLine="422"/>
        <w:spacing w:line="360" w:lineRule="auto"/>
        <w:rPr>
          <w:rFonts w:ascii="Arial" w:hAnsi="Arial" w:cs="Arial"/>
          <w:b/>
          <w:color w:val="auto"/>
          <w:highlight w:val="none"/>
        </w:rPr>
      </w:pPr>
      <w:r>
        <w:rPr>
          <w:rFonts w:ascii="Arial" w:hAnsi="Arial" w:cs="Arial"/>
          <w:b/>
          <w:color w:val="auto"/>
          <w:highlight w:val="none"/>
        </w:rPr>
        <w:t xml:space="preserve">第</w:t>
      </w:r>
      <w:r>
        <w:rPr>
          <w:rFonts w:hint="eastAsia" w:ascii="Arial" w:hAnsi="Arial" w:cs="Arial"/>
          <w:b/>
          <w:color w:val="auto"/>
          <w:highlight w:val="none"/>
        </w:rPr>
        <w:t xml:space="preserve">七</w:t>
      </w:r>
      <w:r>
        <w:rPr>
          <w:rFonts w:ascii="Arial" w:hAnsi="Arial" w:cs="Arial"/>
          <w:b/>
          <w:color w:val="auto"/>
          <w:highlight w:val="none"/>
        </w:rPr>
        <w:t xml:space="preserve">条</w:t>
      </w:r>
      <w:r>
        <w:rPr>
          <w:rFonts w:hint="eastAsia" w:ascii="Arial" w:hAnsi="Arial" w:cs="Arial"/>
          <w:b/>
          <w:color w:val="auto"/>
          <w:highlight w:val="none"/>
        </w:rPr>
        <w:t xml:space="preserve">  </w:t>
      </w:r>
      <w:r>
        <w:rPr>
          <w:rFonts w:ascii="Arial" w:hAnsi="Arial" w:cs="Arial"/>
          <w:b/>
          <w:color w:val="auto"/>
          <w:highlight w:val="none"/>
        </w:rPr>
        <w:t xml:space="preserve">不可抗力</w:t>
      </w:r>
      <w:r/>
    </w:p>
    <w:p>
      <w:pPr>
        <w:ind w:firstLine="420"/>
        <w:spacing w:line="360" w:lineRule="auto"/>
        <w:rPr>
          <w:rFonts w:ascii="Arial" w:hAnsi="Arial" w:cs="Arial"/>
          <w:color w:val="auto"/>
          <w:highlight w:val="none"/>
        </w:rPr>
      </w:pPr>
      <w:r>
        <w:rPr>
          <w:rFonts w:ascii="Arial" w:hAnsi="Arial" w:cs="Arial"/>
          <w:color w:val="auto"/>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20"/>
        <w:spacing w:line="360" w:lineRule="auto"/>
        <w:rPr>
          <w:color w:val="auto"/>
          <w:highlight w:val="none"/>
        </w:rPr>
      </w:pPr>
      <w:r>
        <w:rPr>
          <w:rFonts w:ascii="Arial" w:hAnsi="Arial" w:cs="Arial"/>
          <w:color w:val="auto"/>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22"/>
        <w:spacing w:line="360" w:lineRule="auto"/>
        <w:rPr>
          <w:rFonts w:ascii="Arial" w:hAnsi="Arial" w:cs="Arial"/>
          <w:color w:val="auto"/>
          <w:highlight w:val="none"/>
        </w:rPr>
      </w:pPr>
      <w:r>
        <w:rPr>
          <w:rFonts w:ascii="Arial" w:hAnsi="Arial" w:cs="Arial"/>
          <w:b/>
          <w:color w:val="auto"/>
          <w:highlight w:val="none"/>
        </w:rPr>
        <w:t xml:space="preserve">第</w:t>
      </w:r>
      <w:r>
        <w:rPr>
          <w:rFonts w:hint="eastAsia" w:ascii="Arial" w:hAnsi="Arial" w:cs="Arial"/>
          <w:b/>
          <w:color w:val="auto"/>
          <w:highlight w:val="none"/>
        </w:rPr>
        <w:t xml:space="preserve">八</w:t>
      </w:r>
      <w:r>
        <w:rPr>
          <w:rFonts w:ascii="Arial" w:hAnsi="Arial" w:cs="Arial"/>
          <w:b/>
          <w:color w:val="auto"/>
          <w:highlight w:val="none"/>
        </w:rPr>
        <w:t xml:space="preserve">条</w:t>
      </w:r>
      <w:r>
        <w:rPr>
          <w:rFonts w:hint="eastAsia" w:ascii="Arial" w:hAnsi="Arial" w:cs="Arial"/>
          <w:b/>
          <w:color w:val="auto"/>
          <w:highlight w:val="none"/>
        </w:rPr>
        <w:t xml:space="preserve">  </w:t>
      </w:r>
      <w:r>
        <w:rPr>
          <w:rFonts w:ascii="Arial" w:hAnsi="Arial" w:cs="Arial"/>
          <w:b/>
          <w:color w:val="auto"/>
          <w:highlight w:val="none"/>
        </w:rPr>
        <w:t xml:space="preserve">其他</w:t>
      </w:r>
      <w:r/>
    </w:p>
    <w:p>
      <w:pPr>
        <w:ind w:firstLine="420"/>
        <w:spacing w:line="360" w:lineRule="auto"/>
        <w:rPr>
          <w:rFonts w:ascii="Arial" w:hAnsi="Arial" w:cs="Arial"/>
          <w:color w:val="auto"/>
          <w:highlight w:val="none"/>
        </w:rPr>
      </w:pPr>
      <w:r>
        <w:rPr>
          <w:rFonts w:ascii="Arial" w:hAnsi="Arial" w:cs="Arial"/>
          <w:color w:val="auto"/>
          <w:highlight w:val="none"/>
        </w:rPr>
        <w:t xml:space="preserve">1、合同附件A和合同附件B是本合同不可分割的组成部分，与本合同具有同等法律效力。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2、本合同未尽事宜，由甲乙</w:t>
      </w:r>
      <w:r>
        <w:rPr>
          <w:rFonts w:hint="eastAsia" w:ascii="Arial" w:hAnsi="Arial" w:cs="Arial"/>
          <w:color w:val="auto"/>
          <w:highlight w:val="none"/>
          <w:lang w:val="en-US" w:eastAsia="zh-CN"/>
        </w:rPr>
        <w:t xml:space="preserve">丙</w:t>
      </w:r>
      <w:r>
        <w:rPr>
          <w:rFonts w:ascii="Arial" w:hAnsi="Arial" w:cs="Arial"/>
          <w:color w:val="auto"/>
          <w:highlight w:val="none"/>
        </w:rPr>
        <w:t xml:space="preserve">双方负责人协商后达成书面补充协议，补充协议具备与本合同同等法律效力。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3、对本合同内容的任何修改和变更需要用书面形式，并经</w:t>
      </w:r>
      <w:r>
        <w:rPr>
          <w:rFonts w:hint="eastAsia" w:ascii="Arial" w:hAnsi="Arial" w:cs="Arial"/>
          <w:color w:val="auto"/>
          <w:highlight w:val="none"/>
          <w:lang w:val="en-US" w:eastAsia="zh-CN"/>
        </w:rPr>
        <w:t xml:space="preserve">甲乙</w:t>
      </w:r>
      <w:r>
        <w:rPr>
          <w:rFonts w:ascii="Arial" w:hAnsi="Arial" w:cs="Arial"/>
          <w:color w:val="auto"/>
          <w:highlight w:val="none"/>
        </w:rPr>
        <w:t xml:space="preserve">方签字盖章后生效。</w:t>
      </w:r>
      <w:r/>
    </w:p>
    <w:p>
      <w:pPr>
        <w:ind w:firstLine="420"/>
        <w:spacing w:line="360" w:lineRule="auto"/>
        <w:rPr>
          <w:rFonts w:ascii="Arial" w:hAnsi="Arial" w:cs="Arial"/>
          <w:color w:val="auto"/>
          <w:highlight w:val="none"/>
        </w:rPr>
      </w:pPr>
      <w:r>
        <w:rPr>
          <w:rFonts w:ascii="Arial" w:hAnsi="Arial" w:cs="Arial"/>
          <w:b/>
          <w:color w:val="auto"/>
          <w:highlight w:val="none"/>
        </w:rPr>
        <w:t xml:space="preserve">第</w:t>
      </w:r>
      <w:r>
        <w:rPr>
          <w:rFonts w:hint="eastAsia" w:ascii="Arial" w:hAnsi="Arial" w:cs="Arial"/>
          <w:b/>
          <w:color w:val="auto"/>
          <w:highlight w:val="none"/>
          <w:lang w:val="en-US" w:eastAsia="zh-CN"/>
        </w:rPr>
        <w:t xml:space="preserve">九</w:t>
      </w:r>
      <w:r>
        <w:rPr>
          <w:rFonts w:ascii="Arial" w:hAnsi="Arial" w:cs="Arial"/>
          <w:b/>
          <w:color w:val="auto"/>
          <w:highlight w:val="none"/>
        </w:rPr>
        <w:t xml:space="preserve">条　</w:t>
      </w:r>
      <w:r>
        <w:rPr>
          <w:rFonts w:ascii="Arial" w:hAnsi="Arial" w:cs="Arial"/>
          <w:color w:val="auto"/>
          <w:highlight w:val="none"/>
        </w:rPr>
        <w:t xml:space="preserve">本合同一式</w:t>
      </w:r>
      <w:r>
        <w:rPr>
          <w:rFonts w:ascii="Arial" w:hAnsi="Arial" w:cs="Arial"/>
          <w:color w:val="auto"/>
          <w:highlight w:val="none"/>
          <w:u w:val="single"/>
        </w:rPr>
        <w:t xml:space="preserve"> </w:t>
      </w:r>
      <w:r>
        <w:rPr>
          <w:rFonts w:hint="eastAsia" w:ascii="Arial" w:hAnsi="Arial" w:cs="Arial"/>
          <w:color w:val="auto"/>
          <w:highlight w:val="none"/>
          <w:u w:val="single"/>
          <w:lang w:val="en-US" w:eastAsia="zh-CN"/>
        </w:rPr>
        <w:t xml:space="preserve">6</w:t>
      </w:r>
      <w:r>
        <w:rPr>
          <w:rFonts w:ascii="Arial" w:hAnsi="Arial" w:cs="Arial"/>
          <w:color w:val="auto"/>
          <w:highlight w:val="none"/>
          <w:u w:val="single"/>
        </w:rPr>
        <w:t xml:space="preserve"> </w:t>
      </w:r>
      <w:r>
        <w:rPr>
          <w:rFonts w:ascii="Arial" w:hAnsi="Arial" w:cs="Arial"/>
          <w:color w:val="auto"/>
          <w:highlight w:val="none"/>
        </w:rPr>
        <w:t xml:space="preserve">份，甲方</w:t>
      </w:r>
      <w:r>
        <w:rPr>
          <w:rFonts w:hint="eastAsia" w:ascii="Arial" w:hAnsi="Arial" w:cs="Arial"/>
          <w:color w:val="auto"/>
          <w:highlight w:val="none"/>
          <w:u w:val="single"/>
          <w:lang w:val="en-US" w:eastAsia="zh-CN"/>
        </w:rPr>
        <w:t xml:space="preserve">2</w:t>
      </w:r>
      <w:r>
        <w:rPr>
          <w:rFonts w:ascii="Arial" w:hAnsi="Arial" w:cs="Arial"/>
          <w:color w:val="auto"/>
          <w:highlight w:val="none"/>
        </w:rPr>
        <w:t xml:space="preserve">份，乙方</w:t>
      </w:r>
      <w:r>
        <w:rPr>
          <w:rFonts w:hint="eastAsia" w:ascii="Arial" w:hAnsi="Arial" w:cs="Arial"/>
          <w:color w:val="auto"/>
          <w:highlight w:val="none"/>
          <w:u w:val="single"/>
          <w:lang w:val="en-US" w:eastAsia="zh-CN"/>
        </w:rPr>
        <w:t xml:space="preserve">2</w:t>
      </w:r>
      <w:r>
        <w:rPr>
          <w:rFonts w:ascii="Arial" w:hAnsi="Arial" w:cs="Arial"/>
          <w:color w:val="auto"/>
          <w:highlight w:val="none"/>
          <w:u w:val="single"/>
        </w:rPr>
        <w:t xml:space="preserve"> </w:t>
      </w:r>
      <w:r>
        <w:rPr>
          <w:rFonts w:ascii="Arial" w:hAnsi="Arial" w:cs="Arial"/>
          <w:color w:val="auto"/>
          <w:highlight w:val="none"/>
        </w:rPr>
        <w:t xml:space="preserve">份</w:t>
      </w:r>
      <w:r>
        <w:rPr>
          <w:rFonts w:hint="eastAsia" w:ascii="Arial" w:hAnsi="Arial" w:cs="Arial"/>
          <w:color w:val="auto"/>
          <w:highlight w:val="none"/>
        </w:rPr>
        <w:t xml:space="preserve">，</w:t>
      </w:r>
      <w:r>
        <w:rPr>
          <w:rFonts w:hint="eastAsia" w:ascii="Arial" w:hAnsi="Arial" w:cs="Arial"/>
          <w:color w:val="auto"/>
          <w:highlight w:val="none"/>
          <w:lang w:val="en-US" w:eastAsia="zh-CN"/>
        </w:rPr>
        <w:t xml:space="preserve">丙</w:t>
      </w:r>
      <w:r>
        <w:rPr>
          <w:rFonts w:ascii="Arial" w:hAnsi="Arial" w:cs="Arial"/>
          <w:color w:val="auto"/>
          <w:highlight w:val="none"/>
        </w:rPr>
        <w:t xml:space="preserve">方</w:t>
      </w:r>
      <w:r>
        <w:rPr>
          <w:rFonts w:ascii="Arial" w:hAnsi="Arial" w:cs="Arial"/>
          <w:color w:val="auto"/>
          <w:highlight w:val="none"/>
          <w:u w:val="single"/>
        </w:rPr>
        <w:t xml:space="preserve"> </w:t>
      </w:r>
      <w:r>
        <w:rPr>
          <w:rFonts w:hint="eastAsia" w:ascii="Arial" w:hAnsi="Arial" w:cs="Arial"/>
          <w:color w:val="auto"/>
          <w:highlight w:val="none"/>
          <w:u w:val="single"/>
          <w:lang w:val="en-US" w:eastAsia="zh-CN"/>
        </w:rPr>
        <w:t xml:space="preserve">2</w:t>
      </w:r>
      <w:r>
        <w:rPr>
          <w:rFonts w:ascii="Arial" w:hAnsi="Arial" w:cs="Arial"/>
          <w:color w:val="auto"/>
          <w:highlight w:val="none"/>
          <w:u w:val="single"/>
        </w:rPr>
        <w:t xml:space="preserve"> </w:t>
      </w:r>
      <w:r>
        <w:rPr>
          <w:rFonts w:ascii="Arial" w:hAnsi="Arial" w:cs="Arial"/>
          <w:color w:val="auto"/>
          <w:highlight w:val="none"/>
        </w:rPr>
        <w:t xml:space="preserve">份。</w:t>
      </w:r>
      <w:r/>
    </w:p>
    <w:tbl>
      <w:tblPr>
        <w:tblStyle w:val="822"/>
        <w:tblpPr w:horzAnchor="margin" w:tblpXSpec="left" w:vertAnchor="text" w:tblpY="272" w:leftFromText="180" w:topFromText="0" w:rightFromText="180" w:bottomFromText="0"/>
        <w:tblW w:w="98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3"/>
        <w:gridCol w:w="4944"/>
      </w:tblGrid>
      <w:tr>
        <w:trPr>
          <w:cantSplit/>
          <w:trHeight w:val="97"/>
        </w:trPr>
        <w:tc>
          <w:tcPr>
            <w:tcW w:w="4943"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甲方（公章）</w:t>
            </w:r>
            <w:r/>
          </w:p>
          <w:p>
            <w:pPr>
              <w:ind w:firstLine="560"/>
              <w:jc w:val="left"/>
              <w:spacing w:line="360" w:lineRule="auto"/>
              <w:rPr>
                <w:rFonts w:ascii="Arial" w:hAnsi="Arial" w:cs="Arial"/>
                <w:color w:val="auto"/>
                <w:highlight w:val="none"/>
              </w:rPr>
            </w:pPr>
            <w:r>
              <w:rPr>
                <w:rFonts w:ascii="Arial" w:hAnsi="Arial" w:cs="Arial"/>
                <w:color w:val="auto"/>
                <w:highlight w:val="none"/>
              </w:rPr>
            </w:r>
            <w:r/>
          </w:p>
          <w:p>
            <w:pPr>
              <w:ind w:firstLine="525"/>
              <w:jc w:val="left"/>
              <w:spacing w:line="360" w:lineRule="auto"/>
              <w:rPr>
                <w:rFonts w:ascii="Arial" w:hAnsi="Arial" w:cs="Arial"/>
                <w:color w:val="auto"/>
                <w:highlight w:val="none"/>
              </w:rPr>
            </w:pPr>
            <w:r/>
            <w:bookmarkStart w:id="258" w:name="_Hlk90630619"/>
            <w:r>
              <w:rPr>
                <w:rFonts w:ascii="Arial" w:hAnsi="Arial" w:cs="Arial"/>
                <w:color w:val="auto"/>
                <w:highlight w:val="none"/>
              </w:rPr>
              <w:t xml:space="preserve">年   月    日</w:t>
            </w:r>
            <w:bookmarkEnd w:id="258"/>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乙方（公章）</w:t>
            </w:r>
            <w:r/>
          </w:p>
          <w:p>
            <w:pPr>
              <w:jc w:val="left"/>
              <w:spacing w:line="360" w:lineRule="auto"/>
              <w:rPr>
                <w:rFonts w:ascii="Arial" w:hAnsi="Arial" w:cs="Arial"/>
                <w:color w:val="auto"/>
                <w:highlight w:val="none"/>
              </w:rPr>
            </w:pPr>
            <w:r>
              <w:rPr>
                <w:rFonts w:ascii="Arial" w:hAnsi="Arial" w:cs="Arial"/>
                <w:color w:val="auto"/>
                <w:highlight w:val="none"/>
              </w:rPr>
            </w:r>
            <w:r/>
          </w:p>
          <w:p>
            <w:pPr>
              <w:ind w:firstLine="525"/>
              <w:jc w:val="left"/>
              <w:spacing w:line="360" w:lineRule="auto"/>
              <w:rPr>
                <w:rFonts w:ascii="Arial" w:hAnsi="Arial" w:cs="Arial"/>
                <w:color w:val="auto"/>
                <w:highlight w:val="none"/>
              </w:rPr>
            </w:pPr>
            <w:r>
              <w:rPr>
                <w:rFonts w:ascii="Arial" w:hAnsi="Arial" w:cs="Arial"/>
                <w:color w:val="auto"/>
                <w:highlight w:val="none"/>
              </w:rPr>
              <w:t xml:space="preserve">年   月   日</w:t>
            </w:r>
            <w:r/>
          </w:p>
        </w:tc>
      </w:tr>
      <w:tr>
        <w:trPr>
          <w:cantSplit/>
          <w:trHeight w:val="320"/>
        </w:trPr>
        <w:tc>
          <w:tcPr>
            <w:tcW w:w="4943"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单位地址：</w:t>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单位地址：</w:t>
            </w:r>
            <w:r/>
          </w:p>
        </w:tc>
      </w:tr>
      <w:tr>
        <w:trPr>
          <w:cantSplit/>
          <w:trHeight w:val="97"/>
        </w:trPr>
        <w:tc>
          <w:tcPr>
            <w:tcW w:w="4943" w:type="dxa"/>
            <w:vAlign w:val="center"/>
            <w:textDirection w:val="lrTb"/>
            <w:noWrap w:val="false"/>
          </w:tcPr>
          <w:p>
            <w:pPr>
              <w:jc w:val="left"/>
              <w:spacing w:before="156" w:line="360" w:lineRule="auto"/>
              <w:rPr>
                <w:rFonts w:ascii="Arial" w:hAnsi="Arial" w:cs="Arial"/>
                <w:color w:val="auto"/>
                <w:highlight w:val="none"/>
              </w:rPr>
            </w:pPr>
            <w:r>
              <w:rPr>
                <w:rFonts w:ascii="Arial" w:hAnsi="Arial" w:cs="Arial"/>
                <w:color w:val="auto"/>
                <w:highlight w:val="none"/>
              </w:rPr>
              <w:t xml:space="preserve">法定代表人（或委托代理人）</w:t>
            </w:r>
            <w:r/>
          </w:p>
          <w:p>
            <w:pPr>
              <w:jc w:val="left"/>
              <w:spacing w:line="360" w:lineRule="auto"/>
              <w:rPr>
                <w:rFonts w:ascii="Arial" w:hAnsi="Arial" w:cs="Arial"/>
                <w:color w:val="auto"/>
                <w:highlight w:val="none"/>
              </w:rPr>
            </w:pPr>
            <w:r>
              <w:rPr>
                <w:rFonts w:ascii="Arial" w:hAnsi="Arial" w:cs="Arial"/>
                <w:color w:val="auto"/>
                <w:highlight w:val="none"/>
              </w:rPr>
              <w:t xml:space="preserve">（签字）：</w:t>
            </w:r>
            <w:r/>
          </w:p>
        </w:tc>
        <w:tc>
          <w:tcPr>
            <w:tcW w:w="4944" w:type="dxa"/>
            <w:vAlign w:val="center"/>
            <w:textDirection w:val="lrTb"/>
            <w:noWrap w:val="false"/>
          </w:tcPr>
          <w:p>
            <w:pPr>
              <w:jc w:val="left"/>
              <w:spacing w:before="156" w:line="360" w:lineRule="auto"/>
              <w:rPr>
                <w:rFonts w:ascii="Arial" w:hAnsi="Arial" w:cs="Arial"/>
                <w:color w:val="auto"/>
                <w:highlight w:val="none"/>
              </w:rPr>
            </w:pPr>
            <w:r>
              <w:rPr>
                <w:rFonts w:ascii="Arial" w:hAnsi="Arial" w:cs="Arial"/>
                <w:color w:val="auto"/>
                <w:highlight w:val="none"/>
              </w:rPr>
              <w:t xml:space="preserve">法定代表人（或委托代理人）</w:t>
            </w:r>
            <w:r/>
          </w:p>
          <w:p>
            <w:pPr>
              <w:jc w:val="left"/>
              <w:spacing w:line="360" w:lineRule="auto"/>
              <w:rPr>
                <w:rFonts w:ascii="Arial" w:hAnsi="Arial" w:cs="Arial"/>
                <w:color w:val="auto"/>
                <w:highlight w:val="none"/>
              </w:rPr>
            </w:pPr>
            <w:r>
              <w:rPr>
                <w:rFonts w:ascii="Arial" w:hAnsi="Arial" w:cs="Arial"/>
                <w:color w:val="auto"/>
                <w:highlight w:val="none"/>
              </w:rPr>
              <w:t xml:space="preserve">（签字）：</w:t>
            </w:r>
            <w:r/>
          </w:p>
        </w:tc>
      </w:tr>
      <w:tr>
        <w:trPr>
          <w:cantSplit/>
          <w:trHeight w:val="344"/>
        </w:trPr>
        <w:tc>
          <w:tcPr>
            <w:tcW w:w="4943" w:type="dxa"/>
            <w:vAlign w:val="center"/>
            <w:textDirection w:val="lrTb"/>
            <w:noWrap w:val="false"/>
          </w:tcPr>
          <w:p>
            <w:pPr>
              <w:spacing w:line="360" w:lineRule="auto"/>
              <w:rPr>
                <w:rFonts w:ascii="Arial" w:hAnsi="Arial" w:cs="Arial"/>
                <w:color w:val="auto"/>
                <w:highlight w:val="none"/>
              </w:rPr>
            </w:pPr>
            <w:r>
              <w:rPr>
                <w:rFonts w:ascii="Arial" w:hAnsi="Arial" w:cs="Arial"/>
                <w:color w:val="auto"/>
                <w:highlight w:val="none"/>
              </w:rPr>
              <w:t xml:space="preserve">电话：</w:t>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电话：</w:t>
            </w:r>
            <w:r/>
          </w:p>
        </w:tc>
      </w:tr>
      <w:tr>
        <w:trPr>
          <w:cantSplit/>
          <w:trHeight w:val="374"/>
        </w:trPr>
        <w:tc>
          <w:tcPr>
            <w:tcW w:w="4943" w:type="dxa"/>
            <w:vAlign w:val="center"/>
            <w:textDirection w:val="lrTb"/>
            <w:noWrap w:val="false"/>
          </w:tcPr>
          <w:p>
            <w:pPr>
              <w:spacing w:line="360" w:lineRule="auto"/>
              <w:rPr>
                <w:rFonts w:ascii="Arial" w:hAnsi="Arial" w:cs="Arial"/>
                <w:color w:val="auto"/>
                <w:highlight w:val="none"/>
              </w:rPr>
            </w:pPr>
            <w:r>
              <w:rPr>
                <w:rFonts w:ascii="Arial" w:hAnsi="Arial" w:cs="Arial"/>
                <w:color w:val="auto"/>
                <w:highlight w:val="none"/>
              </w:rPr>
              <w:t xml:space="preserve">电子邮箱：</w:t>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电子邮箱：</w:t>
            </w:r>
            <w:r/>
          </w:p>
        </w:tc>
      </w:tr>
      <w:tr>
        <w:trPr>
          <w:cantSplit/>
          <w:trHeight w:val="433"/>
        </w:trPr>
        <w:tc>
          <w:tcPr>
            <w:tcW w:w="4943" w:type="dxa"/>
            <w:vAlign w:val="center"/>
            <w:textDirection w:val="lrTb"/>
            <w:noWrap w:val="false"/>
          </w:tcPr>
          <w:p>
            <w:pPr>
              <w:spacing w:line="360" w:lineRule="auto"/>
              <w:rPr>
                <w:rFonts w:ascii="Arial" w:hAnsi="Arial" w:cs="Arial"/>
                <w:color w:val="auto"/>
                <w:highlight w:val="none"/>
                <w:u w:val="single"/>
              </w:rPr>
            </w:pPr>
            <w:r>
              <w:rPr>
                <w:rFonts w:ascii="Arial" w:hAnsi="Arial" w:cs="Arial"/>
                <w:color w:val="auto"/>
                <w:highlight w:val="none"/>
              </w:rPr>
              <w:t xml:space="preserve">开户银行：</w:t>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开户银行：</w:t>
            </w:r>
            <w:r/>
          </w:p>
        </w:tc>
      </w:tr>
      <w:tr>
        <w:trPr>
          <w:cantSplit/>
          <w:trHeight w:val="397"/>
        </w:trPr>
        <w:tc>
          <w:tcPr>
            <w:tcW w:w="4943" w:type="dxa"/>
            <w:vAlign w:val="center"/>
            <w:textDirection w:val="lrTb"/>
            <w:noWrap w:val="false"/>
          </w:tcPr>
          <w:p>
            <w:pPr>
              <w:spacing w:line="360" w:lineRule="auto"/>
              <w:rPr>
                <w:rFonts w:ascii="Arial" w:hAnsi="Arial" w:cs="Arial"/>
                <w:color w:val="auto"/>
                <w:highlight w:val="none"/>
              </w:rPr>
            </w:pPr>
            <w:r>
              <w:rPr>
                <w:rFonts w:ascii="Arial" w:hAnsi="Arial" w:cs="Arial"/>
                <w:color w:val="auto"/>
                <w:highlight w:val="none"/>
              </w:rPr>
              <w:t xml:space="preserve">账号：</w:t>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账号：</w:t>
            </w:r>
            <w:r/>
          </w:p>
        </w:tc>
      </w:tr>
      <w:tr>
        <w:trPr>
          <w:cantSplit/>
          <w:trHeight w:val="335"/>
        </w:trPr>
        <w:tc>
          <w:tcPr>
            <w:tcW w:w="4943" w:type="dxa"/>
            <w:vAlign w:val="center"/>
            <w:textDirection w:val="lrTb"/>
            <w:noWrap w:val="false"/>
          </w:tcPr>
          <w:p>
            <w:pPr>
              <w:spacing w:line="360" w:lineRule="auto"/>
              <w:rPr>
                <w:rFonts w:ascii="Arial" w:hAnsi="Arial" w:cs="Arial"/>
                <w:color w:val="auto"/>
                <w:highlight w:val="none"/>
              </w:rPr>
            </w:pPr>
            <w:r>
              <w:rPr>
                <w:rFonts w:ascii="Arial" w:hAnsi="Arial" w:cs="Arial"/>
                <w:color w:val="auto"/>
                <w:highlight w:val="none"/>
              </w:rPr>
              <w:t xml:space="preserve">邮政编码：</w:t>
            </w:r>
            <w:r/>
          </w:p>
        </w:tc>
        <w:tc>
          <w:tcPr>
            <w:tcW w:w="4944" w:type="dxa"/>
            <w:vAlign w:val="center"/>
            <w:textDirection w:val="lrTb"/>
            <w:noWrap w:val="false"/>
          </w:tcPr>
          <w:p>
            <w:pPr>
              <w:jc w:val="left"/>
              <w:spacing w:line="360" w:lineRule="auto"/>
              <w:rPr>
                <w:rFonts w:ascii="Arial" w:hAnsi="Arial" w:cs="Arial"/>
                <w:color w:val="auto"/>
                <w:highlight w:val="none"/>
              </w:rPr>
            </w:pPr>
            <w:r>
              <w:rPr>
                <w:rFonts w:ascii="Arial" w:hAnsi="Arial" w:cs="Arial"/>
                <w:color w:val="auto"/>
                <w:highlight w:val="none"/>
              </w:rPr>
              <w:t xml:space="preserve">邮政编码：</w:t>
            </w:r>
            <w:r/>
          </w:p>
        </w:tc>
      </w:tr>
    </w:tbl>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hint="eastAsia" w:ascii="Arial" w:hAnsi="Arial" w:cs="Arial"/>
          <w:color w:val="auto"/>
          <w:highlight w:val="none"/>
          <w:lang w:val="en-US" w:eastAsia="zh-CN"/>
        </w:rPr>
        <w:t xml:space="preserve">丙方（名单）：</w:t>
      </w:r>
      <w:r>
        <w:rPr>
          <w:rFonts w:ascii="Arial" w:hAnsi="Arial" w:cs="Arial"/>
          <w:color w:val="auto"/>
          <w:highlight w:val="none"/>
        </w:rPr>
        <w:t xml:space="preserve">                       </w:t>
      </w:r>
      <w:r/>
    </w:p>
    <w:p>
      <w:pPr>
        <w:ind w:firstLine="420"/>
        <w:jc w:val="left"/>
        <w:spacing w:line="360" w:lineRule="auto"/>
        <w:rPr>
          <w:rFonts w:ascii="Arial" w:hAnsi="Arial" w:cs="Arial"/>
          <w:color w:val="auto"/>
          <w:highlight w:val="none"/>
        </w:rPr>
      </w:pPr>
      <w:r>
        <w:rPr>
          <w:rFonts w:ascii="Arial" w:hAnsi="Arial" w:cs="Arial"/>
          <w:color w:val="auto"/>
          <w:highlight w:val="none"/>
        </w:rPr>
      </w:r>
      <w:r/>
    </w:p>
    <w:p>
      <w:pPr>
        <w:ind w:firstLine="420"/>
        <w:jc w:val="left"/>
        <w:spacing w:line="360" w:lineRule="auto"/>
        <w:rPr>
          <w:rFonts w:ascii="Arial" w:hAnsi="Arial" w:cs="Arial"/>
          <w:color w:val="auto"/>
          <w:highlight w:val="none"/>
        </w:rPr>
      </w:pPr>
      <w:r>
        <w:rPr>
          <w:rFonts w:ascii="Arial" w:hAnsi="Arial" w:cs="Arial"/>
          <w:color w:val="auto"/>
          <w:highlight w:val="none"/>
        </w:rPr>
      </w:r>
      <w:r/>
    </w:p>
    <w:p>
      <w:pPr>
        <w:ind w:firstLine="7350"/>
        <w:jc w:val="left"/>
        <w:spacing w:line="360" w:lineRule="auto"/>
        <w:rPr>
          <w:rFonts w:ascii="Arial" w:hAnsi="Arial" w:cs="Arial"/>
          <w:color w:val="auto"/>
          <w:highlight w:val="none"/>
        </w:rPr>
      </w:pPr>
      <w:r>
        <w:rPr>
          <w:rFonts w:hint="eastAsia" w:ascii="Arial" w:hAnsi="Arial" w:cs="Arial"/>
          <w:color w:val="auto"/>
          <w:highlight w:val="none"/>
        </w:rPr>
        <w:t xml:space="preserve">年   月    日 </w:t>
      </w:r>
      <w:r>
        <w:rPr>
          <w:rFonts w:ascii="Arial" w:hAnsi="Arial" w:cs="Arial"/>
          <w:color w:val="auto"/>
          <w:highlight w:val="none"/>
        </w:rPr>
        <w:t xml:space="preserve">                                </w:t>
      </w:r>
      <w:r/>
    </w:p>
    <w:p>
      <w:pPr>
        <w:ind w:firstLine="420"/>
        <w:jc w:val="left"/>
        <w:spacing w:line="360" w:lineRule="auto"/>
        <w:rPr>
          <w:rFonts w:ascii="Arial" w:hAnsi="Arial" w:cs="Arial"/>
          <w:color w:val="auto"/>
          <w:highlight w:val="none"/>
        </w:rPr>
      </w:pPr>
      <w:r>
        <w:rPr>
          <w:rFonts w:ascii="Arial" w:hAnsi="Arial" w:cs="Arial"/>
          <w:color w:val="auto"/>
          <w:highlight w:val="none"/>
        </w:rPr>
      </w:r>
      <w:r/>
    </w:p>
    <w:p>
      <w:pPr>
        <w:ind w:firstLine="420"/>
        <w:jc w:val="left"/>
        <w:spacing w:line="360" w:lineRule="auto"/>
        <w:rPr>
          <w:rFonts w:ascii="Arial" w:hAnsi="Arial" w:cs="Arial"/>
          <w:color w:val="auto"/>
          <w:highlight w:val="none"/>
        </w:rPr>
        <w:sectPr>
          <w:footerReference w:type="default" r:id="rId12"/>
          <w:footerReference w:type="first" r:id="rId13"/>
          <w:footnotePr/>
          <w:endnotePr/>
          <w:type w:val="nextPage"/>
          <w:pgSz w:w="11906" w:h="16838" w:orient="portrait"/>
          <w:pgMar w:top="1134" w:right="1134" w:bottom="1084" w:left="1134" w:header="624" w:footer="907" w:gutter="0"/>
          <w:pgNumType w:start="1"/>
          <w:cols w:num="1" w:sep="0" w:space="1701" w:equalWidth="1"/>
          <w:docGrid w:linePitch="360"/>
          <w:titlePg/>
        </w:sectPr>
      </w:pPr>
      <w:r>
        <w:rPr>
          <w:rFonts w:ascii="Arial" w:hAnsi="Arial" w:cs="Arial"/>
          <w:color w:val="auto"/>
          <w:highlight w:val="none"/>
        </w:rPr>
        <w:t xml:space="preserve">本合同自签字盖章</w:t>
      </w:r>
      <w:r>
        <w:rPr>
          <w:rFonts w:hint="eastAsia" w:ascii="Arial" w:hAnsi="Arial" w:cs="Arial"/>
          <w:color w:val="auto"/>
          <w:highlight w:val="none"/>
          <w:lang w:val="en-US" w:eastAsia="zh-CN"/>
        </w:rPr>
        <w:t xml:space="preserve">之日起</w:t>
      </w:r>
      <w:r>
        <w:rPr>
          <w:rFonts w:ascii="Arial" w:hAnsi="Arial" w:cs="Arial"/>
          <w:color w:val="auto"/>
          <w:highlight w:val="none"/>
        </w:rPr>
        <w:t xml:space="preserve">生效。</w:t>
      </w:r>
      <w:r/>
    </w:p>
    <w:p>
      <w:pPr>
        <w:spacing w:line="360" w:lineRule="auto"/>
        <w:rPr>
          <w:rFonts w:ascii="Arial" w:hAnsi="Arial" w:cs="Arial"/>
          <w:b/>
          <w:color w:val="auto"/>
          <w:highlight w:val="none"/>
        </w:rPr>
        <w:outlineLvl w:val="0"/>
      </w:pPr>
      <w:r>
        <w:rPr>
          <w:rFonts w:hint="eastAsia" w:ascii="Arial" w:hAnsi="Arial" w:cs="Arial"/>
          <w:b/>
          <w:color w:val="auto"/>
          <w:highlight w:val="none"/>
        </w:rPr>
        <w:t xml:space="preserve">合同附件： 视力筛查工作要求</w:t>
      </w:r>
      <w:r/>
    </w:p>
    <w:p>
      <w:pPr>
        <w:ind w:firstLine="420"/>
        <w:jc w:val="left"/>
        <w:spacing w:line="360" w:lineRule="auto"/>
        <w:rPr>
          <w:rFonts w:ascii="Arial" w:hAnsi="Arial" w:cs="Arial"/>
          <w:bCs/>
          <w:color w:val="auto"/>
          <w:highlight w:val="none"/>
        </w:rPr>
      </w:pPr>
      <w:r>
        <w:rPr>
          <w:rFonts w:ascii="Arial" w:hAnsi="Arial" w:cs="Arial"/>
          <w:bCs/>
          <w:color w:val="auto"/>
          <w:highlight w:val="none"/>
        </w:rPr>
        <w:t xml:space="preserve">1、本项目实际执行团队成员必须为</w:t>
      </w:r>
      <w:r>
        <w:rPr>
          <w:rFonts w:hint="eastAsia" w:ascii="Arial" w:hAnsi="Arial" w:cs="Arial"/>
          <w:bCs/>
          <w:color w:val="auto"/>
          <w:highlight w:val="none"/>
        </w:rPr>
        <w:t xml:space="preserve">投标文件中</w:t>
      </w:r>
      <w:r>
        <w:rPr>
          <w:rFonts w:ascii="Arial" w:hAnsi="Arial" w:cs="Arial"/>
          <w:bCs/>
          <w:color w:val="auto"/>
          <w:highlight w:val="none"/>
        </w:rPr>
        <w:t xml:space="preserve">所列明的人员，</w:t>
      </w:r>
      <w:r>
        <w:rPr>
          <w:rFonts w:hint="eastAsia" w:ascii="Arial" w:hAnsi="Arial" w:cs="Arial"/>
          <w:bCs/>
          <w:color w:val="auto"/>
          <w:highlight w:val="none"/>
        </w:rPr>
        <w:t xml:space="preserve">如遇特殊情况，允许有20%的调整，</w:t>
      </w:r>
      <w:r>
        <w:rPr>
          <w:rFonts w:ascii="Arial" w:hAnsi="Arial" w:cs="Arial"/>
          <w:bCs/>
          <w:color w:val="auto"/>
          <w:highlight w:val="none"/>
        </w:rPr>
        <w:t xml:space="preserve">如</w:t>
      </w:r>
      <w:r>
        <w:rPr>
          <w:rFonts w:hint="eastAsia" w:ascii="Arial" w:hAnsi="Arial" w:cs="Arial"/>
          <w:bCs/>
          <w:color w:val="auto"/>
          <w:highlight w:val="none"/>
        </w:rPr>
        <w:t xml:space="preserve">有人员调整</w:t>
      </w:r>
      <w:r>
        <w:rPr>
          <w:rFonts w:ascii="Arial" w:hAnsi="Arial" w:cs="Arial"/>
          <w:bCs/>
          <w:color w:val="auto"/>
          <w:highlight w:val="none"/>
        </w:rPr>
        <w:t xml:space="preserve">，</w:t>
      </w:r>
      <w:r>
        <w:rPr>
          <w:rFonts w:hint="eastAsia" w:ascii="Arial" w:hAnsi="Arial" w:cs="Arial"/>
          <w:bCs/>
          <w:color w:val="auto"/>
          <w:highlight w:val="none"/>
        </w:rPr>
        <w:t xml:space="preserve">请事先与</w:t>
      </w:r>
      <w:r>
        <w:rPr>
          <w:rFonts w:ascii="Arial" w:hAnsi="Arial" w:cs="Arial"/>
          <w:bCs/>
          <w:color w:val="auto"/>
          <w:highlight w:val="none"/>
        </w:rPr>
        <w:t xml:space="preserve">采购人</w:t>
      </w:r>
      <w:r>
        <w:rPr>
          <w:rFonts w:hint="eastAsia" w:ascii="Arial" w:hAnsi="Arial" w:cs="Arial"/>
          <w:bCs/>
          <w:color w:val="auto"/>
          <w:highlight w:val="none"/>
        </w:rPr>
        <w:t xml:space="preserve">报备并提供调整人员的社保证明等相关材料。</w:t>
      </w:r>
      <w:r/>
    </w:p>
    <w:p>
      <w:pPr>
        <w:ind w:firstLine="420"/>
        <w:jc w:val="left"/>
        <w:spacing w:line="360" w:lineRule="auto"/>
        <w:rPr>
          <w:rFonts w:ascii="Arial" w:hAnsi="Arial" w:cs="Arial"/>
          <w:color w:val="auto"/>
          <w:highlight w:val="none"/>
        </w:rPr>
      </w:pPr>
      <w:r>
        <w:rPr>
          <w:rFonts w:hint="eastAsia" w:ascii="Arial" w:hAnsi="Arial" w:cs="Arial"/>
          <w:bCs/>
          <w:color w:val="auto"/>
          <w:highlight w:val="none"/>
        </w:rPr>
        <w:t xml:space="preserve">2</w:t>
      </w:r>
      <w:r>
        <w:rPr>
          <w:rFonts w:ascii="Arial" w:hAnsi="Arial" w:cs="Arial"/>
          <w:bCs/>
          <w:color w:val="auto"/>
          <w:highlight w:val="none"/>
        </w:rPr>
        <w:t xml:space="preserve">、供应商须负责提供的仪</w:t>
      </w:r>
      <w:r>
        <w:rPr>
          <w:rFonts w:hint="eastAsia" w:ascii="Arial" w:hAnsi="Arial" w:cs="Arial"/>
          <w:bCs/>
          <w:color w:val="auto"/>
          <w:highlight w:val="none"/>
        </w:rPr>
        <w:t xml:space="preserve">器设备应符合国家卫生健康委发布的《儿童青少年近视防控适宜技术指南》（更新版）的规定，其中远视力监测应采用《GB11533—2011标准对数视力表》。屈光检查采用自动电脑验光仪，设备要求应符合《ISO10342—2010眼科仪器：验光仪》的规定并定期接受计量检定和校准。</w:t>
      </w:r>
      <w:r/>
    </w:p>
    <w:p>
      <w:pPr>
        <w:ind w:firstLine="420"/>
        <w:jc w:val="left"/>
        <w:spacing w:line="360" w:lineRule="auto"/>
        <w:rPr>
          <w:rFonts w:ascii="Arial" w:hAnsi="Arial" w:cs="Arial"/>
          <w:color w:val="auto"/>
          <w:highlight w:val="none"/>
        </w:rPr>
      </w:pPr>
      <w:r>
        <w:rPr>
          <w:rFonts w:hint="eastAsia" w:ascii="Arial" w:hAnsi="Arial" w:cs="Arial"/>
          <w:bCs/>
          <w:color w:val="auto"/>
          <w:highlight w:val="none"/>
        </w:rPr>
        <w:t xml:space="preserve">3</w:t>
      </w:r>
      <w:r>
        <w:rPr>
          <w:rFonts w:ascii="Arial" w:hAnsi="Arial" w:cs="Arial"/>
          <w:bCs/>
          <w:color w:val="auto"/>
          <w:highlight w:val="none"/>
        </w:rPr>
        <w:t xml:space="preserve">、供应商提供的监测仪器设备、裸眼视力检查、屈光检测方法、结果记录</w:t>
      </w:r>
      <w:r>
        <w:rPr>
          <w:rFonts w:hint="eastAsia" w:ascii="Arial" w:hAnsi="Arial" w:cs="Arial"/>
          <w:bCs/>
          <w:color w:val="auto"/>
          <w:highlight w:val="none"/>
        </w:rPr>
        <w:t xml:space="preserve">及筛查性近视诊断标准</w:t>
      </w:r>
      <w:r>
        <w:rPr>
          <w:rFonts w:ascii="Arial" w:hAnsi="Arial" w:cs="Arial"/>
          <w:bCs/>
          <w:color w:val="auto"/>
          <w:highlight w:val="none"/>
        </w:rPr>
        <w:t xml:space="preserve">等须按照《儿童青少年近视防控适宜技术指南》（更新版）</w:t>
      </w:r>
      <w:r>
        <w:rPr>
          <w:rFonts w:hint="eastAsia" w:ascii="Arial" w:hAnsi="Arial" w:cs="Arial"/>
          <w:bCs/>
          <w:color w:val="auto"/>
          <w:highlight w:val="none"/>
        </w:rPr>
        <w:t xml:space="preserve">和</w:t>
      </w:r>
      <w:r>
        <w:rPr>
          <w:rFonts w:ascii="Arial" w:hAnsi="Arial" w:cs="Arial"/>
          <w:bCs/>
          <w:color w:val="auto"/>
          <w:highlight w:val="none"/>
        </w:rPr>
        <w:t xml:space="preserve">《中小学屈光不正筛查规范》（WS/T 663-2020）的相关要求，做好测试技术规范、现场测试项目抽检、</w:t>
      </w:r>
      <w:r>
        <w:rPr>
          <w:rFonts w:hint="eastAsia" w:ascii="Arial" w:hAnsi="Arial" w:cs="Arial"/>
          <w:bCs/>
          <w:color w:val="auto"/>
          <w:highlight w:val="none"/>
        </w:rPr>
        <w:t xml:space="preserve">近视诊断、</w:t>
      </w:r>
      <w:r>
        <w:rPr>
          <w:rFonts w:ascii="Arial" w:hAnsi="Arial" w:cs="Arial"/>
          <w:bCs/>
          <w:color w:val="auto"/>
          <w:highlight w:val="none"/>
        </w:rPr>
        <w:t xml:space="preserve">数据录入等各环节的质量控制工作</w:t>
      </w:r>
      <w:r>
        <w:rPr>
          <w:rFonts w:hint="eastAsia" w:ascii="Arial" w:hAnsi="Arial" w:cs="Arial"/>
          <w:bCs/>
          <w:color w:val="auto"/>
          <w:highlight w:val="none"/>
        </w:rPr>
        <w:t xml:space="preserve">；做到监测现场规范穿着工作服、佩戴统一发放的编码胸牌（编码与供应商提供的人员名单一一对应，不得随意更改），保持良好服务态度；对现场督查提出的问题及时整改</w:t>
      </w:r>
      <w:r>
        <w:rPr>
          <w:rFonts w:ascii="Arial" w:hAnsi="Arial" w:cs="Arial"/>
          <w:color w:val="auto"/>
          <w:highlight w:val="none"/>
        </w:rPr>
        <w:t xml:space="preserve">。</w:t>
      </w:r>
      <w:r/>
    </w:p>
    <w:p>
      <w:pPr>
        <w:ind w:firstLine="420"/>
        <w:jc w:val="left"/>
        <w:spacing w:line="360" w:lineRule="auto"/>
        <w:rPr>
          <w:rFonts w:ascii="Arial" w:hAnsi="Arial" w:cs="Arial"/>
          <w:color w:val="auto"/>
          <w:highlight w:val="none"/>
        </w:rPr>
      </w:pPr>
      <w:r>
        <w:rPr>
          <w:rFonts w:hint="eastAsia" w:ascii="Arial" w:hAnsi="Arial" w:cs="Arial"/>
          <w:color w:val="auto"/>
          <w:highlight w:val="none"/>
        </w:rPr>
        <w:t xml:space="preserve">4、供应商在正式开展现场监测前应通过与社区医院、学校对接进行日程排定，并报备采购单位；如遇学校监测日程有变动需要，应及时配合调整更替时间并实时更新日程表。</w:t>
      </w:r>
      <w:r/>
    </w:p>
    <w:p>
      <w:pPr>
        <w:ind w:firstLine="420"/>
        <w:jc w:val="left"/>
        <w:spacing w:line="360" w:lineRule="auto"/>
        <w:rPr>
          <w:rFonts w:ascii="Arial" w:hAnsi="Arial" w:cs="Arial"/>
          <w:color w:val="auto"/>
          <w:highlight w:val="none"/>
        </w:rPr>
      </w:pPr>
      <w:r>
        <w:rPr>
          <w:rFonts w:hint="eastAsia" w:ascii="Arial" w:hAnsi="Arial" w:cs="Arial"/>
          <w:color w:val="auto"/>
          <w:highlight w:val="none"/>
        </w:rPr>
        <w:t xml:space="preserve">5、幼儿园视力筛查，供应商能通过系统将视力筛查结果导入贵安宝贝托幼卫生保健管理云平台，中小学视力筛查，供应商能通过系统将监测数据直接上传至南京市学生体质与健康管理平台或将监测数据按“南京市学生体质与健康管理平台”的格式要求，在规定时间内以Excel电子表格形式反馈给采购人，由采购人自行上传，不论那种上传方式，最终结论要达到优良标准。</w:t>
      </w:r>
      <w:r/>
    </w:p>
    <w:p>
      <w:pPr>
        <w:ind w:firstLine="420"/>
        <w:jc w:val="left"/>
        <w:spacing w:line="360" w:lineRule="auto"/>
        <w:rPr>
          <w:rFonts w:ascii="Arial" w:hAnsi="Arial" w:cs="Arial"/>
          <w:color w:val="auto"/>
          <w:highlight w:val="none"/>
        </w:rPr>
      </w:pPr>
      <w:r>
        <w:rPr>
          <w:rFonts w:hint="eastAsia" w:ascii="Arial" w:hAnsi="Arial" w:cs="Arial"/>
          <w:color w:val="auto"/>
          <w:highlight w:val="none"/>
        </w:rPr>
        <w:t xml:space="preserve">6、若学校有纸质个体报告单需求，供应商应将报告打出并整理分发给学校，数据严禁外泄，不能用于商业用途。</w:t>
      </w:r>
      <w:r/>
    </w:p>
    <w:p>
      <w:pPr>
        <w:ind w:firstLine="420"/>
        <w:jc w:val="left"/>
        <w:spacing w:line="360" w:lineRule="auto"/>
        <w:rPr>
          <w:rFonts w:ascii="Arial" w:hAnsi="Arial" w:cs="Arial"/>
          <w:color w:val="auto"/>
          <w:highlight w:val="none"/>
        </w:rPr>
      </w:pPr>
      <w:r>
        <w:rPr>
          <w:rFonts w:hint="eastAsia" w:ascii="Arial" w:hAnsi="Arial" w:cs="Arial"/>
          <w:color w:val="auto"/>
          <w:highlight w:val="none"/>
        </w:rPr>
        <w:t xml:space="preserve">7、入校监测应严格遵守学校传染病防控相关规定。</w:t>
      </w:r>
      <w:r/>
    </w:p>
    <w:p>
      <w:pPr>
        <w:ind w:firstLine="420"/>
        <w:jc w:val="left"/>
        <w:spacing w:line="360" w:lineRule="auto"/>
        <w:rPr>
          <w:rFonts w:ascii="Arial" w:hAnsi="Arial" w:cs="Arial"/>
          <w:color w:val="auto"/>
          <w:highlight w:val="none"/>
        </w:rPr>
      </w:pPr>
      <w:r>
        <w:rPr>
          <w:rFonts w:hint="eastAsia" w:ascii="Arial" w:hAnsi="Arial" w:cs="Arial"/>
          <w:color w:val="auto"/>
          <w:highlight w:val="none"/>
        </w:rPr>
        <w:t xml:space="preserve">8、供应商的任何错漏、优惠、竞争性的报价不得作为减轻责任、减少服务、增加收费、降低质量的理由，采购人对本项目不再另行支付其他任何费用。</w:t>
      </w:r>
      <w:r/>
    </w:p>
    <w:p>
      <w:pPr>
        <w:ind w:firstLine="420"/>
        <w:jc w:val="left"/>
        <w:spacing w:line="360" w:lineRule="auto"/>
        <w:rPr>
          <w:rFonts w:ascii="Arial" w:hAnsi="Arial" w:cs="Arial"/>
          <w:color w:val="auto"/>
          <w:highlight w:val="none"/>
        </w:rPr>
      </w:pPr>
      <w:r>
        <w:rPr>
          <w:rFonts w:hint="eastAsia" w:ascii="Arial" w:hAnsi="Arial" w:cs="Arial"/>
          <w:color w:val="auto"/>
          <w:highlight w:val="none"/>
        </w:rPr>
        <w:t xml:space="preserve">9、中标供应商承诺提供的其他增值服务。</w:t>
      </w:r>
      <w:r/>
    </w:p>
    <w:p>
      <w:pPr>
        <w:pStyle w:val="885"/>
        <w:ind w:firstLine="569"/>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第四章 采购需求</w:t>
      </w:r>
      <w:bookmarkEnd w:id="255"/>
      <w:r/>
      <w:bookmarkEnd w:id="256"/>
      <w:r/>
      <w:r/>
    </w:p>
    <w:p>
      <w:pPr>
        <w:spacing w:line="360" w:lineRule="auto"/>
        <w:rPr>
          <w:rFonts w:hint="eastAsia" w:ascii="宋体" w:hAnsi="宋体" w:cs="Arial"/>
          <w:b/>
          <w:bCs/>
          <w:color w:val="auto"/>
          <w:highlight w:val="none"/>
        </w:rPr>
      </w:pPr>
      <w:r>
        <w:rPr>
          <w:rFonts w:ascii="宋体" w:hAnsi="宋体" w:cs="Arial"/>
          <w:b/>
          <w:bCs/>
          <w:color w:val="auto"/>
          <w:highlight w:val="none"/>
        </w:rPr>
        <w:t xml:space="preserve">一、采购清单</w:t>
      </w:r>
      <w:r/>
    </w:p>
    <w:tbl>
      <w:tblPr>
        <w:tblStyle w:val="822"/>
        <w:tblW w:w="8789" w:type="dxa"/>
        <w:jc w:val="center"/>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970"/>
        <w:gridCol w:w="1698"/>
        <w:gridCol w:w="3228"/>
      </w:tblGrid>
      <w:tr>
        <w:trPr>
          <w:jc w:val="center"/>
          <w:trHeight w:val="506"/>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rPr>
                <w:rFonts w:hint="eastAsia" w:ascii="宋体" w:hAnsi="宋体" w:cs="Arial"/>
                <w:color w:val="auto"/>
                <w:highlight w:val="none"/>
              </w:rPr>
            </w:pPr>
            <w:r>
              <w:rPr>
                <w:rFonts w:hint="eastAsia" w:ascii="宋体" w:hAnsi="宋体" w:cs="Arial"/>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spacing w:line="360" w:lineRule="auto"/>
              <w:rPr>
                <w:rFonts w:hint="eastAsia" w:ascii="宋体" w:hAnsi="宋体" w:cs="Arial"/>
                <w:color w:val="auto"/>
                <w:highlight w:val="none"/>
              </w:rPr>
            </w:pPr>
            <w:r>
              <w:rPr>
                <w:rFonts w:hint="eastAsia" w:ascii="宋体" w:hAnsi="宋体" w:cs="Arial"/>
                <w:color w:val="auto"/>
                <w:highlight w:val="none"/>
              </w:rPr>
              <w:t xml:space="preserve">项目</w:t>
            </w:r>
            <w:r>
              <w:rPr>
                <w:rFonts w:ascii="宋体" w:hAnsi="宋体" w:cs="Arial"/>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spacing w:line="360" w:lineRule="auto"/>
              <w:tabs>
                <w:tab w:val="left" w:pos="4788" w:leader="none"/>
              </w:tabs>
              <w:rPr>
                <w:rFonts w:hint="eastAsia" w:ascii="宋体" w:hAnsi="宋体" w:cs="Arial"/>
                <w:bCs/>
                <w:color w:val="auto"/>
                <w:highlight w:val="none"/>
              </w:rPr>
            </w:pPr>
            <w:r>
              <w:rPr>
                <w:rFonts w:hint="eastAsia" w:ascii="宋体" w:hAnsi="宋体" w:cs="Arial"/>
                <w:bCs/>
                <w:color w:val="auto"/>
                <w:highlight w:val="none"/>
              </w:rPr>
              <w:t xml:space="preserve">最高限价</w:t>
            </w:r>
            <w:r/>
          </w:p>
        </w:tc>
        <w:tc>
          <w:tcPr>
            <w:tcBorders>
              <w:top w:val="single" w:color="auto" w:sz="4" w:space="0"/>
              <w:left w:val="single" w:color="auto" w:sz="4" w:space="0"/>
              <w:bottom w:val="single" w:color="auto" w:sz="4" w:space="0"/>
              <w:right w:val="single" w:color="auto" w:sz="4" w:space="0"/>
            </w:tcBorders>
            <w:tcW w:w="3228" w:type="dxa"/>
            <w:vAlign w:val="center"/>
            <w:textDirection w:val="lrTb"/>
            <w:noWrap w:val="false"/>
          </w:tcPr>
          <w:p>
            <w:pPr>
              <w:jc w:val="center"/>
              <w:rPr>
                <w:rFonts w:hint="eastAsia" w:ascii="宋体" w:hAnsi="宋体" w:cs="Arial"/>
                <w:color w:val="auto"/>
                <w:highlight w:val="none"/>
              </w:rPr>
            </w:pPr>
            <w:r>
              <w:rPr>
                <w:rFonts w:ascii="宋体" w:hAnsi="宋体" w:cs="Arial"/>
                <w:color w:val="auto"/>
                <w:highlight w:val="none"/>
              </w:rPr>
              <w:t xml:space="preserve">合同</w:t>
            </w:r>
            <w:r>
              <w:rPr>
                <w:rFonts w:hint="eastAsia" w:ascii="宋体" w:hAnsi="宋体" w:cs="Arial"/>
                <w:color w:val="auto"/>
                <w:highlight w:val="none"/>
              </w:rPr>
              <w:t xml:space="preserve">有效期</w:t>
            </w:r>
            <w:r/>
          </w:p>
        </w:tc>
      </w:tr>
      <w:tr>
        <w:trPr>
          <w:jc w:val="center"/>
          <w:trHeight w:val="801"/>
        </w:trPr>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jc w:val="center"/>
              <w:spacing w:line="360" w:lineRule="auto"/>
              <w:tabs>
                <w:tab w:val="left" w:pos="4788" w:leader="none"/>
              </w:tabs>
              <w:rPr>
                <w:rFonts w:hint="eastAsia" w:ascii="宋体" w:hAnsi="宋体" w:cs="Arial"/>
                <w:color w:val="auto"/>
                <w:highlight w:val="none"/>
              </w:rPr>
            </w:pPr>
            <w:r>
              <w:rPr>
                <w:rFonts w:hint="eastAsia" w:ascii="宋体" w:hAnsi="宋体" w:cs="Arial"/>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2970" w:type="dxa"/>
            <w:vAlign w:val="center"/>
            <w:textDirection w:val="lrTb"/>
            <w:noWrap w:val="false"/>
          </w:tcPr>
          <w:p>
            <w:pPr>
              <w:jc w:val="center"/>
              <w:widowControl/>
              <w:rPr>
                <w:rFonts w:hint="eastAsia" w:ascii="宋体" w:hAnsi="宋体" w:cs="Arial"/>
                <w:color w:val="auto"/>
                <w:highlight w:val="none"/>
              </w:rPr>
            </w:pPr>
            <w:r>
              <w:rPr>
                <w:rFonts w:hint="eastAsia" w:ascii="宋体" w:hAnsi="宋体" w:cs="Arial"/>
                <w:color w:val="auto"/>
                <w:highlight w:val="none"/>
              </w:rPr>
              <w:t xml:space="preserve">江宁区卫健委下属单位视力筛查服务</w:t>
            </w:r>
            <w:r/>
          </w:p>
        </w:tc>
        <w:tc>
          <w:tcPr>
            <w:tcBorders>
              <w:top w:val="single" w:color="auto" w:sz="4" w:space="0"/>
              <w:left w:val="single" w:color="auto" w:sz="4" w:space="0"/>
              <w:bottom w:val="single" w:color="auto" w:sz="4" w:space="0"/>
              <w:right w:val="single" w:color="auto" w:sz="4" w:space="0"/>
            </w:tcBorders>
            <w:tcW w:w="1698" w:type="dxa"/>
            <w:vAlign w:val="center"/>
            <w:textDirection w:val="lrTb"/>
            <w:noWrap w:val="false"/>
          </w:tcPr>
          <w:p>
            <w:pPr>
              <w:jc w:val="center"/>
              <w:spacing w:line="360" w:lineRule="auto"/>
              <w:tabs>
                <w:tab w:val="left" w:pos="4788" w:leader="none"/>
              </w:tabs>
              <w:rPr>
                <w:rFonts w:hint="eastAsia" w:ascii="宋体" w:hAnsi="宋体" w:cs="Arial"/>
                <w:color w:val="auto"/>
                <w:highlight w:val="none"/>
              </w:rPr>
            </w:pPr>
            <w:r>
              <w:rPr>
                <w:rFonts w:hint="eastAsia" w:ascii="宋体" w:hAnsi="宋体" w:cs="Arial"/>
                <w:color w:val="auto"/>
                <w:highlight w:val="none"/>
              </w:rPr>
              <w:t xml:space="preserve">7.</w:t>
            </w:r>
            <w:r>
              <w:rPr>
                <w:rFonts w:hint="eastAsia" w:ascii="宋体" w:hAnsi="宋体" w:cs="Arial"/>
                <w:color w:val="auto"/>
                <w:highlight w:val="none"/>
                <w:lang w:val="en-US" w:eastAsia="zh-CN"/>
              </w:rPr>
              <w:t xml:space="preserve">4</w:t>
            </w:r>
            <w:r>
              <w:rPr>
                <w:rFonts w:hint="eastAsia" w:ascii="宋体" w:hAnsi="宋体" w:cs="Arial"/>
                <w:color w:val="auto"/>
                <w:highlight w:val="none"/>
              </w:rPr>
              <w:t xml:space="preserve">元/人</w:t>
            </w:r>
            <w:r/>
          </w:p>
        </w:tc>
        <w:tc>
          <w:tcPr>
            <w:tcBorders>
              <w:top w:val="single" w:color="auto" w:sz="4" w:space="0"/>
              <w:left w:val="single" w:color="auto" w:sz="4" w:space="0"/>
              <w:bottom w:val="single" w:color="auto" w:sz="4" w:space="0"/>
              <w:right w:val="single" w:color="auto" w:sz="4" w:space="0"/>
            </w:tcBorders>
            <w:tcW w:w="3228"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两</w:t>
            </w:r>
            <w:r>
              <w:rPr>
                <w:rFonts w:hint="eastAsia" w:ascii="宋体" w:hAnsi="宋体" w:cs="宋体"/>
                <w:color w:val="auto"/>
                <w:highlight w:val="none"/>
              </w:rPr>
              <w:t xml:space="preserve">年</w:t>
            </w:r>
            <w:r/>
          </w:p>
        </w:tc>
      </w:tr>
    </w:tbl>
    <w:p>
      <w:pPr>
        <w:ind w:firstLine="211"/>
        <w:jc w:val="left"/>
        <w:spacing w:line="360" w:lineRule="auto"/>
        <w:widowControl/>
        <w:rPr>
          <w:rFonts w:hint="eastAsia" w:ascii="宋体" w:hAnsi="宋体" w:cs="Arial"/>
          <w:b/>
          <w:color w:val="auto"/>
          <w:highlight w:val="none"/>
        </w:rPr>
      </w:pPr>
      <w:r>
        <w:rPr>
          <w:rFonts w:ascii="宋体" w:hAnsi="宋体" w:cs="Arial"/>
          <w:b/>
          <w:color w:val="auto"/>
          <w:highlight w:val="none"/>
        </w:rPr>
        <w:t xml:space="preserve">注：</w:t>
      </w:r>
      <w:r>
        <w:rPr>
          <w:rFonts w:hint="eastAsia" w:ascii="宋体" w:hAnsi="宋体" w:cs="Arial"/>
          <w:b/>
          <w:bCs/>
          <w:color w:val="auto"/>
          <w:highlight w:val="none"/>
        </w:rPr>
        <w:t xml:space="preserve">1</w:t>
      </w:r>
      <w:r>
        <w:rPr>
          <w:rFonts w:ascii="宋体" w:hAnsi="宋体" w:cs="Arial"/>
          <w:b/>
          <w:bCs/>
          <w:color w:val="auto"/>
          <w:highlight w:val="none"/>
        </w:rPr>
        <w:t xml:space="preserve">.</w:t>
      </w:r>
      <w:r>
        <w:rPr>
          <w:rFonts w:ascii="宋体" w:hAnsi="宋体" w:cs="Arial"/>
          <w:b/>
          <w:color w:val="auto"/>
          <w:highlight w:val="none"/>
        </w:rPr>
        <w:t xml:space="preserve">投标人所投报价不得超过</w:t>
      </w:r>
      <w:r>
        <w:rPr>
          <w:rFonts w:hint="eastAsia" w:ascii="宋体" w:hAnsi="宋体" w:cs="Arial"/>
          <w:b/>
          <w:color w:val="auto"/>
          <w:highlight w:val="none"/>
        </w:rPr>
        <w:t xml:space="preserve">最高限价</w:t>
      </w:r>
      <w:r>
        <w:rPr>
          <w:rFonts w:ascii="宋体" w:hAnsi="宋体" w:cs="Arial"/>
          <w:b/>
          <w:color w:val="auto"/>
          <w:highlight w:val="none"/>
        </w:rPr>
        <w:t xml:space="preserve">，否则作无效投标处理。</w:t>
      </w:r>
      <w:r/>
    </w:p>
    <w:p>
      <w:pPr>
        <w:ind w:firstLine="632"/>
        <w:jc w:val="left"/>
        <w:spacing w:line="360" w:lineRule="auto"/>
        <w:widowControl/>
        <w:rPr>
          <w:rFonts w:hint="eastAsia" w:ascii="宋体" w:hAnsi="宋体" w:cs="Arial"/>
          <w:b/>
          <w:bCs/>
          <w:color w:val="auto"/>
          <w:highlight w:val="none"/>
        </w:rPr>
      </w:pPr>
      <w:r>
        <w:rPr>
          <w:rFonts w:hint="eastAsia" w:ascii="宋体" w:hAnsi="宋体" w:cs="Arial"/>
          <w:b/>
          <w:bCs/>
          <w:color w:val="auto"/>
          <w:highlight w:val="none"/>
        </w:rPr>
        <w:t xml:space="preserve">2.投标人报价为最终报价，如因国家政策调整，增加的税费由投标人自行承担。</w:t>
      </w:r>
      <w:r/>
    </w:p>
    <w:p>
      <w:pPr>
        <w:ind w:firstLine="632"/>
        <w:jc w:val="left"/>
        <w:spacing w:line="360" w:lineRule="auto"/>
        <w:widowControl/>
        <w:rPr>
          <w:rFonts w:hint="eastAsia" w:ascii="宋体" w:hAnsi="宋体" w:cs="Arial"/>
          <w:b/>
          <w:bCs/>
          <w:color w:val="auto"/>
          <w:highlight w:val="none"/>
        </w:rPr>
      </w:pPr>
      <w:r>
        <w:rPr>
          <w:rFonts w:hint="eastAsia" w:ascii="宋体" w:hAnsi="宋体" w:cs="Arial"/>
          <w:b/>
          <w:bCs/>
          <w:color w:val="auto"/>
          <w:highlight w:val="none"/>
        </w:rPr>
        <w:t xml:space="preserve">3.招标文件中标注“★”的为实质性要求，不满足作无效投标处理。</w:t>
      </w:r>
      <w:r/>
    </w:p>
    <w:p>
      <w:pPr>
        <w:numPr>
          <w:ilvl w:val="0"/>
          <w:numId w:val="4"/>
        </w:numPr>
        <w:spacing w:line="360" w:lineRule="auto"/>
        <w:rPr>
          <w:rFonts w:hint="eastAsia" w:ascii="宋体" w:hAnsi="宋体" w:cs="Arial"/>
          <w:color w:val="auto"/>
          <w:highlight w:val="none"/>
        </w:rPr>
      </w:pPr>
      <w:r>
        <w:rPr>
          <w:rFonts w:ascii="宋体" w:hAnsi="宋体" w:cs="Arial"/>
          <w:b/>
          <w:bCs/>
          <w:color w:val="auto"/>
          <w:highlight w:val="none"/>
        </w:rPr>
        <w:t xml:space="preserve">服务要求：</w:t>
      </w:r>
      <w:r/>
    </w:p>
    <w:p>
      <w:pPr>
        <w:spacing w:after="120"/>
        <w:rPr>
          <w:rFonts w:hint="eastAsia" w:ascii="宋体" w:hAnsi="宋体"/>
          <w:color w:val="auto"/>
          <w:highlight w:val="none"/>
        </w:rPr>
      </w:pPr>
      <w:r>
        <w:rPr>
          <w:rFonts w:hint="eastAsia" w:ascii="宋体" w:hAnsi="宋体" w:cs="Arial"/>
          <w:b/>
          <w:bCs/>
          <w:color w:val="auto"/>
          <w:highlight w:val="none"/>
        </w:rPr>
        <w:t xml:space="preserve">(一)</w:t>
      </w:r>
      <w:r>
        <w:rPr>
          <w:rFonts w:ascii="宋体" w:hAnsi="宋体" w:cs="Arial"/>
          <w:b/>
          <w:bCs/>
          <w:color w:val="auto"/>
          <w:highlight w:val="none"/>
        </w:rPr>
        <w:t xml:space="preserve">、</w:t>
      </w:r>
      <w:r>
        <w:rPr>
          <w:rFonts w:hint="eastAsia" w:ascii="宋体" w:hAnsi="宋体" w:cs="Arial"/>
          <w:b/>
          <w:bCs/>
          <w:color w:val="auto"/>
          <w:highlight w:val="none"/>
        </w:rPr>
        <w:t xml:space="preserve">区域人数分配</w:t>
      </w:r>
      <w:r/>
    </w:p>
    <w:tbl>
      <w:tblPr>
        <w:tblStyle w:val="8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820"/>
        <w:gridCol w:w="2460"/>
      </w:tblGrid>
      <w:tr>
        <w:trPr>
          <w:jc w:val="center"/>
        </w:trPr>
        <w:tc>
          <w:tcPr>
            <w:tcW w:w="1242" w:type="dxa"/>
            <w:vAlign w:val="center"/>
            <w:textDirection w:val="lrTb"/>
            <w:noWrap w:val="false"/>
          </w:tcPr>
          <w:p>
            <w:pPr>
              <w:jc w:val="center"/>
              <w:spacing w:line="360" w:lineRule="auto"/>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包号</w:t>
            </w:r>
            <w:r/>
          </w:p>
        </w:tc>
        <w:tc>
          <w:tcPr>
            <w:tcW w:w="4820" w:type="dxa"/>
            <w:vAlign w:val="center"/>
            <w:textDirection w:val="lrTb"/>
            <w:noWrap w:val="false"/>
          </w:tcPr>
          <w:p>
            <w:pPr>
              <w:jc w:val="center"/>
              <w:spacing w:line="360" w:lineRule="auto"/>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监测范围</w:t>
            </w:r>
            <w:r/>
          </w:p>
        </w:tc>
        <w:tc>
          <w:tcPr>
            <w:tcW w:w="2460" w:type="dxa"/>
            <w:vAlign w:val="center"/>
            <w:textDirection w:val="lrTb"/>
            <w:noWrap w:val="false"/>
          </w:tcPr>
          <w:p>
            <w:pPr>
              <w:jc w:val="center"/>
              <w:spacing w:line="360" w:lineRule="auto"/>
              <w:widowControl/>
              <w:rPr>
                <w:rFonts w:hint="eastAsia" w:ascii="宋体" w:hAnsi="宋体" w:cs="Arial"/>
                <w:b/>
                <w:bCs/>
                <w:color w:val="auto"/>
                <w:spacing w:val="8"/>
                <w:highlight w:val="none"/>
              </w:rPr>
            </w:pPr>
            <w:r>
              <w:rPr>
                <w:rFonts w:hint="eastAsia" w:ascii="宋体" w:hAnsi="宋体" w:cs="Arial"/>
                <w:b/>
                <w:bCs/>
                <w:color w:val="auto"/>
                <w:spacing w:val="8"/>
                <w:highlight w:val="none"/>
              </w:rPr>
              <w:t xml:space="preserve">人数（预估数量）</w:t>
            </w:r>
            <w:r/>
          </w:p>
        </w:tc>
      </w:tr>
      <w:tr>
        <w:trPr>
          <w:cantSplit/>
          <w:jc w:val="center"/>
        </w:trPr>
        <w:tc>
          <w:tcPr>
            <w:tcW w:w="1242" w:type="dxa"/>
            <w:vAlign w:val="center"/>
            <w:textDirection w:val="lrTb"/>
            <w:noWrap w:val="false"/>
          </w:tcPr>
          <w:p>
            <w:pPr>
              <w:jc w:val="center"/>
              <w:spacing w:line="360" w:lineRule="auto"/>
              <w:widowControl/>
              <w:rPr>
                <w:rFonts w:hint="eastAsia" w:ascii="宋体" w:hAnsi="宋体" w:cs="Arial"/>
                <w:color w:val="auto"/>
                <w:spacing w:val="8"/>
                <w:highlight w:val="none"/>
              </w:rPr>
            </w:pPr>
            <w:r>
              <w:rPr>
                <w:rFonts w:hint="eastAsia" w:ascii="宋体" w:hAnsi="宋体" w:cs="Arial"/>
                <w:color w:val="auto"/>
                <w:spacing w:val="8"/>
                <w:highlight w:val="none"/>
              </w:rPr>
              <w:t xml:space="preserve">1</w:t>
            </w:r>
            <w:r/>
          </w:p>
        </w:tc>
        <w:tc>
          <w:tcPr>
            <w:tcW w:w="4820" w:type="dxa"/>
            <w:vAlign w:val="center"/>
            <w:textDirection w:val="lrTb"/>
            <w:noWrap w:val="false"/>
          </w:tcPr>
          <w:p>
            <w:pPr>
              <w:jc w:val="center"/>
              <w:spacing w:line="360" w:lineRule="auto"/>
              <w:widowControl/>
              <w:rPr>
                <w:rFonts w:hint="eastAsia" w:ascii="宋体" w:hAnsi="宋体" w:cs="Arial"/>
                <w:color w:val="auto"/>
                <w:spacing w:val="8"/>
                <w:highlight w:val="none"/>
              </w:rPr>
            </w:pPr>
            <w:r>
              <w:rPr>
                <w:rFonts w:hint="eastAsia" w:ascii="宋体" w:hAnsi="宋体" w:cs="Arial"/>
                <w:color w:val="auto"/>
                <w:spacing w:val="8"/>
                <w:highlight w:val="none"/>
              </w:rPr>
              <w:t xml:space="preserve">江宁区</w:t>
            </w:r>
            <w:r/>
          </w:p>
        </w:tc>
        <w:tc>
          <w:tcPr>
            <w:tcW w:w="2460" w:type="dxa"/>
            <w:vAlign w:val="center"/>
            <w:textDirection w:val="lrTb"/>
            <w:noWrap w:val="false"/>
          </w:tcPr>
          <w:p>
            <w:pPr>
              <w:jc w:val="center"/>
              <w:spacing w:line="360" w:lineRule="auto"/>
              <w:widowControl/>
              <w:rPr>
                <w:rFonts w:hint="eastAsia" w:ascii="宋体" w:hAnsi="宋体" w:cs="Arial"/>
                <w:color w:val="auto"/>
                <w:spacing w:val="8"/>
                <w:highlight w:val="none"/>
              </w:rPr>
            </w:pPr>
            <w:r>
              <w:rPr>
                <w:rFonts w:hint="eastAsia"/>
                <w:color w:val="auto"/>
                <w:highlight w:val="none"/>
                <w:lang w:val="en-US" w:eastAsia="zh-CN"/>
              </w:rPr>
              <w:t xml:space="preserve">19.83</w:t>
            </w:r>
            <w:r>
              <w:rPr>
                <w:rFonts w:hint="eastAsia"/>
                <w:color w:val="auto"/>
                <w:highlight w:val="none"/>
              </w:rPr>
              <w:t xml:space="preserve">万</w:t>
            </w:r>
            <w:r/>
          </w:p>
        </w:tc>
      </w:tr>
    </w:tbl>
    <w:p>
      <w:pPr>
        <w:rPr>
          <w:rFonts w:hint="eastAsia"/>
          <w:color w:val="auto"/>
          <w:highlight w:val="none"/>
        </w:rPr>
      </w:pPr>
      <w:r>
        <w:rPr>
          <w:rFonts w:hint="eastAsia"/>
          <w:color w:val="auto"/>
          <w:highlight w:val="none"/>
        </w:rPr>
      </w:r>
      <w:r/>
    </w:p>
    <w:p>
      <w:pPr>
        <w:jc w:val="left"/>
        <w:widowControl/>
        <w:rPr>
          <w:rFonts w:hint="eastAsia" w:ascii="宋体" w:hAnsi="宋体" w:cs="宋体"/>
          <w:b/>
          <w:bCs/>
          <w:color w:val="auto"/>
          <w:spacing w:val="-4"/>
          <w:highlight w:val="none"/>
        </w:rPr>
      </w:pPr>
      <w:r>
        <w:rPr>
          <w:rFonts w:hint="eastAsia" w:ascii="宋体" w:hAnsi="宋体" w:cs="宋体"/>
          <w:b/>
          <w:bCs/>
          <w:color w:val="auto"/>
          <w:spacing w:val="-4"/>
          <w:highlight w:val="none"/>
        </w:rPr>
        <w:t xml:space="preserve">备注：学生人数为目前预估数量，仅供参考。</w:t>
      </w:r>
      <w:r/>
    </w:p>
    <w:p>
      <w:pPr>
        <w:rPr>
          <w:rFonts w:hint="eastAsia"/>
          <w:color w:val="auto"/>
          <w:highlight w:val="none"/>
        </w:rPr>
      </w:pPr>
      <w:r>
        <w:rPr>
          <w:rFonts w:hint="eastAsia"/>
          <w:color w:val="auto"/>
          <w:highlight w:val="none"/>
        </w:rPr>
      </w:r>
      <w:r/>
    </w:p>
    <w:p>
      <w:pPr>
        <w:spacing w:after="120"/>
        <w:rPr>
          <w:rFonts w:hint="eastAsia" w:ascii="宋体" w:hAnsi="宋体" w:cs="Arial"/>
          <w:b/>
          <w:bCs/>
          <w:color w:val="auto"/>
          <w:highlight w:val="none"/>
        </w:rPr>
      </w:pPr>
      <w:r>
        <w:rPr>
          <w:rFonts w:hint="eastAsia" w:ascii="宋体" w:hAnsi="宋体" w:cs="Arial"/>
          <w:b/>
          <w:bCs/>
          <w:color w:val="auto"/>
          <w:highlight w:val="none"/>
        </w:rPr>
        <w:t xml:space="preserve">(二)</w:t>
      </w:r>
      <w:r>
        <w:rPr>
          <w:rFonts w:ascii="宋体" w:hAnsi="宋体" w:cs="Arial"/>
          <w:b/>
          <w:bCs/>
          <w:color w:val="auto"/>
          <w:highlight w:val="none"/>
        </w:rPr>
        <w:t xml:space="preserve">、基本要求</w:t>
      </w:r>
      <w:r/>
    </w:p>
    <w:p>
      <w:pPr>
        <w:ind w:firstLine="420"/>
        <w:spacing w:line="360" w:lineRule="auto"/>
        <w:rPr>
          <w:rFonts w:hint="eastAsia" w:ascii="宋体" w:hAnsi="宋体" w:cs="Arial"/>
          <w:color w:val="auto"/>
          <w:highlight w:val="none"/>
        </w:rPr>
      </w:pPr>
      <w:r>
        <w:rPr>
          <w:rFonts w:hint="eastAsia" w:ascii="宋体" w:hAnsi="宋体" w:cs="Arial"/>
          <w:color w:val="auto"/>
          <w:highlight w:val="none"/>
        </w:rPr>
        <w:t xml:space="preserve">1.本次视力筛查所有检测项目同时进行，原则上均要求在202</w:t>
      </w:r>
      <w:r>
        <w:rPr>
          <w:rFonts w:hint="eastAsia" w:ascii="宋体" w:hAnsi="宋体" w:cs="Arial"/>
          <w:color w:val="auto"/>
          <w:highlight w:val="none"/>
          <w:lang w:val="en-US" w:eastAsia="zh-CN"/>
        </w:rPr>
        <w:t xml:space="preserve">7</w:t>
      </w:r>
      <w:r>
        <w:rPr>
          <w:rFonts w:hint="eastAsia" w:ascii="宋体" w:hAnsi="宋体" w:cs="Arial"/>
          <w:color w:val="auto"/>
          <w:highlight w:val="none"/>
        </w:rPr>
        <w:t xml:space="preserve">年12月31日前完成，投标人应根据自身能力合理进行投标。</w:t>
      </w:r>
      <w:r/>
    </w:p>
    <w:p>
      <w:pPr>
        <w:ind w:firstLine="420"/>
        <w:spacing w:line="360" w:lineRule="auto"/>
        <w:rPr>
          <w:rFonts w:hint="eastAsia" w:ascii="宋体" w:hAnsi="宋体" w:cs="Arial"/>
          <w:color w:val="auto"/>
          <w:highlight w:val="none"/>
        </w:rPr>
      </w:pPr>
      <w:r>
        <w:rPr>
          <w:rFonts w:hint="eastAsia" w:ascii="宋体" w:hAnsi="宋体" w:cs="Arial"/>
          <w:color w:val="auto"/>
          <w:highlight w:val="none"/>
        </w:rPr>
        <w:t xml:space="preserve">2</w:t>
      </w:r>
      <w:r>
        <w:rPr>
          <w:rFonts w:ascii="宋体" w:hAnsi="宋体" w:cs="Arial"/>
          <w:color w:val="auto"/>
          <w:highlight w:val="none"/>
        </w:rPr>
        <w:t xml:space="preserve">.能独立开展儿童视力筛查工作；</w:t>
      </w:r>
      <w:r/>
    </w:p>
    <w:p>
      <w:pPr>
        <w:ind w:firstLine="420"/>
        <w:spacing w:line="360" w:lineRule="auto"/>
        <w:rPr>
          <w:rFonts w:hint="eastAsia" w:ascii="宋体" w:hAnsi="宋体" w:cs="Arial"/>
          <w:color w:val="auto"/>
          <w:highlight w:val="none"/>
        </w:rPr>
      </w:pPr>
      <w:r>
        <w:rPr>
          <w:rFonts w:hint="eastAsia" w:ascii="宋体" w:hAnsi="宋体" w:cs="Arial"/>
          <w:color w:val="auto"/>
          <w:highlight w:val="none"/>
        </w:rPr>
        <w:t xml:space="preserve">3</w:t>
      </w:r>
      <w:r>
        <w:rPr>
          <w:rFonts w:ascii="宋体" w:hAnsi="宋体" w:cs="Arial"/>
          <w:color w:val="auto"/>
          <w:highlight w:val="none"/>
        </w:rPr>
        <w:t xml:space="preserve">.有独立、固定的办公场所和进入学校进行学生的工作条件和必备的合格的医疗检查设备与检验仪器</w:t>
      </w:r>
      <w:r>
        <w:rPr>
          <w:rFonts w:hint="eastAsia" w:ascii="宋体" w:hAnsi="宋体" w:cs="Arial"/>
          <w:color w:val="auto"/>
          <w:highlight w:val="none"/>
        </w:rPr>
        <w:t xml:space="preserve">（需在投标文件中提供证明材料，包含图片等，并加盖公章）</w:t>
      </w:r>
      <w:r>
        <w:rPr>
          <w:rFonts w:ascii="宋体" w:hAnsi="宋体" w:cs="Arial"/>
          <w:color w:val="auto"/>
          <w:highlight w:val="none"/>
        </w:rPr>
        <w:t xml:space="preserve">；</w:t>
      </w:r>
      <w:r/>
    </w:p>
    <w:p>
      <w:pPr>
        <w:ind w:firstLine="420"/>
        <w:spacing w:line="360" w:lineRule="auto"/>
        <w:rPr>
          <w:rFonts w:hint="eastAsia" w:ascii="宋体" w:hAnsi="宋体" w:cs="Arial"/>
          <w:color w:val="auto"/>
          <w:highlight w:val="none"/>
        </w:rPr>
      </w:pPr>
      <w:r>
        <w:rPr>
          <w:rFonts w:hint="eastAsia" w:ascii="宋体" w:hAnsi="宋体" w:cs="Arial"/>
          <w:color w:val="auto"/>
          <w:highlight w:val="none"/>
        </w:rPr>
        <w:t xml:space="preserve">4</w:t>
      </w:r>
      <w:r>
        <w:rPr>
          <w:rFonts w:ascii="宋体" w:hAnsi="宋体" w:cs="Arial"/>
          <w:color w:val="auto"/>
          <w:highlight w:val="none"/>
        </w:rPr>
        <w:t xml:space="preserve">.有健全的规章制度、有国家制定或认可的医疗护理技术操作规程</w:t>
      </w:r>
      <w:r>
        <w:rPr>
          <w:rFonts w:hint="eastAsia" w:ascii="宋体" w:hAnsi="宋体" w:cs="Arial"/>
          <w:color w:val="auto"/>
          <w:highlight w:val="none"/>
        </w:rPr>
        <w:t xml:space="preserve">（需在投标文件中提供证明材料，并加盖公章）</w:t>
      </w:r>
      <w:r>
        <w:rPr>
          <w:rFonts w:ascii="宋体" w:hAnsi="宋体" w:cs="Arial"/>
          <w:color w:val="auto"/>
          <w:highlight w:val="none"/>
        </w:rPr>
        <w:t xml:space="preserve">。</w:t>
      </w:r>
      <w:r/>
    </w:p>
    <w:p>
      <w:pPr>
        <w:spacing w:line="360" w:lineRule="auto"/>
        <w:rPr>
          <w:rFonts w:hint="eastAsia" w:ascii="宋体" w:hAnsi="宋体" w:cs="Arial"/>
          <w:b/>
          <w:bCs/>
          <w:color w:val="auto"/>
          <w:highlight w:val="none"/>
        </w:rPr>
      </w:pPr>
      <w:r>
        <w:rPr>
          <w:rFonts w:hint="eastAsia" w:ascii="宋体" w:hAnsi="宋体" w:cs="Arial"/>
          <w:b/>
          <w:bCs/>
          <w:color w:val="auto"/>
          <w:highlight w:val="none"/>
        </w:rPr>
        <w:t xml:space="preserve">(三)</w:t>
      </w:r>
      <w:r>
        <w:rPr>
          <w:rFonts w:ascii="宋体" w:hAnsi="宋体" w:cs="Arial"/>
          <w:b/>
          <w:bCs/>
          <w:color w:val="auto"/>
          <w:highlight w:val="none"/>
        </w:rPr>
        <w:t xml:space="preserve">、人员及岗位要求</w:t>
      </w:r>
      <w:r/>
    </w:p>
    <w:p>
      <w:pPr>
        <w:ind w:firstLine="420"/>
        <w:spacing w:line="360" w:lineRule="auto"/>
        <w:rPr>
          <w:rFonts w:hint="eastAsia" w:ascii="宋体" w:hAnsi="宋体" w:cs="Arial"/>
          <w:color w:val="auto"/>
          <w:highlight w:val="none"/>
        </w:rPr>
      </w:pPr>
      <w:r>
        <w:rPr>
          <w:rFonts w:ascii="宋体" w:hAnsi="宋体" w:cs="Arial"/>
          <w:color w:val="auto"/>
          <w:highlight w:val="none"/>
        </w:rPr>
        <w:t xml:space="preserve">1.监测人员应为持有眼科相关的国家执业医师、技师、护士资格证书的人员，经相关规范化培训的专业技术人员可协助开展工作</w:t>
      </w:r>
      <w:r>
        <w:rPr>
          <w:rFonts w:hint="eastAsia" w:ascii="宋体" w:hAnsi="宋体" w:cs="Arial"/>
          <w:color w:val="auto"/>
          <w:highlight w:val="none"/>
        </w:rPr>
        <w:t xml:space="preserve">。</w:t>
      </w:r>
      <w:r/>
    </w:p>
    <w:p>
      <w:pPr>
        <w:ind w:firstLine="420"/>
        <w:spacing w:line="360" w:lineRule="auto"/>
        <w:rPr>
          <w:rFonts w:hint="eastAsia" w:ascii="宋体" w:hAnsi="宋体" w:cs="Arial"/>
          <w:color w:val="auto"/>
          <w:highlight w:val="none"/>
        </w:rPr>
      </w:pPr>
      <w:r>
        <w:rPr>
          <w:rFonts w:ascii="宋体" w:hAnsi="宋体" w:cs="Arial"/>
          <w:color w:val="auto"/>
          <w:highlight w:val="none"/>
        </w:rPr>
        <w:t xml:space="preserve">2.岗位设置合理，管理职责明确，有足够的与学生视力筛查项目相适应的管理、技术、质量控制和统计人员（出具详细的团队人员名单</w:t>
      </w:r>
      <w:r>
        <w:rPr>
          <w:rFonts w:hint="eastAsia" w:ascii="宋体" w:hAnsi="宋体" w:cs="Arial"/>
          <w:color w:val="auto"/>
          <w:highlight w:val="none"/>
        </w:rPr>
        <w:t xml:space="preserve">、</w:t>
      </w:r>
      <w:r>
        <w:rPr>
          <w:rFonts w:ascii="宋体" w:hAnsi="宋体" w:cs="Arial"/>
          <w:color w:val="auto"/>
          <w:highlight w:val="none"/>
        </w:rPr>
        <w:t xml:space="preserve">调整范围在20%以内</w:t>
      </w:r>
      <w:r>
        <w:rPr>
          <w:rFonts w:hint="eastAsia" w:ascii="宋体" w:hAnsi="宋体" w:cs="Arial"/>
          <w:color w:val="auto"/>
          <w:highlight w:val="none"/>
        </w:rPr>
        <w:t xml:space="preserve">、</w:t>
      </w:r>
      <w:r>
        <w:rPr>
          <w:rFonts w:ascii="宋体" w:hAnsi="宋体" w:cs="Arial"/>
          <w:color w:val="auto"/>
          <w:highlight w:val="none"/>
        </w:rPr>
        <w:t xml:space="preserve">具体的实施方案）</w:t>
      </w:r>
      <w:r>
        <w:rPr>
          <w:rFonts w:hint="eastAsia" w:ascii="宋体" w:hAnsi="宋体" w:cs="Arial"/>
          <w:color w:val="auto"/>
          <w:highlight w:val="none"/>
        </w:rPr>
        <w:t xml:space="preserve">。</w:t>
      </w:r>
      <w:r/>
    </w:p>
    <w:p>
      <w:pPr>
        <w:ind w:firstLine="420"/>
        <w:spacing w:line="360" w:lineRule="auto"/>
        <w:rPr>
          <w:rFonts w:hint="eastAsia" w:ascii="宋体" w:hAnsi="宋体" w:cs="Arial"/>
          <w:color w:val="auto"/>
          <w:highlight w:val="none"/>
        </w:rPr>
      </w:pPr>
      <w:r>
        <w:rPr>
          <w:rFonts w:hint="eastAsia" w:ascii="宋体" w:hAnsi="宋体" w:cs="Arial"/>
          <w:bCs/>
          <w:color w:val="auto"/>
          <w:highlight w:val="none"/>
        </w:rPr>
        <w:t xml:space="preserve">★</w:t>
      </w:r>
      <w:r>
        <w:rPr>
          <w:rFonts w:ascii="宋体" w:hAnsi="宋体" w:cs="Arial"/>
          <w:color w:val="auto"/>
          <w:highlight w:val="none"/>
        </w:rPr>
        <w:t xml:space="preserve">3.监测工作负责人应具有</w:t>
      </w:r>
      <w:r>
        <w:rPr>
          <w:rFonts w:hint="eastAsia" w:ascii="宋体" w:hAnsi="宋体" w:cs="Arial"/>
          <w:color w:val="auto"/>
          <w:highlight w:val="none"/>
        </w:rPr>
        <w:t xml:space="preserve">眼科</w:t>
      </w:r>
      <w:r>
        <w:rPr>
          <w:rFonts w:ascii="宋体" w:hAnsi="宋体" w:cs="Arial"/>
          <w:color w:val="auto"/>
          <w:highlight w:val="none"/>
        </w:rPr>
        <w:t xml:space="preserve">中高级专业技术职务任职资格</w:t>
      </w:r>
      <w:r>
        <w:rPr>
          <w:rFonts w:hint="eastAsia" w:ascii="宋体" w:hAnsi="宋体" w:cs="Arial"/>
          <w:color w:val="auto"/>
          <w:highlight w:val="none"/>
        </w:rPr>
        <w:t xml:space="preserve">。（投标人须在投标文件中提供</w:t>
      </w:r>
      <w:r>
        <w:rPr>
          <w:rFonts w:ascii="宋体" w:hAnsi="宋体" w:cs="Arial"/>
          <w:color w:val="auto"/>
          <w:highlight w:val="none"/>
        </w:rPr>
        <w:t xml:space="preserve">监测工作负责人</w:t>
      </w:r>
      <w:r>
        <w:rPr>
          <w:rFonts w:hint="eastAsia" w:ascii="宋体" w:hAnsi="宋体" w:cs="Arial"/>
          <w:color w:val="auto"/>
          <w:highlight w:val="none"/>
        </w:rPr>
        <w:t xml:space="preserve">的相应证书复印件并加盖公章。）</w:t>
      </w:r>
      <w:r/>
    </w:p>
    <w:p>
      <w:pPr>
        <w:ind w:firstLine="420"/>
        <w:spacing w:line="360" w:lineRule="auto"/>
        <w:rPr>
          <w:rFonts w:hint="eastAsia" w:ascii="宋体" w:hAnsi="宋体" w:cs="Arial"/>
          <w:bCs/>
          <w:color w:val="auto"/>
          <w:highlight w:val="none"/>
        </w:rPr>
      </w:pPr>
      <w:r>
        <w:rPr>
          <w:rFonts w:hint="eastAsia" w:ascii="宋体" w:hAnsi="宋体" w:cs="Arial"/>
          <w:bCs/>
          <w:color w:val="auto"/>
          <w:highlight w:val="none"/>
        </w:rPr>
        <w:t xml:space="preserve">★4、保证每天至少有一位眼科医生在项目现场，项目执行期间，主动向采购人提供其现场参与的证明材料。(投标人须在投标文件中提供承诺函并加盖公章。)</w:t>
      </w:r>
      <w:r/>
    </w:p>
    <w:p>
      <w:pPr>
        <w:spacing w:line="360" w:lineRule="auto"/>
        <w:rPr>
          <w:rFonts w:hint="eastAsia" w:ascii="宋体" w:hAnsi="宋体" w:cs="Arial"/>
          <w:b/>
          <w:bCs/>
          <w:color w:val="auto"/>
          <w:highlight w:val="none"/>
        </w:rPr>
      </w:pPr>
      <w:r>
        <w:rPr>
          <w:rFonts w:hint="eastAsia" w:ascii="宋体" w:hAnsi="宋体" w:cs="Arial"/>
          <w:b/>
          <w:bCs/>
          <w:color w:val="auto"/>
          <w:highlight w:val="none"/>
        </w:rPr>
        <w:t xml:space="preserve">(四)</w:t>
      </w:r>
      <w:r>
        <w:rPr>
          <w:rFonts w:ascii="宋体" w:hAnsi="宋体" w:cs="Arial"/>
          <w:b/>
          <w:bCs/>
          <w:color w:val="auto"/>
          <w:highlight w:val="none"/>
        </w:rPr>
        <w:t xml:space="preserve">、检查项目内容</w:t>
      </w:r>
      <w:r/>
    </w:p>
    <w:p>
      <w:pPr>
        <w:ind w:firstLine="420"/>
        <w:spacing w:line="360" w:lineRule="auto"/>
        <w:rPr>
          <w:rFonts w:hint="eastAsia" w:ascii="宋体" w:hAnsi="宋体" w:cs="Arial"/>
          <w:color w:val="auto"/>
          <w:highlight w:val="none"/>
        </w:rPr>
      </w:pPr>
      <w:r>
        <w:rPr>
          <w:rFonts w:ascii="宋体" w:hAnsi="宋体" w:cs="Arial"/>
          <w:color w:val="auto"/>
          <w:highlight w:val="none"/>
        </w:rPr>
        <w:t xml:space="preserve">包括左/右眼裸眼视力、左/右眼屈光球镜S、左/右眼屈光柱镜C、左/右屈光轴位A；是否为角膜塑形镜佩戴者。</w:t>
      </w:r>
      <w:r/>
    </w:p>
    <w:p>
      <w:pPr>
        <w:jc w:val="left"/>
        <w:spacing w:line="360" w:lineRule="auto"/>
        <w:tabs>
          <w:tab w:val="left" w:pos="5280" w:leader="none"/>
        </w:tabs>
        <w:rPr>
          <w:rFonts w:hint="eastAsia" w:ascii="宋体" w:hAnsi="宋体" w:cs="Arial"/>
          <w:color w:val="auto"/>
          <w:highlight w:val="none"/>
        </w:rPr>
      </w:pPr>
      <w:r>
        <w:rPr>
          <w:rFonts w:hint="eastAsia" w:ascii="宋体" w:hAnsi="宋体" w:cs="Arial"/>
          <w:b/>
          <w:bCs/>
          <w:color w:val="auto"/>
          <w:highlight w:val="none"/>
        </w:rPr>
        <w:t xml:space="preserve">(五)</w:t>
      </w:r>
      <w:r>
        <w:rPr>
          <w:rFonts w:ascii="宋体" w:hAnsi="宋体" w:cs="Arial"/>
          <w:b/>
          <w:bCs/>
          <w:color w:val="auto"/>
          <w:highlight w:val="none"/>
        </w:rPr>
        <w:t xml:space="preserve">、服务要求</w:t>
      </w:r>
      <w:r/>
    </w:p>
    <w:p>
      <w:pPr>
        <w:ind w:firstLine="420"/>
        <w:jc w:val="left"/>
        <w:spacing w:line="360" w:lineRule="auto"/>
        <w:rPr>
          <w:rFonts w:hint="eastAsia" w:ascii="宋体" w:hAnsi="宋体" w:cs="Arial"/>
          <w:bCs/>
          <w:color w:val="auto"/>
          <w:highlight w:val="none"/>
        </w:rPr>
      </w:pPr>
      <w:r>
        <w:rPr>
          <w:rFonts w:ascii="宋体" w:hAnsi="宋体" w:cs="Arial"/>
          <w:bCs/>
          <w:color w:val="auto"/>
          <w:highlight w:val="none"/>
        </w:rPr>
        <w:t xml:space="preserve">1、本项目实际执行团队成员必须为</w:t>
      </w:r>
      <w:r>
        <w:rPr>
          <w:rFonts w:hint="eastAsia" w:ascii="宋体" w:hAnsi="宋体" w:cs="Arial"/>
          <w:bCs/>
          <w:color w:val="auto"/>
          <w:highlight w:val="none"/>
        </w:rPr>
        <w:t xml:space="preserve">投标文件中</w:t>
      </w:r>
      <w:r>
        <w:rPr>
          <w:rFonts w:ascii="宋体" w:hAnsi="宋体" w:cs="Arial"/>
          <w:bCs/>
          <w:color w:val="auto"/>
          <w:highlight w:val="none"/>
        </w:rPr>
        <w:t xml:space="preserve">所列明的人员，</w:t>
      </w:r>
      <w:r>
        <w:rPr>
          <w:rFonts w:hint="eastAsia" w:ascii="宋体" w:hAnsi="宋体" w:cs="Arial"/>
          <w:bCs/>
          <w:color w:val="auto"/>
          <w:highlight w:val="none"/>
        </w:rPr>
        <w:t xml:space="preserve">如遇特殊情况，允许有20%的调整，</w:t>
      </w:r>
      <w:r>
        <w:rPr>
          <w:rFonts w:ascii="宋体" w:hAnsi="宋体" w:cs="Arial"/>
          <w:bCs/>
          <w:color w:val="auto"/>
          <w:highlight w:val="none"/>
        </w:rPr>
        <w:t xml:space="preserve">如</w:t>
      </w:r>
      <w:r>
        <w:rPr>
          <w:rFonts w:hint="eastAsia" w:ascii="宋体" w:hAnsi="宋体" w:cs="Arial"/>
          <w:bCs/>
          <w:color w:val="auto"/>
          <w:highlight w:val="none"/>
        </w:rPr>
        <w:t xml:space="preserve">有人员调整</w:t>
      </w:r>
      <w:r>
        <w:rPr>
          <w:rFonts w:ascii="宋体" w:hAnsi="宋体" w:cs="Arial"/>
          <w:bCs/>
          <w:color w:val="auto"/>
          <w:highlight w:val="none"/>
        </w:rPr>
        <w:t xml:space="preserve">，</w:t>
      </w:r>
      <w:r>
        <w:rPr>
          <w:rFonts w:hint="eastAsia" w:ascii="宋体" w:hAnsi="宋体" w:cs="Arial"/>
          <w:bCs/>
          <w:color w:val="auto"/>
          <w:highlight w:val="none"/>
        </w:rPr>
        <w:t xml:space="preserve">请事先与</w:t>
      </w:r>
      <w:r>
        <w:rPr>
          <w:rFonts w:ascii="宋体" w:hAnsi="宋体" w:cs="Arial"/>
          <w:bCs/>
          <w:color w:val="auto"/>
          <w:highlight w:val="none"/>
        </w:rPr>
        <w:t xml:space="preserve">采购人</w:t>
      </w:r>
      <w:r>
        <w:rPr>
          <w:rFonts w:hint="eastAsia" w:ascii="宋体" w:hAnsi="宋体" w:cs="Arial"/>
          <w:bCs/>
          <w:color w:val="auto"/>
          <w:highlight w:val="none"/>
        </w:rPr>
        <w:t xml:space="preserve">报备并提供调整人员的社保证明等相关材料。</w:t>
      </w:r>
      <w:r/>
    </w:p>
    <w:p>
      <w:pPr>
        <w:ind w:firstLine="420"/>
        <w:jc w:val="left"/>
        <w:spacing w:line="360" w:lineRule="auto"/>
        <w:rPr>
          <w:rFonts w:hint="eastAsia" w:ascii="宋体" w:hAnsi="宋体" w:cs="Arial"/>
          <w:color w:val="auto"/>
          <w:highlight w:val="none"/>
        </w:rPr>
      </w:pPr>
      <w:r>
        <w:rPr>
          <w:rFonts w:hint="eastAsia" w:ascii="宋体" w:hAnsi="宋体" w:cs="Arial"/>
          <w:bCs/>
          <w:color w:val="auto"/>
          <w:highlight w:val="none"/>
        </w:rPr>
        <w:t xml:space="preserve">2</w:t>
      </w:r>
      <w:r>
        <w:rPr>
          <w:rFonts w:ascii="宋体" w:hAnsi="宋体" w:cs="Arial"/>
          <w:bCs/>
          <w:color w:val="auto"/>
          <w:highlight w:val="none"/>
        </w:rPr>
        <w:t xml:space="preserve">、供应商须负责提供的仪器设备应符合国家卫生健康委发布的《儿童青少年近视防控适宜技术指南》（更新版）的规定，其中远视力</w:t>
      </w:r>
      <w:r>
        <w:rPr>
          <w:rFonts w:hint="eastAsia" w:ascii="宋体" w:hAnsi="宋体" w:cs="Arial"/>
          <w:bCs/>
          <w:color w:val="auto"/>
          <w:highlight w:val="none"/>
        </w:rPr>
        <w:t xml:space="preserve">监测</w:t>
      </w:r>
      <w:r>
        <w:rPr>
          <w:rFonts w:ascii="宋体" w:hAnsi="宋体" w:cs="Arial"/>
          <w:bCs/>
          <w:color w:val="auto"/>
          <w:highlight w:val="none"/>
        </w:rPr>
        <w:t xml:space="preserve">应采用《GB11533—2011标准对数视力表》。屈光检查采用自动电脑验光仪，设备要求应符合《ISO10342—2010眼科仪器：验光仪》的规定并定期接受计量检定和校准。</w:t>
      </w:r>
      <w:r/>
    </w:p>
    <w:p>
      <w:pPr>
        <w:ind w:firstLine="420"/>
        <w:jc w:val="left"/>
        <w:spacing w:line="360" w:lineRule="auto"/>
        <w:rPr>
          <w:rFonts w:hint="eastAsia" w:ascii="宋体" w:hAnsi="宋体" w:cs="Arial"/>
          <w:color w:val="auto"/>
          <w:highlight w:val="none"/>
        </w:rPr>
      </w:pPr>
      <w:r>
        <w:rPr>
          <w:rFonts w:hint="eastAsia" w:ascii="宋体" w:hAnsi="宋体" w:cs="Arial"/>
          <w:bCs/>
          <w:color w:val="auto"/>
          <w:highlight w:val="none"/>
        </w:rPr>
        <w:t xml:space="preserve">3</w:t>
      </w:r>
      <w:r>
        <w:rPr>
          <w:rFonts w:ascii="宋体" w:hAnsi="宋体" w:cs="Arial"/>
          <w:bCs/>
          <w:color w:val="auto"/>
          <w:highlight w:val="none"/>
        </w:rPr>
        <w:t xml:space="preserve">、供应商提供的监测仪器设备、裸眼视力检查、屈光检测方法、结果记录</w:t>
      </w:r>
      <w:r>
        <w:rPr>
          <w:rFonts w:hint="eastAsia" w:ascii="宋体" w:hAnsi="宋体" w:cs="Arial"/>
          <w:bCs/>
          <w:color w:val="auto"/>
          <w:highlight w:val="none"/>
        </w:rPr>
        <w:t xml:space="preserve">及筛查性近视诊断标准</w:t>
      </w:r>
      <w:r>
        <w:rPr>
          <w:rFonts w:ascii="宋体" w:hAnsi="宋体" w:cs="Arial"/>
          <w:bCs/>
          <w:color w:val="auto"/>
          <w:highlight w:val="none"/>
        </w:rPr>
        <w:t xml:space="preserve">等须按照《儿童青少年近视防控适宜技术指南》（更新版）</w:t>
      </w:r>
      <w:r>
        <w:rPr>
          <w:rFonts w:hint="eastAsia" w:ascii="宋体" w:hAnsi="宋体" w:cs="Arial"/>
          <w:bCs/>
          <w:color w:val="auto"/>
          <w:highlight w:val="none"/>
        </w:rPr>
        <w:t xml:space="preserve">和</w:t>
      </w:r>
      <w:r>
        <w:rPr>
          <w:rFonts w:ascii="宋体" w:hAnsi="宋体" w:cs="Arial"/>
          <w:bCs/>
          <w:color w:val="auto"/>
          <w:highlight w:val="none"/>
        </w:rPr>
        <w:t xml:space="preserve">《中小学屈光不正筛查规范》（WS/T 663-2020）的相关要求，做好测试技术规范、现场测试项目抽检、</w:t>
      </w:r>
      <w:r>
        <w:rPr>
          <w:rFonts w:hint="eastAsia" w:ascii="宋体" w:hAnsi="宋体" w:cs="Arial"/>
          <w:bCs/>
          <w:color w:val="auto"/>
          <w:highlight w:val="none"/>
        </w:rPr>
        <w:t xml:space="preserve">近视诊断、</w:t>
      </w:r>
      <w:r>
        <w:rPr>
          <w:rFonts w:ascii="宋体" w:hAnsi="宋体" w:cs="Arial"/>
          <w:bCs/>
          <w:color w:val="auto"/>
          <w:highlight w:val="none"/>
        </w:rPr>
        <w:t xml:space="preserve">数据录入等各环节的质量控制工作</w:t>
      </w:r>
      <w:r>
        <w:rPr>
          <w:rFonts w:hint="eastAsia" w:ascii="宋体" w:hAnsi="宋体" w:cs="Arial"/>
          <w:bCs/>
          <w:color w:val="auto"/>
          <w:highlight w:val="none"/>
        </w:rPr>
        <w:t xml:space="preserve">；做到监测现场规范穿着工作服、佩戴统一发放的编码胸牌（编码与供应商提供的人员名单一一对应，不得随意更改），保持良好服务态度；对现场督查提出的问题及时整改</w:t>
      </w:r>
      <w:r>
        <w:rPr>
          <w:rFonts w:ascii="宋体" w:hAnsi="宋体" w:cs="Arial"/>
          <w:color w:val="auto"/>
          <w:highlight w:val="none"/>
        </w:rPr>
        <w:t xml:space="preserve">。</w:t>
      </w:r>
      <w:r/>
    </w:p>
    <w:p>
      <w:pPr>
        <w:ind w:firstLine="420"/>
        <w:jc w:val="left"/>
        <w:spacing w:line="360" w:lineRule="auto"/>
        <w:rPr>
          <w:rFonts w:hint="eastAsia" w:ascii="宋体" w:hAnsi="宋体" w:cs="Arial"/>
          <w:color w:val="auto"/>
          <w:highlight w:val="none"/>
        </w:rPr>
      </w:pPr>
      <w:r>
        <w:rPr>
          <w:rFonts w:hint="eastAsia" w:ascii="宋体" w:hAnsi="宋体" w:cs="Arial"/>
          <w:color w:val="auto"/>
          <w:highlight w:val="none"/>
        </w:rPr>
        <w:t xml:space="preserve">4、供应商在正式开展现场监测前应通过与社区</w:t>
      </w:r>
      <w:r>
        <w:rPr>
          <w:rFonts w:hint="eastAsia" w:ascii="宋体" w:hAnsi="宋体" w:cs="Arial"/>
          <w:color w:val="auto"/>
          <w:highlight w:val="none"/>
          <w:lang w:val="en-US" w:eastAsia="zh-CN"/>
        </w:rPr>
        <w:t xml:space="preserve">卫生服务中心</w:t>
      </w:r>
      <w:r>
        <w:rPr>
          <w:rFonts w:hint="eastAsia" w:ascii="宋体" w:hAnsi="宋体" w:cs="Arial"/>
          <w:color w:val="auto"/>
          <w:highlight w:val="none"/>
        </w:rPr>
        <w:t xml:space="preserve">、学校对接进行日程排定，并报备采购单位；如遇学校监测日程有变动需要，应及时配合调整更替时间并实时更新日程表。</w:t>
      </w:r>
      <w:r/>
    </w:p>
    <w:p>
      <w:pPr>
        <w:ind w:firstLine="420"/>
        <w:jc w:val="left"/>
        <w:spacing w:line="360" w:lineRule="auto"/>
        <w:rPr>
          <w:rFonts w:hint="eastAsia" w:ascii="宋体" w:hAnsi="宋体" w:cs="Arial"/>
          <w:bCs/>
          <w:color w:val="auto"/>
          <w:highlight w:val="none"/>
        </w:rPr>
      </w:pPr>
      <w:r>
        <w:rPr>
          <w:rFonts w:ascii="宋体" w:hAnsi="宋体" w:cs="Arial"/>
          <w:color w:val="auto"/>
          <w:highlight w:val="none"/>
        </w:rPr>
        <w:t xml:space="preserve">5</w:t>
      </w:r>
      <w:r>
        <w:rPr>
          <w:rFonts w:hint="eastAsia" w:ascii="宋体" w:hAnsi="宋体" w:cs="Arial"/>
          <w:color w:val="auto"/>
          <w:highlight w:val="none"/>
        </w:rPr>
        <w:t xml:space="preserve">、</w:t>
      </w:r>
      <w:r>
        <w:rPr>
          <w:rFonts w:ascii="宋体" w:hAnsi="宋体" w:cs="Arial"/>
          <w:bCs/>
          <w:color w:val="auto"/>
          <w:highlight w:val="none"/>
        </w:rPr>
        <w:t xml:space="preserve">监测结束后负责将监测数据录入</w:t>
      </w:r>
      <w:r>
        <w:rPr>
          <w:rFonts w:hint="eastAsia" w:ascii="宋体" w:hAnsi="宋体" w:cs="Arial"/>
          <w:bCs/>
          <w:color w:val="auto"/>
          <w:highlight w:val="none"/>
        </w:rPr>
        <w:t xml:space="preserve">南京市学生体质与健康管理平台（简称“市平台”），确保上传率1</w:t>
      </w:r>
      <w:r>
        <w:rPr>
          <w:rFonts w:ascii="宋体" w:hAnsi="宋体" w:cs="Arial"/>
          <w:bCs/>
          <w:color w:val="auto"/>
          <w:highlight w:val="none"/>
        </w:rPr>
        <w:t xml:space="preserve">00</w:t>
      </w:r>
      <w:r>
        <w:rPr>
          <w:rFonts w:hint="eastAsia" w:ascii="宋体" w:hAnsi="宋体" w:cs="Arial"/>
          <w:bCs/>
          <w:color w:val="auto"/>
          <w:highlight w:val="none"/>
        </w:rPr>
        <w:t xml:space="preserve">%，确有特殊情况无法上传者应及时向监测学校及采购单位提供相应具体名单及对应检查数据。</w:t>
      </w:r>
      <w:r/>
    </w:p>
    <w:p>
      <w:pPr>
        <w:ind w:firstLine="420"/>
        <w:spacing w:line="440" w:lineRule="exact"/>
        <w:rPr>
          <w:color w:val="auto"/>
          <w:highlight w:val="none"/>
        </w:rPr>
      </w:pPr>
      <w:r>
        <w:rPr>
          <w:rFonts w:hint="eastAsia" w:ascii="宋体" w:hAnsi="宋体" w:cs="Arial"/>
          <w:bCs/>
          <w:color w:val="auto"/>
          <w:highlight w:val="none"/>
        </w:rPr>
        <w:t xml:space="preserve">6、</w:t>
      </w:r>
      <w:r>
        <w:rPr>
          <w:rFonts w:hint="eastAsia" w:ascii="宋体" w:hAnsi="宋体" w:cs="宋体"/>
          <w:color w:val="auto"/>
          <w:highlight w:val="none"/>
        </w:rPr>
        <w:t xml:space="preserve"> 幼儿园视力筛查，供应商须能通过设备系统将视力筛查结果导入贵安宝贝托幼卫生保健管理云平台。中小学视力筛查，意向供应商须具有学生健康状况综合筛查系统，且服务商能通过系统将监测数据直接上传至南京市学生体质与健康管理平台或将监测数据按“南京市学生体质与健康管理平台”的格式要求，以Excel电子表格形式反馈给</w:t>
      </w:r>
      <w:r>
        <w:rPr>
          <w:rFonts w:hint="eastAsia" w:ascii="宋体" w:hAnsi="宋体" w:cs="宋体"/>
          <w:color w:val="auto"/>
          <w:highlight w:val="none"/>
          <w:lang w:val="en-US" w:eastAsia="zh-CN"/>
        </w:rPr>
        <w:t xml:space="preserve">所在社区卫生服务</w:t>
      </w:r>
      <w:r>
        <w:rPr>
          <w:rFonts w:hint="eastAsia" w:ascii="宋体" w:hAnsi="宋体" w:cs="宋体"/>
          <w:color w:val="auto"/>
          <w:highlight w:val="none"/>
        </w:rPr>
        <w:t xml:space="preserve">中心，由</w:t>
      </w:r>
      <w:r>
        <w:rPr>
          <w:rFonts w:hint="eastAsia" w:ascii="宋体" w:hAnsi="宋体" w:cs="宋体"/>
          <w:color w:val="auto"/>
          <w:highlight w:val="none"/>
          <w:lang w:val="en-US" w:eastAsia="zh-CN"/>
        </w:rPr>
        <w:t xml:space="preserve">社区卫生服务</w:t>
      </w:r>
      <w:r>
        <w:rPr>
          <w:rFonts w:hint="eastAsia" w:ascii="宋体" w:hAnsi="宋体" w:cs="宋体"/>
          <w:color w:val="auto"/>
          <w:highlight w:val="none"/>
        </w:rPr>
        <w:t xml:space="preserve">中心自行上传，不论那种上传方式，费用包含在报价中（提供相关证明材料复印件并加盖公章）。</w:t>
      </w:r>
      <w:r/>
    </w:p>
    <w:p>
      <w:pPr>
        <w:ind w:firstLine="420"/>
        <w:jc w:val="left"/>
        <w:spacing w:line="360" w:lineRule="auto"/>
        <w:rPr>
          <w:rFonts w:hint="eastAsia" w:ascii="宋体" w:hAnsi="宋体" w:cs="Arial"/>
          <w:bCs/>
          <w:color w:val="auto"/>
          <w:highlight w:val="none"/>
        </w:rPr>
      </w:pPr>
      <w:r>
        <w:rPr>
          <w:rFonts w:hint="eastAsia" w:ascii="宋体" w:hAnsi="宋体" w:cs="Arial"/>
          <w:bCs/>
          <w:color w:val="auto"/>
          <w:highlight w:val="none"/>
        </w:rPr>
        <w:t xml:space="preserve">7</w:t>
      </w:r>
      <w:r>
        <w:rPr>
          <w:rFonts w:ascii="宋体" w:hAnsi="宋体" w:cs="Arial"/>
          <w:bCs/>
          <w:color w:val="auto"/>
          <w:highlight w:val="none"/>
        </w:rPr>
        <w:t xml:space="preserve">、</w:t>
      </w:r>
      <w:r>
        <w:rPr>
          <w:rFonts w:hint="eastAsia" w:ascii="宋体" w:hAnsi="宋体" w:cs="Arial"/>
          <w:bCs/>
          <w:color w:val="auto"/>
          <w:highlight w:val="none"/>
        </w:rPr>
        <w:t xml:space="preserve">入校监测应严格遵守学校传染病防控相关规定。</w:t>
      </w:r>
      <w:r/>
    </w:p>
    <w:p>
      <w:pPr>
        <w:ind w:firstLine="420"/>
        <w:jc w:val="left"/>
        <w:spacing w:line="360" w:lineRule="auto"/>
        <w:rPr>
          <w:rFonts w:hint="eastAsia" w:ascii="宋体" w:hAnsi="宋体" w:cs="Arial"/>
          <w:bCs/>
          <w:color w:val="auto"/>
          <w:highlight w:val="none"/>
        </w:rPr>
      </w:pPr>
      <w:r>
        <w:rPr>
          <w:rFonts w:hint="eastAsia" w:ascii="宋体" w:hAnsi="宋体" w:cs="Arial"/>
          <w:bCs/>
          <w:color w:val="auto"/>
          <w:highlight w:val="none"/>
        </w:rPr>
        <w:t xml:space="preserve">8</w:t>
      </w:r>
      <w:r>
        <w:rPr>
          <w:rFonts w:ascii="宋体" w:hAnsi="宋体" w:cs="Arial"/>
          <w:bCs/>
          <w:color w:val="auto"/>
          <w:highlight w:val="none"/>
        </w:rPr>
        <w:t xml:space="preserve">、供应商的任何错漏、优惠、竞争性的报价不得作为减轻责任、减少服务、增加收费、降低质量的理由，采购人对本项目不再另行支付其他任何费用。</w:t>
      </w:r>
      <w:r/>
    </w:p>
    <w:p>
      <w:pPr>
        <w:ind w:firstLine="420"/>
        <w:jc w:val="left"/>
        <w:spacing w:line="360" w:lineRule="auto"/>
        <w:rPr>
          <w:rFonts w:hint="eastAsia" w:ascii="宋体" w:hAnsi="宋体" w:cs="Arial"/>
          <w:bCs/>
          <w:color w:val="auto"/>
          <w:highlight w:val="none"/>
        </w:rPr>
      </w:pPr>
      <w:r>
        <w:rPr>
          <w:rFonts w:hint="eastAsia" w:ascii="宋体" w:hAnsi="宋体" w:cs="Arial"/>
          <w:bCs/>
          <w:color w:val="auto"/>
          <w:highlight w:val="none"/>
        </w:rPr>
        <w:t xml:space="preserve">9、供应商可承诺中标后为学生提供相关增值服务，例如提供讲座、提供近视防控宣教、学生去</w:t>
      </w:r>
      <w:r>
        <w:rPr>
          <w:rFonts w:hint="eastAsia" w:ascii="宋体" w:hAnsi="宋体" w:cs="Arial"/>
          <w:bCs/>
          <w:color w:val="auto"/>
          <w:highlight w:val="none"/>
          <w:lang w:val="en-US" w:eastAsia="zh-CN"/>
        </w:rPr>
        <w:t xml:space="preserve">医疗机构</w:t>
      </w:r>
      <w:r>
        <w:rPr>
          <w:rFonts w:hint="eastAsia" w:ascii="宋体" w:hAnsi="宋体" w:cs="Arial"/>
          <w:bCs/>
          <w:color w:val="auto"/>
          <w:highlight w:val="none"/>
        </w:rPr>
        <w:t xml:space="preserve">测眼轴(或者相关项目)或配镜提供优惠、协助采购人抽测一些学生进行眼轴测量及追踪等。</w:t>
      </w:r>
      <w:r/>
    </w:p>
    <w:p>
      <w:pPr>
        <w:numPr>
          <w:ilvl w:val="0"/>
          <w:numId w:val="4"/>
        </w:numPr>
        <w:spacing w:line="360" w:lineRule="auto"/>
        <w:rPr>
          <w:rFonts w:hint="eastAsia" w:ascii="宋体" w:hAnsi="宋体" w:cs="Arial"/>
          <w:b/>
          <w:bCs/>
          <w:color w:val="auto"/>
          <w:highlight w:val="none"/>
        </w:rPr>
      </w:pPr>
      <w:r>
        <w:rPr>
          <w:rFonts w:hint="eastAsia" w:ascii="宋体" w:hAnsi="宋体" w:cs="Arial"/>
          <w:b/>
          <w:bCs/>
          <w:color w:val="auto"/>
          <w:highlight w:val="none"/>
        </w:rPr>
        <w:t xml:space="preserve">验收标准</w:t>
      </w:r>
      <w:r/>
    </w:p>
    <w:p>
      <w:pPr>
        <w:ind w:firstLine="420"/>
        <w:spacing w:line="360" w:lineRule="auto"/>
        <w:rPr>
          <w:rFonts w:hint="eastAsia" w:ascii="宋体" w:hAnsi="宋体" w:cs="Arial"/>
          <w:bCs/>
          <w:color w:val="auto"/>
          <w:highlight w:val="none"/>
        </w:rPr>
      </w:pPr>
      <w:r>
        <w:rPr>
          <w:rFonts w:hint="eastAsia" w:ascii="宋体" w:hAnsi="宋体" w:cs="Arial"/>
          <w:bCs/>
          <w:color w:val="auto"/>
          <w:highlight w:val="none"/>
        </w:rPr>
        <w:t xml:space="preserve">现场监测结束后</w:t>
      </w:r>
      <w:r>
        <w:rPr>
          <w:rFonts w:ascii="宋体" w:hAnsi="宋体" w:cs="Arial"/>
          <w:bCs/>
          <w:color w:val="auto"/>
          <w:highlight w:val="none"/>
        </w:rPr>
        <w:t xml:space="preserve">1</w:t>
      </w:r>
      <w:r>
        <w:rPr>
          <w:rFonts w:hint="eastAsia" w:ascii="宋体" w:hAnsi="宋体" w:cs="Arial"/>
          <w:bCs/>
          <w:color w:val="auto"/>
          <w:highlight w:val="none"/>
        </w:rPr>
        <w:t xml:space="preserve">5个工作日内将监测数据上传至南京市学生体质与健康管理平台（</w:t>
      </w:r>
      <w:r>
        <w:rPr>
          <w:rFonts w:ascii="宋体" w:hAnsi="宋体" w:cs="Arial"/>
          <w:bCs/>
          <w:color w:val="auto"/>
          <w:highlight w:val="none"/>
        </w:rPr>
        <w:t xml:space="preserve">https://tj.jsnje.cn</w:t>
      </w:r>
      <w:r>
        <w:rPr>
          <w:rFonts w:hint="eastAsia" w:ascii="宋体" w:hAnsi="宋体" w:cs="Arial"/>
          <w:bCs/>
          <w:color w:val="auto"/>
          <w:highlight w:val="none"/>
        </w:rPr>
        <w:t xml:space="preserve">），且保证数据完整（含人数及项目）、准确、科学。</w:t>
      </w:r>
      <w:r/>
    </w:p>
    <w:p>
      <w:pPr>
        <w:numPr>
          <w:ilvl w:val="0"/>
          <w:numId w:val="4"/>
        </w:numPr>
        <w:spacing w:line="360" w:lineRule="auto"/>
        <w:rPr>
          <w:rFonts w:hint="eastAsia" w:ascii="宋体" w:hAnsi="宋体" w:cs="Arial"/>
          <w:b/>
          <w:bCs/>
          <w:color w:val="auto"/>
          <w:highlight w:val="none"/>
        </w:rPr>
      </w:pPr>
      <w:r>
        <w:rPr>
          <w:rFonts w:hint="eastAsia" w:ascii="宋体" w:hAnsi="宋体" w:cs="Arial"/>
          <w:b/>
          <w:bCs/>
          <w:color w:val="auto"/>
          <w:highlight w:val="none"/>
        </w:rPr>
        <w:t xml:space="preserve">付款</w:t>
      </w:r>
      <w:r/>
    </w:p>
    <w:p>
      <w:pPr>
        <w:keepLines w:val="0"/>
        <w:keepNext w:val="0"/>
        <w:pageBreakBefore w:val="0"/>
        <w:spacing w:line="360" w:lineRule="auto"/>
        <w:widowControl w:val="off"/>
        <w:rPr>
          <w:rFonts w:hint="eastAsia" w:ascii="宋体" w:hAnsi="宋体" w:cs="宋体"/>
          <w:color w:val="auto"/>
          <w:highlight w:val="none"/>
          <w:lang w:eastAsia="en-US" w:bidi="en-US"/>
        </w:rPr>
      </w:pPr>
      <w:r/>
      <w:bookmarkStart w:id="259" w:name="_Hlk155043355"/>
      <w:r>
        <w:rPr>
          <w:rFonts w:hint="eastAsia" w:ascii="宋体" w:hAnsi="宋体" w:cs="宋体"/>
          <w:color w:val="auto"/>
          <w:highlight w:val="none"/>
          <w:lang w:eastAsia="en-US" w:bidi="en-US"/>
        </w:rPr>
        <w:t xml:space="preserve">（1）本项目款项以人民币转账方式，根据实际</w:t>
      </w:r>
      <w:r>
        <w:rPr>
          <w:rFonts w:hint="eastAsia" w:ascii="宋体" w:hAnsi="宋体" w:cs="宋体"/>
          <w:color w:val="auto"/>
          <w:highlight w:val="none"/>
          <w:lang w:bidi="en-US"/>
        </w:rPr>
        <w:t xml:space="preserve">监测</w:t>
      </w:r>
      <w:r>
        <w:rPr>
          <w:rFonts w:hint="eastAsia" w:ascii="宋体" w:hAnsi="宋体" w:cs="宋体"/>
          <w:color w:val="auto"/>
          <w:highlight w:val="none"/>
          <w:lang w:eastAsia="en-US" w:bidi="en-US"/>
        </w:rPr>
        <w:t xml:space="preserve">数量支付。</w:t>
      </w:r>
      <w:r/>
    </w:p>
    <w:p>
      <w:pPr>
        <w:keepLines w:val="0"/>
        <w:keepNext w:val="0"/>
        <w:pageBreakBefore w:val="0"/>
        <w:spacing w:line="360" w:lineRule="auto"/>
        <w:widowControl w:val="off"/>
        <w:rPr>
          <w:rFonts w:hint="eastAsia" w:ascii="宋体" w:hAnsi="宋体" w:cs="宋体"/>
          <w:color w:val="auto"/>
          <w:highlight w:val="none"/>
          <w:lang w:bidi="en-US"/>
        </w:rPr>
      </w:pPr>
      <w:r>
        <w:rPr>
          <w:rFonts w:hint="eastAsia" w:ascii="宋体" w:hAnsi="宋体" w:cs="宋体"/>
          <w:color w:val="auto"/>
          <w:highlight w:val="none"/>
          <w:lang w:eastAsia="en-US" w:bidi="en-US"/>
        </w:rPr>
        <w:t xml:space="preserve">（2）核对确认工作量后，</w:t>
      </w:r>
      <w:r>
        <w:rPr>
          <w:rFonts w:hint="eastAsia" w:ascii="Arial" w:hAnsi="Arial" w:cs="Arial"/>
          <w:color w:val="auto"/>
          <w:highlight w:val="none"/>
        </w:rPr>
        <w:t xml:space="preserve">采购单位对数据</w:t>
      </w:r>
      <w:r>
        <w:rPr>
          <w:rFonts w:ascii="Arial" w:hAnsi="Arial" w:cs="Arial"/>
          <w:color w:val="auto"/>
          <w:highlight w:val="none"/>
        </w:rPr>
        <w:t xml:space="preserve">验收确认合格</w:t>
      </w:r>
      <w:r>
        <w:rPr>
          <w:rFonts w:hint="eastAsia" w:ascii="Arial" w:hAnsi="Arial" w:cs="Arial"/>
          <w:color w:val="auto"/>
          <w:highlight w:val="none"/>
        </w:rPr>
        <w:t xml:space="preserve">，</w:t>
      </w:r>
      <w:r>
        <w:rPr>
          <w:rFonts w:ascii="Arial" w:hAnsi="Arial" w:cs="Arial"/>
          <w:color w:val="auto"/>
          <w:highlight w:val="none"/>
        </w:rPr>
        <w:t xml:space="preserve">支付约定的服务费</w:t>
      </w:r>
      <w:r>
        <w:rPr>
          <w:rFonts w:hint="eastAsia" w:ascii="宋体" w:hAnsi="宋体" w:cs="宋体"/>
          <w:color w:val="auto"/>
          <w:highlight w:val="none"/>
          <w:lang w:bidi="en-US"/>
        </w:rPr>
        <w:t xml:space="preserve">，</w:t>
      </w:r>
      <w:r>
        <w:rPr>
          <w:rFonts w:hint="eastAsia" w:ascii="Arial" w:hAnsi="Arial" w:cs="Arial"/>
          <w:color w:val="auto"/>
          <w:highlight w:val="none"/>
        </w:rPr>
        <w:t xml:space="preserve">最终结算金额以实际监测人数为准。</w:t>
      </w:r>
      <w:bookmarkEnd w:id="259"/>
      <w:r/>
      <w:r/>
    </w:p>
    <w:p>
      <w:pPr>
        <w:keepLines w:val="0"/>
        <w:keepNext w:val="0"/>
        <w:pageBreakBefore w:val="0"/>
        <w:spacing w:line="360" w:lineRule="auto"/>
        <w:widowControl w:val="off"/>
        <w:rPr>
          <w:rFonts w:hint="eastAsia" w:ascii="宋体" w:hAnsi="宋体" w:cs="宋体"/>
          <w:color w:val="auto"/>
          <w:highlight w:val="none"/>
          <w:lang w:bidi="en-US"/>
        </w:rPr>
      </w:pPr>
      <w:r>
        <w:rPr>
          <w:rFonts w:hint="eastAsia" w:ascii="宋体" w:hAnsi="宋体" w:cs="宋体"/>
          <w:color w:val="auto"/>
          <w:highlight w:val="none"/>
          <w:lang w:eastAsia="en-US" w:bidi="en-US"/>
        </w:rPr>
        <w:t xml:space="preserve">（3）本次采购报价采用</w:t>
      </w:r>
      <w:r>
        <w:rPr>
          <w:rFonts w:hint="eastAsia" w:ascii="宋体" w:hAnsi="宋体" w:cs="宋体"/>
          <w:color w:val="auto"/>
          <w:highlight w:val="none"/>
          <w:lang w:bidi="en-US"/>
        </w:rPr>
        <w:t xml:space="preserve">单价</w:t>
      </w:r>
      <w:r>
        <w:rPr>
          <w:rFonts w:hint="eastAsia" w:ascii="宋体" w:hAnsi="宋体" w:cs="宋体"/>
          <w:color w:val="auto"/>
          <w:highlight w:val="none"/>
          <w:lang w:eastAsia="en-US" w:bidi="en-US"/>
        </w:rPr>
        <w:t xml:space="preserve">进行报价</w:t>
      </w:r>
      <w:r>
        <w:rPr>
          <w:rFonts w:hint="eastAsia" w:ascii="宋体" w:hAnsi="宋体" w:cs="宋体"/>
          <w:color w:val="auto"/>
          <w:highlight w:val="none"/>
          <w:lang w:bidi="en-US"/>
        </w:rPr>
        <w:t xml:space="preserve">。后期结算按实际工作量结算（结算到小数点分位）。</w:t>
      </w:r>
      <w:r/>
    </w:p>
    <w:p>
      <w:pPr>
        <w:keepLines w:val="0"/>
        <w:keepNext w:val="0"/>
        <w:pageBreakBefore w:val="0"/>
        <w:spacing w:line="360" w:lineRule="auto"/>
        <w:widowControl w:val="off"/>
        <w:rPr>
          <w:rFonts w:ascii="宋体" w:hAnsi="宋体" w:cs="宋体"/>
          <w:color w:val="auto"/>
          <w:highlight w:val="none"/>
          <w:lang w:val="en-US" w:eastAsia="zh-CN"/>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 w:val="0"/>
          <w:bCs w:val="0"/>
          <w:color w:val="auto"/>
          <w:sz w:val="21"/>
          <w:szCs w:val="21"/>
          <w:highlight w:val="none"/>
          <w:lang w:eastAsia="en-US" w:bidi="en-US"/>
        </w:rPr>
        <w:t xml:space="preserve">（4）投标报价应包括招标文件所确定的招标范围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p>
    <w:p>
      <w:pPr>
        <w:pStyle w:val="885"/>
        <w:ind w:firstLine="569"/>
        <w:spacing w:line="480" w:lineRule="auto"/>
        <w:rPr>
          <w:rFonts w:hint="eastAsia" w:ascii="宋体" w:hAnsi="宋体" w:cs="宋体"/>
          <w:color w:val="auto"/>
          <w:highlight w:val="none"/>
        </w:rPr>
      </w:pPr>
      <w:r/>
      <w:bookmarkStart w:id="260" w:name="_Toc107246272"/>
      <w:r>
        <w:rPr>
          <w:rFonts w:hint="eastAsia" w:ascii="宋体" w:hAnsi="宋体" w:cs="宋体"/>
          <w:color w:val="auto"/>
          <w:highlight w:val="none"/>
        </w:rPr>
        <w:t xml:space="preserve">第五章 评标方法与评标标准</w:t>
      </w:r>
      <w:bookmarkEnd w:id="260"/>
      <w:r/>
      <w:r/>
    </w:p>
    <w:p>
      <w:pPr>
        <w:ind w:firstLine="420"/>
        <w:spacing w:line="360" w:lineRule="auto"/>
        <w:rPr>
          <w:rFonts w:hint="eastAsia" w:ascii="宋体" w:hAnsi="宋体" w:cs="宋体"/>
          <w:color w:val="auto"/>
          <w:highlight w:val="none"/>
        </w:rPr>
      </w:pPr>
      <w:r/>
      <w:bookmarkStart w:id="261" w:name="_Toc91836565"/>
      <w:r>
        <w:rPr>
          <w:rFonts w:hint="eastAsia" w:cs="宋体"/>
          <w:color w:val="auto"/>
          <w:highlight w:val="none"/>
        </w:rPr>
        <w:t xml:space="preserve">本项目采用综合评分法，评分统计方法采用百分制（满分</w:t>
      </w:r>
      <w:r>
        <w:rPr>
          <w:color w:val="auto"/>
          <w:highlight w:val="none"/>
        </w:rPr>
        <w:t xml:space="preserve">100</w:t>
      </w:r>
      <w:r>
        <w:rPr>
          <w:rFonts w:hint="eastAsia" w:cs="宋体"/>
          <w:color w:val="auto"/>
          <w:highlight w:val="none"/>
        </w:rPr>
        <w:t xml:space="preserve">分），将全部评委评分直接进行算术平均，小数点后保留</w:t>
      </w:r>
      <w:r>
        <w:rPr>
          <w:color w:val="auto"/>
          <w:highlight w:val="none"/>
        </w:rPr>
        <w:t xml:space="preserve">2</w:t>
      </w:r>
      <w:r>
        <w:rPr>
          <w:rFonts w:hint="eastAsia" w:cs="宋体"/>
          <w:color w:val="auto"/>
          <w:highlight w:val="none"/>
        </w:rPr>
        <w:t xml:space="preserve">位。按评审后得分由高到低顺序排列，得分相同的，按投标报价由低到高顺序排列，得分且投标报价相同的，按技术指标优劣顺序排列，由评标委员会推荐中标候选人</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22"/>
        <w:tblW w:w="5000" w:type="pct"/>
        <w:jc w:val="center"/>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975"/>
        <w:gridCol w:w="5205"/>
        <w:gridCol w:w="1006"/>
      </w:tblGrid>
      <w:tr>
        <w:trPr>
          <w:jc w:val="center"/>
          <w:trHeight w:val="20"/>
          <w:tblHeader/>
        </w:trPr>
        <w:tc>
          <w:tcPr>
            <w:shd w:val="clear" w:color="000000" w:fill="ffffff"/>
            <w:tcMar>
              <w:left w:w="108" w:type="dxa"/>
              <w:right w:w="108" w:type="dxa"/>
            </w:tcMar>
            <w:tcW w:w="650"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shd w:val="clear" w:color="000000" w:fill="ffffff"/>
            <w:tcMar>
              <w:left w:w="108" w:type="dxa"/>
              <w:right w:w="108" w:type="dxa"/>
            </w:tcMar>
            <w:tcW w:w="1975"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评分因素</w:t>
            </w:r>
            <w:r/>
          </w:p>
        </w:tc>
        <w:tc>
          <w:tcPr>
            <w:shd w:val="clear" w:color="000000" w:fill="ffffff"/>
            <w:tcMar>
              <w:left w:w="108" w:type="dxa"/>
              <w:right w:w="108" w:type="dxa"/>
            </w:tcMar>
            <w:tcW w:w="5205"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评审标准</w:t>
            </w:r>
            <w:r/>
          </w:p>
        </w:tc>
        <w:tc>
          <w:tcPr>
            <w:shd w:val="clear" w:color="000000" w:fill="ffffff"/>
            <w:tcMar>
              <w:left w:w="108" w:type="dxa"/>
              <w:right w:w="108" w:type="dxa"/>
            </w:tcMar>
            <w:tcW w:w="1006" w:type="dxa"/>
            <w:vAlign w:val="center"/>
            <w:textDirection w:val="lrTb"/>
            <w:noWrap w:val="false"/>
          </w:tcPr>
          <w:p>
            <w:pPr>
              <w:jc w:val="center"/>
              <w:rPr>
                <w:rFonts w:hint="eastAsia" w:ascii="宋体" w:hAnsi="宋体" w:cs="宋体"/>
                <w:b/>
                <w:bCs/>
                <w:color w:val="auto"/>
                <w:highlight w:val="none"/>
              </w:rPr>
            </w:pPr>
            <w:r>
              <w:rPr>
                <w:rFonts w:hint="eastAsia" w:ascii="宋体" w:hAnsi="宋体" w:cs="宋体"/>
                <w:b/>
                <w:bCs/>
                <w:color w:val="auto"/>
                <w:highlight w:val="none"/>
              </w:rPr>
              <w:t xml:space="preserve">分值</w:t>
            </w:r>
            <w:r/>
          </w:p>
        </w:tc>
      </w:tr>
      <w:tr>
        <w:trPr>
          <w:jc w:val="center"/>
          <w:trHeight w:val="1363"/>
        </w:trPr>
        <w:tc>
          <w:tcPr>
            <w:shd w:val="clear" w:color="000000" w:fill="ffffff"/>
            <w:tcMar>
              <w:left w:w="108" w:type="dxa"/>
              <w:right w:w="108" w:type="dxa"/>
            </w:tcMar>
            <w:tcW w:w="650" w:type="dxa"/>
            <w:vAlign w:val="center"/>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1</w:t>
            </w:r>
            <w:r/>
          </w:p>
        </w:tc>
        <w:tc>
          <w:tcPr>
            <w:shd w:val="clear" w:color="000000" w:fill="ffffff"/>
            <w:tcMar>
              <w:left w:w="108" w:type="dxa"/>
              <w:right w:w="108" w:type="dxa"/>
            </w:tcMar>
            <w:tcW w:w="1975" w:type="dxa"/>
            <w:vAlign w:val="center"/>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t xml:space="preserve">价格</w:t>
            </w:r>
            <w:r/>
          </w:p>
          <w:p>
            <w:pPr>
              <w:jc w:val="center"/>
              <w:rPr>
                <w:rFonts w:hint="eastAsia" w:ascii="宋体" w:hAnsi="宋体"/>
                <w:color w:val="auto"/>
                <w:szCs w:val="20"/>
                <w:highlight w:val="none"/>
              </w:rPr>
            </w:pPr>
            <w:r>
              <w:rPr>
                <w:rFonts w:hint="eastAsia" w:ascii="宋体" w:hAnsi="宋体"/>
                <w:color w:val="auto"/>
                <w:szCs w:val="20"/>
                <w:highlight w:val="none"/>
              </w:rPr>
              <w:t xml:space="preserve">（15分）</w:t>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采用低价优先法计算，即满足采购文件要求且响应价格最低的投标报价为评标基准价，其价格分为满分。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其他供应商的价格分统一按照下列公式计算：投标报价得分=(评标基准价／投标报价)×15×100%（取小数点后两位）</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15</w:t>
            </w:r>
            <w:r/>
          </w:p>
        </w:tc>
      </w:tr>
      <w:tr>
        <w:trPr>
          <w:cantSplit/>
          <w:jc w:val="center"/>
          <w:trHeight w:val="282"/>
        </w:trPr>
        <w:tc>
          <w:tcPr>
            <w:shd w:val="clear" w:color="000000" w:fill="ffffff"/>
            <w:tcMar>
              <w:left w:w="108" w:type="dxa"/>
              <w:right w:w="108" w:type="dxa"/>
            </w:tcMar>
            <w:tcW w:w="650" w:type="dxa"/>
            <w:vAlign w:val="center"/>
            <w:vMerge w:val="restar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p>
        </w:tc>
        <w:tc>
          <w:tcPr>
            <w:shd w:val="clear" w:color="000000" w:fill="ffffff"/>
            <w:tcMar>
              <w:left w:w="108" w:type="dxa"/>
              <w:right w:w="108" w:type="dxa"/>
            </w:tcMar>
            <w:tcW w:w="1975" w:type="dxa"/>
            <w:vAlign w:val="center"/>
            <w:vMerge w:val="restart"/>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t xml:space="preserve">综合实力</w:t>
            </w:r>
            <w:r/>
          </w:p>
          <w:p>
            <w:pPr>
              <w:jc w:val="center"/>
              <w:rPr>
                <w:rFonts w:hint="eastAsia" w:ascii="宋体" w:hAnsi="宋体"/>
                <w:color w:val="auto"/>
                <w:szCs w:val="20"/>
                <w:highlight w:val="none"/>
              </w:rPr>
            </w:pPr>
            <w:r>
              <w:rPr>
                <w:rFonts w:hint="eastAsia" w:ascii="宋体" w:hAnsi="宋体"/>
                <w:color w:val="auto"/>
                <w:szCs w:val="20"/>
                <w:highlight w:val="none"/>
              </w:rPr>
              <w:t xml:space="preserve">（30分）</w:t>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医疗机构类别及等级：</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（1）</w:t>
            </w:r>
            <w:r>
              <w:rPr>
                <w:rFonts w:hint="eastAsia" w:ascii="宋体" w:hAnsi="宋体"/>
                <w:color w:val="auto"/>
                <w:szCs w:val="20"/>
                <w:highlight w:val="none"/>
                <w:lang w:val="en-US" w:eastAsia="zh-CN"/>
              </w:rPr>
              <w:t xml:space="preserve">三甲医院</w:t>
            </w:r>
            <w:r>
              <w:rPr>
                <w:rFonts w:hint="eastAsia" w:ascii="宋体" w:hAnsi="宋体"/>
                <w:color w:val="auto"/>
                <w:szCs w:val="20"/>
                <w:highlight w:val="none"/>
              </w:rPr>
              <w:t xml:space="preserve">得5分，三级医院得2分，二级医院得1分。（须提供证明材料复印件加盖公章）</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5</w:t>
            </w:r>
            <w:r/>
          </w:p>
        </w:tc>
      </w:tr>
      <w:tr>
        <w:trPr>
          <w:cantSplit/>
          <w:jc w:val="center"/>
          <w:trHeight w:val="20"/>
        </w:trPr>
        <w:tc>
          <w:tcPr>
            <w:shd w:val="clear" w:color="000000" w:fill="ffffff"/>
            <w:tcMar>
              <w:left w:w="108" w:type="dxa"/>
              <w:right w:w="108" w:type="dxa"/>
            </w:tcMar>
            <w:tcW w:w="650" w:type="dxa"/>
            <w:vAlign w:val="center"/>
            <w:vMerge w:val="continue"/>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tc>
        <w:tc>
          <w:tcPr>
            <w:shd w:val="clear" w:color="000000" w:fill="ffffff"/>
            <w:tcMar>
              <w:left w:w="108" w:type="dxa"/>
              <w:right w:w="108" w:type="dxa"/>
            </w:tcMar>
            <w:tcW w:w="1975" w:type="dxa"/>
            <w:vAlign w:val="center"/>
            <w:vMerge w:val="continue"/>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设备及人员数量：</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基本条件为5套设备（每套设备包含电脑验光仪1台和裸眼视力检查设备2台）及团队成员15人。</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（1）满足基本条件，得</w:t>
            </w:r>
            <w:r>
              <w:rPr>
                <w:rFonts w:hint="eastAsia" w:ascii="宋体" w:hAnsi="宋体"/>
                <w:color w:val="auto"/>
                <w:szCs w:val="20"/>
                <w:highlight w:val="none"/>
                <w:lang w:val="en-US" w:eastAsia="zh-CN"/>
              </w:rPr>
              <w:t xml:space="preserve">5</w:t>
            </w:r>
            <w:r>
              <w:rPr>
                <w:rFonts w:hint="eastAsia" w:ascii="宋体" w:hAnsi="宋体"/>
                <w:color w:val="auto"/>
                <w:szCs w:val="20"/>
                <w:highlight w:val="none"/>
              </w:rPr>
              <w:t xml:space="preserve">分，达不到基本条件不得分。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（2）在满足基本条件的基础上，每增加1套设备，得</w:t>
            </w:r>
            <w:r>
              <w:rPr>
                <w:rFonts w:hint="eastAsia" w:ascii="宋体" w:hAnsi="宋体"/>
                <w:color w:val="auto"/>
                <w:szCs w:val="20"/>
                <w:highlight w:val="none"/>
                <w:lang w:val="en-US" w:eastAsia="zh-CN"/>
              </w:rPr>
              <w:t xml:space="preserve">1</w:t>
            </w:r>
            <w:r>
              <w:rPr>
                <w:rFonts w:hint="eastAsia" w:ascii="宋体" w:hAnsi="宋体"/>
                <w:color w:val="auto"/>
                <w:szCs w:val="20"/>
                <w:highlight w:val="none"/>
              </w:rPr>
              <w:t xml:space="preserve">分，最高</w:t>
            </w:r>
            <w:r>
              <w:rPr>
                <w:rFonts w:hint="eastAsia" w:ascii="宋体" w:hAnsi="宋体"/>
                <w:color w:val="auto"/>
                <w:szCs w:val="20"/>
                <w:highlight w:val="none"/>
                <w:lang w:val="en-US" w:eastAsia="zh-CN"/>
              </w:rPr>
              <w:t xml:space="preserve">2</w:t>
            </w:r>
            <w:r>
              <w:rPr>
                <w:rFonts w:hint="eastAsia" w:ascii="宋体" w:hAnsi="宋体"/>
                <w:color w:val="auto"/>
                <w:szCs w:val="20"/>
                <w:highlight w:val="none"/>
              </w:rPr>
              <w:t xml:space="preserve">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（3）在满足基本条件的基础上，每增加3名团队成员，得</w:t>
            </w:r>
            <w:r>
              <w:rPr>
                <w:rFonts w:hint="eastAsia" w:ascii="宋体" w:hAnsi="宋体"/>
                <w:color w:val="auto"/>
                <w:szCs w:val="20"/>
                <w:highlight w:val="none"/>
                <w:lang w:val="en-US" w:eastAsia="zh-CN"/>
              </w:rPr>
              <w:t xml:space="preserve">1</w:t>
            </w:r>
            <w:r>
              <w:rPr>
                <w:rFonts w:hint="eastAsia" w:ascii="宋体" w:hAnsi="宋体"/>
                <w:color w:val="auto"/>
                <w:szCs w:val="20"/>
                <w:highlight w:val="none"/>
              </w:rPr>
              <w:t xml:space="preserve">分，最高</w:t>
            </w:r>
            <w:r>
              <w:rPr>
                <w:rFonts w:hint="eastAsia" w:ascii="宋体" w:hAnsi="宋体"/>
                <w:color w:val="auto"/>
                <w:szCs w:val="20"/>
                <w:highlight w:val="none"/>
                <w:lang w:val="en-US" w:eastAsia="zh-CN"/>
              </w:rPr>
              <w:t xml:space="preserve">3</w:t>
            </w:r>
            <w:r>
              <w:rPr>
                <w:rFonts w:hint="eastAsia" w:ascii="宋体" w:hAnsi="宋体"/>
                <w:color w:val="auto"/>
                <w:szCs w:val="20"/>
                <w:highlight w:val="none"/>
              </w:rPr>
              <w:t xml:space="preserve">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其余情况不得分，本项最高得</w:t>
            </w:r>
            <w:r>
              <w:rPr>
                <w:rFonts w:hint="eastAsia" w:ascii="宋体" w:hAnsi="宋体"/>
                <w:color w:val="auto"/>
                <w:szCs w:val="20"/>
                <w:highlight w:val="none"/>
                <w:lang w:val="en-US" w:eastAsia="zh-CN"/>
              </w:rPr>
              <w:t xml:space="preserve">10</w:t>
            </w:r>
            <w:r>
              <w:rPr>
                <w:rFonts w:hint="eastAsia" w:ascii="宋体" w:hAnsi="宋体"/>
                <w:color w:val="auto"/>
                <w:szCs w:val="20"/>
                <w:highlight w:val="none"/>
              </w:rPr>
              <w:t xml:space="preserve">分。</w:t>
            </w:r>
            <w:r/>
          </w:p>
          <w:p>
            <w:pPr>
              <w:keepLines w:val="0"/>
              <w:pageBreakBefore w:val="0"/>
              <w:spacing w:line="240" w:lineRule="auto"/>
              <w:widowControl w:val="off"/>
              <w:rPr>
                <w:rFonts w:hint="eastAsia" w:ascii="宋体" w:hAnsi="宋体"/>
                <w:b/>
                <w:bCs/>
                <w:color w:val="auto"/>
                <w:szCs w:val="20"/>
                <w:highlight w:val="none"/>
              </w:rPr>
            </w:pPr>
            <w:r>
              <w:rPr>
                <w:rFonts w:hint="eastAsia" w:ascii="宋体" w:hAnsi="宋体"/>
                <w:b/>
                <w:bCs/>
                <w:color w:val="auto"/>
                <w:szCs w:val="20"/>
                <w:highlight w:val="none"/>
              </w:rPr>
              <w:t xml:space="preserve">（注：1、投标单位必须提供每台设备的发票复印件；2、提供符合国家标准的校验报告，如不能提供，请说明具体原因；3、提供人员清单；4、人员清单原则上应与实际参与人员一致，如遇特殊情况，最多允许调整20%，须提前和采购人报备并同时提供下述第5点材料（提供针对本条要求的承诺函）；5、投标单位为团队成员缴纳距开标时间六个月内任意一个月的社会保障资金的凭据，若不能提供请说明具体原因并提供相关证明材料。以上五点对应的证明材料均须加盖公章，并在投标文件中体现，如有内容缺失或评委不认可的均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r>
      <w:tr>
        <w:trPr>
          <w:cantSplit/>
          <w:jc w:val="center"/>
          <w:trHeight w:val="20"/>
        </w:trPr>
        <w:tc>
          <w:tcPr>
            <w:shd w:val="clear" w:color="000000" w:fill="ffffff"/>
            <w:tcMar>
              <w:left w:w="108" w:type="dxa"/>
              <w:right w:w="108" w:type="dxa"/>
            </w:tcMar>
            <w:tcW w:w="650" w:type="dxa"/>
            <w:vAlign w:val="center"/>
            <w:vMerge w:val="continue"/>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tc>
        <w:tc>
          <w:tcPr>
            <w:shd w:val="clear" w:color="000000" w:fill="ffffff"/>
            <w:tcMar>
              <w:left w:w="108" w:type="dxa"/>
              <w:right w:w="108" w:type="dxa"/>
            </w:tcMar>
            <w:tcW w:w="1975" w:type="dxa"/>
            <w:vAlign w:val="center"/>
            <w:vMerge w:val="continue"/>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人员资质：</w:t>
            </w:r>
            <w:r/>
          </w:p>
          <w:p>
            <w:pPr>
              <w:keepLines w:val="0"/>
              <w:pageBreakBefore w:val="0"/>
              <w:spacing w:line="240" w:lineRule="auto"/>
              <w:widowControl w:val="off"/>
              <w:rPr>
                <w:rFonts w:hint="eastAsia" w:ascii="宋体" w:hAnsi="宋体" w:eastAsia="宋体"/>
                <w:color w:val="auto"/>
                <w:szCs w:val="20"/>
                <w:highlight w:val="none"/>
                <w:lang w:val="en-US" w:eastAsia="zh-CN"/>
              </w:rPr>
            </w:pPr>
            <w:r>
              <w:rPr>
                <w:rFonts w:hint="eastAsia" w:ascii="宋体" w:hAnsi="宋体"/>
                <w:color w:val="auto"/>
                <w:szCs w:val="20"/>
                <w:highlight w:val="none"/>
              </w:rPr>
              <w:t xml:space="preserve">项目团队中</w:t>
            </w:r>
            <w:r>
              <w:rPr>
                <w:rFonts w:hint="eastAsia" w:ascii="宋体" w:hAnsi="宋体"/>
                <w:color w:val="auto"/>
                <w:szCs w:val="20"/>
                <w:highlight w:val="none"/>
                <w:lang w:val="en-US" w:eastAsia="zh-CN"/>
              </w:rPr>
              <w:t xml:space="preserve">眼科主治医师职称</w:t>
            </w:r>
            <w:r>
              <w:rPr>
                <w:rFonts w:hint="eastAsia" w:ascii="宋体" w:hAnsi="宋体"/>
                <w:color w:val="auto"/>
                <w:szCs w:val="20"/>
                <w:highlight w:val="none"/>
              </w:rPr>
              <w:t xml:space="preserve">的人数每增加一人得1分，本项最高得</w:t>
            </w:r>
            <w:r>
              <w:rPr>
                <w:rFonts w:hint="eastAsia" w:ascii="宋体" w:hAnsi="宋体"/>
                <w:color w:val="auto"/>
                <w:szCs w:val="20"/>
                <w:highlight w:val="none"/>
                <w:lang w:val="en-US" w:eastAsia="zh-CN"/>
              </w:rPr>
              <w:t xml:space="preserve">5</w:t>
            </w:r>
            <w:r>
              <w:rPr>
                <w:rFonts w:hint="eastAsia" w:ascii="宋体" w:hAnsi="宋体"/>
                <w:color w:val="auto"/>
                <w:szCs w:val="20"/>
                <w:highlight w:val="none"/>
              </w:rPr>
              <w:t xml:space="preserve">分。</w:t>
            </w:r>
            <w:r/>
          </w:p>
          <w:p>
            <w:pPr>
              <w:keepLines w:val="0"/>
              <w:pageBreakBefore w:val="0"/>
              <w:spacing w:line="240" w:lineRule="auto"/>
              <w:widowControl w:val="off"/>
              <w:rPr>
                <w:rFonts w:hint="default" w:ascii="宋体" w:hAnsi="宋体" w:eastAsia="宋体"/>
                <w:color w:val="auto"/>
                <w:szCs w:val="20"/>
                <w:highlight w:val="none"/>
                <w:lang w:val="en-US" w:eastAsia="zh-CN"/>
              </w:rPr>
            </w:pPr>
            <w:r>
              <w:rPr>
                <w:rFonts w:hint="eastAsia" w:ascii="宋体" w:hAnsi="宋体"/>
                <w:color w:val="auto"/>
                <w:szCs w:val="20"/>
                <w:highlight w:val="none"/>
              </w:rPr>
              <w:t xml:space="preserve">项目团队中</w:t>
            </w:r>
            <w:r>
              <w:rPr>
                <w:rFonts w:hint="eastAsia" w:ascii="宋体" w:hAnsi="宋体"/>
                <w:color w:val="auto"/>
                <w:szCs w:val="20"/>
                <w:highlight w:val="none"/>
                <w:lang w:val="en-US" w:eastAsia="zh-CN"/>
              </w:rPr>
              <w:t xml:space="preserve">眼科副主任医师及以上职称</w:t>
            </w:r>
            <w:r>
              <w:rPr>
                <w:rFonts w:hint="eastAsia" w:ascii="宋体" w:hAnsi="宋体"/>
                <w:color w:val="auto"/>
                <w:szCs w:val="20"/>
                <w:highlight w:val="none"/>
              </w:rPr>
              <w:t xml:space="preserve">的人数每增加一人得1分，本项最高得</w:t>
            </w:r>
            <w:r>
              <w:rPr>
                <w:rFonts w:hint="eastAsia" w:ascii="宋体" w:hAnsi="宋体"/>
                <w:color w:val="auto"/>
                <w:szCs w:val="20"/>
                <w:highlight w:val="none"/>
                <w:lang w:val="en-US" w:eastAsia="zh-CN"/>
              </w:rPr>
              <w:t xml:space="preserve">10</w:t>
            </w:r>
            <w:r>
              <w:rPr>
                <w:rFonts w:hint="eastAsia" w:ascii="宋体" w:hAnsi="宋体"/>
                <w:color w:val="auto"/>
                <w:szCs w:val="20"/>
                <w:highlight w:val="none"/>
              </w:rPr>
              <w:t xml:space="preserve">分。</w:t>
            </w:r>
            <w:r/>
          </w:p>
          <w:p>
            <w:pPr>
              <w:keepLines w:val="0"/>
              <w:pageBreakBefore w:val="0"/>
              <w:spacing w:line="240" w:lineRule="auto"/>
              <w:widowControl w:val="off"/>
              <w:rPr>
                <w:rFonts w:hint="eastAsia"/>
                <w:color w:val="auto"/>
                <w:highlight w:val="none"/>
              </w:rPr>
            </w:pPr>
            <w:r>
              <w:rPr>
                <w:rFonts w:hint="eastAsia" w:ascii="宋体" w:hAnsi="宋体"/>
                <w:b/>
                <w:bCs/>
                <w:color w:val="auto"/>
                <w:szCs w:val="20"/>
                <w:highlight w:val="none"/>
              </w:rPr>
              <w:t xml:space="preserve">（注：1、提供相应证书</w:t>
            </w:r>
            <w:r>
              <w:rPr>
                <w:rFonts w:hint="eastAsia" w:ascii="宋体" w:hAnsi="宋体"/>
                <w:b/>
                <w:bCs/>
                <w:color w:val="auto"/>
                <w:szCs w:val="20"/>
                <w:highlight w:val="none"/>
                <w:lang w:eastAsia="zh-CN"/>
              </w:rPr>
              <w:t xml:space="preserve">（</w:t>
            </w:r>
            <w:r>
              <w:rPr>
                <w:rFonts w:hint="eastAsia" w:ascii="宋体" w:hAnsi="宋体"/>
                <w:b/>
                <w:bCs/>
                <w:color w:val="auto"/>
                <w:szCs w:val="20"/>
                <w:highlight w:val="none"/>
                <w:lang w:val="en-US" w:eastAsia="zh-CN"/>
              </w:rPr>
              <w:t xml:space="preserve">包括眼科职称证、执业证</w:t>
            </w:r>
            <w:r>
              <w:rPr>
                <w:rFonts w:hint="eastAsia" w:ascii="宋体" w:hAnsi="宋体"/>
                <w:b/>
                <w:bCs/>
                <w:color w:val="auto"/>
                <w:szCs w:val="20"/>
                <w:highlight w:val="none"/>
                <w:lang w:eastAsia="zh-CN"/>
              </w:rPr>
              <w:t xml:space="preserve">）</w:t>
            </w:r>
            <w:r>
              <w:rPr>
                <w:rFonts w:hint="eastAsia" w:ascii="宋体" w:hAnsi="宋体"/>
                <w:b/>
                <w:bCs/>
                <w:color w:val="auto"/>
                <w:szCs w:val="20"/>
                <w:highlight w:val="none"/>
              </w:rPr>
              <w:t xml:space="preserve">复印件；2、投标单位为其缴纳距开标时间六个月内任意一个月的社会保障资金的凭据，若不能提供请说明具体原因并提供相关证明材料；3、所提供的</w:t>
            </w:r>
            <w:r>
              <w:rPr>
                <w:rFonts w:hint="eastAsia" w:ascii="宋体" w:hAnsi="宋体"/>
                <w:b/>
                <w:bCs/>
                <w:color w:val="auto"/>
                <w:szCs w:val="20"/>
                <w:highlight w:val="none"/>
                <w:lang w:val="en-US" w:eastAsia="zh-CN"/>
              </w:rPr>
              <w:t xml:space="preserve">人员</w:t>
            </w:r>
            <w:r>
              <w:rPr>
                <w:rFonts w:hint="eastAsia" w:ascii="宋体" w:hAnsi="宋体"/>
                <w:b/>
                <w:bCs/>
                <w:color w:val="auto"/>
                <w:szCs w:val="20"/>
                <w:highlight w:val="none"/>
              </w:rPr>
              <w:t xml:space="preserve">必须是本包实际参与人员，并提供承诺函。以上三点材料均须加盖公章，并在投标文件中体现，内容缺失或评委不认可的均不得分。）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15</w:t>
            </w:r>
            <w:r/>
          </w:p>
        </w:tc>
      </w:tr>
      <w:tr>
        <w:trPr>
          <w:cantSplit/>
          <w:jc w:val="center"/>
          <w:trHeight w:val="20"/>
        </w:trPr>
        <w:tc>
          <w:tcPr>
            <w:shd w:val="clear" w:color="000000" w:fill="ffffff"/>
            <w:tcMar>
              <w:left w:w="108" w:type="dxa"/>
              <w:right w:w="108" w:type="dxa"/>
            </w:tcMar>
            <w:tcW w:w="650" w:type="dxa"/>
            <w:vAlign w:val="center"/>
            <w:vMerge w:val="restar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w:t>
            </w:r>
            <w:r/>
          </w:p>
        </w:tc>
        <w:tc>
          <w:tcPr>
            <w:shd w:val="clear" w:color="000000" w:fill="ffffff"/>
            <w:tcMar>
              <w:left w:w="108" w:type="dxa"/>
              <w:right w:w="108" w:type="dxa"/>
            </w:tcMar>
            <w:tcW w:w="1975" w:type="dxa"/>
            <w:vAlign w:val="center"/>
            <w:vMerge w:val="restart"/>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t xml:space="preserve">服务方案</w:t>
            </w:r>
            <w:r/>
          </w:p>
          <w:p>
            <w:pPr>
              <w:jc w:val="center"/>
              <w:rPr>
                <w:rFonts w:hint="eastAsia" w:ascii="宋体" w:hAnsi="宋体"/>
                <w:color w:val="auto"/>
                <w:szCs w:val="20"/>
                <w:highlight w:val="none"/>
              </w:rPr>
            </w:pPr>
            <w:r>
              <w:rPr>
                <w:rFonts w:hint="eastAsia" w:ascii="宋体" w:hAnsi="宋体"/>
                <w:color w:val="auto"/>
                <w:szCs w:val="20"/>
                <w:highlight w:val="none"/>
              </w:rPr>
              <w:t xml:space="preserve">（40分）</w:t>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总体实施方案：</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由于本项目涉及区域广、检测对象数量多，为确保在规定的时间内完成全部视力筛查工作，供应商须对照本包指定区域提出针对性的实施方案。</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方案科学合理，针对性强，可执行性强，能够保证监测结果的准确性，以及项目时效性的，得10分；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方案较为科学合理，针对性一般，可执行性一般，能够保证监测结果的准确性以及项目时效性的，满足采购人要求的，得7分；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方案不太合理，具有一定针对性，但可执行性较弱，基本能够保证监测结果的准确性以及项目时效性的，得 4分；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其余情况不得分。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10</w:t>
            </w:r>
            <w:r/>
          </w:p>
        </w:tc>
      </w:tr>
      <w:tr>
        <w:trPr>
          <w:cantSplit/>
          <w:jc w:val="center"/>
          <w:trHeight w:val="20"/>
        </w:trPr>
        <w:tc>
          <w:tcPr>
            <w:shd w:val="clear" w:color="000000" w:fill="ffffff"/>
            <w:tcMar>
              <w:left w:w="108" w:type="dxa"/>
              <w:right w:w="108" w:type="dxa"/>
            </w:tcMar>
            <w:tcW w:w="650" w:type="dxa"/>
            <w:vAlign w:val="center"/>
            <w:vMerge w:val="continue"/>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tc>
        <w:tc>
          <w:tcPr>
            <w:shd w:val="clear" w:color="000000" w:fill="ffffff"/>
            <w:tcMar>
              <w:left w:w="108" w:type="dxa"/>
              <w:right w:w="108" w:type="dxa"/>
            </w:tcMar>
            <w:tcW w:w="1975" w:type="dxa"/>
            <w:vAlign w:val="center"/>
            <w:vMerge w:val="continue"/>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内部建设制度（包含管理职责及权限、工作流程及培训方案）：</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人员及工作安排管理模式清晰，培训方案（包含岗前培训、操作培训、应急流程培训及安全培训等）设计合理、操作性强，具有创新性和示范性，得10分；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人员及工作安排管理模式一般，培训方案设计较为合理，操作性可行，得7分；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人员及工作安排、培训方案操作性一般，得4分；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其余情况不得分。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10</w:t>
            </w:r>
            <w:r/>
          </w:p>
        </w:tc>
      </w:tr>
      <w:tr>
        <w:trPr>
          <w:cantSplit/>
          <w:jc w:val="center"/>
          <w:trHeight w:val="20"/>
        </w:trPr>
        <w:tc>
          <w:tcPr>
            <w:shd w:val="clear" w:color="000000" w:fill="ffffff"/>
            <w:tcMar>
              <w:left w:w="108" w:type="dxa"/>
              <w:right w:w="108" w:type="dxa"/>
            </w:tcMar>
            <w:tcW w:w="650" w:type="dxa"/>
            <w:vAlign w:val="center"/>
            <w:vMerge w:val="continue"/>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tc>
        <w:tc>
          <w:tcPr>
            <w:shd w:val="clear" w:color="000000" w:fill="ffffff"/>
            <w:tcMar>
              <w:left w:w="108" w:type="dxa"/>
              <w:right w:w="108" w:type="dxa"/>
            </w:tcMar>
            <w:tcW w:w="1975" w:type="dxa"/>
            <w:vAlign w:val="center"/>
            <w:vMerge w:val="continue"/>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安全及质量控制方案（包含应急预案、预防措施、安全管理、突发事件处理、不良事件处理流程等具体内容等）：</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方案详细完整、明确清晰、可操作性强、对本项目各区域针对性强，具备较强区域服务优势的，得10分；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方案完整但不清晰，可操作性一般、对本项目各区域针对性较强，具备一定区域服务优势的，得7分；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方案简单不全面，不具有针对性和可操作性的，得4分；</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其余情况不得分。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10</w:t>
            </w:r>
            <w:r/>
          </w:p>
        </w:tc>
      </w:tr>
      <w:tr>
        <w:trPr>
          <w:cantSplit/>
          <w:jc w:val="center"/>
          <w:trHeight w:val="20"/>
        </w:trPr>
        <w:tc>
          <w:tcPr>
            <w:shd w:val="clear" w:color="000000" w:fill="ffffff"/>
            <w:tcMar>
              <w:left w:w="108" w:type="dxa"/>
              <w:right w:w="108" w:type="dxa"/>
            </w:tcMar>
            <w:tcW w:w="650" w:type="dxa"/>
            <w:vAlign w:val="center"/>
            <w:vMerge w:val="continue"/>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tc>
        <w:tc>
          <w:tcPr>
            <w:shd w:val="clear" w:color="000000" w:fill="ffffff"/>
            <w:tcMar>
              <w:left w:w="108" w:type="dxa"/>
              <w:right w:w="108" w:type="dxa"/>
            </w:tcMar>
            <w:tcW w:w="1975" w:type="dxa"/>
            <w:vAlign w:val="center"/>
            <w:vMerge w:val="continue"/>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r>
            <w:r/>
          </w:p>
        </w:tc>
        <w:tc>
          <w:tcPr>
            <w:shd w:val="clear" w:color="000000" w:fill="ffffff"/>
            <w:tcMar>
              <w:left w:w="108" w:type="dxa"/>
              <w:right w:w="108" w:type="dxa"/>
            </w:tcMar>
            <w:tcW w:w="5205" w:type="dxa"/>
            <w:vAlign w:val="center"/>
            <w:textDirection w:val="lrTb"/>
            <w:noWrap w:val="false"/>
          </w:tcPr>
          <w:p>
            <w:pPr>
              <w:jc w:val="left"/>
              <w:keepLines w:val="0"/>
              <w:pageBreakBefore w:val="0"/>
              <w:spacing w:line="240" w:lineRule="auto"/>
              <w:widowControl w:val="off"/>
              <w:rPr>
                <w:rFonts w:hint="eastAsia" w:ascii="宋体" w:hAnsi="宋体"/>
                <w:color w:val="auto"/>
                <w:szCs w:val="20"/>
                <w:highlight w:val="none"/>
              </w:rPr>
            </w:pPr>
            <w:r/>
            <w:bookmarkStart w:id="360" w:name="_GoBack"/>
            <w:r>
              <w:rPr>
                <w:rFonts w:hint="eastAsia" w:ascii="宋体" w:hAnsi="宋体"/>
                <w:color w:val="auto"/>
                <w:szCs w:val="20"/>
                <w:highlight w:val="none"/>
              </w:rPr>
              <w:t xml:space="preserve">反馈机制以及服务质量标准承诺机制：</w:t>
            </w:r>
            <w:bookmarkEnd w:id="360"/>
            <w:r/>
            <w:r/>
          </w:p>
          <w:p>
            <w:pPr>
              <w:jc w:val="left"/>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根据供应商针对项目有面向服务对象的信息公开联系情况（例如监测人员培训情况、工作节点汇报、每日工作计划完成度、工作信息反馈等）的反馈机制以及服务质量标准承诺机制进行打分。</w:t>
            </w:r>
            <w:r/>
          </w:p>
          <w:p>
            <w:pPr>
              <w:jc w:val="left"/>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两项机制设置合理、反馈机制及时、服务质量标准高、针对性及可操作性强的，得10分；</w:t>
            </w:r>
            <w:r/>
          </w:p>
          <w:p>
            <w:pPr>
              <w:jc w:val="left"/>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两项机制设置较合理、反馈机制较及时、服务质量标准较高、针对性及可操作性较强的，得7分；</w:t>
            </w:r>
            <w:r/>
          </w:p>
          <w:p>
            <w:pPr>
              <w:jc w:val="left"/>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两项机制设置能基本满足项目需求、反馈机制一般、服务质量标准一般、针对性及可操作性一般的，得4分。</w:t>
            </w:r>
            <w:r/>
          </w:p>
          <w:p>
            <w:pPr>
              <w:jc w:val="left"/>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其余情况不得分。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10</w:t>
            </w:r>
            <w:r/>
          </w:p>
        </w:tc>
      </w:tr>
      <w:tr>
        <w:trPr>
          <w:cantSplit/>
          <w:jc w:val="center"/>
          <w:trHeight w:val="262"/>
        </w:trPr>
        <w:tc>
          <w:tcPr>
            <w:shd w:val="clear" w:color="000000" w:fill="ffffff"/>
            <w:tcMar>
              <w:left w:w="108" w:type="dxa"/>
              <w:right w:w="108" w:type="dxa"/>
            </w:tcMar>
            <w:tcW w:w="650" w:type="dxa"/>
            <w:vAlign w:val="center"/>
            <w:vMerge w:val="restart"/>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4</w:t>
            </w:r>
            <w:r/>
          </w:p>
        </w:tc>
        <w:tc>
          <w:tcPr>
            <w:shd w:val="clear" w:color="000000" w:fill="ffffff"/>
            <w:tcMar>
              <w:left w:w="108" w:type="dxa"/>
              <w:right w:w="108" w:type="dxa"/>
            </w:tcMar>
            <w:tcW w:w="1975" w:type="dxa"/>
            <w:vAlign w:val="center"/>
            <w:vMerge w:val="restart"/>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t xml:space="preserve">业绩及供应商评价</w:t>
            </w:r>
            <w:r/>
          </w:p>
          <w:p>
            <w:pPr>
              <w:jc w:val="center"/>
              <w:rPr>
                <w:rFonts w:hint="eastAsia" w:ascii="宋体" w:hAnsi="宋体"/>
                <w:color w:val="auto"/>
                <w:szCs w:val="20"/>
                <w:highlight w:val="none"/>
              </w:rPr>
            </w:pPr>
            <w:r>
              <w:rPr>
                <w:rFonts w:hint="eastAsia" w:ascii="宋体" w:hAnsi="宋体"/>
                <w:color w:val="auto"/>
                <w:szCs w:val="20"/>
                <w:highlight w:val="none"/>
              </w:rPr>
              <w:t xml:space="preserve">（</w:t>
            </w:r>
            <w:r>
              <w:rPr>
                <w:rFonts w:hint="eastAsia" w:ascii="宋体" w:hAnsi="宋体"/>
                <w:color w:val="auto"/>
                <w:szCs w:val="20"/>
                <w:highlight w:val="none"/>
                <w:lang w:val="en-US" w:eastAsia="zh-CN"/>
              </w:rPr>
              <w:t xml:space="preserve">8</w:t>
            </w:r>
            <w:r>
              <w:rPr>
                <w:rFonts w:hint="eastAsia" w:ascii="宋体" w:hAnsi="宋体"/>
                <w:color w:val="auto"/>
                <w:szCs w:val="20"/>
                <w:highlight w:val="none"/>
              </w:rPr>
              <w:t xml:space="preserve">分）</w:t>
            </w:r>
            <w:r/>
          </w:p>
        </w:tc>
        <w:tc>
          <w:tcPr>
            <w:shd w:val="clear" w:color="000000" w:fill="ffffff"/>
            <w:tcMar>
              <w:left w:w="108" w:type="dxa"/>
              <w:right w:w="108" w:type="dxa"/>
            </w:tcMar>
            <w:tcW w:w="5205" w:type="dxa"/>
            <w:vAlign w:val="center"/>
            <w:textDirection w:val="lrTb"/>
            <w:noWrap w:val="false"/>
          </w:tcPr>
          <w:p>
            <w:pPr>
              <w:keepLines w:val="0"/>
              <w:keepNext/>
              <w:pageBreakBefore w:val="0"/>
              <w:spacing w:line="240" w:lineRule="auto"/>
              <w:widowControl w:val="off"/>
              <w:rPr>
                <w:rFonts w:hint="eastAsia"/>
                <w:color w:val="auto"/>
                <w:highlight w:val="none"/>
              </w:rPr>
              <w:outlineLvl w:val="0"/>
            </w:pPr>
            <w:r>
              <w:rPr>
                <w:rFonts w:hint="eastAsia"/>
                <w:color w:val="auto"/>
                <w:highlight w:val="none"/>
              </w:rPr>
              <w:t xml:space="preserve">自202</w:t>
            </w:r>
            <w:r>
              <w:rPr>
                <w:rFonts w:hint="eastAsia"/>
                <w:color w:val="auto"/>
                <w:highlight w:val="none"/>
                <w:lang w:val="en-US" w:eastAsia="zh-CN"/>
              </w:rPr>
              <w:t xml:space="preserve">3</w:t>
            </w:r>
            <w:r>
              <w:rPr>
                <w:rFonts w:hint="eastAsia"/>
                <w:color w:val="auto"/>
                <w:highlight w:val="none"/>
              </w:rPr>
              <w:t xml:space="preserve">年01月01日以来(以合同签订日期为准)，供应商完成的与本项目类似视力筛查业绩，每提供一个有效合同得1分，本项最高得5分。(须提供合同复印件加盖公章，原件备查。)</w:t>
            </w:r>
            <w:r/>
          </w:p>
          <w:p>
            <w:pPr>
              <w:keepLines w:val="0"/>
              <w:keepNext/>
              <w:pageBreakBefore w:val="0"/>
              <w:spacing w:line="240" w:lineRule="auto"/>
              <w:widowControl w:val="off"/>
              <w:rPr>
                <w:rFonts w:hint="eastAsia" w:ascii="宋体" w:hAnsi="宋体"/>
                <w:b/>
                <w:bCs/>
                <w:color w:val="auto"/>
                <w:szCs w:val="20"/>
                <w:highlight w:val="none"/>
              </w:rPr>
              <w:outlineLvl w:val="0"/>
            </w:pPr>
            <w:r>
              <w:rPr>
                <w:rFonts w:hint="eastAsia"/>
                <w:b/>
                <w:bCs/>
                <w:color w:val="auto"/>
                <w:highlight w:val="none"/>
              </w:rPr>
              <w:t xml:space="preserve">注：在同一个项目下分别与多个单位签订合同的计入一份有效合同。评委将根据合同签订项目名称及日期等有效信息判断。</w:t>
            </w:r>
            <w:r/>
          </w:p>
        </w:tc>
        <w:tc>
          <w:tcPr>
            <w:shd w:val="clear" w:color="000000" w:fill="ffffff"/>
            <w:tcMar>
              <w:left w:w="108" w:type="dxa"/>
              <w:right w:w="108" w:type="dxa"/>
            </w:tcMar>
            <w:tcW w:w="1006" w:type="dxa"/>
            <w:vAlign w:val="center"/>
            <w:vMerge w:val="restart"/>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r>
      <w:tr>
        <w:trPr>
          <w:cantSplit/>
          <w:jc w:val="center"/>
          <w:trHeight w:val="262"/>
        </w:trPr>
        <w:tc>
          <w:tcPr>
            <w:shd w:val="clear" w:color="000000" w:fill="ffffff"/>
            <w:tcMar>
              <w:left w:w="108" w:type="dxa"/>
              <w:right w:w="108" w:type="dxa"/>
            </w:tcMar>
            <w:tcW w:w="650" w:type="dxa"/>
            <w:vAlign w:val="center"/>
            <w:vMerge w:val="continue"/>
            <w:textDirection w:val="lrTb"/>
            <w:noWrap w:val="false"/>
          </w:tcPr>
          <w:p>
            <w:pPr>
              <w:keepLines w:val="0"/>
              <w:keepNext/>
              <w:pageBreakBefore w:val="0"/>
              <w:spacing w:line="240" w:lineRule="auto"/>
              <w:widowControl w:val="off"/>
              <w:rPr>
                <w:color w:val="auto"/>
                <w:highlight w:val="none"/>
              </w:rPr>
              <w:outlineLvl w:val="0"/>
            </w:pPr>
            <w:r>
              <w:rPr>
                <w:color w:val="auto"/>
                <w:highlight w:val="none"/>
              </w:rPr>
            </w:r>
            <w:r/>
          </w:p>
        </w:tc>
        <w:tc>
          <w:tcPr>
            <w:shd w:val="clear" w:color="000000" w:fill="ffffff"/>
            <w:tcMar>
              <w:left w:w="108" w:type="dxa"/>
              <w:right w:w="108" w:type="dxa"/>
            </w:tcMar>
            <w:tcW w:w="1975" w:type="dxa"/>
            <w:vAlign w:val="center"/>
            <w:vMerge w:val="continue"/>
            <w:textDirection w:val="lrTb"/>
            <w:noWrap w:val="false"/>
          </w:tcPr>
          <w:p>
            <w:pPr>
              <w:keepLines w:val="0"/>
              <w:keepNext/>
              <w:pageBreakBefore w:val="0"/>
              <w:spacing w:line="240" w:lineRule="auto"/>
              <w:widowControl w:val="off"/>
              <w:rPr>
                <w:color w:val="auto"/>
                <w:highlight w:val="none"/>
              </w:rPr>
              <w:outlineLvl w:val="0"/>
            </w:pPr>
            <w:r>
              <w:rPr>
                <w:color w:val="auto"/>
                <w:highlight w:val="none"/>
              </w:rPr>
            </w:r>
            <w:r/>
          </w:p>
        </w:tc>
        <w:tc>
          <w:tcPr>
            <w:shd w:val="clear" w:color="000000" w:fill="ffffff"/>
            <w:tcMar>
              <w:left w:w="108" w:type="dxa"/>
              <w:right w:w="108" w:type="dxa"/>
            </w:tcMar>
            <w:tcW w:w="5205" w:type="dxa"/>
            <w:vAlign w:val="center"/>
            <w:textDirection w:val="lrTb"/>
            <w:noWrap w:val="false"/>
          </w:tcPr>
          <w:p>
            <w:pPr>
              <w:keepLines w:val="0"/>
              <w:keepNext/>
              <w:pageBreakBefore w:val="0"/>
              <w:spacing w:line="240" w:lineRule="auto"/>
              <w:widowControl w:val="off"/>
              <w:rPr>
                <w:rFonts w:hint="eastAsia"/>
                <w:color w:val="auto"/>
                <w:highlight w:val="none"/>
              </w:rPr>
              <w:outlineLvl w:val="0"/>
            </w:pPr>
            <w:r>
              <w:rPr>
                <w:rFonts w:hint="eastAsia"/>
                <w:color w:val="auto"/>
                <w:highlight w:val="none"/>
              </w:rPr>
              <w:t xml:space="preserve">自202</w:t>
            </w:r>
            <w:r>
              <w:rPr>
                <w:rFonts w:hint="eastAsia"/>
                <w:color w:val="auto"/>
                <w:highlight w:val="none"/>
                <w:lang w:val="en-US" w:eastAsia="zh-CN"/>
              </w:rPr>
              <w:t xml:space="preserve">3</w:t>
            </w:r>
            <w:r>
              <w:rPr>
                <w:rFonts w:hint="eastAsia"/>
                <w:color w:val="auto"/>
                <w:highlight w:val="none"/>
              </w:rPr>
              <w:t xml:space="preserve">年01月01日以来，供应商完成的与本项目类似视力筛查项目得到用户评价为“优”的，得1分，本项最高得</w:t>
            </w:r>
            <w:r>
              <w:rPr>
                <w:rFonts w:hint="eastAsia"/>
                <w:color w:val="auto"/>
                <w:highlight w:val="none"/>
                <w:lang w:val="en-US" w:eastAsia="zh-CN"/>
              </w:rPr>
              <w:t xml:space="preserve">3</w:t>
            </w:r>
            <w:r>
              <w:rPr>
                <w:rFonts w:hint="eastAsia"/>
                <w:color w:val="auto"/>
                <w:highlight w:val="none"/>
              </w:rPr>
              <w:t xml:space="preserve">分。(须提供有买方盖章的用户评价证明材料。)</w:t>
            </w:r>
            <w:r/>
          </w:p>
          <w:p>
            <w:pPr>
              <w:keepLines w:val="0"/>
              <w:keepNext/>
              <w:pageBreakBefore w:val="0"/>
              <w:spacing w:line="240" w:lineRule="auto"/>
              <w:widowControl w:val="off"/>
              <w:rPr>
                <w:rFonts w:hint="eastAsia" w:ascii="宋体" w:hAnsi="宋体"/>
                <w:b/>
                <w:bCs/>
                <w:color w:val="auto"/>
                <w:szCs w:val="20"/>
                <w:highlight w:val="none"/>
              </w:rPr>
              <w:outlineLvl w:val="0"/>
            </w:pPr>
            <w:r>
              <w:rPr>
                <w:rFonts w:hint="eastAsia"/>
                <w:color w:val="auto"/>
                <w:highlight w:val="none"/>
              </w:rPr>
              <w:t xml:space="preserve">注：用户评价证明材料与上述业绩证明材料的甲方为同一个的不重复计分。</w:t>
            </w:r>
            <w:r/>
          </w:p>
        </w:tc>
        <w:tc>
          <w:tcPr>
            <w:shd w:val="clear" w:color="000000" w:fill="ffffff"/>
            <w:tcMar>
              <w:left w:w="108" w:type="dxa"/>
              <w:right w:w="108" w:type="dxa"/>
            </w:tcMar>
            <w:tcW w:w="1006" w:type="dxa"/>
            <w:vAlign w:val="center"/>
            <w:vMerge w:val="continue"/>
            <w:textDirection w:val="lrTb"/>
            <w:noWrap w:val="false"/>
          </w:tcPr>
          <w:p>
            <w:pPr>
              <w:keepLines w:val="0"/>
              <w:keepNext/>
              <w:pageBreakBefore w:val="0"/>
              <w:spacing w:line="240" w:lineRule="auto"/>
              <w:widowControl w:val="off"/>
              <w:rPr>
                <w:rFonts w:hint="eastAsia" w:ascii="宋体" w:hAnsi="宋体"/>
                <w:b/>
                <w:bCs/>
                <w:color w:val="auto"/>
                <w:szCs w:val="20"/>
                <w:highlight w:val="none"/>
              </w:rPr>
              <w:outlineLvl w:val="0"/>
            </w:pPr>
            <w:r>
              <w:rPr>
                <w:rFonts w:hint="eastAsia" w:ascii="宋体" w:hAnsi="宋体"/>
                <w:b/>
                <w:bCs/>
                <w:color w:val="auto"/>
                <w:szCs w:val="20"/>
                <w:highlight w:val="none"/>
              </w:rPr>
            </w:r>
            <w:r/>
          </w:p>
        </w:tc>
      </w:tr>
      <w:tr>
        <w:trPr>
          <w:jc w:val="center"/>
          <w:trHeight w:val="20"/>
        </w:trPr>
        <w:tc>
          <w:tcPr>
            <w:shd w:val="clear" w:color="000000" w:fill="ffffff"/>
            <w:tcMar>
              <w:left w:w="108" w:type="dxa"/>
              <w:right w:w="108" w:type="dxa"/>
            </w:tcMar>
            <w:tcW w:w="650" w:type="dxa"/>
            <w:vAlign w:val="center"/>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5</w:t>
            </w:r>
            <w:r/>
          </w:p>
        </w:tc>
        <w:tc>
          <w:tcPr>
            <w:shd w:val="clear" w:color="000000" w:fill="ffffff"/>
            <w:tcMar>
              <w:left w:w="108" w:type="dxa"/>
              <w:right w:w="108" w:type="dxa"/>
            </w:tcMar>
            <w:tcW w:w="1975" w:type="dxa"/>
            <w:vAlign w:val="center"/>
            <w:textDirection w:val="lrTb"/>
            <w:noWrap w:val="false"/>
          </w:tcPr>
          <w:p>
            <w:pPr>
              <w:jc w:val="center"/>
              <w:rPr>
                <w:rFonts w:hint="eastAsia" w:ascii="宋体" w:hAnsi="宋体"/>
                <w:color w:val="auto"/>
                <w:szCs w:val="20"/>
                <w:highlight w:val="none"/>
              </w:rPr>
            </w:pPr>
            <w:r>
              <w:rPr>
                <w:rFonts w:hint="eastAsia" w:ascii="宋体" w:hAnsi="宋体"/>
                <w:color w:val="auto"/>
                <w:szCs w:val="20"/>
                <w:highlight w:val="none"/>
              </w:rPr>
              <w:t xml:space="preserve">其他增值服务</w:t>
            </w:r>
            <w:r/>
          </w:p>
          <w:p>
            <w:pPr>
              <w:jc w:val="center"/>
              <w:rPr>
                <w:rFonts w:hint="eastAsia" w:ascii="宋体" w:hAnsi="宋体"/>
                <w:color w:val="auto"/>
                <w:szCs w:val="20"/>
                <w:highlight w:val="none"/>
              </w:rPr>
            </w:pPr>
            <w:r>
              <w:rPr>
                <w:rFonts w:hint="eastAsia" w:ascii="宋体" w:hAnsi="宋体"/>
                <w:color w:val="auto"/>
                <w:szCs w:val="20"/>
                <w:highlight w:val="none"/>
              </w:rPr>
              <w:t xml:space="preserve">（</w:t>
            </w:r>
            <w:r>
              <w:rPr>
                <w:rFonts w:hint="eastAsia" w:ascii="宋体" w:hAnsi="宋体"/>
                <w:color w:val="auto"/>
                <w:szCs w:val="20"/>
                <w:highlight w:val="none"/>
                <w:lang w:val="en-US" w:eastAsia="zh-CN"/>
              </w:rPr>
              <w:t xml:space="preserve">7</w:t>
            </w:r>
            <w:r>
              <w:rPr>
                <w:rFonts w:hint="eastAsia" w:ascii="宋体" w:hAnsi="宋体"/>
                <w:color w:val="auto"/>
                <w:szCs w:val="20"/>
                <w:highlight w:val="none"/>
              </w:rPr>
              <w:t xml:space="preserve">分）</w:t>
            </w:r>
            <w:r/>
          </w:p>
        </w:tc>
        <w:tc>
          <w:tcPr>
            <w:shd w:val="clear" w:color="000000" w:fill="ffffff"/>
            <w:tcMar>
              <w:left w:w="108" w:type="dxa"/>
              <w:right w:w="108" w:type="dxa"/>
            </w:tcMar>
            <w:tcW w:w="5205" w:type="dxa"/>
            <w:vAlign w:val="center"/>
            <w:textDirection w:val="lrTb"/>
            <w:noWrap w:val="false"/>
          </w:tcPr>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(1)供应商能直接通过设备或系统平台将监测数据上传至南京市学生体质与健康管理平台的，得5分。（须提供证明材料复印件并加盖公章）</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(2)供应商承诺中标后可为学生提供相关增值服务的(例如提供讲座、提供近视防控宣教、学生去医疗机构测眼轴(或者相关项目)或配镜提供优惠、协助采购人抽测一些学生进行眼轴测量及追踪等等)，评标委员会针对增值服务价值、履约期间的可行性、普适性进行评价。</w:t>
            </w:r>
            <w:r/>
          </w:p>
          <w:p>
            <w:pPr>
              <w:keepLines w:val="0"/>
              <w:pageBreakBefore w:val="0"/>
              <w:spacing w:line="240" w:lineRule="auto"/>
              <w:widowControl w:val="off"/>
              <w:rPr>
                <w:rFonts w:hint="eastAsia" w:ascii="宋体" w:hAnsi="宋体"/>
                <w:color w:val="auto"/>
                <w:szCs w:val="20"/>
                <w:highlight w:val="none"/>
              </w:rPr>
            </w:pPr>
            <w:r>
              <w:rPr>
                <w:rFonts w:hint="eastAsia" w:ascii="宋体" w:hAnsi="宋体"/>
                <w:color w:val="auto"/>
                <w:szCs w:val="20"/>
                <w:highlight w:val="none"/>
              </w:rPr>
              <w:t xml:space="preserve">承诺内容具备较高附加值，具有实操性，广大被检学生能确实享受到实际增值服务的，得2分；承诺内容有附加值，操作性一般，较少学生能享受到增值服务得1分；承诺内容空洞、无意义，没有可实施性，极少学生能享受到增值服务或未提供承诺书或评委不认可的不得分。</w:t>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r>
      <w:tr>
        <w:trPr>
          <w:jc w:val="center"/>
          <w:trHeight w:val="20"/>
        </w:trPr>
        <w:tc>
          <w:tcPr>
            <w:gridSpan w:val="2"/>
            <w:shd w:val="clear" w:color="000000" w:fill="ffffff"/>
            <w:tcMar>
              <w:left w:w="108" w:type="dxa"/>
              <w:right w:w="108" w:type="dxa"/>
            </w:tcMar>
            <w:tcW w:w="2625" w:type="dxa"/>
            <w:vAlign w:val="center"/>
            <w:textDirection w:val="lrTb"/>
            <w:noWrap w:val="false"/>
          </w:tcPr>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合计</w:t>
            </w:r>
            <w:r/>
          </w:p>
        </w:tc>
        <w:tc>
          <w:tcPr>
            <w:shd w:val="clear" w:color="000000" w:fill="ffffff"/>
            <w:tcMar>
              <w:left w:w="108" w:type="dxa"/>
              <w:right w:w="108" w:type="dxa"/>
            </w:tcMar>
            <w:tcW w:w="5205" w:type="dxa"/>
            <w:vAlign w:val="center"/>
            <w:textDirection w:val="lrTb"/>
            <w:noWrap w:val="false"/>
          </w:tcPr>
          <w:p>
            <w:pPr>
              <w:jc w:val="left"/>
              <w:spacing w:line="360" w:lineRule="auto"/>
              <w:rPr>
                <w:rFonts w:hint="eastAsia" w:ascii="宋体" w:hAnsi="宋体" w:cs="宋体"/>
                <w:color w:val="auto"/>
                <w:highlight w:val="none"/>
              </w:rPr>
            </w:pPr>
            <w:r>
              <w:rPr>
                <w:rFonts w:hint="eastAsia" w:ascii="宋体" w:hAnsi="宋体" w:cs="宋体"/>
                <w:color w:val="auto"/>
                <w:highlight w:val="none"/>
              </w:rPr>
            </w:r>
            <w:r/>
          </w:p>
        </w:tc>
        <w:tc>
          <w:tcPr>
            <w:shd w:val="clear" w:color="000000" w:fill="ffffff"/>
            <w:tcMar>
              <w:left w:w="108" w:type="dxa"/>
              <w:right w:w="108" w:type="dxa"/>
            </w:tcMar>
            <w:tcW w:w="1006"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100</w:t>
            </w:r>
            <w:r/>
          </w:p>
        </w:tc>
      </w:tr>
    </w:tbl>
    <w:p>
      <w:pPr>
        <w:pStyle w:val="823"/>
        <w:rPr>
          <w:rFonts w:hint="eastAsia"/>
          <w:color w:val="auto"/>
          <w:highlight w:val="none"/>
        </w:rPr>
      </w:pPr>
      <w:r>
        <w:rPr>
          <w:rFonts w:hint="eastAsia"/>
          <w:color w:val="auto"/>
          <w:highlight w:val="none"/>
        </w:rPr>
      </w:r>
      <w:r/>
    </w:p>
    <w:p>
      <w:pPr>
        <w:ind w:firstLine="442"/>
        <w:spacing w:line="360" w:lineRule="auto"/>
        <w:rPr>
          <w:rFonts w:hint="eastAsia" w:ascii="宋体" w:hAnsi="宋体" w:cs="宋体"/>
          <w:b/>
          <w:color w:val="auto"/>
          <w:sz w:val="22"/>
          <w:szCs w:val="28"/>
          <w:highlight w:val="none"/>
        </w:rPr>
      </w:pPr>
      <w:r>
        <w:rPr>
          <w:rFonts w:hint="eastAsia" w:ascii="宋体" w:hAnsi="宋体" w:cs="宋体"/>
          <w:b/>
          <w:color w:val="auto"/>
          <w:sz w:val="22"/>
          <w:szCs w:val="28"/>
          <w:highlight w:val="none"/>
        </w:rPr>
        <w:t xml:space="preserve">说明：</w:t>
      </w:r>
      <w:r/>
    </w:p>
    <w:p>
      <w:pPr>
        <w:ind w:firstLine="422"/>
        <w:jc w:val="left"/>
        <w:spacing w:line="360" w:lineRule="auto"/>
        <w:widowControl/>
        <w:rPr>
          <w:rFonts w:ascii="Arial" w:hAnsi="Arial" w:cs="Arial"/>
          <w:b/>
          <w:bCs/>
          <w:color w:val="auto"/>
          <w:highlight w:val="none"/>
        </w:rPr>
      </w:pPr>
      <w:r>
        <w:rPr>
          <w:rFonts w:ascii="Arial" w:hAnsi="Arial" w:cs="Arial"/>
          <w:b/>
          <w:bCs/>
          <w:color w:val="auto"/>
          <w:highlight w:val="none"/>
        </w:rPr>
        <w:t xml:space="preserve">1.所有认证、证明和业绩均以有效清晰的证明文件的复印件为依据，原件备查。</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2.小微企业价格扣除</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2.1对于专门面向中小企业或小型、微型企业的项目，只面向中小企业或小型、微型企业采购。对于非专门面向中小企业的项目，对小型和微型企业的价格给予</w:t>
      </w:r>
      <w:r>
        <w:rPr>
          <w:rFonts w:hint="eastAsia" w:ascii="Arial" w:hAnsi="Arial" w:cs="Arial"/>
          <w:b/>
          <w:bCs/>
          <w:color w:val="auto"/>
          <w:highlight w:val="none"/>
          <w:u w:val="single"/>
        </w:rPr>
        <w:t xml:space="preserve">10%</w:t>
      </w:r>
      <w:r>
        <w:rPr>
          <w:rFonts w:hint="eastAsia" w:ascii="Arial" w:hAnsi="Arial" w:cs="Arial"/>
          <w:b/>
          <w:bCs/>
          <w:color w:val="auto"/>
          <w:highlight w:val="none"/>
        </w:rPr>
        <w:t xml:space="preserve">的扣除，用扣除后的价格参与评审。</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2.3 小企业（含小型、微型企业）应当提供《中小企业声明函》，且符合《政府采购促进中小企业发展管理办法》（财库〔2020〕46号）的相关规定。</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3.监狱和戒毒企业的价格扣除</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3.1 本项目对监狱和戒毒企业，给予10%的价格扣除，用扣除后的价格参与评审。</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3.2 监狱企业需提供由省级以上监狱管理局、戒毒管理局（含新疆生产建设兵团）出具的属于监狱企业的证明文件。</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3.3 监狱企业标准请参照《关于政府采购支持监狱企业发展有关问题的通知》（财库〔2014〕68号）。</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4.残疾人福利性单位的价格扣除</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4.1 本项目对残疾人福利性单位，给予10%的价格扣除，用扣除后的价格参与评审。</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4.2 残疾人福利性单位需提供《残疾人福利性单位声明函》</w:t>
      </w:r>
      <w:r/>
    </w:p>
    <w:p>
      <w:pPr>
        <w:ind w:firstLine="422"/>
        <w:jc w:val="left"/>
        <w:spacing w:line="360" w:lineRule="auto"/>
        <w:widowControl/>
        <w:rPr>
          <w:rFonts w:ascii="Arial" w:hAnsi="Arial" w:cs="Arial"/>
          <w:b/>
          <w:bCs/>
          <w:color w:val="auto"/>
          <w:highlight w:val="none"/>
        </w:rPr>
      </w:pPr>
      <w:r>
        <w:rPr>
          <w:rFonts w:hint="eastAsia" w:ascii="Arial" w:hAnsi="Arial" w:cs="Arial"/>
          <w:b/>
          <w:bCs/>
          <w:color w:val="auto"/>
          <w:highlight w:val="none"/>
        </w:rPr>
        <w:t xml:space="preserve">4.3 残疾人福利性单位标准请参照《关于促进残疾人就业政府采购政策的通知》（财库〔2017〕141号）。</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Arial" w:hAnsi="Arial" w:cs="Arial"/>
          <w:b/>
          <w:bCs/>
          <w:color w:val="auto"/>
          <w:highlight w:val="none"/>
        </w:rPr>
        <w:t xml:space="preserve">5. 监狱企业、残疾人福利性单位属于小型、微型企业的，不重复享受政策</w:t>
      </w:r>
      <w:r>
        <w:rPr>
          <w:rFonts w:hint="eastAsia" w:ascii="宋体" w:hAnsi="宋体" w:cs="宋体"/>
          <w:color w:val="auto"/>
          <w:szCs w:val="21"/>
          <w:highlight w:val="none"/>
        </w:rPr>
        <w:t xml:space="preserve">。</w:t>
      </w:r>
      <w:r/>
    </w:p>
    <w:p>
      <w:pPr>
        <w:jc w:val="left"/>
        <w:widowControl/>
        <w:rPr>
          <w:rFonts w:hint="eastAsia" w:ascii="宋体" w:hAnsi="宋体" w:cs="宋体"/>
          <w:b/>
          <w:bCs/>
          <w:color w:val="auto"/>
          <w:sz w:val="32"/>
          <w:szCs w:val="32"/>
          <w:highlight w:val="none"/>
        </w:rPr>
      </w:pPr>
      <w:r/>
      <w:bookmarkStart w:id="262" w:name="_Toc107246273"/>
      <w:r>
        <w:rPr>
          <w:rFonts w:ascii="宋体" w:hAnsi="宋体" w:cs="宋体"/>
          <w:color w:val="auto"/>
          <w:highlight w:val="none"/>
        </w:rPr>
        <w:br w:type="page" w:clear="all"/>
      </w:r>
      <w:r/>
    </w:p>
    <w:p>
      <w:pPr>
        <w:pStyle w:val="885"/>
        <w:ind w:firstLine="569"/>
        <w:rPr>
          <w:rFonts w:hint="eastAsia" w:ascii="宋体" w:hAnsi="宋体" w:cs="宋体"/>
          <w:color w:val="auto"/>
          <w:highlight w:val="none"/>
        </w:rPr>
      </w:pPr>
      <w:r>
        <w:rPr>
          <w:rFonts w:hint="eastAsia" w:ascii="宋体" w:hAnsi="宋体" w:cs="宋体"/>
          <w:color w:val="auto"/>
          <w:highlight w:val="none"/>
        </w:rPr>
        <w:t xml:space="preserve">第六章 </w:t>
      </w:r>
      <w:bookmarkEnd w:id="261"/>
      <w:r>
        <w:rPr>
          <w:rFonts w:hint="eastAsia" w:ascii="宋体" w:hAnsi="宋体" w:cs="宋体"/>
          <w:color w:val="auto"/>
          <w:highlight w:val="none"/>
        </w:rPr>
        <w:t xml:space="preserve">投标文件格式</w:t>
      </w:r>
      <w:bookmarkEnd w:id="262"/>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110"/>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263"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62"/>
        <w:jc w:val="center"/>
        <w:rPr>
          <w:rFonts w:hint="eastAsia" w:hAnsi="宋体" w:eastAsia="宋体" w:cs="宋体"/>
          <w:b/>
          <w:color w:val="auto"/>
          <w:sz w:val="56"/>
          <w:szCs w:val="56"/>
          <w:highlight w:val="none"/>
          <w:lang w:eastAsia="zh-CN"/>
        </w:rPr>
      </w:pPr>
      <w:r>
        <w:rPr>
          <w:rFonts w:hint="eastAsia" w:hAnsi="宋体" w:eastAsia="宋体" w:cs="宋体"/>
          <w:b/>
          <w:color w:val="auto"/>
          <w:sz w:val="56"/>
          <w:szCs w:val="56"/>
          <w:highlight w:val="none"/>
          <w:lang w:eastAsia="zh-CN"/>
        </w:rPr>
      </w:r>
      <w:r/>
    </w:p>
    <w:p>
      <w:pPr>
        <w:pStyle w:val="862"/>
        <w:jc w:val="center"/>
        <w:rPr>
          <w:rFonts w:hint="eastAsia" w:hAnsi="宋体" w:eastAsia="宋体" w:cs="宋体"/>
          <w:b/>
          <w:color w:val="auto"/>
          <w:sz w:val="56"/>
          <w:szCs w:val="56"/>
          <w:highlight w:val="none"/>
          <w:lang w:eastAsia="zh-CN"/>
        </w:rPr>
      </w:pPr>
      <w:r>
        <w:rPr>
          <w:rFonts w:hint="eastAsia" w:hAnsi="宋体" w:eastAsia="宋体" w:cs="宋体"/>
          <w:b/>
          <w:color w:val="auto"/>
          <w:sz w:val="56"/>
          <w:szCs w:val="56"/>
          <w:highlight w:val="none"/>
          <w:lang w:eastAsia="zh-CN"/>
        </w:rPr>
        <w:t xml:space="preserve">南京市江宁区卫生健康委员会</w:t>
      </w:r>
      <w:r/>
    </w:p>
    <w:p>
      <w:pPr>
        <w:pStyle w:val="862"/>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江宁区卫健委下属单位视力筛查服务</w:t>
      </w:r>
      <w:r/>
    </w:p>
    <w:p>
      <w:pPr>
        <w:pStyle w:val="862"/>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62"/>
        <w:ind w:firstLine="220"/>
        <w:jc w:val="center"/>
        <w:rPr>
          <w:rFonts w:hint="eastAsia" w:hAnsi="宋体" w:cs="宋体"/>
          <w:b/>
          <w:color w:val="auto"/>
          <w:sz w:val="84"/>
          <w:szCs w:val="84"/>
          <w:highlight w:val="none"/>
        </w:rPr>
      </w:pPr>
      <w:r/>
      <w:bookmarkStart w:id="264" w:name="_Toc100905255"/>
      <w:r>
        <w:rPr>
          <w:rFonts w:hint="eastAsia" w:hAnsi="宋体" w:cs="宋体"/>
          <w:b/>
          <w:color w:val="auto"/>
          <w:sz w:val="84"/>
          <w:szCs w:val="84"/>
          <w:highlight w:val="none"/>
        </w:rPr>
        <w:t xml:space="preserve">投 标 文 件</w:t>
      </w:r>
      <w:bookmarkEnd w:id="264"/>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JSZC-320115-JITC-G2026-0249</w:t>
      </w:r>
      <w:r/>
    </w:p>
    <w:p>
      <w:pPr>
        <w:pStyle w:val="86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6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6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62"/>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62"/>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62"/>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62"/>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ind w:firstLine="569"/>
        <w:jc w:val="center"/>
        <w:rPr>
          <w:rFonts w:hint="eastAsia" w:ascii="宋体" w:hAnsi="宋体" w:cs="宋体"/>
          <w:b/>
          <w:color w:val="auto"/>
          <w:sz w:val="28"/>
          <w:highlight w:val="none"/>
        </w:rPr>
      </w:pPr>
      <w:r>
        <w:rPr>
          <w:rFonts w:hint="eastAsia" w:ascii="宋体" w:hAnsi="宋体" w:cs="宋体"/>
          <w:b/>
          <w:color w:val="auto"/>
          <w:sz w:val="32"/>
          <w:highlight w:val="none"/>
        </w:rPr>
        <w:t xml:space="preserve">二O   年  月  日</w:t>
      </w:r>
      <w:r>
        <w:rPr>
          <w:rFonts w:hint="eastAsia" w:ascii="宋体" w:hAnsi="宋体" w:cs="宋体"/>
          <w:b/>
          <w:color w:val="auto"/>
          <w:highlight w:val="none"/>
        </w:rPr>
        <w:br w:type="page" w:clear="all"/>
      </w:r>
      <w:r>
        <w:rPr>
          <w:rFonts w:hint="eastAsia" w:ascii="宋体" w:hAnsi="宋体" w:cs="宋体"/>
          <w:b/>
          <w:color w:val="auto"/>
          <w:sz w:val="32"/>
          <w:highlight w:val="none"/>
        </w:rPr>
        <w:t xml:space="preserve">目录</w:t>
      </w:r>
      <w:r/>
    </w:p>
    <w:p>
      <w:pPr>
        <w:pStyle w:val="862"/>
        <w:ind w:firstLine="373"/>
        <w:spacing w:line="300" w:lineRule="exact"/>
        <w:rPr>
          <w:rFonts w:hint="eastAsia" w:hAnsi="宋体" w:cs="宋体"/>
          <w:b/>
          <w:color w:val="auto"/>
          <w:highlight w:val="none"/>
        </w:rPr>
      </w:pPr>
      <w:r>
        <w:rPr>
          <w:rFonts w:hint="eastAsia" w:hAnsi="宋体" w:cs="宋体"/>
          <w:b/>
          <w:color w:val="auto"/>
          <w:highlight w:val="none"/>
        </w:rPr>
        <w:t xml:space="preserve">一、价格及商务部分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（2）法定代表人（非法人单位负责人）身份证明，格式见附件。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（3）法定代表人授权委托书（适用于法人/非法人），格式见附件。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（7-2）财务报表等证明文件。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（10）售后服务条款</w:t>
      </w:r>
      <w:r/>
    </w:p>
    <w:p>
      <w:pPr>
        <w:pStyle w:val="862"/>
        <w:ind w:firstLine="373"/>
        <w:spacing w:line="300" w:lineRule="exact"/>
        <w:rPr>
          <w:rFonts w:hint="eastAsia" w:hAnsi="宋体" w:cs="宋体"/>
          <w:b/>
          <w:color w:val="auto"/>
          <w:highlight w:val="none"/>
        </w:rPr>
      </w:pPr>
      <w:r>
        <w:rPr>
          <w:rFonts w:hint="eastAsia" w:hAnsi="宋体" w:cs="宋体"/>
          <w:b/>
          <w:color w:val="auto"/>
          <w:highlight w:val="none"/>
        </w:rPr>
        <w:t xml:space="preserve">二、技术部分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（2）需求响应方案</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（3）投标人售后服务承诺（如需）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（5）用于本项目人员表</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（6）用于本项目设备</w:t>
      </w:r>
      <w:r/>
    </w:p>
    <w:p>
      <w:pPr>
        <w:pStyle w:val="862"/>
        <w:ind w:firstLine="373"/>
        <w:spacing w:line="300" w:lineRule="exact"/>
        <w:rPr>
          <w:rFonts w:hint="eastAsia" w:hAnsi="宋体" w:cs="宋体"/>
          <w:b/>
          <w:color w:val="auto"/>
          <w:highlight w:val="none"/>
        </w:rPr>
      </w:pPr>
      <w:r>
        <w:rPr>
          <w:rFonts w:hint="eastAsia" w:hAnsi="宋体" w:cs="宋体"/>
          <w:b/>
          <w:color w:val="auto"/>
          <w:highlight w:val="none"/>
        </w:rPr>
        <w:t xml:space="preserve">三、其他部分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（1）要求投标人提交的其他文件材料或证明材料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（3）提供符合政府采购政策的证明材料</w:t>
      </w:r>
      <w:r/>
    </w:p>
    <w:p>
      <w:pPr>
        <w:pStyle w:val="862"/>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859"/>
        <w:ind w:left="1260" w:firstLine="426"/>
        <w:rPr>
          <w:rFonts w:hint="eastAsia" w:hAnsi="宋体" w:cs="宋体"/>
          <w:color w:val="auto"/>
          <w:highlight w:val="none"/>
        </w:rPr>
      </w:pPr>
      <w:r>
        <w:rPr>
          <w:rFonts w:hint="eastAsia" w:hAnsi="宋体" w:cs="宋体"/>
          <w:color w:val="auto"/>
          <w:highlight w:val="none"/>
        </w:rPr>
      </w:r>
      <w:r/>
    </w:p>
    <w:tbl>
      <w:tblPr>
        <w:tblStyle w:val="822"/>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110"/>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1110"/>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1110"/>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263"/>
            <w:r/>
            <w:r/>
          </w:p>
        </w:tc>
      </w:tr>
      <w:tr>
        <w:trPr>
          <w:jc w:val="center"/>
          <w:trHeight w:val="387"/>
        </w:trPr>
        <w:tc>
          <w:tcPr>
            <w:tcW w:w="2068"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110"/>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885"/>
        <w:ind w:left="601" w:firstLine="425"/>
        <w:spacing w:before="0"/>
        <w:rPr>
          <w:rFonts w:hint="eastAsia" w:ascii="宋体" w:hAnsi="宋体" w:cs="宋体"/>
          <w:color w:val="auto"/>
          <w:sz w:val="28"/>
          <w:szCs w:val="24"/>
          <w:highlight w:val="none"/>
        </w:rPr>
      </w:pPr>
      <w:r>
        <w:rPr>
          <w:rFonts w:ascii="宋体" w:hAnsi="宋体" w:cs="宋体"/>
          <w:color w:val="auto"/>
          <w:sz w:val="28"/>
          <w:szCs w:val="24"/>
          <w:highlight w:val="none"/>
        </w:rPr>
        <w:t xml:space="preserve">一、</w:t>
      </w:r>
      <w:bookmarkStart w:id="265" w:name="_Toc103848582"/>
      <w:r/>
      <w:bookmarkStart w:id="266" w:name="_Toc104560897"/>
      <w:r/>
      <w:bookmarkStart w:id="267" w:name="_Toc107246274"/>
      <w:r/>
      <w:bookmarkStart w:id="268" w:name="_Toc104560893"/>
      <w:r>
        <w:rPr>
          <w:rFonts w:hint="eastAsia" w:ascii="宋体" w:hAnsi="宋体" w:cs="宋体"/>
          <w:color w:val="auto"/>
          <w:sz w:val="28"/>
          <w:szCs w:val="24"/>
          <w:highlight w:val="none"/>
        </w:rPr>
        <w:t xml:space="preserve">价格及商务部分</w:t>
      </w:r>
      <w:bookmarkEnd w:id="265"/>
      <w:r/>
      <w:bookmarkEnd w:id="266"/>
      <w:r/>
      <w:bookmarkEnd w:id="267"/>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85"/>
        <w:spacing w:before="0" w:line="280" w:lineRule="exact"/>
        <w:rPr>
          <w:rFonts w:hint="eastAsia" w:ascii="宋体" w:hAnsi="宋体" w:cs="宋体"/>
          <w:color w:val="auto"/>
          <w:sz w:val="28"/>
          <w:szCs w:val="24"/>
          <w:highlight w:val="none"/>
        </w:rPr>
      </w:pPr>
      <w:r/>
      <w:bookmarkStart w:id="269" w:name="_Toc107246275"/>
      <w:r>
        <w:rPr>
          <w:rFonts w:hint="eastAsia" w:ascii="宋体" w:hAnsi="宋体" w:cs="宋体"/>
          <w:b w:val="0"/>
          <w:color w:val="auto"/>
          <w:sz w:val="24"/>
          <w:highlight w:val="none"/>
        </w:rPr>
        <w:t xml:space="preserve">（1）</w:t>
      </w:r>
      <w:r>
        <w:rPr>
          <w:rFonts w:hint="eastAsia" w:ascii="宋体" w:hAnsi="宋体" w:cs="宋体"/>
          <w:color w:val="auto"/>
          <w:sz w:val="28"/>
          <w:szCs w:val="24"/>
          <w:highlight w:val="none"/>
        </w:rPr>
        <w:t xml:space="preserve">投标函</w:t>
      </w:r>
      <w:bookmarkEnd w:id="268"/>
      <w:r/>
      <w:bookmarkEnd w:id="269"/>
      <w:r/>
      <w:r/>
    </w:p>
    <w:p>
      <w:pPr>
        <w:ind w:firstLine="420"/>
        <w:spacing w:line="360" w:lineRule="exact"/>
        <w:rPr>
          <w:rFonts w:hint="eastAsia" w:ascii="宋体" w:hAnsi="宋体" w:cs="宋体"/>
          <w:color w:val="auto"/>
          <w:szCs w:val="21"/>
          <w:highlight w:val="none"/>
        </w:rPr>
      </w:pPr>
      <w:r/>
      <w:bookmarkStart w:id="270" w:name="_Toc103848580"/>
      <w:r/>
      <w:bookmarkStart w:id="271" w:name="_Toc96347902"/>
      <w:r>
        <w:rPr>
          <w:rFonts w:hint="eastAsia" w:ascii="宋体" w:hAnsi="宋体" w:cs="宋体"/>
          <w:color w:val="auto"/>
          <w:szCs w:val="21"/>
          <w:highlight w:val="none"/>
          <w:u w:val="single"/>
          <w:lang w:eastAsia="zh-CN"/>
        </w:rPr>
        <w:t xml:space="preserve">南京市江宁区卫生健康委员会</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江宁区卫健委下属单位视力筛查服务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JSZC-320115-JITC-G2026-0249</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882"/>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882"/>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82"/>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82"/>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856"/>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885"/>
        <w:ind w:firstLine="569"/>
        <w:spacing w:before="0"/>
        <w:rPr>
          <w:rFonts w:hint="eastAsia" w:ascii="宋体" w:hAnsi="宋体" w:cs="宋体"/>
          <w:bCs w:val="0"/>
          <w:color w:val="auto"/>
          <w:sz w:val="24"/>
          <w:szCs w:val="24"/>
          <w:highlight w:val="none"/>
        </w:rPr>
      </w:pPr>
      <w:r/>
      <w:bookmarkStart w:id="272" w:name="_Toc104560898"/>
      <w:r/>
      <w:bookmarkStart w:id="273" w:name="_Toc103848583"/>
      <w:r/>
      <w:bookmarkStart w:id="274" w:name="_Toc107246276"/>
      <w:r>
        <w:rPr>
          <w:rFonts w:hint="eastAsia" w:ascii="宋体" w:hAnsi="宋体" w:cs="宋体"/>
          <w:bCs w:val="0"/>
          <w:color w:val="auto"/>
          <w:sz w:val="24"/>
          <w:szCs w:val="24"/>
          <w:highlight w:val="none"/>
        </w:rPr>
        <w:t xml:space="preserve">（2）</w:t>
      </w:r>
      <w:bookmarkEnd w:id="272"/>
      <w:r/>
      <w:bookmarkEnd w:id="273"/>
      <w:r>
        <w:rPr>
          <w:rFonts w:hint="eastAsia" w:ascii="宋体" w:hAnsi="宋体" w:cs="宋体"/>
          <w:bCs w:val="0"/>
          <w:color w:val="auto"/>
          <w:sz w:val="24"/>
          <w:szCs w:val="24"/>
          <w:highlight w:val="none"/>
        </w:rPr>
        <w:t xml:space="preserve">法定代表人（非法人单位负责人）身份证明</w:t>
      </w:r>
      <w:bookmarkEnd w:id="274"/>
      <w:r/>
      <w:r/>
    </w:p>
    <w:p>
      <w:pPr>
        <w:pStyle w:val="856"/>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56"/>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56"/>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56"/>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56"/>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856"/>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856"/>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56"/>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82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6"/>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56"/>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56"/>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56"/>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856"/>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82"/>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275" w:name="_Toc107246277"/>
      <w:r/>
      <w:bookmarkStart w:id="276" w:name="_Toc103848584"/>
      <w:r/>
      <w:bookmarkStart w:id="277" w:name="_Toc104560899"/>
      <w:r>
        <w:rPr>
          <w:rFonts w:hint="eastAsia" w:ascii="宋体" w:hAnsi="宋体" w:cs="宋体"/>
          <w:bCs w:val="0"/>
          <w:color w:val="auto"/>
          <w:sz w:val="24"/>
          <w:szCs w:val="24"/>
          <w:highlight w:val="none"/>
        </w:rPr>
        <w:t xml:space="preserve">（3）法定代表人授权委托书</w:t>
      </w:r>
      <w:bookmarkEnd w:id="275"/>
      <w:r/>
      <w:bookmarkEnd w:id="276"/>
      <w:r/>
      <w:bookmarkEnd w:id="277"/>
      <w:r>
        <w:rPr>
          <w:rFonts w:hint="eastAsia" w:ascii="宋体" w:hAnsi="宋体" w:cs="宋体"/>
          <w:bCs w:val="0"/>
          <w:color w:val="auto"/>
          <w:sz w:val="24"/>
          <w:szCs w:val="24"/>
          <w:highlight w:val="none"/>
        </w:rPr>
        <w:t xml:space="preserve">（适用于法人/非法人）</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江宁区卫健委下属单位视力筛查服务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JSZC-320115-JITC-G2026-0249</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882"/>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82"/>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82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6"/>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82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6"/>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82"/>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882"/>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82"/>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278" w:name="_Toc104560895"/>
      <w:r/>
      <w:bookmarkStart w:id="279" w:name="_Toc107246279"/>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85"/>
        <w:ind w:firstLine="426"/>
        <w:spacing w:before="0"/>
        <w:rPr>
          <w:rFonts w:hint="eastAsia" w:ascii="宋体" w:hAnsi="宋体" w:cs="宋体"/>
          <w:bCs w:val="0"/>
          <w:color w:val="auto"/>
          <w:sz w:val="21"/>
          <w:szCs w:val="24"/>
          <w:highlight w:val="none"/>
        </w:rPr>
      </w:pPr>
      <w:r/>
      <w:bookmarkStart w:id="280" w:name="_Toc104560900"/>
      <w:r/>
      <w:bookmarkStart w:id="281" w:name="_Toc103848585"/>
      <w:r/>
      <w:bookmarkStart w:id="282" w:name="_Toc107246278"/>
      <w:r>
        <w:rPr>
          <w:rFonts w:hint="eastAsia" w:ascii="宋体" w:hAnsi="宋体" w:cs="宋体"/>
          <w:bCs w:val="0"/>
          <w:color w:val="auto"/>
          <w:sz w:val="24"/>
          <w:szCs w:val="24"/>
          <w:highlight w:val="none"/>
        </w:rPr>
        <w:t xml:space="preserve">（3-2）授权委托书（适用于自然人投标）</w:t>
      </w:r>
      <w:bookmarkEnd w:id="280"/>
      <w:r/>
      <w:bookmarkEnd w:id="281"/>
      <w:r/>
      <w:bookmarkEnd w:id="28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江宁区卫健委下属单位视力筛查服务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JSZC-320115-JITC-G2026-0249</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882"/>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82"/>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822"/>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6"/>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82"/>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822"/>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6"/>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82"/>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85"/>
        <w:numPr>
          <w:ilvl w:val="0"/>
          <w:numId w:val="5"/>
        </w:numPr>
        <w:ind w:firstLine="426"/>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开标一览表</w:t>
      </w:r>
      <w:bookmarkEnd w:id="270"/>
      <w:r/>
      <w:bookmarkEnd w:id="278"/>
      <w:r/>
      <w:bookmarkEnd w:id="279"/>
      <w:r/>
      <w:r/>
    </w:p>
    <w:p>
      <w:pPr>
        <w:ind w:firstLine="372"/>
        <w:rPr>
          <w:rFonts w:hint="eastAsia" w:ascii="宋体" w:hAnsi="宋体" w:cs="宋体"/>
          <w:color w:val="auto"/>
          <w:highlight w:val="none"/>
        </w:rPr>
      </w:pPr>
      <w:r>
        <w:rPr>
          <w:rFonts w:hint="eastAsia" w:ascii="宋体" w:hAnsi="宋体" w:cs="宋体"/>
          <w:color w:val="auto"/>
          <w:highlight w:val="none"/>
        </w:rPr>
      </w:r>
      <w:r/>
    </w:p>
    <w:p>
      <w:pPr>
        <w:ind w:left="-120" w:firstLine="21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lang w:eastAsia="zh-CN"/>
        </w:rPr>
        <w:t xml:space="preserve">江宁区卫健委下属单位视力筛查服务</w:t>
      </w:r>
      <w:r/>
    </w:p>
    <w:p>
      <w:pPr>
        <w:ind w:left="-120" w:firstLine="210"/>
        <w:spacing w:line="360" w:lineRule="auto"/>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项目编号：</w:t>
      </w:r>
      <w:bookmarkStart w:id="283" w:name="_Toc103848581"/>
      <w:r>
        <w:rPr>
          <w:rFonts w:hint="eastAsia" w:ascii="宋体" w:hAnsi="宋体" w:cs="宋体"/>
          <w:color w:val="auto"/>
          <w:szCs w:val="21"/>
          <w:highlight w:val="none"/>
          <w:u w:val="single"/>
          <w:lang w:eastAsia="zh-CN"/>
        </w:rPr>
        <w:t xml:space="preserve">JSZC-320115-JITC-G2026-0249</w:t>
      </w:r>
      <w:r/>
    </w:p>
    <w:p>
      <w:pPr>
        <w:ind w:left="-120"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w:t>
      </w:r>
      <w:r/>
    </w:p>
    <w:tbl>
      <w:tblPr>
        <w:tblStyle w:val="82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1406"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投标报价：</w:t>
            </w:r>
            <w:r/>
          </w:p>
        </w:tc>
        <w:tc>
          <w:tcPr>
            <w:tcW w:w="359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（元/人）</w:t>
            </w:r>
            <w:r/>
          </w:p>
          <w:p>
            <w:pPr>
              <w:jc w:val="center"/>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（元/人）</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付款方式：</w:t>
            </w:r>
            <w:r/>
          </w:p>
        </w:tc>
        <w:tc>
          <w:tcPr>
            <w:tcW w:w="3593"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服务地点：</w:t>
            </w:r>
            <w:r/>
          </w:p>
        </w:tc>
        <w:tc>
          <w:tcPr>
            <w:tcW w:w="3593"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964"/>
        </w:trPr>
        <w:tc>
          <w:tcPr>
            <w:tcW w:w="1406"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服务期：</w:t>
            </w:r>
            <w:r/>
          </w:p>
        </w:tc>
        <w:tc>
          <w:tcPr>
            <w:tcW w:w="3593"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响应招标文件</w:t>
            </w:r>
            <w:r/>
          </w:p>
        </w:tc>
      </w:tr>
      <w:tr>
        <w:trPr>
          <w:jc w:val="center"/>
          <w:trHeight w:val="1238"/>
        </w:trPr>
        <w:tc>
          <w:tcPr>
            <w:tcW w:w="1406"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服务承接商是否属于小微企业</w:t>
            </w:r>
            <w:r/>
          </w:p>
        </w:tc>
        <w:tc>
          <w:tcPr>
            <w:tcW w:w="3593" w:type="dxa"/>
            <w:vAlign w:val="center"/>
            <w:textDirection w:val="lrTb"/>
            <w:noWrap w:val="false"/>
          </w:tcPr>
          <w:p>
            <w:pPr>
              <w:jc w:val="center"/>
              <w:spacing w:line="48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rPr>
                <w:rFonts w:hint="eastAsia" w:ascii="Times New Roman" w:hAnsi="宋体" w:eastAsia="宋体" w:cs="宋体"/>
                <w:bCs/>
                <w:color w:val="auto"/>
                <w:sz w:val="21"/>
                <w:szCs w:val="24"/>
                <w:highlight w:val="none"/>
                <w:lang w:val="en-US" w:eastAsia="zh-CN" w:bidi="ar-SA"/>
              </w:rPr>
              <w:t xml:space="preserve">是       </w:t>
            </w:r>
            <w:r>
              <w:rPr>
                <w:rFonts w:hint="eastAsia" w:ascii="宋体" w:hAnsi="宋体" w:eastAsia="宋体" w:cs="Times New Roman"/>
                <w:color w:val="auto"/>
                <w:sz w:val="21"/>
                <w:szCs w:val="21"/>
                <w:highlight w:val="none"/>
                <w:lang w:val="en-US" w:eastAsia="zh-CN" w:bidi="ar-SA"/>
              </w:rPr>
              <w:t xml:space="preserve">□</w:t>
            </w:r>
            <w:r>
              <w:rPr>
                <w:rFonts w:hint="eastAsia" w:ascii="Times New Roman" w:hAnsi="宋体" w:eastAsia="宋体" w:cs="宋体"/>
                <w:bCs/>
                <w:color w:val="auto"/>
                <w:sz w:val="21"/>
                <w:szCs w:val="24"/>
                <w:highlight w:val="none"/>
                <w:lang w:val="en-US" w:eastAsia="zh-CN" w:bidi="ar-SA"/>
              </w:rPr>
              <w:t xml:space="preserve">否</w:t>
            </w:r>
            <w:r/>
          </w:p>
        </w:tc>
      </w:tr>
    </w:tbl>
    <w:p>
      <w:pPr>
        <w:ind w:firstLine="422"/>
        <w:spacing w:line="360" w:lineRule="auto"/>
        <w:tabs>
          <w:tab w:val="left" w:pos="6045" w:leader="none"/>
        </w:tabs>
        <w:rPr>
          <w:rFonts w:hint="eastAsia" w:ascii="宋体" w:hAnsi="宋体" w:cs="宋体"/>
          <w:b/>
          <w:color w:val="auto"/>
          <w:highlight w:val="none"/>
        </w:rPr>
      </w:pPr>
      <w:r/>
      <w:bookmarkStart w:id="284" w:name="_Toc104560896"/>
      <w:r/>
      <w:r/>
    </w:p>
    <w:p>
      <w:pPr>
        <w:ind w:firstLine="372"/>
        <w:jc w:val="center"/>
        <w:spacing w:line="360" w:lineRule="auto"/>
        <w:tabs>
          <w:tab w:val="left" w:pos="6045" w:leader="none"/>
        </w:tabs>
        <w:rPr>
          <w:rFonts w:hint="eastAsia" w:ascii="宋体" w:hAnsi="宋体" w:cs="宋体"/>
          <w:color w:val="auto"/>
          <w:highlight w:val="none"/>
          <w:u w:val="single"/>
        </w:rPr>
      </w:pPr>
      <w:r>
        <w:rPr>
          <w:rFonts w:hint="eastAsia" w:ascii="宋体" w:hAnsi="宋体" w:cs="宋体"/>
          <w:color w:val="auto"/>
          <w:highlight w:val="none"/>
        </w:rPr>
        <w:t xml:space="preserve">  投标人名称（公章）：</w:t>
      </w:r>
      <w:r/>
    </w:p>
    <w:p>
      <w:pPr>
        <w:ind w:right="420" w:firstLine="372"/>
        <w:jc w:val="cente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法定代表人或其授权代表（签字或盖章）：</w:t>
      </w:r>
      <w:r/>
    </w:p>
    <w:p>
      <w:pPr>
        <w:ind w:right="420" w:firstLine="372"/>
        <w:jc w:val="cente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rPr>
          <w:rStyle w:val="1122"/>
          <w:rFonts w:hint="eastAsia" w:hAnsi="宋体"/>
          <w:color w:val="auto"/>
          <w:highlight w:val="none"/>
        </w:rPr>
      </w:pPr>
      <w:r>
        <w:rPr>
          <w:rStyle w:val="1122"/>
          <w:rFonts w:hAnsi="宋体"/>
          <w:color w:val="auto"/>
          <w:highlight w:val="none"/>
        </w:rPr>
        <w:br w:type="page" w:clear="all"/>
      </w:r>
      <w:bookmarkEnd w:id="283"/>
      <w:r/>
      <w:bookmarkEnd w:id="284"/>
      <w:r/>
      <w:r/>
    </w:p>
    <w:p>
      <w:pPr>
        <w:ind w:firstLine="372"/>
        <w:rPr>
          <w:color w:val="auto"/>
          <w:highlight w:val="none"/>
        </w:rPr>
      </w:pPr>
      <w:r/>
      <w:bookmarkStart w:id="285" w:name="_Toc103848586"/>
      <w:r/>
      <w:bookmarkStart w:id="286" w:name="_Toc107246281"/>
      <w:r/>
      <w:bookmarkStart w:id="287" w:name="_Toc104560901"/>
      <w:r/>
      <w:bookmarkStart w:id="288" w:name="_Toc102117319"/>
      <w:r/>
      <w:r/>
    </w:p>
    <w:p>
      <w:pPr>
        <w:pStyle w:val="885"/>
        <w:ind w:firstLine="426"/>
        <w:spacing w:before="0"/>
        <w:rPr>
          <w:rFonts w:hint="eastAsia" w:ascii="宋体" w:hAnsi="宋体" w:cs="宋体"/>
          <w:color w:val="auto"/>
          <w:sz w:val="24"/>
          <w:szCs w:val="24"/>
          <w:highlight w:val="none"/>
        </w:rPr>
      </w:pPr>
      <w:r>
        <w:rPr>
          <w:rFonts w:hint="eastAsia" w:ascii="宋体" w:hAnsi="宋体" w:cs="宋体"/>
          <w:bCs w:val="0"/>
          <w:color w:val="auto"/>
          <w:sz w:val="24"/>
          <w:szCs w:val="24"/>
          <w:highlight w:val="none"/>
        </w:rPr>
        <w:t xml:space="preserve">（5）商务条款偏离表</w:t>
      </w:r>
      <w:bookmarkEnd w:id="285"/>
      <w:r/>
      <w:bookmarkEnd w:id="286"/>
      <w:r/>
      <w:bookmarkEnd w:id="287"/>
      <w:r/>
      <w:r/>
    </w:p>
    <w:p>
      <w:pPr>
        <w:pStyle w:val="1112"/>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江宁区卫健委下属单位视力筛查服务</w:t>
      </w:r>
      <w:r/>
    </w:p>
    <w:p>
      <w:pPr>
        <w:pStyle w:val="1112"/>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JSZC-320115-JITC-G2026-0249</w:t>
      </w:r>
      <w:r/>
    </w:p>
    <w:tbl>
      <w:tblPr>
        <w:tblStyle w:val="8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投标文件响应页码</w:t>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auto"/>
          <w:sz w:val="22"/>
          <w:szCs w:val="22"/>
          <w:highlight w:val="none"/>
        </w:rPr>
      </w:pPr>
      <w:r/>
      <w:bookmarkStart w:id="289" w:name="_Toc104560902"/>
      <w:r/>
      <w:bookmarkStart w:id="290" w:name="_Toc103848587"/>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85"/>
        <w:spacing w:line="240" w:lineRule="atLeast"/>
        <w:rPr>
          <w:rFonts w:hint="eastAsia" w:ascii="宋体" w:hAnsi="宋体" w:cs="宋体"/>
          <w:bCs w:val="0"/>
          <w:color w:val="auto"/>
          <w:sz w:val="24"/>
          <w:szCs w:val="24"/>
          <w:highlight w:val="none"/>
        </w:rPr>
      </w:pPr>
      <w:r/>
      <w:bookmarkStart w:id="291" w:name="_Toc107246282"/>
      <w:r>
        <w:rPr>
          <w:rFonts w:hint="eastAsia" w:ascii="宋体" w:hAnsi="宋体" w:cs="宋体"/>
          <w:bCs w:val="0"/>
          <w:color w:val="auto"/>
          <w:sz w:val="24"/>
          <w:szCs w:val="24"/>
          <w:highlight w:val="none"/>
        </w:rPr>
        <w:t xml:space="preserve">（6）投标人具备投标资格的证明文件</w:t>
      </w:r>
      <w:bookmarkEnd w:id="289"/>
      <w:r/>
      <w:bookmarkEnd w:id="290"/>
      <w:r/>
      <w:bookmarkEnd w:id="291"/>
      <w:r/>
      <w:r/>
    </w:p>
    <w:p>
      <w:pPr>
        <w:pStyle w:val="885"/>
        <w:ind w:firstLine="426"/>
        <w:spacing w:line="240" w:lineRule="atLeast"/>
        <w:rPr>
          <w:rFonts w:hint="eastAsia" w:ascii="宋体" w:hAnsi="宋体" w:cs="宋体"/>
          <w:bCs w:val="0"/>
          <w:color w:val="auto"/>
          <w:sz w:val="24"/>
          <w:szCs w:val="24"/>
          <w:highlight w:val="none"/>
        </w:rPr>
      </w:pPr>
      <w:r/>
      <w:bookmarkStart w:id="292" w:name="_Toc103848588"/>
      <w:r/>
      <w:bookmarkStart w:id="293" w:name="_Toc104560903"/>
      <w:r/>
      <w:bookmarkStart w:id="294" w:name="_Toc107246283"/>
      <w:r>
        <w:rPr>
          <w:rFonts w:hint="eastAsia" w:ascii="宋体" w:hAnsi="宋体" w:cs="宋体"/>
          <w:bCs w:val="0"/>
          <w:color w:val="auto"/>
          <w:sz w:val="24"/>
          <w:szCs w:val="24"/>
          <w:highlight w:val="none"/>
        </w:rPr>
        <w:t xml:space="preserve">（6-1-1）营业执照复印件</w:t>
      </w:r>
      <w:bookmarkEnd w:id="288"/>
      <w:r>
        <w:rPr>
          <w:rFonts w:hint="eastAsia" w:ascii="宋体" w:hAnsi="宋体" w:cs="宋体"/>
          <w:bCs w:val="0"/>
          <w:color w:val="auto"/>
          <w:sz w:val="24"/>
          <w:szCs w:val="24"/>
          <w:highlight w:val="none"/>
        </w:rPr>
        <w:t xml:space="preserve">或自然人的身份证明复印件</w:t>
      </w:r>
      <w:bookmarkEnd w:id="292"/>
      <w:r/>
      <w:bookmarkEnd w:id="293"/>
      <w:r/>
      <w:bookmarkEnd w:id="294"/>
      <w:r/>
      <w:r/>
    </w:p>
    <w:p>
      <w:pPr>
        <w:ind w:firstLine="373"/>
        <w:spacing w:line="360" w:lineRule="auto"/>
        <w:rPr>
          <w:rFonts w:hint="eastAsia" w:ascii="宋体" w:hAnsi="宋体" w:cs="宋体"/>
          <w:b/>
          <w:bCs/>
          <w:color w:val="auto"/>
          <w:highlight w:val="none"/>
        </w:rPr>
      </w:pPr>
      <w:r/>
      <w:bookmarkStart w:id="295"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295"/>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296" w:name="_Toc103848589"/>
      <w:r/>
      <w:bookmarkStart w:id="297" w:name="_Toc102117320"/>
      <w:r>
        <w:rPr>
          <w:rFonts w:hint="eastAsia" w:ascii="宋体" w:hAnsi="宋体" w:cs="宋体"/>
          <w:color w:val="auto"/>
          <w:highlight w:val="none"/>
        </w:rPr>
        <w:br w:type="page" w:clear="all"/>
      </w:r>
      <w:bookmarkStart w:id="298" w:name="_Toc107246284"/>
      <w:r/>
      <w:bookmarkStart w:id="299" w:name="_Toc104560904"/>
      <w:r/>
      <w:r/>
    </w:p>
    <w:p>
      <w:pPr>
        <w:pStyle w:val="885"/>
        <w:ind w:firstLine="426"/>
        <w:spacing w:line="240" w:lineRule="atLeast"/>
        <w:rPr>
          <w:rFonts w:hint="eastAsia" w:ascii="宋体" w:hAnsi="宋体" w:cs="宋体"/>
          <w:b w:val="0"/>
          <w:color w:val="auto"/>
          <w:highlight w:val="none"/>
        </w:rPr>
      </w:pPr>
      <w:r>
        <w:rPr>
          <w:rFonts w:hint="eastAsia" w:ascii="宋体" w:hAnsi="宋体" w:cs="宋体"/>
          <w:bCs w:val="0"/>
          <w:color w:val="auto"/>
          <w:sz w:val="24"/>
          <w:szCs w:val="24"/>
          <w:highlight w:val="none"/>
        </w:rPr>
        <w:t xml:space="preserve">（6-1-2）工商变更登记文件（如需）</w:t>
      </w:r>
      <w:bookmarkEnd w:id="296"/>
      <w:r/>
      <w:bookmarkEnd w:id="297"/>
      <w:r/>
      <w:bookmarkEnd w:id="298"/>
      <w:r/>
      <w:bookmarkEnd w:id="29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300" w:name="_Toc107246285"/>
      <w:r/>
      <w:bookmarkStart w:id="301" w:name="_Toc102117321"/>
      <w:r/>
      <w:bookmarkStart w:id="302" w:name="_Toc104560905"/>
      <w:r/>
      <w:bookmarkStart w:id="303" w:name="_Toc103848590"/>
      <w:r>
        <w:rPr>
          <w:rFonts w:hint="eastAsia" w:ascii="宋体" w:hAnsi="宋体" w:cs="宋体"/>
          <w:b/>
          <w:color w:val="auto"/>
          <w:highlight w:val="none"/>
        </w:rPr>
        <w:t xml:space="preserve">说明：根据《关于在政府采购活动中推行信用承诺制的通知》（宁财购通〔2021〕5 号）的规定，适用信用承诺的供应商，对于下列7-2至7-6款证明材料可使用《南京市政府采购供应商信用记录表暨信用承诺书》替代。</w:t>
      </w:r>
      <w:r/>
    </w:p>
    <w:p>
      <w:pPr>
        <w:pStyle w:val="885"/>
        <w:ind w:firstLine="426"/>
        <w:spacing w:line="240" w:lineRule="atLeast"/>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（6-2）财务报表</w:t>
      </w:r>
      <w:bookmarkEnd w:id="300"/>
      <w:r/>
      <w:bookmarkEnd w:id="301"/>
      <w:r/>
      <w:bookmarkEnd w:id="302"/>
      <w:r/>
      <w:bookmarkEnd w:id="303"/>
      <w:r>
        <w:rPr>
          <w:rFonts w:hint="eastAsia" w:ascii="宋体" w:hAnsi="宋体" w:cs="宋体"/>
          <w:bCs w:val="0"/>
          <w:color w:val="auto"/>
          <w:sz w:val="24"/>
          <w:szCs w:val="24"/>
          <w:highlight w:val="none"/>
        </w:rPr>
        <w:t xml:space="preserve">等证明文件</w:t>
      </w:r>
      <w:r/>
    </w:p>
    <w:p>
      <w:pPr>
        <w:ind w:firstLine="373"/>
        <w:jc w:val="center"/>
        <w:spacing w:line="360" w:lineRule="auto"/>
        <w:rPr>
          <w:rFonts w:hint="eastAsia"/>
          <w:color w:val="auto"/>
          <w:highlight w:val="none"/>
        </w:rPr>
      </w:pPr>
      <w:r>
        <w:rPr>
          <w:rFonts w:hint="eastAsia" w:ascii="宋体" w:hAnsi="宋体" w:cs="宋体"/>
          <w:b/>
          <w:bCs/>
          <w:color w:val="auto"/>
          <w:highlight w:val="none"/>
        </w:rPr>
        <w:t xml:space="preserve">注：根据招标公告的要求提供</w:t>
      </w:r>
      <w:r/>
    </w:p>
    <w:p>
      <w:pPr>
        <w:pStyle w:val="885"/>
        <w:ind w:firstLine="373"/>
        <w:jc w:val="left"/>
        <w:rPr>
          <w:rFonts w:hint="eastAsia" w:ascii="宋体" w:hAnsi="宋体" w:cs="宋体"/>
          <w:bCs w:val="0"/>
          <w:color w:val="auto"/>
          <w:sz w:val="24"/>
          <w:szCs w:val="24"/>
          <w:highlight w:val="none"/>
        </w:rPr>
      </w:pPr>
      <w:r/>
      <w:bookmarkStart w:id="304" w:name="_Toc104560908"/>
      <w:r/>
      <w:bookmarkStart w:id="305" w:name="_Toc102117322"/>
      <w:r/>
      <w:bookmarkStart w:id="306" w:name="_Toc103848593"/>
      <w:r>
        <w:rPr>
          <w:rFonts w:hint="eastAsia" w:ascii="宋体" w:hAnsi="宋体" w:cs="宋体"/>
          <w:bCs w:val="0"/>
          <w:color w:val="auto"/>
          <w:sz w:val="21"/>
          <w:szCs w:val="21"/>
          <w:highlight w:val="none"/>
        </w:rPr>
        <w:br w:type="page" w:clear="all"/>
      </w:r>
      <w:bookmarkStart w:id="307" w:name="_Toc107246286"/>
      <w:r>
        <w:rPr>
          <w:rFonts w:hint="eastAsia" w:ascii="宋体" w:hAnsi="宋体" w:cs="宋体"/>
          <w:bCs w:val="0"/>
          <w:color w:val="auto"/>
          <w:sz w:val="24"/>
          <w:szCs w:val="24"/>
          <w:highlight w:val="none"/>
        </w:rPr>
        <w:t xml:space="preserve">（6-3）具有履行合同所必需的设备和专业技术能力的相关证明材料或承诺函（提供承诺函原件）</w:t>
      </w:r>
      <w:bookmarkEnd w:id="304"/>
      <w:r/>
      <w:bookmarkEnd w:id="305"/>
      <w:r/>
      <w:bookmarkEnd w:id="306"/>
      <w:r/>
      <w:bookmarkEnd w:id="307"/>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859"/>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59"/>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85"/>
        <w:ind w:firstLine="426"/>
        <w:spacing w:line="240" w:lineRule="atLeast"/>
        <w:rPr>
          <w:rFonts w:hint="eastAsia" w:ascii="宋体" w:hAnsi="宋体" w:cs="宋体"/>
          <w:b w:val="0"/>
          <w:color w:val="auto"/>
          <w:highlight w:val="none"/>
        </w:rPr>
      </w:pPr>
      <w:r/>
      <w:bookmarkStart w:id="308" w:name="_Toc103848591"/>
      <w:r/>
      <w:bookmarkStart w:id="309" w:name="_Toc102117323"/>
      <w:r>
        <w:rPr>
          <w:rFonts w:hint="eastAsia" w:ascii="宋体" w:hAnsi="宋体" w:cs="宋体"/>
          <w:bCs w:val="0"/>
          <w:color w:val="auto"/>
          <w:sz w:val="24"/>
          <w:szCs w:val="24"/>
          <w:highlight w:val="none"/>
        </w:rPr>
        <w:br w:type="page" w:clear="all"/>
      </w:r>
      <w:bookmarkStart w:id="310" w:name="_Toc107246287"/>
      <w:r/>
      <w:bookmarkStart w:id="311" w:name="_Toc104560906"/>
      <w:r>
        <w:rPr>
          <w:rFonts w:hint="eastAsia" w:ascii="宋体" w:hAnsi="宋体" w:cs="宋体"/>
          <w:bCs w:val="0"/>
          <w:color w:val="auto"/>
          <w:sz w:val="24"/>
          <w:szCs w:val="24"/>
          <w:highlight w:val="none"/>
        </w:rPr>
        <w:t xml:space="preserve">（6-4）依法缴纳税收的相关材料</w:t>
      </w:r>
      <w:bookmarkEnd w:id="308"/>
      <w:r/>
      <w:bookmarkEnd w:id="309"/>
      <w:r/>
      <w:bookmarkEnd w:id="310"/>
      <w:r/>
      <w:bookmarkEnd w:id="311"/>
      <w:r/>
      <w:r/>
    </w:p>
    <w:p>
      <w:pPr>
        <w:ind w:firstLine="373"/>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pStyle w:val="885"/>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12" w:name="_Toc102117324"/>
      <w:r/>
      <w:bookmarkStart w:id="313" w:name="_Toc103848592"/>
      <w:r/>
      <w:bookmarkStart w:id="314" w:name="_Toc107246288"/>
      <w:r/>
      <w:bookmarkStart w:id="315" w:name="_Toc104560907"/>
      <w:r>
        <w:rPr>
          <w:rFonts w:hint="eastAsia" w:ascii="宋体" w:hAnsi="宋体" w:cs="宋体"/>
          <w:bCs w:val="0"/>
          <w:color w:val="auto"/>
          <w:sz w:val="24"/>
          <w:szCs w:val="24"/>
          <w:highlight w:val="none"/>
        </w:rPr>
        <w:t xml:space="preserve">（6-5）依法缴纳社会保障资金的相关材料</w:t>
      </w:r>
      <w:bookmarkEnd w:id="312"/>
      <w:r/>
      <w:bookmarkEnd w:id="313"/>
      <w:r/>
      <w:bookmarkEnd w:id="314"/>
      <w:r/>
      <w:bookmarkEnd w:id="315"/>
      <w:r/>
      <w:r/>
    </w:p>
    <w:p>
      <w:pPr>
        <w:ind w:firstLine="373"/>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85"/>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16" w:name="_Toc104560909"/>
      <w:r/>
      <w:bookmarkStart w:id="317" w:name="_Toc102117325"/>
      <w:r/>
      <w:bookmarkStart w:id="318" w:name="_Toc103848594"/>
      <w:r/>
      <w:bookmarkStart w:id="319" w:name="_Toc107246289"/>
      <w:r>
        <w:rPr>
          <w:rFonts w:hint="eastAsia" w:ascii="宋体" w:hAnsi="宋体" w:cs="宋体"/>
          <w:bCs w:val="0"/>
          <w:color w:val="auto"/>
          <w:sz w:val="24"/>
          <w:szCs w:val="24"/>
          <w:highlight w:val="none"/>
        </w:rPr>
        <w:t xml:space="preserve">（6-6）没有重大违法记录的书面声明</w:t>
      </w:r>
      <w:bookmarkEnd w:id="316"/>
      <w:r/>
      <w:bookmarkEnd w:id="317"/>
      <w:r/>
      <w:bookmarkEnd w:id="318"/>
      <w:r/>
      <w:bookmarkEnd w:id="31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20"/>
        <w:spacing w:line="360" w:lineRule="auto"/>
        <w:rPr>
          <w:rFonts w:hint="eastAsia" w:ascii="宋体" w:hAnsi="宋体" w:cs="宋体"/>
          <w:color w:val="auto"/>
          <w:highlight w:val="none"/>
        </w:rPr>
        <w:sectPr>
          <w:footerReference w:type="default" r:id="rId15"/>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 w:val="0"/>
          <w:color w:val="auto"/>
          <w:highlight w:val="none"/>
        </w:rPr>
        <w:br w:type="page" w:clear="all"/>
      </w:r>
      <w:bookmarkStart w:id="320" w:name="_Toc104560910"/>
      <w:r/>
      <w:bookmarkStart w:id="321" w:name="_Toc107246290"/>
      <w:r/>
      <w:r/>
    </w:p>
    <w:p>
      <w:pPr>
        <w:pStyle w:val="885"/>
        <w:ind w:firstLine="426"/>
        <w:spacing w:line="240" w:lineRule="atLeast"/>
        <w:rPr>
          <w:rFonts w:hint="eastAsia" w:ascii="宋体" w:hAnsi="宋体" w:cs="宋体"/>
          <w:b w:val="0"/>
          <w:color w:val="auto"/>
          <w:sz w:val="24"/>
          <w:szCs w:val="24"/>
          <w:highlight w:val="none"/>
        </w:rPr>
      </w:pPr>
      <w:r>
        <w:rPr>
          <w:rFonts w:hint="eastAsia" w:ascii="宋体" w:hAnsi="宋体" w:cs="宋体"/>
          <w:bCs w:val="0"/>
          <w:color w:val="auto"/>
          <w:sz w:val="24"/>
          <w:szCs w:val="24"/>
          <w:highlight w:val="none"/>
        </w:rPr>
        <w:t xml:space="preserve">（6-</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）承诺函</w:t>
      </w:r>
      <w:bookmarkEnd w:id="320"/>
      <w:r/>
      <w:bookmarkEnd w:id="321"/>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1112"/>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12"/>
        <w:ind w:firstLine="400"/>
        <w:rPr>
          <w:rFonts w:hint="eastAsia" w:hAnsi="宋体" w:cs="宋体"/>
          <w:color w:val="auto"/>
          <w:highlight w:val="none"/>
        </w:rPr>
      </w:pPr>
      <w:r>
        <w:rPr>
          <w:rFonts w:hint="eastAsia" w:hAnsi="宋体" w:cs="宋体"/>
          <w:color w:val="auto"/>
          <w:highlight w:val="none"/>
        </w:rPr>
      </w:r>
      <w:r/>
    </w:p>
    <w:p>
      <w:pPr>
        <w:pStyle w:val="1112"/>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22" w:name="_Toc102117326"/>
      <w:r/>
      <w:bookmarkStart w:id="323" w:name="_Toc103848596"/>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24" w:name="_Toc107246291"/>
      <w:r/>
      <w:bookmarkStart w:id="325" w:name="_Toc104560911"/>
      <w:r>
        <w:rPr>
          <w:rFonts w:hint="eastAsia" w:ascii="宋体" w:hAnsi="宋体" w:cs="宋体"/>
          <w:bCs w:val="0"/>
          <w:color w:val="auto"/>
          <w:sz w:val="24"/>
          <w:szCs w:val="24"/>
          <w:highlight w:val="none"/>
        </w:rPr>
        <w:t xml:space="preserve">（6-</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w:t>
      </w:r>
      <w:bookmarkEnd w:id="322"/>
      <w:r>
        <w:rPr>
          <w:rFonts w:hint="eastAsia" w:ascii="宋体" w:hAnsi="宋体" w:cs="宋体"/>
          <w:bCs w:val="0"/>
          <w:color w:val="auto"/>
          <w:sz w:val="24"/>
          <w:szCs w:val="24"/>
          <w:highlight w:val="none"/>
        </w:rPr>
        <w:t xml:space="preserve">招标文件要求的其它实质性资格资信证明文件</w:t>
      </w:r>
      <w:bookmarkEnd w:id="324"/>
      <w:r/>
      <w:bookmarkEnd w:id="325"/>
      <w:r/>
      <w:r/>
    </w:p>
    <w:p>
      <w:pPr>
        <w:ind w:firstLine="420"/>
        <w:jc w:val="right"/>
        <w:spacing w:line="360" w:lineRule="auto"/>
        <w:rPr>
          <w:rFonts w:ascii="宋体" w:hAnsi="宋体" w:cs="宋体"/>
          <w:bCs/>
          <w:color w:val="auto"/>
          <w:szCs w:val="21"/>
          <w:highlight w:val="none"/>
          <w:lang w:val="en-US" w:eastAsia="zh-CN"/>
        </w:rPr>
      </w:pPr>
      <w:r/>
      <w:bookmarkStart w:id="326" w:name="_Toc107246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26"/>
      <w:r/>
      <w:bookmarkStart w:id="327" w:name="_Toc104560912"/>
      <w:r/>
      <w:bookmarkStart w:id="328" w:name="_Toc107246293"/>
      <w:r/>
      <w:r/>
    </w:p>
    <w:p>
      <w:pPr>
        <w:pStyle w:val="885"/>
        <w:ind w:firstLine="426"/>
        <w:jc w:val="left"/>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（7）《南京市政府采购供应商信用记录表暨信用承诺书》</w:t>
      </w:r>
      <w:r/>
    </w:p>
    <w:p>
      <w:pPr>
        <w:ind w:firstLine="373"/>
        <w:rPr>
          <w:rFonts w:hint="eastAsia" w:ascii="宋体" w:hAnsi="宋体" w:cs="宋体"/>
          <w:b/>
          <w:bCs/>
          <w:color w:val="auto"/>
          <w:highlight w:val="none"/>
        </w:rPr>
      </w:pPr>
      <w:r>
        <w:rPr>
          <w:rFonts w:hint="eastAsia" w:ascii="宋体" w:hAnsi="宋体" w:cs="宋体"/>
          <w:b/>
          <w:bCs/>
          <w:color w:val="auto"/>
          <w:highlight w:val="none"/>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823"/>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right"/>
        <w:spacing w:line="500" w:lineRule="exact"/>
        <w:rPr>
          <w:rFonts w:hint="eastAsia" w:ascii="宋体" w:hAnsi="宋体" w:cs="宋体"/>
          <w:b/>
          <w:bCs/>
          <w:color w:val="auto"/>
          <w:highlight w:val="none"/>
        </w:rPr>
      </w:pPr>
      <w:r>
        <w:rPr>
          <w:rFonts w:hint="eastAsia" w:ascii="宋体" w:hAnsi="宋体" w:cs="宋体"/>
          <w:bCs/>
          <w:color w:val="auto"/>
          <w:highlight w:val="none"/>
        </w:rPr>
        <w:t xml:space="preserve">年  月   日</w:t>
      </w:r>
      <w:r/>
    </w:p>
    <w:tbl>
      <w:tblPr>
        <w:tblStyle w:val="822"/>
        <w:tblW w:w="89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信用得分</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1984"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星级</w:t>
            </w:r>
            <w:r/>
          </w:p>
        </w:tc>
        <w:tc>
          <w:tcPr>
            <w:tcW w:w="1937"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1024"/>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诚信档案记录情况</w:t>
            </w:r>
            <w:r/>
          </w:p>
        </w:tc>
        <w:tc>
          <w:tcPr>
            <w:gridSpan w:val="3"/>
            <w:tcW w:w="7323"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7323"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我公司自愿参加江苏省招标中心有限公司组织的本次采购活动，严格遵守《中华人民共和国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righ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23"/>
        <w:ind w:firstLine="372"/>
        <w:spacing w:line="360" w:lineRule="auto"/>
        <w:rPr>
          <w:rFonts w:hint="eastAsia" w:ascii="宋体" w:hAnsi="宋体" w:cs="宋体"/>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23"/>
      <w:r/>
      <w:bookmarkEnd w:id="327"/>
      <w:r/>
      <w:bookmarkEnd w:id="328"/>
      <w:r/>
      <w:r/>
    </w:p>
    <w:p>
      <w:pPr>
        <w:pStyle w:val="885"/>
        <w:ind w:firstLine="426"/>
        <w:rPr>
          <w:rFonts w:hint="eastAsia" w:ascii="宋体" w:hAnsi="宋体" w:cs="宋体"/>
          <w:b w:val="0"/>
          <w:color w:val="auto"/>
          <w:sz w:val="24"/>
          <w:szCs w:val="24"/>
          <w:highlight w:val="none"/>
        </w:rPr>
      </w:pPr>
      <w:r/>
      <w:bookmarkStart w:id="329" w:name="_Toc107246296"/>
      <w:r/>
      <w:bookmarkStart w:id="330" w:name="_Toc102117330"/>
      <w:r/>
      <w:bookmarkStart w:id="331" w:name="_Toc104560915"/>
      <w:r/>
      <w:bookmarkStart w:id="332" w:name="_Toc103848598"/>
      <w:r>
        <w:rPr>
          <w:rFonts w:hint="eastAsia" w:ascii="宋体" w:hAnsi="宋体" w:cs="宋体"/>
          <w:color w:val="auto"/>
          <w:sz w:val="24"/>
          <w:szCs w:val="24"/>
          <w:highlight w:val="none"/>
        </w:rPr>
        <w:t xml:space="preserve">（8）公章授权书（如需）</w:t>
      </w:r>
      <w:bookmarkEnd w:id="329"/>
      <w:r/>
      <w:bookmarkEnd w:id="330"/>
      <w:r/>
      <w:bookmarkEnd w:id="331"/>
      <w:r/>
      <w:bookmarkEnd w:id="332"/>
      <w:r/>
      <w:r/>
    </w:p>
    <w:p>
      <w:pPr>
        <w:pStyle w:val="1112"/>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1112"/>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(投标人名称)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江宁区卫健委下属单位视力筛查服务</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JSZC-320115-JITC-G2026-0249</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1112"/>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1112"/>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1112"/>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4"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1112"/>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1112"/>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112"/>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112"/>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112"/>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投标人名称（公章）：</w:t>
      </w:r>
      <w:r/>
    </w:p>
    <w:p>
      <w:pPr>
        <w:pStyle w:val="1112"/>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885"/>
        <w:ind w:left="601" w:firstLine="498"/>
        <w:spacing w:before="0"/>
        <w:rPr>
          <w:rFonts w:hint="eastAsia" w:ascii="宋体" w:hAnsi="宋体" w:cs="宋体"/>
          <w:color w:val="auto"/>
          <w:sz w:val="28"/>
          <w:szCs w:val="24"/>
          <w:highlight w:val="none"/>
        </w:rPr>
      </w:pPr>
      <w:r/>
      <w:bookmarkStart w:id="333" w:name="_Toc104560916"/>
      <w:r/>
      <w:bookmarkStart w:id="334" w:name="_Toc103848599"/>
      <w:r/>
      <w:bookmarkStart w:id="335" w:name="_Toc107246299"/>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333"/>
      <w:r/>
      <w:bookmarkEnd w:id="334"/>
      <w:r/>
      <w:bookmarkEnd w:id="335"/>
      <w:r/>
      <w:r/>
    </w:p>
    <w:p>
      <w:pPr>
        <w:pStyle w:val="885"/>
        <w:ind w:firstLine="426"/>
        <w:spacing w:before="0"/>
        <w:rPr>
          <w:rFonts w:hint="eastAsia" w:ascii="宋体" w:hAnsi="宋体" w:cs="宋体"/>
          <w:bCs w:val="0"/>
          <w:color w:val="auto"/>
          <w:sz w:val="24"/>
          <w:szCs w:val="24"/>
          <w:highlight w:val="none"/>
        </w:rPr>
      </w:pPr>
      <w:r/>
      <w:bookmarkStart w:id="336" w:name="_Toc104560918"/>
      <w:r/>
      <w:bookmarkStart w:id="337" w:name="_Toc103848601"/>
      <w:r/>
      <w:bookmarkStart w:id="338" w:name="_Toc107246301"/>
      <w:r>
        <w:rPr>
          <w:rFonts w:hint="eastAsia" w:ascii="宋体" w:hAnsi="宋体" w:cs="宋体"/>
          <w:bCs w:val="0"/>
          <w:color w:val="auto"/>
          <w:sz w:val="24"/>
          <w:szCs w:val="24"/>
          <w:highlight w:val="none"/>
        </w:rPr>
        <w:t xml:space="preserve">（1）技术条款偏离表</w:t>
      </w:r>
      <w:bookmarkEnd w:id="336"/>
      <w:r/>
      <w:bookmarkEnd w:id="337"/>
      <w:r/>
      <w:bookmarkEnd w:id="338"/>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江宁区卫健委下属单位视力筛查服务</w:t>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112"/>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JSZC-320115-JITC-G2026-0249</w:t>
      </w:r>
      <w:r/>
    </w:p>
    <w:tbl>
      <w:tblPr>
        <w:tblStyle w:val="82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022"/>
        <w:gridCol w:w="1509"/>
        <w:gridCol w:w="2372"/>
        <w:gridCol w:w="1061"/>
      </w:tblGrid>
      <w:tr>
        <w:trPr>
          <w:jc w:val="center"/>
          <w:trHeight w:val="635"/>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854" w:type="dxa"/>
            <w:vAlign w:val="top"/>
            <w:textDirection w:val="lrTb"/>
            <w:noWrap w:val="false"/>
          </w:tcPr>
          <w:p>
            <w:pPr>
              <w:pStyle w:val="1112"/>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82"/>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82"/>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pStyle w:val="856"/>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（2）用于本项目产品技术参数证明文件</w:t>
      </w:r>
      <w:r/>
    </w:p>
    <w:p>
      <w:pPr>
        <w:jc w:val="center"/>
        <w:spacing w:after="156" w:line="439" w:lineRule="atLeast"/>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r>
      <w:r/>
    </w:p>
    <w:p>
      <w:pPr>
        <w:rPr>
          <w:color w:val="auto"/>
          <w:highlight w:val="none"/>
        </w:rPr>
      </w:pPr>
      <w:r>
        <w:rPr>
          <w:color w:val="auto"/>
          <w:highlight w:val="none"/>
        </w:rPr>
        <w:br w:type="page" w:clear="all"/>
      </w:r>
      <w:r/>
    </w:p>
    <w:p>
      <w:pPr>
        <w:pStyle w:val="823"/>
        <w:rPr>
          <w:color w:val="auto"/>
          <w:highlight w:val="none"/>
        </w:rPr>
      </w:pPr>
      <w:r>
        <w:rPr>
          <w:color w:val="auto"/>
          <w:highlight w:val="none"/>
        </w:rPr>
      </w:r>
      <w:r/>
    </w:p>
    <w:p>
      <w:pPr>
        <w:pStyle w:val="885"/>
        <w:ind w:left="114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（3）需求响应方案</w:t>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格式自拟。</w:t>
      </w:r>
      <w:r/>
    </w:p>
    <w:p>
      <w:pPr>
        <w:pStyle w:val="1112"/>
        <w:ind w:firstLine="400"/>
        <w:jc w:val="center"/>
        <w:rPr>
          <w:rFonts w:hint="eastAsia" w:hAnsi="宋体" w:cs="宋体"/>
          <w:color w:val="auto"/>
          <w:highlight w:val="none"/>
        </w:rPr>
      </w:pPr>
      <w:r>
        <w:rPr>
          <w:rFonts w:hint="eastAsia" w:hAnsi="宋体" w:cs="宋体"/>
          <w:color w:val="auto"/>
          <w:highlight w:val="none"/>
        </w:rPr>
      </w:r>
      <w:r/>
    </w:p>
    <w:p>
      <w:pPr>
        <w:pStyle w:val="1112"/>
        <w:ind w:firstLine="400"/>
        <w:rPr>
          <w:rFonts w:hint="eastAsia" w:hAnsi="宋体" w:cs="宋体"/>
          <w:color w:val="auto"/>
          <w:highlight w:val="none"/>
        </w:rPr>
      </w:pPr>
      <w:r>
        <w:rPr>
          <w:rFonts w:hint="eastAsia" w:hAnsi="宋体" w:cs="宋体"/>
          <w:color w:val="auto"/>
          <w:highlight w:val="none"/>
        </w:rPr>
      </w:r>
      <w:r/>
    </w:p>
    <w:p>
      <w:pPr>
        <w:pStyle w:val="885"/>
        <w:ind w:firstLine="569"/>
        <w:spacing w:before="0" w:line="480" w:lineRule="auto"/>
        <w:rPr>
          <w:rFonts w:hint="eastAsia" w:ascii="宋体" w:hAnsi="宋体" w:cs="宋体"/>
          <w:color w:val="auto"/>
          <w:highlight w:val="none"/>
        </w:rPr>
      </w:pPr>
      <w:r>
        <w:rPr>
          <w:rFonts w:hint="eastAsia" w:ascii="宋体" w:hAnsi="宋体" w:cs="宋体"/>
          <w:color w:val="auto"/>
          <w:highlight w:val="none"/>
        </w:rPr>
        <w:br w:type="page" w:clear="all"/>
      </w:r>
      <w:bookmarkStart w:id="339" w:name="_Toc103848602"/>
      <w:r/>
      <w:bookmarkStart w:id="340" w:name="_Toc107246302"/>
      <w:r/>
      <w:bookmarkStart w:id="341" w:name="_Toc104560919"/>
      <w:r>
        <w:rPr>
          <w:rFonts w:hint="eastAsia" w:ascii="宋体" w:hAnsi="宋体" w:cs="宋体"/>
          <w:bCs w:val="0"/>
          <w:color w:val="auto"/>
          <w:sz w:val="24"/>
          <w:szCs w:val="24"/>
          <w:highlight w:val="none"/>
        </w:rPr>
        <w:t xml:space="preserve">（4）投标人服务承诺</w:t>
      </w:r>
      <w:bookmarkEnd w:id="339"/>
      <w:r/>
      <w:bookmarkEnd w:id="340"/>
      <w:r/>
      <w:bookmarkEnd w:id="341"/>
      <w:r/>
      <w:r/>
    </w:p>
    <w:p>
      <w:pPr>
        <w:pStyle w:val="856"/>
        <w:jc w:val="center"/>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 xml:space="preserve">承诺函</w:t>
      </w:r>
      <w:r/>
    </w:p>
    <w:p>
      <w:pPr>
        <w:pStyle w:val="856"/>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南京市江宁区卫生健康委员会：</w:t>
      </w:r>
      <w:r/>
    </w:p>
    <w:p>
      <w:pPr>
        <w:pStyle w:val="856"/>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我司郑重承诺：</w:t>
      </w:r>
      <w:r/>
    </w:p>
    <w:p>
      <w:pPr>
        <w:pStyle w:val="856"/>
        <w:numPr>
          <w:ilvl w:val="0"/>
          <w:numId w:val="6"/>
        </w:num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w:t>
      </w:r>
      <w:r/>
    </w:p>
    <w:p>
      <w:pPr>
        <w:pStyle w:val="856"/>
        <w:numPr>
          <w:ilvl w:val="0"/>
          <w:numId w:val="0"/>
        </w:numPr>
        <w:jc w:val="righ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供应商名称：</w:t>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rPr>
          <w:rFonts w:hint="eastAsia" w:ascii="宋体" w:hAnsi="宋体" w:eastAsia="宋体" w:cs="宋体"/>
          <w:color w:val="auto"/>
          <w:sz w:val="24"/>
          <w:szCs w:val="24"/>
          <w:highlight w:val="none"/>
          <w:u w:val="single"/>
          <w:lang w:val="en-US" w:eastAsia="zh-CN"/>
        </w:rPr>
        <w:tab/>
      </w:r>
      <w:r/>
    </w:p>
    <w:p>
      <w:pPr>
        <w:pStyle w:val="856"/>
        <w:numPr>
          <w:ilvl w:val="0"/>
          <w:numId w:val="0"/>
        </w:num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日期：202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42" w:name="_Toc104560920"/>
      <w:r/>
      <w:bookmarkStart w:id="343" w:name="_Toc107246303"/>
      <w:r/>
      <w:bookmarkStart w:id="344" w:name="_Toc103848603"/>
      <w:r>
        <w:rPr>
          <w:rFonts w:hint="eastAsia" w:ascii="宋体" w:hAnsi="宋体" w:cs="宋体"/>
          <w:bCs w:val="0"/>
          <w:color w:val="auto"/>
          <w:sz w:val="24"/>
          <w:szCs w:val="24"/>
          <w:highlight w:val="none"/>
        </w:rPr>
        <w:t xml:space="preserve">（5）用于本项目人员简历表</w:t>
      </w:r>
      <w:bookmarkEnd w:id="342"/>
      <w:r/>
      <w:bookmarkEnd w:id="343"/>
      <w:r/>
      <w:bookmarkEnd w:id="344"/>
      <w:r/>
      <w:r/>
    </w:p>
    <w:p>
      <w:pPr>
        <w:pStyle w:val="1112"/>
        <w:ind w:firstLine="400"/>
        <w:rPr>
          <w:rFonts w:hint="eastAsia" w:hAnsi="宋体" w:cs="宋体"/>
          <w:color w:val="auto"/>
          <w:highlight w:val="none"/>
        </w:rPr>
      </w:pPr>
      <w:r>
        <w:rPr>
          <w:rFonts w:hint="eastAsia" w:hAnsi="宋体" w:cs="宋体"/>
          <w:color w:val="auto"/>
          <w:highlight w:val="none"/>
        </w:rPr>
      </w:r>
      <w:r/>
    </w:p>
    <w:tbl>
      <w:tblPr>
        <w:tblStyle w:val="822"/>
        <w:tblW w:w="8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姓名</w:t>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性别</w:t>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职务</w:t>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职称</w:t>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毕业学校、专业</w:t>
            </w:r>
            <w:r/>
          </w:p>
        </w:tc>
        <w:tc>
          <w:tcPr>
            <w:gridSpan w:val="3"/>
            <w:tcW w:w="5808"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身份证号</w:t>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拟在本项目任职</w:t>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执业资格证</w:t>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执业资格证书号</w:t>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gridSpan w:val="4"/>
            <w:tcW w:w="8304"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近____年承担项目情况</w:t>
            </w:r>
            <w:r/>
          </w:p>
        </w:tc>
      </w:tr>
      <w:tr>
        <w:trPr>
          <w:jc w:val="center"/>
        </w:trPr>
        <w:tc>
          <w:tcPr>
            <w:tcW w:w="249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时间</w:t>
            </w:r>
            <w:r/>
          </w:p>
        </w:tc>
        <w:tc>
          <w:tcPr>
            <w:tcW w:w="165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类似项目名称</w:t>
            </w:r>
            <w:r/>
          </w:p>
        </w:tc>
        <w:tc>
          <w:tcPr>
            <w:tcW w:w="186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担任职务</w:t>
            </w:r>
            <w:r/>
          </w:p>
        </w:tc>
        <w:tc>
          <w:tcPr>
            <w:tcW w:w="2286" w:type="dxa"/>
            <w:vAlign w:val="center"/>
            <w:textDirection w:val="lrTb"/>
            <w:noWrap w:val="false"/>
          </w:tcPr>
          <w:p>
            <w:pPr>
              <w:pStyle w:val="1112"/>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项目单位名称及电话</w:t>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Pr>
        <w:tc>
          <w:tcPr>
            <w:tcW w:w="249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65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86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286" w:type="dxa"/>
            <w:vAlign w:val="center"/>
            <w:textDirection w:val="lrTb"/>
            <w:noWrap w:val="false"/>
          </w:tcPr>
          <w:p>
            <w:pPr>
              <w:pStyle w:val="1112"/>
              <w:ind w:firstLine="42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1112"/>
        <w:ind w:firstLine="400"/>
        <w:rPr>
          <w:rFonts w:hint="eastAsia" w:hAnsi="宋体" w:cs="宋体"/>
          <w:color w:val="auto"/>
          <w:highlight w:val="none"/>
        </w:rPr>
      </w:pPr>
      <w:r>
        <w:rPr>
          <w:rFonts w:hint="eastAsia" w:hAnsi="宋体" w:cs="宋体"/>
          <w:color w:val="auto"/>
          <w:highlight w:val="none"/>
        </w:rPr>
      </w:r>
      <w:r/>
    </w:p>
    <w:p>
      <w:pPr>
        <w:pStyle w:val="1112"/>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（6）拟投入本项目人员情况表</w:t>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江宁区卫健委下属单位视力筛查服务</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112"/>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JSZC-320115-JITC-G2026-0249</w:t>
      </w:r>
      <w:r/>
    </w:p>
    <w:tbl>
      <w:tblPr>
        <w:tblStyle w:val="822"/>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271"/>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345" w:name="_Toc104560922"/>
      <w:r/>
      <w:bookmarkStart w:id="346" w:name="_Toc107246305"/>
      <w:r/>
      <w:bookmarkStart w:id="347" w:name="_Toc103848605"/>
      <w:r/>
      <w:bookmarkStart w:id="348" w:name="_Toc100905289"/>
      <w:r/>
      <w:bookmarkStart w:id="349" w:name="_Toc96347904"/>
      <w:r/>
      <w:r/>
    </w:p>
    <w:p>
      <w:pPr>
        <w:pStyle w:val="885"/>
        <w:ind w:firstLine="498"/>
        <w:spacing w:before="0"/>
        <w:rPr>
          <w:rFonts w:hint="eastAsia" w:ascii="宋体" w:hAnsi="宋体" w:cs="宋体"/>
          <w:color w:val="auto"/>
          <w:highlight w:val="none"/>
        </w:rPr>
      </w:pPr>
      <w:r>
        <w:rPr>
          <w:rFonts w:hint="eastAsia" w:ascii="宋体" w:hAnsi="宋体" w:cs="宋体"/>
          <w:color w:val="auto"/>
          <w:sz w:val="28"/>
          <w:szCs w:val="24"/>
          <w:highlight w:val="none"/>
        </w:rPr>
        <w:t xml:space="preserve">三、其他部分</w:t>
      </w:r>
      <w:bookmarkEnd w:id="345"/>
      <w:r/>
      <w:bookmarkEnd w:id="346"/>
      <w:r/>
      <w:bookmarkEnd w:id="347"/>
      <w:r/>
      <w:r/>
    </w:p>
    <w:p>
      <w:pPr>
        <w:pStyle w:val="885"/>
        <w:ind w:firstLine="426"/>
        <w:spacing w:before="0"/>
        <w:rPr>
          <w:rFonts w:hint="eastAsia" w:ascii="宋体" w:hAnsi="宋体" w:cs="宋体"/>
          <w:bCs w:val="0"/>
          <w:color w:val="auto"/>
          <w:sz w:val="24"/>
          <w:szCs w:val="24"/>
          <w:highlight w:val="none"/>
        </w:rPr>
      </w:pPr>
      <w:r/>
      <w:bookmarkStart w:id="350" w:name="_Toc104560925"/>
      <w:r/>
      <w:bookmarkStart w:id="351" w:name="_Toc103848608"/>
      <w:r/>
      <w:bookmarkStart w:id="352" w:name="_Toc107246308"/>
      <w:r/>
      <w:bookmarkStart w:id="353" w:name="_Toc100905295"/>
      <w:r/>
      <w:bookmarkStart w:id="354" w:name="_Toc104560924"/>
      <w:r/>
      <w:bookmarkStart w:id="355" w:name="_Toc103848607"/>
      <w:r/>
      <w:bookmarkStart w:id="356" w:name="_Toc107246307"/>
      <w:r/>
      <w:bookmarkStart w:id="357" w:name="_Toc107246306"/>
      <w:r/>
      <w:bookmarkStart w:id="358" w:name="_Toc103848606"/>
      <w:r/>
      <w:bookmarkStart w:id="359" w:name="_Toc104560923"/>
      <w:r>
        <w:rPr>
          <w:rFonts w:hint="eastAsia" w:ascii="宋体" w:hAnsi="宋体" w:cs="宋体"/>
          <w:bCs w:val="0"/>
          <w:color w:val="auto"/>
          <w:sz w:val="24"/>
          <w:szCs w:val="24"/>
          <w:highlight w:val="none"/>
        </w:rPr>
        <w:t xml:space="preserve">（1）要求投标人提交的其他文件材料或证明材料</w:t>
      </w:r>
      <w:bookmarkEnd w:id="350"/>
      <w:r/>
      <w:bookmarkEnd w:id="351"/>
      <w:r/>
      <w:bookmarkEnd w:id="352"/>
      <w:r/>
      <w:r/>
    </w:p>
    <w:p>
      <w:pPr>
        <w:pStyle w:val="859"/>
        <w:ind w:left="1260" w:firstLine="426"/>
        <w:rPr>
          <w:rFonts w:hint="eastAsia" w:hAnsi="宋体" w:cs="宋体"/>
          <w:color w:val="auto"/>
          <w:highlight w:val="none"/>
        </w:rPr>
      </w:pPr>
      <w:r>
        <w:rPr>
          <w:rFonts w:hint="eastAsia" w:hAnsi="宋体" w:cs="宋体"/>
          <w:color w:val="auto"/>
          <w:highlight w:val="none"/>
        </w:rPr>
      </w:r>
      <w:r/>
    </w:p>
    <w:p>
      <w:pPr>
        <w:pStyle w:val="859"/>
        <w:ind w:left="1260" w:firstLine="426"/>
        <w:rPr>
          <w:rFonts w:hint="eastAsia" w:hAnsi="宋体" w:cs="宋体"/>
          <w:color w:val="auto"/>
          <w:highlight w:val="none"/>
        </w:rPr>
      </w:pPr>
      <w:r>
        <w:rPr>
          <w:rFonts w:hint="eastAsia" w:hAnsi="宋体" w:cs="宋体"/>
          <w:color w:val="auto"/>
          <w:highlight w:val="none"/>
        </w:rPr>
        <w:br w:type="page" w:clear="all"/>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（2）投标人认为需提供的其他</w:t>
      </w:r>
      <w:bookmarkEnd w:id="353"/>
      <w:r>
        <w:rPr>
          <w:rFonts w:hint="eastAsia" w:ascii="宋体" w:hAnsi="宋体" w:cs="宋体"/>
          <w:bCs w:val="0"/>
          <w:color w:val="auto"/>
          <w:sz w:val="24"/>
          <w:szCs w:val="24"/>
          <w:highlight w:val="none"/>
        </w:rPr>
        <w:t xml:space="preserve">文件或证明材料</w:t>
      </w:r>
      <w:bookmarkEnd w:id="354"/>
      <w:r/>
      <w:bookmarkEnd w:id="355"/>
      <w:r/>
      <w:bookmarkEnd w:id="356"/>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85"/>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（3）提供符合政府采购政策的证明材料</w:t>
      </w:r>
      <w:bookmarkEnd w:id="348"/>
      <w:r/>
      <w:bookmarkEnd w:id="357"/>
      <w:r/>
      <w:bookmarkEnd w:id="358"/>
      <w:r/>
      <w:bookmarkEnd w:id="359"/>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1112"/>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南京市江宁区卫生健康委员会</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江宁区卫健委下属单位视力筛查服务</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w:t>
      </w:r>
      <w:r>
        <w:rPr>
          <w:rFonts w:hint="eastAsia" w:ascii="宋体" w:hAnsi="宋体" w:cs="宋体"/>
          <w:color w:val="auto"/>
          <w:position w:val="-2"/>
          <w:szCs w:val="21"/>
          <w:highlight w:val="none"/>
          <w:u w:val="single"/>
        </w:rPr>
        <w:t xml:space="preserve"> 江宁区卫健委下属单位视力筛查服务</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其他未列明行业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 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2.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rPr>
        <w:t xml:space="preserve">其他未列明行业</w:t>
      </w:r>
      <w:r>
        <w:rPr>
          <w:rFonts w:hint="eastAsia" w:ascii="宋体" w:hAnsi="宋体" w:cs="宋体"/>
          <w:color w:val="auto"/>
          <w:position w:val="-2"/>
          <w:szCs w:val="21"/>
          <w:highlight w:val="none"/>
        </w:rPr>
        <w:t xml:space="preserve">行业；制造商（或工程</w:t>
      </w:r>
      <w:r>
        <w:rPr>
          <w:rFonts w:hint="eastAsia" w:ascii="宋体" w:hAnsi="宋体" w:cs="宋体"/>
          <w:color w:val="auto"/>
          <w:spacing w:val="3"/>
          <w:szCs w:val="21"/>
          <w:highlight w:val="none"/>
        </w:rPr>
        <w:t xml:space="preserve">承建/</w:t>
      </w:r>
      <w:r>
        <w:rPr>
          <w:rFonts w:hint="eastAsia" w:ascii="宋体" w:hAnsi="宋体" w:cs="宋体"/>
          <w:color w:val="auto"/>
          <w:position w:val="-2"/>
          <w:szCs w:val="21"/>
          <w:highlight w:val="none"/>
        </w:rPr>
        <w:t xml:space="preserve">服务</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人，营业收入为万元，资产总额为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1. 本项目中小微企业划分标准为：</w:t>
      </w:r>
      <w:r>
        <w:rPr>
          <w:rFonts w:hint="eastAsia" w:ascii="宋体" w:hAnsi="宋体" w:cs="宋体"/>
          <w:b/>
          <w:color w:val="auto"/>
          <w:szCs w:val="21"/>
          <w:highlight w:val="none"/>
          <w:u w:val="single"/>
        </w:rPr>
        <w:t xml:space="preserve">从业人员300人以下的为中小微型企业。其中，从业人员100人及以上的为中型企业；从业人员10人及以上的为小型企业；从业人员10人以下的为微型企业。</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ind w:firstLine="373"/>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3.其他未列明行业。从业人员300人以下的为中小微型企业。其中，从业人员100人及以上的为中型企业；从业人员10人及以上的为小型企业；从业人员10人以下的为微型企业。</w:t>
      </w:r>
      <w:r/>
    </w:p>
    <w:p>
      <w:pPr>
        <w:ind w:firstLine="373"/>
        <w:rPr>
          <w:rFonts w:hint="eastAsia" w:ascii="宋体" w:hAnsi="宋体" w:cs="宋体"/>
          <w:color w:val="auto"/>
          <w:highlight w:val="none"/>
        </w:rPr>
      </w:pP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112"/>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1112"/>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12"/>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112"/>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112"/>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112"/>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349"/>
      <w:r/>
      <w:r/>
    </w:p>
    <w:p>
      <w:pPr>
        <w:pStyle w:val="1112"/>
        <w:ind w:firstLine="164"/>
        <w:jc w:val="center"/>
        <w:rPr>
          <w:rFonts w:hint="eastAsia" w:hAnsi="宋体" w:cs="宋体"/>
          <w:color w:val="auto"/>
          <w:szCs w:val="21"/>
          <w:highlight w:val="none"/>
        </w:rPr>
      </w:pPr>
      <w:r>
        <w:rPr>
          <w:rFonts w:hint="eastAsia" w:hAnsi="宋体" w:cs="宋体"/>
          <w:color w:val="auto"/>
          <w:szCs w:val="21"/>
          <w:highlight w:val="none"/>
        </w:rPr>
      </w:r>
      <w:r/>
    </w:p>
    <w:sectPr>
      <w:footnotePr/>
      <w:endnotePr/>
      <w:type w:val="nextPage"/>
      <w:pgSz w:w="11906" w:h="16838" w:orient="portrait"/>
      <w:pgMar w:top="1440" w:right="169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r/>
  </w:p>
  <w:p>
    <w:pPr>
      <w:pStyle w:val="9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09"/>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61925" cy="13144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161925" cy="13144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23</w:t>
                          </w:r>
                          <w:r>
                            <w:rPr>
                              <w:rFonts w:hint="eastAsia"/>
                              <w:sz w:val="18"/>
                            </w:rPr>
                            <w:fldChar w:fldCharType="end"/>
                          </w:r>
                          <w:r/>
                        </w:p>
                        <w:p>
                          <w:r/>
                          <w:r/>
                        </w:p>
                        <w:p>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2.8pt;height:10.3pt;mso-wrap-distance-left:0.0pt;mso-wrap-distance-top:0.0pt;mso-wrap-distance-right:0.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 xml:space="preserve">23</w:t>
                    </w:r>
                    <w:r>
                      <w:rPr>
                        <w:rFonts w:hint="eastAsia"/>
                        <w:sz w:val="18"/>
                      </w:rPr>
                      <w:fldChar w:fldCharType="end"/>
                    </w:r>
                    <w:r/>
                  </w:p>
                  <w:p>
                    <w:r/>
                    <w:r/>
                  </w:p>
                  <w:p>
                    <w:r/>
                    <w:r/>
                  </w:p>
                </w:txbxContent>
              </v:textbox>
            </v:shape>
          </w:pict>
        </mc:Fallback>
      </mc:AlternateContent>
    </w:r>
    <w:r>
      <w:rPr>
        <w:lang w:val="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6"/>
      <w:jc w:val="center"/>
    </w:pPr>
    <w:r>
      <w:fldChar w:fldCharType="begin"/>
    </w:r>
    <w:r>
      <w:instrText xml:space="preserve">PAGE   \* MERGEFORMAT</w:instrText>
    </w:r>
    <w:r>
      <w:fldChar w:fldCharType="separate"/>
    </w:r>
    <w:r>
      <w:rPr>
        <w:lang w:val="zh-CN"/>
      </w:rPr>
      <w:t xml:space="preserve">2</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11"/>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江宁区卫健委下属单位视力筛查服务</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4"/>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next w:val="823"/>
    <w:link w:val="1140"/>
    <w:uiPriority w:val="0"/>
    <w:qFormat/>
    <w:pPr>
      <w:jc w:val="both"/>
      <w:widowControl w:val="off"/>
    </w:pPr>
    <w:rPr>
      <w:rFonts w:hint="default" w:ascii="Times New Roman" w:hAnsi="Times New Roman" w:eastAsia="宋体" w:cs="Times New Roman"/>
      <w:sz w:val="21"/>
      <w:szCs w:val="24"/>
      <w:lang w:eastAsia="zh-CN"/>
    </w:rPr>
  </w:style>
  <w:style w:type="paragraph" w:styleId="812">
    <w:name w:val="Heading 1"/>
    <w:basedOn w:val="811"/>
    <w:next w:val="811"/>
    <w:link w:val="899"/>
    <w:uiPriority w:val="0"/>
    <w:qFormat/>
    <w:pPr>
      <w:ind w:left="100" w:right="100"/>
      <w:keepLines/>
      <w:keepNext/>
      <w:spacing w:before="120" w:after="120"/>
      <w:outlineLvl w:val="0"/>
    </w:pPr>
    <w:rPr>
      <w:b/>
      <w:bCs/>
      <w:szCs w:val="44"/>
    </w:rPr>
  </w:style>
  <w:style w:type="paragraph" w:styleId="813">
    <w:name w:val="Heading 2"/>
    <w:basedOn w:val="811"/>
    <w:next w:val="811"/>
    <w:link w:val="900"/>
    <w:uiPriority w:val="0"/>
    <w:qFormat/>
    <w:pPr>
      <w:keepLines/>
      <w:keepNext/>
      <w:spacing w:before="260" w:after="260" w:line="416" w:lineRule="auto"/>
      <w:outlineLvl w:val="1"/>
    </w:pPr>
    <w:rPr>
      <w:rFonts w:ascii="等线 Light" w:hAnsi="等线 Light" w:eastAsia="等线 Light"/>
      <w:b/>
      <w:bCs/>
      <w:sz w:val="32"/>
      <w:szCs w:val="32"/>
    </w:rPr>
  </w:style>
  <w:style w:type="paragraph" w:styleId="814">
    <w:name w:val="Heading 3"/>
    <w:basedOn w:val="811"/>
    <w:next w:val="811"/>
    <w:link w:val="901"/>
    <w:uiPriority w:val="9"/>
    <w:qFormat/>
    <w:pPr>
      <w:keepLines/>
      <w:keepNext/>
      <w:spacing w:before="260" w:after="260" w:line="416" w:lineRule="auto"/>
      <w:outlineLvl w:val="2"/>
    </w:pPr>
    <w:rPr>
      <w:b/>
      <w:bCs/>
      <w:sz w:val="32"/>
      <w:szCs w:val="32"/>
    </w:rPr>
  </w:style>
  <w:style w:type="paragraph" w:styleId="815">
    <w:name w:val="Heading 4"/>
    <w:basedOn w:val="811"/>
    <w:next w:val="811"/>
    <w:link w:val="902"/>
    <w:uiPriority w:val="0"/>
    <w:qFormat/>
    <w:pPr>
      <w:keepLines/>
      <w:keepNext/>
      <w:spacing w:before="280" w:after="290" w:line="376" w:lineRule="auto"/>
      <w:outlineLvl w:val="3"/>
    </w:pPr>
    <w:rPr>
      <w:rFonts w:ascii="等线 Light" w:hAnsi="等线 Light" w:eastAsia="等线 Light"/>
      <w:b/>
      <w:bCs/>
      <w:sz w:val="28"/>
      <w:szCs w:val="28"/>
    </w:rPr>
  </w:style>
  <w:style w:type="paragraph" w:styleId="816">
    <w:name w:val="Heading 5"/>
    <w:basedOn w:val="811"/>
    <w:next w:val="811"/>
    <w:link w:val="903"/>
    <w:uiPriority w:val="9"/>
    <w:unhideWhenUsed/>
    <w:qFormat/>
    <w:pPr>
      <w:keepLines/>
      <w:keepNext/>
      <w:spacing w:before="320" w:after="200"/>
      <w:outlineLvl w:val="4"/>
    </w:pPr>
    <w:rPr>
      <w:rFonts w:ascii="Arial" w:hAnsi="Arial" w:eastAsia="Arial" w:cs="Arial"/>
      <w:b/>
      <w:bCs/>
      <w:sz w:val="24"/>
    </w:rPr>
  </w:style>
  <w:style w:type="paragraph" w:styleId="817">
    <w:name w:val="Heading 6"/>
    <w:basedOn w:val="811"/>
    <w:next w:val="811"/>
    <w:link w:val="904"/>
    <w:uiPriority w:val="0"/>
    <w:qFormat/>
    <w:pPr>
      <w:keepLines/>
      <w:keepNext/>
      <w:spacing w:before="240" w:after="64" w:line="320" w:lineRule="auto"/>
      <w:outlineLvl w:val="5"/>
    </w:pPr>
    <w:rPr>
      <w:rFonts w:ascii="等线 Light" w:hAnsi="等线 Light" w:eastAsia="等线 Light"/>
      <w:b/>
      <w:bCs/>
      <w:sz w:val="24"/>
    </w:rPr>
  </w:style>
  <w:style w:type="paragraph" w:styleId="818">
    <w:name w:val="Heading 7"/>
    <w:basedOn w:val="811"/>
    <w:next w:val="811"/>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11"/>
    <w:next w:val="811"/>
    <w:link w:val="906"/>
    <w:uiPriority w:val="0"/>
    <w:qFormat/>
    <w:pPr>
      <w:keepLines/>
      <w:keepNext/>
      <w:spacing w:before="240" w:after="64" w:line="320" w:lineRule="auto"/>
      <w:outlineLvl w:val="7"/>
    </w:pPr>
    <w:rPr>
      <w:rFonts w:ascii="等线 Light" w:hAnsi="等线 Light" w:eastAsia="等线 Light"/>
      <w:sz w:val="24"/>
    </w:rPr>
  </w:style>
  <w:style w:type="paragraph" w:styleId="820">
    <w:name w:val="Heading 9"/>
    <w:basedOn w:val="811"/>
    <w:next w:val="811"/>
    <w:link w:val="907"/>
    <w:uiPriority w:val="9"/>
    <w:unhideWhenUsed/>
    <w:qFormat/>
    <w:pPr>
      <w:keepLines/>
      <w:keepNext/>
      <w:spacing w:before="320" w:after="200"/>
      <w:outlineLvl w:val="8"/>
    </w:pPr>
    <w:rPr>
      <w:rFonts w:ascii="Arial" w:hAnsi="Arial" w:eastAsia="Arial" w:cs="Arial"/>
      <w:i/>
      <w:iCs/>
      <w:szCs w:val="21"/>
    </w:rPr>
  </w:style>
  <w:style w:type="character" w:styleId="821" w:default="1">
    <w:name w:val="Default Paragraph Font"/>
    <w:uiPriority w:val="1"/>
    <w:semiHidden/>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customStyle="1">
    <w:name w:val="正文缩进11"/>
    <w:basedOn w:val="811"/>
    <w:link w:val="849"/>
    <w:uiPriority w:val="99"/>
    <w:qFormat/>
    <w:pPr>
      <w:ind w:firstLine="420"/>
    </w:pPr>
    <w:rPr>
      <w:szCs w:val="20"/>
    </w:rPr>
  </w:style>
  <w:style w:type="paragraph" w:styleId="824">
    <w:name w:val="toc 7"/>
    <w:basedOn w:val="811"/>
    <w:next w:val="811"/>
    <w:uiPriority w:val="39"/>
    <w:unhideWhenUsed/>
    <w:qFormat/>
    <w:pPr>
      <w:ind w:left="1701" w:right="0" w:firstLine="0"/>
      <w:spacing w:after="57"/>
    </w:pPr>
  </w:style>
  <w:style w:type="paragraph" w:styleId="825">
    <w:name w:val="Caption"/>
    <w:basedOn w:val="811"/>
    <w:next w:val="8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6">
    <w:name w:val="annotation text"/>
    <w:basedOn w:val="811"/>
    <w:uiPriority w:val="99"/>
    <w:semiHidden/>
    <w:unhideWhenUsed/>
    <w:qFormat/>
    <w:pPr>
      <w:jc w:val="left"/>
    </w:pPr>
  </w:style>
  <w:style w:type="paragraph" w:styleId="827">
    <w:name w:val="toc 5"/>
    <w:basedOn w:val="811"/>
    <w:next w:val="811"/>
    <w:uiPriority w:val="39"/>
    <w:unhideWhenUsed/>
    <w:qFormat/>
    <w:pPr>
      <w:ind w:left="1134" w:right="0" w:firstLine="0"/>
      <w:spacing w:after="57"/>
    </w:pPr>
  </w:style>
  <w:style w:type="paragraph" w:styleId="828">
    <w:name w:val="toc 3"/>
    <w:basedOn w:val="811"/>
    <w:next w:val="811"/>
    <w:uiPriority w:val="39"/>
    <w:unhideWhenUsed/>
    <w:qFormat/>
    <w:pPr>
      <w:ind w:left="567" w:right="0" w:firstLine="0"/>
      <w:spacing w:after="57"/>
    </w:pPr>
  </w:style>
  <w:style w:type="paragraph" w:styleId="829">
    <w:name w:val="Plain Text"/>
    <w:basedOn w:val="811"/>
    <w:uiPriority w:val="0"/>
    <w:qFormat/>
    <w:pPr>
      <w:ind w:firstLine="200"/>
      <w:spacing w:line="360" w:lineRule="auto"/>
    </w:pPr>
    <w:rPr>
      <w:rFonts w:ascii="宋体" w:hAnsi="Courier New"/>
      <w:sz w:val="20"/>
      <w:szCs w:val="20"/>
    </w:rPr>
  </w:style>
  <w:style w:type="paragraph" w:styleId="830">
    <w:name w:val="toc 8"/>
    <w:basedOn w:val="811"/>
    <w:next w:val="811"/>
    <w:uiPriority w:val="39"/>
    <w:unhideWhenUsed/>
    <w:qFormat/>
    <w:pPr>
      <w:ind w:left="1984" w:right="0" w:firstLine="0"/>
      <w:spacing w:after="57"/>
    </w:pPr>
  </w:style>
  <w:style w:type="paragraph" w:styleId="831">
    <w:name w:val="endnote text"/>
    <w:basedOn w:val="811"/>
    <w:uiPriority w:val="99"/>
    <w:semiHidden/>
    <w:unhideWhenUsed/>
    <w:qFormat/>
    <w:pPr>
      <w:spacing w:after="0" w:line="240" w:lineRule="auto"/>
    </w:pPr>
    <w:rPr>
      <w:sz w:val="20"/>
    </w:rPr>
  </w:style>
  <w:style w:type="paragraph" w:styleId="832">
    <w:name w:val="Footer"/>
    <w:basedOn w:val="811"/>
    <w:uiPriority w:val="99"/>
    <w:unhideWhenUsed/>
    <w:qFormat/>
    <w:pPr>
      <w:spacing w:after="0" w:line="240" w:lineRule="auto"/>
      <w:tabs>
        <w:tab w:val="center" w:pos="7143" w:leader="none"/>
        <w:tab w:val="right" w:pos="14287" w:leader="none"/>
      </w:tabs>
    </w:pPr>
  </w:style>
  <w:style w:type="paragraph" w:styleId="833">
    <w:name w:val="Header"/>
    <w:basedOn w:val="811"/>
    <w:uiPriority w:val="99"/>
    <w:unhideWhenUsed/>
    <w:qFormat/>
    <w:pPr>
      <w:spacing w:after="0" w:line="240" w:lineRule="auto"/>
      <w:tabs>
        <w:tab w:val="center" w:pos="7143" w:leader="none"/>
        <w:tab w:val="right" w:pos="14287" w:leader="none"/>
      </w:tabs>
    </w:pPr>
  </w:style>
  <w:style w:type="paragraph" w:styleId="834">
    <w:name w:val="toc 1"/>
    <w:basedOn w:val="811"/>
    <w:next w:val="811"/>
    <w:uiPriority w:val="39"/>
    <w:unhideWhenUsed/>
    <w:qFormat/>
    <w:pPr>
      <w:ind w:left="0" w:right="0" w:firstLine="0"/>
      <w:spacing w:after="57"/>
    </w:pPr>
  </w:style>
  <w:style w:type="paragraph" w:styleId="835">
    <w:name w:val="toc 4"/>
    <w:basedOn w:val="811"/>
    <w:next w:val="811"/>
    <w:uiPriority w:val="39"/>
    <w:unhideWhenUsed/>
    <w:qFormat/>
    <w:pPr>
      <w:ind w:left="850" w:right="0" w:firstLine="0"/>
      <w:spacing w:after="57"/>
    </w:pPr>
  </w:style>
  <w:style w:type="paragraph" w:styleId="836">
    <w:name w:val="Subtitle"/>
    <w:basedOn w:val="811"/>
    <w:next w:val="811"/>
    <w:uiPriority w:val="11"/>
    <w:qFormat/>
    <w:pPr>
      <w:spacing w:before="200" w:after="200"/>
    </w:pPr>
    <w:rPr>
      <w:sz w:val="24"/>
      <w:szCs w:val="24"/>
    </w:rPr>
  </w:style>
  <w:style w:type="paragraph" w:styleId="837">
    <w:name w:val="footnote text"/>
    <w:basedOn w:val="811"/>
    <w:uiPriority w:val="99"/>
    <w:semiHidden/>
    <w:unhideWhenUsed/>
    <w:qFormat/>
    <w:pPr>
      <w:spacing w:after="40" w:line="240" w:lineRule="auto"/>
    </w:pPr>
    <w:rPr>
      <w:sz w:val="18"/>
    </w:rPr>
  </w:style>
  <w:style w:type="paragraph" w:styleId="838">
    <w:name w:val="toc 6"/>
    <w:basedOn w:val="811"/>
    <w:next w:val="811"/>
    <w:uiPriority w:val="39"/>
    <w:unhideWhenUsed/>
    <w:qFormat/>
    <w:pPr>
      <w:ind w:left="1417" w:right="0" w:firstLine="0"/>
      <w:spacing w:after="57"/>
    </w:pPr>
  </w:style>
  <w:style w:type="paragraph" w:styleId="839">
    <w:name w:val="table of figures"/>
    <w:basedOn w:val="811"/>
    <w:next w:val="811"/>
    <w:uiPriority w:val="99"/>
    <w:unhideWhenUsed/>
    <w:qFormat/>
    <w:pPr>
      <w:spacing w:after="0" w:afterAutospacing="0"/>
    </w:pPr>
  </w:style>
  <w:style w:type="paragraph" w:styleId="840">
    <w:name w:val="toc 2"/>
    <w:basedOn w:val="811"/>
    <w:next w:val="811"/>
    <w:uiPriority w:val="39"/>
    <w:unhideWhenUsed/>
    <w:qFormat/>
    <w:pPr>
      <w:ind w:left="283" w:right="0" w:firstLine="0"/>
      <w:spacing w:after="57"/>
    </w:pPr>
  </w:style>
  <w:style w:type="paragraph" w:styleId="841">
    <w:name w:val="toc 9"/>
    <w:basedOn w:val="811"/>
    <w:next w:val="811"/>
    <w:uiPriority w:val="39"/>
    <w:unhideWhenUsed/>
    <w:qFormat/>
    <w:pPr>
      <w:ind w:left="2268" w:right="0" w:firstLine="0"/>
      <w:spacing w:after="57"/>
    </w:pPr>
  </w:style>
  <w:style w:type="paragraph" w:styleId="842">
    <w:name w:val="Title"/>
    <w:basedOn w:val="811"/>
    <w:next w:val="811"/>
    <w:uiPriority w:val="10"/>
    <w:qFormat/>
    <w:pPr>
      <w:contextualSpacing/>
      <w:spacing w:before="300" w:after="200"/>
    </w:pPr>
    <w:rPr>
      <w:sz w:val="48"/>
      <w:szCs w:val="48"/>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footnote reference"/>
    <w:uiPriority w:val="99"/>
    <w:unhideWhenUsed/>
    <w:qFormat/>
    <w:rPr>
      <w:vertAlign w:val="superscript"/>
    </w:rPr>
  </w:style>
  <w:style w:type="character" w:styleId="847" w:customStyle="1">
    <w:name w:val="默认段落字体1"/>
    <w:link w:val="811"/>
    <w:uiPriority w:val="1"/>
    <w:unhideWhenUsed/>
    <w:qFormat/>
  </w:style>
  <w:style w:type="table" w:styleId="848" w:customStyle="1">
    <w:name w:val="普通表格1"/>
    <w:uiPriority w:val="99"/>
    <w:unhideWhenUsed/>
    <w:qFormat/>
    <w:tblPr/>
  </w:style>
  <w:style w:type="character" w:styleId="849" w:customStyle="1">
    <w:name w:val="正文缩进 字符"/>
    <w:link w:val="823"/>
    <w:uiPriority w:val="0"/>
    <w:qFormat/>
    <w:rPr>
      <w:sz w:val="21"/>
    </w:rPr>
  </w:style>
  <w:style w:type="paragraph" w:styleId="850" w:customStyle="1">
    <w:name w:val="列表 31"/>
    <w:basedOn w:val="811"/>
    <w:uiPriority w:val="0"/>
    <w:qFormat/>
    <w:pPr>
      <w:contextualSpacing/>
      <w:ind w:left="100" w:hanging="200"/>
      <w:jc w:val="left"/>
      <w:widowControl/>
    </w:pPr>
    <w:rPr>
      <w:sz w:val="20"/>
      <w:szCs w:val="20"/>
    </w:rPr>
  </w:style>
  <w:style w:type="paragraph" w:styleId="851" w:customStyle="1">
    <w:name w:val="目录 711"/>
    <w:basedOn w:val="811"/>
    <w:next w:val="811"/>
    <w:uiPriority w:val="39"/>
    <w:unhideWhenUsed/>
    <w:qFormat/>
    <w:pPr>
      <w:ind w:left="1701"/>
      <w:spacing w:after="57"/>
    </w:pPr>
  </w:style>
  <w:style w:type="paragraph" w:styleId="852" w:customStyle="1">
    <w:name w:val="文档结构图1"/>
    <w:basedOn w:val="811"/>
    <w:link w:val="853"/>
    <w:uiPriority w:val="0"/>
    <w:qFormat/>
    <w:pPr>
      <w:shd w:val="clear" w:color="auto" w:fill="000080"/>
    </w:pPr>
  </w:style>
  <w:style w:type="character" w:styleId="853" w:customStyle="1">
    <w:name w:val="文档结构图 字符"/>
    <w:link w:val="852"/>
    <w:uiPriority w:val="0"/>
    <w:qFormat/>
    <w:rPr>
      <w:sz w:val="21"/>
      <w:szCs w:val="24"/>
      <w:shd w:val="clear" w:color="auto" w:fill="000080"/>
    </w:rPr>
  </w:style>
  <w:style w:type="paragraph" w:styleId="854" w:customStyle="1">
    <w:name w:val="批注文字1"/>
    <w:basedOn w:val="811"/>
    <w:link w:val="855"/>
    <w:uiPriority w:val="0"/>
    <w:qFormat/>
    <w:pPr>
      <w:jc w:val="left"/>
    </w:pPr>
  </w:style>
  <w:style w:type="character" w:styleId="855" w:customStyle="1">
    <w:name w:val="批注文字 字符"/>
    <w:link w:val="854"/>
    <w:uiPriority w:val="0"/>
    <w:qFormat/>
    <w:rPr>
      <w:sz w:val="21"/>
      <w:szCs w:val="24"/>
    </w:rPr>
  </w:style>
  <w:style w:type="paragraph" w:styleId="856" w:customStyle="1">
    <w:name w:val="正文文本111"/>
    <w:basedOn w:val="811"/>
    <w:link w:val="857"/>
    <w:uiPriority w:val="1"/>
    <w:qFormat/>
    <w:pPr>
      <w:spacing w:after="120"/>
    </w:pPr>
  </w:style>
  <w:style w:type="character" w:styleId="857" w:customStyle="1">
    <w:name w:val="正文文本 字符"/>
    <w:link w:val="856"/>
    <w:uiPriority w:val="1"/>
    <w:qFormat/>
    <w:rPr>
      <w:sz w:val="21"/>
      <w:szCs w:val="24"/>
    </w:rPr>
  </w:style>
  <w:style w:type="paragraph" w:styleId="858" w:customStyle="1">
    <w:name w:val="正文文本缩进1"/>
    <w:basedOn w:val="811"/>
    <w:uiPriority w:val="0"/>
    <w:qFormat/>
    <w:pPr>
      <w:ind w:left="420"/>
      <w:spacing w:after="120"/>
    </w:pPr>
  </w:style>
  <w:style w:type="paragraph" w:styleId="859" w:customStyle="1">
    <w:name w:val="索引 41"/>
    <w:basedOn w:val="811"/>
    <w:next w:val="811"/>
    <w:uiPriority w:val="99"/>
    <w:unhideWhenUsed/>
    <w:qFormat/>
    <w:pPr>
      <w:ind w:left="600"/>
    </w:pPr>
    <w:rPr>
      <w:rFonts w:ascii="宋体"/>
      <w:b/>
      <w:position w:val="-10"/>
      <w:sz w:val="24"/>
      <w:szCs w:val="20"/>
    </w:rPr>
  </w:style>
  <w:style w:type="paragraph" w:styleId="860" w:customStyle="1">
    <w:name w:val="目录 511"/>
    <w:basedOn w:val="811"/>
    <w:next w:val="811"/>
    <w:uiPriority w:val="39"/>
    <w:unhideWhenUsed/>
    <w:qFormat/>
    <w:pPr>
      <w:ind w:left="1134"/>
      <w:spacing w:after="57"/>
    </w:pPr>
  </w:style>
  <w:style w:type="paragraph" w:styleId="861" w:customStyle="1">
    <w:name w:val="目录 311"/>
    <w:basedOn w:val="811"/>
    <w:next w:val="811"/>
    <w:uiPriority w:val="39"/>
    <w:unhideWhenUsed/>
    <w:qFormat/>
    <w:pPr>
      <w:ind w:left="567"/>
      <w:spacing w:after="57"/>
    </w:pPr>
  </w:style>
  <w:style w:type="paragraph" w:styleId="862" w:customStyle="1">
    <w:name w:val="纯文本11"/>
    <w:basedOn w:val="811"/>
    <w:link w:val="863"/>
    <w:uiPriority w:val="0"/>
    <w:qFormat/>
    <w:rPr>
      <w:rFonts w:ascii="宋体" w:hAnsi="Courier New" w:cs="Courier New"/>
      <w:szCs w:val="21"/>
    </w:rPr>
  </w:style>
  <w:style w:type="character" w:styleId="863" w:customStyle="1">
    <w:name w:val="纯文本 字符"/>
    <w:link w:val="862"/>
    <w:uiPriority w:val="0"/>
    <w:qFormat/>
    <w:rPr>
      <w:rFonts w:ascii="宋体" w:hAnsi="Courier New" w:cs="Courier New"/>
      <w:sz w:val="21"/>
      <w:szCs w:val="21"/>
    </w:rPr>
  </w:style>
  <w:style w:type="paragraph" w:styleId="864" w:customStyle="1">
    <w:name w:val="目录 811"/>
    <w:basedOn w:val="811"/>
    <w:next w:val="811"/>
    <w:uiPriority w:val="39"/>
    <w:unhideWhenUsed/>
    <w:qFormat/>
    <w:pPr>
      <w:ind w:left="1984"/>
      <w:spacing w:after="57"/>
    </w:pPr>
  </w:style>
  <w:style w:type="paragraph" w:styleId="865" w:customStyle="1">
    <w:name w:val="日期1"/>
    <w:basedOn w:val="811"/>
    <w:next w:val="811"/>
    <w:link w:val="866"/>
    <w:uiPriority w:val="0"/>
    <w:qFormat/>
    <w:rPr>
      <w:sz w:val="24"/>
      <w:szCs w:val="20"/>
    </w:rPr>
  </w:style>
  <w:style w:type="character" w:styleId="866" w:customStyle="1">
    <w:name w:val="日期 字符"/>
    <w:link w:val="865"/>
    <w:uiPriority w:val="0"/>
    <w:qFormat/>
    <w:rPr>
      <w:sz w:val="24"/>
    </w:rPr>
  </w:style>
  <w:style w:type="paragraph" w:styleId="867" w:customStyle="1">
    <w:name w:val="尾注文本1"/>
    <w:basedOn w:val="811"/>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811"/>
    <w:link w:val="870"/>
    <w:uiPriority w:val="0"/>
    <w:qFormat/>
    <w:rPr>
      <w:sz w:val="18"/>
      <w:szCs w:val="18"/>
    </w:rPr>
  </w:style>
  <w:style w:type="character" w:styleId="870" w:customStyle="1">
    <w:name w:val="批注框文本 字符"/>
    <w:link w:val="869"/>
    <w:uiPriority w:val="0"/>
    <w:qFormat/>
    <w:rPr>
      <w:sz w:val="18"/>
      <w:szCs w:val="18"/>
    </w:rPr>
  </w:style>
  <w:style w:type="paragraph" w:styleId="871" w:customStyle="1">
    <w:name w:val="寄信人地址1"/>
    <w:basedOn w:val="811"/>
    <w:uiPriority w:val="0"/>
    <w:qFormat/>
    <w:rPr>
      <w:rFonts w:ascii="Arial" w:hAnsi="Arial"/>
    </w:rPr>
  </w:style>
  <w:style w:type="paragraph" w:styleId="872" w:customStyle="1">
    <w:name w:val="目录 111"/>
    <w:basedOn w:val="811"/>
    <w:next w:val="811"/>
    <w:uiPriority w:val="39"/>
    <w:unhideWhenUsed/>
    <w:qFormat/>
    <w:pPr>
      <w:spacing w:after="57"/>
    </w:pPr>
  </w:style>
  <w:style w:type="paragraph" w:styleId="873" w:customStyle="1">
    <w:name w:val="目录 411"/>
    <w:basedOn w:val="811"/>
    <w:next w:val="811"/>
    <w:uiPriority w:val="39"/>
    <w:unhideWhenUsed/>
    <w:qFormat/>
    <w:pPr>
      <w:ind w:left="850"/>
      <w:spacing w:after="57"/>
    </w:pPr>
  </w:style>
  <w:style w:type="paragraph" w:styleId="874" w:customStyle="1">
    <w:name w:val="副标题1"/>
    <w:basedOn w:val="811"/>
    <w:next w:val="811"/>
    <w:link w:val="875"/>
    <w:uiPriority w:val="11"/>
    <w:qFormat/>
    <w:pPr>
      <w:spacing w:before="200" w:after="200"/>
    </w:pPr>
    <w:rPr>
      <w:sz w:val="24"/>
    </w:rPr>
  </w:style>
  <w:style w:type="character" w:styleId="875" w:customStyle="1">
    <w:name w:val="副标题 字符"/>
    <w:basedOn w:val="847"/>
    <w:link w:val="874"/>
    <w:uiPriority w:val="11"/>
    <w:qFormat/>
    <w:rPr>
      <w:sz w:val="24"/>
      <w:szCs w:val="24"/>
    </w:rPr>
  </w:style>
  <w:style w:type="paragraph" w:styleId="876" w:customStyle="1">
    <w:name w:val="脚注文本1"/>
    <w:basedOn w:val="811"/>
    <w:link w:val="877"/>
    <w:uiPriority w:val="99"/>
    <w:unhideWhenUsed/>
    <w:qFormat/>
    <w:pPr>
      <w:spacing w:after="40"/>
    </w:pPr>
    <w:rPr>
      <w:sz w:val="18"/>
    </w:rPr>
  </w:style>
  <w:style w:type="character" w:styleId="877" w:customStyle="1">
    <w:name w:val="脚注文本 字符"/>
    <w:link w:val="876"/>
    <w:uiPriority w:val="99"/>
    <w:qFormat/>
    <w:rPr>
      <w:sz w:val="18"/>
    </w:rPr>
  </w:style>
  <w:style w:type="paragraph" w:styleId="878" w:customStyle="1">
    <w:name w:val="目录 611"/>
    <w:basedOn w:val="811"/>
    <w:next w:val="811"/>
    <w:uiPriority w:val="39"/>
    <w:unhideWhenUsed/>
    <w:qFormat/>
    <w:pPr>
      <w:ind w:left="1417"/>
      <w:spacing w:after="57"/>
    </w:pPr>
  </w:style>
  <w:style w:type="paragraph" w:styleId="879" w:customStyle="1">
    <w:name w:val="图表目录1"/>
    <w:basedOn w:val="811"/>
    <w:next w:val="811"/>
    <w:uiPriority w:val="99"/>
    <w:unhideWhenUsed/>
    <w:qFormat/>
  </w:style>
  <w:style w:type="paragraph" w:styleId="880" w:customStyle="1">
    <w:name w:val="目录 211"/>
    <w:basedOn w:val="811"/>
    <w:next w:val="811"/>
    <w:uiPriority w:val="99"/>
    <w:semiHidden/>
    <w:qFormat/>
    <w:pPr>
      <w:ind w:left="420"/>
    </w:pPr>
    <w:rPr>
      <w:rFonts w:eastAsia="楷体_GB2312"/>
      <w:sz w:val="26"/>
      <w:szCs w:val="26"/>
    </w:rPr>
  </w:style>
  <w:style w:type="paragraph" w:styleId="881" w:customStyle="1">
    <w:name w:val="目录 911"/>
    <w:basedOn w:val="811"/>
    <w:next w:val="811"/>
    <w:uiPriority w:val="39"/>
    <w:unhideWhenUsed/>
    <w:qFormat/>
    <w:pPr>
      <w:ind w:left="2268"/>
      <w:spacing w:after="57"/>
    </w:pPr>
  </w:style>
  <w:style w:type="paragraph" w:styleId="882" w:customStyle="1">
    <w:name w:val="正文文本 21"/>
    <w:basedOn w:val="811"/>
    <w:link w:val="883"/>
    <w:uiPriority w:val="0"/>
    <w:qFormat/>
    <w:pPr>
      <w:spacing w:after="120" w:line="480" w:lineRule="auto"/>
    </w:pPr>
    <w:rPr>
      <w:rFonts w:ascii="Calibri" w:hAnsi="Calibri"/>
    </w:rPr>
  </w:style>
  <w:style w:type="character" w:styleId="883" w:customStyle="1">
    <w:name w:val="正文文本 2 字符"/>
    <w:link w:val="882"/>
    <w:uiPriority w:val="0"/>
    <w:qFormat/>
    <w:rPr>
      <w:rFonts w:ascii="Calibri" w:hAnsi="Calibri"/>
      <w:sz w:val="21"/>
      <w:szCs w:val="24"/>
    </w:rPr>
  </w:style>
  <w:style w:type="paragraph" w:styleId="884" w:customStyle="1">
    <w:name w:val="普通(网站)1"/>
    <w:basedOn w:val="811"/>
    <w:uiPriority w:val="99"/>
    <w:qFormat/>
    <w:pPr>
      <w:jc w:val="left"/>
      <w:spacing w:before="100" w:beforeAutospacing="1" w:after="100" w:afterAutospacing="1"/>
      <w:widowControl/>
    </w:pPr>
    <w:rPr>
      <w:sz w:val="24"/>
    </w:rPr>
  </w:style>
  <w:style w:type="paragraph" w:styleId="885" w:customStyle="1">
    <w:name w:val="标题1"/>
    <w:basedOn w:val="811"/>
    <w:next w:val="811"/>
    <w:link w:val="886"/>
    <w:uiPriority w:val="0"/>
    <w:qFormat/>
    <w:pPr>
      <w:jc w:val="center"/>
      <w:spacing w:before="240" w:after="60" w:line="360" w:lineRule="auto"/>
      <w:outlineLvl w:val="0"/>
    </w:pPr>
    <w:rPr>
      <w:rFonts w:ascii="等线 Light" w:hAnsi="等线 Light"/>
      <w:b/>
      <w:bCs/>
      <w:sz w:val="32"/>
      <w:szCs w:val="32"/>
    </w:rPr>
  </w:style>
  <w:style w:type="character" w:styleId="886" w:customStyle="1">
    <w:name w:val="标题 字符"/>
    <w:link w:val="885"/>
    <w:uiPriority w:val="0"/>
    <w:qFormat/>
    <w:rPr>
      <w:rFonts w:ascii="等线 Light" w:hAnsi="等线 Light" w:eastAsia="宋体" w:cs="Times New Roman"/>
      <w:b/>
      <w:bCs/>
      <w:sz w:val="32"/>
      <w:szCs w:val="32"/>
    </w:rPr>
  </w:style>
  <w:style w:type="paragraph" w:styleId="887" w:customStyle="1">
    <w:name w:val="批注主题1"/>
    <w:basedOn w:val="854"/>
    <w:next w:val="854"/>
    <w:link w:val="888"/>
    <w:uiPriority w:val="0"/>
    <w:qFormat/>
    <w:rPr>
      <w:b/>
      <w:bCs/>
    </w:rPr>
  </w:style>
  <w:style w:type="character" w:styleId="888" w:customStyle="1">
    <w:name w:val="批注主题 字符"/>
    <w:link w:val="887"/>
    <w:uiPriority w:val="0"/>
    <w:qFormat/>
    <w:rPr>
      <w:b/>
      <w:bCs/>
      <w:sz w:val="21"/>
      <w:szCs w:val="24"/>
    </w:rPr>
  </w:style>
  <w:style w:type="paragraph" w:styleId="889" w:customStyle="1">
    <w:name w:val="正文首行缩进1"/>
    <w:basedOn w:val="856"/>
    <w:next w:val="890"/>
    <w:uiPriority w:val="0"/>
    <w:qFormat/>
    <w:pPr>
      <w:ind w:firstLine="420"/>
      <w:spacing w:line="360" w:lineRule="auto"/>
    </w:pPr>
    <w:rPr>
      <w:szCs w:val="21"/>
    </w:rPr>
  </w:style>
  <w:style w:type="paragraph" w:styleId="890" w:customStyle="1">
    <w:name w:val="正文首行缩进 21"/>
    <w:basedOn w:val="858"/>
    <w:uiPriority w:val="0"/>
    <w:qFormat/>
    <w:pPr>
      <w:ind w:firstLine="420"/>
    </w:pPr>
  </w:style>
  <w:style w:type="table" w:styleId="891" w:customStyle="1">
    <w:name w:val="网格型1"/>
    <w:basedOn w:val="848"/>
    <w:uiPriority w:val="0"/>
    <w:qFormat/>
    <w:pPr>
      <w:jc w:val="both"/>
      <w:widowControl w:val="off"/>
    </w:pPr>
    <w:tblPr/>
  </w:style>
  <w:style w:type="character" w:styleId="892" w:customStyle="1">
    <w:name w:val="要点1"/>
    <w:link w:val="811"/>
    <w:uiPriority w:val="0"/>
    <w:qFormat/>
    <w:rPr>
      <w:b/>
      <w:bCs/>
    </w:rPr>
  </w:style>
  <w:style w:type="character" w:styleId="893" w:customStyle="1">
    <w:name w:val="尾注引用1"/>
    <w:basedOn w:val="847"/>
    <w:link w:val="811"/>
    <w:uiPriority w:val="99"/>
    <w:unhideWhenUsed/>
    <w:qFormat/>
    <w:rPr>
      <w:vertAlign w:val="superscript"/>
    </w:rPr>
  </w:style>
  <w:style w:type="character" w:styleId="894" w:customStyle="1">
    <w:name w:val="页码1"/>
    <w:link w:val="811"/>
    <w:uiPriority w:val="0"/>
    <w:qFormat/>
  </w:style>
  <w:style w:type="character" w:styleId="895" w:customStyle="1">
    <w:name w:val="强调1"/>
    <w:link w:val="811"/>
    <w:uiPriority w:val="0"/>
    <w:qFormat/>
    <w:rPr>
      <w:i/>
      <w:iCs/>
    </w:rPr>
  </w:style>
  <w:style w:type="character" w:styleId="896" w:customStyle="1">
    <w:name w:val="超链接1"/>
    <w:link w:val="811"/>
    <w:uiPriority w:val="99"/>
    <w:qFormat/>
    <w:rPr>
      <w:color w:val="000000"/>
      <w:u w:val="none"/>
    </w:rPr>
  </w:style>
  <w:style w:type="character" w:styleId="897" w:customStyle="1">
    <w:name w:val="批注引用1"/>
    <w:link w:val="811"/>
    <w:uiPriority w:val="0"/>
    <w:qFormat/>
    <w:rPr>
      <w:sz w:val="21"/>
      <w:szCs w:val="21"/>
    </w:rPr>
  </w:style>
  <w:style w:type="character" w:styleId="898" w:customStyle="1">
    <w:name w:val="脚注引用1"/>
    <w:basedOn w:val="847"/>
    <w:link w:val="811"/>
    <w:uiPriority w:val="99"/>
    <w:unhideWhenUsed/>
    <w:qFormat/>
    <w:rPr>
      <w:vertAlign w:val="superscript"/>
    </w:rPr>
  </w:style>
  <w:style w:type="character" w:styleId="899" w:customStyle="1">
    <w:name w:val="标题 1 字符"/>
    <w:link w:val="812"/>
    <w:uiPriority w:val="0"/>
    <w:qFormat/>
    <w:rPr>
      <w:b/>
      <w:bCs/>
      <w:sz w:val="21"/>
      <w:szCs w:val="44"/>
    </w:rPr>
  </w:style>
  <w:style w:type="character" w:styleId="900" w:customStyle="1">
    <w:name w:val="标题 2 字符"/>
    <w:link w:val="813"/>
    <w:uiPriority w:val="0"/>
    <w:semiHidden/>
    <w:qFormat/>
    <w:rPr>
      <w:rFonts w:ascii="等线 Light" w:hAnsi="等线 Light" w:eastAsia="等线 Light" w:cs="Times New Roman"/>
      <w:b/>
      <w:bCs/>
      <w:sz w:val="32"/>
      <w:szCs w:val="32"/>
    </w:rPr>
  </w:style>
  <w:style w:type="character" w:styleId="901" w:customStyle="1">
    <w:name w:val="标题 3 字符"/>
    <w:link w:val="814"/>
    <w:uiPriority w:val="9"/>
    <w:qFormat/>
    <w:rPr>
      <w:rFonts w:eastAsia="宋体"/>
      <w:b/>
      <w:bCs/>
      <w:sz w:val="32"/>
      <w:szCs w:val="32"/>
      <w:lang w:val="en-US" w:eastAsia="zh-CN" w:bidi="ar-SA"/>
    </w:rPr>
  </w:style>
  <w:style w:type="character" w:styleId="902" w:customStyle="1">
    <w:name w:val="标题 4 字符"/>
    <w:link w:val="815"/>
    <w:uiPriority w:val="0"/>
    <w:semiHidden/>
    <w:qFormat/>
    <w:rPr>
      <w:rFonts w:ascii="等线 Light" w:hAnsi="等线 Light" w:eastAsia="等线 Light" w:cs="Times New Roman"/>
      <w:b/>
      <w:bCs/>
      <w:sz w:val="28"/>
      <w:szCs w:val="28"/>
    </w:rPr>
  </w:style>
  <w:style w:type="character" w:styleId="903" w:customStyle="1">
    <w:name w:val="标题 5 字符"/>
    <w:basedOn w:val="847"/>
    <w:link w:val="816"/>
    <w:uiPriority w:val="9"/>
    <w:qFormat/>
    <w:rPr>
      <w:rFonts w:ascii="Arial" w:hAnsi="Arial" w:eastAsia="Arial" w:cs="Arial"/>
      <w:b/>
      <w:bCs/>
      <w:sz w:val="24"/>
      <w:szCs w:val="24"/>
    </w:rPr>
  </w:style>
  <w:style w:type="character" w:styleId="904" w:customStyle="1">
    <w:name w:val="标题 6 字符"/>
    <w:link w:val="817"/>
    <w:uiPriority w:val="0"/>
    <w:qFormat/>
    <w:rPr>
      <w:rFonts w:ascii="等线 Light" w:hAnsi="等线 Light" w:eastAsia="等线 Light" w:cs="Times New Roman"/>
      <w:b/>
      <w:bCs/>
      <w:sz w:val="24"/>
      <w:szCs w:val="24"/>
    </w:rPr>
  </w:style>
  <w:style w:type="character" w:styleId="905" w:customStyle="1">
    <w:name w:val="标题 7 字符"/>
    <w:basedOn w:val="847"/>
    <w:link w:val="818"/>
    <w:uiPriority w:val="9"/>
    <w:qFormat/>
    <w:rPr>
      <w:rFonts w:ascii="Arial" w:hAnsi="Arial" w:eastAsia="Arial" w:cs="Arial"/>
      <w:b/>
      <w:bCs/>
      <w:i/>
      <w:iCs/>
      <w:sz w:val="22"/>
      <w:szCs w:val="22"/>
    </w:rPr>
  </w:style>
  <w:style w:type="character" w:styleId="906" w:customStyle="1">
    <w:name w:val="标题 8 字符"/>
    <w:link w:val="819"/>
    <w:uiPriority w:val="0"/>
    <w:semiHidden/>
    <w:qFormat/>
    <w:rPr>
      <w:rFonts w:ascii="等线 Light" w:hAnsi="等线 Light" w:eastAsia="等线 Light" w:cs="Times New Roman"/>
      <w:sz w:val="24"/>
      <w:szCs w:val="24"/>
    </w:rPr>
  </w:style>
  <w:style w:type="character" w:styleId="907" w:customStyle="1">
    <w:name w:val="标题 9 字符"/>
    <w:basedOn w:val="847"/>
    <w:link w:val="820"/>
    <w:uiPriority w:val="9"/>
    <w:qFormat/>
    <w:rPr>
      <w:rFonts w:ascii="Arial" w:hAnsi="Arial" w:eastAsia="Arial" w:cs="Arial"/>
      <w:i/>
      <w:iCs/>
      <w:sz w:val="21"/>
      <w:szCs w:val="21"/>
    </w:rPr>
  </w:style>
  <w:style w:type="paragraph" w:styleId="908" w:customStyle="1">
    <w:name w:val="Caption1"/>
    <w:basedOn w:val="811"/>
    <w:next w:val="811"/>
    <w:uiPriority w:val="35"/>
    <w:unhideWhenUsed/>
    <w:qFormat/>
    <w:pPr>
      <w:spacing w:line="276" w:lineRule="auto"/>
    </w:pPr>
    <w:rPr>
      <w:b/>
      <w:bCs/>
      <w:color w:val="4472c4"/>
      <w:sz w:val="18"/>
      <w:szCs w:val="18"/>
    </w:rPr>
  </w:style>
  <w:style w:type="paragraph" w:styleId="909" w:customStyle="1">
    <w:name w:val="Footer1"/>
    <w:basedOn w:val="811"/>
    <w:link w:val="910"/>
    <w:uiPriority w:val="99"/>
    <w:qFormat/>
    <w:pPr>
      <w:jc w:val="left"/>
      <w:tabs>
        <w:tab w:val="center" w:pos="4153" w:leader="none"/>
        <w:tab w:val="right" w:pos="8306" w:leader="none"/>
      </w:tabs>
    </w:pPr>
    <w:rPr>
      <w:sz w:val="18"/>
      <w:szCs w:val="18"/>
    </w:rPr>
  </w:style>
  <w:style w:type="character" w:styleId="910" w:customStyle="1">
    <w:name w:val="页脚 字符"/>
    <w:link w:val="909"/>
    <w:uiPriority w:val="99"/>
    <w:qFormat/>
    <w:rPr>
      <w:sz w:val="18"/>
      <w:szCs w:val="18"/>
    </w:rPr>
  </w:style>
  <w:style w:type="paragraph" w:styleId="911" w:customStyle="1">
    <w:name w:val="Header1"/>
    <w:basedOn w:val="811"/>
    <w:link w:val="912"/>
    <w:uiPriority w:val="99"/>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character" w:styleId="913" w:customStyle="1">
    <w:name w:val="Heading 5 Char"/>
    <w:basedOn w:val="847"/>
    <w:link w:val="811"/>
    <w:uiPriority w:val="9"/>
    <w:qFormat/>
    <w:rPr>
      <w:rFonts w:ascii="Arial" w:hAnsi="Arial" w:eastAsia="Arial" w:cs="Arial"/>
      <w:b/>
      <w:bCs/>
      <w:sz w:val="24"/>
      <w:szCs w:val="24"/>
    </w:rPr>
  </w:style>
  <w:style w:type="character" w:styleId="914" w:customStyle="1">
    <w:name w:val="Heading 7 Char"/>
    <w:basedOn w:val="847"/>
    <w:link w:val="811"/>
    <w:uiPriority w:val="9"/>
    <w:qFormat/>
    <w:rPr>
      <w:rFonts w:ascii="Arial" w:hAnsi="Arial" w:eastAsia="Arial" w:cs="Arial"/>
      <w:b/>
      <w:bCs/>
      <w:i/>
      <w:iCs/>
      <w:sz w:val="22"/>
      <w:szCs w:val="22"/>
    </w:rPr>
  </w:style>
  <w:style w:type="character" w:styleId="915" w:customStyle="1">
    <w:name w:val="Heading 9 Char"/>
    <w:basedOn w:val="847"/>
    <w:link w:val="811"/>
    <w:uiPriority w:val="9"/>
    <w:qFormat/>
    <w:rPr>
      <w:rFonts w:ascii="Arial" w:hAnsi="Arial" w:eastAsia="Arial" w:cs="Arial"/>
      <w:i/>
      <w:iCs/>
      <w:sz w:val="21"/>
      <w:szCs w:val="21"/>
    </w:rPr>
  </w:style>
  <w:style w:type="character" w:styleId="916" w:customStyle="1">
    <w:name w:val="Subtitle Char"/>
    <w:basedOn w:val="847"/>
    <w:link w:val="811"/>
    <w:uiPriority w:val="11"/>
    <w:qFormat/>
    <w:rPr>
      <w:sz w:val="24"/>
      <w:szCs w:val="24"/>
    </w:rPr>
  </w:style>
  <w:style w:type="character" w:styleId="917" w:customStyle="1">
    <w:name w:val="Quote Char"/>
    <w:link w:val="811"/>
    <w:uiPriority w:val="29"/>
    <w:qFormat/>
    <w:rPr>
      <w:i/>
    </w:rPr>
  </w:style>
  <w:style w:type="character" w:styleId="918" w:customStyle="1">
    <w:name w:val="Intense Quote Char"/>
    <w:link w:val="811"/>
    <w:uiPriority w:val="30"/>
    <w:qFormat/>
    <w:rPr>
      <w:i/>
    </w:rPr>
  </w:style>
  <w:style w:type="table" w:styleId="919" w:customStyle="1">
    <w:name w:val="Plain Table 1"/>
    <w:basedOn w:val="848"/>
    <w:uiPriority w:val="59"/>
    <w:qFormat/>
    <w:pPr>
      <w:spacing w:after="0" w:line="240" w:lineRule="auto"/>
    </w:pPr>
    <w:tblPr/>
  </w:style>
  <w:style w:type="table" w:styleId="920" w:customStyle="1">
    <w:name w:val="Plain Table 2"/>
    <w:basedOn w:val="848"/>
    <w:uiPriority w:val="59"/>
    <w:qFormat/>
    <w:pPr>
      <w:spacing w:after="0" w:line="240" w:lineRule="auto"/>
    </w:pPr>
    <w:tblPr/>
  </w:style>
  <w:style w:type="table" w:styleId="921" w:customStyle="1">
    <w:name w:val="Plain Table 3"/>
    <w:basedOn w:val="848"/>
    <w:uiPriority w:val="99"/>
    <w:qFormat/>
    <w:pPr>
      <w:spacing w:after="0" w:line="240" w:lineRule="auto"/>
    </w:pPr>
    <w:tblPr/>
  </w:style>
  <w:style w:type="table" w:styleId="922" w:customStyle="1">
    <w:name w:val="Plain Table 4"/>
    <w:basedOn w:val="848"/>
    <w:uiPriority w:val="99"/>
    <w:qFormat/>
    <w:pPr>
      <w:spacing w:after="0" w:line="240" w:lineRule="auto"/>
    </w:pPr>
    <w:tblPr/>
  </w:style>
  <w:style w:type="table" w:styleId="923" w:customStyle="1">
    <w:name w:val="Plain Table 5"/>
    <w:basedOn w:val="848"/>
    <w:uiPriority w:val="99"/>
    <w:qFormat/>
    <w:pPr>
      <w:spacing w:after="0" w:line="240" w:lineRule="auto"/>
    </w:pPr>
    <w:tblPr/>
  </w:style>
  <w:style w:type="table" w:styleId="924" w:customStyle="1">
    <w:name w:val="Grid Table 1 Light"/>
    <w:basedOn w:val="848"/>
    <w:uiPriority w:val="99"/>
    <w:qFormat/>
    <w:pPr>
      <w:spacing w:after="0" w:line="240" w:lineRule="auto"/>
    </w:pPr>
    <w:tblPr/>
  </w:style>
  <w:style w:type="table" w:styleId="925" w:customStyle="1">
    <w:name w:val="Grid Table 2"/>
    <w:basedOn w:val="848"/>
    <w:uiPriority w:val="99"/>
    <w:qFormat/>
    <w:pPr>
      <w:spacing w:after="0" w:line="240" w:lineRule="auto"/>
    </w:pPr>
    <w:tblPr/>
  </w:style>
  <w:style w:type="table" w:styleId="926" w:customStyle="1">
    <w:name w:val="Grid Table 3"/>
    <w:basedOn w:val="848"/>
    <w:uiPriority w:val="99"/>
    <w:qFormat/>
    <w:pPr>
      <w:spacing w:after="0" w:line="240" w:lineRule="auto"/>
    </w:pPr>
    <w:tblPr/>
  </w:style>
  <w:style w:type="table" w:styleId="927" w:customStyle="1">
    <w:name w:val="Grid Table 4"/>
    <w:basedOn w:val="848"/>
    <w:uiPriority w:val="59"/>
    <w:qFormat/>
    <w:pPr>
      <w:spacing w:after="0" w:line="240" w:lineRule="auto"/>
    </w:pPr>
    <w:tblPr/>
  </w:style>
  <w:style w:type="table" w:styleId="928" w:customStyle="1">
    <w:name w:val="Grid Table 5 Dark"/>
    <w:basedOn w:val="848"/>
    <w:uiPriority w:val="99"/>
    <w:qFormat/>
    <w:pPr>
      <w:spacing w:after="0" w:line="240" w:lineRule="auto"/>
    </w:pPr>
    <w:tblPr/>
  </w:style>
  <w:style w:type="table" w:styleId="929" w:customStyle="1">
    <w:name w:val="Grid Table 6 Colorful"/>
    <w:basedOn w:val="848"/>
    <w:uiPriority w:val="99"/>
    <w:qFormat/>
    <w:pPr>
      <w:spacing w:after="0" w:line="240" w:lineRule="auto"/>
    </w:pPr>
    <w:tblPr/>
  </w:style>
  <w:style w:type="table" w:styleId="930" w:customStyle="1">
    <w:name w:val="Grid Table 7 Colorful"/>
    <w:basedOn w:val="848"/>
    <w:uiPriority w:val="99"/>
    <w:qFormat/>
    <w:pPr>
      <w:spacing w:after="0" w:line="240" w:lineRule="auto"/>
    </w:pPr>
    <w:tblPr/>
  </w:style>
  <w:style w:type="table" w:styleId="931" w:customStyle="1">
    <w:name w:val="List Table 1 Light"/>
    <w:basedOn w:val="848"/>
    <w:uiPriority w:val="99"/>
    <w:qFormat/>
    <w:pPr>
      <w:spacing w:after="0" w:line="240" w:lineRule="auto"/>
    </w:pPr>
    <w:tblPr/>
  </w:style>
  <w:style w:type="table" w:styleId="932" w:customStyle="1">
    <w:name w:val="List Table 2"/>
    <w:basedOn w:val="848"/>
    <w:uiPriority w:val="99"/>
    <w:qFormat/>
    <w:pPr>
      <w:spacing w:after="0" w:line="240" w:lineRule="auto"/>
    </w:pPr>
    <w:tblPr/>
  </w:style>
  <w:style w:type="table" w:styleId="933" w:customStyle="1">
    <w:name w:val="List Table 3"/>
    <w:basedOn w:val="848"/>
    <w:uiPriority w:val="99"/>
    <w:qFormat/>
    <w:pPr>
      <w:spacing w:after="0" w:line="240" w:lineRule="auto"/>
    </w:pPr>
    <w:tblPr/>
  </w:style>
  <w:style w:type="table" w:styleId="934" w:customStyle="1">
    <w:name w:val="List Table 4"/>
    <w:basedOn w:val="848"/>
    <w:uiPriority w:val="99"/>
    <w:qFormat/>
    <w:pPr>
      <w:spacing w:after="0" w:line="240" w:lineRule="auto"/>
    </w:pPr>
    <w:tblPr/>
  </w:style>
  <w:style w:type="table" w:styleId="935" w:customStyle="1">
    <w:name w:val="List Table 5 Dark"/>
    <w:basedOn w:val="848"/>
    <w:uiPriority w:val="99"/>
    <w:qFormat/>
    <w:pPr>
      <w:spacing w:after="0" w:line="240" w:lineRule="auto"/>
    </w:pPr>
    <w:tblPr/>
  </w:style>
  <w:style w:type="table" w:styleId="936" w:customStyle="1">
    <w:name w:val="List Table 6 Colorful"/>
    <w:basedOn w:val="848"/>
    <w:uiPriority w:val="99"/>
    <w:qFormat/>
    <w:pPr>
      <w:spacing w:after="0" w:line="240" w:lineRule="auto"/>
    </w:pPr>
    <w:tblPr/>
  </w:style>
  <w:style w:type="table" w:styleId="937" w:customStyle="1">
    <w:name w:val="List Table 7 Colorful"/>
    <w:basedOn w:val="848"/>
    <w:uiPriority w:val="99"/>
    <w:qFormat/>
    <w:pPr>
      <w:spacing w:after="0" w:line="240" w:lineRule="auto"/>
    </w:pPr>
    <w:tblPr/>
  </w:style>
  <w:style w:type="character" w:styleId="938" w:customStyle="1">
    <w:name w:val="Footnote Text Char"/>
    <w:link w:val="811"/>
    <w:uiPriority w:val="99"/>
    <w:qFormat/>
    <w:rPr>
      <w:sz w:val="18"/>
    </w:rPr>
  </w:style>
  <w:style w:type="character" w:styleId="939" w:customStyle="1">
    <w:name w:val="Endnote Text Char"/>
    <w:link w:val="811"/>
    <w:uiPriority w:val="99"/>
    <w:qFormat/>
    <w:rPr>
      <w:sz w:val="20"/>
    </w:r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首行缩进"/>
    <w:basedOn w:val="811"/>
    <w:uiPriority w:val="0"/>
    <w:qFormat/>
    <w:pPr>
      <w:spacing w:line="360" w:lineRule="auto"/>
    </w:pPr>
  </w:style>
  <w:style w:type="paragraph" w:styleId="942" w:customStyle="1">
    <w:name w:val="正文文本1"/>
    <w:basedOn w:val="943"/>
    <w:next w:val="811"/>
    <w:uiPriority w:val="0"/>
    <w:qFormat/>
    <w:pPr>
      <w:spacing w:after="120"/>
    </w:pPr>
    <w:rPr>
      <w:sz w:val="28"/>
    </w:rPr>
  </w:style>
  <w:style w:type="paragraph" w:styleId="943"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44" w:customStyle="1">
    <w:name w:val="Heading 1 Char"/>
    <w:basedOn w:val="847"/>
    <w:link w:val="811"/>
    <w:uiPriority w:val="9"/>
    <w:qFormat/>
    <w:rPr>
      <w:rFonts w:ascii="Arial" w:hAnsi="Arial" w:eastAsia="Arial" w:cs="Arial"/>
      <w:sz w:val="40"/>
      <w:szCs w:val="40"/>
    </w:rPr>
  </w:style>
  <w:style w:type="character" w:styleId="945" w:customStyle="1">
    <w:name w:val="Heading 2 Char"/>
    <w:basedOn w:val="847"/>
    <w:link w:val="811"/>
    <w:uiPriority w:val="9"/>
    <w:qFormat/>
    <w:rPr>
      <w:rFonts w:ascii="Arial" w:hAnsi="Arial" w:eastAsia="Arial" w:cs="Arial"/>
      <w:sz w:val="34"/>
    </w:rPr>
  </w:style>
  <w:style w:type="character" w:styleId="946" w:customStyle="1">
    <w:name w:val="Heading 3 Char"/>
    <w:basedOn w:val="847"/>
    <w:link w:val="811"/>
    <w:uiPriority w:val="9"/>
    <w:qFormat/>
    <w:rPr>
      <w:rFonts w:ascii="Arial" w:hAnsi="Arial" w:eastAsia="Arial" w:cs="Arial"/>
      <w:sz w:val="30"/>
      <w:szCs w:val="30"/>
    </w:rPr>
  </w:style>
  <w:style w:type="character" w:styleId="947" w:customStyle="1">
    <w:name w:val="Heading 4 Char"/>
    <w:basedOn w:val="847"/>
    <w:link w:val="811"/>
    <w:uiPriority w:val="9"/>
    <w:qFormat/>
    <w:rPr>
      <w:rFonts w:ascii="Arial" w:hAnsi="Arial" w:eastAsia="Arial" w:cs="Arial"/>
      <w:b/>
      <w:bCs/>
      <w:sz w:val="26"/>
      <w:szCs w:val="26"/>
    </w:rPr>
  </w:style>
  <w:style w:type="character" w:styleId="948" w:customStyle="1">
    <w:name w:val="Heading 6 Char"/>
    <w:basedOn w:val="847"/>
    <w:link w:val="811"/>
    <w:uiPriority w:val="9"/>
    <w:qFormat/>
    <w:rPr>
      <w:rFonts w:ascii="Arial" w:hAnsi="Arial" w:eastAsia="Arial" w:cs="Arial"/>
      <w:b/>
      <w:bCs/>
      <w:sz w:val="22"/>
      <w:szCs w:val="22"/>
    </w:rPr>
  </w:style>
  <w:style w:type="character" w:styleId="949" w:customStyle="1">
    <w:name w:val="Heading 8 Char"/>
    <w:basedOn w:val="847"/>
    <w:link w:val="811"/>
    <w:uiPriority w:val="9"/>
    <w:qFormat/>
    <w:rPr>
      <w:rFonts w:ascii="Arial" w:hAnsi="Arial" w:eastAsia="Arial" w:cs="Arial"/>
      <w:i/>
      <w:iCs/>
      <w:sz w:val="22"/>
      <w:szCs w:val="22"/>
    </w:rPr>
  </w:style>
  <w:style w:type="character" w:styleId="950" w:customStyle="1">
    <w:name w:val="Title Char"/>
    <w:basedOn w:val="847"/>
    <w:link w:val="811"/>
    <w:uiPriority w:val="10"/>
    <w:qFormat/>
    <w:rPr>
      <w:sz w:val="48"/>
      <w:szCs w:val="48"/>
    </w:rPr>
  </w:style>
  <w:style w:type="paragraph" w:styleId="951">
    <w:name w:val="Quote"/>
    <w:basedOn w:val="811"/>
    <w:next w:val="811"/>
    <w:link w:val="952"/>
    <w:uiPriority w:val="29"/>
    <w:qFormat/>
    <w:pPr>
      <w:ind w:left="720" w:right="720"/>
    </w:pPr>
    <w:rPr>
      <w:i/>
    </w:rPr>
  </w:style>
  <w:style w:type="character" w:styleId="952" w:customStyle="1">
    <w:name w:val="引用 字符"/>
    <w:link w:val="951"/>
    <w:uiPriority w:val="29"/>
    <w:qFormat/>
    <w:rPr>
      <w:i/>
    </w:rPr>
  </w:style>
  <w:style w:type="paragraph" w:styleId="953">
    <w:name w:val="Intense Quote"/>
    <w:basedOn w:val="811"/>
    <w:next w:val="811"/>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字符"/>
    <w:link w:val="953"/>
    <w:uiPriority w:val="30"/>
    <w:qFormat/>
    <w:rPr>
      <w:i/>
    </w:rPr>
  </w:style>
  <w:style w:type="character" w:styleId="955" w:customStyle="1">
    <w:name w:val="Header Char"/>
    <w:basedOn w:val="847"/>
    <w:link w:val="811"/>
    <w:uiPriority w:val="99"/>
    <w:qFormat/>
  </w:style>
  <w:style w:type="character" w:styleId="956" w:customStyle="1">
    <w:name w:val="Footer Char"/>
    <w:basedOn w:val="847"/>
    <w:link w:val="811"/>
    <w:uiPriority w:val="99"/>
    <w:qFormat/>
  </w:style>
  <w:style w:type="character" w:styleId="957" w:customStyle="1">
    <w:name w:val="Caption Char"/>
    <w:link w:val="811"/>
    <w:uiPriority w:val="99"/>
    <w:qFormat/>
  </w:style>
  <w:style w:type="table" w:styleId="958" w:customStyle="1">
    <w:name w:val="Table Grid Light"/>
    <w:basedOn w:val="848"/>
    <w:uiPriority w:val="59"/>
    <w:qFormat/>
    <w:tblPr/>
  </w:style>
  <w:style w:type="table" w:styleId="959" w:customStyle="1">
    <w:name w:val="无格式表格 11"/>
    <w:basedOn w:val="848"/>
    <w:uiPriority w:val="59"/>
    <w:qFormat/>
    <w:tblPr/>
  </w:style>
  <w:style w:type="table" w:styleId="960" w:customStyle="1">
    <w:name w:val="无格式表格 21"/>
    <w:basedOn w:val="848"/>
    <w:uiPriority w:val="59"/>
    <w:qFormat/>
    <w:tblPr/>
  </w:style>
  <w:style w:type="table" w:styleId="961" w:customStyle="1">
    <w:name w:val="无格式表格 31"/>
    <w:basedOn w:val="848"/>
    <w:uiPriority w:val="99"/>
    <w:qFormat/>
    <w:tblPr/>
  </w:style>
  <w:style w:type="table" w:styleId="962" w:customStyle="1">
    <w:name w:val="无格式表格 41"/>
    <w:basedOn w:val="848"/>
    <w:uiPriority w:val="99"/>
    <w:qFormat/>
    <w:tblPr/>
  </w:style>
  <w:style w:type="table" w:styleId="963" w:customStyle="1">
    <w:name w:val="无格式表格 51"/>
    <w:basedOn w:val="848"/>
    <w:uiPriority w:val="99"/>
    <w:qFormat/>
    <w:tblPr/>
  </w:style>
  <w:style w:type="table" w:styleId="964" w:customStyle="1">
    <w:name w:val="网格表 1 浅色1"/>
    <w:basedOn w:val="848"/>
    <w:uiPriority w:val="99"/>
    <w:qFormat/>
    <w:tblPr/>
  </w:style>
  <w:style w:type="table" w:styleId="965" w:customStyle="1">
    <w:name w:val="Grid Table 1 Light - Accent 1"/>
    <w:basedOn w:val="848"/>
    <w:uiPriority w:val="99"/>
    <w:qFormat/>
    <w:tblPr/>
  </w:style>
  <w:style w:type="table" w:styleId="966" w:customStyle="1">
    <w:name w:val="Grid Table 1 Light - Accent 2"/>
    <w:basedOn w:val="848"/>
    <w:uiPriority w:val="99"/>
    <w:qFormat/>
    <w:tblPr/>
  </w:style>
  <w:style w:type="table" w:styleId="967" w:customStyle="1">
    <w:name w:val="Grid Table 1 Light - Accent 3"/>
    <w:basedOn w:val="848"/>
    <w:uiPriority w:val="99"/>
    <w:qFormat/>
    <w:tblPr/>
  </w:style>
  <w:style w:type="table" w:styleId="968" w:customStyle="1">
    <w:name w:val="Grid Table 1 Light - Accent 4"/>
    <w:basedOn w:val="848"/>
    <w:uiPriority w:val="99"/>
    <w:qFormat/>
    <w:tblPr/>
  </w:style>
  <w:style w:type="table" w:styleId="969" w:customStyle="1">
    <w:name w:val="Grid Table 1 Light - Accent 5"/>
    <w:basedOn w:val="848"/>
    <w:uiPriority w:val="99"/>
    <w:qFormat/>
    <w:tblPr/>
  </w:style>
  <w:style w:type="table" w:styleId="970" w:customStyle="1">
    <w:name w:val="Grid Table 1 Light - Accent 6"/>
    <w:basedOn w:val="848"/>
    <w:uiPriority w:val="99"/>
    <w:qFormat/>
    <w:tblPr/>
  </w:style>
  <w:style w:type="table" w:styleId="971" w:customStyle="1">
    <w:name w:val="网格表 21"/>
    <w:basedOn w:val="848"/>
    <w:uiPriority w:val="99"/>
    <w:qFormat/>
    <w:tblPr/>
  </w:style>
  <w:style w:type="table" w:styleId="972" w:customStyle="1">
    <w:name w:val="Grid Table 2 - Accent 1"/>
    <w:basedOn w:val="848"/>
    <w:uiPriority w:val="99"/>
    <w:qFormat/>
    <w:tblPr/>
  </w:style>
  <w:style w:type="table" w:styleId="973" w:customStyle="1">
    <w:name w:val="Grid Table 2 - Accent 2"/>
    <w:basedOn w:val="848"/>
    <w:uiPriority w:val="99"/>
    <w:qFormat/>
    <w:tblPr/>
  </w:style>
  <w:style w:type="table" w:styleId="974" w:customStyle="1">
    <w:name w:val="Grid Table 2 - Accent 3"/>
    <w:basedOn w:val="848"/>
    <w:uiPriority w:val="99"/>
    <w:qFormat/>
    <w:tblPr/>
  </w:style>
  <w:style w:type="table" w:styleId="975" w:customStyle="1">
    <w:name w:val="Grid Table 2 - Accent 4"/>
    <w:basedOn w:val="848"/>
    <w:uiPriority w:val="99"/>
    <w:qFormat/>
    <w:tblPr/>
  </w:style>
  <w:style w:type="table" w:styleId="976" w:customStyle="1">
    <w:name w:val="Grid Table 2 - Accent 5"/>
    <w:basedOn w:val="848"/>
    <w:uiPriority w:val="99"/>
    <w:qFormat/>
    <w:tblPr/>
  </w:style>
  <w:style w:type="table" w:styleId="977" w:customStyle="1">
    <w:name w:val="Grid Table 2 - Accent 6"/>
    <w:basedOn w:val="848"/>
    <w:uiPriority w:val="99"/>
    <w:qFormat/>
    <w:tblPr/>
  </w:style>
  <w:style w:type="table" w:styleId="978" w:customStyle="1">
    <w:name w:val="网格表 31"/>
    <w:basedOn w:val="848"/>
    <w:uiPriority w:val="99"/>
    <w:qFormat/>
    <w:tblPr/>
  </w:style>
  <w:style w:type="table" w:styleId="979" w:customStyle="1">
    <w:name w:val="Grid Table 3 - Accent 1"/>
    <w:basedOn w:val="848"/>
    <w:uiPriority w:val="99"/>
    <w:qFormat/>
    <w:tblPr/>
  </w:style>
  <w:style w:type="table" w:styleId="980" w:customStyle="1">
    <w:name w:val="Grid Table 3 - Accent 2"/>
    <w:basedOn w:val="848"/>
    <w:uiPriority w:val="99"/>
    <w:qFormat/>
    <w:tblPr/>
  </w:style>
  <w:style w:type="table" w:styleId="981" w:customStyle="1">
    <w:name w:val="Grid Table 3 - Accent 3"/>
    <w:basedOn w:val="848"/>
    <w:uiPriority w:val="99"/>
    <w:qFormat/>
    <w:tblPr/>
  </w:style>
  <w:style w:type="table" w:styleId="982" w:customStyle="1">
    <w:name w:val="Grid Table 3 - Accent 4"/>
    <w:basedOn w:val="848"/>
    <w:uiPriority w:val="99"/>
    <w:qFormat/>
    <w:tblPr/>
  </w:style>
  <w:style w:type="table" w:styleId="983" w:customStyle="1">
    <w:name w:val="Grid Table 3 - Accent 5"/>
    <w:basedOn w:val="848"/>
    <w:uiPriority w:val="99"/>
    <w:qFormat/>
    <w:tblPr/>
  </w:style>
  <w:style w:type="table" w:styleId="984" w:customStyle="1">
    <w:name w:val="Grid Table 3 - Accent 6"/>
    <w:basedOn w:val="848"/>
    <w:uiPriority w:val="99"/>
    <w:qFormat/>
    <w:tblPr/>
  </w:style>
  <w:style w:type="table" w:styleId="985" w:customStyle="1">
    <w:name w:val="网格表 41"/>
    <w:basedOn w:val="848"/>
    <w:uiPriority w:val="59"/>
    <w:qFormat/>
    <w:tblPr/>
  </w:style>
  <w:style w:type="table" w:styleId="986" w:customStyle="1">
    <w:name w:val="Grid Table 4 - Accent 1"/>
    <w:basedOn w:val="848"/>
    <w:uiPriority w:val="59"/>
    <w:qFormat/>
    <w:tblPr/>
  </w:style>
  <w:style w:type="table" w:styleId="987" w:customStyle="1">
    <w:name w:val="Grid Table 4 - Accent 2"/>
    <w:basedOn w:val="848"/>
    <w:uiPriority w:val="59"/>
    <w:qFormat/>
    <w:tblPr/>
  </w:style>
  <w:style w:type="table" w:styleId="988" w:customStyle="1">
    <w:name w:val="Grid Table 4 - Accent 3"/>
    <w:basedOn w:val="848"/>
    <w:uiPriority w:val="59"/>
    <w:qFormat/>
    <w:tblPr/>
  </w:style>
  <w:style w:type="table" w:styleId="989" w:customStyle="1">
    <w:name w:val="Grid Table 4 - Accent 4"/>
    <w:basedOn w:val="848"/>
    <w:uiPriority w:val="59"/>
    <w:qFormat/>
    <w:tblPr/>
  </w:style>
  <w:style w:type="table" w:styleId="990" w:customStyle="1">
    <w:name w:val="Grid Table 4 - Accent 5"/>
    <w:basedOn w:val="848"/>
    <w:uiPriority w:val="59"/>
    <w:qFormat/>
    <w:tblPr/>
  </w:style>
  <w:style w:type="table" w:styleId="991" w:customStyle="1">
    <w:name w:val="Grid Table 4 - Accent 6"/>
    <w:basedOn w:val="848"/>
    <w:uiPriority w:val="59"/>
    <w:qFormat/>
    <w:tblPr/>
  </w:style>
  <w:style w:type="table" w:styleId="992" w:customStyle="1">
    <w:name w:val="网格表 5 深色1"/>
    <w:basedOn w:val="848"/>
    <w:uiPriority w:val="99"/>
    <w:qFormat/>
    <w:tblPr/>
  </w:style>
  <w:style w:type="table" w:styleId="993" w:customStyle="1">
    <w:name w:val="Grid Table 5 Dark- Accent 1"/>
    <w:basedOn w:val="848"/>
    <w:uiPriority w:val="99"/>
    <w:qFormat/>
    <w:tblPr/>
  </w:style>
  <w:style w:type="table" w:styleId="994" w:customStyle="1">
    <w:name w:val="Grid Table 5 Dark - Accent 2"/>
    <w:basedOn w:val="848"/>
    <w:uiPriority w:val="99"/>
    <w:qFormat/>
    <w:tblPr/>
  </w:style>
  <w:style w:type="table" w:styleId="995" w:customStyle="1">
    <w:name w:val="Grid Table 5 Dark - Accent 3"/>
    <w:basedOn w:val="848"/>
    <w:uiPriority w:val="99"/>
    <w:qFormat/>
    <w:tblPr/>
  </w:style>
  <w:style w:type="table" w:styleId="996" w:customStyle="1">
    <w:name w:val="Grid Table 5 Dark- Accent 4"/>
    <w:basedOn w:val="848"/>
    <w:uiPriority w:val="99"/>
    <w:qFormat/>
    <w:tblPr/>
  </w:style>
  <w:style w:type="table" w:styleId="997" w:customStyle="1">
    <w:name w:val="Grid Table 5 Dark - Accent 5"/>
    <w:basedOn w:val="848"/>
    <w:uiPriority w:val="99"/>
    <w:qFormat/>
    <w:tblPr/>
  </w:style>
  <w:style w:type="table" w:styleId="998" w:customStyle="1">
    <w:name w:val="Grid Table 5 Dark - Accent 6"/>
    <w:basedOn w:val="848"/>
    <w:uiPriority w:val="99"/>
    <w:qFormat/>
    <w:tblPr/>
  </w:style>
  <w:style w:type="table" w:styleId="999" w:customStyle="1">
    <w:name w:val="网格表 6 彩色1"/>
    <w:basedOn w:val="848"/>
    <w:uiPriority w:val="99"/>
    <w:qFormat/>
    <w:tblPr/>
  </w:style>
  <w:style w:type="table" w:styleId="1000" w:customStyle="1">
    <w:name w:val="Grid Table 6 Colorful - Accent 1"/>
    <w:basedOn w:val="848"/>
    <w:uiPriority w:val="99"/>
    <w:qFormat/>
    <w:tblPr/>
  </w:style>
  <w:style w:type="table" w:styleId="1001" w:customStyle="1">
    <w:name w:val="Grid Table 6 Colorful - Accent 2"/>
    <w:basedOn w:val="848"/>
    <w:uiPriority w:val="99"/>
    <w:qFormat/>
    <w:tblPr/>
  </w:style>
  <w:style w:type="table" w:styleId="1002" w:customStyle="1">
    <w:name w:val="Grid Table 6 Colorful - Accent 3"/>
    <w:basedOn w:val="848"/>
    <w:uiPriority w:val="99"/>
    <w:qFormat/>
    <w:tblPr/>
  </w:style>
  <w:style w:type="table" w:styleId="1003" w:customStyle="1">
    <w:name w:val="Grid Table 6 Colorful - Accent 4"/>
    <w:basedOn w:val="848"/>
    <w:uiPriority w:val="99"/>
    <w:qFormat/>
    <w:tblPr/>
  </w:style>
  <w:style w:type="table" w:styleId="1004" w:customStyle="1">
    <w:name w:val="Grid Table 6 Colorful - Accent 5"/>
    <w:basedOn w:val="848"/>
    <w:uiPriority w:val="99"/>
    <w:qFormat/>
    <w:tblPr/>
  </w:style>
  <w:style w:type="table" w:styleId="1005" w:customStyle="1">
    <w:name w:val="Grid Table 6 Colorful - Accent 6"/>
    <w:basedOn w:val="848"/>
    <w:uiPriority w:val="99"/>
    <w:qFormat/>
    <w:tblPr/>
  </w:style>
  <w:style w:type="table" w:styleId="1006" w:customStyle="1">
    <w:name w:val="网格表 7 彩色1"/>
    <w:basedOn w:val="848"/>
    <w:uiPriority w:val="99"/>
    <w:qFormat/>
    <w:tblPr/>
  </w:style>
  <w:style w:type="table" w:styleId="1007" w:customStyle="1">
    <w:name w:val="Grid Table 7 Colorful - Accent 1"/>
    <w:basedOn w:val="848"/>
    <w:uiPriority w:val="99"/>
    <w:qFormat/>
    <w:tblPr/>
  </w:style>
  <w:style w:type="table" w:styleId="1008" w:customStyle="1">
    <w:name w:val="Grid Table 7 Colorful - Accent 2"/>
    <w:basedOn w:val="848"/>
    <w:uiPriority w:val="99"/>
    <w:qFormat/>
    <w:tblPr/>
  </w:style>
  <w:style w:type="table" w:styleId="1009" w:customStyle="1">
    <w:name w:val="Grid Table 7 Colorful - Accent 3"/>
    <w:basedOn w:val="848"/>
    <w:uiPriority w:val="99"/>
    <w:qFormat/>
    <w:tblPr/>
  </w:style>
  <w:style w:type="table" w:styleId="1010" w:customStyle="1">
    <w:name w:val="Grid Table 7 Colorful - Accent 4"/>
    <w:basedOn w:val="848"/>
    <w:uiPriority w:val="99"/>
    <w:qFormat/>
    <w:tblPr/>
  </w:style>
  <w:style w:type="table" w:styleId="1011" w:customStyle="1">
    <w:name w:val="Grid Table 7 Colorful - Accent 5"/>
    <w:basedOn w:val="848"/>
    <w:uiPriority w:val="99"/>
    <w:qFormat/>
    <w:tblPr/>
  </w:style>
  <w:style w:type="table" w:styleId="1012" w:customStyle="1">
    <w:name w:val="Grid Table 7 Colorful - Accent 6"/>
    <w:basedOn w:val="848"/>
    <w:uiPriority w:val="99"/>
    <w:qFormat/>
    <w:tblPr/>
  </w:style>
  <w:style w:type="table" w:styleId="1013" w:customStyle="1">
    <w:name w:val="清单表 1 浅色1"/>
    <w:basedOn w:val="848"/>
    <w:uiPriority w:val="99"/>
    <w:qFormat/>
    <w:tblPr/>
  </w:style>
  <w:style w:type="table" w:styleId="1014" w:customStyle="1">
    <w:name w:val="List Table 1 Light - Accent 1"/>
    <w:basedOn w:val="848"/>
    <w:uiPriority w:val="99"/>
    <w:qFormat/>
    <w:tblPr/>
  </w:style>
  <w:style w:type="table" w:styleId="1015" w:customStyle="1">
    <w:name w:val="List Table 1 Light - Accent 2"/>
    <w:basedOn w:val="848"/>
    <w:uiPriority w:val="99"/>
    <w:qFormat/>
    <w:tblPr/>
  </w:style>
  <w:style w:type="table" w:styleId="1016" w:customStyle="1">
    <w:name w:val="List Table 1 Light - Accent 3"/>
    <w:basedOn w:val="848"/>
    <w:uiPriority w:val="99"/>
    <w:qFormat/>
    <w:tblPr/>
  </w:style>
  <w:style w:type="table" w:styleId="1017" w:customStyle="1">
    <w:name w:val="List Table 1 Light - Accent 4"/>
    <w:basedOn w:val="848"/>
    <w:uiPriority w:val="99"/>
    <w:qFormat/>
    <w:tblPr/>
  </w:style>
  <w:style w:type="table" w:styleId="1018" w:customStyle="1">
    <w:name w:val="List Table 1 Light - Accent 5"/>
    <w:basedOn w:val="848"/>
    <w:uiPriority w:val="99"/>
    <w:qFormat/>
    <w:tblPr/>
  </w:style>
  <w:style w:type="table" w:styleId="1019" w:customStyle="1">
    <w:name w:val="List Table 1 Light - Accent 6"/>
    <w:basedOn w:val="848"/>
    <w:uiPriority w:val="99"/>
    <w:qFormat/>
    <w:tblPr/>
  </w:style>
  <w:style w:type="table" w:styleId="1020" w:customStyle="1">
    <w:name w:val="清单表 21"/>
    <w:basedOn w:val="848"/>
    <w:uiPriority w:val="99"/>
    <w:qFormat/>
    <w:tblPr/>
  </w:style>
  <w:style w:type="table" w:styleId="1021" w:customStyle="1">
    <w:name w:val="List Table 2 - Accent 1"/>
    <w:basedOn w:val="848"/>
    <w:uiPriority w:val="99"/>
    <w:qFormat/>
    <w:tblPr/>
  </w:style>
  <w:style w:type="table" w:styleId="1022" w:customStyle="1">
    <w:name w:val="List Table 2 - Accent 2"/>
    <w:basedOn w:val="848"/>
    <w:uiPriority w:val="99"/>
    <w:qFormat/>
    <w:tblPr/>
  </w:style>
  <w:style w:type="table" w:styleId="1023" w:customStyle="1">
    <w:name w:val="List Table 2 - Accent 3"/>
    <w:basedOn w:val="848"/>
    <w:uiPriority w:val="99"/>
    <w:qFormat/>
    <w:tblPr/>
  </w:style>
  <w:style w:type="table" w:styleId="1024" w:customStyle="1">
    <w:name w:val="List Table 2 - Accent 4"/>
    <w:basedOn w:val="848"/>
    <w:uiPriority w:val="99"/>
    <w:qFormat/>
    <w:tblPr/>
  </w:style>
  <w:style w:type="table" w:styleId="1025" w:customStyle="1">
    <w:name w:val="List Table 2 - Accent 5"/>
    <w:basedOn w:val="848"/>
    <w:uiPriority w:val="99"/>
    <w:qFormat/>
    <w:tblPr/>
  </w:style>
  <w:style w:type="table" w:styleId="1026" w:customStyle="1">
    <w:name w:val="List Table 2 - Accent 6"/>
    <w:basedOn w:val="848"/>
    <w:uiPriority w:val="99"/>
    <w:qFormat/>
    <w:tblPr/>
  </w:style>
  <w:style w:type="table" w:styleId="1027" w:customStyle="1">
    <w:name w:val="清单表 31"/>
    <w:basedOn w:val="848"/>
    <w:uiPriority w:val="99"/>
    <w:qFormat/>
    <w:tblPr/>
  </w:style>
  <w:style w:type="table" w:styleId="1028" w:customStyle="1">
    <w:name w:val="List Table 3 - Accent 1"/>
    <w:basedOn w:val="848"/>
    <w:uiPriority w:val="99"/>
    <w:qFormat/>
    <w:tblPr/>
  </w:style>
  <w:style w:type="table" w:styleId="1029" w:customStyle="1">
    <w:name w:val="List Table 3 - Accent 2"/>
    <w:basedOn w:val="848"/>
    <w:uiPriority w:val="99"/>
    <w:qFormat/>
    <w:tblPr/>
  </w:style>
  <w:style w:type="table" w:styleId="1030" w:customStyle="1">
    <w:name w:val="List Table 3 - Accent 3"/>
    <w:basedOn w:val="848"/>
    <w:uiPriority w:val="99"/>
    <w:qFormat/>
    <w:tblPr/>
  </w:style>
  <w:style w:type="table" w:styleId="1031" w:customStyle="1">
    <w:name w:val="List Table 3 - Accent 4"/>
    <w:basedOn w:val="848"/>
    <w:uiPriority w:val="99"/>
    <w:qFormat/>
    <w:tblPr/>
  </w:style>
  <w:style w:type="table" w:styleId="1032" w:customStyle="1">
    <w:name w:val="List Table 3 - Accent 5"/>
    <w:basedOn w:val="848"/>
    <w:uiPriority w:val="99"/>
    <w:qFormat/>
    <w:tblPr/>
  </w:style>
  <w:style w:type="table" w:styleId="1033" w:customStyle="1">
    <w:name w:val="List Table 3 - Accent 6"/>
    <w:basedOn w:val="848"/>
    <w:uiPriority w:val="99"/>
    <w:qFormat/>
    <w:tblPr/>
  </w:style>
  <w:style w:type="table" w:styleId="1034" w:customStyle="1">
    <w:name w:val="清单表 41"/>
    <w:basedOn w:val="848"/>
    <w:uiPriority w:val="99"/>
    <w:qFormat/>
    <w:tblPr/>
  </w:style>
  <w:style w:type="table" w:styleId="1035" w:customStyle="1">
    <w:name w:val="List Table 4 - Accent 1"/>
    <w:basedOn w:val="848"/>
    <w:uiPriority w:val="99"/>
    <w:qFormat/>
    <w:tblPr/>
  </w:style>
  <w:style w:type="table" w:styleId="1036" w:customStyle="1">
    <w:name w:val="List Table 4 - Accent 2"/>
    <w:basedOn w:val="848"/>
    <w:uiPriority w:val="99"/>
    <w:qFormat/>
    <w:tblPr/>
  </w:style>
  <w:style w:type="table" w:styleId="1037" w:customStyle="1">
    <w:name w:val="List Table 4 - Accent 3"/>
    <w:basedOn w:val="848"/>
    <w:uiPriority w:val="99"/>
    <w:qFormat/>
    <w:tblPr/>
  </w:style>
  <w:style w:type="table" w:styleId="1038" w:customStyle="1">
    <w:name w:val="List Table 4 - Accent 4"/>
    <w:basedOn w:val="848"/>
    <w:uiPriority w:val="99"/>
    <w:qFormat/>
    <w:tblPr/>
  </w:style>
  <w:style w:type="table" w:styleId="1039" w:customStyle="1">
    <w:name w:val="List Table 4 - Accent 5"/>
    <w:basedOn w:val="848"/>
    <w:uiPriority w:val="99"/>
    <w:qFormat/>
    <w:tblPr/>
  </w:style>
  <w:style w:type="table" w:styleId="1040" w:customStyle="1">
    <w:name w:val="List Table 4 - Accent 6"/>
    <w:basedOn w:val="848"/>
    <w:uiPriority w:val="99"/>
    <w:qFormat/>
    <w:tblPr/>
  </w:style>
  <w:style w:type="table" w:styleId="1041" w:customStyle="1">
    <w:name w:val="清单表 5 深色1"/>
    <w:basedOn w:val="848"/>
    <w:uiPriority w:val="99"/>
    <w:qFormat/>
    <w:tblPr/>
  </w:style>
  <w:style w:type="table" w:styleId="1042" w:customStyle="1">
    <w:name w:val="List Table 5 Dark - Accent 1"/>
    <w:basedOn w:val="848"/>
    <w:uiPriority w:val="99"/>
    <w:qFormat/>
    <w:tblPr/>
  </w:style>
  <w:style w:type="table" w:styleId="1043" w:customStyle="1">
    <w:name w:val="List Table 5 Dark - Accent 2"/>
    <w:basedOn w:val="848"/>
    <w:uiPriority w:val="99"/>
    <w:qFormat/>
    <w:tblPr/>
  </w:style>
  <w:style w:type="table" w:styleId="1044" w:customStyle="1">
    <w:name w:val="List Table 5 Dark - Accent 3"/>
    <w:basedOn w:val="848"/>
    <w:uiPriority w:val="99"/>
    <w:qFormat/>
    <w:tblPr/>
  </w:style>
  <w:style w:type="table" w:styleId="1045" w:customStyle="1">
    <w:name w:val="List Table 5 Dark - Accent 4"/>
    <w:basedOn w:val="848"/>
    <w:uiPriority w:val="99"/>
    <w:qFormat/>
    <w:tblPr/>
  </w:style>
  <w:style w:type="table" w:styleId="1046" w:customStyle="1">
    <w:name w:val="List Table 5 Dark - Accent 5"/>
    <w:basedOn w:val="848"/>
    <w:uiPriority w:val="99"/>
    <w:qFormat/>
    <w:tblPr/>
  </w:style>
  <w:style w:type="table" w:styleId="1047" w:customStyle="1">
    <w:name w:val="List Table 5 Dark - Accent 6"/>
    <w:basedOn w:val="848"/>
    <w:uiPriority w:val="99"/>
    <w:qFormat/>
    <w:tblPr/>
  </w:style>
  <w:style w:type="table" w:styleId="1048" w:customStyle="1">
    <w:name w:val="清单表 6 彩色1"/>
    <w:basedOn w:val="848"/>
    <w:uiPriority w:val="99"/>
    <w:qFormat/>
    <w:tblPr/>
  </w:style>
  <w:style w:type="table" w:styleId="1049" w:customStyle="1">
    <w:name w:val="List Table 6 Colorful - Accent 1"/>
    <w:basedOn w:val="848"/>
    <w:uiPriority w:val="99"/>
    <w:qFormat/>
    <w:tblPr/>
  </w:style>
  <w:style w:type="table" w:styleId="1050" w:customStyle="1">
    <w:name w:val="List Table 6 Colorful - Accent 2"/>
    <w:basedOn w:val="848"/>
    <w:uiPriority w:val="99"/>
    <w:qFormat/>
    <w:tblPr/>
  </w:style>
  <w:style w:type="table" w:styleId="1051" w:customStyle="1">
    <w:name w:val="List Table 6 Colorful - Accent 3"/>
    <w:basedOn w:val="848"/>
    <w:uiPriority w:val="99"/>
    <w:qFormat/>
    <w:tblPr/>
  </w:style>
  <w:style w:type="table" w:styleId="1052" w:customStyle="1">
    <w:name w:val="List Table 6 Colorful - Accent 4"/>
    <w:basedOn w:val="848"/>
    <w:uiPriority w:val="99"/>
    <w:qFormat/>
    <w:tblPr/>
  </w:style>
  <w:style w:type="table" w:styleId="1053" w:customStyle="1">
    <w:name w:val="List Table 6 Colorful - Accent 5"/>
    <w:basedOn w:val="848"/>
    <w:uiPriority w:val="99"/>
    <w:qFormat/>
    <w:tblPr/>
  </w:style>
  <w:style w:type="table" w:styleId="1054" w:customStyle="1">
    <w:name w:val="List Table 6 Colorful - Accent 6"/>
    <w:basedOn w:val="848"/>
    <w:uiPriority w:val="99"/>
    <w:qFormat/>
    <w:tblPr/>
  </w:style>
  <w:style w:type="table" w:styleId="1055" w:customStyle="1">
    <w:name w:val="清单表 7 彩色1"/>
    <w:basedOn w:val="848"/>
    <w:uiPriority w:val="99"/>
    <w:qFormat/>
    <w:tblPr/>
  </w:style>
  <w:style w:type="table" w:styleId="1056" w:customStyle="1">
    <w:name w:val="List Table 7 Colorful - Accent 1"/>
    <w:basedOn w:val="848"/>
    <w:uiPriority w:val="99"/>
    <w:qFormat/>
    <w:tblPr/>
  </w:style>
  <w:style w:type="table" w:styleId="1057" w:customStyle="1">
    <w:name w:val="List Table 7 Colorful - Accent 2"/>
    <w:basedOn w:val="848"/>
    <w:uiPriority w:val="99"/>
    <w:qFormat/>
    <w:tblPr/>
  </w:style>
  <w:style w:type="table" w:styleId="1058" w:customStyle="1">
    <w:name w:val="List Table 7 Colorful - Accent 3"/>
    <w:basedOn w:val="848"/>
    <w:uiPriority w:val="99"/>
    <w:qFormat/>
    <w:tblPr/>
  </w:style>
  <w:style w:type="table" w:styleId="1059" w:customStyle="1">
    <w:name w:val="List Table 7 Colorful - Accent 4"/>
    <w:basedOn w:val="848"/>
    <w:uiPriority w:val="99"/>
    <w:qFormat/>
    <w:tblPr/>
  </w:style>
  <w:style w:type="table" w:styleId="1060" w:customStyle="1">
    <w:name w:val="List Table 7 Colorful - Accent 5"/>
    <w:basedOn w:val="848"/>
    <w:uiPriority w:val="99"/>
    <w:qFormat/>
    <w:tblPr/>
  </w:style>
  <w:style w:type="table" w:styleId="1061" w:customStyle="1">
    <w:name w:val="List Table 7 Colorful - Accent 6"/>
    <w:basedOn w:val="848"/>
    <w:uiPriority w:val="99"/>
    <w:qFormat/>
    <w:tblPr/>
  </w:style>
  <w:style w:type="table" w:styleId="1062" w:customStyle="1">
    <w:name w:val="Lined - Accent"/>
    <w:basedOn w:val="848"/>
    <w:uiPriority w:val="99"/>
    <w:qFormat/>
    <w:rPr>
      <w:color w:val="404040"/>
    </w:rPr>
    <w:tblPr/>
  </w:style>
  <w:style w:type="table" w:styleId="1063" w:customStyle="1">
    <w:name w:val="Lined - Accent 1"/>
    <w:basedOn w:val="848"/>
    <w:uiPriority w:val="99"/>
    <w:qFormat/>
    <w:rPr>
      <w:color w:val="404040"/>
    </w:rPr>
    <w:tblPr/>
  </w:style>
  <w:style w:type="table" w:styleId="1064" w:customStyle="1">
    <w:name w:val="Lined - Accent 2"/>
    <w:basedOn w:val="848"/>
    <w:uiPriority w:val="99"/>
    <w:qFormat/>
    <w:rPr>
      <w:color w:val="404040"/>
    </w:rPr>
    <w:tblPr/>
  </w:style>
  <w:style w:type="table" w:styleId="1065" w:customStyle="1">
    <w:name w:val="Lined - Accent 3"/>
    <w:basedOn w:val="848"/>
    <w:uiPriority w:val="99"/>
    <w:qFormat/>
    <w:rPr>
      <w:color w:val="404040"/>
    </w:rPr>
    <w:tblPr/>
  </w:style>
  <w:style w:type="table" w:styleId="1066" w:customStyle="1">
    <w:name w:val="Lined - Accent 4"/>
    <w:basedOn w:val="848"/>
    <w:uiPriority w:val="99"/>
    <w:qFormat/>
    <w:rPr>
      <w:color w:val="404040"/>
    </w:rPr>
    <w:tblPr/>
  </w:style>
  <w:style w:type="table" w:styleId="1067" w:customStyle="1">
    <w:name w:val="Lined - Accent 5"/>
    <w:basedOn w:val="848"/>
    <w:uiPriority w:val="99"/>
    <w:qFormat/>
    <w:rPr>
      <w:color w:val="404040"/>
    </w:rPr>
    <w:tblPr/>
  </w:style>
  <w:style w:type="table" w:styleId="1068" w:customStyle="1">
    <w:name w:val="Lined - Accent 6"/>
    <w:basedOn w:val="848"/>
    <w:uiPriority w:val="99"/>
    <w:qFormat/>
    <w:rPr>
      <w:color w:val="404040"/>
    </w:rPr>
    <w:tblPr/>
  </w:style>
  <w:style w:type="table" w:styleId="1069" w:customStyle="1">
    <w:name w:val="Bordered &amp; Lined - Accent"/>
    <w:basedOn w:val="848"/>
    <w:uiPriority w:val="99"/>
    <w:qFormat/>
    <w:rPr>
      <w:color w:val="404040"/>
    </w:rPr>
    <w:tblPr/>
  </w:style>
  <w:style w:type="table" w:styleId="1070" w:customStyle="1">
    <w:name w:val="Bordered &amp; Lined - Accent 1"/>
    <w:basedOn w:val="848"/>
    <w:uiPriority w:val="99"/>
    <w:qFormat/>
    <w:rPr>
      <w:color w:val="404040"/>
    </w:rPr>
    <w:tblPr/>
  </w:style>
  <w:style w:type="table" w:styleId="1071" w:customStyle="1">
    <w:name w:val="Bordered &amp; Lined - Accent 2"/>
    <w:basedOn w:val="848"/>
    <w:uiPriority w:val="99"/>
    <w:qFormat/>
    <w:rPr>
      <w:color w:val="404040"/>
    </w:rPr>
    <w:tblPr/>
  </w:style>
  <w:style w:type="table" w:styleId="1072" w:customStyle="1">
    <w:name w:val="Bordered &amp; Lined - Accent 3"/>
    <w:basedOn w:val="848"/>
    <w:uiPriority w:val="99"/>
    <w:qFormat/>
    <w:rPr>
      <w:color w:val="404040"/>
    </w:rPr>
    <w:tblPr/>
  </w:style>
  <w:style w:type="table" w:styleId="1073" w:customStyle="1">
    <w:name w:val="Bordered &amp; Lined - Accent 4"/>
    <w:basedOn w:val="848"/>
    <w:uiPriority w:val="99"/>
    <w:qFormat/>
    <w:rPr>
      <w:color w:val="404040"/>
    </w:rPr>
    <w:tblPr/>
  </w:style>
  <w:style w:type="table" w:styleId="1074" w:customStyle="1">
    <w:name w:val="Bordered &amp; Lined - Accent 5"/>
    <w:basedOn w:val="848"/>
    <w:uiPriority w:val="99"/>
    <w:qFormat/>
    <w:rPr>
      <w:color w:val="404040"/>
    </w:rPr>
    <w:tblPr/>
  </w:style>
  <w:style w:type="table" w:styleId="1075" w:customStyle="1">
    <w:name w:val="Bordered &amp; Lined - Accent 6"/>
    <w:basedOn w:val="848"/>
    <w:uiPriority w:val="99"/>
    <w:qFormat/>
    <w:rPr>
      <w:color w:val="404040"/>
    </w:rPr>
    <w:tblPr/>
  </w:style>
  <w:style w:type="table" w:styleId="1076" w:customStyle="1">
    <w:name w:val="Bordered"/>
    <w:basedOn w:val="848"/>
    <w:uiPriority w:val="99"/>
    <w:qFormat/>
    <w:tblPr/>
  </w:style>
  <w:style w:type="table" w:styleId="1077" w:customStyle="1">
    <w:name w:val="Bordered - Accent 1"/>
    <w:basedOn w:val="848"/>
    <w:uiPriority w:val="99"/>
    <w:qFormat/>
    <w:tblPr/>
  </w:style>
  <w:style w:type="table" w:styleId="1078" w:customStyle="1">
    <w:name w:val="Bordered - Accent 2"/>
    <w:basedOn w:val="848"/>
    <w:uiPriority w:val="99"/>
    <w:qFormat/>
    <w:tblPr/>
  </w:style>
  <w:style w:type="table" w:styleId="1079" w:customStyle="1">
    <w:name w:val="Bordered - Accent 3"/>
    <w:basedOn w:val="848"/>
    <w:uiPriority w:val="99"/>
    <w:qFormat/>
    <w:tblPr/>
  </w:style>
  <w:style w:type="table" w:styleId="1080" w:customStyle="1">
    <w:name w:val="Bordered - Accent 4"/>
    <w:basedOn w:val="848"/>
    <w:uiPriority w:val="99"/>
    <w:qFormat/>
    <w:tblPr/>
  </w:style>
  <w:style w:type="table" w:styleId="1081" w:customStyle="1">
    <w:name w:val="Bordered - Accent 5"/>
    <w:basedOn w:val="848"/>
    <w:uiPriority w:val="99"/>
    <w:qFormat/>
    <w:tblPr/>
  </w:style>
  <w:style w:type="table" w:styleId="1082" w:customStyle="1">
    <w:name w:val="Bordered - Accent 6"/>
    <w:basedOn w:val="848"/>
    <w:uiPriority w:val="99"/>
    <w:qFormat/>
    <w:tblPr/>
  </w:style>
  <w:style w:type="paragraph" w:styleId="1083" w:customStyle="1">
    <w:name w:val="TOC 标题1"/>
    <w:uiPriority w:val="39"/>
    <w:unhideWhenUsed/>
    <w:qFormat/>
    <w:rPr>
      <w:rFonts w:hint="default" w:ascii="Times New Roman" w:hAnsi="Times New Roman" w:eastAsia="宋体" w:cs="Times New Roman"/>
      <w:lang w:eastAsia="zh-CN"/>
    </w:rPr>
  </w:style>
  <w:style w:type="paragraph" w:styleId="1084" w:customStyle="1">
    <w:name w:val="正文文本11"/>
    <w:basedOn w:val="811"/>
    <w:uiPriority w:val="99"/>
    <w:qFormat/>
    <w:rPr>
      <w:rFonts w:ascii="楷体_GB2312" w:hAnsi="宋体" w:eastAsia="楷体_GB2312"/>
      <w:sz w:val="28"/>
      <w:szCs w:val="28"/>
    </w:rPr>
  </w:style>
  <w:style w:type="paragraph" w:styleId="1085" w:customStyle="1">
    <w:name w:val="目录 71"/>
    <w:basedOn w:val="811"/>
    <w:next w:val="811"/>
    <w:uiPriority w:val="39"/>
    <w:unhideWhenUsed/>
    <w:qFormat/>
    <w:pPr>
      <w:ind w:left="2520"/>
    </w:pPr>
    <w:rPr>
      <w:rFonts w:ascii="等线" w:hAnsi="等线" w:eastAsia="等线"/>
      <w:szCs w:val="22"/>
    </w:rPr>
  </w:style>
  <w:style w:type="paragraph" w:styleId="1086" w:customStyle="1">
    <w:name w:val="目录 51"/>
    <w:basedOn w:val="811"/>
    <w:next w:val="811"/>
    <w:uiPriority w:val="39"/>
    <w:unhideWhenUsed/>
    <w:qFormat/>
    <w:pPr>
      <w:ind w:left="1680"/>
    </w:pPr>
    <w:rPr>
      <w:rFonts w:ascii="等线" w:hAnsi="等线" w:eastAsia="等线"/>
      <w:szCs w:val="22"/>
    </w:rPr>
  </w:style>
  <w:style w:type="paragraph" w:styleId="1087" w:customStyle="1">
    <w:name w:val="目录 31"/>
    <w:basedOn w:val="811"/>
    <w:next w:val="811"/>
    <w:uiPriority w:val="39"/>
    <w:unhideWhenUsed/>
    <w:qFormat/>
    <w:pPr>
      <w:ind w:left="440"/>
      <w:jc w:val="left"/>
      <w:spacing w:after="100" w:line="259" w:lineRule="auto"/>
      <w:widowControl/>
    </w:pPr>
    <w:rPr>
      <w:rFonts w:ascii="等线" w:hAnsi="等线" w:eastAsia="等线"/>
      <w:sz w:val="22"/>
      <w:szCs w:val="22"/>
    </w:rPr>
  </w:style>
  <w:style w:type="paragraph" w:styleId="1088" w:customStyle="1">
    <w:name w:val="目录 81"/>
    <w:basedOn w:val="811"/>
    <w:next w:val="811"/>
    <w:uiPriority w:val="39"/>
    <w:unhideWhenUsed/>
    <w:qFormat/>
    <w:pPr>
      <w:ind w:left="2940"/>
    </w:pPr>
    <w:rPr>
      <w:rFonts w:ascii="等线" w:hAnsi="等线" w:eastAsia="等线"/>
      <w:szCs w:val="22"/>
    </w:rPr>
  </w:style>
  <w:style w:type="paragraph" w:styleId="1089" w:customStyle="1">
    <w:name w:val="目录 11"/>
    <w:basedOn w:val="811"/>
    <w:next w:val="811"/>
    <w:uiPriority w:val="39"/>
    <w:qFormat/>
    <w:rPr>
      <w:rFonts w:ascii="仿宋_GB2312" w:eastAsia="仿宋_GB2312"/>
      <w:sz w:val="24"/>
    </w:rPr>
  </w:style>
  <w:style w:type="paragraph" w:styleId="1090" w:customStyle="1">
    <w:name w:val="目录 41"/>
    <w:basedOn w:val="811"/>
    <w:next w:val="811"/>
    <w:uiPriority w:val="39"/>
    <w:unhideWhenUsed/>
    <w:qFormat/>
    <w:pPr>
      <w:ind w:left="1260"/>
    </w:pPr>
    <w:rPr>
      <w:rFonts w:ascii="等线" w:hAnsi="等线" w:eastAsia="等线"/>
      <w:szCs w:val="22"/>
    </w:rPr>
  </w:style>
  <w:style w:type="paragraph" w:styleId="1091" w:customStyle="1">
    <w:name w:val="目录 61"/>
    <w:basedOn w:val="811"/>
    <w:next w:val="811"/>
    <w:uiPriority w:val="39"/>
    <w:unhideWhenUsed/>
    <w:qFormat/>
    <w:pPr>
      <w:ind w:left="2100"/>
    </w:pPr>
    <w:rPr>
      <w:rFonts w:ascii="等线" w:hAnsi="等线" w:eastAsia="等线"/>
      <w:szCs w:val="22"/>
    </w:rPr>
  </w:style>
  <w:style w:type="paragraph" w:styleId="1092" w:customStyle="1">
    <w:name w:val="目录 21"/>
    <w:basedOn w:val="811"/>
    <w:next w:val="811"/>
    <w:uiPriority w:val="39"/>
    <w:unhideWhenUsed/>
    <w:qFormat/>
    <w:pPr>
      <w:ind w:left="220"/>
      <w:jc w:val="left"/>
      <w:spacing w:after="100" w:line="259" w:lineRule="auto"/>
      <w:widowControl/>
    </w:pPr>
    <w:rPr>
      <w:rFonts w:ascii="等线" w:hAnsi="等线" w:eastAsia="等线"/>
      <w:sz w:val="22"/>
      <w:szCs w:val="22"/>
    </w:rPr>
  </w:style>
  <w:style w:type="paragraph" w:styleId="1093" w:customStyle="1">
    <w:name w:val="目录 91"/>
    <w:basedOn w:val="811"/>
    <w:next w:val="811"/>
    <w:uiPriority w:val="39"/>
    <w:unhideWhenUsed/>
    <w:qFormat/>
    <w:pPr>
      <w:ind w:left="3360"/>
    </w:pPr>
    <w:rPr>
      <w:rFonts w:ascii="等线" w:hAnsi="等线" w:eastAsia="等线"/>
      <w:szCs w:val="22"/>
    </w:rPr>
  </w:style>
  <w:style w:type="character" w:styleId="1094" w:customStyle="1">
    <w:name w:val="p0 Char"/>
    <w:link w:val="1095"/>
    <w:uiPriority w:val="0"/>
    <w:qFormat/>
    <w:rPr>
      <w:rFonts w:eastAsia="宋体"/>
      <w:sz w:val="21"/>
      <w:szCs w:val="21"/>
      <w:lang w:val="en-US" w:eastAsia="zh-CN" w:bidi="ar-SA"/>
    </w:rPr>
  </w:style>
  <w:style w:type="paragraph" w:styleId="1095" w:customStyle="1">
    <w:name w:val="p0"/>
    <w:basedOn w:val="811"/>
    <w:link w:val="1094"/>
    <w:uiPriority w:val="0"/>
    <w:qFormat/>
    <w:pPr>
      <w:widowControl/>
    </w:pPr>
    <w:rPr>
      <w:szCs w:val="21"/>
    </w:rPr>
  </w:style>
  <w:style w:type="character" w:styleId="1096" w:customStyle="1">
    <w:name w:val="标题 2 Char Char Char"/>
    <w:link w:val="811"/>
    <w:uiPriority w:val="0"/>
    <w:qFormat/>
    <w:rPr>
      <w:rFonts w:ascii="Arial" w:hAnsi="Arial" w:eastAsia="黑体"/>
      <w:b/>
      <w:bCs/>
      <w:sz w:val="32"/>
      <w:szCs w:val="32"/>
      <w:lang w:val="en-US" w:eastAsia="zh-CN" w:bidi="ar-SA"/>
    </w:rPr>
  </w:style>
  <w:style w:type="character" w:styleId="1097" w:customStyle="1">
    <w:name w:val="NormalCharacter1"/>
    <w:link w:val="811"/>
    <w:uiPriority w:val="0"/>
    <w:semiHidden/>
    <w:qFormat/>
  </w:style>
  <w:style w:type="paragraph" w:styleId="1098" w:customStyle="1">
    <w:name w:val="标题 21"/>
    <w:basedOn w:val="811"/>
    <w:next w:val="811"/>
    <w:uiPriority w:val="0"/>
    <w:qFormat/>
    <w:pPr>
      <w:jc w:val="center"/>
      <w:keepNext/>
      <w:widowControl/>
    </w:pPr>
    <w:rPr>
      <w:rFonts w:ascii="楷体_GB2312" w:eastAsia="楷体_GB2312"/>
      <w:sz w:val="18"/>
      <w:szCs w:val="20"/>
    </w:rPr>
  </w:style>
  <w:style w:type="paragraph" w:styleId="1099" w:customStyle="1">
    <w:name w:val="TOC 标题11"/>
    <w:basedOn w:val="812"/>
    <w:next w:val="81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00">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101" w:customStyle="1">
    <w:name w:val="样式1"/>
    <w:basedOn w:val="812"/>
    <w:link w:val="1102"/>
    <w:uiPriority w:val="0"/>
    <w:qFormat/>
    <w:pPr>
      <w:ind w:left="210" w:right="210"/>
    </w:pPr>
  </w:style>
  <w:style w:type="character" w:styleId="1102" w:customStyle="1">
    <w:name w:val="样式1 字符"/>
    <w:link w:val="1101"/>
    <w:uiPriority w:val="0"/>
    <w:qFormat/>
  </w:style>
  <w:style w:type="paragraph" w:styleId="1103" w:customStyle="1">
    <w:name w:val="标题 211"/>
    <w:basedOn w:val="81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04" w:customStyle="1">
    <w:name w:val="列出段落1"/>
    <w:basedOn w:val="811"/>
    <w:uiPriority w:val="1"/>
    <w:qFormat/>
    <w:pPr>
      <w:ind w:left="400" w:firstLine="420"/>
      <w:jc w:val="left"/>
    </w:pPr>
    <w:rPr>
      <w:rFonts w:ascii="宋体" w:hAnsi="宋体" w:cs="宋体"/>
      <w:sz w:val="22"/>
      <w:szCs w:val="22"/>
      <w:lang w:val="zh-CN" w:bidi="zh-CN"/>
    </w:rPr>
  </w:style>
  <w:style w:type="paragraph" w:styleId="1105" w:customStyle="1">
    <w:name w:val="Table Paragraph"/>
    <w:basedOn w:val="811"/>
    <w:uiPriority w:val="1"/>
    <w:qFormat/>
    <w:pPr>
      <w:jc w:val="left"/>
    </w:pPr>
    <w:rPr>
      <w:rFonts w:ascii="宋体" w:hAnsi="宋体" w:cs="宋体"/>
      <w:sz w:val="22"/>
      <w:szCs w:val="22"/>
      <w:lang w:val="zh-CN" w:bidi="zh-CN"/>
    </w:rPr>
  </w:style>
  <w:style w:type="character" w:styleId="1106" w:customStyle="1">
    <w:name w:val="ask-title2"/>
    <w:link w:val="811"/>
    <w:uiPriority w:val="0"/>
    <w:qFormat/>
  </w:style>
  <w:style w:type="paragraph" w:styleId="1107" w:customStyle="1">
    <w:name w:val="列出段落2"/>
    <w:basedOn w:val="811"/>
    <w:uiPriority w:val="99"/>
    <w:unhideWhenUsed/>
    <w:qFormat/>
    <w:pPr>
      <w:ind w:firstLine="420"/>
      <w:jc w:val="left"/>
    </w:pPr>
    <w:rPr>
      <w:rFonts w:ascii="宋体"/>
      <w:sz w:val="20"/>
      <w:szCs w:val="20"/>
    </w:rPr>
  </w:style>
  <w:style w:type="paragraph" w:styleId="1108" w:customStyle="1">
    <w:name w:val="纯文本1"/>
    <w:basedOn w:val="811"/>
    <w:uiPriority w:val="0"/>
    <w:qFormat/>
    <w:rPr>
      <w:rFonts w:ascii="宋体" w:hAnsi="Courier New"/>
      <w:sz w:val="20"/>
      <w:szCs w:val="21"/>
    </w:rPr>
  </w:style>
  <w:style w:type="character" w:styleId="1109" w:customStyle="1">
    <w:name w:val="纯文本 Char2"/>
    <w:link w:val="811"/>
    <w:uiPriority w:val="0"/>
    <w:qFormat/>
    <w:rPr>
      <w:rFonts w:ascii="宋体" w:hAnsi="Courier New"/>
      <w:sz w:val="21"/>
    </w:rPr>
  </w:style>
  <w:style w:type="paragraph" w:styleId="1110" w:customStyle="1">
    <w:name w:val="列出段落11"/>
    <w:basedOn w:val="811"/>
    <w:uiPriority w:val="0"/>
    <w:qFormat/>
    <w:pPr>
      <w:ind w:firstLine="420"/>
      <w:spacing w:line="0" w:lineRule="atLeast"/>
    </w:pPr>
    <w:rPr>
      <w:rFonts w:eastAsia="微软雅黑"/>
      <w:sz w:val="20"/>
      <w:szCs w:val="20"/>
    </w:rPr>
  </w:style>
  <w:style w:type="character" w:styleId="1111" w:customStyle="1">
    <w:name w:val="纯文本 Char"/>
    <w:link w:val="1112"/>
    <w:uiPriority w:val="0"/>
    <w:qFormat/>
    <w:rPr>
      <w:rFonts w:ascii="宋体" w:hAnsi="Courier New"/>
    </w:rPr>
  </w:style>
  <w:style w:type="paragraph" w:styleId="1112" w:customStyle="1">
    <w:name w:val="纯文本2"/>
    <w:basedOn w:val="811"/>
    <w:link w:val="1111"/>
    <w:uiPriority w:val="0"/>
    <w:qFormat/>
    <w:pPr>
      <w:ind w:firstLine="200"/>
      <w:spacing w:line="360" w:lineRule="auto"/>
    </w:pPr>
    <w:rPr>
      <w:rFonts w:ascii="宋体" w:hAnsi="Courier New"/>
      <w:sz w:val="20"/>
      <w:szCs w:val="20"/>
    </w:rPr>
  </w:style>
  <w:style w:type="character" w:styleId="1113" w:customStyle="1">
    <w:name w:val="页脚 Char"/>
    <w:link w:val="811"/>
    <w:uiPriority w:val="0"/>
    <w:qFormat/>
    <w:rPr>
      <w:sz w:val="18"/>
      <w:szCs w:val="18"/>
    </w:rPr>
  </w:style>
  <w:style w:type="paragraph" w:styleId="1114" w:customStyle="1">
    <w:name w:val="_Style 83"/>
    <w:basedOn w:val="811"/>
    <w:next w:val="1104"/>
    <w:uiPriority w:val="99"/>
    <w:qFormat/>
    <w:pPr>
      <w:ind w:firstLine="420"/>
    </w:pPr>
  </w:style>
  <w:style w:type="character" w:styleId="1115">
    <w:name w:val="Placeholder Text"/>
    <w:basedOn w:val="847"/>
    <w:link w:val="811"/>
    <w:uiPriority w:val="99"/>
    <w:unhideWhenUsed/>
    <w:qFormat/>
    <w:rPr>
      <w:color w:val="808080"/>
    </w:rPr>
  </w:style>
  <w:style w:type="paragraph" w:styleId="1116" w:customStyle="1">
    <w:name w:val="pf0"/>
    <w:basedOn w:val="811"/>
    <w:uiPriority w:val="0"/>
    <w:qFormat/>
    <w:pPr>
      <w:jc w:val="left"/>
      <w:spacing w:before="100" w:beforeAutospacing="1" w:after="100" w:afterAutospacing="1"/>
      <w:widowControl/>
    </w:pPr>
    <w:rPr>
      <w:rFonts w:ascii="宋体" w:hAnsi="宋体" w:cs="宋体"/>
      <w:sz w:val="24"/>
    </w:rPr>
  </w:style>
  <w:style w:type="character" w:styleId="1117" w:customStyle="1">
    <w:name w:val="cf01"/>
    <w:basedOn w:val="847"/>
    <w:link w:val="811"/>
    <w:uiPriority w:val="0"/>
    <w:qFormat/>
    <w:rPr>
      <w:rFonts w:hint="eastAsia" w:ascii="Microsoft YaHei UI" w:hAnsi="Microsoft YaHei UI" w:eastAsia="Microsoft YaHei UI"/>
      <w:sz w:val="18"/>
      <w:szCs w:val="18"/>
    </w:rPr>
  </w:style>
  <w:style w:type="character" w:styleId="1118" w:customStyle="1">
    <w:name w:val="cf11"/>
    <w:basedOn w:val="847"/>
    <w:link w:val="811"/>
    <w:uiPriority w:val="0"/>
    <w:qFormat/>
    <w:rPr>
      <w:rFonts w:hint="eastAsia" w:ascii="Microsoft YaHei UI" w:hAnsi="Microsoft YaHei UI" w:eastAsia="Microsoft YaHei UI"/>
      <w:sz w:val="18"/>
      <w:szCs w:val="18"/>
    </w:rPr>
  </w:style>
  <w:style w:type="paragraph" w:styleId="1119">
    <w:name w:val="List Paragraph"/>
    <w:basedOn w:val="811"/>
    <w:uiPriority w:val="1"/>
    <w:qFormat/>
    <w:pPr>
      <w:ind w:firstLine="420"/>
    </w:pPr>
  </w:style>
  <w:style w:type="paragraph" w:styleId="1120" w:customStyle="1">
    <w:name w:val="标题1，章节第一层"/>
    <w:basedOn w:val="811"/>
    <w:next w:val="81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21" w:customStyle="1">
    <w:name w:val="标准文本"/>
    <w:basedOn w:val="811"/>
    <w:uiPriority w:val="0"/>
    <w:qFormat/>
    <w:pPr>
      <w:ind w:firstLine="480"/>
      <w:spacing w:line="360" w:lineRule="auto"/>
    </w:pPr>
    <w:rPr>
      <w:rFonts w:ascii="Calibri" w:hAnsi="Calibri" w:eastAsia="Calibri" w:cs="宋体"/>
      <w:sz w:val="24"/>
      <w:lang w:val="zh-CN"/>
    </w:rPr>
  </w:style>
  <w:style w:type="character" w:styleId="1122" w:customStyle="1">
    <w:name w:val="标准文本 Char Char"/>
    <w:link w:val="811"/>
    <w:uiPriority w:val="0"/>
    <w:qFormat/>
    <w:rPr>
      <w:rFonts w:eastAsia="宋体" w:cs="宋体"/>
      <w:sz w:val="24"/>
      <w:szCs w:val="24"/>
      <w:lang w:val="en-US" w:eastAsia="zh-CN" w:bidi="ar-SA"/>
    </w:rPr>
  </w:style>
  <w:style w:type="character" w:styleId="1123" w:customStyle="1">
    <w:name w:val="标准小四 Char Char"/>
    <w:link w:val="811"/>
    <w:uiPriority w:val="0"/>
    <w:qFormat/>
    <w:rPr>
      <w:rFonts w:ascii="Arial" w:hAnsi="Arial" w:eastAsia="宋体"/>
      <w:sz w:val="24"/>
      <w:szCs w:val="21"/>
      <w:lang w:val="en-US" w:eastAsia="zh-CN" w:bidi="ar-SA"/>
    </w:rPr>
  </w:style>
  <w:style w:type="character" w:styleId="1124" w:customStyle="1">
    <w:name w:val="标准文本 Char"/>
    <w:link w:val="811"/>
    <w:uiPriority w:val="0"/>
    <w:qFormat/>
    <w:rPr>
      <w:rFonts w:eastAsia="宋体" w:cs="宋体"/>
      <w:sz w:val="24"/>
      <w:szCs w:val="24"/>
      <w:lang w:val="en-US" w:eastAsia="zh-CN" w:bidi="ar-SA"/>
    </w:rPr>
  </w:style>
  <w:style w:type="character" w:styleId="1125" w:customStyle="1">
    <w:name w:val="未处理的提及1"/>
    <w:basedOn w:val="847"/>
    <w:link w:val="811"/>
    <w:uiPriority w:val="99"/>
    <w:unhideWhenUsed/>
    <w:qFormat/>
    <w:rPr>
      <w:color w:val="605e5c"/>
      <w:shd w:val="clear" w:color="auto" w:fill="e1dfdd"/>
    </w:rPr>
  </w:style>
  <w:style w:type="paragraph" w:styleId="1126" w:customStyle="1">
    <w:name w:val="列出段落3"/>
    <w:basedOn w:val="811"/>
    <w:uiPriority w:val="99"/>
    <w:qFormat/>
    <w:pPr>
      <w:ind w:firstLine="420"/>
    </w:pPr>
  </w:style>
  <w:style w:type="paragraph" w:styleId="1127" w:customStyle="1">
    <w:name w:val="Normal_8_0"/>
    <w:uiPriority w:val="0"/>
    <w:qFormat/>
    <w:rPr>
      <w:rFonts w:hint="default" w:ascii="Times New Roman" w:hAnsi="Times New Roman" w:eastAsia="Times New Roman" w:cs="Times New Roman"/>
      <w:sz w:val="24"/>
      <w:szCs w:val="24"/>
      <w:lang w:eastAsia="zh-CN"/>
    </w:rPr>
  </w:style>
  <w:style w:type="character" w:styleId="1128" w:customStyle="1">
    <w:name w:val="默认段落字体12"/>
    <w:link w:val="811"/>
    <w:uiPriority w:val="1"/>
    <w:unhideWhenUsed/>
    <w:qFormat/>
    <w:rPr>
      <w:rFonts w:ascii="Times New Roman" w:hAnsi="Times New Roman" w:eastAsia="宋体" w:cs="Times New Roman"/>
      <w:sz w:val="21"/>
      <w:szCs w:val="24"/>
      <w:lang w:val="en-US" w:eastAsia="zh-CN" w:bidi="ar-SA"/>
    </w:rPr>
  </w:style>
  <w:style w:type="character" w:styleId="1129" w:customStyle="1">
    <w:name w:val="font41"/>
    <w:basedOn w:val="847"/>
    <w:link w:val="811"/>
    <w:uiPriority w:val="0"/>
    <w:qFormat/>
    <w:rPr>
      <w:rFonts w:ascii="方正仿宋_GBK" w:hAnsi="方正仿宋_GBK" w:eastAsia="方正仿宋_GBK" w:cs="方正仿宋_GBK"/>
      <w:b/>
      <w:bCs/>
      <w:color w:val="000000"/>
      <w:sz w:val="22"/>
      <w:szCs w:val="22"/>
      <w:u w:val="none"/>
    </w:rPr>
  </w:style>
  <w:style w:type="character" w:styleId="1130" w:customStyle="1">
    <w:name w:val="font31"/>
    <w:basedOn w:val="847"/>
    <w:link w:val="811"/>
    <w:uiPriority w:val="0"/>
    <w:qFormat/>
    <w:rPr>
      <w:rFonts w:ascii="方正仿宋_GBK" w:hAnsi="方正仿宋_GBK" w:eastAsia="方正仿宋_GBK" w:cs="方正仿宋_GBK"/>
      <w:color w:val="000000"/>
      <w:sz w:val="22"/>
      <w:szCs w:val="22"/>
      <w:u w:val="none"/>
    </w:rPr>
  </w:style>
  <w:style w:type="character" w:styleId="1131" w:customStyle="1">
    <w:name w:val="不明显参考1"/>
    <w:link w:val="811"/>
    <w:uiPriority w:val="31"/>
    <w:qFormat/>
    <w:rPr>
      <w:smallCaps/>
    </w:rPr>
  </w:style>
  <w:style w:type="paragraph" w:styleId="1132" w:customStyle="1">
    <w:name w:val="Normal_5_0"/>
    <w:uiPriority w:val="0"/>
    <w:qFormat/>
    <w:rPr>
      <w:rFonts w:hint="default" w:ascii="Times New Roman" w:hAnsi="Times New Roman" w:eastAsia="Times New Roman" w:cs="Times New Roman"/>
      <w:sz w:val="24"/>
      <w:szCs w:val="24"/>
      <w:lang w:eastAsia="zh-CN"/>
    </w:rPr>
  </w:style>
  <w:style w:type="character" w:styleId="1133" w:customStyle="1">
    <w:name w:val="默认段落字体11"/>
    <w:link w:val="811"/>
    <w:uiPriority w:val="1"/>
    <w:unhideWhenUsed/>
    <w:qFormat/>
  </w:style>
  <w:style w:type="paragraph" w:styleId="1134" w:customStyle="1">
    <w:name w:val="Normal_17"/>
    <w:uiPriority w:val="0"/>
    <w:qFormat/>
    <w:rPr>
      <w:rFonts w:hint="default" w:ascii="Times New Roman" w:hAnsi="Times New Roman" w:eastAsia="Times New Roman" w:cs="Times New Roman"/>
      <w:sz w:val="24"/>
      <w:szCs w:val="24"/>
      <w:lang w:eastAsia="zh-CN"/>
    </w:rPr>
  </w:style>
  <w:style w:type="paragraph" w:styleId="1135" w:customStyle="1">
    <w:name w:val="Normal_0_3"/>
    <w:uiPriority w:val="0"/>
    <w:qFormat/>
    <w:rPr>
      <w:rFonts w:hint="default" w:ascii="Times New Roman" w:hAnsi="Times New Roman" w:eastAsia="Times New Roman" w:cs="Times New Roman"/>
      <w:sz w:val="24"/>
      <w:szCs w:val="24"/>
      <w:lang w:eastAsia="zh-CN"/>
    </w:rPr>
  </w:style>
  <w:style w:type="paragraph" w:styleId="1136" w:customStyle="1">
    <w:name w:val="Normal_23"/>
    <w:uiPriority w:val="0"/>
    <w:qFormat/>
    <w:rPr>
      <w:rFonts w:hint="default" w:ascii="Times New Roman" w:hAnsi="Times New Roman" w:eastAsia="Times New Roman" w:cs="Times New Roman"/>
      <w:sz w:val="24"/>
      <w:szCs w:val="24"/>
      <w:lang w:eastAsia="zh-CN"/>
    </w:rPr>
  </w:style>
  <w:style w:type="paragraph" w:styleId="1137" w:customStyle="1">
    <w:name w:val="修订1"/>
    <w:uiPriority w:val="99"/>
    <w:unhideWhenUsed/>
    <w:qFormat/>
    <w:rPr>
      <w:rFonts w:hint="default" w:ascii="Times New Roman" w:hAnsi="Times New Roman" w:eastAsia="宋体" w:cs="Times New Roman"/>
      <w:sz w:val="21"/>
      <w:szCs w:val="24"/>
      <w:lang w:eastAsia="zh-CN"/>
    </w:rPr>
  </w:style>
  <w:style w:type="paragraph" w:styleId="1138" w:customStyle="1">
    <w:name w:val="列表段落1"/>
    <w:basedOn w:val="811"/>
    <w:uiPriority w:val="99"/>
    <w:qFormat/>
    <w:pPr>
      <w:ind w:firstLine="420"/>
    </w:pPr>
  </w:style>
  <w:style w:type="character" w:styleId="1139" w:customStyle="1">
    <w:name w:val="font21"/>
    <w:basedOn w:val="847"/>
    <w:link w:val="811"/>
    <w:uiPriority w:val="0"/>
    <w:qFormat/>
    <w:rPr>
      <w:rFonts w:hint="eastAsia" w:ascii="等线" w:hAnsi="等线" w:eastAsia="等线" w:cs="等线"/>
      <w:color w:val="000000"/>
      <w:sz w:val="21"/>
      <w:szCs w:val="21"/>
      <w:u w:val="none"/>
    </w:rPr>
  </w:style>
  <w:style w:type="character" w:styleId="1140" w:customStyle="1">
    <w:name w:val="font11"/>
    <w:basedOn w:val="847"/>
    <w:link w:val="811"/>
    <w:uiPriority w:val="0"/>
    <w:qFormat/>
    <w:rPr>
      <w:rFonts w:hint="eastAsia" w:ascii="宋体" w:hAnsi="宋体" w:eastAsia="宋体" w:cs="宋体"/>
      <w:color w:val="000000"/>
      <w:sz w:val="21"/>
      <w:szCs w:val="21"/>
      <w:u w:val="none"/>
    </w:rPr>
  </w:style>
  <w:style w:type="paragraph" w:styleId="1141" w:customStyle="1">
    <w:name w:val="null3"/>
    <w:uiPriority w:val="0"/>
    <w:qFormat/>
    <w:rPr>
      <w:rFonts w:hint="default" w:ascii="等线" w:hAnsi="等线" w:eastAsia="宋体" w:cs="Arial"/>
      <w:lang w:eastAsia="en-US"/>
    </w:rPr>
  </w:style>
  <w:style w:type="paragraph" w:styleId="1142" w:customStyle="1">
    <w:name w:val="Plain Text1"/>
    <w:basedOn w:val="811"/>
    <w:uiPriority w:val="0"/>
    <w:qFormat/>
    <w:pPr>
      <w:jc w:val="left"/>
      <w:widowControl/>
    </w:pPr>
    <w:rPr>
      <w:rFonts w:ascii="宋体" w:hAnsi="Courier New" w:eastAsia="楷体_GB2312"/>
      <w:sz w:val="26"/>
      <w:szCs w:val="20"/>
    </w:rPr>
  </w:style>
  <w:style w:type="paragraph" w:styleId="1143" w:customStyle="1">
    <w:name w:val="标题 41"/>
    <w:basedOn w:val="811"/>
    <w:next w:val="1144"/>
    <w:uiPriority w:val="0"/>
    <w:qFormat/>
    <w:pPr>
      <w:keepNext/>
      <w:spacing w:before="240" w:after="60"/>
      <w:outlineLvl w:val="3"/>
    </w:pPr>
    <w:rPr>
      <w:b/>
      <w:bCs/>
      <w:sz w:val="28"/>
      <w:szCs w:val="28"/>
    </w:rPr>
  </w:style>
  <w:style w:type="paragraph" w:styleId="1144" w:customStyle="1">
    <w:name w:val="正文缩进1"/>
    <w:basedOn w:val="811"/>
    <w:uiPriority w:val="99"/>
    <w:unhideWhenUsed/>
    <w:qFormat/>
    <w:pPr>
      <w:ind w:firstLine="420"/>
      <w:jc w:val="left"/>
    </w:pPr>
    <w:rPr>
      <w:sz w:val="24"/>
    </w:rPr>
  </w:style>
  <w:style w:type="paragraph" w:styleId="1145" w:customStyle="1">
    <w:name w:val="Revision"/>
    <w:uiPriority w:val="99"/>
    <w:unhideWhenUsed/>
    <w:qFormat/>
    <w:rPr>
      <w:rFonts w:hint="default" w:ascii="Times New Roman" w:hAnsi="Times New Roman" w:eastAsia="宋体" w:cs="Times New Roman"/>
      <w:sz w:val="21"/>
      <w:szCs w:val="24"/>
      <w:lang w:eastAsia="zh-CN"/>
    </w:rPr>
  </w:style>
  <w:style w:type="paragraph" w:styleId="1146" w:customStyle="1">
    <w:name w:val="页脚1"/>
    <w:basedOn w:val="811"/>
    <w:uiPriority w:val="99"/>
    <w:qFormat/>
    <w:pPr>
      <w:jc w:val="left"/>
      <w:tabs>
        <w:tab w:val="center" w:pos="4153" w:leader="none"/>
        <w:tab w:val="right" w:pos="8306" w:leader="none"/>
      </w:tabs>
    </w:pPr>
    <w:rPr>
      <w:rFonts w:ascii="Calibri" w:hAnsi="Calibri"/>
      <w:sz w:val="18"/>
      <w:szCs w:val="18"/>
    </w:rPr>
  </w:style>
  <w:style w:type="numbering" w:styleId="11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14</cp:revision>
  <dcterms:created xsi:type="dcterms:W3CDTF">2023-10-16T02:18:00Z</dcterms:created>
  <dcterms:modified xsi:type="dcterms:W3CDTF">2026-07-17T04:14:07Z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eyJoZGlkIjoiOTc3M2Y5NzIzMDFlZjAyY2Q4Njk5ODkyYjFjNzBiNTQiLCJ1c2VySWQiOiIxNTYwNDAxOTY1In0=</vt:lpwstr>
  </property>
  <property fmtid="{D5CDD505-2E9C-101B-9397-08002B2CF9AE}" pid="3" name="KSOProductBuildVer">
    <vt:lpwstr>2052-12.1.0.21915</vt:lpwstr>
  </property>
  <property fmtid="{D5CDD505-2E9C-101B-9397-08002B2CF9AE}" pid="4" name="ICV">
    <vt:lpwstr>FD4A6C41CC9B4B0C9B460593CC4570E6_13</vt:lpwstr>
  </property>
</Properties>
</file>